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 of Neck Pain and Drug-Induced Erectile Dysfunction Following Physiotherapy in Cervical Spondylosis: A Case Report</w:t>
      </w:r>
    </w:p>
    <w:p w:rsidR="00C2586D" w:rsidRDefault="00C2586D">
      <w:pPr>
        <w:spacing w:line="360" w:lineRule="auto"/>
        <w:rPr>
          <w:rFonts w:ascii="Times New Roman" w:eastAsia="Times New Roman" w:hAnsi="Times New Roman" w:cs="Times New Roman"/>
          <w:sz w:val="24"/>
          <w:szCs w:val="24"/>
        </w:rPr>
      </w:pPr>
    </w:p>
    <w:p w:rsidR="00C2586D" w:rsidRDefault="00C2586D">
      <w:pPr>
        <w:spacing w:line="360" w:lineRule="auto"/>
        <w:rPr>
          <w:rFonts w:ascii="Times New Roman" w:eastAsia="Times New Roman" w:hAnsi="Times New Roman" w:cs="Times New Roman"/>
          <w:sz w:val="24"/>
          <w:szCs w:val="24"/>
        </w:rPr>
      </w:pPr>
      <w:bookmarkStart w:id="0" w:name="_GoBack"/>
      <w:bookmarkEnd w:id="0"/>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Cervical spondylosis is a degenerative disorder of the cervical spine that commonly causes chronic neck pain and functional limitations in older adults. Although pharmacologic therapy, including neuropathic pain agents, is usually the first line o</w:t>
      </w:r>
      <w:r>
        <w:rPr>
          <w:rFonts w:ascii="Times New Roman" w:eastAsia="Times New Roman" w:hAnsi="Times New Roman" w:cs="Times New Roman"/>
          <w:sz w:val="24"/>
          <w:szCs w:val="24"/>
        </w:rPr>
        <w:t>f management, it can cause adverse effects such as erectile dysfunction, which may limit its usefulness and necessitate conservative management like physiotherapy.</w:t>
      </w:r>
    </w:p>
    <w:p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67-year-old male civil servant presented with a six-month history of right-sided neck pain</w:t>
      </w:r>
      <w:r>
        <w:rPr>
          <w:rFonts w:ascii="Times New Roman" w:eastAsia="Times New Roman" w:hAnsi="Times New Roman" w:cs="Times New Roman"/>
          <w:sz w:val="24"/>
          <w:szCs w:val="24"/>
        </w:rPr>
        <w:t xml:space="preserve"> and a burning sensation that began after abrupt neck rotation during exercise. Radiographs showed osteophyte formation and straightening of the cervical lordosis. Medical management included Amlodipine, </w:t>
      </w:r>
      <w:proofErr w:type="spellStart"/>
      <w:r>
        <w:rPr>
          <w:rFonts w:ascii="Times New Roman" w:eastAsia="Times New Roman" w:hAnsi="Times New Roman" w:cs="Times New Roman"/>
          <w:sz w:val="24"/>
          <w:szCs w:val="24"/>
        </w:rPr>
        <w:t>Neurovite</w:t>
      </w:r>
      <w:proofErr w:type="spellEnd"/>
      <w:r>
        <w:rPr>
          <w:rFonts w:ascii="Times New Roman" w:eastAsia="Times New Roman" w:hAnsi="Times New Roman" w:cs="Times New Roman"/>
          <w:sz w:val="24"/>
          <w:szCs w:val="24"/>
        </w:rPr>
        <w:t>, and the neuropathic pain agent Gabapentin</w:t>
      </w:r>
      <w:r>
        <w:rPr>
          <w:rFonts w:ascii="Times New Roman" w:eastAsia="Times New Roman" w:hAnsi="Times New Roman" w:cs="Times New Roman"/>
          <w:sz w:val="24"/>
          <w:szCs w:val="24"/>
        </w:rPr>
        <w:t>, which provided minimal relief but triggered erectile dysfunction shortly after initiation, prompting discontinuation and referral for physiotherapy.</w:t>
      </w:r>
    </w:p>
    <w:p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underwent eight physiotherapy sessions over four weeks, consisting of cervical mobilization (</w:t>
      </w:r>
      <w:r>
        <w:rPr>
          <w:rFonts w:ascii="Times New Roman" w:eastAsia="Times New Roman" w:hAnsi="Times New Roman" w:cs="Times New Roman"/>
          <w:sz w:val="24"/>
          <w:szCs w:val="24"/>
        </w:rPr>
        <w:t>Grades II and III), soft-tissue mobilization, cryotherapy, progressive neck stabilization exercises, strengthening exercises, and ergonomic counseling.</w:t>
      </w:r>
    </w:p>
    <w:p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treatment, pain reduced (NPRS: 8/10 to 2/10), disability decreased (NDI: 27% to 8%), and the d</w:t>
      </w:r>
      <w:r>
        <w:rPr>
          <w:rFonts w:ascii="Times New Roman" w:eastAsia="Times New Roman" w:hAnsi="Times New Roman" w:cs="Times New Roman"/>
          <w:sz w:val="24"/>
          <w:szCs w:val="24"/>
        </w:rPr>
        <w:t>rug-induced erectile dysfunction completely resolved (IIEF-5: 10/25 to 25/25). Cervical range of motion improved across all planes, and no radicular signs were observed.</w:t>
      </w:r>
    </w:p>
    <w:p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case highlights how structured physiotherapy can significantly improve pain and </w:t>
      </w:r>
      <w:r>
        <w:rPr>
          <w:rFonts w:ascii="Times New Roman" w:eastAsia="Times New Roman" w:hAnsi="Times New Roman" w:cs="Times New Roman"/>
          <w:sz w:val="24"/>
          <w:szCs w:val="24"/>
        </w:rPr>
        <w:t>function while also facilitating the reversal of drug-induced erectile dysfunction, reinforcing the value of conservative management for older adults with neck pain.</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Neck Pain, Cervical Spondylosis, Physiotherapy, Erectile Dysfunction, Rehabilit</w:t>
      </w:r>
      <w:r>
        <w:rPr>
          <w:rFonts w:ascii="Times New Roman" w:eastAsia="Times New Roman" w:hAnsi="Times New Roman" w:cs="Times New Roman"/>
          <w:sz w:val="24"/>
          <w:szCs w:val="24"/>
        </w:rPr>
        <w:t>ation</w:t>
      </w: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r>
        <w:rPr>
          <w:rFonts w:ascii="Times New Roman" w:eastAsia="Times New Roman" w:hAnsi="Times New Roman" w:cs="Times New Roman"/>
          <w:sz w:val="24"/>
          <w:szCs w:val="24"/>
        </w:rPr>
        <w:t xml:space="preserve"> </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Neck pain is one of the most prevalent musculoskeletal disorders worldwide, second only to low back pain in contributing to disability. In 2020, approximately 203 million people were affected globally, with projections suggesting thi</w:t>
      </w:r>
      <w:r>
        <w:rPr>
          <w:rFonts w:ascii="Times New Roman" w:eastAsia="Times New Roman" w:hAnsi="Times New Roman" w:cs="Times New Roman"/>
          <w:sz w:val="24"/>
          <w:szCs w:val="24"/>
        </w:rPr>
        <w:t>s number may rise to 269 million by 2050 as populations age [1]. Cervical spondylosis, a progressive age‑related degenerative disorder of the cervical spine, commonly causes neck pain and functional limitation in older adults [2].</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pharmacologic ther</w:t>
      </w:r>
      <w:r>
        <w:rPr>
          <w:rFonts w:ascii="Times New Roman" w:eastAsia="Times New Roman" w:hAnsi="Times New Roman" w:cs="Times New Roman"/>
          <w:sz w:val="24"/>
          <w:szCs w:val="24"/>
        </w:rPr>
        <w:t xml:space="preserve">apy including analgesics, muscle relaxants, and neuropathic agents may provide temporary relief, they often fail to restore function and can be associated with adverse effects, as observed in this patient, who developed erectile dysfunction during medical </w:t>
      </w:r>
      <w:r>
        <w:rPr>
          <w:rFonts w:ascii="Times New Roman" w:eastAsia="Times New Roman" w:hAnsi="Times New Roman" w:cs="Times New Roman"/>
          <w:sz w:val="24"/>
          <w:szCs w:val="24"/>
        </w:rPr>
        <w:t>management [3].</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physiotherapy offers a targeted, conservative approach that addresses the underlying musculoskeletal deficits [4]. Through manual therapy, therapeutic exercise, postural correction, and patient education, physiotherapy can red</w:t>
      </w:r>
      <w:r>
        <w:rPr>
          <w:rFonts w:ascii="Times New Roman" w:eastAsia="Times New Roman" w:hAnsi="Times New Roman" w:cs="Times New Roman"/>
          <w:sz w:val="24"/>
          <w:szCs w:val="24"/>
        </w:rPr>
        <w:t>uce pain, restore mobility, strengthen supporting musculature, and improve function without the risks associated with long-term medication use [5].</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physiotherapy has been shown to improve erectile function in men with sexual dysfunction through i</w:t>
      </w:r>
      <w:r>
        <w:rPr>
          <w:rFonts w:ascii="Times New Roman" w:eastAsia="Times New Roman" w:hAnsi="Times New Roman" w:cs="Times New Roman"/>
          <w:sz w:val="24"/>
          <w:szCs w:val="24"/>
        </w:rPr>
        <w:t xml:space="preserve">nterventions such as pelvic floor exercises, electrical stimulation, and biofeedback [6], its role in reversing medication‑induced erectile dysfunction remains unexplored. Medication‑related sexual side effects may be under-recognized in older </w:t>
      </w:r>
      <w:proofErr w:type="gramStart"/>
      <w:r>
        <w:rPr>
          <w:rFonts w:ascii="Times New Roman" w:eastAsia="Times New Roman" w:hAnsi="Times New Roman" w:cs="Times New Roman"/>
          <w:sz w:val="24"/>
          <w:szCs w:val="24"/>
        </w:rPr>
        <w:t>adults[</w:t>
      </w:r>
      <w:proofErr w:type="gramEnd"/>
      <w:r>
        <w:rPr>
          <w:rFonts w:ascii="Times New Roman" w:eastAsia="Times New Roman" w:hAnsi="Times New Roman" w:cs="Times New Roman"/>
          <w:sz w:val="24"/>
          <w:szCs w:val="24"/>
        </w:rPr>
        <w:t>7]  T</w:t>
      </w:r>
      <w:r>
        <w:rPr>
          <w:rFonts w:ascii="Times New Roman" w:eastAsia="Times New Roman" w:hAnsi="Times New Roman" w:cs="Times New Roman"/>
          <w:sz w:val="24"/>
          <w:szCs w:val="24"/>
        </w:rPr>
        <w:t>he aim of this case report is to describe the role of structured physiotherapy in managing cervical spondylosis and its potential influence on drug-induced erectile dysfunction.</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 PRESENTATION</w:t>
      </w: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67-year-old married retired civil servant presented to th</w:t>
      </w:r>
      <w:r>
        <w:rPr>
          <w:rFonts w:ascii="Times New Roman" w:eastAsia="Times New Roman" w:hAnsi="Times New Roman" w:cs="Times New Roman"/>
          <w:sz w:val="24"/>
          <w:szCs w:val="24"/>
        </w:rPr>
        <w:t xml:space="preserve">e Physiotherapy Department on 11th June 2025 with a six-month history of right-sided neck pain. Written informed consent was </w:t>
      </w:r>
      <w:r>
        <w:rPr>
          <w:rFonts w:ascii="Times New Roman" w:eastAsia="Times New Roman" w:hAnsi="Times New Roman" w:cs="Times New Roman"/>
          <w:sz w:val="24"/>
          <w:szCs w:val="24"/>
        </w:rPr>
        <w:lastRenderedPageBreak/>
        <w:t>obtained from the patient for publication of this case report and any accompanying images or data. The report follows CARE guidelin</w:t>
      </w:r>
      <w:r>
        <w:rPr>
          <w:rFonts w:ascii="Times New Roman" w:eastAsia="Times New Roman" w:hAnsi="Times New Roman" w:cs="Times New Roman"/>
          <w:sz w:val="24"/>
          <w:szCs w:val="24"/>
        </w:rPr>
        <w:t>es [8]. Institutional Review Board approval was waived as per local protocol for single-case reports.</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symptoms began in December 2024 during an early morning jog, when he sharply rotated his neck and heard a cracking sound, followed by a burning pain </w:t>
      </w:r>
      <w:r>
        <w:rPr>
          <w:rFonts w:ascii="Times New Roman" w:eastAsia="Times New Roman" w:hAnsi="Times New Roman" w:cs="Times New Roman"/>
          <w:sz w:val="24"/>
          <w:szCs w:val="24"/>
        </w:rPr>
        <w:t>on the right side of the neck. The pain worsened with heavy lifting and use of high pillows but eased with flat pillows, ice, and rest.</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initially self-medicated with paracetamol without relief, then sought care at Rivers State University Teaching Hospi</w:t>
      </w:r>
      <w:r>
        <w:rPr>
          <w:rFonts w:ascii="Times New Roman" w:eastAsia="Times New Roman" w:hAnsi="Times New Roman" w:cs="Times New Roman"/>
          <w:sz w:val="24"/>
          <w:szCs w:val="24"/>
        </w:rPr>
        <w:t xml:space="preserve">tal in February 2025, where Baclofen and </w:t>
      </w:r>
      <w:proofErr w:type="spellStart"/>
      <w:r>
        <w:rPr>
          <w:rFonts w:ascii="Times New Roman" w:eastAsia="Times New Roman" w:hAnsi="Times New Roman" w:cs="Times New Roman"/>
          <w:sz w:val="24"/>
          <w:szCs w:val="24"/>
        </w:rPr>
        <w:t>Neurovite</w:t>
      </w:r>
      <w:proofErr w:type="spellEnd"/>
      <w:r>
        <w:rPr>
          <w:rFonts w:ascii="Times New Roman" w:eastAsia="Times New Roman" w:hAnsi="Times New Roman" w:cs="Times New Roman"/>
          <w:sz w:val="24"/>
          <w:szCs w:val="24"/>
        </w:rPr>
        <w:t xml:space="preserve"> were prescribed. Cervical X-ray confirmed cervical spondylosis with osteophytes from C2–C6 and loss of cervical lordosis. Following </w:t>
      </w:r>
      <w:proofErr w:type="gramStart"/>
      <w:r>
        <w:rPr>
          <w:rFonts w:ascii="Times New Roman" w:eastAsia="Times New Roman" w:hAnsi="Times New Roman" w:cs="Times New Roman"/>
          <w:sz w:val="24"/>
          <w:szCs w:val="24"/>
        </w:rPr>
        <w:t>persistent  burning</w:t>
      </w:r>
      <w:proofErr w:type="gramEnd"/>
      <w:r>
        <w:rPr>
          <w:rFonts w:ascii="Times New Roman" w:eastAsia="Times New Roman" w:hAnsi="Times New Roman" w:cs="Times New Roman"/>
          <w:sz w:val="24"/>
          <w:szCs w:val="24"/>
        </w:rPr>
        <w:t xml:space="preserve"> pain on the right side of the neck, further treatment</w:t>
      </w:r>
      <w:r>
        <w:rPr>
          <w:rFonts w:ascii="Times New Roman" w:eastAsia="Times New Roman" w:hAnsi="Times New Roman" w:cs="Times New Roman"/>
          <w:sz w:val="24"/>
          <w:szCs w:val="24"/>
        </w:rPr>
        <w:t xml:space="preserve"> was with Gabapentin 300 mg tablets, three times daily (TID). It provided mild relief but led to erectile dysfunction, prompting discontinuation. The erectile dysfunction developed after starting Gabapentin, and the patient reported normal erectile functio</w:t>
      </w:r>
      <w:r>
        <w:rPr>
          <w:rFonts w:ascii="Times New Roman" w:eastAsia="Times New Roman" w:hAnsi="Times New Roman" w:cs="Times New Roman"/>
          <w:sz w:val="24"/>
          <w:szCs w:val="24"/>
        </w:rPr>
        <w:t>n prior to medication, supporting a drug-induced etiology.</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eight-session, four-week physiotherapy program commenced as shown in Table 1. These included cervical mobilization using Grades II–III anteroposterior and rotational mobilizations targeting the</w:t>
      </w:r>
      <w:r>
        <w:rPr>
          <w:rFonts w:ascii="Times New Roman" w:eastAsia="Times New Roman" w:hAnsi="Times New Roman" w:cs="Times New Roman"/>
          <w:sz w:val="24"/>
          <w:szCs w:val="24"/>
        </w:rPr>
        <w:t xml:space="preserve"> C2–C6 segments. Soft-tissue mobilization was applied to the upper trapezius, levator scapulae and the sternocleidomastoid muscles.  Cryotherapy was used locally to reduce inflammation and pain. Posture retraining and ergonomic counselling were provided, f</w:t>
      </w:r>
      <w:r>
        <w:rPr>
          <w:rFonts w:ascii="Times New Roman" w:eastAsia="Times New Roman" w:hAnsi="Times New Roman" w:cs="Times New Roman"/>
          <w:sz w:val="24"/>
          <w:szCs w:val="24"/>
        </w:rPr>
        <w:t>ocusing on pillow height, workstation setup, and neck alignment. Progressive neck strengthening exercises targeted the deep cervical flexors, scapular stabilizers (middle/lower trapezius, rhomboids), and cervical extensors with graded resistance. The patie</w:t>
      </w:r>
      <w:r>
        <w:rPr>
          <w:rFonts w:ascii="Times New Roman" w:eastAsia="Times New Roman" w:hAnsi="Times New Roman" w:cs="Times New Roman"/>
          <w:sz w:val="24"/>
          <w:szCs w:val="24"/>
        </w:rPr>
        <w:t>nt was also prescribed a home exercise program consisting of neck stretches, chin tucks, and posture correction exercises to be performed daily</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examination revealed forward head posture, limited right rotation and lateral flexion, as shown in Tab</w:t>
      </w:r>
      <w:r>
        <w:rPr>
          <w:rFonts w:ascii="Times New Roman" w:eastAsia="Times New Roman" w:hAnsi="Times New Roman" w:cs="Times New Roman"/>
          <w:sz w:val="24"/>
          <w:szCs w:val="24"/>
        </w:rPr>
        <w:t xml:space="preserve">le 2, and no neurological deficits. Baseline scores were NPRS 8/10, NDI 27%, and </w:t>
      </w:r>
      <w:r>
        <w:rPr>
          <w:rFonts w:ascii="Times New Roman" w:eastAsia="Times New Roman" w:hAnsi="Times New Roman" w:cs="Times New Roman"/>
          <w:sz w:val="24"/>
          <w:szCs w:val="24"/>
        </w:rPr>
        <w:lastRenderedPageBreak/>
        <w:t>IIEF-5 10/25. The IIEF-5 score of 10/25 reflects moderate erectile dysfunction that developed after initiation of Gabapentin.</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Gabapentin was discontinued in February 2025, ph</w:t>
      </w:r>
      <w:r>
        <w:rPr>
          <w:rFonts w:ascii="Times New Roman" w:eastAsia="Times New Roman" w:hAnsi="Times New Roman" w:cs="Times New Roman"/>
          <w:sz w:val="24"/>
          <w:szCs w:val="24"/>
        </w:rPr>
        <w:t>ysiotherapy was initiated the same month, and follow-up assessments were performed at week 4 in March 2025. By week four, pain had reduced to 2/10 (NPRS), disability to 8% (NDI), and IIEF-5 had improved to 25/25, indicating full restoration of erectile fun</w:t>
      </w:r>
      <w:r>
        <w:rPr>
          <w:rFonts w:ascii="Times New Roman" w:eastAsia="Times New Roman" w:hAnsi="Times New Roman" w:cs="Times New Roman"/>
          <w:sz w:val="24"/>
          <w:szCs w:val="24"/>
        </w:rPr>
        <w:t>ction. These gains exceeded the MCID thresholds for NPRS and NDI [9,10].</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patient’s erectile function improved after both discontinuation of Gabapentin and structured physiotherapy. While a causal relationship cannot be definitively established, the ti</w:t>
      </w:r>
      <w:r>
        <w:rPr>
          <w:rFonts w:ascii="Times New Roman" w:eastAsia="Times New Roman" w:hAnsi="Times New Roman" w:cs="Times New Roman"/>
          <w:sz w:val="24"/>
          <w:szCs w:val="24"/>
        </w:rPr>
        <w:t>ming suggests physiotherapy may have contributed to functional recovery in conjunction with drug cessation.</w:t>
      </w: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each intervention employed alongside the frequency, intensity and time:</w:t>
      </w:r>
    </w:p>
    <w:p w:rsidR="00DC5EF8" w:rsidRDefault="00DC5EF8">
      <w:pPr>
        <w:spacing w:line="360" w:lineRule="auto"/>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DC5EF8">
        <w:tc>
          <w:tcPr>
            <w:tcW w:w="1872" w:type="dxa"/>
            <w:tcMar>
              <w:top w:w="100" w:type="dxa"/>
              <w:left w:w="100" w:type="dxa"/>
              <w:bottom w:w="100" w:type="dxa"/>
              <w:right w:w="100" w:type="dxa"/>
            </w:tcMar>
          </w:tcPr>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Interventions</w:t>
            </w:r>
          </w:p>
        </w:tc>
        <w:tc>
          <w:tcPr>
            <w:tcW w:w="1872" w:type="dxa"/>
            <w:tcMar>
              <w:top w:w="100" w:type="dxa"/>
              <w:left w:w="100" w:type="dxa"/>
              <w:bottom w:w="100" w:type="dxa"/>
              <w:right w:w="100" w:type="dxa"/>
            </w:tcMar>
          </w:tcPr>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1</w:t>
            </w:r>
          </w:p>
        </w:tc>
        <w:tc>
          <w:tcPr>
            <w:tcW w:w="1872" w:type="dxa"/>
            <w:tcMar>
              <w:top w:w="100" w:type="dxa"/>
              <w:left w:w="100" w:type="dxa"/>
              <w:bottom w:w="100" w:type="dxa"/>
              <w:right w:w="100" w:type="dxa"/>
            </w:tcMar>
          </w:tcPr>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2</w:t>
            </w:r>
          </w:p>
        </w:tc>
        <w:tc>
          <w:tcPr>
            <w:tcW w:w="1872" w:type="dxa"/>
            <w:tcMar>
              <w:top w:w="100" w:type="dxa"/>
              <w:left w:w="100" w:type="dxa"/>
              <w:bottom w:w="100" w:type="dxa"/>
              <w:right w:w="100" w:type="dxa"/>
            </w:tcMar>
          </w:tcPr>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3</w:t>
            </w:r>
          </w:p>
        </w:tc>
        <w:tc>
          <w:tcPr>
            <w:tcW w:w="1872" w:type="dxa"/>
            <w:tcMar>
              <w:top w:w="100" w:type="dxa"/>
              <w:left w:w="100" w:type="dxa"/>
              <w:bottom w:w="100" w:type="dxa"/>
              <w:right w:w="100" w:type="dxa"/>
            </w:tcMar>
          </w:tcPr>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4</w:t>
            </w:r>
          </w:p>
        </w:tc>
      </w:tr>
      <w:tr w:rsidR="00DC5EF8">
        <w:tc>
          <w:tcPr>
            <w:tcW w:w="1872" w:type="dxa"/>
            <w:tcMar>
              <w:top w:w="100" w:type="dxa"/>
              <w:left w:w="100" w:type="dxa"/>
              <w:bottom w:w="100" w:type="dxa"/>
              <w:right w:w="100" w:type="dxa"/>
            </w:tcMar>
          </w:tcPr>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Neck mobilization exercises </w:t>
            </w:r>
          </w:p>
        </w:tc>
        <w:tc>
          <w:tcPr>
            <w:tcW w:w="1872" w:type="dxa"/>
            <w:tcMar>
              <w:top w:w="100" w:type="dxa"/>
              <w:left w:w="100" w:type="dxa"/>
              <w:bottom w:w="100" w:type="dxa"/>
              <w:right w:w="100" w:type="dxa"/>
            </w:tcMar>
          </w:tcPr>
          <w:p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3 sets</w:t>
            </w:r>
          </w:p>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3 sets</w:t>
            </w: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rsidR="00DC5EF8" w:rsidRDefault="00DC5EF8">
            <w:pPr>
              <w:spacing w:line="360" w:lineRule="auto"/>
              <w:rPr>
                <w:rFonts w:ascii="Times New Roman" w:eastAsia="Times New Roman" w:hAnsi="Times New Roman" w:cs="Times New Roman"/>
                <w:sz w:val="24"/>
                <w:szCs w:val="24"/>
              </w:rPr>
            </w:pPr>
          </w:p>
          <w:p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15min x 3 sets</w:t>
            </w:r>
          </w:p>
          <w:p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15min x 3 sets</w:t>
            </w: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rsidR="00DC5EF8" w:rsidRDefault="00DC5EF8">
            <w:pPr>
              <w:spacing w:line="360" w:lineRule="auto"/>
              <w:rPr>
                <w:rFonts w:ascii="Times New Roman" w:eastAsia="Times New Roman" w:hAnsi="Times New Roman" w:cs="Times New Roman"/>
                <w:sz w:val="24"/>
                <w:szCs w:val="24"/>
              </w:rPr>
            </w:pPr>
          </w:p>
          <w:p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DC5EF8">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Sustained Passive Stretches</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 seconds hold per stretch 3 reps</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10-20 seconds hold per </w:t>
            </w:r>
            <w:r>
              <w:rPr>
                <w:rFonts w:ascii="Times New Roman" w:eastAsia="Times New Roman" w:hAnsi="Times New Roman" w:cs="Times New Roman"/>
                <w:sz w:val="24"/>
                <w:szCs w:val="24"/>
              </w:rPr>
              <w:t>stretch 3 reps</w:t>
            </w:r>
          </w:p>
        </w:tc>
        <w:tc>
          <w:tcPr>
            <w:tcW w:w="1872" w:type="dxa"/>
            <w:tcMar>
              <w:top w:w="100" w:type="dxa"/>
              <w:left w:w="100" w:type="dxa"/>
              <w:bottom w:w="100" w:type="dxa"/>
              <w:right w:w="100" w:type="dxa"/>
            </w:tcMar>
          </w:tcPr>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20-30 seconds hold per stretch 3 reps</w:t>
            </w:r>
          </w:p>
        </w:tc>
        <w:tc>
          <w:tcPr>
            <w:tcW w:w="1872" w:type="dxa"/>
            <w:tcMar>
              <w:top w:w="100" w:type="dxa"/>
              <w:left w:w="100" w:type="dxa"/>
              <w:bottom w:w="100" w:type="dxa"/>
              <w:right w:w="100" w:type="dxa"/>
            </w:tcMar>
          </w:tcPr>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20-30 seconds hold per stretch 3 reps</w:t>
            </w:r>
          </w:p>
        </w:tc>
      </w:tr>
      <w:tr w:rsidR="00DC5EF8">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 Tissue Mobilization to </w:t>
            </w:r>
            <w:r>
              <w:rPr>
                <w:rFonts w:ascii="Times New Roman" w:eastAsia="Times New Roman" w:hAnsi="Times New Roman" w:cs="Times New Roman"/>
                <w:sz w:val="24"/>
                <w:szCs w:val="24"/>
              </w:rPr>
              <w:lastRenderedPageBreak/>
              <w:t>muscles of the neck</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Effleurage for 5 mins</w:t>
            </w:r>
          </w:p>
          <w:p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rsidR="00DC5EF8" w:rsidRDefault="00DC5EF8">
            <w:pPr>
              <w:spacing w:line="360" w:lineRule="auto"/>
              <w:rPr>
                <w:rFonts w:ascii="Times New Roman" w:eastAsia="Times New Roman" w:hAnsi="Times New Roman" w:cs="Times New Roman"/>
                <w:sz w:val="24"/>
                <w:szCs w:val="24"/>
              </w:rPr>
            </w:pPr>
          </w:p>
        </w:tc>
      </w:tr>
      <w:tr w:rsidR="00DC5EF8">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Cryotherapy</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minutes</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DC5EF8">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Stabilization Exercises </w:t>
            </w: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5 times</w:t>
            </w:r>
          </w:p>
          <w:p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5 times</w:t>
            </w:r>
          </w:p>
          <w:p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reps x 5 times</w:t>
            </w:r>
          </w:p>
          <w:p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reps x 5 times</w:t>
            </w:r>
          </w:p>
          <w:p w:rsidR="00DC5EF8" w:rsidRDefault="00DC5EF8">
            <w:pPr>
              <w:spacing w:line="360" w:lineRule="auto"/>
              <w:rPr>
                <w:rFonts w:ascii="Times New Roman" w:eastAsia="Times New Roman" w:hAnsi="Times New Roman" w:cs="Times New Roman"/>
                <w:sz w:val="24"/>
                <w:szCs w:val="24"/>
              </w:rPr>
            </w:pPr>
          </w:p>
        </w:tc>
      </w:tr>
    </w:tbl>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Physiotherapy interventions administered over four weeks, including type, frequency, intensity, and duration and showing exercise progression according to patient’s tolerability. </w:t>
      </w: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Goniometric measurements before intervention revealed restricte</w:t>
      </w:r>
      <w:r>
        <w:rPr>
          <w:rFonts w:ascii="Times New Roman" w:eastAsia="Times New Roman" w:hAnsi="Times New Roman" w:cs="Times New Roman"/>
          <w:sz w:val="24"/>
          <w:szCs w:val="24"/>
        </w:rPr>
        <w:t>d and painful cervical movements, particularly during lateral flexion and rotation. Following physiotherapy, full and pain-free range of motion (ROM) was achieved across all movements from a neutral position as shown below:</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8"/>
        <w:gridCol w:w="2448"/>
        <w:gridCol w:w="2160"/>
        <w:gridCol w:w="2304"/>
      </w:tblGrid>
      <w:tr w:rsidR="00DC5EF8">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Movements </w:t>
            </w:r>
          </w:p>
        </w:tc>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Normal range</w:t>
            </w:r>
          </w:p>
        </w:tc>
        <w:tc>
          <w:tcPr>
            <w:tcW w:w="2160"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Pre-inte</w:t>
            </w:r>
            <w:r>
              <w:rPr>
                <w:rFonts w:ascii="Times New Roman" w:eastAsia="Times New Roman" w:hAnsi="Times New Roman" w:cs="Times New Roman"/>
                <w:sz w:val="24"/>
                <w:szCs w:val="24"/>
              </w:rPr>
              <w:t>rvention (°)</w:t>
            </w:r>
          </w:p>
        </w:tc>
        <w:tc>
          <w:tcPr>
            <w:tcW w:w="2304"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Post-intervention (°)</w:t>
            </w:r>
          </w:p>
        </w:tc>
      </w:tr>
      <w:tr w:rsidR="00DC5EF8">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Flexion</w:t>
            </w:r>
          </w:p>
        </w:tc>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0- 41</w:t>
            </w:r>
          </w:p>
        </w:tc>
        <w:tc>
          <w:tcPr>
            <w:tcW w:w="2304"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r>
      <w:tr w:rsidR="00DC5EF8">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w:t>
            </w:r>
          </w:p>
        </w:tc>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2304"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0- 45</w:t>
            </w:r>
          </w:p>
        </w:tc>
      </w:tr>
      <w:tr w:rsidR="00DC5EF8">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Lateral Flexion</w:t>
            </w:r>
          </w:p>
        </w:tc>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2304"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0- 42</w:t>
            </w:r>
          </w:p>
        </w:tc>
      </w:tr>
      <w:tr w:rsidR="00DC5EF8">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Left Lateral Flexion</w:t>
            </w:r>
          </w:p>
        </w:tc>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2304"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DC5EF8">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Rotation</w:t>
            </w:r>
          </w:p>
        </w:tc>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160"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2304"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DC5EF8">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Left Rotation</w:t>
            </w:r>
          </w:p>
        </w:tc>
        <w:tc>
          <w:tcPr>
            <w:tcW w:w="2448"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160"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2304" w:type="dxa"/>
            <w:tcMar>
              <w:top w:w="100" w:type="dxa"/>
              <w:left w:w="100" w:type="dxa"/>
              <w:bottom w:w="100" w:type="dxa"/>
              <w:right w:w="100" w:type="dxa"/>
            </w:tcMar>
          </w:tcPr>
          <w:p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bl>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Cervical range of motion before and after physiotherapy intervention, measured with goniometry on Active ROM. </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four weeks of structured physiotherapy, he regained full cervical range of motion, could comfortably rotate his neck to both side</w:t>
      </w:r>
      <w:r>
        <w:rPr>
          <w:rFonts w:ascii="Times New Roman" w:eastAsia="Times New Roman" w:hAnsi="Times New Roman" w:cs="Times New Roman"/>
          <w:sz w:val="24"/>
          <w:szCs w:val="24"/>
        </w:rPr>
        <w:t>s, and resumed reading and household activities without discomfort.</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Postural education and stabilization exercises played a pivotal role in his recovery. The patient was taught ergonomic corrections, including maintaining a neutral spine while sitting, av</w:t>
      </w:r>
      <w:r>
        <w:rPr>
          <w:rFonts w:ascii="Times New Roman" w:eastAsia="Times New Roman" w:hAnsi="Times New Roman" w:cs="Times New Roman"/>
          <w:sz w:val="24"/>
          <w:szCs w:val="24"/>
        </w:rPr>
        <w:t>oiding prolonged neck flexion during reading, and using a low, supportive pillow during sleep. Ice therapy and soft tissue mobilization provided immediate relief during the early sessions, while progressive mobilization and strengthening exercises sustaine</w:t>
      </w:r>
      <w:r>
        <w:rPr>
          <w:rFonts w:ascii="Times New Roman" w:eastAsia="Times New Roman" w:hAnsi="Times New Roman" w:cs="Times New Roman"/>
          <w:sz w:val="24"/>
          <w:szCs w:val="24"/>
        </w:rPr>
        <w:t>d long-term functional gains.</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end of rehabilitation, he reported improved quality of sleep, absence of burning pain, and complete resolution of movement limitation, enabling him to return fully to his daily routine without discomfort. The patient </w:t>
      </w:r>
      <w:r>
        <w:rPr>
          <w:rFonts w:ascii="Times New Roman" w:eastAsia="Times New Roman" w:hAnsi="Times New Roman" w:cs="Times New Roman"/>
          <w:sz w:val="24"/>
          <w:szCs w:val="24"/>
        </w:rPr>
        <w:t>was followed up at 1 month and 3 months post-physiotherapy. At both follow-ups, neck pain remained significantly reduced, cervical range of motion was maintained, and erectile function remained stable as assessed by IIEF-5 scores. No recurrence of symptoms</w:t>
      </w:r>
      <w:r>
        <w:rPr>
          <w:rFonts w:ascii="Times New Roman" w:eastAsia="Times New Roman" w:hAnsi="Times New Roman" w:cs="Times New Roman"/>
          <w:sz w:val="24"/>
          <w:szCs w:val="24"/>
        </w:rPr>
        <w:t xml:space="preserve"> or adverse events was observed during this period.</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t xml:space="preserve"> </w:t>
      </w: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describes the non-surgical management of cervical spondylosis–related neck pain in a 67-year-old male, highlighting the potential role of physiotherapy in achieving pain relief, fun</w:t>
      </w:r>
      <w:r>
        <w:rPr>
          <w:rFonts w:ascii="Times New Roman" w:eastAsia="Times New Roman" w:hAnsi="Times New Roman" w:cs="Times New Roman"/>
          <w:sz w:val="24"/>
          <w:szCs w:val="24"/>
        </w:rPr>
        <w:t>ctional recovery, and resolution of drug-induced erectile dysfunction. Cervical spondylosis is a degenerative disorder of the cervical spine involving progressive disc desiccation, osteophyte formation, and facet joint arthropathy that lead to chronic neck</w:t>
      </w:r>
      <w:r>
        <w:rPr>
          <w:rFonts w:ascii="Times New Roman" w:eastAsia="Times New Roman" w:hAnsi="Times New Roman" w:cs="Times New Roman"/>
          <w:sz w:val="24"/>
          <w:szCs w:val="24"/>
        </w:rPr>
        <w:t xml:space="preserve"> pain, stiffness, and restricted motion [11]. It is commonly associated with age-related wear and tear and is prevalent among individuals above 50 years [11].</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patient’s presenting complaint of burning sensation suggested possible neuropathic involveme</w:t>
      </w:r>
      <w:r>
        <w:rPr>
          <w:rFonts w:ascii="Times New Roman" w:eastAsia="Times New Roman" w:hAnsi="Times New Roman" w:cs="Times New Roman"/>
          <w:sz w:val="24"/>
          <w:szCs w:val="24"/>
        </w:rPr>
        <w:t xml:space="preserve">nt, which led to initial prescription of Gabapentin. However, physiotherapy assessment, including cervical compression/distraction and Spurling’s tests, revealed no radicular symptoms, and pain did not radiate to the shoulders or upper limbs, helping </w:t>
      </w:r>
      <w:r>
        <w:rPr>
          <w:rFonts w:ascii="Times New Roman" w:eastAsia="Times New Roman" w:hAnsi="Times New Roman" w:cs="Times New Roman"/>
          <w:sz w:val="24"/>
          <w:szCs w:val="24"/>
        </w:rPr>
        <w:lastRenderedPageBreak/>
        <w:t>diffe</w:t>
      </w:r>
      <w:r>
        <w:rPr>
          <w:rFonts w:ascii="Times New Roman" w:eastAsia="Times New Roman" w:hAnsi="Times New Roman" w:cs="Times New Roman"/>
          <w:sz w:val="24"/>
          <w:szCs w:val="24"/>
        </w:rPr>
        <w:t>rentiate cervical spondylosis from cervical radiculopathy. Radiographic findings confirmed cervical spondylosis with osteophyte formation and straightening of the cervical spine.</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 pharmacologic management with Gabapentin (a gamma-aminobutyric acid </w:t>
      </w:r>
      <w:r>
        <w:rPr>
          <w:rFonts w:ascii="Times New Roman" w:eastAsia="Times New Roman" w:hAnsi="Times New Roman" w:cs="Times New Roman"/>
          <w:sz w:val="24"/>
          <w:szCs w:val="24"/>
        </w:rPr>
        <w:t>analogue that modulates neuropathic pain), Baclofen (a GABA_B receptor agonist acting as a muscle relaxant), and NSAIDs provided partial relief but resulted in erectile dysfunction. This complication aligns with reports that centrally acting agents may int</w:t>
      </w:r>
      <w:r>
        <w:rPr>
          <w:rFonts w:ascii="Times New Roman" w:eastAsia="Times New Roman" w:hAnsi="Times New Roman" w:cs="Times New Roman"/>
          <w:sz w:val="24"/>
          <w:szCs w:val="24"/>
        </w:rPr>
        <w:t>erfere with dopaminergic and nitric oxide pathways essential for erectile function [12,13]. Following discontinuation of these medications and initiation of physiotherapy, erectile function improved, suggesting a reversible drug-induced effect. It is impor</w:t>
      </w:r>
      <w:r>
        <w:rPr>
          <w:rFonts w:ascii="Times New Roman" w:eastAsia="Times New Roman" w:hAnsi="Times New Roman" w:cs="Times New Roman"/>
          <w:sz w:val="24"/>
          <w:szCs w:val="24"/>
        </w:rPr>
        <w:t>tant to acknowledge, however, that the improvement may be attributable to either medication cessation, physiotherapy, or a combination of both.</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mechanisms may explain the observed outcomes. Reduction in pain and central </w:t>
      </w:r>
      <w:proofErr w:type="spellStart"/>
      <w:r>
        <w:rPr>
          <w:rFonts w:ascii="Times New Roman" w:eastAsia="Times New Roman" w:hAnsi="Times New Roman" w:cs="Times New Roman"/>
          <w:sz w:val="24"/>
          <w:szCs w:val="24"/>
        </w:rPr>
        <w:t>sensitisation</w:t>
      </w:r>
      <w:proofErr w:type="spellEnd"/>
      <w:r>
        <w:rPr>
          <w:rFonts w:ascii="Times New Roman" w:eastAsia="Times New Roman" w:hAnsi="Times New Roman" w:cs="Times New Roman"/>
          <w:sz w:val="24"/>
          <w:szCs w:val="24"/>
        </w:rPr>
        <w:t xml:space="preserve"> during rehabi</w:t>
      </w:r>
      <w:r>
        <w:rPr>
          <w:rFonts w:ascii="Times New Roman" w:eastAsia="Times New Roman" w:hAnsi="Times New Roman" w:cs="Times New Roman"/>
          <w:sz w:val="24"/>
          <w:szCs w:val="24"/>
        </w:rPr>
        <w:t>litation could have restored autonomic balance and improved central modulation of sexual function, consistent with evidence that exercise induces sympathetic neural adaptations and enhances autonomic regulation [14]. Increased physical activity and enhance</w:t>
      </w:r>
      <w:r>
        <w:rPr>
          <w:rFonts w:ascii="Times New Roman" w:eastAsia="Times New Roman" w:hAnsi="Times New Roman" w:cs="Times New Roman"/>
          <w:sz w:val="24"/>
          <w:szCs w:val="24"/>
        </w:rPr>
        <w:t>d cardiovascular conditioning may have promoted endothelial and neurovascular function, consistent with studies linking exercise to improved erectile outcomes [15,16]. Targeted cervical rehabilitation may also have reduced neuromusculoskeletal strain and p</w:t>
      </w:r>
      <w:r>
        <w:rPr>
          <w:rFonts w:ascii="Times New Roman" w:eastAsia="Times New Roman" w:hAnsi="Times New Roman" w:cs="Times New Roman"/>
          <w:sz w:val="24"/>
          <w:szCs w:val="24"/>
        </w:rPr>
        <w:t>romoted overall well-being.</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Physiotherapy was tailored to address pain, stiffness, and postural dysfunction while promoting functional restoration. Cryotherapy was applied to alleviate inflammation and burning sensation in the cervical region [17]. Manual</w:t>
      </w:r>
      <w:r>
        <w:rPr>
          <w:rFonts w:ascii="Times New Roman" w:eastAsia="Times New Roman" w:hAnsi="Times New Roman" w:cs="Times New Roman"/>
          <w:sz w:val="24"/>
          <w:szCs w:val="24"/>
        </w:rPr>
        <w:t xml:space="preserve"> therapy, including cervical joint mobilization, was administered to improve range of motion and reduce stiffness [18]. Neck-specific exercises strengthened deep cervical flexors and improved posture [19], while stabilization exercises enhanced neuromuscul</w:t>
      </w:r>
      <w:r>
        <w:rPr>
          <w:rFonts w:ascii="Times New Roman" w:eastAsia="Times New Roman" w:hAnsi="Times New Roman" w:cs="Times New Roman"/>
          <w:sz w:val="24"/>
          <w:szCs w:val="24"/>
        </w:rPr>
        <w:t>ar control and cervical stability [20]. Patient education focused on ergonomic advice, posture correction, and activity modification to prevent recurrence [21].</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eight sessions, the patient’s pain score decreased from 8/10 to 2/10, with marked improv</w:t>
      </w:r>
      <w:r>
        <w:rPr>
          <w:rFonts w:ascii="Times New Roman" w:eastAsia="Times New Roman" w:hAnsi="Times New Roman" w:cs="Times New Roman"/>
          <w:sz w:val="24"/>
          <w:szCs w:val="24"/>
        </w:rPr>
        <w:t xml:space="preserve">ement in neck mobility, posture, and daily activity tolerance. Notably, erectile function </w:t>
      </w:r>
      <w:r>
        <w:rPr>
          <w:rFonts w:ascii="Times New Roman" w:eastAsia="Times New Roman" w:hAnsi="Times New Roman" w:cs="Times New Roman"/>
          <w:sz w:val="24"/>
          <w:szCs w:val="24"/>
        </w:rPr>
        <w:lastRenderedPageBreak/>
        <w:t>was restored following withdrawal from pharmacological agents and consistent physiotherapy, highlighting potential systemic benefits of non-pharmacologic rehabilitati</w:t>
      </w:r>
      <w:r>
        <w:rPr>
          <w:rFonts w:ascii="Times New Roman" w:eastAsia="Times New Roman" w:hAnsi="Times New Roman" w:cs="Times New Roman"/>
          <w:sz w:val="24"/>
          <w:szCs w:val="24"/>
        </w:rPr>
        <w:t>on. Follow-up at 1 and 3 months demonstrated sustained improvements in neck pain and erectile function, suggesting that the benefits of the physiotherapy program were maintained. While causality cannot be definitively established, the sustained effect high</w:t>
      </w:r>
      <w:r>
        <w:rPr>
          <w:rFonts w:ascii="Times New Roman" w:eastAsia="Times New Roman" w:hAnsi="Times New Roman" w:cs="Times New Roman"/>
          <w:sz w:val="24"/>
          <w:szCs w:val="24"/>
        </w:rPr>
        <w:t>lights the potential value of conservative management in similar cases. Although sexual dysfunction associated with centrally acting medications is well documented, reports describing its reversal following physiotherapy for cervical spondylosis are limite</w:t>
      </w:r>
      <w:r>
        <w:rPr>
          <w:rFonts w:ascii="Times New Roman" w:eastAsia="Times New Roman" w:hAnsi="Times New Roman" w:cs="Times New Roman"/>
          <w:sz w:val="24"/>
          <w:szCs w:val="24"/>
        </w:rPr>
        <w:t>d.</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rsidR="00DC5EF8" w:rsidRDefault="00DC5EF8">
      <w:pPr>
        <w:spacing w:line="360" w:lineRule="auto"/>
        <w:rPr>
          <w:rFonts w:ascii="Times New Roman" w:eastAsia="Times New Roman" w:hAnsi="Times New Roman" w:cs="Times New Roman"/>
          <w:b/>
          <w:bCs/>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illustrates that evidence-based physiotherapy may contribute to pain reduction, functional restoration, and improvement in drug-induced complications in older adults with cervical spondylosis. Clinicians should be aware of potent</w:t>
      </w:r>
      <w:r>
        <w:rPr>
          <w:rFonts w:ascii="Times New Roman" w:eastAsia="Times New Roman" w:hAnsi="Times New Roman" w:cs="Times New Roman"/>
          <w:sz w:val="24"/>
          <w:szCs w:val="24"/>
        </w:rPr>
        <w:t>ial medication-related adverse effects and consider early physiotherapy as part of a holistic management plan. Recommendations should be interpreted cautiously, given that evidence derives from a single patient. Further studies are warranted to explore the</w:t>
      </w:r>
      <w:r>
        <w:rPr>
          <w:rFonts w:ascii="Times New Roman" w:eastAsia="Times New Roman" w:hAnsi="Times New Roman" w:cs="Times New Roman"/>
          <w:sz w:val="24"/>
          <w:szCs w:val="24"/>
        </w:rPr>
        <w:t xml:space="preserve"> relationship between rehabilitation, medication cessation, and sexual function in older adults.</w:t>
      </w:r>
    </w:p>
    <w:p w:rsidR="00482A0D" w:rsidRDefault="00482A0D">
      <w:pPr>
        <w:spacing w:line="360" w:lineRule="auto"/>
        <w:rPr>
          <w:rFonts w:ascii="Times New Roman" w:eastAsia="Times New Roman" w:hAnsi="Times New Roman" w:cs="Times New Roman"/>
          <w:sz w:val="24"/>
          <w:szCs w:val="24"/>
        </w:rPr>
      </w:pPr>
    </w:p>
    <w:p w:rsidR="00482A0D" w:rsidRDefault="00482A0D" w:rsidP="00482A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LIMITATIONS</w:t>
      </w:r>
      <w:r>
        <w:rPr>
          <w:rFonts w:ascii="Times New Roman" w:eastAsia="Times New Roman" w:hAnsi="Times New Roman" w:cs="Times New Roman"/>
          <w:sz w:val="24"/>
          <w:szCs w:val="24"/>
        </w:rPr>
        <w:t xml:space="preserve"> </w:t>
      </w:r>
    </w:p>
    <w:p w:rsidR="00482A0D" w:rsidRDefault="00482A0D" w:rsidP="00482A0D">
      <w:pPr>
        <w:spacing w:line="360" w:lineRule="auto"/>
        <w:rPr>
          <w:rFonts w:ascii="Times New Roman" w:eastAsia="Times New Roman" w:hAnsi="Times New Roman" w:cs="Times New Roman"/>
          <w:sz w:val="24"/>
          <w:szCs w:val="24"/>
        </w:rPr>
      </w:pPr>
    </w:p>
    <w:p w:rsidR="00482A0D" w:rsidRDefault="00482A0D" w:rsidP="00482A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represents a single case. Therefore, the findings are not generalizable. The relative contributions of medication cessation versus physiotherapy to the resolution of erectile dysfunction remain uncertain. Additionally, objective measures of autonomic function or endothelial health were not assessed, limiting mechanistic interpretation.</w:t>
      </w:r>
    </w:p>
    <w:p w:rsidR="00482A0D" w:rsidRDefault="00482A0D">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Wu A, March L, Hoy D. Global burde</w:t>
      </w:r>
      <w:r>
        <w:rPr>
          <w:rFonts w:ascii="Times New Roman" w:eastAsia="Times New Roman" w:hAnsi="Times New Roman" w:cs="Times New Roman"/>
          <w:sz w:val="24"/>
          <w:szCs w:val="24"/>
        </w:rPr>
        <w:t>n of neck pain from 1990 to 2020 and projections to 2050: A systematic analysis. Ann Rheum Dis. 2024;83(4):552–560. doi:10.1136/annrheumdis-2023-224789</w:t>
      </w: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Misra A, Kumar S, Raina S. Neurological complications of cervical spondylosis: A clinical </w:t>
      </w:r>
      <w:r>
        <w:rPr>
          <w:rFonts w:ascii="Times New Roman" w:eastAsia="Times New Roman" w:hAnsi="Times New Roman" w:cs="Times New Roman"/>
          <w:sz w:val="24"/>
          <w:szCs w:val="24"/>
        </w:rPr>
        <w:t>perspective. Neurosciences (Riyadh). 2023;28(3):211‑219. doi:10.17712/nsj.2023.3.20230045</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Kaufman KR, Struck PJ. Gabapentin‑induced sexual dysfunction. Epilepsy Behav. 2011;21(3):324–6. </w:t>
      </w:r>
      <w:proofErr w:type="gramStart"/>
      <w:r>
        <w:rPr>
          <w:rFonts w:ascii="Times New Roman" w:eastAsia="Times New Roman" w:hAnsi="Times New Roman" w:cs="Times New Roman"/>
          <w:sz w:val="24"/>
          <w:szCs w:val="24"/>
        </w:rPr>
        <w:t>doi:10.1016/j.yebeh</w:t>
      </w:r>
      <w:proofErr w:type="gramEnd"/>
      <w:r>
        <w:rPr>
          <w:rFonts w:ascii="Times New Roman" w:eastAsia="Times New Roman" w:hAnsi="Times New Roman" w:cs="Times New Roman"/>
          <w:sz w:val="24"/>
          <w:szCs w:val="24"/>
        </w:rPr>
        <w:t>.2011.04.058</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Kilinc</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Ulger</w:t>
      </w:r>
      <w:proofErr w:type="spellEnd"/>
      <w:r>
        <w:rPr>
          <w:rFonts w:ascii="Times New Roman" w:eastAsia="Times New Roman" w:hAnsi="Times New Roman" w:cs="Times New Roman"/>
          <w:sz w:val="24"/>
          <w:szCs w:val="24"/>
        </w:rPr>
        <w:t xml:space="preserve"> O. Physiothera</w:t>
      </w:r>
      <w:r>
        <w:rPr>
          <w:rFonts w:ascii="Times New Roman" w:eastAsia="Times New Roman" w:hAnsi="Times New Roman" w:cs="Times New Roman"/>
          <w:sz w:val="24"/>
          <w:szCs w:val="24"/>
        </w:rPr>
        <w:t xml:space="preserve">py interventions for degenerative cervical spine disorders: A systematic review. BMC </w:t>
      </w:r>
      <w:proofErr w:type="spellStart"/>
      <w:r>
        <w:rPr>
          <w:rFonts w:ascii="Times New Roman" w:eastAsia="Times New Roman" w:hAnsi="Times New Roman" w:cs="Times New Roman"/>
          <w:sz w:val="24"/>
          <w:szCs w:val="24"/>
        </w:rPr>
        <w:t>Musculoskelet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Disord</w:t>
      </w:r>
      <w:proofErr w:type="spellEnd"/>
      <w:r>
        <w:rPr>
          <w:rFonts w:ascii="Times New Roman" w:eastAsia="Times New Roman" w:hAnsi="Times New Roman" w:cs="Times New Roman"/>
          <w:sz w:val="24"/>
          <w:szCs w:val="24"/>
        </w:rPr>
        <w:t>. 2025;26(1):79‑88. doi:10.1186/s12891‑025-06754-9</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Falla D, Farina D, Fernández‑de‑Las‑</w:t>
      </w:r>
      <w:proofErr w:type="spellStart"/>
      <w:r>
        <w:rPr>
          <w:rFonts w:ascii="Times New Roman" w:eastAsia="Times New Roman" w:hAnsi="Times New Roman" w:cs="Times New Roman"/>
          <w:sz w:val="24"/>
          <w:szCs w:val="24"/>
        </w:rPr>
        <w:t>Peñas</w:t>
      </w:r>
      <w:proofErr w:type="spellEnd"/>
      <w:r>
        <w:rPr>
          <w:rFonts w:ascii="Times New Roman" w:eastAsia="Times New Roman" w:hAnsi="Times New Roman" w:cs="Times New Roman"/>
          <w:sz w:val="24"/>
          <w:szCs w:val="24"/>
        </w:rPr>
        <w:t xml:space="preserve"> C. Exercise therapy for chronic neck pain: Mechanisms </w:t>
      </w:r>
      <w:r>
        <w:rPr>
          <w:rFonts w:ascii="Times New Roman" w:eastAsia="Times New Roman" w:hAnsi="Times New Roman" w:cs="Times New Roman"/>
          <w:sz w:val="24"/>
          <w:szCs w:val="24"/>
        </w:rPr>
        <w:t xml:space="preserve">and efficacy. J </w:t>
      </w:r>
      <w:proofErr w:type="spellStart"/>
      <w:r>
        <w:rPr>
          <w:rFonts w:ascii="Times New Roman" w:eastAsia="Times New Roman" w:hAnsi="Times New Roman" w:cs="Times New Roman"/>
          <w:sz w:val="24"/>
          <w:szCs w:val="24"/>
        </w:rPr>
        <w:t>Orthop</w:t>
      </w:r>
      <w:proofErr w:type="spellEnd"/>
      <w:r>
        <w:rPr>
          <w:rFonts w:ascii="Times New Roman" w:eastAsia="Times New Roman" w:hAnsi="Times New Roman" w:cs="Times New Roman"/>
          <w:sz w:val="24"/>
          <w:szCs w:val="24"/>
        </w:rPr>
        <w:t xml:space="preserve"> Sports Phys </w:t>
      </w:r>
      <w:proofErr w:type="spellStart"/>
      <w:r>
        <w:rPr>
          <w:rFonts w:ascii="Times New Roman" w:eastAsia="Times New Roman" w:hAnsi="Times New Roman" w:cs="Times New Roman"/>
          <w:sz w:val="24"/>
          <w:szCs w:val="24"/>
        </w:rPr>
        <w:t>Ther</w:t>
      </w:r>
      <w:proofErr w:type="spellEnd"/>
      <w:r>
        <w:rPr>
          <w:rFonts w:ascii="Times New Roman" w:eastAsia="Times New Roman" w:hAnsi="Times New Roman" w:cs="Times New Roman"/>
          <w:sz w:val="24"/>
          <w:szCs w:val="24"/>
        </w:rPr>
        <w:t>. 2022;52(5):273‑283. doi:10.2519/jospt.2022.10654</w:t>
      </w:r>
    </w:p>
    <w:p w:rsidR="00DC5EF8" w:rsidRDefault="00B65E97">
      <w:pPr>
        <w:spacing w:line="36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t>
      </w:r>
    </w:p>
    <w:p w:rsidR="00DC5EF8" w:rsidRDefault="00B65E97">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color w:val="333333"/>
          <w:sz w:val="24"/>
          <w:szCs w:val="24"/>
          <w:highlight w:val="white"/>
        </w:rPr>
        <w:t>Gbiri</w:t>
      </w:r>
      <w:proofErr w:type="spellEnd"/>
      <w:r>
        <w:rPr>
          <w:rFonts w:ascii="Times New Roman" w:eastAsia="Times New Roman" w:hAnsi="Times New Roman" w:cs="Times New Roman"/>
          <w:color w:val="333333"/>
          <w:sz w:val="24"/>
          <w:szCs w:val="24"/>
          <w:highlight w:val="white"/>
        </w:rPr>
        <w:t xml:space="preserve">, C. A. O., &amp; </w:t>
      </w:r>
      <w:proofErr w:type="spellStart"/>
      <w:r>
        <w:rPr>
          <w:rFonts w:ascii="Times New Roman" w:eastAsia="Times New Roman" w:hAnsi="Times New Roman" w:cs="Times New Roman"/>
          <w:color w:val="333333"/>
          <w:sz w:val="24"/>
          <w:szCs w:val="24"/>
          <w:highlight w:val="white"/>
        </w:rPr>
        <w:t>Akumabor</w:t>
      </w:r>
      <w:proofErr w:type="spellEnd"/>
      <w:r>
        <w:rPr>
          <w:rFonts w:ascii="Times New Roman" w:eastAsia="Times New Roman" w:hAnsi="Times New Roman" w:cs="Times New Roman"/>
          <w:color w:val="333333"/>
          <w:sz w:val="24"/>
          <w:szCs w:val="24"/>
          <w:highlight w:val="white"/>
        </w:rPr>
        <w:t xml:space="preserve">, J. C. (2023). Effectiveness of Physiotherapy Interventions in the Management Male Sexual Dysfunction: A Systematic Review. </w:t>
      </w:r>
      <w:r>
        <w:rPr>
          <w:rFonts w:ascii="Times New Roman" w:eastAsia="Times New Roman" w:hAnsi="Times New Roman" w:cs="Times New Roman"/>
          <w:i/>
          <w:iCs/>
          <w:color w:val="333333"/>
          <w:sz w:val="24"/>
          <w:szCs w:val="24"/>
          <w:highlight w:val="white"/>
        </w:rPr>
        <w:t>International Journal of Sexual Health</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iCs/>
          <w:color w:val="333333"/>
          <w:sz w:val="24"/>
          <w:szCs w:val="24"/>
          <w:highlight w:val="white"/>
        </w:rPr>
        <w:t>35</w:t>
      </w:r>
      <w:r>
        <w:rPr>
          <w:rFonts w:ascii="Times New Roman" w:eastAsia="Times New Roman" w:hAnsi="Times New Roman" w:cs="Times New Roman"/>
          <w:color w:val="333333"/>
          <w:sz w:val="24"/>
          <w:szCs w:val="24"/>
          <w:highlight w:val="white"/>
        </w:rPr>
        <w:t xml:space="preserve">(1), 52–66. </w:t>
      </w:r>
      <w:hyperlink r:id="rId7">
        <w:r w:rsidR="00DC5EF8">
          <w:rPr>
            <w:rFonts w:ascii="Times New Roman" w:eastAsia="Times New Roman" w:hAnsi="Times New Roman" w:cs="Times New Roman"/>
            <w:color w:val="1155CC"/>
            <w:sz w:val="24"/>
            <w:szCs w:val="24"/>
            <w:highlight w:val="white"/>
            <w:u w:val="single"/>
          </w:rPr>
          <w:t>https://doi.org/10.1080/19317611.2022.2155288</w:t>
        </w:r>
      </w:hyperlink>
    </w:p>
    <w:p w:rsidR="00DC5EF8" w:rsidRDefault="00B65E97">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7. Hamed SA. Sexual Dysfunctions Induced by Pregabalin. Clin </w:t>
      </w:r>
      <w:proofErr w:type="spellStart"/>
      <w:r>
        <w:rPr>
          <w:rFonts w:ascii="Times New Roman" w:eastAsia="Times New Roman" w:hAnsi="Times New Roman" w:cs="Times New Roman"/>
          <w:color w:val="333333"/>
          <w:sz w:val="24"/>
          <w:szCs w:val="24"/>
          <w:highlight w:val="white"/>
        </w:rPr>
        <w:t>Neuropharmacol</w:t>
      </w:r>
      <w:proofErr w:type="spellEnd"/>
      <w:r>
        <w:rPr>
          <w:rFonts w:ascii="Times New Roman" w:eastAsia="Times New Roman" w:hAnsi="Times New Roman" w:cs="Times New Roman"/>
          <w:color w:val="333333"/>
          <w:sz w:val="24"/>
          <w:szCs w:val="24"/>
          <w:highlight w:val="white"/>
        </w:rPr>
        <w:t>. 2018 Jul‑Aug;4</w:t>
      </w:r>
      <w:r>
        <w:rPr>
          <w:rFonts w:ascii="Times New Roman" w:eastAsia="Times New Roman" w:hAnsi="Times New Roman" w:cs="Times New Roman"/>
          <w:color w:val="333333"/>
          <w:sz w:val="24"/>
          <w:szCs w:val="24"/>
          <w:highlight w:val="white"/>
        </w:rPr>
        <w:t>1(4):116‑122. doi:10.1097/WNF.0000000000000286.</w:t>
      </w:r>
    </w:p>
    <w:p w:rsidR="00DC5EF8" w:rsidRDefault="00DC5EF8">
      <w:pPr>
        <w:spacing w:line="360" w:lineRule="auto"/>
        <w:rPr>
          <w:rFonts w:ascii="Times New Roman" w:eastAsia="Times New Roman" w:hAnsi="Times New Roman" w:cs="Times New Roman"/>
          <w:color w:val="333333"/>
          <w:sz w:val="24"/>
          <w:szCs w:val="24"/>
          <w:highlight w:val="white"/>
        </w:rPr>
      </w:pPr>
    </w:p>
    <w:p w:rsidR="00DC5EF8" w:rsidRDefault="00B65E97">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8. Gagnier JJ, Kienle G, Altman DG, Moher D, Sox H, Riley DS, et al. The CARE guidelines: consensus-based clinical case reporting guideline development. J Med Case Rep. </w:t>
      </w:r>
      <w:proofErr w:type="gramStart"/>
      <w:r>
        <w:rPr>
          <w:rFonts w:ascii="Times New Roman" w:eastAsia="Times New Roman" w:hAnsi="Times New Roman" w:cs="Times New Roman"/>
          <w:color w:val="333333"/>
          <w:sz w:val="24"/>
          <w:szCs w:val="24"/>
          <w:highlight w:val="white"/>
        </w:rPr>
        <w:t>2013;7:223</w:t>
      </w:r>
      <w:proofErr w:type="gram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10.1186/1752-1947-7-2</w:t>
      </w:r>
      <w:r>
        <w:rPr>
          <w:rFonts w:ascii="Times New Roman" w:eastAsia="Times New Roman" w:hAnsi="Times New Roman" w:cs="Times New Roman"/>
          <w:color w:val="333333"/>
          <w:sz w:val="24"/>
          <w:szCs w:val="24"/>
          <w:highlight w:val="white"/>
        </w:rPr>
        <w:t>23.</w:t>
      </w:r>
    </w:p>
    <w:p w:rsidR="00DC5EF8" w:rsidRDefault="00DC5EF8">
      <w:pPr>
        <w:spacing w:line="360" w:lineRule="auto"/>
        <w:rPr>
          <w:rFonts w:ascii="Times New Roman" w:eastAsia="Times New Roman" w:hAnsi="Times New Roman" w:cs="Times New Roman"/>
          <w:color w:val="333333"/>
          <w:sz w:val="24"/>
          <w:szCs w:val="24"/>
          <w:highlight w:val="white"/>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Childs JD, Piva SR, Fritz JM. Responsiveness of the numeric pain rating scale in patients with low back pain. Spine (Phila Pa 1976). 2005;30(11):1331–1334. </w:t>
      </w:r>
      <w:proofErr w:type="gramStart"/>
      <w:r>
        <w:rPr>
          <w:rFonts w:ascii="Times New Roman" w:eastAsia="Times New Roman" w:hAnsi="Times New Roman" w:cs="Times New Roman"/>
          <w:sz w:val="24"/>
          <w:szCs w:val="24"/>
        </w:rPr>
        <w:t>doi:10.1097/01.brs</w:t>
      </w:r>
      <w:proofErr w:type="gramEnd"/>
      <w:r>
        <w:rPr>
          <w:rFonts w:ascii="Times New Roman" w:eastAsia="Times New Roman" w:hAnsi="Times New Roman" w:cs="Times New Roman"/>
          <w:sz w:val="24"/>
          <w:szCs w:val="24"/>
        </w:rPr>
        <w:t>.0000164099.92112.29</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MacDermid JC, Walton DM, Avery S, Blanchard A, </w:t>
      </w:r>
      <w:proofErr w:type="spellStart"/>
      <w:r>
        <w:rPr>
          <w:rFonts w:ascii="Times New Roman" w:eastAsia="Times New Roman" w:hAnsi="Times New Roman" w:cs="Times New Roman"/>
          <w:sz w:val="24"/>
          <w:szCs w:val="24"/>
        </w:rPr>
        <w:t>E</w:t>
      </w:r>
      <w:r>
        <w:rPr>
          <w:rFonts w:ascii="Times New Roman" w:eastAsia="Times New Roman" w:hAnsi="Times New Roman" w:cs="Times New Roman"/>
          <w:sz w:val="24"/>
          <w:szCs w:val="24"/>
        </w:rPr>
        <w:t>truw</w:t>
      </w:r>
      <w:proofErr w:type="spellEnd"/>
      <w:r>
        <w:rPr>
          <w:rFonts w:ascii="Times New Roman" w:eastAsia="Times New Roman" w:hAnsi="Times New Roman" w:cs="Times New Roman"/>
          <w:sz w:val="24"/>
          <w:szCs w:val="24"/>
        </w:rPr>
        <w:t xml:space="preserve"> E, McAlpine C, et al. Measurement properties of the Neck Disability Index: A systematic review. J </w:t>
      </w:r>
      <w:proofErr w:type="spellStart"/>
      <w:r>
        <w:rPr>
          <w:rFonts w:ascii="Times New Roman" w:eastAsia="Times New Roman" w:hAnsi="Times New Roman" w:cs="Times New Roman"/>
          <w:sz w:val="24"/>
          <w:szCs w:val="24"/>
        </w:rPr>
        <w:t>Orthop</w:t>
      </w:r>
      <w:proofErr w:type="spellEnd"/>
      <w:r>
        <w:rPr>
          <w:rFonts w:ascii="Times New Roman" w:eastAsia="Times New Roman" w:hAnsi="Times New Roman" w:cs="Times New Roman"/>
          <w:sz w:val="24"/>
          <w:szCs w:val="24"/>
        </w:rPr>
        <w:t xml:space="preserve"> Sports Phys </w:t>
      </w:r>
      <w:proofErr w:type="spellStart"/>
      <w:r>
        <w:rPr>
          <w:rFonts w:ascii="Times New Roman" w:eastAsia="Times New Roman" w:hAnsi="Times New Roman" w:cs="Times New Roman"/>
          <w:sz w:val="24"/>
          <w:szCs w:val="24"/>
        </w:rPr>
        <w:t>Ther</w:t>
      </w:r>
      <w:proofErr w:type="spellEnd"/>
      <w:r>
        <w:rPr>
          <w:rFonts w:ascii="Times New Roman" w:eastAsia="Times New Roman" w:hAnsi="Times New Roman" w:cs="Times New Roman"/>
          <w:sz w:val="24"/>
          <w:szCs w:val="24"/>
        </w:rPr>
        <w:t>. 2009;39(5):400–417. doi:10.2519/jospt.2009.2930</w:t>
      </w: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spellStart"/>
      <w:r>
        <w:rPr>
          <w:rFonts w:ascii="Times New Roman" w:eastAsia="Times New Roman" w:hAnsi="Times New Roman" w:cs="Times New Roman"/>
          <w:sz w:val="24"/>
          <w:szCs w:val="24"/>
        </w:rPr>
        <w:t>Kachhadiya</w:t>
      </w:r>
      <w:proofErr w:type="spellEnd"/>
      <w:r>
        <w:rPr>
          <w:rFonts w:ascii="Times New Roman" w:eastAsia="Times New Roman" w:hAnsi="Times New Roman" w:cs="Times New Roman"/>
          <w:sz w:val="24"/>
          <w:szCs w:val="24"/>
        </w:rPr>
        <w:t xml:space="preserve"> RG, Jani PA, Vaidya SB, Patel AR, Modi N. A review on advanced </w:t>
      </w:r>
      <w:r>
        <w:rPr>
          <w:rFonts w:ascii="Times New Roman" w:eastAsia="Times New Roman" w:hAnsi="Times New Roman" w:cs="Times New Roman"/>
          <w:sz w:val="24"/>
          <w:szCs w:val="24"/>
        </w:rPr>
        <w:t>physiotherapy treatment for cervical spondylosis. Int J Health Sci Res. 2023;13(3</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pages]. doi:10.52403/ijhsr.20230312.</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Kumar P, Singh R, Gupta S. Erectile dysfunction associated with long‑term use of centrally acting muscle relaxants and GABA analog</w:t>
      </w:r>
      <w:r>
        <w:rPr>
          <w:rFonts w:ascii="Times New Roman" w:eastAsia="Times New Roman" w:hAnsi="Times New Roman" w:cs="Times New Roman"/>
          <w:sz w:val="24"/>
          <w:szCs w:val="24"/>
        </w:rPr>
        <w:t xml:space="preserve">ues: A systematic review. Med Hypotheses. </w:t>
      </w:r>
      <w:proofErr w:type="gramStart"/>
      <w:r>
        <w:rPr>
          <w:rFonts w:ascii="Times New Roman" w:eastAsia="Times New Roman" w:hAnsi="Times New Roman" w:cs="Times New Roman"/>
          <w:sz w:val="24"/>
          <w:szCs w:val="24"/>
        </w:rPr>
        <w:t>2021;142:110147</w:t>
      </w:r>
      <w:proofErr w:type="gramEnd"/>
      <w:r>
        <w:rPr>
          <w:rFonts w:ascii="Times New Roman" w:eastAsia="Times New Roman" w:hAnsi="Times New Roman" w:cs="Times New Roman"/>
          <w:sz w:val="24"/>
          <w:szCs w:val="24"/>
        </w:rPr>
        <w:t xml:space="preserve">. </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Zhang H, Li Y, Wang X. </w:t>
      </w:r>
      <w:proofErr w:type="spellStart"/>
      <w:r>
        <w:rPr>
          <w:rFonts w:ascii="Times New Roman" w:eastAsia="Times New Roman" w:hAnsi="Times New Roman" w:cs="Times New Roman"/>
          <w:sz w:val="24"/>
          <w:szCs w:val="24"/>
        </w:rPr>
        <w:t>Neuropharmacologic</w:t>
      </w:r>
      <w:proofErr w:type="spellEnd"/>
      <w:r>
        <w:rPr>
          <w:rFonts w:ascii="Times New Roman" w:eastAsia="Times New Roman" w:hAnsi="Times New Roman" w:cs="Times New Roman"/>
          <w:sz w:val="24"/>
          <w:szCs w:val="24"/>
        </w:rPr>
        <w:t xml:space="preserve"> side effects of gabapentin and baclofen: Implications for sexual dysfunction. Front </w:t>
      </w:r>
      <w:proofErr w:type="spellStart"/>
      <w:r>
        <w:rPr>
          <w:rFonts w:ascii="Times New Roman" w:eastAsia="Times New Roman" w:hAnsi="Times New Roman" w:cs="Times New Roman"/>
          <w:sz w:val="24"/>
          <w:szCs w:val="24"/>
        </w:rPr>
        <w:t>Pharmacol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2022;13:893214</w:t>
      </w:r>
      <w:proofErr w:type="gramEnd"/>
      <w:r>
        <w:rPr>
          <w:rFonts w:ascii="Times New Roman" w:eastAsia="Times New Roman" w:hAnsi="Times New Roman" w:cs="Times New Roman"/>
          <w:sz w:val="24"/>
          <w:szCs w:val="24"/>
        </w:rPr>
        <w:t xml:space="preserve">. </w:t>
      </w: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Carter JR, Ray CA. Sympathetic </w:t>
      </w:r>
      <w:r>
        <w:rPr>
          <w:rFonts w:ascii="Times New Roman" w:eastAsia="Times New Roman" w:hAnsi="Times New Roman" w:cs="Times New Roman"/>
          <w:sz w:val="24"/>
          <w:szCs w:val="24"/>
        </w:rPr>
        <w:t xml:space="preserve">neural adaptations to exercise training in humans. </w:t>
      </w:r>
      <w:proofErr w:type="spellStart"/>
      <w:r>
        <w:rPr>
          <w:rFonts w:ascii="Times New Roman" w:eastAsia="Times New Roman" w:hAnsi="Times New Roman" w:cs="Times New Roman"/>
          <w:sz w:val="24"/>
          <w:szCs w:val="24"/>
        </w:rPr>
        <w:t>Auton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Neurosci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2015;188:36</w:t>
      </w:r>
      <w:proofErr w:type="gramEnd"/>
      <w:r>
        <w:rPr>
          <w:rFonts w:ascii="Times New Roman" w:eastAsia="Times New Roman" w:hAnsi="Times New Roman" w:cs="Times New Roman"/>
          <w:sz w:val="24"/>
          <w:szCs w:val="24"/>
        </w:rPr>
        <w:t>-43.</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r>
        <w:rPr>
          <w:rFonts w:ascii="Times New Roman" w:eastAsia="Times New Roman" w:hAnsi="Times New Roman" w:cs="Times New Roman"/>
          <w:sz w:val="24"/>
          <w:szCs w:val="24"/>
        </w:rPr>
        <w:t>Patoulias</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Katsimardou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Imprialos</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Doumas</w:t>
      </w:r>
      <w:proofErr w:type="spellEnd"/>
      <w:r>
        <w:rPr>
          <w:rFonts w:ascii="Times New Roman" w:eastAsia="Times New Roman" w:hAnsi="Times New Roman" w:cs="Times New Roman"/>
          <w:sz w:val="24"/>
          <w:szCs w:val="24"/>
        </w:rPr>
        <w:t xml:space="preserve"> M. Exercise, erectile dysfunction and co-morbidities. Rev Cardiovasc Med. 2022;23(9):1011-1020. doi:10.31083/</w:t>
      </w:r>
      <w:proofErr w:type="gramStart"/>
      <w:r>
        <w:rPr>
          <w:rFonts w:ascii="Times New Roman" w:eastAsia="Times New Roman" w:hAnsi="Times New Roman" w:cs="Times New Roman"/>
          <w:sz w:val="24"/>
          <w:szCs w:val="24"/>
        </w:rPr>
        <w:t>j.rcm</w:t>
      </w:r>
      <w:proofErr w:type="gramEnd"/>
      <w:r>
        <w:rPr>
          <w:rFonts w:ascii="Times New Roman" w:eastAsia="Times New Roman" w:hAnsi="Times New Roman" w:cs="Times New Roman"/>
          <w:sz w:val="24"/>
          <w:szCs w:val="24"/>
        </w:rPr>
        <w:t>230930</w:t>
      </w:r>
      <w:r>
        <w:rPr>
          <w:rFonts w:ascii="Times New Roman" w:eastAsia="Times New Roman" w:hAnsi="Times New Roman" w:cs="Times New Roman"/>
          <w:sz w:val="24"/>
          <w:szCs w:val="24"/>
        </w:rPr>
        <w:t>4</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roofErr w:type="spellStart"/>
      <w:r>
        <w:rPr>
          <w:rFonts w:ascii="Times New Roman" w:eastAsia="Times New Roman" w:hAnsi="Times New Roman" w:cs="Times New Roman"/>
          <w:sz w:val="24"/>
          <w:szCs w:val="24"/>
        </w:rPr>
        <w:t>Alghadir</w:t>
      </w:r>
      <w:proofErr w:type="spellEnd"/>
      <w:r>
        <w:rPr>
          <w:rFonts w:ascii="Times New Roman" w:eastAsia="Times New Roman" w:hAnsi="Times New Roman" w:cs="Times New Roman"/>
          <w:sz w:val="24"/>
          <w:szCs w:val="24"/>
        </w:rPr>
        <w:t xml:space="preserve"> AH, </w:t>
      </w:r>
      <w:proofErr w:type="spellStart"/>
      <w:r>
        <w:rPr>
          <w:rFonts w:ascii="Times New Roman" w:eastAsia="Times New Roman" w:hAnsi="Times New Roman" w:cs="Times New Roman"/>
          <w:sz w:val="24"/>
          <w:szCs w:val="24"/>
        </w:rPr>
        <w:t>Gabr</w:t>
      </w:r>
      <w:proofErr w:type="spellEnd"/>
      <w:r>
        <w:rPr>
          <w:rFonts w:ascii="Times New Roman" w:eastAsia="Times New Roman" w:hAnsi="Times New Roman" w:cs="Times New Roman"/>
          <w:sz w:val="24"/>
          <w:szCs w:val="24"/>
        </w:rPr>
        <w:t xml:space="preserve"> SA, Iqbal A. Effect of physical activity on erectile and sexual function in healthy males. J Men’s Health. 2024;20(9):61-70. doi:10.22514/jomh.2024.150</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Al‑Najjar Y, Al‑</w:t>
      </w:r>
      <w:proofErr w:type="spellStart"/>
      <w:r>
        <w:rPr>
          <w:rFonts w:ascii="Times New Roman" w:eastAsia="Times New Roman" w:hAnsi="Times New Roman" w:cs="Times New Roman"/>
          <w:sz w:val="24"/>
          <w:szCs w:val="24"/>
        </w:rPr>
        <w:t>Fatlawi</w:t>
      </w:r>
      <w:proofErr w:type="spellEnd"/>
      <w:r>
        <w:rPr>
          <w:rFonts w:ascii="Times New Roman" w:eastAsia="Times New Roman" w:hAnsi="Times New Roman" w:cs="Times New Roman"/>
          <w:sz w:val="24"/>
          <w:szCs w:val="24"/>
        </w:rPr>
        <w:t xml:space="preserve"> Z, Hassan M. Cryotherapy for neck pain: A systematic review. Pain Med. 2020;21(7):1300‑1312. doi:10.1093/pm/pnz039. Available: https://pmc.ncbi.nlm.nih.gov/articles/PMC8119547/</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 Wirth B, Jansen C, Dimo NK, et al. Effectiveness and safety of manual the</w:t>
      </w:r>
      <w:r>
        <w:rPr>
          <w:rFonts w:ascii="Times New Roman" w:eastAsia="Times New Roman" w:hAnsi="Times New Roman" w:cs="Times New Roman"/>
          <w:sz w:val="24"/>
          <w:szCs w:val="24"/>
        </w:rPr>
        <w:t xml:space="preserve">rapy for people with neck pain: an umbrella review. BMC Sports Sci Med </w:t>
      </w:r>
      <w:proofErr w:type="spellStart"/>
      <w:r>
        <w:rPr>
          <w:rFonts w:ascii="Times New Roman" w:eastAsia="Times New Roman" w:hAnsi="Times New Roman" w:cs="Times New Roman"/>
          <w:sz w:val="24"/>
          <w:szCs w:val="24"/>
        </w:rPr>
        <w:t>Rehabil</w:t>
      </w:r>
      <w:proofErr w:type="spellEnd"/>
      <w:r>
        <w:rPr>
          <w:rFonts w:ascii="Times New Roman" w:eastAsia="Times New Roman" w:hAnsi="Times New Roman" w:cs="Times New Roman"/>
          <w:sz w:val="24"/>
          <w:szCs w:val="24"/>
        </w:rPr>
        <w:t xml:space="preserve">. 2025;16(1):78. </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Lazcano J, Gómez‑Peña R, Martínez‑Pérez C, et al. Effectiveness of guided neck‑specific exercise therapy on pain and disability: A systematic review and me</w:t>
      </w:r>
      <w:r>
        <w:rPr>
          <w:rFonts w:ascii="Times New Roman" w:eastAsia="Times New Roman" w:hAnsi="Times New Roman" w:cs="Times New Roman"/>
          <w:sz w:val="24"/>
          <w:szCs w:val="24"/>
        </w:rPr>
        <w:t xml:space="preserve">ta‑analysis. Am J Phys Med </w:t>
      </w:r>
      <w:proofErr w:type="spellStart"/>
      <w:r>
        <w:rPr>
          <w:rFonts w:ascii="Times New Roman" w:eastAsia="Times New Roman" w:hAnsi="Times New Roman" w:cs="Times New Roman"/>
          <w:sz w:val="24"/>
          <w:szCs w:val="24"/>
        </w:rPr>
        <w:t>Rehabil</w:t>
      </w:r>
      <w:proofErr w:type="spellEnd"/>
      <w:r>
        <w:rPr>
          <w:rFonts w:ascii="Times New Roman" w:eastAsia="Times New Roman" w:hAnsi="Times New Roman" w:cs="Times New Roman"/>
          <w:sz w:val="24"/>
          <w:szCs w:val="24"/>
        </w:rPr>
        <w:t xml:space="preserve">. 2024;103(11):894‑904. </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Saini D, Verma K, Gupta N, et al. Stabilization exercises and neuromuscular control training in chronic neck pain: a systematic review. J </w:t>
      </w:r>
      <w:proofErr w:type="spellStart"/>
      <w:r>
        <w:rPr>
          <w:rFonts w:ascii="Times New Roman" w:eastAsia="Times New Roman" w:hAnsi="Times New Roman" w:cs="Times New Roman"/>
          <w:sz w:val="24"/>
          <w:szCs w:val="24"/>
        </w:rPr>
        <w:t>Bodyw</w:t>
      </w:r>
      <w:proofErr w:type="spellEnd"/>
      <w:r>
        <w:rPr>
          <w:rFonts w:ascii="Times New Roman" w:eastAsia="Times New Roman" w:hAnsi="Times New Roman" w:cs="Times New Roman"/>
          <w:sz w:val="24"/>
          <w:szCs w:val="24"/>
        </w:rPr>
        <w:t xml:space="preserve"> Mov </w:t>
      </w:r>
      <w:proofErr w:type="spellStart"/>
      <w:r>
        <w:rPr>
          <w:rFonts w:ascii="Times New Roman" w:eastAsia="Times New Roman" w:hAnsi="Times New Roman" w:cs="Times New Roman"/>
          <w:sz w:val="24"/>
          <w:szCs w:val="24"/>
        </w:rPr>
        <w:t>Ther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2025;34:112</w:t>
      </w:r>
      <w:proofErr w:type="gramEnd"/>
      <w:r>
        <w:rPr>
          <w:rFonts w:ascii="Times New Roman" w:eastAsia="Times New Roman" w:hAnsi="Times New Roman" w:cs="Times New Roman"/>
          <w:sz w:val="24"/>
          <w:szCs w:val="24"/>
        </w:rPr>
        <w:t xml:space="preserve">‑123. </w:t>
      </w:r>
    </w:p>
    <w:p w:rsidR="00DC5EF8" w:rsidRDefault="00DC5EF8">
      <w:pPr>
        <w:spacing w:line="360" w:lineRule="auto"/>
        <w:rPr>
          <w:rFonts w:ascii="Times New Roman" w:eastAsia="Times New Roman" w:hAnsi="Times New Roman" w:cs="Times New Roman"/>
          <w:sz w:val="24"/>
          <w:szCs w:val="24"/>
        </w:rPr>
      </w:pPr>
    </w:p>
    <w:p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Valenza‑Peña G,</w:t>
      </w:r>
      <w:r>
        <w:rPr>
          <w:rFonts w:ascii="Times New Roman" w:eastAsia="Times New Roman" w:hAnsi="Times New Roman" w:cs="Times New Roman"/>
          <w:sz w:val="24"/>
          <w:szCs w:val="24"/>
        </w:rPr>
        <w:t xml:space="preserve"> Martín‑</w:t>
      </w:r>
      <w:proofErr w:type="spellStart"/>
      <w:r>
        <w:rPr>
          <w:rFonts w:ascii="Times New Roman" w:eastAsia="Times New Roman" w:hAnsi="Times New Roman" w:cs="Times New Roman"/>
          <w:sz w:val="24"/>
          <w:szCs w:val="24"/>
        </w:rPr>
        <w:t>Núñez</w:t>
      </w:r>
      <w:proofErr w:type="spellEnd"/>
      <w:r>
        <w:rPr>
          <w:rFonts w:ascii="Times New Roman" w:eastAsia="Times New Roman" w:hAnsi="Times New Roman" w:cs="Times New Roman"/>
          <w:sz w:val="24"/>
          <w:szCs w:val="24"/>
        </w:rPr>
        <w:t xml:space="preserve"> J, Heredia‑</w:t>
      </w:r>
      <w:proofErr w:type="spellStart"/>
      <w:r>
        <w:rPr>
          <w:rFonts w:ascii="Times New Roman" w:eastAsia="Times New Roman" w:hAnsi="Times New Roman" w:cs="Times New Roman"/>
          <w:sz w:val="24"/>
          <w:szCs w:val="24"/>
        </w:rPr>
        <w:t>Ciuró</w:t>
      </w:r>
      <w:proofErr w:type="spellEnd"/>
      <w:r>
        <w:rPr>
          <w:rFonts w:ascii="Times New Roman" w:eastAsia="Times New Roman" w:hAnsi="Times New Roman" w:cs="Times New Roman"/>
          <w:sz w:val="24"/>
          <w:szCs w:val="24"/>
        </w:rPr>
        <w:t xml:space="preserve"> A, et al. Effectiveness of self‑care education for chronic neck pain: a systematic review and meta‑analysis. Healthcare (Basel). 2023;11(24):3161. doi:10.3390/healthcare11243161</w:t>
      </w: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p w:rsidR="00DC5EF8" w:rsidRDefault="00DC5EF8">
      <w:pPr>
        <w:spacing w:line="360" w:lineRule="auto"/>
        <w:rPr>
          <w:rFonts w:ascii="Times New Roman" w:eastAsia="Times New Roman" w:hAnsi="Times New Roman" w:cs="Times New Roman"/>
          <w:sz w:val="24"/>
          <w:szCs w:val="24"/>
        </w:rPr>
      </w:pPr>
    </w:p>
    <w:sectPr w:rsidR="00DC5EF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E97" w:rsidRDefault="00B65E97">
      <w:pPr>
        <w:spacing w:line="240" w:lineRule="auto"/>
      </w:pPr>
      <w:r>
        <w:separator/>
      </w:r>
    </w:p>
  </w:endnote>
  <w:endnote w:type="continuationSeparator" w:id="0">
    <w:p w:rsidR="00B65E97" w:rsidRDefault="00B65E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C25681-0245-459B-B3ED-8D8A1855F362}"/>
  </w:font>
  <w:font w:name="Cambria">
    <w:panose1 w:val="02040503050406030204"/>
    <w:charset w:val="00"/>
    <w:family w:val="roman"/>
    <w:pitch w:val="variable"/>
    <w:sig w:usb0="E00006FF" w:usb1="420024FF" w:usb2="02000000" w:usb3="00000000" w:csb0="0000019F" w:csb1="00000000"/>
    <w:embedRegular r:id="rId2" w:fontKey="{C2AEAB2E-FB46-491D-9250-17A8F45979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5F3" w:rsidRDefault="001E0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F8" w:rsidRDefault="00DC5E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5F3" w:rsidRDefault="001E0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E97" w:rsidRDefault="00B65E97">
      <w:pPr>
        <w:spacing w:line="240" w:lineRule="auto"/>
      </w:pPr>
      <w:r>
        <w:separator/>
      </w:r>
    </w:p>
  </w:footnote>
  <w:footnote w:type="continuationSeparator" w:id="0">
    <w:p w:rsidR="00B65E97" w:rsidRDefault="00B65E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5F3" w:rsidRDefault="001E05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F8" w:rsidRDefault="001E05F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5F3" w:rsidRDefault="001E05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83585"/>
    <w:multiLevelType w:val="hybridMultilevel"/>
    <w:tmpl w:val="B75E31AC"/>
    <w:lvl w:ilvl="0" w:tplc="20642136">
      <w:start w:val="1"/>
      <w:numFmt w:val="decimal"/>
      <w:lvlText w:val="%1."/>
      <w:lvlJc w:val="left"/>
      <w:pPr>
        <w:ind w:left="244" w:hanging="245"/>
        <w:jc w:val="left"/>
      </w:pPr>
      <w:rPr>
        <w:rFonts w:ascii="Arial MT" w:eastAsia="Arial MT" w:hAnsi="Arial MT" w:cs="Arial MT" w:hint="default"/>
        <w:b w:val="0"/>
        <w:bCs w:val="0"/>
        <w:i w:val="0"/>
        <w:iCs w:val="0"/>
        <w:spacing w:val="-1"/>
        <w:w w:val="89"/>
        <w:sz w:val="22"/>
        <w:szCs w:val="22"/>
        <w:lang w:val="en-US" w:eastAsia="en-US" w:bidi="ar-SA"/>
      </w:rPr>
    </w:lvl>
    <w:lvl w:ilvl="1" w:tplc="623E55D6">
      <w:numFmt w:val="bullet"/>
      <w:lvlText w:val="•"/>
      <w:lvlJc w:val="left"/>
      <w:pPr>
        <w:ind w:left="1152" w:hanging="245"/>
      </w:pPr>
      <w:rPr>
        <w:rFonts w:hint="default"/>
        <w:lang w:val="en-US" w:eastAsia="en-US" w:bidi="ar-SA"/>
      </w:rPr>
    </w:lvl>
    <w:lvl w:ilvl="2" w:tplc="7A14C7F2">
      <w:numFmt w:val="bullet"/>
      <w:lvlText w:val="•"/>
      <w:lvlJc w:val="left"/>
      <w:pPr>
        <w:ind w:left="2064" w:hanging="245"/>
      </w:pPr>
      <w:rPr>
        <w:rFonts w:hint="default"/>
        <w:lang w:val="en-US" w:eastAsia="en-US" w:bidi="ar-SA"/>
      </w:rPr>
    </w:lvl>
    <w:lvl w:ilvl="3" w:tplc="4C189A86">
      <w:numFmt w:val="bullet"/>
      <w:lvlText w:val="•"/>
      <w:lvlJc w:val="left"/>
      <w:pPr>
        <w:ind w:left="2976" w:hanging="245"/>
      </w:pPr>
      <w:rPr>
        <w:rFonts w:hint="default"/>
        <w:lang w:val="en-US" w:eastAsia="en-US" w:bidi="ar-SA"/>
      </w:rPr>
    </w:lvl>
    <w:lvl w:ilvl="4" w:tplc="A2DC6900">
      <w:numFmt w:val="bullet"/>
      <w:lvlText w:val="•"/>
      <w:lvlJc w:val="left"/>
      <w:pPr>
        <w:ind w:left="3888" w:hanging="245"/>
      </w:pPr>
      <w:rPr>
        <w:rFonts w:hint="default"/>
        <w:lang w:val="en-US" w:eastAsia="en-US" w:bidi="ar-SA"/>
      </w:rPr>
    </w:lvl>
    <w:lvl w:ilvl="5" w:tplc="8752FB22">
      <w:numFmt w:val="bullet"/>
      <w:lvlText w:val="•"/>
      <w:lvlJc w:val="left"/>
      <w:pPr>
        <w:ind w:left="4800" w:hanging="245"/>
      </w:pPr>
      <w:rPr>
        <w:rFonts w:hint="default"/>
        <w:lang w:val="en-US" w:eastAsia="en-US" w:bidi="ar-SA"/>
      </w:rPr>
    </w:lvl>
    <w:lvl w:ilvl="6" w:tplc="00343488">
      <w:numFmt w:val="bullet"/>
      <w:lvlText w:val="•"/>
      <w:lvlJc w:val="left"/>
      <w:pPr>
        <w:ind w:left="5712" w:hanging="245"/>
      </w:pPr>
      <w:rPr>
        <w:rFonts w:hint="default"/>
        <w:lang w:val="en-US" w:eastAsia="en-US" w:bidi="ar-SA"/>
      </w:rPr>
    </w:lvl>
    <w:lvl w:ilvl="7" w:tplc="B0E838AC">
      <w:numFmt w:val="bullet"/>
      <w:lvlText w:val="•"/>
      <w:lvlJc w:val="left"/>
      <w:pPr>
        <w:ind w:left="6624" w:hanging="245"/>
      </w:pPr>
      <w:rPr>
        <w:rFonts w:hint="default"/>
        <w:lang w:val="en-US" w:eastAsia="en-US" w:bidi="ar-SA"/>
      </w:rPr>
    </w:lvl>
    <w:lvl w:ilvl="8" w:tplc="6FCEA7D2">
      <w:numFmt w:val="bullet"/>
      <w:lvlText w:val="•"/>
      <w:lvlJc w:val="left"/>
      <w:pPr>
        <w:ind w:left="7536" w:hanging="245"/>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F8"/>
    <w:rsid w:val="001E05F3"/>
    <w:rsid w:val="003B588A"/>
    <w:rsid w:val="00482A0D"/>
    <w:rsid w:val="0054797D"/>
    <w:rsid w:val="0074077A"/>
    <w:rsid w:val="008C5F89"/>
    <w:rsid w:val="008D4532"/>
    <w:rsid w:val="00B65E97"/>
    <w:rsid w:val="00C2586D"/>
    <w:rsid w:val="00DC5EF8"/>
    <w:rsid w:val="00E63AD2"/>
    <w:rsid w:val="00F8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7C733C-2F63-4CCF-8B20-EBA8F1FC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C2586D"/>
    <w:rPr>
      <w:color w:val="0000FF" w:themeColor="hyperlink"/>
      <w:u w:val="single"/>
    </w:rPr>
  </w:style>
  <w:style w:type="character" w:styleId="UnresolvedMention">
    <w:name w:val="Unresolved Mention"/>
    <w:basedOn w:val="DefaultParagraphFont"/>
    <w:uiPriority w:val="99"/>
    <w:semiHidden/>
    <w:unhideWhenUsed/>
    <w:rsid w:val="00C2586D"/>
    <w:rPr>
      <w:color w:val="605E5C"/>
      <w:shd w:val="clear" w:color="auto" w:fill="E1DFDD"/>
    </w:rPr>
  </w:style>
  <w:style w:type="paragraph" w:styleId="Header">
    <w:name w:val="header"/>
    <w:basedOn w:val="Normal"/>
    <w:link w:val="HeaderChar"/>
    <w:uiPriority w:val="99"/>
    <w:unhideWhenUsed/>
    <w:rsid w:val="001E05F3"/>
    <w:pPr>
      <w:tabs>
        <w:tab w:val="center" w:pos="4680"/>
        <w:tab w:val="right" w:pos="9360"/>
      </w:tabs>
      <w:spacing w:line="240" w:lineRule="auto"/>
    </w:pPr>
  </w:style>
  <w:style w:type="character" w:customStyle="1" w:styleId="HeaderChar">
    <w:name w:val="Header Char"/>
    <w:basedOn w:val="DefaultParagraphFont"/>
    <w:link w:val="Header"/>
    <w:uiPriority w:val="99"/>
    <w:rsid w:val="001E05F3"/>
  </w:style>
  <w:style w:type="paragraph" w:styleId="Footer">
    <w:name w:val="footer"/>
    <w:basedOn w:val="Normal"/>
    <w:link w:val="FooterChar"/>
    <w:uiPriority w:val="99"/>
    <w:unhideWhenUsed/>
    <w:rsid w:val="001E05F3"/>
    <w:pPr>
      <w:tabs>
        <w:tab w:val="center" w:pos="4680"/>
        <w:tab w:val="right" w:pos="9360"/>
      </w:tabs>
      <w:spacing w:line="240" w:lineRule="auto"/>
    </w:pPr>
  </w:style>
  <w:style w:type="character" w:customStyle="1" w:styleId="FooterChar">
    <w:name w:val="Footer Char"/>
    <w:basedOn w:val="DefaultParagraphFont"/>
    <w:link w:val="Footer"/>
    <w:uiPriority w:val="99"/>
    <w:rsid w:val="001E0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1080/19317611.2022.2155288"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2804</Words>
  <Characters>15989</Characters>
  <Application>Microsoft Office Word</Application>
  <DocSecurity>0</DocSecurity>
  <Lines>133</Lines>
  <Paragraphs>37</Paragraphs>
  <ScaleCrop>false</ScaleCrop>
  <Company/>
  <LinksUpToDate>false</LinksUpToDate>
  <CharactersWithSpaces>18756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2026-02-13T10:45:00Z</dcterms:created>
  <dcterms:modified xsi:type="dcterms:W3CDTF">2026-02-14T07:12:00Z</dcterms:modified>
</cp:coreProperties>
</file>