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619D2" w14:textId="77777777" w:rsidR="009C1327" w:rsidRPr="00795155" w:rsidRDefault="007F1A7D">
      <w:pPr>
        <w:spacing w:line="360" w:lineRule="auto"/>
        <w:jc w:val="center"/>
        <w:rPr>
          <w:rFonts w:ascii="Times New Roman" w:eastAsia="SimSun" w:hAnsi="Times New Roman" w:cs="Times New Roman"/>
          <w:b/>
          <w:bCs/>
          <w:sz w:val="28"/>
          <w:szCs w:val="28"/>
        </w:rPr>
      </w:pPr>
      <w:r w:rsidRPr="00795155">
        <w:rPr>
          <w:rFonts w:ascii="Times New Roman" w:eastAsia="SimSun" w:hAnsi="Times New Roman" w:cs="Times New Roman"/>
          <w:b/>
          <w:bCs/>
          <w:sz w:val="28"/>
          <w:szCs w:val="28"/>
        </w:rPr>
        <w:t>Integrated Application of NAA, PGPR and Micronutrients to Reduce Panicle Malformation and Improve Floral Health in Mango (</w:t>
      </w:r>
      <w:r w:rsidRPr="00795155">
        <w:rPr>
          <w:rFonts w:ascii="Times New Roman" w:eastAsia="SimSun" w:hAnsi="Times New Roman" w:cs="Times New Roman"/>
          <w:b/>
          <w:bCs/>
          <w:i/>
          <w:iCs/>
          <w:sz w:val="28"/>
          <w:szCs w:val="28"/>
        </w:rPr>
        <w:t>Mangifera indica</w:t>
      </w:r>
      <w:r w:rsidRPr="00795155">
        <w:rPr>
          <w:rFonts w:ascii="Times New Roman" w:eastAsia="SimSun" w:hAnsi="Times New Roman" w:cs="Times New Roman"/>
          <w:b/>
          <w:bCs/>
          <w:sz w:val="28"/>
          <w:szCs w:val="28"/>
        </w:rPr>
        <w:t xml:space="preserve"> L.)</w:t>
      </w:r>
    </w:p>
    <w:p w14:paraId="601755F9" w14:textId="0E993268" w:rsidR="009C1327" w:rsidRDefault="009C1327">
      <w:pPr>
        <w:jc w:val="center"/>
        <w:rPr>
          <w:rFonts w:ascii="Times New Roman" w:eastAsia="SimSun" w:hAnsi="Times New Roman" w:cs="Times New Roman"/>
          <w:b/>
          <w:bCs/>
          <w:sz w:val="24"/>
          <w:szCs w:val="24"/>
        </w:rPr>
      </w:pPr>
    </w:p>
    <w:p w14:paraId="262F713C" w14:textId="77777777" w:rsidR="00526038" w:rsidRDefault="00526038">
      <w:pPr>
        <w:jc w:val="center"/>
        <w:rPr>
          <w:rFonts w:ascii="Times New Roman" w:eastAsia="SimSun" w:hAnsi="Times New Roman" w:cs="Times New Roman"/>
          <w:b/>
          <w:bCs/>
          <w:sz w:val="24"/>
          <w:szCs w:val="24"/>
        </w:rPr>
      </w:pPr>
      <w:bookmarkStart w:id="0" w:name="_GoBack"/>
      <w:bookmarkEnd w:id="0"/>
    </w:p>
    <w:p w14:paraId="7A4A12EF" w14:textId="77777777" w:rsidR="009C1327" w:rsidRDefault="007F1A7D">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ABSTRACT</w:t>
      </w:r>
    </w:p>
    <w:p w14:paraId="06C56718" w14:textId="77777777" w:rsidR="009C1327" w:rsidRDefault="007F1A7D">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b/>
        <w:t>The present investigation was conducted at the Horticulture Complex, Department of Horticulture, JNKVV, Jabalpur (M.P.) to evaluate the integrated effect of Naphthalene Acetic Acid (NAA), Plant Growth-Promoting Rhizobacteria (PGPR – Pseudomonas fluores</w:t>
      </w:r>
      <w:r w:rsidR="003A48C5">
        <w:rPr>
          <w:rFonts w:ascii="Times New Roman" w:eastAsia="SimSun" w:hAnsi="Times New Roman" w:cs="Times New Roman"/>
          <w:sz w:val="24"/>
          <w:szCs w:val="24"/>
        </w:rPr>
        <w:t>cens), and micronutrients (ZnSO</w:t>
      </w:r>
      <w:r w:rsidR="003A48C5" w:rsidRPr="003A48C5">
        <w:rPr>
          <w:rFonts w:ascii="Times New Roman" w:eastAsia="SimSun" w:hAnsi="Times New Roman" w:cs="Times New Roman"/>
          <w:sz w:val="24"/>
          <w:szCs w:val="24"/>
          <w:vertAlign w:val="subscript"/>
        </w:rPr>
        <w:t>4</w:t>
      </w:r>
      <w:r>
        <w:rPr>
          <w:rFonts w:ascii="Times New Roman" w:eastAsia="SimSun" w:hAnsi="Times New Roman" w:cs="Times New Roman"/>
          <w:sz w:val="24"/>
          <w:szCs w:val="24"/>
        </w:rPr>
        <w:t xml:space="preserve"> + borax) on reducing panicle malformation and improving floral health in mango cv. Amrapali. The experiment was laid out in a factorial randomized block design with three replications and 27 treatment combinations comprising three levels of PGPR (0%, 0.5%, and 1%), NAA (0, 20, and 40 ppm), and micronutrients (0%, 0.5%, and 1%). Results revealed that the integrated application of 1% PGPR, 40 ppm NAA, and 1% micronutrients (</w:t>
      </w:r>
      <w:r w:rsidR="003A48C5">
        <w:rPr>
          <w:rFonts w:ascii="Times New Roman" w:eastAsia="SimSun" w:hAnsi="Times New Roman" w:cs="Times New Roman"/>
          <w:sz w:val="24"/>
          <w:szCs w:val="24"/>
        </w:rPr>
        <w:t>P</w:t>
      </w:r>
      <w:r w:rsidR="003A48C5" w:rsidRPr="0025229A">
        <w:rPr>
          <w:rFonts w:ascii="Times New Roman" w:eastAsia="SimSun" w:hAnsi="Times New Roman" w:cs="Times New Roman"/>
          <w:sz w:val="24"/>
          <w:szCs w:val="24"/>
          <w:vertAlign w:val="subscript"/>
        </w:rPr>
        <w:t>2</w:t>
      </w:r>
      <w:r w:rsidR="003A48C5">
        <w:rPr>
          <w:rFonts w:ascii="Times New Roman" w:eastAsia="SimSun" w:hAnsi="Times New Roman" w:cs="Times New Roman"/>
          <w:sz w:val="24"/>
          <w:szCs w:val="24"/>
        </w:rPr>
        <w:t>N</w:t>
      </w:r>
      <w:r w:rsidR="003A48C5" w:rsidRPr="0025229A">
        <w:rPr>
          <w:rFonts w:ascii="Times New Roman" w:eastAsia="SimSun" w:hAnsi="Times New Roman" w:cs="Times New Roman"/>
          <w:sz w:val="24"/>
          <w:szCs w:val="24"/>
          <w:vertAlign w:val="subscript"/>
        </w:rPr>
        <w:t>2</w:t>
      </w:r>
      <w:r w:rsidR="003A48C5">
        <w:rPr>
          <w:rFonts w:ascii="Times New Roman" w:eastAsia="SimSun" w:hAnsi="Times New Roman" w:cs="Times New Roman"/>
          <w:sz w:val="24"/>
          <w:szCs w:val="24"/>
        </w:rPr>
        <w:t>M</w:t>
      </w:r>
      <w:r w:rsidR="003A48C5" w:rsidRPr="0025229A">
        <w:rPr>
          <w:rFonts w:ascii="Times New Roman" w:eastAsia="SimSun" w:hAnsi="Times New Roman" w:cs="Times New Roman"/>
          <w:sz w:val="24"/>
          <w:szCs w:val="24"/>
          <w:vertAlign w:val="subscript"/>
        </w:rPr>
        <w:t>2</w:t>
      </w:r>
      <w:r>
        <w:rPr>
          <w:rFonts w:ascii="Times New Roman" w:eastAsia="SimSun" w:hAnsi="Times New Roman" w:cs="Times New Roman"/>
          <w:sz w:val="24"/>
          <w:szCs w:val="24"/>
        </w:rPr>
        <w:t>) was most effective in minimizing malformation, recording the lowest number of malformed panicles (1.88/m²) and the least malformation percentage (9.71%), while also producing the highest number of healthy panicles (15.97/m²). In con</w:t>
      </w:r>
      <w:r w:rsidR="003A48C5">
        <w:rPr>
          <w:rFonts w:ascii="Times New Roman" w:eastAsia="SimSun" w:hAnsi="Times New Roman" w:cs="Times New Roman"/>
          <w:sz w:val="24"/>
          <w:szCs w:val="24"/>
        </w:rPr>
        <w:t>trast, the untreated control (P</w:t>
      </w:r>
      <w:r w:rsidR="003A48C5" w:rsidRPr="003A48C5">
        <w:rPr>
          <w:rFonts w:ascii="Times New Roman" w:eastAsia="SimSun" w:hAnsi="Times New Roman" w:cs="Times New Roman"/>
          <w:sz w:val="24"/>
          <w:szCs w:val="24"/>
          <w:vertAlign w:val="subscript"/>
        </w:rPr>
        <w:t>0</w:t>
      </w:r>
      <w:r w:rsidR="003A48C5">
        <w:rPr>
          <w:rFonts w:ascii="Times New Roman" w:eastAsia="SimSun" w:hAnsi="Times New Roman" w:cs="Times New Roman"/>
          <w:sz w:val="24"/>
          <w:szCs w:val="24"/>
        </w:rPr>
        <w:t>N</w:t>
      </w:r>
      <w:r w:rsidR="003A48C5" w:rsidRPr="003A48C5">
        <w:rPr>
          <w:rFonts w:ascii="Times New Roman" w:eastAsia="SimSun" w:hAnsi="Times New Roman" w:cs="Times New Roman"/>
          <w:sz w:val="24"/>
          <w:szCs w:val="24"/>
          <w:vertAlign w:val="subscript"/>
        </w:rPr>
        <w:t>0</w:t>
      </w:r>
      <w:r w:rsidR="003A48C5">
        <w:rPr>
          <w:rFonts w:ascii="Times New Roman" w:eastAsia="SimSun" w:hAnsi="Times New Roman" w:cs="Times New Roman"/>
          <w:sz w:val="24"/>
          <w:szCs w:val="24"/>
        </w:rPr>
        <w:t>M</w:t>
      </w:r>
      <w:r w:rsidR="003A48C5" w:rsidRPr="003A48C5">
        <w:rPr>
          <w:rFonts w:ascii="Times New Roman" w:eastAsia="SimSun" w:hAnsi="Times New Roman" w:cs="Times New Roman"/>
          <w:sz w:val="24"/>
          <w:szCs w:val="24"/>
          <w:vertAlign w:val="subscript"/>
        </w:rPr>
        <w:t>0</w:t>
      </w:r>
      <w:r>
        <w:rPr>
          <w:rFonts w:ascii="Times New Roman" w:eastAsia="SimSun" w:hAnsi="Times New Roman" w:cs="Times New Roman"/>
          <w:sz w:val="24"/>
          <w:szCs w:val="24"/>
        </w:rPr>
        <w:t xml:space="preserve">) exhibited the maximum malformation (3.94/m²) and the minimum healthy panicles (11.63/m²). The superior performance of </w:t>
      </w:r>
      <w:r w:rsidR="003A48C5">
        <w:rPr>
          <w:rFonts w:ascii="Times New Roman" w:eastAsia="SimSun" w:hAnsi="Times New Roman" w:cs="Times New Roman"/>
          <w:sz w:val="24"/>
          <w:szCs w:val="24"/>
        </w:rPr>
        <w:t>P</w:t>
      </w:r>
      <w:r w:rsidR="003A48C5" w:rsidRPr="0025229A">
        <w:rPr>
          <w:rFonts w:ascii="Times New Roman" w:eastAsia="SimSun" w:hAnsi="Times New Roman" w:cs="Times New Roman"/>
          <w:sz w:val="24"/>
          <w:szCs w:val="24"/>
          <w:vertAlign w:val="subscript"/>
        </w:rPr>
        <w:t>2</w:t>
      </w:r>
      <w:r w:rsidR="003A48C5">
        <w:rPr>
          <w:rFonts w:ascii="Times New Roman" w:eastAsia="SimSun" w:hAnsi="Times New Roman" w:cs="Times New Roman"/>
          <w:sz w:val="24"/>
          <w:szCs w:val="24"/>
        </w:rPr>
        <w:t>N</w:t>
      </w:r>
      <w:r w:rsidR="003A48C5" w:rsidRPr="0025229A">
        <w:rPr>
          <w:rFonts w:ascii="Times New Roman" w:eastAsia="SimSun" w:hAnsi="Times New Roman" w:cs="Times New Roman"/>
          <w:sz w:val="24"/>
          <w:szCs w:val="24"/>
          <w:vertAlign w:val="subscript"/>
        </w:rPr>
        <w:t>2</w:t>
      </w:r>
      <w:r w:rsidR="003A48C5">
        <w:rPr>
          <w:rFonts w:ascii="Times New Roman" w:eastAsia="SimSun" w:hAnsi="Times New Roman" w:cs="Times New Roman"/>
          <w:sz w:val="24"/>
          <w:szCs w:val="24"/>
        </w:rPr>
        <w:t>M</w:t>
      </w:r>
      <w:r w:rsidR="003A48C5" w:rsidRPr="0025229A">
        <w:rPr>
          <w:rFonts w:ascii="Times New Roman" w:eastAsia="SimSun" w:hAnsi="Times New Roman" w:cs="Times New Roman"/>
          <w:sz w:val="24"/>
          <w:szCs w:val="24"/>
          <w:vertAlign w:val="subscript"/>
        </w:rPr>
        <w:t>2</w:t>
      </w:r>
      <w:r w:rsidR="003A48C5">
        <w:rPr>
          <w:rFonts w:ascii="Times New Roman" w:eastAsia="SimSun" w:hAnsi="Times New Roman" w:cs="Times New Roman"/>
          <w:sz w:val="24"/>
          <w:szCs w:val="24"/>
          <w:vertAlign w:val="subscript"/>
        </w:rPr>
        <w:t xml:space="preserve"> </w:t>
      </w:r>
      <w:r>
        <w:rPr>
          <w:rFonts w:ascii="Times New Roman" w:eastAsia="SimSun" w:hAnsi="Times New Roman" w:cs="Times New Roman"/>
          <w:sz w:val="24"/>
          <w:szCs w:val="24"/>
        </w:rPr>
        <w:t>can be attributed to NAA-induced hormonal balance, PGPR-mediated suppression of Fusarium spp., and improved reproductive physiology through Zn and B supplementation. The study demonstrates that the combined foliar application of NAA, PGPR, and micronutrients generates a synergistic effect, significantly reducing panicle malformation and enhancing floral health, thereby offering a sustainable and effective strategy for improving productivity in mango cv. Amrapali.</w:t>
      </w:r>
    </w:p>
    <w:p w14:paraId="5E10B864" w14:textId="77777777" w:rsidR="00795155" w:rsidRDefault="00795155">
      <w:pPr>
        <w:spacing w:line="360" w:lineRule="auto"/>
        <w:jc w:val="both"/>
        <w:rPr>
          <w:rFonts w:ascii="Times New Roman" w:eastAsia="SimSun" w:hAnsi="Times New Roman" w:cs="Times New Roman"/>
          <w:sz w:val="24"/>
          <w:szCs w:val="24"/>
        </w:rPr>
      </w:pPr>
    </w:p>
    <w:p w14:paraId="427EC8C4" w14:textId="77777777" w:rsidR="009C1327" w:rsidRDefault="007F1A7D">
      <w:pPr>
        <w:spacing w:line="360" w:lineRule="auto"/>
        <w:jc w:val="both"/>
        <w:rPr>
          <w:rFonts w:ascii="Times New Roman" w:eastAsia="SimSun" w:hAnsi="Times New Roman" w:cs="Times New Roman"/>
          <w:sz w:val="24"/>
          <w:szCs w:val="24"/>
        </w:rPr>
      </w:pPr>
      <w:r w:rsidRPr="003A48C5">
        <w:rPr>
          <w:rFonts w:ascii="Times New Roman" w:eastAsia="SimSun" w:hAnsi="Times New Roman" w:cs="Times New Roman"/>
          <w:b/>
          <w:bCs/>
          <w:sz w:val="24"/>
          <w:szCs w:val="24"/>
        </w:rPr>
        <w:t>Keywords:</w:t>
      </w:r>
      <w:r>
        <w:rPr>
          <w:rFonts w:ascii="Times New Roman" w:eastAsia="SimSun" w:hAnsi="Times New Roman" w:cs="Times New Roman"/>
          <w:sz w:val="24"/>
          <w:szCs w:val="24"/>
        </w:rPr>
        <w:t xml:space="preserve"> Mangifera indica, NAA, Pseudomonas fluorescens, Zinc, Boron, Panicle Malformation, Floral Health, Sustainable Horticulture</w:t>
      </w:r>
    </w:p>
    <w:p w14:paraId="3EFC726C" w14:textId="77777777" w:rsidR="009C1327" w:rsidRDefault="007F1A7D">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INTRODUCTION </w:t>
      </w:r>
    </w:p>
    <w:p w14:paraId="75BE74CB" w14:textId="77777777" w:rsidR="009C1327" w:rsidRDefault="007F1A7D">
      <w:pPr>
        <w:pStyle w:val="NormalWeb"/>
        <w:spacing w:beforeAutospacing="0" w:afterAutospacing="0" w:line="360" w:lineRule="auto"/>
        <w:jc w:val="both"/>
      </w:pPr>
      <w:r>
        <w:rPr>
          <w:rFonts w:eastAsia="Segoe UI" w:cs="Times New Roman"/>
          <w:color w:val="0F1115"/>
          <w:shd w:val="clear" w:color="auto" w:fill="FFFFFF"/>
        </w:rPr>
        <w:tab/>
      </w:r>
      <w:r>
        <w:t>Mango (</w:t>
      </w:r>
      <w:r>
        <w:rPr>
          <w:rStyle w:val="Emphasis"/>
        </w:rPr>
        <w:t>Mangifera indica</w:t>
      </w:r>
      <w:r>
        <w:t xml:space="preserve"> L.) is one of the most ancient, commercially significant, and widely cultivated fruit crops in tropical and subtropical regions of the world. India is the largest global producer, contributing nearly 41% of total world mango production (NHB, 2023). Despite its economic importance, productivity of </w:t>
      </w:r>
      <w:r>
        <w:lastRenderedPageBreak/>
        <w:t xml:space="preserve">mango orchards remains constrained by several physiological and pathological disorders, among which </w:t>
      </w:r>
      <w:r>
        <w:rPr>
          <w:rStyle w:val="Strong"/>
          <w:b w:val="0"/>
          <w:bCs w:val="0"/>
        </w:rPr>
        <w:t>mango panicle malformation</w:t>
      </w:r>
      <w:r>
        <w:t xml:space="preserve"> is considered the most destructive and yield‐limiting problem. Economic losses due to malformation have been reported as high as </w:t>
      </w:r>
      <w:r>
        <w:rPr>
          <w:rStyle w:val="Strong"/>
          <w:b w:val="0"/>
          <w:bCs w:val="0"/>
        </w:rPr>
        <w:t>50–80%</w:t>
      </w:r>
      <w:r>
        <w:t xml:space="preserve"> in severely affected orchards (Kumar </w:t>
      </w:r>
      <w:r>
        <w:rPr>
          <w:i/>
          <w:iCs/>
        </w:rPr>
        <w:t>et al</w:t>
      </w:r>
      <w:r>
        <w:t>., 2011; Chakrabarti, 2018).</w:t>
      </w:r>
    </w:p>
    <w:p w14:paraId="26938E9A" w14:textId="77777777" w:rsidR="009C1327" w:rsidRDefault="007F1A7D">
      <w:pPr>
        <w:pStyle w:val="NormalWeb"/>
        <w:spacing w:beforeAutospacing="0" w:afterAutospacing="0" w:line="360" w:lineRule="auto"/>
        <w:jc w:val="both"/>
      </w:pPr>
      <w:r>
        <w:tab/>
        <w:t>Panicle malformation in mango appears in two forms—</w:t>
      </w:r>
      <w:r>
        <w:rPr>
          <w:rStyle w:val="Strong"/>
          <w:b w:val="0"/>
          <w:bCs w:val="0"/>
        </w:rPr>
        <w:t>vegetative malformation</w:t>
      </w:r>
      <w:r>
        <w:t xml:space="preserve"> and </w:t>
      </w:r>
      <w:r>
        <w:rPr>
          <w:rStyle w:val="Strong"/>
          <w:b w:val="0"/>
          <w:bCs w:val="0"/>
        </w:rPr>
        <w:t>floral malformation</w:t>
      </w:r>
      <w:r>
        <w:t xml:space="preserve">, the latter leading to reduced flowering, increased sterile panicles, and poor fruit set (Singh &amp; Ram, 2017). Although its etiology is complex, the disorder is influenced by </w:t>
      </w:r>
      <w:r>
        <w:rPr>
          <w:rStyle w:val="Strong"/>
          <w:b w:val="0"/>
          <w:bCs w:val="0"/>
        </w:rPr>
        <w:t>hormonal imbalance</w:t>
      </w:r>
      <w:r>
        <w:t xml:space="preserve">, </w:t>
      </w:r>
      <w:r>
        <w:rPr>
          <w:rStyle w:val="Strong"/>
          <w:b w:val="0"/>
          <w:bCs w:val="0"/>
        </w:rPr>
        <w:t>nutritional deficiencies</w:t>
      </w:r>
      <w:r>
        <w:t xml:space="preserve">, and </w:t>
      </w:r>
      <w:r>
        <w:rPr>
          <w:rStyle w:val="Strong"/>
          <w:b w:val="0"/>
          <w:bCs w:val="0"/>
        </w:rPr>
        <w:t>pathogenic involvement</w:t>
      </w:r>
      <w:r>
        <w:t xml:space="preserve">, particularly </w:t>
      </w:r>
      <w:r>
        <w:rPr>
          <w:rStyle w:val="Emphasis"/>
        </w:rPr>
        <w:t xml:space="preserve">Fusarium </w:t>
      </w:r>
      <w:proofErr w:type="spellStart"/>
      <w:r>
        <w:rPr>
          <w:rStyle w:val="Emphasis"/>
        </w:rPr>
        <w:t>mangiferae</w:t>
      </w:r>
      <w:proofErr w:type="spellEnd"/>
      <w:r>
        <w:t xml:space="preserve"> (</w:t>
      </w:r>
      <w:proofErr w:type="spellStart"/>
      <w:r>
        <w:t>Ploetz</w:t>
      </w:r>
      <w:proofErr w:type="spellEnd"/>
      <w:r>
        <w:t xml:space="preserve">, 2001; Freeman </w:t>
      </w:r>
      <w:r>
        <w:rPr>
          <w:i/>
          <w:iCs/>
        </w:rPr>
        <w:t>et al</w:t>
      </w:r>
      <w:r>
        <w:t xml:space="preserve">., 2014). Imbalances in endogenous auxins, </w:t>
      </w:r>
      <w:proofErr w:type="spellStart"/>
      <w:r>
        <w:t>cytokinins</w:t>
      </w:r>
      <w:proofErr w:type="spellEnd"/>
      <w:r>
        <w:t>, and ethylene have been closely linked with malformed panicles (Singh, 2016), which makes the use of appropriate plant growth regulators essential for management.</w:t>
      </w:r>
    </w:p>
    <w:p w14:paraId="05D2715B" w14:textId="77777777" w:rsidR="009C1327" w:rsidRDefault="007F1A7D">
      <w:pPr>
        <w:pStyle w:val="NormalWeb"/>
        <w:spacing w:beforeAutospacing="0" w:afterAutospacing="0" w:line="360" w:lineRule="auto"/>
        <w:jc w:val="both"/>
      </w:pPr>
      <w:r>
        <w:tab/>
      </w:r>
      <w:r>
        <w:rPr>
          <w:rStyle w:val="Strong"/>
          <w:b w:val="0"/>
          <w:bCs w:val="0"/>
        </w:rPr>
        <w:t>Naphthalene acetic acid (NAA)</w:t>
      </w:r>
      <w:r>
        <w:t xml:space="preserve">, a synthetic auxin, plays a key role in regulating apical dominance, floral development, and reproductive balance. Exogenous NAA application has been shown to suppress excessive vegetative growth, improve panicle emergence, and reduce the incidence of malformed tissues by restoring hormonal equilibrium (Majumder </w:t>
      </w:r>
      <w:r>
        <w:rPr>
          <w:i/>
          <w:iCs/>
        </w:rPr>
        <w:t>et al</w:t>
      </w:r>
      <w:r>
        <w:t xml:space="preserve">., 2022; Das </w:t>
      </w:r>
      <w:r>
        <w:rPr>
          <w:i/>
          <w:iCs/>
        </w:rPr>
        <w:t>et al</w:t>
      </w:r>
      <w:r>
        <w:t>., 2019).</w:t>
      </w:r>
    </w:p>
    <w:p w14:paraId="75536781" w14:textId="77777777" w:rsidR="009C1327" w:rsidRDefault="007F1A7D">
      <w:pPr>
        <w:pStyle w:val="NormalWeb"/>
        <w:spacing w:beforeAutospacing="0" w:afterAutospacing="0" w:line="360" w:lineRule="auto"/>
        <w:jc w:val="both"/>
      </w:pPr>
      <w:r>
        <w:tab/>
        <w:t xml:space="preserve">In recent years, </w:t>
      </w:r>
      <w:r>
        <w:rPr>
          <w:rStyle w:val="Strong"/>
          <w:b w:val="0"/>
          <w:bCs w:val="0"/>
        </w:rPr>
        <w:t>plant growth-promoting rhizobacteria (PGPR)</w:t>
      </w:r>
      <w:r>
        <w:t xml:space="preserve">, particularly </w:t>
      </w:r>
      <w:r>
        <w:rPr>
          <w:rStyle w:val="Strong"/>
          <w:b w:val="0"/>
          <w:bCs w:val="0"/>
        </w:rPr>
        <w:t>Pseudomonas spp.</w:t>
      </w:r>
      <w:r>
        <w:t xml:space="preserve">, have emerged as a promising eco-friendly tool in perennial fruit crops. </w:t>
      </w:r>
      <w:r>
        <w:rPr>
          <w:rStyle w:val="Emphasis"/>
        </w:rPr>
        <w:t>Pseudomonas fluorescens</w:t>
      </w:r>
      <w:r>
        <w:t xml:space="preserve"> and related species enhance nutrient uptake, suppress pathogenic fungi, produce phytohormones, and modulate plant defense responses (Kumar </w:t>
      </w:r>
      <w:r>
        <w:rPr>
          <w:i/>
          <w:iCs/>
        </w:rPr>
        <w:t>et al</w:t>
      </w:r>
      <w:r>
        <w:t xml:space="preserve">., 2020). Their ability to reduce the severity of mango malformation has been attributed to antagonism against </w:t>
      </w:r>
      <w:r>
        <w:rPr>
          <w:rStyle w:val="Emphasis"/>
        </w:rPr>
        <w:t>Fusarium</w:t>
      </w:r>
      <w:r>
        <w:t>, improved nitrogen utilization, and enhanced physiological vigor of flowering shoots (Singh &amp; Sharma, 2018).</w:t>
      </w:r>
    </w:p>
    <w:p w14:paraId="1BB6A997" w14:textId="77777777" w:rsidR="009C1327" w:rsidRDefault="007F1A7D">
      <w:pPr>
        <w:pStyle w:val="NormalWeb"/>
        <w:spacing w:beforeAutospacing="0" w:afterAutospacing="0" w:line="360" w:lineRule="auto"/>
        <w:jc w:val="both"/>
      </w:pPr>
      <w:r>
        <w:tab/>
        <w:t xml:space="preserve">Similarly, </w:t>
      </w:r>
      <w:r>
        <w:rPr>
          <w:rStyle w:val="Strong"/>
          <w:b w:val="0"/>
          <w:bCs w:val="0"/>
        </w:rPr>
        <w:t>micronutrients such as Zinc (Zn) and Boron (B)</w:t>
      </w:r>
      <w:r>
        <w:t xml:space="preserve"> are crucial for high-quality floral development and reproductive success in mango. Zinc activates auxin metabolism, enzymatic functions, and protein synthesis, whereas boron is essential for pollen germination, pollen tube growth, and cell wall formation. Deficiencies in Zn and B are strongly associated with malformed panicles and poor fruit set (Sharma &amp; Dhillon, 2019; Wani </w:t>
      </w:r>
      <w:r>
        <w:rPr>
          <w:i/>
        </w:rPr>
        <w:t>et al</w:t>
      </w:r>
      <w:r>
        <w:t>., 2021). Their integrated application has been shown to improve floral health, increase the proportion of healthy panicles, and enhance fruiting efficiency.</w:t>
      </w:r>
    </w:p>
    <w:p w14:paraId="4994C4B8" w14:textId="77777777" w:rsidR="009C1327" w:rsidRDefault="007F1A7D">
      <w:pPr>
        <w:pStyle w:val="NormalWeb"/>
        <w:spacing w:beforeAutospacing="0" w:afterAutospacing="0" w:line="360" w:lineRule="auto"/>
        <w:jc w:val="both"/>
      </w:pPr>
      <w:r>
        <w:lastRenderedPageBreak/>
        <w:tab/>
        <w:t xml:space="preserve">Given the multifactorial nature of mango malformation, </w:t>
      </w:r>
      <w:r>
        <w:rPr>
          <w:rStyle w:val="Strong"/>
          <w:b w:val="0"/>
          <w:bCs w:val="0"/>
        </w:rPr>
        <w:t>a combined approach integrating plant growth regulators, PGPR, and micronutrients</w:t>
      </w:r>
      <w:r>
        <w:t xml:space="preserve"> is considered more effective than single-factor interventions. However, comprehensive studies evaluating the three-factor interaction of </w:t>
      </w:r>
      <w:r>
        <w:rPr>
          <w:rStyle w:val="Strong"/>
          <w:b w:val="0"/>
          <w:bCs w:val="0"/>
        </w:rPr>
        <w:t>NAA × Pseudomonas × Micronutrients</w:t>
      </w:r>
      <w:r>
        <w:t xml:space="preserve"> on floral malformation and panicle health remain limited.</w:t>
      </w:r>
    </w:p>
    <w:p w14:paraId="6B4BAFE4" w14:textId="77777777" w:rsidR="009C1327" w:rsidRDefault="007F1A7D">
      <w:pPr>
        <w:pStyle w:val="NormalWeb"/>
        <w:spacing w:beforeAutospacing="0" w:afterAutospacing="0" w:line="360" w:lineRule="auto"/>
        <w:jc w:val="both"/>
      </w:pPr>
      <w:r>
        <w:tab/>
        <w:t xml:space="preserve">Therefore, the present investigation titled </w:t>
      </w:r>
      <w:r>
        <w:rPr>
          <w:rStyle w:val="Strong"/>
          <w:b w:val="0"/>
          <w:bCs w:val="0"/>
        </w:rPr>
        <w:t>“Integrated Application of NAA, Pseudomonas and Micronutrients to Reduce Panicle Malformation and Improve Floral Health in Mango (</w:t>
      </w:r>
      <w:r>
        <w:rPr>
          <w:rStyle w:val="Strong"/>
          <w:b w:val="0"/>
          <w:bCs w:val="0"/>
          <w:i/>
          <w:iCs/>
        </w:rPr>
        <w:t>Mangifera indica</w:t>
      </w:r>
      <w:r>
        <w:rPr>
          <w:rStyle w:val="Strong"/>
          <w:b w:val="0"/>
          <w:bCs w:val="0"/>
        </w:rPr>
        <w:t xml:space="preserve"> L.)”</w:t>
      </w:r>
      <w:r>
        <w:t xml:space="preserve"> was undertaken to evaluate the effectiveness of combined treatments on reducing malformed panicles, enhancing healthy panicles per square meter, and minimizing overall malformation percentage under field conditions.</w:t>
      </w:r>
    </w:p>
    <w:p w14:paraId="51A7B0FE" w14:textId="77777777" w:rsidR="00795155" w:rsidRDefault="00795155">
      <w:pPr>
        <w:pStyle w:val="NormalWeb"/>
        <w:spacing w:beforeAutospacing="0" w:afterAutospacing="0" w:line="360" w:lineRule="auto"/>
        <w:jc w:val="both"/>
        <w:rPr>
          <w:rFonts w:eastAsia="sans-serif" w:cs="Times New Roman"/>
          <w:b/>
          <w:bCs/>
          <w:shd w:val="clear" w:color="auto" w:fill="FFFFFF"/>
        </w:rPr>
      </w:pPr>
    </w:p>
    <w:p w14:paraId="293DE128" w14:textId="77777777" w:rsidR="009C1327" w:rsidRDefault="007F1A7D">
      <w:pPr>
        <w:spacing w:line="360" w:lineRule="auto"/>
        <w:jc w:val="both"/>
        <w:rPr>
          <w:rFonts w:ascii="Times New Roman" w:eastAsia="SimSun" w:hAnsi="Times New Roman" w:cs="Times New Roman"/>
          <w:b/>
          <w:bCs/>
          <w:sz w:val="24"/>
          <w:szCs w:val="24"/>
        </w:rPr>
      </w:pPr>
      <w:r>
        <w:rPr>
          <w:rFonts w:ascii="Times New Roman" w:eastAsia="sans-serif" w:hAnsi="Times New Roman" w:cs="Times New Roman"/>
          <w:b/>
          <w:bCs/>
          <w:sz w:val="24"/>
          <w:szCs w:val="24"/>
          <w:shd w:val="clear" w:color="auto" w:fill="FFFFFF"/>
        </w:rPr>
        <w:t>MATRERIALS AND METHODS</w:t>
      </w:r>
    </w:p>
    <w:p w14:paraId="45F3900D" w14:textId="77777777" w:rsidR="009C1327" w:rsidRDefault="007F1A7D">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b/>
        <w:t>The present investigation was carried out during 2020–2022 at the Horticulture Complex, Department of Horticulture, Jawaharlal Nehru Krishi Vishwa Vidyalaya (JNKVV), Jabalpur, Madhya Pradesh. The experimental site is located in a semi-arid subtropical region characterized by hot summers, mild winters and an average annual rainfall of 500–1200 mm. The experiment was conducted on uniform ten-year-old mango (</w:t>
      </w:r>
      <w:r>
        <w:rPr>
          <w:rFonts w:ascii="Times New Roman" w:eastAsia="SimSun" w:hAnsi="Times New Roman" w:cs="Times New Roman"/>
          <w:i/>
          <w:iCs/>
          <w:sz w:val="24"/>
          <w:szCs w:val="24"/>
        </w:rPr>
        <w:t>Mangifera indica</w:t>
      </w:r>
      <w:r>
        <w:rPr>
          <w:rFonts w:ascii="Times New Roman" w:eastAsia="SimSun" w:hAnsi="Times New Roman" w:cs="Times New Roman"/>
          <w:sz w:val="24"/>
          <w:szCs w:val="24"/>
        </w:rPr>
        <w:t xml:space="preserve"> L.) cv. ‘Amrapali’ trees spaced at 2.5 m × 2.5 m under high-density planting. A Randomized Block Design (RBD) with factorial experiment was adopted comprising 27 treatment combinations formed by three levels of PGPR (Pseudomonas fluorescens at 0%, 0.5% and 1%), three levels of NAA (0, 20 and 40 ppm), and three</w:t>
      </w:r>
      <w:r w:rsidR="003A48C5">
        <w:rPr>
          <w:rFonts w:ascii="Times New Roman" w:eastAsia="SimSun" w:hAnsi="Times New Roman" w:cs="Times New Roman"/>
          <w:sz w:val="24"/>
          <w:szCs w:val="24"/>
        </w:rPr>
        <w:t xml:space="preserve"> levels of micronutrients (ZnSO</w:t>
      </w:r>
      <w:r w:rsidR="003A48C5" w:rsidRPr="003A48C5">
        <w:rPr>
          <w:rFonts w:ascii="Times New Roman" w:eastAsia="SimSun" w:hAnsi="Times New Roman" w:cs="Times New Roman"/>
          <w:sz w:val="24"/>
          <w:szCs w:val="24"/>
          <w:vertAlign w:val="subscript"/>
        </w:rPr>
        <w:t>4</w:t>
      </w:r>
      <w:r>
        <w:rPr>
          <w:rFonts w:ascii="Times New Roman" w:eastAsia="SimSun" w:hAnsi="Times New Roman" w:cs="Times New Roman"/>
          <w:sz w:val="24"/>
          <w:szCs w:val="24"/>
        </w:rPr>
        <w:t xml:space="preserve"> + borax at 0%, 0.5% and 1%), with each treatment replicated three times. All treatment solutions were applied as foliar sprays twice during the flowering period—first at flower bud initiation and again at 50% flowering using 5 L of spray solution per tree to ensure uniform coverage. For recording observations, ten healthy shoots per tree were tagged prior to panicle emergence. Data were collected on key floral and reproductive traits including number of malformed panicles/m², number of healthy panicles/m², and percentage of malformed panicles. All standard orchard management and plant protection measures recommended for mango were uniformly applied across treatments to minimize environmental variation. The data pooled over two years were subjected to analysis of variance (ANOVA) appropriate for factorial RBD, and treatment means were tested using the F-test at 5% level of significance. The standard error of mean (</w:t>
      </w:r>
      <w:proofErr w:type="spellStart"/>
      <w:r>
        <w:rPr>
          <w:rFonts w:ascii="Times New Roman" w:eastAsia="SimSun" w:hAnsi="Times New Roman" w:cs="Times New Roman"/>
          <w:sz w:val="24"/>
          <w:szCs w:val="24"/>
        </w:rPr>
        <w:t>SEm</w:t>
      </w:r>
      <w:proofErr w:type="spellEnd"/>
      <w:r>
        <w:rPr>
          <w:rFonts w:ascii="Times New Roman" w:eastAsia="SimSun" w:hAnsi="Times New Roman" w:cs="Times New Roman"/>
          <w:sz w:val="24"/>
          <w:szCs w:val="24"/>
        </w:rPr>
        <w:t xml:space="preserve">±) and </w:t>
      </w:r>
      <w:r>
        <w:rPr>
          <w:rFonts w:ascii="Times New Roman" w:eastAsia="SimSun" w:hAnsi="Times New Roman" w:cs="Times New Roman"/>
          <w:sz w:val="24"/>
          <w:szCs w:val="24"/>
        </w:rPr>
        <w:lastRenderedPageBreak/>
        <w:t xml:space="preserve">critical difference (CD) values were computed as per the statistical procedures outlined by </w:t>
      </w:r>
      <w:proofErr w:type="spellStart"/>
      <w:r>
        <w:rPr>
          <w:rFonts w:ascii="Times New Roman" w:eastAsia="SimSun" w:hAnsi="Times New Roman" w:cs="Times New Roman"/>
          <w:sz w:val="24"/>
          <w:szCs w:val="24"/>
        </w:rPr>
        <w:t>Panse</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Sukhatme</w:t>
      </w:r>
      <w:proofErr w:type="spellEnd"/>
      <w:r>
        <w:rPr>
          <w:rFonts w:ascii="Times New Roman" w:eastAsia="SimSun" w:hAnsi="Times New Roman" w:cs="Times New Roman"/>
          <w:sz w:val="24"/>
          <w:szCs w:val="24"/>
        </w:rPr>
        <w:t xml:space="preserve"> (1985) to determine significance among treatment effects.</w:t>
      </w:r>
    </w:p>
    <w:p w14:paraId="2BEA185E" w14:textId="77777777" w:rsidR="009C1327" w:rsidRDefault="009C1327">
      <w:pPr>
        <w:spacing w:line="360" w:lineRule="auto"/>
        <w:jc w:val="both"/>
        <w:rPr>
          <w:rFonts w:ascii="Times New Roman" w:eastAsia="SimSun" w:hAnsi="Times New Roman" w:cs="Times New Roman"/>
          <w:sz w:val="24"/>
          <w:szCs w:val="24"/>
        </w:rPr>
      </w:pPr>
    </w:p>
    <w:p w14:paraId="4EB5993A" w14:textId="77777777" w:rsidR="009C1327" w:rsidRDefault="007F1A7D">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RESULTS AND DISCUSSION</w:t>
      </w:r>
    </w:p>
    <w:p w14:paraId="27C42010" w14:textId="77777777" w:rsidR="009C1327" w:rsidRDefault="007F1A7D">
      <w:pPr>
        <w:pStyle w:val="NormalWeb"/>
        <w:spacing w:beforeAutospacing="0" w:afterAutospacing="0" w:line="360" w:lineRule="auto"/>
        <w:jc w:val="both"/>
      </w:pPr>
      <w:r>
        <w:rPr>
          <w:rFonts w:cs="Times New Roman"/>
        </w:rPr>
        <w:tab/>
      </w:r>
      <w:r>
        <w:t>The pooled data presented in Table 1 clearly indicate that the combined application of NAA, PGPR (</w:t>
      </w:r>
      <w:r>
        <w:rPr>
          <w:rStyle w:val="Emphasis"/>
        </w:rPr>
        <w:t>Pseudomonas fluorescens</w:t>
      </w:r>
      <w:r w:rsidR="003A48C5">
        <w:t>), and micronutrients (ZnSO</w:t>
      </w:r>
      <w:r w:rsidR="003A48C5" w:rsidRPr="003A48C5">
        <w:rPr>
          <w:vertAlign w:val="subscript"/>
        </w:rPr>
        <w:t>4</w:t>
      </w:r>
      <w:r>
        <w:t xml:space="preserve"> + borax) exerted a significant influence on flowering health and panicle malformation in mango. A substantial reduction in malformed panicles/m² was recorded with increasing levels of all three inputs. The minimum number of malformed panicles (1.88/m²) was obtained under the treatment </w:t>
      </w:r>
      <w:r>
        <w:rPr>
          <w:rStyle w:val="Strong"/>
          <w:b w:val="0"/>
          <w:bCs w:val="0"/>
        </w:rPr>
        <w:t>P</w:t>
      </w:r>
      <w:r w:rsidR="00397C27" w:rsidRPr="0009199C">
        <w:rPr>
          <w:rStyle w:val="Strong"/>
          <w:b w:val="0"/>
          <w:bCs w:val="0"/>
          <w:vertAlign w:val="subscript"/>
        </w:rPr>
        <w:t>2</w:t>
      </w:r>
      <w:r w:rsidR="00397C27">
        <w:rPr>
          <w:rStyle w:val="Strong"/>
          <w:b w:val="0"/>
          <w:bCs w:val="0"/>
        </w:rPr>
        <w:t>N</w:t>
      </w:r>
      <w:r w:rsidR="00397C27" w:rsidRPr="0009199C">
        <w:rPr>
          <w:rStyle w:val="Strong"/>
          <w:b w:val="0"/>
          <w:bCs w:val="0"/>
          <w:vertAlign w:val="subscript"/>
        </w:rPr>
        <w:t>2</w:t>
      </w:r>
      <w:r>
        <w:rPr>
          <w:rStyle w:val="Strong"/>
          <w:b w:val="0"/>
          <w:bCs w:val="0"/>
        </w:rPr>
        <w:t>M</w:t>
      </w:r>
      <w:r w:rsidR="00397C27" w:rsidRPr="0009199C">
        <w:rPr>
          <w:rStyle w:val="Strong"/>
          <w:b w:val="0"/>
          <w:bCs w:val="0"/>
          <w:vertAlign w:val="subscript"/>
        </w:rPr>
        <w:t>2</w:t>
      </w:r>
      <w:r>
        <w:t xml:space="preserve"> (1% </w:t>
      </w:r>
      <w:r>
        <w:rPr>
          <w:rStyle w:val="Emphasis"/>
        </w:rPr>
        <w:t>Pseudomonas</w:t>
      </w:r>
      <w:r>
        <w:t xml:space="preserve"> + 40 ppm NAA + 1% ZnSO</w:t>
      </w:r>
      <w:r w:rsidR="003A48C5" w:rsidRPr="003A48C5">
        <w:rPr>
          <w:vertAlign w:val="subscript"/>
        </w:rPr>
        <w:t>4</w:t>
      </w:r>
      <w:r>
        <w:t xml:space="preserve"> + borax), followed by </w:t>
      </w:r>
      <w:r w:rsidR="00397C27">
        <w:rPr>
          <w:rStyle w:val="Strong"/>
          <w:b w:val="0"/>
          <w:bCs w:val="0"/>
        </w:rPr>
        <w:t>P</w:t>
      </w:r>
      <w:r w:rsidR="00397C27" w:rsidRPr="0009199C">
        <w:rPr>
          <w:rStyle w:val="Strong"/>
          <w:b w:val="0"/>
          <w:bCs w:val="0"/>
          <w:vertAlign w:val="subscript"/>
        </w:rPr>
        <w:t>2</w:t>
      </w:r>
      <w:r w:rsidR="00397C27">
        <w:rPr>
          <w:rStyle w:val="Strong"/>
          <w:b w:val="0"/>
          <w:bCs w:val="0"/>
        </w:rPr>
        <w:t>N</w:t>
      </w:r>
      <w:r w:rsidR="00397C27" w:rsidRPr="0009199C">
        <w:rPr>
          <w:rStyle w:val="Strong"/>
          <w:b w:val="0"/>
          <w:bCs w:val="0"/>
          <w:vertAlign w:val="subscript"/>
        </w:rPr>
        <w:t>2</w:t>
      </w:r>
      <w:r w:rsidR="00397C27">
        <w:rPr>
          <w:rStyle w:val="Strong"/>
          <w:b w:val="0"/>
          <w:bCs w:val="0"/>
        </w:rPr>
        <w:t>M</w:t>
      </w:r>
      <w:r w:rsidR="00397C27" w:rsidRPr="0009199C">
        <w:rPr>
          <w:rStyle w:val="Strong"/>
          <w:b w:val="0"/>
          <w:bCs w:val="0"/>
          <w:vertAlign w:val="subscript"/>
        </w:rPr>
        <w:t>1</w:t>
      </w:r>
      <w:r>
        <w:rPr>
          <w:rStyle w:val="Strong"/>
          <w:b w:val="0"/>
          <w:bCs w:val="0"/>
        </w:rPr>
        <w:t xml:space="preserve"> (2.05/m²)</w:t>
      </w:r>
      <w:r>
        <w:t xml:space="preserve"> and </w:t>
      </w:r>
      <w:r w:rsidR="00397C27">
        <w:rPr>
          <w:rStyle w:val="Strong"/>
          <w:b w:val="0"/>
          <w:bCs w:val="0"/>
        </w:rPr>
        <w:t>P</w:t>
      </w:r>
      <w:r w:rsidR="00397C27" w:rsidRPr="0009199C">
        <w:rPr>
          <w:rStyle w:val="Strong"/>
          <w:b w:val="0"/>
          <w:bCs w:val="0"/>
          <w:vertAlign w:val="subscript"/>
        </w:rPr>
        <w:t>1</w:t>
      </w:r>
      <w:r w:rsidR="00397C27">
        <w:rPr>
          <w:rStyle w:val="Strong"/>
          <w:b w:val="0"/>
          <w:bCs w:val="0"/>
        </w:rPr>
        <w:t>N</w:t>
      </w:r>
      <w:r w:rsidR="00397C27" w:rsidRPr="0009199C">
        <w:rPr>
          <w:rStyle w:val="Strong"/>
          <w:b w:val="0"/>
          <w:bCs w:val="0"/>
          <w:vertAlign w:val="subscript"/>
        </w:rPr>
        <w:t>2</w:t>
      </w:r>
      <w:r w:rsidR="00397C27">
        <w:rPr>
          <w:rStyle w:val="Strong"/>
          <w:b w:val="0"/>
          <w:bCs w:val="0"/>
        </w:rPr>
        <w:t>M</w:t>
      </w:r>
      <w:r w:rsidR="00397C27" w:rsidRPr="0009199C">
        <w:rPr>
          <w:rStyle w:val="Strong"/>
          <w:b w:val="0"/>
          <w:bCs w:val="0"/>
          <w:vertAlign w:val="subscript"/>
        </w:rPr>
        <w:t>2</w:t>
      </w:r>
      <w:r>
        <w:rPr>
          <w:rStyle w:val="Strong"/>
          <w:b w:val="0"/>
          <w:bCs w:val="0"/>
        </w:rPr>
        <w:t xml:space="preserve"> (2.32/m²)</w:t>
      </w:r>
      <w:r>
        <w:t xml:space="preserve">, whereas the untreated control </w:t>
      </w:r>
      <w:r w:rsidR="00397C27">
        <w:rPr>
          <w:rStyle w:val="Strong"/>
          <w:b w:val="0"/>
          <w:bCs w:val="0"/>
        </w:rPr>
        <w:t>P</w:t>
      </w:r>
      <w:r w:rsidR="00397C27" w:rsidRPr="0009199C">
        <w:rPr>
          <w:rStyle w:val="Strong"/>
          <w:b w:val="0"/>
          <w:bCs w:val="0"/>
          <w:vertAlign w:val="subscript"/>
        </w:rPr>
        <w:t>0</w:t>
      </w:r>
      <w:r w:rsidR="00397C27">
        <w:rPr>
          <w:rStyle w:val="Strong"/>
          <w:b w:val="0"/>
          <w:bCs w:val="0"/>
        </w:rPr>
        <w:t>N</w:t>
      </w:r>
      <w:r w:rsidR="00397C27" w:rsidRPr="0009199C">
        <w:rPr>
          <w:rStyle w:val="Strong"/>
          <w:b w:val="0"/>
          <w:bCs w:val="0"/>
          <w:vertAlign w:val="subscript"/>
        </w:rPr>
        <w:t>0</w:t>
      </w:r>
      <w:r>
        <w:rPr>
          <w:rStyle w:val="Strong"/>
          <w:b w:val="0"/>
          <w:bCs w:val="0"/>
        </w:rPr>
        <w:t>M</w:t>
      </w:r>
      <w:r w:rsidR="00397C27" w:rsidRPr="0009199C">
        <w:rPr>
          <w:rStyle w:val="Strong"/>
          <w:b w:val="0"/>
          <w:bCs w:val="0"/>
          <w:vertAlign w:val="subscript"/>
        </w:rPr>
        <w:t>0</w:t>
      </w:r>
      <w:r>
        <w:t xml:space="preserve"> recorded the highest malformation incidence (3.94/m²). This reduction aligns with earlier findings that hormonal </w:t>
      </w:r>
      <w:r w:rsidR="0009199C">
        <w:t>imbalance;</w:t>
      </w:r>
      <w:r>
        <w:t xml:space="preserve"> nutritional deficiency</w:t>
      </w:r>
      <w:r w:rsidR="0009199C">
        <w:t xml:space="preserve"> </w:t>
      </w:r>
      <w:r>
        <w:t>and pathogenic activity viz.</w:t>
      </w:r>
      <w:r w:rsidR="0009199C">
        <w:t>,</w:t>
      </w:r>
      <w:r w:rsidR="0009199C">
        <w:rPr>
          <w:rStyle w:val="Emphasis"/>
        </w:rPr>
        <w:t xml:space="preserve"> Fusarium</w:t>
      </w:r>
      <w:r>
        <w:rPr>
          <w:rStyle w:val="Emphasis"/>
        </w:rPr>
        <w:t xml:space="preserve"> </w:t>
      </w:r>
      <w:proofErr w:type="spellStart"/>
      <w:r>
        <w:rPr>
          <w:rStyle w:val="Emphasis"/>
        </w:rPr>
        <w:t>mangiferae</w:t>
      </w:r>
      <w:proofErr w:type="spellEnd"/>
      <w:r w:rsidR="0009199C">
        <w:t xml:space="preserve"> </w:t>
      </w:r>
      <w:r>
        <w:t xml:space="preserve">are major contributors to mango malformation (Freeman </w:t>
      </w:r>
      <w:r>
        <w:rPr>
          <w:i/>
        </w:rPr>
        <w:t>et al</w:t>
      </w:r>
      <w:r>
        <w:t xml:space="preserve">., 2014; Chakrabarti, 2018). The application of NAA effectively supports auxin homeostasis, which suppresses excessive vegetative anomalies and reduces incidence of malformed floral primordia, as also reported by Das </w:t>
      </w:r>
      <w:r>
        <w:rPr>
          <w:i/>
        </w:rPr>
        <w:t>et al</w:t>
      </w:r>
      <w:r>
        <w:t>. (2019).</w:t>
      </w:r>
    </w:p>
    <w:p w14:paraId="2A0EBF0F" w14:textId="77777777" w:rsidR="009C1327" w:rsidRDefault="007F1A7D">
      <w:pPr>
        <w:pStyle w:val="NormalWeb"/>
        <w:spacing w:beforeAutospacing="0" w:afterAutospacing="0" w:line="360" w:lineRule="auto"/>
        <w:jc w:val="both"/>
      </w:pPr>
      <w:r>
        <w:rPr>
          <w:noProof/>
          <w:lang w:val="en-IN" w:eastAsia="en-IN"/>
        </w:rPr>
        <w:drawing>
          <wp:inline distT="0" distB="0" distL="114300" distR="114300" wp14:anchorId="63BCEACD" wp14:editId="6188A252">
            <wp:extent cx="5257164" cy="2066925"/>
            <wp:effectExtent l="19050" t="0" r="636" b="0"/>
            <wp:docPr id="1" name="Picture 1" descr="malformed_labe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lformed_labeled (1)"/>
                    <pic:cNvPicPr>
                      <a:picLocks noChangeAspect="1"/>
                    </pic:cNvPicPr>
                  </pic:nvPicPr>
                  <pic:blipFill>
                    <a:blip r:embed="rId6"/>
                    <a:stretch>
                      <a:fillRect/>
                    </a:stretch>
                  </pic:blipFill>
                  <pic:spPr>
                    <a:xfrm>
                      <a:off x="0" y="0"/>
                      <a:ext cx="5266690" cy="2070670"/>
                    </a:xfrm>
                    <a:prstGeom prst="rect">
                      <a:avLst/>
                    </a:prstGeom>
                  </pic:spPr>
                </pic:pic>
              </a:graphicData>
            </a:graphic>
          </wp:inline>
        </w:drawing>
      </w:r>
    </w:p>
    <w:p w14:paraId="12C4739A" w14:textId="77777777" w:rsidR="009C1327" w:rsidRDefault="007F1A7D">
      <w:pPr>
        <w:pStyle w:val="NormalWeb"/>
        <w:spacing w:beforeAutospacing="0" w:afterAutospacing="0" w:line="360" w:lineRule="auto"/>
        <w:jc w:val="both"/>
      </w:pPr>
      <w:r>
        <w:rPr>
          <w:b/>
          <w:bCs/>
        </w:rPr>
        <w:t xml:space="preserve">Figure 1: </w:t>
      </w:r>
      <w:r>
        <w:rPr>
          <w:rFonts w:cs="Times New Roman"/>
          <w:b/>
          <w:bCs/>
        </w:rPr>
        <w:t>Effect of NAA, PGPR and Micronutrients on malformed panicles per square meter</w:t>
      </w:r>
    </w:p>
    <w:p w14:paraId="1593838F" w14:textId="77777777" w:rsidR="009C1327" w:rsidRDefault="007F1A7D">
      <w:pPr>
        <w:pStyle w:val="NormalWeb"/>
        <w:spacing w:beforeAutospacing="0" w:afterAutospacing="0" w:line="360" w:lineRule="auto"/>
        <w:jc w:val="both"/>
      </w:pPr>
      <w:r>
        <w:t xml:space="preserve">Healthy panicles/m² increased markedly under combined treatments. The maximum number of healthy panicles (15.97/m²) was recorded in </w:t>
      </w:r>
      <w:r w:rsidR="00397C27">
        <w:rPr>
          <w:rStyle w:val="Strong"/>
          <w:b w:val="0"/>
          <w:bCs w:val="0"/>
        </w:rPr>
        <w:t>P</w:t>
      </w:r>
      <w:r w:rsidR="00397C27" w:rsidRPr="00023BE7">
        <w:rPr>
          <w:rStyle w:val="Strong"/>
          <w:b w:val="0"/>
          <w:bCs w:val="0"/>
          <w:vertAlign w:val="subscript"/>
        </w:rPr>
        <w:t>2</w:t>
      </w:r>
      <w:r w:rsidR="00397C27">
        <w:rPr>
          <w:rStyle w:val="Strong"/>
          <w:b w:val="0"/>
          <w:bCs w:val="0"/>
        </w:rPr>
        <w:t>N</w:t>
      </w:r>
      <w:r w:rsidR="00397C27" w:rsidRPr="00023BE7">
        <w:rPr>
          <w:rStyle w:val="Strong"/>
          <w:b w:val="0"/>
          <w:bCs w:val="0"/>
          <w:vertAlign w:val="subscript"/>
        </w:rPr>
        <w:t>2</w:t>
      </w:r>
      <w:r>
        <w:rPr>
          <w:rStyle w:val="Strong"/>
          <w:b w:val="0"/>
          <w:bCs w:val="0"/>
        </w:rPr>
        <w:t>M</w:t>
      </w:r>
      <w:r w:rsidR="00397C27" w:rsidRPr="00023BE7">
        <w:rPr>
          <w:rStyle w:val="Strong"/>
          <w:b w:val="0"/>
          <w:bCs w:val="0"/>
          <w:vertAlign w:val="subscript"/>
        </w:rPr>
        <w:t>2</w:t>
      </w:r>
      <w:r>
        <w:t xml:space="preserve">, followed by </w:t>
      </w:r>
      <w:r w:rsidR="00397C27">
        <w:rPr>
          <w:rStyle w:val="Strong"/>
          <w:b w:val="0"/>
          <w:bCs w:val="0"/>
        </w:rPr>
        <w:t>P</w:t>
      </w:r>
      <w:r w:rsidR="00397C27" w:rsidRPr="00023BE7">
        <w:rPr>
          <w:rStyle w:val="Strong"/>
          <w:b w:val="0"/>
          <w:bCs w:val="0"/>
          <w:vertAlign w:val="subscript"/>
        </w:rPr>
        <w:t>1</w:t>
      </w:r>
      <w:r w:rsidR="00397C27">
        <w:rPr>
          <w:rStyle w:val="Strong"/>
          <w:b w:val="0"/>
          <w:bCs w:val="0"/>
        </w:rPr>
        <w:t>N</w:t>
      </w:r>
      <w:r w:rsidR="00397C27" w:rsidRPr="00023BE7">
        <w:rPr>
          <w:rStyle w:val="Strong"/>
          <w:b w:val="0"/>
          <w:bCs w:val="0"/>
          <w:vertAlign w:val="subscript"/>
        </w:rPr>
        <w:t>2</w:t>
      </w:r>
      <w:r w:rsidR="00397C27">
        <w:rPr>
          <w:rStyle w:val="Strong"/>
          <w:b w:val="0"/>
          <w:bCs w:val="0"/>
        </w:rPr>
        <w:t>M</w:t>
      </w:r>
      <w:r w:rsidR="00397C27" w:rsidRPr="00023BE7">
        <w:rPr>
          <w:rStyle w:val="Strong"/>
          <w:b w:val="0"/>
          <w:bCs w:val="0"/>
          <w:vertAlign w:val="subscript"/>
        </w:rPr>
        <w:t>2</w:t>
      </w:r>
      <w:r>
        <w:rPr>
          <w:rStyle w:val="Strong"/>
          <w:b w:val="0"/>
          <w:bCs w:val="0"/>
        </w:rPr>
        <w:t xml:space="preserve"> (15.72/m²)</w:t>
      </w:r>
      <w:r>
        <w:t xml:space="preserve"> and </w:t>
      </w:r>
      <w:r w:rsidR="00397C27">
        <w:rPr>
          <w:rStyle w:val="Strong"/>
          <w:b w:val="0"/>
          <w:bCs w:val="0"/>
        </w:rPr>
        <w:t>P</w:t>
      </w:r>
      <w:r w:rsidR="00397C27" w:rsidRPr="00023BE7">
        <w:rPr>
          <w:rStyle w:val="Strong"/>
          <w:b w:val="0"/>
          <w:bCs w:val="0"/>
          <w:vertAlign w:val="subscript"/>
        </w:rPr>
        <w:t>2</w:t>
      </w:r>
      <w:r w:rsidR="00397C27">
        <w:rPr>
          <w:rStyle w:val="Strong"/>
          <w:b w:val="0"/>
          <w:bCs w:val="0"/>
        </w:rPr>
        <w:t>N</w:t>
      </w:r>
      <w:r w:rsidR="00397C27" w:rsidRPr="00023BE7">
        <w:rPr>
          <w:rStyle w:val="Strong"/>
          <w:b w:val="0"/>
          <w:bCs w:val="0"/>
          <w:vertAlign w:val="subscript"/>
        </w:rPr>
        <w:t>2</w:t>
      </w:r>
      <w:r w:rsidR="00397C27">
        <w:rPr>
          <w:rStyle w:val="Strong"/>
          <w:b w:val="0"/>
          <w:bCs w:val="0"/>
        </w:rPr>
        <w:t>M</w:t>
      </w:r>
      <w:r w:rsidR="00397C27" w:rsidRPr="00023BE7">
        <w:rPr>
          <w:rStyle w:val="Strong"/>
          <w:b w:val="0"/>
          <w:bCs w:val="0"/>
          <w:vertAlign w:val="subscript"/>
        </w:rPr>
        <w:t>1</w:t>
      </w:r>
      <w:r>
        <w:rPr>
          <w:rStyle w:val="Strong"/>
          <w:b w:val="0"/>
          <w:bCs w:val="0"/>
        </w:rPr>
        <w:t xml:space="preserve"> (15.88/m²)</w:t>
      </w:r>
      <w:r>
        <w:t xml:space="preserve">. In contrast, the lowest values were obtained in the untreated control (11.63/m²). This improvement reflects the synergistic action of </w:t>
      </w:r>
      <w:r>
        <w:rPr>
          <w:rStyle w:val="Emphasis"/>
        </w:rPr>
        <w:lastRenderedPageBreak/>
        <w:t>Pseudomonas fluorescens</w:t>
      </w:r>
      <w:r>
        <w:t xml:space="preserve">, which enhances nutrient uptake, secretes phytohormones, and suppresses malformation-associated pathogens (Kumar </w:t>
      </w:r>
      <w:r>
        <w:rPr>
          <w:i/>
        </w:rPr>
        <w:t>et al</w:t>
      </w:r>
      <w:r>
        <w:t xml:space="preserve">., 2020). PGPR-mediated improvement in panicle health is also supported by findings of Kumar </w:t>
      </w:r>
      <w:r>
        <w:rPr>
          <w:i/>
        </w:rPr>
        <w:t>et al</w:t>
      </w:r>
      <w:r>
        <w:t xml:space="preserve">. (2022), who reported enhanced vegetative vigor and reproductive growth in mango following </w:t>
      </w:r>
      <w:r>
        <w:rPr>
          <w:rStyle w:val="Emphasis"/>
        </w:rPr>
        <w:t>Pseudomonas</w:t>
      </w:r>
      <w:r>
        <w:t xml:space="preserve"> application.</w:t>
      </w:r>
    </w:p>
    <w:p w14:paraId="572AC9A8" w14:textId="77777777" w:rsidR="009C1327" w:rsidRDefault="007F1A7D">
      <w:pPr>
        <w:pStyle w:val="NormalWeb"/>
        <w:spacing w:beforeAutospacing="0" w:afterAutospacing="0" w:line="360" w:lineRule="auto"/>
        <w:jc w:val="both"/>
      </w:pPr>
      <w:r>
        <w:tab/>
        <w:t xml:space="preserve">A similar trend was observed for the percentage of malformed panicles. The minimum malformation (9.71%) was recorded under </w:t>
      </w:r>
      <w:r w:rsidR="00397C27">
        <w:rPr>
          <w:rStyle w:val="Strong"/>
          <w:b w:val="0"/>
          <w:bCs w:val="0"/>
        </w:rPr>
        <w:t>P</w:t>
      </w:r>
      <w:r w:rsidR="00397C27" w:rsidRPr="00023BE7">
        <w:rPr>
          <w:rStyle w:val="Strong"/>
          <w:b w:val="0"/>
          <w:bCs w:val="0"/>
          <w:vertAlign w:val="subscript"/>
        </w:rPr>
        <w:t>2</w:t>
      </w:r>
      <w:r w:rsidR="00397C27">
        <w:rPr>
          <w:rStyle w:val="Strong"/>
          <w:b w:val="0"/>
          <w:bCs w:val="0"/>
        </w:rPr>
        <w:t>N</w:t>
      </w:r>
      <w:r w:rsidR="00397C27" w:rsidRPr="00023BE7">
        <w:rPr>
          <w:rStyle w:val="Strong"/>
          <w:b w:val="0"/>
          <w:bCs w:val="0"/>
          <w:vertAlign w:val="subscript"/>
        </w:rPr>
        <w:t>2</w:t>
      </w:r>
      <w:r>
        <w:rPr>
          <w:rStyle w:val="Strong"/>
          <w:b w:val="0"/>
          <w:bCs w:val="0"/>
        </w:rPr>
        <w:t>M</w:t>
      </w:r>
      <w:r w:rsidR="00397C27" w:rsidRPr="00023BE7">
        <w:rPr>
          <w:rStyle w:val="Strong"/>
          <w:b w:val="0"/>
          <w:bCs w:val="0"/>
          <w:vertAlign w:val="subscript"/>
        </w:rPr>
        <w:t>2</w:t>
      </w:r>
      <w:r>
        <w:t xml:space="preserve">, representing nearly a </w:t>
      </w:r>
      <w:r>
        <w:rPr>
          <w:rStyle w:val="Strong"/>
          <w:b w:val="0"/>
          <w:bCs w:val="0"/>
        </w:rPr>
        <w:t>61% reduction</w:t>
      </w:r>
      <w:r>
        <w:t xml:space="preserve"> compared with the control (25.28%). Treatments containing higher levels of micronutrients showed consistent reductions in malformation percentage, confirming the crucial role of Zn and B in floral development, meristematic activity, pollen viability, and panicle health (Sharma &amp; Dhillon, 2019; Wani </w:t>
      </w:r>
      <w:r>
        <w:rPr>
          <w:i/>
        </w:rPr>
        <w:t>et al</w:t>
      </w:r>
      <w:r>
        <w:t>., 2021). The integration of micronutrients with PGRs and PGPR aligns with the multi-factor etiological model of mango malformation, which emphasizes the need for simultaneously correcting hormonal, nutritional, and pathological factors (Ploetz, 2001; Chakrabarti, 2018).</w:t>
      </w:r>
    </w:p>
    <w:p w14:paraId="1F872187" w14:textId="77777777" w:rsidR="009C1327" w:rsidRDefault="007F1A7D">
      <w:pPr>
        <w:pStyle w:val="NormalWeb"/>
        <w:spacing w:beforeAutospacing="0" w:afterAutospacing="0" w:line="360" w:lineRule="auto"/>
        <w:jc w:val="both"/>
      </w:pPr>
      <w:r>
        <w:rPr>
          <w:noProof/>
          <w:lang w:val="en-IN" w:eastAsia="en-IN"/>
        </w:rPr>
        <w:drawing>
          <wp:inline distT="0" distB="0" distL="114300" distR="114300" wp14:anchorId="51C81A8D" wp14:editId="04AF693F">
            <wp:extent cx="5257165" cy="2886075"/>
            <wp:effectExtent l="19050" t="0" r="635" b="0"/>
            <wp:docPr id="2" name="Picture 2" descr="healthy_label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lthy_labeled (2)"/>
                    <pic:cNvPicPr>
                      <a:picLocks noChangeAspect="1"/>
                    </pic:cNvPicPr>
                  </pic:nvPicPr>
                  <pic:blipFill>
                    <a:blip r:embed="rId7"/>
                    <a:stretch>
                      <a:fillRect/>
                    </a:stretch>
                  </pic:blipFill>
                  <pic:spPr>
                    <a:xfrm>
                      <a:off x="0" y="0"/>
                      <a:ext cx="5266690" cy="2891304"/>
                    </a:xfrm>
                    <a:prstGeom prst="rect">
                      <a:avLst/>
                    </a:prstGeom>
                  </pic:spPr>
                </pic:pic>
              </a:graphicData>
            </a:graphic>
          </wp:inline>
        </w:drawing>
      </w:r>
    </w:p>
    <w:p w14:paraId="1E1DF650" w14:textId="77777777" w:rsidR="009C1327" w:rsidRDefault="007F1A7D">
      <w:pPr>
        <w:pStyle w:val="NormalWeb"/>
        <w:spacing w:beforeAutospacing="0" w:afterAutospacing="0" w:line="360" w:lineRule="auto"/>
        <w:jc w:val="both"/>
      </w:pPr>
      <w:r>
        <w:rPr>
          <w:b/>
          <w:bCs/>
        </w:rPr>
        <w:t>Figure 2</w:t>
      </w:r>
      <w:r w:rsidR="0009199C">
        <w:rPr>
          <w:b/>
          <w:bCs/>
        </w:rPr>
        <w:t>:</w:t>
      </w:r>
      <w:r w:rsidR="0009199C">
        <w:rPr>
          <w:rFonts w:cs="Times New Roman"/>
          <w:b/>
          <w:bCs/>
        </w:rPr>
        <w:t xml:space="preserve"> Effect</w:t>
      </w:r>
      <w:r>
        <w:rPr>
          <w:rFonts w:cs="Times New Roman"/>
          <w:b/>
          <w:bCs/>
        </w:rPr>
        <w:t xml:space="preserve"> of NAA, PGPR and Micronutrients on healthy panicles per square meter</w:t>
      </w:r>
    </w:p>
    <w:p w14:paraId="7E7F0C5D" w14:textId="77777777" w:rsidR="009C1327" w:rsidRDefault="007F1A7D">
      <w:pPr>
        <w:pStyle w:val="NormalWeb"/>
        <w:spacing w:beforeAutospacing="0" w:afterAutospacing="0" w:line="360" w:lineRule="auto"/>
        <w:jc w:val="both"/>
      </w:pPr>
      <w:r>
        <w:t>The three-factor interaction (P × N × M) clearly demonstrated that</w:t>
      </w:r>
      <w:r w:rsidR="00397C27">
        <w:t xml:space="preserve"> the combined highest levels (P</w:t>
      </w:r>
      <w:r w:rsidR="00397C27" w:rsidRPr="00023BE7">
        <w:rPr>
          <w:vertAlign w:val="subscript"/>
        </w:rPr>
        <w:t>2</w:t>
      </w:r>
      <w:r w:rsidR="00397C27">
        <w:t>N</w:t>
      </w:r>
      <w:r w:rsidR="00397C27" w:rsidRPr="00023BE7">
        <w:rPr>
          <w:vertAlign w:val="subscript"/>
        </w:rPr>
        <w:t>2</w:t>
      </w:r>
      <w:r w:rsidR="00397C27">
        <w:t>M</w:t>
      </w:r>
      <w:r w:rsidR="00397C27" w:rsidRPr="00023BE7">
        <w:rPr>
          <w:vertAlign w:val="subscript"/>
        </w:rPr>
        <w:t>2</w:t>
      </w:r>
      <w:r>
        <w:t xml:space="preserve">) consistently improved all parameters. This synergistic improvement may be attributed to the NAA-induced regulation of auxin balance, which promotes normal floral differentiation and reduces hormonal disorders associated with malformation. In addition, </w:t>
      </w:r>
      <w:r>
        <w:rPr>
          <w:i/>
          <w:iCs/>
        </w:rPr>
        <w:t>Pseudomonas fluorescens</w:t>
      </w:r>
      <w:r>
        <w:t xml:space="preserve"> exhibits strong </w:t>
      </w:r>
      <w:r>
        <w:lastRenderedPageBreak/>
        <w:t xml:space="preserve">antagonistic activity against </w:t>
      </w:r>
      <w:r>
        <w:rPr>
          <w:i/>
          <w:iCs/>
        </w:rPr>
        <w:t>Fusarium</w:t>
      </w:r>
      <w:r>
        <w:t xml:space="preserve"> spp., thereby lowering pathogen-associated malformation and improving overall panicle health. The concurrent application of zinc and boron further strengthens reproductive physiology by enhancing meristematic activity, pollen viability, and carbohydrate translocation. Comparable synergistic interactions between nutrient supplementation and plant growth regulators in promoting mango flowering and fruit set have also been reported by Majumder </w:t>
      </w:r>
      <w:r>
        <w:rPr>
          <w:i/>
          <w:iCs/>
        </w:rPr>
        <w:t>et al</w:t>
      </w:r>
      <w:r>
        <w:t>. (2022).</w:t>
      </w:r>
    </w:p>
    <w:p w14:paraId="6B0A398E" w14:textId="77777777" w:rsidR="009C1327" w:rsidRDefault="007F1A7D">
      <w:pPr>
        <w:pStyle w:val="NormalWeb"/>
        <w:spacing w:beforeAutospacing="0" w:afterAutospacing="0" w:line="360" w:lineRule="auto"/>
        <w:jc w:val="both"/>
      </w:pPr>
      <w:r>
        <w:rPr>
          <w:noProof/>
          <w:lang w:val="en-IN" w:eastAsia="en-IN"/>
        </w:rPr>
        <w:drawing>
          <wp:inline distT="0" distB="0" distL="114300" distR="114300" wp14:anchorId="58653714" wp14:editId="3DFEE603">
            <wp:extent cx="5257167" cy="3419475"/>
            <wp:effectExtent l="19050" t="0" r="633" b="0"/>
            <wp:docPr id="5" name="Picture 5" descr="percent_malformed_labe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ercent_malformed_labeled"/>
                    <pic:cNvPicPr>
                      <a:picLocks noChangeAspect="1"/>
                    </pic:cNvPicPr>
                  </pic:nvPicPr>
                  <pic:blipFill>
                    <a:blip r:embed="rId8"/>
                    <a:stretch>
                      <a:fillRect/>
                    </a:stretch>
                  </pic:blipFill>
                  <pic:spPr>
                    <a:xfrm>
                      <a:off x="0" y="0"/>
                      <a:ext cx="5266690" cy="3425669"/>
                    </a:xfrm>
                    <a:prstGeom prst="rect">
                      <a:avLst/>
                    </a:prstGeom>
                  </pic:spPr>
                </pic:pic>
              </a:graphicData>
            </a:graphic>
          </wp:inline>
        </w:drawing>
      </w:r>
    </w:p>
    <w:p w14:paraId="024EDA7A" w14:textId="77777777" w:rsidR="009C1327" w:rsidRDefault="007F1A7D">
      <w:pPr>
        <w:pStyle w:val="NormalWeb"/>
        <w:spacing w:beforeAutospacing="0" w:afterAutospacing="0" w:line="360" w:lineRule="auto"/>
        <w:jc w:val="both"/>
      </w:pPr>
      <w:r>
        <w:rPr>
          <w:b/>
          <w:bCs/>
        </w:rPr>
        <w:t>Figure 3</w:t>
      </w:r>
      <w:r w:rsidR="00397C27">
        <w:rPr>
          <w:b/>
          <w:bCs/>
        </w:rPr>
        <w:t>:</w:t>
      </w:r>
      <w:r w:rsidR="00397C27">
        <w:rPr>
          <w:rFonts w:cs="Times New Roman"/>
          <w:b/>
          <w:bCs/>
        </w:rPr>
        <w:t xml:space="preserve"> Effect</w:t>
      </w:r>
      <w:r>
        <w:rPr>
          <w:rFonts w:cs="Times New Roman"/>
          <w:b/>
          <w:bCs/>
        </w:rPr>
        <w:t xml:space="preserve"> of NAA, PGPR and Micronutrients on % malformed panicles </w:t>
      </w:r>
    </w:p>
    <w:p w14:paraId="26201E5D" w14:textId="77777777" w:rsidR="00397C27" w:rsidRDefault="00397C27">
      <w:pPr>
        <w:spacing w:line="360" w:lineRule="auto"/>
        <w:jc w:val="both"/>
        <w:rPr>
          <w:rFonts w:ascii="Times New Roman" w:hAnsi="Times New Roman" w:cs="Times New Roman"/>
          <w:b/>
          <w:bCs/>
          <w:sz w:val="24"/>
          <w:szCs w:val="24"/>
        </w:rPr>
      </w:pPr>
    </w:p>
    <w:p w14:paraId="3939976D" w14:textId="77777777" w:rsidR="00397C27" w:rsidRDefault="00397C27">
      <w:pPr>
        <w:spacing w:line="360" w:lineRule="auto"/>
        <w:jc w:val="both"/>
        <w:rPr>
          <w:rFonts w:ascii="Times New Roman" w:hAnsi="Times New Roman" w:cs="Times New Roman"/>
          <w:b/>
          <w:bCs/>
          <w:sz w:val="24"/>
          <w:szCs w:val="24"/>
        </w:rPr>
      </w:pPr>
    </w:p>
    <w:p w14:paraId="7172FF92" w14:textId="77777777" w:rsidR="00397C27" w:rsidRDefault="00397C27">
      <w:pPr>
        <w:spacing w:line="360" w:lineRule="auto"/>
        <w:jc w:val="both"/>
        <w:rPr>
          <w:rFonts w:ascii="Times New Roman" w:hAnsi="Times New Roman" w:cs="Times New Roman"/>
          <w:b/>
          <w:bCs/>
          <w:sz w:val="24"/>
          <w:szCs w:val="24"/>
        </w:rPr>
      </w:pPr>
    </w:p>
    <w:p w14:paraId="63C36F1C" w14:textId="77777777" w:rsidR="00397C27" w:rsidRDefault="00397C27">
      <w:pPr>
        <w:spacing w:line="360" w:lineRule="auto"/>
        <w:jc w:val="both"/>
        <w:rPr>
          <w:rFonts w:ascii="Times New Roman" w:hAnsi="Times New Roman" w:cs="Times New Roman"/>
          <w:b/>
          <w:bCs/>
          <w:sz w:val="24"/>
          <w:szCs w:val="24"/>
        </w:rPr>
      </w:pPr>
    </w:p>
    <w:p w14:paraId="5B8A74BD" w14:textId="77777777" w:rsidR="00397C27" w:rsidRDefault="00397C27">
      <w:pPr>
        <w:spacing w:line="360" w:lineRule="auto"/>
        <w:jc w:val="both"/>
        <w:rPr>
          <w:rFonts w:ascii="Times New Roman" w:hAnsi="Times New Roman" w:cs="Times New Roman"/>
          <w:b/>
          <w:bCs/>
          <w:sz w:val="24"/>
          <w:szCs w:val="24"/>
        </w:rPr>
      </w:pPr>
    </w:p>
    <w:p w14:paraId="69AD6241" w14:textId="77777777" w:rsidR="00397C27" w:rsidRDefault="00397C27">
      <w:pPr>
        <w:spacing w:line="360" w:lineRule="auto"/>
        <w:jc w:val="both"/>
        <w:rPr>
          <w:rFonts w:ascii="Times New Roman" w:hAnsi="Times New Roman" w:cs="Times New Roman"/>
          <w:b/>
          <w:bCs/>
          <w:sz w:val="24"/>
          <w:szCs w:val="24"/>
        </w:rPr>
      </w:pPr>
    </w:p>
    <w:p w14:paraId="3B9F5186" w14:textId="77777777" w:rsidR="009C1327" w:rsidRDefault="007F1A7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1: Effect of NAA, PGPR and Micronutrient on malformed panicles/m</w:t>
      </w:r>
      <w:r>
        <w:rPr>
          <w:rFonts w:ascii="Times New Roman" w:hAnsi="Times New Roman" w:cs="Times New Roman"/>
          <w:b/>
          <w:bCs/>
          <w:sz w:val="24"/>
          <w:szCs w:val="24"/>
          <w:vertAlign w:val="superscript"/>
        </w:rPr>
        <w:t>2</w:t>
      </w:r>
      <w:r w:rsidR="00397C27">
        <w:rPr>
          <w:rFonts w:ascii="Times New Roman" w:hAnsi="Times New Roman" w:cs="Times New Roman"/>
          <w:b/>
          <w:bCs/>
          <w:sz w:val="24"/>
          <w:szCs w:val="24"/>
        </w:rPr>
        <w:t>, healthy</w:t>
      </w:r>
      <w:r>
        <w:rPr>
          <w:rFonts w:ascii="Times New Roman" w:hAnsi="Times New Roman" w:cs="Times New Roman"/>
          <w:b/>
          <w:bCs/>
          <w:sz w:val="24"/>
          <w:szCs w:val="24"/>
        </w:rPr>
        <w:t xml:space="preserve"> panicles/m</w:t>
      </w:r>
      <w:r>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and % malformed panicles.</w:t>
      </w:r>
    </w:p>
    <w:tbl>
      <w:tblPr>
        <w:tblpPr w:leftFromText="180" w:rightFromText="180" w:vertAnchor="text" w:horzAnchor="page" w:tblpX="1779" w:tblpY="4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2131"/>
        <w:gridCol w:w="2131"/>
        <w:gridCol w:w="2131"/>
      </w:tblGrid>
      <w:tr w:rsidR="009C1327" w14:paraId="13DDC95B" w14:textId="77777777" w:rsidTr="00397C27">
        <w:trPr>
          <w:trHeight w:val="671"/>
        </w:trPr>
        <w:tc>
          <w:tcPr>
            <w:tcW w:w="2129" w:type="dxa"/>
          </w:tcPr>
          <w:p w14:paraId="6A074975" w14:textId="77777777" w:rsidR="009C1327" w:rsidRDefault="007F1A7D">
            <w:pPr>
              <w:jc w:val="center"/>
              <w:rPr>
                <w:rFonts w:ascii="Times New Roman" w:hAnsi="Times New Roman" w:cs="Times New Roman"/>
                <w:b/>
                <w:bCs/>
                <w:sz w:val="24"/>
                <w:szCs w:val="24"/>
              </w:rPr>
            </w:pPr>
            <w:r>
              <w:rPr>
                <w:rFonts w:ascii="Times New Roman" w:hAnsi="Times New Roman" w:cs="Times New Roman"/>
                <w:b/>
                <w:bCs/>
                <w:sz w:val="24"/>
                <w:szCs w:val="24"/>
              </w:rPr>
              <w:t>Treatment</w:t>
            </w:r>
          </w:p>
        </w:tc>
        <w:tc>
          <w:tcPr>
            <w:tcW w:w="2131" w:type="dxa"/>
          </w:tcPr>
          <w:p w14:paraId="349A0E28" w14:textId="77777777" w:rsidR="009C1327" w:rsidRDefault="007F1A7D">
            <w:pPr>
              <w:jc w:val="center"/>
              <w:rPr>
                <w:rFonts w:ascii="Times New Roman" w:hAnsi="Times New Roman" w:cs="Times New Roman"/>
                <w:b/>
                <w:bCs/>
                <w:sz w:val="24"/>
                <w:szCs w:val="24"/>
              </w:rPr>
            </w:pPr>
            <w:r>
              <w:rPr>
                <w:rFonts w:ascii="Times New Roman" w:hAnsi="Times New Roman" w:cs="Times New Roman"/>
                <w:b/>
                <w:bCs/>
                <w:sz w:val="24"/>
                <w:szCs w:val="24"/>
              </w:rPr>
              <w:t>Malformed panicles/m²</w:t>
            </w:r>
          </w:p>
        </w:tc>
        <w:tc>
          <w:tcPr>
            <w:tcW w:w="2131" w:type="dxa"/>
          </w:tcPr>
          <w:p w14:paraId="151DE9A7" w14:textId="77777777" w:rsidR="009C1327" w:rsidRDefault="007F1A7D">
            <w:pPr>
              <w:jc w:val="center"/>
              <w:rPr>
                <w:rFonts w:ascii="Times New Roman" w:hAnsi="Times New Roman" w:cs="Times New Roman"/>
                <w:b/>
                <w:bCs/>
                <w:sz w:val="24"/>
                <w:szCs w:val="24"/>
              </w:rPr>
            </w:pPr>
            <w:r>
              <w:rPr>
                <w:rFonts w:ascii="Times New Roman" w:hAnsi="Times New Roman" w:cs="Times New Roman"/>
                <w:b/>
                <w:bCs/>
                <w:sz w:val="24"/>
                <w:szCs w:val="24"/>
              </w:rPr>
              <w:t>Healthy panicles/m²</w:t>
            </w:r>
          </w:p>
        </w:tc>
        <w:tc>
          <w:tcPr>
            <w:tcW w:w="2131" w:type="dxa"/>
          </w:tcPr>
          <w:p w14:paraId="37996C55" w14:textId="77777777" w:rsidR="009C1327" w:rsidRDefault="007F1A7D">
            <w:pPr>
              <w:jc w:val="center"/>
              <w:rPr>
                <w:rFonts w:ascii="Times New Roman" w:hAnsi="Times New Roman" w:cs="Times New Roman"/>
                <w:b/>
                <w:bCs/>
                <w:sz w:val="24"/>
                <w:szCs w:val="24"/>
              </w:rPr>
            </w:pPr>
            <w:r>
              <w:rPr>
                <w:rFonts w:ascii="Times New Roman" w:hAnsi="Times New Roman" w:cs="Times New Roman"/>
                <w:b/>
                <w:bCs/>
                <w:sz w:val="24"/>
                <w:szCs w:val="24"/>
              </w:rPr>
              <w:t>% Malformed panicles</w:t>
            </w:r>
          </w:p>
        </w:tc>
      </w:tr>
      <w:tr w:rsidR="00397C27" w14:paraId="3F987E0B" w14:textId="77777777" w:rsidTr="00397C27">
        <w:tc>
          <w:tcPr>
            <w:tcW w:w="2129" w:type="dxa"/>
          </w:tcPr>
          <w:p w14:paraId="3E825EAF" w14:textId="77777777" w:rsidR="00397C27" w:rsidRPr="00397C27" w:rsidRDefault="00397C27" w:rsidP="00B03098">
            <w:pPr>
              <w:pStyle w:val="NormalWeb"/>
              <w:jc w:val="center"/>
            </w:pPr>
            <w:r w:rsidRPr="00397C27">
              <w:rPr>
                <w:color w:val="000000"/>
              </w:rPr>
              <w:t>P</w:t>
            </w:r>
            <w:r w:rsidRPr="00397C27">
              <w:rPr>
                <w:color w:val="000000"/>
                <w:vertAlign w:val="subscript"/>
              </w:rPr>
              <w:t>0</w:t>
            </w:r>
            <w:r w:rsidRPr="00397C27">
              <w:rPr>
                <w:color w:val="000000"/>
              </w:rPr>
              <w:t>N</w:t>
            </w:r>
            <w:r w:rsidRPr="00397C27">
              <w:rPr>
                <w:color w:val="000000"/>
                <w:vertAlign w:val="subscript"/>
              </w:rPr>
              <w:t>0</w:t>
            </w:r>
            <w:r w:rsidRPr="00397C27">
              <w:rPr>
                <w:color w:val="000000"/>
              </w:rPr>
              <w:t>M</w:t>
            </w:r>
            <w:r w:rsidRPr="00397C27">
              <w:rPr>
                <w:color w:val="000000"/>
                <w:vertAlign w:val="subscript"/>
              </w:rPr>
              <w:t>0</w:t>
            </w:r>
            <w:r w:rsidRPr="00397C27">
              <w:rPr>
                <w:color w:val="000000"/>
              </w:rPr>
              <w:t> </w:t>
            </w:r>
          </w:p>
        </w:tc>
        <w:tc>
          <w:tcPr>
            <w:tcW w:w="2131" w:type="dxa"/>
          </w:tcPr>
          <w:p w14:paraId="2A772303"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3.94</w:t>
            </w:r>
          </w:p>
        </w:tc>
        <w:tc>
          <w:tcPr>
            <w:tcW w:w="2131" w:type="dxa"/>
          </w:tcPr>
          <w:p w14:paraId="3786EFD9"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11.63</w:t>
            </w:r>
          </w:p>
        </w:tc>
        <w:tc>
          <w:tcPr>
            <w:tcW w:w="2131" w:type="dxa"/>
          </w:tcPr>
          <w:p w14:paraId="4EAC35CB"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25.28</w:t>
            </w:r>
          </w:p>
        </w:tc>
      </w:tr>
      <w:tr w:rsidR="00397C27" w14:paraId="12D0EA8A" w14:textId="77777777" w:rsidTr="00397C27">
        <w:tc>
          <w:tcPr>
            <w:tcW w:w="2129" w:type="dxa"/>
          </w:tcPr>
          <w:p w14:paraId="582848E8" w14:textId="77777777" w:rsidR="00397C27" w:rsidRPr="00397C27" w:rsidRDefault="00397C27" w:rsidP="00B03098">
            <w:pPr>
              <w:pStyle w:val="NormalWeb"/>
              <w:jc w:val="center"/>
            </w:pPr>
            <w:r w:rsidRPr="00397C27">
              <w:rPr>
                <w:color w:val="000000"/>
              </w:rPr>
              <w:t>P</w:t>
            </w:r>
            <w:r w:rsidRPr="00397C27">
              <w:rPr>
                <w:color w:val="000000"/>
                <w:vertAlign w:val="subscript"/>
              </w:rPr>
              <w:t>0</w:t>
            </w:r>
            <w:r w:rsidRPr="00397C27">
              <w:rPr>
                <w:color w:val="000000"/>
              </w:rPr>
              <w:t>N</w:t>
            </w:r>
            <w:r w:rsidRPr="00397C27">
              <w:rPr>
                <w:color w:val="000000"/>
                <w:vertAlign w:val="subscript"/>
              </w:rPr>
              <w:t>0</w:t>
            </w:r>
            <w:r w:rsidRPr="00397C27">
              <w:rPr>
                <w:color w:val="000000"/>
              </w:rPr>
              <w:t>M</w:t>
            </w:r>
            <w:r w:rsidRPr="00397C27">
              <w:rPr>
                <w:color w:val="000000"/>
                <w:vertAlign w:val="subscript"/>
              </w:rPr>
              <w:t>1</w:t>
            </w:r>
            <w:r w:rsidRPr="00397C27">
              <w:rPr>
                <w:color w:val="000000"/>
              </w:rPr>
              <w:t> </w:t>
            </w:r>
          </w:p>
        </w:tc>
        <w:tc>
          <w:tcPr>
            <w:tcW w:w="2131" w:type="dxa"/>
          </w:tcPr>
          <w:p w14:paraId="1C81CF1D"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2.68</w:t>
            </w:r>
          </w:p>
        </w:tc>
        <w:tc>
          <w:tcPr>
            <w:tcW w:w="2131" w:type="dxa"/>
          </w:tcPr>
          <w:p w14:paraId="3AF3556A"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12.9</w:t>
            </w:r>
          </w:p>
        </w:tc>
        <w:tc>
          <w:tcPr>
            <w:tcW w:w="2131" w:type="dxa"/>
          </w:tcPr>
          <w:p w14:paraId="2420A118"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17.22</w:t>
            </w:r>
          </w:p>
        </w:tc>
      </w:tr>
      <w:tr w:rsidR="00397C27" w14:paraId="44B21171" w14:textId="77777777" w:rsidTr="00397C27">
        <w:tc>
          <w:tcPr>
            <w:tcW w:w="2129" w:type="dxa"/>
          </w:tcPr>
          <w:p w14:paraId="73C27B48" w14:textId="77777777" w:rsidR="00397C27" w:rsidRPr="00397C27" w:rsidRDefault="00397C27" w:rsidP="00B03098">
            <w:pPr>
              <w:pStyle w:val="NormalWeb"/>
              <w:jc w:val="center"/>
            </w:pPr>
            <w:r w:rsidRPr="00397C27">
              <w:rPr>
                <w:color w:val="000000"/>
              </w:rPr>
              <w:lastRenderedPageBreak/>
              <w:t>P</w:t>
            </w:r>
            <w:r w:rsidRPr="00397C27">
              <w:rPr>
                <w:color w:val="000000"/>
                <w:vertAlign w:val="subscript"/>
              </w:rPr>
              <w:t>0</w:t>
            </w:r>
            <w:r w:rsidRPr="00397C27">
              <w:rPr>
                <w:color w:val="000000"/>
              </w:rPr>
              <w:t>N</w:t>
            </w:r>
            <w:r w:rsidRPr="00397C27">
              <w:rPr>
                <w:color w:val="000000"/>
                <w:vertAlign w:val="subscript"/>
              </w:rPr>
              <w:t>0</w:t>
            </w:r>
            <w:r w:rsidRPr="00397C27">
              <w:rPr>
                <w:color w:val="000000"/>
              </w:rPr>
              <w:t>M</w:t>
            </w:r>
            <w:r w:rsidRPr="00397C27">
              <w:rPr>
                <w:color w:val="000000"/>
                <w:vertAlign w:val="subscript"/>
              </w:rPr>
              <w:t>2</w:t>
            </w:r>
            <w:r w:rsidRPr="00397C27">
              <w:rPr>
                <w:color w:val="000000"/>
              </w:rPr>
              <w:t> </w:t>
            </w:r>
          </w:p>
        </w:tc>
        <w:tc>
          <w:tcPr>
            <w:tcW w:w="2131" w:type="dxa"/>
          </w:tcPr>
          <w:p w14:paraId="0700807B"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2.42</w:t>
            </w:r>
          </w:p>
        </w:tc>
        <w:tc>
          <w:tcPr>
            <w:tcW w:w="2131" w:type="dxa"/>
          </w:tcPr>
          <w:p w14:paraId="394DA3F5"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13.35</w:t>
            </w:r>
          </w:p>
        </w:tc>
        <w:tc>
          <w:tcPr>
            <w:tcW w:w="2131" w:type="dxa"/>
          </w:tcPr>
          <w:p w14:paraId="7297CD76"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15.36</w:t>
            </w:r>
          </w:p>
        </w:tc>
      </w:tr>
      <w:tr w:rsidR="00397C27" w14:paraId="37F50F2A" w14:textId="77777777" w:rsidTr="00397C27">
        <w:tc>
          <w:tcPr>
            <w:tcW w:w="2129" w:type="dxa"/>
          </w:tcPr>
          <w:p w14:paraId="7E53F357" w14:textId="77777777" w:rsidR="00397C27" w:rsidRPr="00397C27" w:rsidRDefault="00397C27" w:rsidP="00B03098">
            <w:pPr>
              <w:pStyle w:val="NormalWeb"/>
              <w:jc w:val="center"/>
            </w:pPr>
            <w:r w:rsidRPr="00397C27">
              <w:rPr>
                <w:color w:val="000000"/>
              </w:rPr>
              <w:t>P</w:t>
            </w:r>
            <w:r w:rsidRPr="00397C27">
              <w:rPr>
                <w:color w:val="000000"/>
                <w:vertAlign w:val="subscript"/>
              </w:rPr>
              <w:t>0</w:t>
            </w:r>
            <w:r w:rsidRPr="00397C27">
              <w:rPr>
                <w:color w:val="000000"/>
              </w:rPr>
              <w:t>N</w:t>
            </w:r>
            <w:r w:rsidRPr="00397C27">
              <w:rPr>
                <w:color w:val="000000"/>
                <w:vertAlign w:val="subscript"/>
              </w:rPr>
              <w:t>1</w:t>
            </w:r>
            <w:r w:rsidRPr="00397C27">
              <w:rPr>
                <w:color w:val="000000"/>
              </w:rPr>
              <w:t>M</w:t>
            </w:r>
            <w:r w:rsidRPr="00397C27">
              <w:rPr>
                <w:color w:val="000000"/>
                <w:vertAlign w:val="subscript"/>
              </w:rPr>
              <w:t>0</w:t>
            </w:r>
            <w:r w:rsidRPr="00397C27">
              <w:rPr>
                <w:color w:val="000000"/>
              </w:rPr>
              <w:t> </w:t>
            </w:r>
          </w:p>
        </w:tc>
        <w:tc>
          <w:tcPr>
            <w:tcW w:w="2131" w:type="dxa"/>
          </w:tcPr>
          <w:p w14:paraId="75AB41E5"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3.18</w:t>
            </w:r>
          </w:p>
        </w:tc>
        <w:tc>
          <w:tcPr>
            <w:tcW w:w="2131" w:type="dxa"/>
          </w:tcPr>
          <w:p w14:paraId="460BE09B"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12.0</w:t>
            </w:r>
          </w:p>
        </w:tc>
        <w:tc>
          <w:tcPr>
            <w:tcW w:w="2131" w:type="dxa"/>
          </w:tcPr>
          <w:p w14:paraId="50B4823C"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20.96</w:t>
            </w:r>
          </w:p>
        </w:tc>
      </w:tr>
      <w:tr w:rsidR="00397C27" w14:paraId="2ECC5CFF" w14:textId="77777777" w:rsidTr="00397C27">
        <w:tc>
          <w:tcPr>
            <w:tcW w:w="2129" w:type="dxa"/>
          </w:tcPr>
          <w:p w14:paraId="4F539027" w14:textId="77777777" w:rsidR="00397C27" w:rsidRPr="00397C27" w:rsidRDefault="00397C27" w:rsidP="00B03098">
            <w:pPr>
              <w:pStyle w:val="NormalWeb"/>
              <w:jc w:val="center"/>
            </w:pPr>
            <w:r w:rsidRPr="00397C27">
              <w:rPr>
                <w:color w:val="000000"/>
              </w:rPr>
              <w:t>P</w:t>
            </w:r>
            <w:r w:rsidRPr="00397C27">
              <w:rPr>
                <w:color w:val="000000"/>
                <w:vertAlign w:val="subscript"/>
              </w:rPr>
              <w:t>0</w:t>
            </w:r>
            <w:r w:rsidRPr="00397C27">
              <w:rPr>
                <w:color w:val="000000"/>
              </w:rPr>
              <w:t>N</w:t>
            </w:r>
            <w:r w:rsidRPr="00397C27">
              <w:rPr>
                <w:color w:val="000000"/>
                <w:vertAlign w:val="subscript"/>
              </w:rPr>
              <w:t>1</w:t>
            </w:r>
            <w:r w:rsidRPr="00397C27">
              <w:rPr>
                <w:color w:val="000000"/>
              </w:rPr>
              <w:t>M</w:t>
            </w:r>
            <w:r w:rsidRPr="00397C27">
              <w:rPr>
                <w:color w:val="000000"/>
                <w:vertAlign w:val="subscript"/>
              </w:rPr>
              <w:t>1</w:t>
            </w:r>
            <w:r w:rsidRPr="00397C27">
              <w:rPr>
                <w:color w:val="000000"/>
              </w:rPr>
              <w:t> </w:t>
            </w:r>
          </w:p>
        </w:tc>
        <w:tc>
          <w:tcPr>
            <w:tcW w:w="2131" w:type="dxa"/>
          </w:tcPr>
          <w:p w14:paraId="53CE1676"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2.79</w:t>
            </w:r>
          </w:p>
        </w:tc>
        <w:tc>
          <w:tcPr>
            <w:tcW w:w="2131" w:type="dxa"/>
          </w:tcPr>
          <w:p w14:paraId="24409518"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13.48</w:t>
            </w:r>
          </w:p>
        </w:tc>
        <w:tc>
          <w:tcPr>
            <w:tcW w:w="2131" w:type="dxa"/>
          </w:tcPr>
          <w:p w14:paraId="5CA48698"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17.17</w:t>
            </w:r>
          </w:p>
        </w:tc>
      </w:tr>
      <w:tr w:rsidR="00397C27" w14:paraId="4E553061" w14:textId="77777777" w:rsidTr="00397C27">
        <w:tc>
          <w:tcPr>
            <w:tcW w:w="2129" w:type="dxa"/>
          </w:tcPr>
          <w:p w14:paraId="71186C10" w14:textId="77777777" w:rsidR="00397C27" w:rsidRPr="00397C27" w:rsidRDefault="00397C27" w:rsidP="00B03098">
            <w:pPr>
              <w:pStyle w:val="NormalWeb"/>
              <w:jc w:val="center"/>
            </w:pPr>
            <w:r w:rsidRPr="00397C27">
              <w:rPr>
                <w:color w:val="000000"/>
              </w:rPr>
              <w:t>P</w:t>
            </w:r>
            <w:r w:rsidRPr="00397C27">
              <w:rPr>
                <w:color w:val="000000"/>
                <w:vertAlign w:val="subscript"/>
              </w:rPr>
              <w:t>0</w:t>
            </w:r>
            <w:r w:rsidRPr="00397C27">
              <w:rPr>
                <w:color w:val="000000"/>
              </w:rPr>
              <w:t>N</w:t>
            </w:r>
            <w:r w:rsidRPr="00397C27">
              <w:rPr>
                <w:color w:val="000000"/>
                <w:vertAlign w:val="subscript"/>
              </w:rPr>
              <w:t>1</w:t>
            </w:r>
            <w:r w:rsidRPr="00397C27">
              <w:rPr>
                <w:color w:val="000000"/>
              </w:rPr>
              <w:t>M</w:t>
            </w:r>
            <w:r w:rsidRPr="00397C27">
              <w:rPr>
                <w:color w:val="000000"/>
                <w:vertAlign w:val="subscript"/>
              </w:rPr>
              <w:t>2</w:t>
            </w:r>
            <w:r w:rsidRPr="00397C27">
              <w:rPr>
                <w:color w:val="000000"/>
              </w:rPr>
              <w:t> </w:t>
            </w:r>
          </w:p>
        </w:tc>
        <w:tc>
          <w:tcPr>
            <w:tcW w:w="2131" w:type="dxa"/>
          </w:tcPr>
          <w:p w14:paraId="50F6A250"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2.91</w:t>
            </w:r>
          </w:p>
        </w:tc>
        <w:tc>
          <w:tcPr>
            <w:tcW w:w="2131" w:type="dxa"/>
          </w:tcPr>
          <w:p w14:paraId="20BDC4AF"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13.31</w:t>
            </w:r>
          </w:p>
        </w:tc>
        <w:tc>
          <w:tcPr>
            <w:tcW w:w="2131" w:type="dxa"/>
          </w:tcPr>
          <w:p w14:paraId="2B2F3D73"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17.93</w:t>
            </w:r>
          </w:p>
        </w:tc>
      </w:tr>
      <w:tr w:rsidR="00397C27" w14:paraId="6DC14D0D" w14:textId="77777777" w:rsidTr="00397C27">
        <w:tc>
          <w:tcPr>
            <w:tcW w:w="2129" w:type="dxa"/>
          </w:tcPr>
          <w:p w14:paraId="352DDDA5" w14:textId="77777777" w:rsidR="00397C27" w:rsidRPr="00397C27" w:rsidRDefault="00397C27" w:rsidP="00B03098">
            <w:pPr>
              <w:pStyle w:val="NormalWeb"/>
              <w:jc w:val="center"/>
            </w:pPr>
            <w:r w:rsidRPr="00397C27">
              <w:rPr>
                <w:color w:val="000000"/>
              </w:rPr>
              <w:t>P</w:t>
            </w:r>
            <w:r w:rsidRPr="00397C27">
              <w:rPr>
                <w:color w:val="000000"/>
                <w:vertAlign w:val="subscript"/>
              </w:rPr>
              <w:t>0</w:t>
            </w:r>
            <w:r w:rsidRPr="00397C27">
              <w:rPr>
                <w:color w:val="000000"/>
              </w:rPr>
              <w:t>N</w:t>
            </w:r>
            <w:r w:rsidRPr="00397C27">
              <w:rPr>
                <w:color w:val="000000"/>
                <w:vertAlign w:val="subscript"/>
              </w:rPr>
              <w:t>2</w:t>
            </w:r>
            <w:r w:rsidRPr="00397C27">
              <w:rPr>
                <w:color w:val="000000"/>
              </w:rPr>
              <w:t>M</w:t>
            </w:r>
            <w:r w:rsidRPr="00397C27">
              <w:rPr>
                <w:color w:val="000000"/>
                <w:vertAlign w:val="subscript"/>
              </w:rPr>
              <w:t>0</w:t>
            </w:r>
            <w:r w:rsidRPr="00397C27">
              <w:rPr>
                <w:color w:val="000000"/>
              </w:rPr>
              <w:t> </w:t>
            </w:r>
          </w:p>
        </w:tc>
        <w:tc>
          <w:tcPr>
            <w:tcW w:w="2131" w:type="dxa"/>
          </w:tcPr>
          <w:p w14:paraId="3B9CC5B4"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2.18</w:t>
            </w:r>
          </w:p>
        </w:tc>
        <w:tc>
          <w:tcPr>
            <w:tcW w:w="2131" w:type="dxa"/>
          </w:tcPr>
          <w:p w14:paraId="08595E2A"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12.67</w:t>
            </w:r>
          </w:p>
        </w:tc>
        <w:tc>
          <w:tcPr>
            <w:tcW w:w="2131" w:type="dxa"/>
          </w:tcPr>
          <w:p w14:paraId="677E2794"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14.72</w:t>
            </w:r>
          </w:p>
        </w:tc>
      </w:tr>
      <w:tr w:rsidR="00397C27" w14:paraId="730FF47E" w14:textId="77777777" w:rsidTr="00397C27">
        <w:tc>
          <w:tcPr>
            <w:tcW w:w="2129" w:type="dxa"/>
          </w:tcPr>
          <w:p w14:paraId="2BB5E854" w14:textId="77777777" w:rsidR="00397C27" w:rsidRPr="00397C27" w:rsidRDefault="00397C27" w:rsidP="00B03098">
            <w:pPr>
              <w:pStyle w:val="NormalWeb"/>
              <w:jc w:val="center"/>
            </w:pPr>
            <w:r w:rsidRPr="00397C27">
              <w:rPr>
                <w:color w:val="000000"/>
              </w:rPr>
              <w:t>P</w:t>
            </w:r>
            <w:r w:rsidRPr="00397C27">
              <w:rPr>
                <w:color w:val="000000"/>
                <w:vertAlign w:val="subscript"/>
              </w:rPr>
              <w:t>0</w:t>
            </w:r>
            <w:r w:rsidRPr="00397C27">
              <w:rPr>
                <w:color w:val="000000"/>
              </w:rPr>
              <w:t>N</w:t>
            </w:r>
            <w:r w:rsidRPr="00397C27">
              <w:rPr>
                <w:color w:val="000000"/>
                <w:vertAlign w:val="subscript"/>
              </w:rPr>
              <w:t>2</w:t>
            </w:r>
            <w:r w:rsidRPr="00397C27">
              <w:rPr>
                <w:color w:val="000000"/>
              </w:rPr>
              <w:t>M</w:t>
            </w:r>
            <w:r w:rsidRPr="00397C27">
              <w:rPr>
                <w:color w:val="000000"/>
                <w:vertAlign w:val="subscript"/>
              </w:rPr>
              <w:t>1</w:t>
            </w:r>
            <w:r w:rsidRPr="00397C27">
              <w:rPr>
                <w:color w:val="000000"/>
              </w:rPr>
              <w:t> </w:t>
            </w:r>
          </w:p>
        </w:tc>
        <w:tc>
          <w:tcPr>
            <w:tcW w:w="2131" w:type="dxa"/>
          </w:tcPr>
          <w:p w14:paraId="7C9EBB0C"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3.06</w:t>
            </w:r>
          </w:p>
        </w:tc>
        <w:tc>
          <w:tcPr>
            <w:tcW w:w="2131" w:type="dxa"/>
          </w:tcPr>
          <w:p w14:paraId="707AC812"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13.05</w:t>
            </w:r>
          </w:p>
        </w:tc>
        <w:tc>
          <w:tcPr>
            <w:tcW w:w="2131" w:type="dxa"/>
          </w:tcPr>
          <w:p w14:paraId="315A5F8A"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19.01</w:t>
            </w:r>
          </w:p>
        </w:tc>
      </w:tr>
      <w:tr w:rsidR="00397C27" w14:paraId="08453213" w14:textId="77777777" w:rsidTr="00397C27">
        <w:tc>
          <w:tcPr>
            <w:tcW w:w="2129" w:type="dxa"/>
          </w:tcPr>
          <w:p w14:paraId="46236AED" w14:textId="77777777" w:rsidR="00397C27" w:rsidRPr="00397C27" w:rsidRDefault="00397C27" w:rsidP="00B03098">
            <w:pPr>
              <w:pStyle w:val="NormalWeb"/>
              <w:jc w:val="center"/>
            </w:pPr>
            <w:r w:rsidRPr="00397C27">
              <w:rPr>
                <w:color w:val="000000"/>
              </w:rPr>
              <w:t>P</w:t>
            </w:r>
            <w:r w:rsidRPr="00397C27">
              <w:rPr>
                <w:color w:val="000000"/>
                <w:vertAlign w:val="subscript"/>
              </w:rPr>
              <w:t>0</w:t>
            </w:r>
            <w:r w:rsidRPr="00397C27">
              <w:rPr>
                <w:color w:val="000000"/>
              </w:rPr>
              <w:t>N</w:t>
            </w:r>
            <w:r w:rsidRPr="00397C27">
              <w:rPr>
                <w:color w:val="000000"/>
                <w:vertAlign w:val="subscript"/>
              </w:rPr>
              <w:t>2</w:t>
            </w:r>
            <w:r w:rsidRPr="00397C27">
              <w:rPr>
                <w:color w:val="000000"/>
              </w:rPr>
              <w:t>M</w:t>
            </w:r>
            <w:r w:rsidRPr="00397C27">
              <w:rPr>
                <w:color w:val="000000"/>
                <w:vertAlign w:val="subscript"/>
              </w:rPr>
              <w:t>2</w:t>
            </w:r>
            <w:r w:rsidRPr="00397C27">
              <w:rPr>
                <w:color w:val="000000"/>
              </w:rPr>
              <w:t> </w:t>
            </w:r>
          </w:p>
        </w:tc>
        <w:tc>
          <w:tcPr>
            <w:tcW w:w="2131" w:type="dxa"/>
          </w:tcPr>
          <w:p w14:paraId="57C9E854"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2.25</w:t>
            </w:r>
          </w:p>
        </w:tc>
        <w:tc>
          <w:tcPr>
            <w:tcW w:w="2131" w:type="dxa"/>
          </w:tcPr>
          <w:p w14:paraId="77E2BD5F"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14.07</w:t>
            </w:r>
          </w:p>
        </w:tc>
        <w:tc>
          <w:tcPr>
            <w:tcW w:w="2131" w:type="dxa"/>
          </w:tcPr>
          <w:p w14:paraId="5087E411"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12.27</w:t>
            </w:r>
          </w:p>
        </w:tc>
      </w:tr>
      <w:tr w:rsidR="00397C27" w14:paraId="546DE6A0" w14:textId="77777777" w:rsidTr="00397C27">
        <w:tc>
          <w:tcPr>
            <w:tcW w:w="2129" w:type="dxa"/>
          </w:tcPr>
          <w:p w14:paraId="619ECAD5" w14:textId="77777777" w:rsidR="00397C27" w:rsidRPr="00397C27" w:rsidRDefault="00397C27" w:rsidP="00B03098">
            <w:pPr>
              <w:pStyle w:val="NormalWeb"/>
              <w:jc w:val="center"/>
            </w:pPr>
            <w:r w:rsidRPr="00397C27">
              <w:rPr>
                <w:color w:val="000000"/>
              </w:rPr>
              <w:t>P</w:t>
            </w:r>
            <w:r w:rsidRPr="00397C27">
              <w:rPr>
                <w:color w:val="000000"/>
                <w:vertAlign w:val="subscript"/>
              </w:rPr>
              <w:t>1</w:t>
            </w:r>
            <w:r w:rsidRPr="00397C27">
              <w:rPr>
                <w:color w:val="000000"/>
              </w:rPr>
              <w:t>N</w:t>
            </w:r>
            <w:r w:rsidRPr="00397C27">
              <w:rPr>
                <w:color w:val="000000"/>
                <w:vertAlign w:val="subscript"/>
              </w:rPr>
              <w:t>0</w:t>
            </w:r>
            <w:r w:rsidRPr="00397C27">
              <w:rPr>
                <w:color w:val="000000"/>
              </w:rPr>
              <w:t>M</w:t>
            </w:r>
            <w:r w:rsidRPr="00397C27">
              <w:rPr>
                <w:color w:val="000000"/>
                <w:vertAlign w:val="subscript"/>
              </w:rPr>
              <w:t>0</w:t>
            </w:r>
            <w:r w:rsidRPr="00397C27">
              <w:rPr>
                <w:color w:val="000000"/>
              </w:rPr>
              <w:t> </w:t>
            </w:r>
          </w:p>
        </w:tc>
        <w:tc>
          <w:tcPr>
            <w:tcW w:w="2131" w:type="dxa"/>
          </w:tcPr>
          <w:p w14:paraId="23D8359B"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3.38</w:t>
            </w:r>
          </w:p>
        </w:tc>
        <w:tc>
          <w:tcPr>
            <w:tcW w:w="2131" w:type="dxa"/>
          </w:tcPr>
          <w:p w14:paraId="388D4830"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11.65</w:t>
            </w:r>
          </w:p>
        </w:tc>
        <w:tc>
          <w:tcPr>
            <w:tcW w:w="2131" w:type="dxa"/>
          </w:tcPr>
          <w:p w14:paraId="1F171ADA"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22.49</w:t>
            </w:r>
          </w:p>
        </w:tc>
      </w:tr>
      <w:tr w:rsidR="00397C27" w14:paraId="0A39E7B3" w14:textId="77777777" w:rsidTr="00397C27">
        <w:tc>
          <w:tcPr>
            <w:tcW w:w="2129" w:type="dxa"/>
          </w:tcPr>
          <w:p w14:paraId="17356244" w14:textId="77777777" w:rsidR="00397C27" w:rsidRPr="00397C27" w:rsidRDefault="00397C27" w:rsidP="00B03098">
            <w:pPr>
              <w:pStyle w:val="NormalWeb"/>
              <w:jc w:val="center"/>
            </w:pPr>
            <w:r w:rsidRPr="00397C27">
              <w:rPr>
                <w:color w:val="000000"/>
              </w:rPr>
              <w:t>P</w:t>
            </w:r>
            <w:r w:rsidRPr="00397C27">
              <w:rPr>
                <w:color w:val="000000"/>
                <w:vertAlign w:val="subscript"/>
              </w:rPr>
              <w:t>1</w:t>
            </w:r>
            <w:r w:rsidRPr="00397C27">
              <w:rPr>
                <w:color w:val="000000"/>
              </w:rPr>
              <w:t>N</w:t>
            </w:r>
            <w:r w:rsidRPr="00397C27">
              <w:rPr>
                <w:color w:val="000000"/>
                <w:vertAlign w:val="subscript"/>
              </w:rPr>
              <w:t>0</w:t>
            </w:r>
            <w:r w:rsidRPr="00397C27">
              <w:rPr>
                <w:color w:val="000000"/>
              </w:rPr>
              <w:t>M</w:t>
            </w:r>
            <w:r w:rsidRPr="00397C27">
              <w:rPr>
                <w:color w:val="000000"/>
                <w:vertAlign w:val="subscript"/>
              </w:rPr>
              <w:t>1</w:t>
            </w:r>
            <w:r w:rsidRPr="00397C27">
              <w:rPr>
                <w:color w:val="000000"/>
              </w:rPr>
              <w:t> </w:t>
            </w:r>
          </w:p>
        </w:tc>
        <w:tc>
          <w:tcPr>
            <w:tcW w:w="2131" w:type="dxa"/>
          </w:tcPr>
          <w:p w14:paraId="760791E2"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2.41</w:t>
            </w:r>
          </w:p>
        </w:tc>
        <w:tc>
          <w:tcPr>
            <w:tcW w:w="2131" w:type="dxa"/>
          </w:tcPr>
          <w:p w14:paraId="1B747A5F"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13.7</w:t>
            </w:r>
          </w:p>
        </w:tc>
        <w:tc>
          <w:tcPr>
            <w:tcW w:w="2131" w:type="dxa"/>
          </w:tcPr>
          <w:p w14:paraId="5E875E4F"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14.96</w:t>
            </w:r>
          </w:p>
        </w:tc>
      </w:tr>
      <w:tr w:rsidR="00397C27" w14:paraId="6DBDA448" w14:textId="77777777" w:rsidTr="00397C27">
        <w:tc>
          <w:tcPr>
            <w:tcW w:w="2129" w:type="dxa"/>
          </w:tcPr>
          <w:p w14:paraId="6A7A8030" w14:textId="77777777" w:rsidR="00397C27" w:rsidRPr="00397C27" w:rsidRDefault="00397C27" w:rsidP="00B03098">
            <w:pPr>
              <w:pStyle w:val="NormalWeb"/>
              <w:jc w:val="center"/>
            </w:pPr>
            <w:r w:rsidRPr="00397C27">
              <w:rPr>
                <w:color w:val="000000"/>
              </w:rPr>
              <w:t>P</w:t>
            </w:r>
            <w:r w:rsidRPr="00397C27">
              <w:rPr>
                <w:color w:val="000000"/>
                <w:vertAlign w:val="subscript"/>
              </w:rPr>
              <w:t>1</w:t>
            </w:r>
            <w:r w:rsidRPr="00397C27">
              <w:rPr>
                <w:color w:val="000000"/>
              </w:rPr>
              <w:t>N</w:t>
            </w:r>
            <w:r w:rsidRPr="00397C27">
              <w:rPr>
                <w:color w:val="000000"/>
                <w:vertAlign w:val="subscript"/>
              </w:rPr>
              <w:t>0</w:t>
            </w:r>
            <w:r w:rsidRPr="00397C27">
              <w:rPr>
                <w:color w:val="000000"/>
              </w:rPr>
              <w:t>M</w:t>
            </w:r>
            <w:r w:rsidRPr="00397C27">
              <w:rPr>
                <w:color w:val="000000"/>
                <w:vertAlign w:val="subscript"/>
              </w:rPr>
              <w:t>2</w:t>
            </w:r>
            <w:r w:rsidRPr="00397C27">
              <w:rPr>
                <w:color w:val="000000"/>
              </w:rPr>
              <w:t> </w:t>
            </w:r>
          </w:p>
        </w:tc>
        <w:tc>
          <w:tcPr>
            <w:tcW w:w="2131" w:type="dxa"/>
          </w:tcPr>
          <w:p w14:paraId="78949A2F"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2.68</w:t>
            </w:r>
          </w:p>
        </w:tc>
        <w:tc>
          <w:tcPr>
            <w:tcW w:w="2131" w:type="dxa"/>
          </w:tcPr>
          <w:p w14:paraId="77EBFABA"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14.53</w:t>
            </w:r>
          </w:p>
        </w:tc>
        <w:tc>
          <w:tcPr>
            <w:tcW w:w="2131" w:type="dxa"/>
          </w:tcPr>
          <w:p w14:paraId="32FEA2F0"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15.57</w:t>
            </w:r>
          </w:p>
        </w:tc>
      </w:tr>
      <w:tr w:rsidR="00397C27" w14:paraId="5160A8A5" w14:textId="77777777" w:rsidTr="00397C27">
        <w:tc>
          <w:tcPr>
            <w:tcW w:w="2129" w:type="dxa"/>
          </w:tcPr>
          <w:p w14:paraId="1F5448DB" w14:textId="77777777" w:rsidR="00397C27" w:rsidRPr="00397C27" w:rsidRDefault="00397C27" w:rsidP="00B03098">
            <w:pPr>
              <w:pStyle w:val="NormalWeb"/>
              <w:jc w:val="center"/>
            </w:pPr>
            <w:r w:rsidRPr="00397C27">
              <w:rPr>
                <w:color w:val="000000"/>
              </w:rPr>
              <w:t>P</w:t>
            </w:r>
            <w:r w:rsidRPr="00397C27">
              <w:rPr>
                <w:color w:val="000000"/>
                <w:vertAlign w:val="subscript"/>
              </w:rPr>
              <w:t>1</w:t>
            </w:r>
            <w:r w:rsidRPr="00397C27">
              <w:rPr>
                <w:color w:val="000000"/>
              </w:rPr>
              <w:t>N</w:t>
            </w:r>
            <w:r w:rsidRPr="00397C27">
              <w:rPr>
                <w:color w:val="000000"/>
                <w:vertAlign w:val="subscript"/>
              </w:rPr>
              <w:t>1</w:t>
            </w:r>
            <w:r w:rsidRPr="00397C27">
              <w:rPr>
                <w:color w:val="000000"/>
              </w:rPr>
              <w:t>M</w:t>
            </w:r>
            <w:r w:rsidRPr="00397C27">
              <w:rPr>
                <w:color w:val="000000"/>
                <w:vertAlign w:val="subscript"/>
              </w:rPr>
              <w:t>0</w:t>
            </w:r>
            <w:r w:rsidRPr="00397C27">
              <w:rPr>
                <w:color w:val="000000"/>
              </w:rPr>
              <w:t> </w:t>
            </w:r>
          </w:p>
        </w:tc>
        <w:tc>
          <w:tcPr>
            <w:tcW w:w="2131" w:type="dxa"/>
          </w:tcPr>
          <w:p w14:paraId="7F7BC635"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2.83</w:t>
            </w:r>
          </w:p>
        </w:tc>
        <w:tc>
          <w:tcPr>
            <w:tcW w:w="2131" w:type="dxa"/>
          </w:tcPr>
          <w:p w14:paraId="4A6FD87D"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14.35</w:t>
            </w:r>
          </w:p>
        </w:tc>
        <w:tc>
          <w:tcPr>
            <w:tcW w:w="2131" w:type="dxa"/>
          </w:tcPr>
          <w:p w14:paraId="3FD1095A"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16.47</w:t>
            </w:r>
          </w:p>
        </w:tc>
      </w:tr>
      <w:tr w:rsidR="00397C27" w14:paraId="240A4B77" w14:textId="77777777" w:rsidTr="00397C27">
        <w:tc>
          <w:tcPr>
            <w:tcW w:w="2129" w:type="dxa"/>
          </w:tcPr>
          <w:p w14:paraId="0432B1D0" w14:textId="77777777" w:rsidR="00397C27" w:rsidRPr="00397C27" w:rsidRDefault="00397C27" w:rsidP="00B03098">
            <w:pPr>
              <w:pStyle w:val="NormalWeb"/>
              <w:jc w:val="center"/>
            </w:pPr>
            <w:r w:rsidRPr="00397C27">
              <w:rPr>
                <w:color w:val="000000"/>
              </w:rPr>
              <w:t>P</w:t>
            </w:r>
            <w:r w:rsidRPr="00397C27">
              <w:rPr>
                <w:color w:val="000000"/>
                <w:vertAlign w:val="subscript"/>
              </w:rPr>
              <w:t>1</w:t>
            </w:r>
            <w:r w:rsidRPr="00397C27">
              <w:rPr>
                <w:color w:val="000000"/>
              </w:rPr>
              <w:t>N</w:t>
            </w:r>
            <w:r w:rsidRPr="00397C27">
              <w:rPr>
                <w:color w:val="000000"/>
                <w:vertAlign w:val="subscript"/>
              </w:rPr>
              <w:t>1</w:t>
            </w:r>
            <w:r w:rsidRPr="00397C27">
              <w:rPr>
                <w:color w:val="000000"/>
              </w:rPr>
              <w:t>M</w:t>
            </w:r>
            <w:r w:rsidRPr="00397C27">
              <w:rPr>
                <w:color w:val="000000"/>
                <w:vertAlign w:val="subscript"/>
              </w:rPr>
              <w:t>1</w:t>
            </w:r>
            <w:r w:rsidRPr="00397C27">
              <w:rPr>
                <w:color w:val="000000"/>
              </w:rPr>
              <w:t> </w:t>
            </w:r>
          </w:p>
        </w:tc>
        <w:tc>
          <w:tcPr>
            <w:tcW w:w="2131" w:type="dxa"/>
          </w:tcPr>
          <w:p w14:paraId="27DC334F"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2.4</w:t>
            </w:r>
          </w:p>
        </w:tc>
        <w:tc>
          <w:tcPr>
            <w:tcW w:w="2131" w:type="dxa"/>
          </w:tcPr>
          <w:p w14:paraId="45A920C3"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15.65</w:t>
            </w:r>
          </w:p>
        </w:tc>
        <w:tc>
          <w:tcPr>
            <w:tcW w:w="2131" w:type="dxa"/>
          </w:tcPr>
          <w:p w14:paraId="045AA220"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13.31</w:t>
            </w:r>
          </w:p>
        </w:tc>
      </w:tr>
      <w:tr w:rsidR="00397C27" w14:paraId="0557F92E" w14:textId="77777777" w:rsidTr="00397C27">
        <w:tc>
          <w:tcPr>
            <w:tcW w:w="2129" w:type="dxa"/>
          </w:tcPr>
          <w:p w14:paraId="39FDE3A8" w14:textId="77777777" w:rsidR="00397C27" w:rsidRPr="00397C27" w:rsidRDefault="00397C27" w:rsidP="00B03098">
            <w:pPr>
              <w:pStyle w:val="NormalWeb"/>
              <w:jc w:val="center"/>
            </w:pPr>
            <w:r w:rsidRPr="00397C27">
              <w:rPr>
                <w:color w:val="000000"/>
              </w:rPr>
              <w:t>P</w:t>
            </w:r>
            <w:r w:rsidRPr="00397C27">
              <w:rPr>
                <w:color w:val="000000"/>
                <w:vertAlign w:val="subscript"/>
              </w:rPr>
              <w:t>1</w:t>
            </w:r>
            <w:r w:rsidRPr="00397C27">
              <w:rPr>
                <w:color w:val="000000"/>
              </w:rPr>
              <w:t>N</w:t>
            </w:r>
            <w:r w:rsidRPr="00397C27">
              <w:rPr>
                <w:color w:val="000000"/>
                <w:vertAlign w:val="subscript"/>
              </w:rPr>
              <w:t>1</w:t>
            </w:r>
            <w:r w:rsidRPr="00397C27">
              <w:rPr>
                <w:color w:val="000000"/>
              </w:rPr>
              <w:t>M</w:t>
            </w:r>
            <w:r w:rsidRPr="00397C27">
              <w:rPr>
                <w:color w:val="000000"/>
                <w:vertAlign w:val="subscript"/>
              </w:rPr>
              <w:t>2</w:t>
            </w:r>
            <w:r w:rsidRPr="00397C27">
              <w:rPr>
                <w:color w:val="000000"/>
              </w:rPr>
              <w:t> </w:t>
            </w:r>
          </w:p>
        </w:tc>
        <w:tc>
          <w:tcPr>
            <w:tcW w:w="2131" w:type="dxa"/>
          </w:tcPr>
          <w:p w14:paraId="5C136C30"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2.32</w:t>
            </w:r>
          </w:p>
        </w:tc>
        <w:tc>
          <w:tcPr>
            <w:tcW w:w="2131" w:type="dxa"/>
          </w:tcPr>
          <w:p w14:paraId="702A4434"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15.23</w:t>
            </w:r>
          </w:p>
        </w:tc>
        <w:tc>
          <w:tcPr>
            <w:tcW w:w="2131" w:type="dxa"/>
          </w:tcPr>
          <w:p w14:paraId="208765C5"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12.48</w:t>
            </w:r>
          </w:p>
        </w:tc>
      </w:tr>
      <w:tr w:rsidR="00397C27" w14:paraId="5ECA804A" w14:textId="77777777" w:rsidTr="00397C27">
        <w:tc>
          <w:tcPr>
            <w:tcW w:w="2129" w:type="dxa"/>
          </w:tcPr>
          <w:p w14:paraId="1AFF1F8C" w14:textId="77777777" w:rsidR="00397C27" w:rsidRPr="00397C27" w:rsidRDefault="00397C27" w:rsidP="00B03098">
            <w:pPr>
              <w:pStyle w:val="NormalWeb"/>
              <w:jc w:val="center"/>
            </w:pPr>
            <w:r w:rsidRPr="00397C27">
              <w:rPr>
                <w:color w:val="000000"/>
              </w:rPr>
              <w:t>P</w:t>
            </w:r>
            <w:r w:rsidRPr="00397C27">
              <w:rPr>
                <w:color w:val="000000"/>
                <w:vertAlign w:val="subscript"/>
              </w:rPr>
              <w:t>1</w:t>
            </w:r>
            <w:r w:rsidRPr="00397C27">
              <w:rPr>
                <w:color w:val="000000"/>
              </w:rPr>
              <w:t>N</w:t>
            </w:r>
            <w:r w:rsidRPr="00397C27">
              <w:rPr>
                <w:color w:val="000000"/>
                <w:vertAlign w:val="subscript"/>
              </w:rPr>
              <w:t>2</w:t>
            </w:r>
            <w:r w:rsidRPr="00397C27">
              <w:rPr>
                <w:color w:val="000000"/>
              </w:rPr>
              <w:t>M</w:t>
            </w:r>
            <w:r w:rsidRPr="00397C27">
              <w:rPr>
                <w:color w:val="000000"/>
                <w:vertAlign w:val="subscript"/>
              </w:rPr>
              <w:t>0</w:t>
            </w:r>
            <w:r w:rsidRPr="00397C27">
              <w:rPr>
                <w:color w:val="000000"/>
              </w:rPr>
              <w:t> </w:t>
            </w:r>
          </w:p>
        </w:tc>
        <w:tc>
          <w:tcPr>
            <w:tcW w:w="2131" w:type="dxa"/>
          </w:tcPr>
          <w:p w14:paraId="4869FC6D"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2.32</w:t>
            </w:r>
          </w:p>
        </w:tc>
        <w:tc>
          <w:tcPr>
            <w:tcW w:w="2131" w:type="dxa"/>
          </w:tcPr>
          <w:p w14:paraId="2505AEC7"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13.8</w:t>
            </w:r>
          </w:p>
        </w:tc>
        <w:tc>
          <w:tcPr>
            <w:tcW w:w="2131" w:type="dxa"/>
          </w:tcPr>
          <w:p w14:paraId="660EBF37"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14.38</w:t>
            </w:r>
          </w:p>
        </w:tc>
      </w:tr>
      <w:tr w:rsidR="00397C27" w14:paraId="42E9D576" w14:textId="77777777" w:rsidTr="00397C27">
        <w:tc>
          <w:tcPr>
            <w:tcW w:w="2129" w:type="dxa"/>
          </w:tcPr>
          <w:p w14:paraId="19A87286" w14:textId="77777777" w:rsidR="00397C27" w:rsidRPr="00397C27" w:rsidRDefault="00397C27" w:rsidP="00B03098">
            <w:pPr>
              <w:pStyle w:val="NormalWeb"/>
              <w:jc w:val="center"/>
            </w:pPr>
            <w:r w:rsidRPr="00397C27">
              <w:rPr>
                <w:color w:val="000000"/>
              </w:rPr>
              <w:t>P</w:t>
            </w:r>
            <w:r w:rsidRPr="00397C27">
              <w:rPr>
                <w:color w:val="000000"/>
                <w:vertAlign w:val="subscript"/>
              </w:rPr>
              <w:t>1</w:t>
            </w:r>
            <w:r w:rsidRPr="00397C27">
              <w:rPr>
                <w:color w:val="000000"/>
              </w:rPr>
              <w:t>N</w:t>
            </w:r>
            <w:r w:rsidRPr="00397C27">
              <w:rPr>
                <w:color w:val="000000"/>
                <w:vertAlign w:val="subscript"/>
              </w:rPr>
              <w:t>2</w:t>
            </w:r>
            <w:r w:rsidRPr="00397C27">
              <w:rPr>
                <w:color w:val="000000"/>
              </w:rPr>
              <w:t>M</w:t>
            </w:r>
            <w:r w:rsidRPr="00397C27">
              <w:rPr>
                <w:color w:val="000000"/>
                <w:vertAlign w:val="subscript"/>
              </w:rPr>
              <w:t>1 </w:t>
            </w:r>
          </w:p>
        </w:tc>
        <w:tc>
          <w:tcPr>
            <w:tcW w:w="2131" w:type="dxa"/>
          </w:tcPr>
          <w:p w14:paraId="6E3E37C6"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2.15</w:t>
            </w:r>
          </w:p>
        </w:tc>
        <w:tc>
          <w:tcPr>
            <w:tcW w:w="2131" w:type="dxa"/>
          </w:tcPr>
          <w:p w14:paraId="63EE9080"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14.93</w:t>
            </w:r>
          </w:p>
        </w:tc>
        <w:tc>
          <w:tcPr>
            <w:tcW w:w="2131" w:type="dxa"/>
          </w:tcPr>
          <w:p w14:paraId="522A7C27"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12.58</w:t>
            </w:r>
          </w:p>
        </w:tc>
      </w:tr>
      <w:tr w:rsidR="00397C27" w14:paraId="23AE2293" w14:textId="77777777" w:rsidTr="00397C27">
        <w:tc>
          <w:tcPr>
            <w:tcW w:w="2129" w:type="dxa"/>
          </w:tcPr>
          <w:p w14:paraId="1FAEDBEC" w14:textId="77777777" w:rsidR="00397C27" w:rsidRPr="00397C27" w:rsidRDefault="00397C27" w:rsidP="00B03098">
            <w:pPr>
              <w:pStyle w:val="NormalWeb"/>
              <w:jc w:val="center"/>
            </w:pPr>
            <w:r w:rsidRPr="00397C27">
              <w:rPr>
                <w:color w:val="000000"/>
              </w:rPr>
              <w:t>P</w:t>
            </w:r>
            <w:r w:rsidRPr="00397C27">
              <w:rPr>
                <w:color w:val="000000"/>
                <w:vertAlign w:val="subscript"/>
              </w:rPr>
              <w:t>1</w:t>
            </w:r>
            <w:r w:rsidRPr="00397C27">
              <w:rPr>
                <w:color w:val="000000"/>
              </w:rPr>
              <w:t>N</w:t>
            </w:r>
            <w:r w:rsidRPr="00397C27">
              <w:rPr>
                <w:color w:val="000000"/>
                <w:vertAlign w:val="subscript"/>
              </w:rPr>
              <w:t>2</w:t>
            </w:r>
            <w:r w:rsidRPr="00397C27">
              <w:rPr>
                <w:color w:val="000000"/>
              </w:rPr>
              <w:t>M</w:t>
            </w:r>
            <w:r w:rsidRPr="00397C27">
              <w:rPr>
                <w:color w:val="000000"/>
                <w:vertAlign w:val="subscript"/>
              </w:rPr>
              <w:t>2</w:t>
            </w:r>
            <w:r w:rsidRPr="00397C27">
              <w:rPr>
                <w:color w:val="000000"/>
              </w:rPr>
              <w:t> </w:t>
            </w:r>
          </w:p>
        </w:tc>
        <w:tc>
          <w:tcPr>
            <w:tcW w:w="2131" w:type="dxa"/>
          </w:tcPr>
          <w:p w14:paraId="1237AE3A"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2.36</w:t>
            </w:r>
          </w:p>
        </w:tc>
        <w:tc>
          <w:tcPr>
            <w:tcW w:w="2131" w:type="dxa"/>
          </w:tcPr>
          <w:p w14:paraId="7D23911A"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15.72</w:t>
            </w:r>
          </w:p>
        </w:tc>
        <w:tc>
          <w:tcPr>
            <w:tcW w:w="2131" w:type="dxa"/>
          </w:tcPr>
          <w:p w14:paraId="58828ED3"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13.05</w:t>
            </w:r>
          </w:p>
        </w:tc>
      </w:tr>
      <w:tr w:rsidR="00397C27" w14:paraId="5AD5F294" w14:textId="77777777" w:rsidTr="00397C27">
        <w:tc>
          <w:tcPr>
            <w:tcW w:w="2129" w:type="dxa"/>
            <w:vAlign w:val="center"/>
          </w:tcPr>
          <w:p w14:paraId="6A7126C9" w14:textId="77777777" w:rsidR="00397C27" w:rsidRPr="00397C27" w:rsidRDefault="00397C27" w:rsidP="00B03098">
            <w:pPr>
              <w:pStyle w:val="NormalWeb"/>
              <w:jc w:val="center"/>
            </w:pPr>
            <w:r w:rsidRPr="00397C27">
              <w:rPr>
                <w:color w:val="000000"/>
              </w:rPr>
              <w:t>P</w:t>
            </w:r>
            <w:r w:rsidRPr="00397C27">
              <w:rPr>
                <w:color w:val="000000"/>
                <w:vertAlign w:val="subscript"/>
              </w:rPr>
              <w:t>2</w:t>
            </w:r>
            <w:r w:rsidRPr="00397C27">
              <w:rPr>
                <w:color w:val="000000"/>
              </w:rPr>
              <w:t>N</w:t>
            </w:r>
            <w:r w:rsidRPr="00397C27">
              <w:rPr>
                <w:color w:val="000000"/>
                <w:vertAlign w:val="subscript"/>
              </w:rPr>
              <w:t>0</w:t>
            </w:r>
            <w:r w:rsidRPr="00397C27">
              <w:rPr>
                <w:color w:val="000000"/>
              </w:rPr>
              <w:t>M</w:t>
            </w:r>
            <w:r w:rsidRPr="00397C27">
              <w:rPr>
                <w:color w:val="000000"/>
                <w:vertAlign w:val="subscript"/>
              </w:rPr>
              <w:t>0</w:t>
            </w:r>
            <w:r w:rsidRPr="00397C27">
              <w:rPr>
                <w:color w:val="000000"/>
              </w:rPr>
              <w:t> </w:t>
            </w:r>
          </w:p>
        </w:tc>
        <w:tc>
          <w:tcPr>
            <w:tcW w:w="2131" w:type="dxa"/>
          </w:tcPr>
          <w:p w14:paraId="11E9CE81"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3.12</w:t>
            </w:r>
          </w:p>
        </w:tc>
        <w:tc>
          <w:tcPr>
            <w:tcW w:w="2131" w:type="dxa"/>
          </w:tcPr>
          <w:p w14:paraId="51A3EA67"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11.82</w:t>
            </w:r>
          </w:p>
        </w:tc>
        <w:tc>
          <w:tcPr>
            <w:tcW w:w="2131" w:type="dxa"/>
          </w:tcPr>
          <w:p w14:paraId="18644C75"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20.91</w:t>
            </w:r>
          </w:p>
        </w:tc>
      </w:tr>
      <w:tr w:rsidR="00397C27" w14:paraId="6D5CE408" w14:textId="77777777" w:rsidTr="00397C27">
        <w:tc>
          <w:tcPr>
            <w:tcW w:w="2129" w:type="dxa"/>
            <w:vAlign w:val="center"/>
          </w:tcPr>
          <w:p w14:paraId="5CC7FBF1" w14:textId="77777777" w:rsidR="00397C27" w:rsidRPr="00397C27" w:rsidRDefault="00397C27" w:rsidP="00B03098">
            <w:pPr>
              <w:pStyle w:val="NormalWeb"/>
              <w:jc w:val="center"/>
            </w:pPr>
            <w:r w:rsidRPr="00397C27">
              <w:rPr>
                <w:color w:val="000000"/>
              </w:rPr>
              <w:t>P</w:t>
            </w:r>
            <w:r w:rsidRPr="00397C27">
              <w:rPr>
                <w:color w:val="000000"/>
                <w:vertAlign w:val="subscript"/>
              </w:rPr>
              <w:t>2</w:t>
            </w:r>
            <w:r w:rsidRPr="00397C27">
              <w:rPr>
                <w:color w:val="000000"/>
              </w:rPr>
              <w:t>N</w:t>
            </w:r>
            <w:r w:rsidRPr="00397C27">
              <w:rPr>
                <w:color w:val="000000"/>
                <w:vertAlign w:val="subscript"/>
              </w:rPr>
              <w:t>0</w:t>
            </w:r>
            <w:r w:rsidRPr="00397C27">
              <w:rPr>
                <w:color w:val="000000"/>
              </w:rPr>
              <w:t>M</w:t>
            </w:r>
            <w:r w:rsidRPr="00397C27">
              <w:rPr>
                <w:color w:val="000000"/>
                <w:vertAlign w:val="subscript"/>
              </w:rPr>
              <w:t>1</w:t>
            </w:r>
            <w:r w:rsidRPr="00397C27">
              <w:rPr>
                <w:color w:val="000000"/>
              </w:rPr>
              <w:t> </w:t>
            </w:r>
          </w:p>
        </w:tc>
        <w:tc>
          <w:tcPr>
            <w:tcW w:w="2131" w:type="dxa"/>
          </w:tcPr>
          <w:p w14:paraId="7F194721"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3.01</w:t>
            </w:r>
          </w:p>
        </w:tc>
        <w:tc>
          <w:tcPr>
            <w:tcW w:w="2131" w:type="dxa"/>
          </w:tcPr>
          <w:p w14:paraId="07CAC37D"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14.25</w:t>
            </w:r>
          </w:p>
        </w:tc>
        <w:tc>
          <w:tcPr>
            <w:tcW w:w="2131" w:type="dxa"/>
          </w:tcPr>
          <w:p w14:paraId="08BA47B0"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17.44</w:t>
            </w:r>
          </w:p>
        </w:tc>
      </w:tr>
      <w:tr w:rsidR="00397C27" w14:paraId="1EF99F53" w14:textId="77777777" w:rsidTr="00397C27">
        <w:tc>
          <w:tcPr>
            <w:tcW w:w="2129" w:type="dxa"/>
            <w:vAlign w:val="center"/>
          </w:tcPr>
          <w:p w14:paraId="1FA4F07C" w14:textId="77777777" w:rsidR="00397C27" w:rsidRPr="00397C27" w:rsidRDefault="00397C27" w:rsidP="00B03098">
            <w:pPr>
              <w:pStyle w:val="NormalWeb"/>
              <w:jc w:val="center"/>
            </w:pPr>
            <w:r w:rsidRPr="00397C27">
              <w:rPr>
                <w:color w:val="000000"/>
              </w:rPr>
              <w:t>P</w:t>
            </w:r>
            <w:r w:rsidRPr="00397C27">
              <w:rPr>
                <w:color w:val="000000"/>
                <w:vertAlign w:val="subscript"/>
              </w:rPr>
              <w:t>2</w:t>
            </w:r>
            <w:r w:rsidRPr="00397C27">
              <w:rPr>
                <w:color w:val="000000"/>
              </w:rPr>
              <w:t>N</w:t>
            </w:r>
            <w:r w:rsidRPr="00397C27">
              <w:rPr>
                <w:color w:val="000000"/>
                <w:vertAlign w:val="subscript"/>
              </w:rPr>
              <w:t>0</w:t>
            </w:r>
            <w:r w:rsidRPr="00397C27">
              <w:rPr>
                <w:color w:val="000000"/>
              </w:rPr>
              <w:t>M</w:t>
            </w:r>
            <w:r w:rsidRPr="00397C27">
              <w:rPr>
                <w:color w:val="000000"/>
                <w:vertAlign w:val="subscript"/>
              </w:rPr>
              <w:t>2</w:t>
            </w:r>
            <w:r w:rsidRPr="00397C27">
              <w:rPr>
                <w:color w:val="000000"/>
              </w:rPr>
              <w:t> </w:t>
            </w:r>
          </w:p>
        </w:tc>
        <w:tc>
          <w:tcPr>
            <w:tcW w:w="2131" w:type="dxa"/>
          </w:tcPr>
          <w:p w14:paraId="15AA75FA"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2.75</w:t>
            </w:r>
          </w:p>
        </w:tc>
        <w:tc>
          <w:tcPr>
            <w:tcW w:w="2131" w:type="dxa"/>
          </w:tcPr>
          <w:p w14:paraId="477CC2C0"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14.58</w:t>
            </w:r>
          </w:p>
        </w:tc>
        <w:tc>
          <w:tcPr>
            <w:tcW w:w="2131" w:type="dxa"/>
          </w:tcPr>
          <w:p w14:paraId="18480BCE"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15.87</w:t>
            </w:r>
          </w:p>
        </w:tc>
      </w:tr>
      <w:tr w:rsidR="00397C27" w14:paraId="4833FB71" w14:textId="77777777" w:rsidTr="00397C27">
        <w:tc>
          <w:tcPr>
            <w:tcW w:w="2129" w:type="dxa"/>
            <w:vAlign w:val="center"/>
          </w:tcPr>
          <w:p w14:paraId="6962038C" w14:textId="77777777" w:rsidR="00397C27" w:rsidRPr="00397C27" w:rsidRDefault="00397C27" w:rsidP="00B03098">
            <w:pPr>
              <w:pStyle w:val="NormalWeb"/>
              <w:jc w:val="center"/>
            </w:pPr>
            <w:r w:rsidRPr="00397C27">
              <w:rPr>
                <w:color w:val="000000"/>
              </w:rPr>
              <w:t>P</w:t>
            </w:r>
            <w:r w:rsidRPr="00397C27">
              <w:rPr>
                <w:color w:val="000000"/>
                <w:vertAlign w:val="subscript"/>
              </w:rPr>
              <w:t>2</w:t>
            </w:r>
            <w:r w:rsidRPr="00397C27">
              <w:rPr>
                <w:color w:val="000000"/>
              </w:rPr>
              <w:t>N</w:t>
            </w:r>
            <w:r w:rsidRPr="00397C27">
              <w:rPr>
                <w:color w:val="000000"/>
                <w:vertAlign w:val="subscript"/>
              </w:rPr>
              <w:t>1</w:t>
            </w:r>
            <w:r w:rsidRPr="00397C27">
              <w:rPr>
                <w:color w:val="000000"/>
              </w:rPr>
              <w:t>M</w:t>
            </w:r>
            <w:r w:rsidRPr="00397C27">
              <w:rPr>
                <w:color w:val="000000"/>
                <w:vertAlign w:val="subscript"/>
              </w:rPr>
              <w:t>0</w:t>
            </w:r>
            <w:r w:rsidRPr="00397C27">
              <w:rPr>
                <w:color w:val="000000"/>
              </w:rPr>
              <w:t> </w:t>
            </w:r>
          </w:p>
        </w:tc>
        <w:tc>
          <w:tcPr>
            <w:tcW w:w="2131" w:type="dxa"/>
          </w:tcPr>
          <w:p w14:paraId="702F0E3D"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2.16</w:t>
            </w:r>
          </w:p>
        </w:tc>
        <w:tc>
          <w:tcPr>
            <w:tcW w:w="2131" w:type="dxa"/>
          </w:tcPr>
          <w:p w14:paraId="58422814"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13.95</w:t>
            </w:r>
          </w:p>
        </w:tc>
        <w:tc>
          <w:tcPr>
            <w:tcW w:w="2131" w:type="dxa"/>
          </w:tcPr>
          <w:p w14:paraId="7D087316"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13.39</w:t>
            </w:r>
          </w:p>
        </w:tc>
      </w:tr>
      <w:tr w:rsidR="00397C27" w14:paraId="184747B1" w14:textId="77777777" w:rsidTr="00397C27">
        <w:tc>
          <w:tcPr>
            <w:tcW w:w="2129" w:type="dxa"/>
            <w:vAlign w:val="center"/>
          </w:tcPr>
          <w:p w14:paraId="0D41FFFC" w14:textId="77777777" w:rsidR="00397C27" w:rsidRPr="00397C27" w:rsidRDefault="00397C27" w:rsidP="00B03098">
            <w:pPr>
              <w:pStyle w:val="NormalWeb"/>
              <w:jc w:val="center"/>
            </w:pPr>
            <w:r w:rsidRPr="00397C27">
              <w:rPr>
                <w:color w:val="000000"/>
              </w:rPr>
              <w:t>P</w:t>
            </w:r>
            <w:r w:rsidRPr="00397C27">
              <w:rPr>
                <w:color w:val="000000"/>
                <w:vertAlign w:val="subscript"/>
              </w:rPr>
              <w:t>2</w:t>
            </w:r>
            <w:r w:rsidRPr="00397C27">
              <w:rPr>
                <w:color w:val="000000"/>
              </w:rPr>
              <w:t>N</w:t>
            </w:r>
            <w:r w:rsidRPr="00397C27">
              <w:rPr>
                <w:color w:val="000000"/>
                <w:vertAlign w:val="subscript"/>
              </w:rPr>
              <w:t>1</w:t>
            </w:r>
            <w:r w:rsidRPr="00397C27">
              <w:rPr>
                <w:color w:val="000000"/>
              </w:rPr>
              <w:t>M</w:t>
            </w:r>
            <w:r w:rsidRPr="00397C27">
              <w:rPr>
                <w:color w:val="000000"/>
                <w:vertAlign w:val="subscript"/>
              </w:rPr>
              <w:t>1</w:t>
            </w:r>
            <w:r w:rsidRPr="00397C27">
              <w:rPr>
                <w:color w:val="000000"/>
              </w:rPr>
              <w:t> </w:t>
            </w:r>
          </w:p>
        </w:tc>
        <w:tc>
          <w:tcPr>
            <w:tcW w:w="2131" w:type="dxa"/>
          </w:tcPr>
          <w:p w14:paraId="38062989"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2.06</w:t>
            </w:r>
          </w:p>
        </w:tc>
        <w:tc>
          <w:tcPr>
            <w:tcW w:w="2131" w:type="dxa"/>
          </w:tcPr>
          <w:p w14:paraId="5F742F14"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15.87</w:t>
            </w:r>
          </w:p>
        </w:tc>
        <w:tc>
          <w:tcPr>
            <w:tcW w:w="2131" w:type="dxa"/>
          </w:tcPr>
          <w:p w14:paraId="073F08F5"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w:tc>
          <w:tcPr>
            <w:tcW w:w="2129" w:type="dxa"/>
            <w:vAlign w:val="center"/>
          </w:tcPr>
          <w:p w14:paraId="01961CFC" w14:textId="77777777" w:rsidR="00397C27" w:rsidRPr="00397C27" w:rsidRDefault="00397C27" w:rsidP="00B03098">
            <w:pPr>
              <w:pStyle w:val="NormalWeb"/>
              <w:jc w:val="center"/>
            </w:pPr>
            <w:r w:rsidRPr="00397C27">
              <w:rPr>
                <w:color w:val="000000"/>
              </w:rPr>
              <w:t>P</w:t>
            </w:r>
            <w:r w:rsidRPr="00397C27">
              <w:rPr>
                <w:color w:val="000000"/>
                <w:vertAlign w:val="subscript"/>
              </w:rPr>
              <w:t>2</w:t>
            </w:r>
            <w:r w:rsidRPr="00397C27">
              <w:rPr>
                <w:color w:val="000000"/>
              </w:rPr>
              <w:t>N</w:t>
            </w:r>
            <w:r w:rsidRPr="00397C27">
              <w:rPr>
                <w:color w:val="000000"/>
                <w:vertAlign w:val="subscript"/>
              </w:rPr>
              <w:t>1</w:t>
            </w:r>
            <w:r w:rsidRPr="00397C27">
              <w:rPr>
                <w:color w:val="000000"/>
              </w:rPr>
              <w:t>M</w:t>
            </w:r>
            <w:r w:rsidRPr="00397C27">
              <w:rPr>
                <w:color w:val="000000"/>
                <w:vertAlign w:val="subscript"/>
              </w:rPr>
              <w:t>2</w:t>
            </w:r>
            <w:r w:rsidRPr="00397C27">
              <w:rPr>
                <w:color w:val="000000"/>
              </w:rPr>
              <w:t> </w:t>
            </w:r>
          </w:p>
        </w:tc>
        <w:tc>
          <w:tcPr>
            <w:tcW w:w="2131" w:type="dxa"/>
          </w:tcPr>
          <w:p w14:paraId="76E28E31"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2.17</w:t>
            </w:r>
          </w:p>
        </w:tc>
        <w:tc>
          <w:tcPr>
            <w:tcW w:w="2131" w:type="dxa"/>
          </w:tcPr>
          <w:p w14:paraId="6C75D2CE"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15.5</w:t>
            </w:r>
          </w:p>
        </w:tc>
        <w:tc>
          <w:tcPr>
            <w:tcW w:w="2131" w:type="dxa"/>
          </w:tcPr>
          <w:p w14:paraId="7F250884"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11.99</w:t>
            </w:r>
          </w:p>
        </w:tc>
      </w:tr>
      <w:tr w:rsidR="00397C27" w14:paraId="37DA6156" w14:textId="77777777" w:rsidTr="00397C27">
        <w:tc>
          <w:tcPr>
            <w:tcW w:w="2129" w:type="dxa"/>
            <w:vAlign w:val="center"/>
          </w:tcPr>
          <w:p w14:paraId="7667831F" w14:textId="77777777" w:rsidR="00397C27" w:rsidRPr="00397C27" w:rsidRDefault="00397C27" w:rsidP="00B03098">
            <w:pPr>
              <w:pStyle w:val="NormalWeb"/>
              <w:jc w:val="center"/>
            </w:pPr>
            <w:r w:rsidRPr="00397C27">
              <w:rPr>
                <w:color w:val="000000"/>
              </w:rPr>
              <w:t>P</w:t>
            </w:r>
            <w:r w:rsidRPr="00397C27">
              <w:rPr>
                <w:color w:val="000000"/>
                <w:vertAlign w:val="subscript"/>
              </w:rPr>
              <w:t>2</w:t>
            </w:r>
            <w:r w:rsidRPr="00397C27">
              <w:rPr>
                <w:color w:val="000000"/>
              </w:rPr>
              <w:t>N</w:t>
            </w:r>
            <w:r w:rsidRPr="00397C27">
              <w:rPr>
                <w:color w:val="000000"/>
                <w:vertAlign w:val="subscript"/>
              </w:rPr>
              <w:t>2</w:t>
            </w:r>
            <w:r w:rsidRPr="00397C27">
              <w:rPr>
                <w:color w:val="000000"/>
              </w:rPr>
              <w:t>M</w:t>
            </w:r>
            <w:r w:rsidRPr="00397C27">
              <w:rPr>
                <w:color w:val="000000"/>
                <w:vertAlign w:val="subscript"/>
              </w:rPr>
              <w:t>0</w:t>
            </w:r>
          </w:p>
        </w:tc>
        <w:tc>
          <w:tcPr>
            <w:tcW w:w="2131" w:type="dxa"/>
          </w:tcPr>
          <w:p w14:paraId="7C1E2A8E"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3.09</w:t>
            </w:r>
          </w:p>
        </w:tc>
        <w:tc>
          <w:tcPr>
            <w:tcW w:w="2131" w:type="dxa"/>
          </w:tcPr>
          <w:p w14:paraId="2C5371D0"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12.85</w:t>
            </w:r>
          </w:p>
        </w:tc>
        <w:tc>
          <w:tcPr>
            <w:tcW w:w="2131" w:type="dxa"/>
          </w:tcPr>
          <w:p w14:paraId="18420584"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19.4</w:t>
            </w:r>
          </w:p>
        </w:tc>
      </w:tr>
      <w:tr w:rsidR="00397C27" w14:paraId="2ACC69BD" w14:textId="77777777" w:rsidTr="00397C27">
        <w:tc>
          <w:tcPr>
            <w:tcW w:w="2129" w:type="dxa"/>
            <w:vAlign w:val="center"/>
          </w:tcPr>
          <w:p w14:paraId="4FD4E58D" w14:textId="77777777" w:rsidR="00397C27" w:rsidRPr="00397C27" w:rsidRDefault="00397C27" w:rsidP="00B03098">
            <w:pPr>
              <w:pStyle w:val="NormalWeb"/>
              <w:jc w:val="center"/>
            </w:pPr>
            <w:r w:rsidRPr="00397C27">
              <w:rPr>
                <w:color w:val="000000"/>
              </w:rPr>
              <w:t>P</w:t>
            </w:r>
            <w:r w:rsidRPr="00397C27">
              <w:rPr>
                <w:color w:val="000000"/>
                <w:vertAlign w:val="subscript"/>
              </w:rPr>
              <w:t>2</w:t>
            </w:r>
            <w:r w:rsidRPr="00397C27">
              <w:rPr>
                <w:color w:val="000000"/>
              </w:rPr>
              <w:t>N</w:t>
            </w:r>
            <w:r w:rsidRPr="00397C27">
              <w:rPr>
                <w:color w:val="000000"/>
                <w:vertAlign w:val="subscript"/>
              </w:rPr>
              <w:t>2</w:t>
            </w:r>
            <w:r w:rsidRPr="00397C27">
              <w:rPr>
                <w:color w:val="000000"/>
              </w:rPr>
              <w:t>M1</w:t>
            </w:r>
          </w:p>
        </w:tc>
        <w:tc>
          <w:tcPr>
            <w:tcW w:w="2131" w:type="dxa"/>
          </w:tcPr>
          <w:p w14:paraId="35772CBD"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2.05</w:t>
            </w:r>
          </w:p>
        </w:tc>
        <w:tc>
          <w:tcPr>
            <w:tcW w:w="2131" w:type="dxa"/>
          </w:tcPr>
          <w:p w14:paraId="37FC1252"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15.88</w:t>
            </w:r>
          </w:p>
        </w:tc>
        <w:tc>
          <w:tcPr>
            <w:tcW w:w="2131" w:type="dxa"/>
          </w:tcPr>
          <w:p w14:paraId="5C57AE73"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11.47</w:t>
            </w:r>
          </w:p>
        </w:tc>
      </w:tr>
      <w:tr w:rsidR="00397C27" w14:paraId="2648586E" w14:textId="77777777" w:rsidTr="00397C27">
        <w:tc>
          <w:tcPr>
            <w:tcW w:w="2129" w:type="dxa"/>
            <w:vAlign w:val="center"/>
          </w:tcPr>
          <w:p w14:paraId="7F014A14" w14:textId="77777777" w:rsidR="00397C27" w:rsidRPr="00397C27" w:rsidRDefault="00397C27" w:rsidP="00B03098">
            <w:pPr>
              <w:pStyle w:val="NormalWeb"/>
              <w:jc w:val="center"/>
            </w:pPr>
            <w:r w:rsidRPr="00397C27">
              <w:rPr>
                <w:color w:val="000000"/>
              </w:rPr>
              <w:t>P</w:t>
            </w:r>
            <w:r w:rsidRPr="00397C27">
              <w:rPr>
                <w:color w:val="000000"/>
                <w:vertAlign w:val="subscript"/>
              </w:rPr>
              <w:t>2</w:t>
            </w:r>
            <w:r w:rsidRPr="00397C27">
              <w:rPr>
                <w:color w:val="000000"/>
              </w:rPr>
              <w:t>N</w:t>
            </w:r>
            <w:r w:rsidRPr="00397C27">
              <w:rPr>
                <w:color w:val="000000"/>
                <w:vertAlign w:val="subscript"/>
              </w:rPr>
              <w:t>2</w:t>
            </w:r>
            <w:r w:rsidRPr="00397C27">
              <w:rPr>
                <w:color w:val="000000"/>
              </w:rPr>
              <w:t>M</w:t>
            </w:r>
            <w:r w:rsidRPr="00397C27">
              <w:rPr>
                <w:color w:val="000000"/>
                <w:vertAlign w:val="subscript"/>
              </w:rPr>
              <w:t>2</w:t>
            </w:r>
          </w:p>
        </w:tc>
        <w:tc>
          <w:tcPr>
            <w:tcW w:w="2131" w:type="dxa"/>
          </w:tcPr>
          <w:p w14:paraId="6F83D9F9"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1.88</w:t>
            </w:r>
          </w:p>
        </w:tc>
        <w:tc>
          <w:tcPr>
            <w:tcW w:w="2131" w:type="dxa"/>
          </w:tcPr>
          <w:p w14:paraId="304E1746"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15.97</w:t>
            </w:r>
          </w:p>
        </w:tc>
        <w:tc>
          <w:tcPr>
            <w:tcW w:w="2131" w:type="dxa"/>
          </w:tcPr>
          <w:p w14:paraId="3EDFAEF9"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9.71</w:t>
            </w:r>
          </w:p>
        </w:tc>
      </w:tr>
      <w:tr w:rsidR="009C1327" w14:paraId="02CE5A10" w14:textId="77777777" w:rsidTr="00397C27">
        <w:tc>
          <w:tcPr>
            <w:tcW w:w="2129" w:type="dxa"/>
          </w:tcPr>
          <w:p w14:paraId="407542DC" w14:textId="77777777" w:rsidR="009C1327" w:rsidRDefault="007F1A7D">
            <w:pPr>
              <w:jc w:val="center"/>
              <w:rPr>
                <w:rFonts w:ascii="Times New Roman" w:hAnsi="Times New Roman" w:cs="Times New Roman"/>
                <w:sz w:val="24"/>
                <w:szCs w:val="24"/>
              </w:rPr>
            </w:pPr>
            <w:r>
              <w:rPr>
                <w:rFonts w:ascii="Times New Roman" w:hAnsi="Times New Roman" w:cs="Times New Roman"/>
                <w:sz w:val="24"/>
                <w:szCs w:val="24"/>
              </w:rPr>
              <w:t>CD (P = 0.05)</w:t>
            </w:r>
          </w:p>
        </w:tc>
        <w:tc>
          <w:tcPr>
            <w:tcW w:w="2131" w:type="dxa"/>
          </w:tcPr>
          <w:p w14:paraId="6D92D606" w14:textId="77777777" w:rsidR="009C1327" w:rsidRDefault="007F1A7D">
            <w:pPr>
              <w:jc w:val="center"/>
              <w:rPr>
                <w:rFonts w:ascii="Times New Roman" w:hAnsi="Times New Roman" w:cs="Times New Roman"/>
                <w:sz w:val="24"/>
                <w:szCs w:val="24"/>
              </w:rPr>
            </w:pPr>
            <w:r>
              <w:rPr>
                <w:rFonts w:ascii="Times New Roman" w:hAnsi="Times New Roman" w:cs="Times New Roman"/>
                <w:sz w:val="24"/>
                <w:szCs w:val="24"/>
              </w:rPr>
              <w:t>0.15</w:t>
            </w:r>
          </w:p>
        </w:tc>
        <w:tc>
          <w:tcPr>
            <w:tcW w:w="2131" w:type="dxa"/>
          </w:tcPr>
          <w:p w14:paraId="352997CC" w14:textId="77777777" w:rsidR="009C1327" w:rsidRDefault="007F1A7D">
            <w:pPr>
              <w:jc w:val="center"/>
              <w:rPr>
                <w:rFonts w:ascii="Times New Roman" w:hAnsi="Times New Roman" w:cs="Times New Roman"/>
                <w:sz w:val="24"/>
                <w:szCs w:val="24"/>
              </w:rPr>
            </w:pPr>
            <w:r>
              <w:rPr>
                <w:rFonts w:ascii="Times New Roman" w:hAnsi="Times New Roman" w:cs="Times New Roman"/>
                <w:sz w:val="24"/>
                <w:szCs w:val="24"/>
              </w:rPr>
              <w:t>0.41</w:t>
            </w:r>
          </w:p>
        </w:tc>
        <w:tc>
          <w:tcPr>
            <w:tcW w:w="2131" w:type="dxa"/>
          </w:tcPr>
          <w:p w14:paraId="17B12B14" w14:textId="77777777" w:rsidR="009C1327" w:rsidRDefault="007F1A7D">
            <w:pPr>
              <w:jc w:val="center"/>
              <w:rPr>
                <w:rFonts w:ascii="Times New Roman" w:hAnsi="Times New Roman" w:cs="Times New Roman"/>
                <w:sz w:val="24"/>
                <w:szCs w:val="24"/>
              </w:rPr>
            </w:pPr>
            <w:r>
              <w:rPr>
                <w:rFonts w:ascii="Times New Roman" w:hAnsi="Times New Roman" w:cs="Times New Roman"/>
                <w:sz w:val="24"/>
                <w:szCs w:val="24"/>
              </w:rPr>
              <w:t>0.90</w:t>
            </w:r>
          </w:p>
        </w:tc>
      </w:tr>
    </w:tbl>
    <w:p w14:paraId="4161C957" w14:textId="77777777" w:rsidR="009C1327" w:rsidRDefault="009C1327">
      <w:pPr>
        <w:jc w:val="both"/>
        <w:rPr>
          <w:rFonts w:ascii="Times New Roman" w:hAnsi="Times New Roman" w:cs="Times New Roman"/>
          <w:b/>
          <w:bCs/>
        </w:rPr>
      </w:pPr>
    </w:p>
    <w:p w14:paraId="5F75EAEB" w14:textId="77777777" w:rsidR="009C1327" w:rsidRDefault="009C1327">
      <w:pPr>
        <w:jc w:val="both"/>
        <w:rPr>
          <w:rFonts w:ascii="Times New Roman" w:eastAsia="SimSun" w:hAnsi="Times New Roman" w:cs="Times New Roman"/>
          <w:b/>
          <w:bCs/>
          <w:sz w:val="24"/>
          <w:szCs w:val="24"/>
        </w:rPr>
      </w:pPr>
    </w:p>
    <w:p w14:paraId="49C221D2" w14:textId="77777777" w:rsidR="009C1327" w:rsidRDefault="009C1327">
      <w:pPr>
        <w:jc w:val="both"/>
        <w:rPr>
          <w:rFonts w:ascii="Times New Roman" w:eastAsia="SimSun" w:hAnsi="Times New Roman" w:cs="Times New Roman"/>
          <w:b/>
          <w:bCs/>
          <w:sz w:val="24"/>
          <w:szCs w:val="24"/>
        </w:rPr>
      </w:pPr>
    </w:p>
    <w:p w14:paraId="37985712" w14:textId="77777777" w:rsidR="009C1327" w:rsidRDefault="007F1A7D">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REFERENCES </w:t>
      </w:r>
    </w:p>
    <w:p w14:paraId="6A5128F3" w14:textId="77777777" w:rsidR="009C1327" w:rsidRDefault="009C1327">
      <w:pPr>
        <w:jc w:val="both"/>
        <w:rPr>
          <w:rFonts w:ascii="Times New Roman" w:eastAsia="SimSun" w:hAnsi="Times New Roman" w:cs="Times New Roman"/>
          <w:b/>
          <w:bCs/>
          <w:sz w:val="24"/>
          <w:szCs w:val="24"/>
        </w:rPr>
      </w:pPr>
    </w:p>
    <w:p w14:paraId="469CE332" w14:textId="77777777" w:rsidR="009C1327" w:rsidRDefault="007F1A7D">
      <w:pPr>
        <w:pStyle w:val="NormalWeb"/>
        <w:spacing w:beforeAutospacing="0" w:afterAutospacing="0" w:line="360" w:lineRule="auto"/>
        <w:ind w:left="480" w:hangingChars="200" w:hanging="480"/>
        <w:jc w:val="both"/>
      </w:pPr>
      <w:r>
        <w:t xml:space="preserve">Chakrabarti, D. K. (2018). </w:t>
      </w:r>
      <w:r>
        <w:rPr>
          <w:rStyle w:val="Emphasis"/>
        </w:rPr>
        <w:t>Mango malformation: Etiology and management.</w:t>
      </w:r>
      <w:r>
        <w:t xml:space="preserve"> Journal of Applied and Natural Science, 10(1), 1–9.</w:t>
      </w:r>
    </w:p>
    <w:p w14:paraId="0BC4C4BE" w14:textId="77777777" w:rsidR="009C1327" w:rsidRDefault="007F1A7D">
      <w:pPr>
        <w:pStyle w:val="NormalWeb"/>
        <w:spacing w:beforeAutospacing="0" w:afterAutospacing="0" w:line="360" w:lineRule="auto"/>
        <w:ind w:left="480" w:hangingChars="200" w:hanging="480"/>
        <w:jc w:val="both"/>
      </w:pPr>
      <w:r>
        <w:t xml:space="preserve">Das, B., Hazarika, M., &amp; </w:t>
      </w:r>
      <w:proofErr w:type="spellStart"/>
      <w:r>
        <w:t>Bhagawati</w:t>
      </w:r>
      <w:proofErr w:type="spellEnd"/>
      <w:r>
        <w:t xml:space="preserve">, R. (2019). Effect of plant growth regulators on fruit retention, yield and quality of mango (Mangifera indica L.) cv. Amrapali. </w:t>
      </w:r>
      <w:r>
        <w:rPr>
          <w:rStyle w:val="Emphasis"/>
        </w:rPr>
        <w:t>Journal of Pharmacognosy and Phytochemistry</w:t>
      </w:r>
      <w:r>
        <w:t>, 8(1S), 1–4.</w:t>
      </w:r>
    </w:p>
    <w:p w14:paraId="16BC5CC1" w14:textId="77777777" w:rsidR="009C1327" w:rsidRDefault="007F1A7D">
      <w:pPr>
        <w:pStyle w:val="NormalWeb"/>
        <w:spacing w:beforeAutospacing="0" w:afterAutospacing="0" w:line="360" w:lineRule="auto"/>
        <w:ind w:left="480" w:hangingChars="200" w:hanging="480"/>
        <w:jc w:val="both"/>
      </w:pPr>
      <w:r>
        <w:t xml:space="preserve">Freeman, S., </w:t>
      </w:r>
      <w:proofErr w:type="spellStart"/>
      <w:r>
        <w:t>Shtienberg</w:t>
      </w:r>
      <w:proofErr w:type="spellEnd"/>
      <w:r>
        <w:t xml:space="preserve">, D., Maymon, M., Levin, A. G., Ploetz, R. C., &amp; </w:t>
      </w:r>
      <w:proofErr w:type="spellStart"/>
      <w:r>
        <w:t>Maharachchikumbura</w:t>
      </w:r>
      <w:proofErr w:type="spellEnd"/>
      <w:r>
        <w:t xml:space="preserve">, S. S. N. (2014). Etiology and epidemiology of mango malformation disease. </w:t>
      </w:r>
      <w:r>
        <w:rPr>
          <w:rStyle w:val="Emphasis"/>
        </w:rPr>
        <w:t>Plant Disease</w:t>
      </w:r>
      <w:r>
        <w:t>, 98(3), 317–326.</w:t>
      </w:r>
    </w:p>
    <w:p w14:paraId="533F26A3" w14:textId="77777777" w:rsidR="009C1327" w:rsidRDefault="007F1A7D">
      <w:pPr>
        <w:pStyle w:val="NormalWeb"/>
        <w:spacing w:beforeAutospacing="0" w:afterAutospacing="0" w:line="360" w:lineRule="auto"/>
        <w:ind w:left="480" w:hangingChars="200" w:hanging="480"/>
        <w:jc w:val="both"/>
      </w:pPr>
      <w:r>
        <w:t xml:space="preserve">Kumar, P., Singh, S., &amp; Barman, D. (2020). Physiological and biochemical basis of flowering and fruit set in mango: A review. </w:t>
      </w:r>
      <w:r>
        <w:rPr>
          <w:rStyle w:val="Emphasis"/>
        </w:rPr>
        <w:t>International Journal of Chemical Studies</w:t>
      </w:r>
      <w:r>
        <w:t>, 8(4), 1222–1227.</w:t>
      </w:r>
    </w:p>
    <w:p w14:paraId="38BA22D7" w14:textId="77777777" w:rsidR="009C1327" w:rsidRDefault="007F1A7D">
      <w:pPr>
        <w:pStyle w:val="NormalWeb"/>
        <w:spacing w:beforeAutospacing="0" w:afterAutospacing="0" w:line="360" w:lineRule="auto"/>
        <w:ind w:left="480" w:hangingChars="200" w:hanging="480"/>
        <w:jc w:val="both"/>
      </w:pPr>
      <w:r>
        <w:lastRenderedPageBreak/>
        <w:t xml:space="preserve">Kumar, P., Singh, S., &amp; Kumar, S. (2022). Bio-efficacy of native plant growth-promoting rhizobacteria on vegetative growth, yield and quality of mango (Mangifera indica L.) cv. </w:t>
      </w:r>
      <w:proofErr w:type="spellStart"/>
      <w:r>
        <w:t>Dashehari</w:t>
      </w:r>
      <w:proofErr w:type="spellEnd"/>
      <w:r>
        <w:t xml:space="preserve">. </w:t>
      </w:r>
      <w:r>
        <w:rPr>
          <w:rStyle w:val="Emphasis"/>
        </w:rPr>
        <w:t>Indian Journal of Agricultural Sciences</w:t>
      </w:r>
      <w:r>
        <w:t>, 92(2), 227–231.</w:t>
      </w:r>
    </w:p>
    <w:p w14:paraId="57D773F6" w14:textId="77777777" w:rsidR="009C1327" w:rsidRDefault="007F1A7D">
      <w:pPr>
        <w:pStyle w:val="NormalWeb"/>
        <w:spacing w:beforeAutospacing="0" w:afterAutospacing="0" w:line="360" w:lineRule="auto"/>
        <w:ind w:left="480" w:hangingChars="200" w:hanging="480"/>
        <w:jc w:val="both"/>
      </w:pPr>
      <w:r>
        <w:t xml:space="preserve">Majumder, D. A. N., Sarker, B. C., &amp; Rani, S. (2022). Performance of Amrapali mango under high density planting system: A review. </w:t>
      </w:r>
      <w:r>
        <w:rPr>
          <w:rStyle w:val="Emphasis"/>
        </w:rPr>
        <w:t>International Journal of Environment and Climate Change</w:t>
      </w:r>
      <w:r>
        <w:t>, 12(11), 3380–3387.</w:t>
      </w:r>
    </w:p>
    <w:p w14:paraId="7F8886BF" w14:textId="77777777" w:rsidR="009C1327" w:rsidRDefault="007F1A7D">
      <w:pPr>
        <w:pStyle w:val="NormalWeb"/>
        <w:spacing w:beforeAutospacing="0" w:afterAutospacing="0" w:line="360" w:lineRule="auto"/>
        <w:ind w:left="480" w:hangingChars="200" w:hanging="480"/>
        <w:jc w:val="both"/>
      </w:pPr>
      <w:r>
        <w:t xml:space="preserve">NHB. (2023). </w:t>
      </w:r>
      <w:r>
        <w:rPr>
          <w:rStyle w:val="Emphasis"/>
        </w:rPr>
        <w:t>Indian Horticulture Database</w:t>
      </w:r>
      <w:r>
        <w:t>. National Horticulture Board, Government of India.</w:t>
      </w:r>
    </w:p>
    <w:p w14:paraId="33A63A2F" w14:textId="77777777" w:rsidR="009C1327" w:rsidRDefault="007F1A7D">
      <w:pPr>
        <w:pStyle w:val="NormalWeb"/>
        <w:spacing w:beforeAutospacing="0" w:afterAutospacing="0" w:line="360" w:lineRule="auto"/>
        <w:ind w:left="480" w:hangingChars="200" w:hanging="480"/>
        <w:jc w:val="both"/>
      </w:pPr>
      <w:r>
        <w:t xml:space="preserve">Panse, V. G., &amp; </w:t>
      </w:r>
      <w:proofErr w:type="spellStart"/>
      <w:r>
        <w:t>Sukhatme</w:t>
      </w:r>
      <w:proofErr w:type="spellEnd"/>
      <w:r>
        <w:t xml:space="preserve">, P. V. (1985). </w:t>
      </w:r>
      <w:r>
        <w:rPr>
          <w:rStyle w:val="Emphasis"/>
        </w:rPr>
        <w:t>Statistical methods for agricultural workers</w:t>
      </w:r>
      <w:r>
        <w:t xml:space="preserve"> (4th ed.). ICAR Publication.</w:t>
      </w:r>
    </w:p>
    <w:p w14:paraId="0B12ED07" w14:textId="77777777" w:rsidR="009C1327" w:rsidRDefault="007F1A7D">
      <w:pPr>
        <w:pStyle w:val="NormalWeb"/>
        <w:spacing w:beforeAutospacing="0" w:afterAutospacing="0" w:line="360" w:lineRule="auto"/>
        <w:ind w:left="480" w:hangingChars="200" w:hanging="480"/>
        <w:jc w:val="both"/>
      </w:pPr>
      <w:r>
        <w:t xml:space="preserve">Ploetz, R. C. (2001). Malformation: A unique and important disease of mango. In J. Janick (Ed.), </w:t>
      </w:r>
      <w:r>
        <w:rPr>
          <w:rStyle w:val="Emphasis"/>
        </w:rPr>
        <w:t>Horticultural Reviews</w:t>
      </w:r>
      <w:r>
        <w:t xml:space="preserve"> (Vol. 25, pp. 233–267). John Wiley &amp; Sons.</w:t>
      </w:r>
    </w:p>
    <w:p w14:paraId="701BD1C0" w14:textId="77777777" w:rsidR="009C1327" w:rsidRDefault="007F1A7D">
      <w:pPr>
        <w:pStyle w:val="NormalWeb"/>
        <w:spacing w:beforeAutospacing="0" w:afterAutospacing="0" w:line="360" w:lineRule="auto"/>
        <w:ind w:left="480" w:hangingChars="200" w:hanging="480"/>
        <w:jc w:val="both"/>
      </w:pPr>
      <w:r>
        <w:t xml:space="preserve">Sharma, R., &amp; Dhillon, W. S. (2019). Effect of micronutrients on flowering and fruiting of mango. </w:t>
      </w:r>
      <w:r>
        <w:rPr>
          <w:rStyle w:val="Emphasis"/>
        </w:rPr>
        <w:t>Journal of Horticultural Research</w:t>
      </w:r>
      <w:r>
        <w:t>, 27(2), 81–88.</w:t>
      </w:r>
    </w:p>
    <w:p w14:paraId="764A9308" w14:textId="77777777" w:rsidR="009C1327" w:rsidRDefault="007F1A7D">
      <w:pPr>
        <w:pStyle w:val="NormalWeb"/>
        <w:spacing w:beforeAutospacing="0" w:afterAutospacing="0" w:line="360" w:lineRule="auto"/>
        <w:ind w:left="480" w:hangingChars="200" w:hanging="480"/>
        <w:jc w:val="both"/>
      </w:pPr>
      <w:r>
        <w:t xml:space="preserve">Sharma, S., &amp; Singh, D. (2018). Role of plant growth-promoting rhizobacteria (PGPR) in fruit crops: A review. </w:t>
      </w:r>
      <w:r>
        <w:rPr>
          <w:rStyle w:val="Emphasis"/>
        </w:rPr>
        <w:t>International Journal of Current Microbiology and Applied Sciences</w:t>
      </w:r>
      <w:r>
        <w:t>, 7(4), 2504–2515.</w:t>
      </w:r>
    </w:p>
    <w:p w14:paraId="25F7837B" w14:textId="77777777" w:rsidR="009C1327" w:rsidRDefault="007F1A7D">
      <w:pPr>
        <w:pStyle w:val="NormalWeb"/>
        <w:spacing w:beforeAutospacing="0" w:afterAutospacing="0" w:line="360" w:lineRule="auto"/>
        <w:ind w:left="480" w:hangingChars="200" w:hanging="480"/>
        <w:jc w:val="both"/>
      </w:pPr>
      <w:r>
        <w:t xml:space="preserve">Singh, V. K. (2016). Understanding hormonal interactions in mango malformation: A review. </w:t>
      </w:r>
      <w:r>
        <w:rPr>
          <w:rStyle w:val="Emphasis"/>
        </w:rPr>
        <w:t xml:space="preserve">Scientia </w:t>
      </w:r>
      <w:proofErr w:type="spellStart"/>
      <w:r>
        <w:rPr>
          <w:rStyle w:val="Emphasis"/>
        </w:rPr>
        <w:t>Horticulturae</w:t>
      </w:r>
      <w:proofErr w:type="spellEnd"/>
      <w:r>
        <w:t>, 199, 70–78.</w:t>
      </w:r>
    </w:p>
    <w:p w14:paraId="237BDCFA" w14:textId="77777777" w:rsidR="009C1327" w:rsidRDefault="007F1A7D">
      <w:pPr>
        <w:pStyle w:val="NormalWeb"/>
        <w:spacing w:beforeAutospacing="0" w:afterAutospacing="0" w:line="360" w:lineRule="auto"/>
        <w:ind w:left="480" w:hangingChars="200" w:hanging="480"/>
        <w:jc w:val="both"/>
      </w:pPr>
      <w:r>
        <w:t xml:space="preserve">Singh, Z., &amp; Ram, S. (2017). Mango flower physiology and disorders. </w:t>
      </w:r>
      <w:r>
        <w:rPr>
          <w:rStyle w:val="Emphasis"/>
        </w:rPr>
        <w:t xml:space="preserve">Acta </w:t>
      </w:r>
      <w:proofErr w:type="spellStart"/>
      <w:r>
        <w:rPr>
          <w:rStyle w:val="Emphasis"/>
        </w:rPr>
        <w:t>Horticulturae</w:t>
      </w:r>
      <w:proofErr w:type="spellEnd"/>
      <w:r>
        <w:t>, 1183, 93–102.</w:t>
      </w:r>
    </w:p>
    <w:p w14:paraId="61D92DBF" w14:textId="77777777" w:rsidR="009C1327" w:rsidRDefault="007F1A7D">
      <w:pPr>
        <w:pStyle w:val="NormalWeb"/>
        <w:spacing w:beforeAutospacing="0" w:afterAutospacing="0" w:line="360" w:lineRule="auto"/>
        <w:ind w:left="480" w:hangingChars="200" w:hanging="480"/>
        <w:jc w:val="both"/>
        <w:rPr>
          <w:rFonts w:cs="Times New Roman"/>
          <w:b/>
          <w:bCs/>
        </w:rPr>
      </w:pPr>
      <w:r>
        <w:t xml:space="preserve">Wani, M. A., Mushtaq, F., &amp; Shah, M. (2021). Importance of boron and zinc in fruit crops: A review. </w:t>
      </w:r>
      <w:r>
        <w:rPr>
          <w:rStyle w:val="Emphasis"/>
        </w:rPr>
        <w:t>Journal of Applied and Natural Science</w:t>
      </w:r>
      <w:r>
        <w:t>, 13(2), 624–632.</w:t>
      </w:r>
    </w:p>
    <w:sectPr w:rsidR="009C1327" w:rsidSect="009C132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C0F0E" w14:textId="77777777" w:rsidR="00D34DBB" w:rsidRDefault="00D34DBB" w:rsidP="00795155">
      <w:r>
        <w:separator/>
      </w:r>
    </w:p>
  </w:endnote>
  <w:endnote w:type="continuationSeparator" w:id="0">
    <w:p w14:paraId="73DBE290" w14:textId="77777777" w:rsidR="00D34DBB" w:rsidRDefault="00D34DBB" w:rsidP="0079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B0F69" w14:textId="77777777" w:rsidR="00526038" w:rsidRDefault="00526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88BC2" w14:textId="77777777" w:rsidR="00526038" w:rsidRDefault="00526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458C4" w14:textId="77777777" w:rsidR="00526038" w:rsidRDefault="00526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9DCE4" w14:textId="77777777" w:rsidR="00D34DBB" w:rsidRDefault="00D34DBB" w:rsidP="00795155">
      <w:r>
        <w:separator/>
      </w:r>
    </w:p>
  </w:footnote>
  <w:footnote w:type="continuationSeparator" w:id="0">
    <w:p w14:paraId="450F9C9F" w14:textId="77777777" w:rsidR="00D34DBB" w:rsidRDefault="00D34DBB" w:rsidP="0079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9AA5" w14:textId="445AE4C4" w:rsidR="00526038" w:rsidRDefault="00526038">
    <w:pPr>
      <w:pStyle w:val="Header"/>
    </w:pPr>
    <w:r>
      <w:rPr>
        <w:noProof/>
      </w:rPr>
      <w:pict w14:anchorId="48C83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607063"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A3EB1" w14:textId="5B0D2A17" w:rsidR="00526038" w:rsidRDefault="00526038">
    <w:pPr>
      <w:pStyle w:val="Header"/>
    </w:pPr>
    <w:r>
      <w:rPr>
        <w:noProof/>
      </w:rPr>
      <w:pict w14:anchorId="1286D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607064"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E73D8" w14:textId="2525A232" w:rsidR="00526038" w:rsidRDefault="00526038">
    <w:pPr>
      <w:pStyle w:val="Header"/>
    </w:pPr>
    <w:r>
      <w:rPr>
        <w:noProof/>
      </w:rPr>
      <w:pict w14:anchorId="46938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607062"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009C1327"/>
    <w:rsid w:val="00023BE7"/>
    <w:rsid w:val="0009199C"/>
    <w:rsid w:val="000F32A4"/>
    <w:rsid w:val="001659AE"/>
    <w:rsid w:val="00397C27"/>
    <w:rsid w:val="003A48C5"/>
    <w:rsid w:val="004904B6"/>
    <w:rsid w:val="00495CF7"/>
    <w:rsid w:val="00526038"/>
    <w:rsid w:val="00574A1C"/>
    <w:rsid w:val="0058164A"/>
    <w:rsid w:val="00795155"/>
    <w:rsid w:val="007F1A7D"/>
    <w:rsid w:val="009C1327"/>
    <w:rsid w:val="00B24E23"/>
    <w:rsid w:val="00D34DBB"/>
    <w:rsid w:val="00E64540"/>
    <w:rsid w:val="015445FE"/>
    <w:rsid w:val="0B052ACF"/>
    <w:rsid w:val="0C934031"/>
    <w:rsid w:val="1E271372"/>
    <w:rsid w:val="1E9946EC"/>
    <w:rsid w:val="1EAD2B61"/>
    <w:rsid w:val="22C91E20"/>
    <w:rsid w:val="31CC57EC"/>
    <w:rsid w:val="36B307E3"/>
    <w:rsid w:val="372D3142"/>
    <w:rsid w:val="38303295"/>
    <w:rsid w:val="414766C1"/>
    <w:rsid w:val="42A57E13"/>
    <w:rsid w:val="47824012"/>
    <w:rsid w:val="4B760AE3"/>
    <w:rsid w:val="4F036A2F"/>
    <w:rsid w:val="4FBE3742"/>
    <w:rsid w:val="509403F8"/>
    <w:rsid w:val="50EB7FAA"/>
    <w:rsid w:val="53B609A3"/>
    <w:rsid w:val="553E251A"/>
    <w:rsid w:val="5A6454FE"/>
    <w:rsid w:val="5BE86C03"/>
    <w:rsid w:val="5D303132"/>
    <w:rsid w:val="60C27ED0"/>
    <w:rsid w:val="6A386103"/>
    <w:rsid w:val="729F7D5D"/>
    <w:rsid w:val="74027B2D"/>
    <w:rsid w:val="74A62D93"/>
    <w:rsid w:val="7CB110D3"/>
    <w:rsid w:val="7DDC53C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F0A567"/>
  <w15:docId w15:val="{96A98967-45A1-4BDD-8837-BBFC399B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hi-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1327"/>
    <w:rPr>
      <w:rFonts w:asciiTheme="minorHAnsi" w:eastAsiaTheme="minorEastAsia" w:hAnsiTheme="minorHAnsi" w:cstheme="minorBidi"/>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9C1327"/>
    <w:rPr>
      <w:i/>
      <w:iCs/>
    </w:rPr>
  </w:style>
  <w:style w:type="character" w:styleId="Hyperlink">
    <w:name w:val="Hyperlink"/>
    <w:basedOn w:val="DefaultParagraphFont"/>
    <w:qFormat/>
    <w:rsid w:val="009C1327"/>
    <w:rPr>
      <w:color w:val="0000FF"/>
      <w:u w:val="single"/>
    </w:rPr>
  </w:style>
  <w:style w:type="paragraph" w:styleId="NormalWeb">
    <w:name w:val="Normal (Web)"/>
    <w:rsid w:val="009C1327"/>
    <w:pPr>
      <w:spacing w:beforeAutospacing="1" w:afterAutospacing="1"/>
    </w:pPr>
    <w:rPr>
      <w:rFonts w:cs="Mangal"/>
      <w:sz w:val="24"/>
      <w:szCs w:val="24"/>
      <w:lang w:val="en-US" w:eastAsia="zh-CN"/>
    </w:rPr>
  </w:style>
  <w:style w:type="character" w:styleId="Strong">
    <w:name w:val="Strong"/>
    <w:basedOn w:val="DefaultParagraphFont"/>
    <w:qFormat/>
    <w:rsid w:val="009C1327"/>
    <w:rPr>
      <w:b/>
      <w:bCs/>
    </w:rPr>
  </w:style>
  <w:style w:type="table" w:styleId="TableGrid">
    <w:name w:val="Table Grid"/>
    <w:basedOn w:val="TableNormal"/>
    <w:qFormat/>
    <w:rsid w:val="009C13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A48C5"/>
    <w:rPr>
      <w:rFonts w:ascii="Tahoma" w:hAnsi="Tahoma" w:cs="Tahoma"/>
      <w:sz w:val="16"/>
      <w:szCs w:val="16"/>
    </w:rPr>
  </w:style>
  <w:style w:type="character" w:customStyle="1" w:styleId="BalloonTextChar">
    <w:name w:val="Balloon Text Char"/>
    <w:basedOn w:val="DefaultParagraphFont"/>
    <w:link w:val="BalloonText"/>
    <w:rsid w:val="003A48C5"/>
    <w:rPr>
      <w:rFonts w:ascii="Tahoma" w:eastAsiaTheme="minorEastAsia" w:hAnsi="Tahoma" w:cs="Tahoma"/>
      <w:sz w:val="16"/>
      <w:szCs w:val="16"/>
      <w:lang w:val="en-US" w:eastAsia="zh-CN" w:bidi="ar-SA"/>
    </w:rPr>
  </w:style>
  <w:style w:type="paragraph" w:styleId="Header">
    <w:name w:val="header"/>
    <w:basedOn w:val="Normal"/>
    <w:link w:val="HeaderChar"/>
    <w:rsid w:val="00795155"/>
    <w:pPr>
      <w:tabs>
        <w:tab w:val="center" w:pos="4513"/>
        <w:tab w:val="right" w:pos="9026"/>
      </w:tabs>
    </w:pPr>
  </w:style>
  <w:style w:type="character" w:customStyle="1" w:styleId="HeaderChar">
    <w:name w:val="Header Char"/>
    <w:basedOn w:val="DefaultParagraphFont"/>
    <w:link w:val="Header"/>
    <w:rsid w:val="00795155"/>
    <w:rPr>
      <w:rFonts w:asciiTheme="minorHAnsi" w:eastAsiaTheme="minorEastAsia" w:hAnsiTheme="minorHAnsi" w:cstheme="minorBidi"/>
      <w:lang w:val="en-US" w:eastAsia="zh-CN" w:bidi="ar-SA"/>
    </w:rPr>
  </w:style>
  <w:style w:type="paragraph" w:styleId="Footer">
    <w:name w:val="footer"/>
    <w:basedOn w:val="Normal"/>
    <w:link w:val="FooterChar"/>
    <w:rsid w:val="00795155"/>
    <w:pPr>
      <w:tabs>
        <w:tab w:val="center" w:pos="4513"/>
        <w:tab w:val="right" w:pos="9026"/>
      </w:tabs>
    </w:pPr>
  </w:style>
  <w:style w:type="character" w:customStyle="1" w:styleId="FooterChar">
    <w:name w:val="Footer Char"/>
    <w:basedOn w:val="DefaultParagraphFont"/>
    <w:link w:val="Footer"/>
    <w:rsid w:val="00795155"/>
    <w:rPr>
      <w:rFonts w:asciiTheme="minorHAnsi" w:eastAsiaTheme="minorEastAsia" w:hAnsiTheme="minorHAnsi" w:cstheme="minorBidi"/>
      <w:lang w:val="en-US" w:eastAsia="zh-CN" w:bidi="ar-SA"/>
    </w:rPr>
  </w:style>
  <w:style w:type="character" w:styleId="UnresolvedMention">
    <w:name w:val="Unresolved Mention"/>
    <w:basedOn w:val="DefaultParagraphFont"/>
    <w:uiPriority w:val="99"/>
    <w:semiHidden/>
    <w:unhideWhenUsed/>
    <w:rsid w:val="00490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463093">
      <w:bodyDiv w:val="1"/>
      <w:marLeft w:val="0"/>
      <w:marRight w:val="0"/>
      <w:marTop w:val="0"/>
      <w:marBottom w:val="0"/>
      <w:divBdr>
        <w:top w:val="none" w:sz="0" w:space="0" w:color="auto"/>
        <w:left w:val="none" w:sz="0" w:space="0" w:color="auto"/>
        <w:bottom w:val="none" w:sz="0" w:space="0" w:color="auto"/>
        <w:right w:val="none" w:sz="0" w:space="0" w:color="auto"/>
      </w:divBdr>
    </w:div>
    <w:div w:id="2051027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SDI 1084</cp:lastModifiedBy>
  <cp:revision>10</cp:revision>
  <dcterms:created xsi:type="dcterms:W3CDTF">2025-10-30T15:19:00Z</dcterms:created>
  <dcterms:modified xsi:type="dcterms:W3CDTF">2026-01-21T13:12:00Z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00F2F1BB8C6C41C6965908B3DDF01BFB_13</vt:lpwstr>
  </property>
</Properties>
</file>