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8B298" w14:textId="77777777" w:rsidR="0036121C" w:rsidRPr="00F352B0" w:rsidRDefault="00807076" w:rsidP="00CA0540">
      <w:pPr>
        <w:spacing w:line="360" w:lineRule="auto"/>
        <w:jc w:val="right"/>
        <w:rPr>
          <w:rFonts w:ascii="Arial" w:hAnsi="Arial" w:cs="Arial"/>
          <w:b/>
          <w:bCs/>
          <w:sz w:val="36"/>
          <w:szCs w:val="36"/>
        </w:rPr>
      </w:pPr>
      <w:r w:rsidRPr="00F352B0">
        <w:rPr>
          <w:rFonts w:ascii="Arial" w:hAnsi="Arial" w:cs="Arial"/>
          <w:b/>
          <w:bCs/>
          <w:sz w:val="36"/>
          <w:szCs w:val="36"/>
        </w:rPr>
        <w:t>An Assessment of Seasonal Variation in Water Quality o</w:t>
      </w:r>
      <w:r w:rsidR="00DD1CAB" w:rsidRPr="00F352B0">
        <w:rPr>
          <w:rFonts w:ascii="Arial" w:hAnsi="Arial" w:cs="Arial"/>
          <w:b/>
          <w:bCs/>
          <w:sz w:val="36"/>
          <w:szCs w:val="36"/>
        </w:rPr>
        <w:t>f Sai River i</w:t>
      </w:r>
      <w:r w:rsidR="009E07C8" w:rsidRPr="00F352B0">
        <w:rPr>
          <w:rFonts w:ascii="Arial" w:hAnsi="Arial" w:cs="Arial"/>
          <w:b/>
          <w:bCs/>
          <w:sz w:val="36"/>
          <w:szCs w:val="36"/>
        </w:rPr>
        <w:t>n Pratapgarh, UP</w:t>
      </w:r>
    </w:p>
    <w:p w14:paraId="2BA0172D" w14:textId="77777777" w:rsidR="0016556B" w:rsidRDefault="0016556B" w:rsidP="000F21FA">
      <w:pPr>
        <w:spacing w:line="360" w:lineRule="auto"/>
        <w:rPr>
          <w:rFonts w:ascii="Arial" w:hAnsi="Arial" w:cs="Arial"/>
          <w:b/>
          <w:bCs/>
          <w:szCs w:val="22"/>
        </w:rPr>
      </w:pPr>
    </w:p>
    <w:p w14:paraId="117AF556" w14:textId="2B95C47F" w:rsidR="00127C76" w:rsidRPr="000F21FA" w:rsidRDefault="00CA0540" w:rsidP="000F21FA">
      <w:pPr>
        <w:spacing w:line="360" w:lineRule="auto"/>
        <w:rPr>
          <w:rFonts w:ascii="Arial" w:hAnsi="Arial" w:cs="Arial"/>
          <w:b/>
          <w:bCs/>
          <w:szCs w:val="22"/>
        </w:rPr>
      </w:pPr>
      <w:r w:rsidRPr="000F21FA">
        <w:rPr>
          <w:rFonts w:ascii="Arial" w:hAnsi="Arial" w:cs="Arial"/>
          <w:b/>
          <w:bCs/>
          <w:szCs w:val="22"/>
        </w:rPr>
        <w:t>ABSTRACT</w:t>
      </w:r>
    </w:p>
    <w:p w14:paraId="35229D6A" w14:textId="77777777" w:rsidR="0046254D" w:rsidRPr="000F21FA" w:rsidRDefault="0046254D" w:rsidP="00CA0540">
      <w:pPr>
        <w:spacing w:line="360" w:lineRule="auto"/>
        <w:jc w:val="both"/>
        <w:rPr>
          <w:rFonts w:ascii="Arial" w:hAnsi="Arial" w:cs="Arial"/>
          <w:szCs w:val="22"/>
        </w:rPr>
      </w:pPr>
      <w:r w:rsidRPr="000F21FA">
        <w:rPr>
          <w:rFonts w:ascii="Arial" w:hAnsi="Arial" w:cs="Arial"/>
          <w:b/>
          <w:bCs/>
          <w:szCs w:val="22"/>
        </w:rPr>
        <w:t>Aim</w:t>
      </w:r>
      <w:r w:rsidRPr="000F21FA">
        <w:rPr>
          <w:rFonts w:ascii="Arial" w:hAnsi="Arial" w:cs="Arial"/>
          <w:szCs w:val="22"/>
        </w:rPr>
        <w:t xml:space="preserve">- </w:t>
      </w:r>
      <w:r w:rsidR="00127C76" w:rsidRPr="000F21FA">
        <w:rPr>
          <w:rFonts w:ascii="Arial" w:hAnsi="Arial" w:cs="Arial"/>
          <w:szCs w:val="22"/>
        </w:rPr>
        <w:t xml:space="preserve">The present study investigates seasonal variations in the </w:t>
      </w:r>
      <w:proofErr w:type="spellStart"/>
      <w:r w:rsidR="00127C76" w:rsidRPr="000F21FA">
        <w:rPr>
          <w:rFonts w:ascii="Arial" w:hAnsi="Arial" w:cs="Arial"/>
          <w:szCs w:val="22"/>
        </w:rPr>
        <w:t>physico</w:t>
      </w:r>
      <w:proofErr w:type="spellEnd"/>
      <w:r w:rsidR="00127C76" w:rsidRPr="000F21FA">
        <w:rPr>
          <w:rFonts w:ascii="Arial" w:hAnsi="Arial" w:cs="Arial"/>
          <w:szCs w:val="22"/>
        </w:rPr>
        <w:t xml:space="preserve">-chemical characteristics of the Sai River in Pratapgarh district, India, across three sites representing different levels of anthropogenic influence. </w:t>
      </w:r>
    </w:p>
    <w:p w14:paraId="0BFDB5B1" w14:textId="77777777" w:rsidR="002D14FC" w:rsidRPr="000F21FA" w:rsidRDefault="0046254D" w:rsidP="00CA0540">
      <w:pPr>
        <w:spacing w:line="360" w:lineRule="auto"/>
        <w:jc w:val="both"/>
        <w:rPr>
          <w:rFonts w:ascii="Arial" w:hAnsi="Arial" w:cs="Arial"/>
          <w:szCs w:val="22"/>
        </w:rPr>
      </w:pPr>
      <w:r w:rsidRPr="000F21FA">
        <w:rPr>
          <w:rFonts w:ascii="Arial" w:hAnsi="Arial" w:cs="Arial"/>
          <w:b/>
          <w:bCs/>
          <w:szCs w:val="22"/>
        </w:rPr>
        <w:t>Study Design</w:t>
      </w:r>
      <w:r w:rsidRPr="000F21FA">
        <w:rPr>
          <w:rFonts w:ascii="Arial" w:hAnsi="Arial" w:cs="Arial"/>
          <w:szCs w:val="22"/>
        </w:rPr>
        <w:t>- The study was based on field based quantitative analysis.</w:t>
      </w:r>
    </w:p>
    <w:p w14:paraId="1F2FF409" w14:textId="77777777" w:rsidR="002D14FC" w:rsidRPr="000F21FA" w:rsidRDefault="002D14FC" w:rsidP="00CA0540">
      <w:pPr>
        <w:spacing w:line="360" w:lineRule="auto"/>
        <w:jc w:val="both"/>
        <w:rPr>
          <w:rFonts w:ascii="Arial" w:hAnsi="Arial" w:cs="Arial"/>
          <w:szCs w:val="22"/>
        </w:rPr>
      </w:pPr>
      <w:r w:rsidRPr="000F21FA">
        <w:rPr>
          <w:rFonts w:ascii="Arial" w:hAnsi="Arial" w:cs="Arial"/>
          <w:b/>
          <w:bCs/>
          <w:szCs w:val="22"/>
        </w:rPr>
        <w:t xml:space="preserve">Place and </w:t>
      </w:r>
      <w:r w:rsidR="00290650" w:rsidRPr="000F21FA">
        <w:rPr>
          <w:rFonts w:ascii="Arial" w:hAnsi="Arial" w:cs="Arial"/>
          <w:b/>
          <w:bCs/>
          <w:szCs w:val="22"/>
        </w:rPr>
        <w:t xml:space="preserve">Duration </w:t>
      </w:r>
      <w:r w:rsidRPr="000F21FA">
        <w:rPr>
          <w:rFonts w:ascii="Arial" w:hAnsi="Arial" w:cs="Arial"/>
          <w:b/>
          <w:bCs/>
          <w:szCs w:val="22"/>
        </w:rPr>
        <w:t>of study</w:t>
      </w:r>
      <w:r w:rsidRPr="000F21FA">
        <w:rPr>
          <w:rFonts w:ascii="Arial" w:hAnsi="Arial" w:cs="Arial"/>
          <w:szCs w:val="22"/>
        </w:rPr>
        <w:t>- Three sites at</w:t>
      </w:r>
      <w:r w:rsidR="00011C6D" w:rsidRPr="000F21FA">
        <w:rPr>
          <w:rFonts w:ascii="Arial" w:hAnsi="Arial" w:cs="Arial"/>
          <w:szCs w:val="22"/>
        </w:rPr>
        <w:t xml:space="preserve"> Sai River in</w:t>
      </w:r>
      <w:r w:rsidRPr="000F21FA">
        <w:rPr>
          <w:rFonts w:ascii="Arial" w:hAnsi="Arial" w:cs="Arial"/>
          <w:szCs w:val="22"/>
        </w:rPr>
        <w:t xml:space="preserve"> </w:t>
      </w:r>
      <w:r w:rsidR="00290650" w:rsidRPr="000F21FA">
        <w:rPr>
          <w:rFonts w:ascii="Arial" w:hAnsi="Arial" w:cs="Arial"/>
          <w:szCs w:val="22"/>
        </w:rPr>
        <w:t xml:space="preserve">district </w:t>
      </w:r>
      <w:r w:rsidRPr="000F21FA">
        <w:rPr>
          <w:rFonts w:ascii="Arial" w:hAnsi="Arial" w:cs="Arial"/>
          <w:szCs w:val="22"/>
        </w:rPr>
        <w:t>Pratapgarh, UP, India</w:t>
      </w:r>
      <w:r w:rsidR="00011C6D" w:rsidRPr="000F21FA">
        <w:rPr>
          <w:rFonts w:ascii="Arial" w:hAnsi="Arial" w:cs="Arial"/>
          <w:szCs w:val="22"/>
        </w:rPr>
        <w:t>. Duration of the study was 2 years.</w:t>
      </w:r>
    </w:p>
    <w:p w14:paraId="0DB1C19C" w14:textId="77777777" w:rsidR="00F352B0" w:rsidRPr="000F21FA" w:rsidRDefault="002D14FC" w:rsidP="00CA0540">
      <w:pPr>
        <w:spacing w:line="360" w:lineRule="auto"/>
        <w:jc w:val="both"/>
        <w:rPr>
          <w:rFonts w:ascii="Arial" w:hAnsi="Arial" w:cs="Arial"/>
          <w:szCs w:val="22"/>
        </w:rPr>
      </w:pPr>
      <w:r w:rsidRPr="000F21FA">
        <w:rPr>
          <w:rFonts w:ascii="Arial" w:hAnsi="Arial" w:cs="Arial"/>
          <w:b/>
          <w:bCs/>
          <w:szCs w:val="22"/>
        </w:rPr>
        <w:t>Methodology</w:t>
      </w:r>
      <w:r w:rsidRPr="000F21FA">
        <w:rPr>
          <w:rFonts w:ascii="Arial" w:hAnsi="Arial" w:cs="Arial"/>
          <w:szCs w:val="22"/>
        </w:rPr>
        <w:t xml:space="preserve">- </w:t>
      </w:r>
      <w:r w:rsidR="00127C76" w:rsidRPr="000F21FA">
        <w:rPr>
          <w:rFonts w:ascii="Arial" w:hAnsi="Arial" w:cs="Arial"/>
          <w:szCs w:val="22"/>
        </w:rPr>
        <w:t xml:space="preserve">Water samples were collected during winter, summer, and rainy seasons and </w:t>
      </w:r>
      <w:proofErr w:type="spellStart"/>
      <w:r w:rsidR="00127C76" w:rsidRPr="000F21FA">
        <w:rPr>
          <w:rFonts w:ascii="Arial" w:hAnsi="Arial" w:cs="Arial"/>
          <w:szCs w:val="22"/>
        </w:rPr>
        <w:t>analysed</w:t>
      </w:r>
      <w:proofErr w:type="spellEnd"/>
      <w:r w:rsidR="00127C76" w:rsidRPr="000F21FA">
        <w:rPr>
          <w:rFonts w:ascii="Arial" w:hAnsi="Arial" w:cs="Arial"/>
          <w:szCs w:val="22"/>
        </w:rPr>
        <w:t xml:space="preserve"> for temperature, pH, turbidity, dissolved oxygen (DO), biochemical oxygen demand (BOD), chemical oxygen demand (COD), electrical conductivity (EC), total alkalinity (TA), nutrients, solids, and other parameters following APHA standard methods.</w:t>
      </w:r>
    </w:p>
    <w:p w14:paraId="775D23F5" w14:textId="77777777" w:rsidR="00F352B0" w:rsidRPr="000F21FA" w:rsidRDefault="00F352B0" w:rsidP="00CA0540">
      <w:pPr>
        <w:spacing w:line="360" w:lineRule="auto"/>
        <w:jc w:val="both"/>
        <w:rPr>
          <w:rFonts w:ascii="Arial" w:hAnsi="Arial" w:cs="Arial"/>
          <w:szCs w:val="22"/>
        </w:rPr>
      </w:pPr>
      <w:r w:rsidRPr="000F21FA">
        <w:rPr>
          <w:rFonts w:ascii="Arial" w:hAnsi="Arial" w:cs="Arial"/>
          <w:b/>
          <w:bCs/>
          <w:szCs w:val="22"/>
        </w:rPr>
        <w:t>Results-</w:t>
      </w:r>
      <w:r w:rsidRPr="000F21FA">
        <w:rPr>
          <w:rFonts w:ascii="Arial" w:hAnsi="Arial" w:cs="Arial"/>
          <w:szCs w:val="22"/>
        </w:rPr>
        <w:t xml:space="preserve"> </w:t>
      </w:r>
      <w:r w:rsidR="00127C76" w:rsidRPr="000F21FA">
        <w:rPr>
          <w:rFonts w:ascii="Arial" w:hAnsi="Arial" w:cs="Arial"/>
          <w:szCs w:val="22"/>
        </w:rPr>
        <w:t xml:space="preserve">The findings reveal distinct spatial and seasonal differences in water quality. Downstream sites exposed to domestic sewage, agricultural runoff, and industrial discharge exhibited consistently higher values of turbidity, BOD, COD, EC, TDS, alkalinity, and nutrients, while DO levels decreased notably during summer. Rainfall improved oxygen availability but increased suspended solids and nutrient influx. </w:t>
      </w:r>
    </w:p>
    <w:p w14:paraId="4B39673D" w14:textId="77777777" w:rsidR="001E4291" w:rsidRPr="000F21FA" w:rsidRDefault="00F352B0" w:rsidP="00CA0540">
      <w:pPr>
        <w:spacing w:line="360" w:lineRule="auto"/>
        <w:jc w:val="both"/>
        <w:rPr>
          <w:rFonts w:ascii="Arial" w:hAnsi="Arial" w:cs="Arial"/>
          <w:szCs w:val="22"/>
        </w:rPr>
      </w:pPr>
      <w:r w:rsidRPr="000F21FA">
        <w:rPr>
          <w:rFonts w:ascii="Arial" w:hAnsi="Arial" w:cs="Arial"/>
          <w:b/>
          <w:bCs/>
          <w:szCs w:val="22"/>
        </w:rPr>
        <w:t>Conclusion-</w:t>
      </w:r>
      <w:r w:rsidRPr="000F21FA">
        <w:rPr>
          <w:rFonts w:ascii="Arial" w:hAnsi="Arial" w:cs="Arial"/>
          <w:szCs w:val="22"/>
        </w:rPr>
        <w:t xml:space="preserve"> </w:t>
      </w:r>
      <w:r w:rsidR="00127C76" w:rsidRPr="000F21FA">
        <w:rPr>
          <w:rFonts w:ascii="Arial" w:hAnsi="Arial" w:cs="Arial"/>
          <w:szCs w:val="22"/>
        </w:rPr>
        <w:t>Among the three sites, Site III showed the highest degree of degradation. Overall, the study highlights the cumulative impact of human activities on the Sai River and emphasizes the need for regular monitoring and effective pollution-mitigation strategies to preserve riverine health.</w:t>
      </w:r>
    </w:p>
    <w:p w14:paraId="743A651A" w14:textId="37A5E76C" w:rsidR="00EC2AD5" w:rsidRDefault="00EC2AD5" w:rsidP="00CA0540">
      <w:pPr>
        <w:spacing w:before="100" w:beforeAutospacing="1" w:after="0" w:line="360" w:lineRule="auto"/>
        <w:jc w:val="both"/>
        <w:outlineLvl w:val="1"/>
        <w:rPr>
          <w:rFonts w:ascii="Arial" w:eastAsia="Times New Roman" w:hAnsi="Arial" w:cs="Arial"/>
          <w:i/>
          <w:iCs/>
          <w:szCs w:val="22"/>
        </w:rPr>
      </w:pPr>
      <w:r w:rsidRPr="000F21FA">
        <w:rPr>
          <w:rFonts w:ascii="Arial" w:eastAsia="Times New Roman" w:hAnsi="Arial" w:cs="Arial"/>
          <w:b/>
          <w:bCs/>
          <w:i/>
          <w:iCs/>
          <w:szCs w:val="22"/>
        </w:rPr>
        <w:t xml:space="preserve">Key words- </w:t>
      </w:r>
      <w:r w:rsidR="0008345F" w:rsidRPr="000F21FA">
        <w:rPr>
          <w:rFonts w:ascii="Arial" w:eastAsia="Times New Roman" w:hAnsi="Arial" w:cs="Arial"/>
          <w:i/>
          <w:iCs/>
          <w:szCs w:val="22"/>
        </w:rPr>
        <w:t>Anthropogenic</w:t>
      </w:r>
      <w:r w:rsidRPr="000F21FA">
        <w:rPr>
          <w:rFonts w:ascii="Arial" w:eastAsia="Times New Roman" w:hAnsi="Arial" w:cs="Arial"/>
          <w:i/>
          <w:iCs/>
          <w:szCs w:val="22"/>
        </w:rPr>
        <w:t xml:space="preserve">, sewage, </w:t>
      </w:r>
      <w:r w:rsidR="003F5A16" w:rsidRPr="000F21FA">
        <w:rPr>
          <w:rFonts w:ascii="Arial" w:eastAsia="Times New Roman" w:hAnsi="Arial" w:cs="Arial"/>
          <w:i/>
          <w:iCs/>
          <w:szCs w:val="22"/>
        </w:rPr>
        <w:t>influx, oxygen demand</w:t>
      </w:r>
      <w:r w:rsidR="00F352B0" w:rsidRPr="000F21FA">
        <w:rPr>
          <w:rFonts w:ascii="Arial" w:eastAsia="Times New Roman" w:hAnsi="Arial" w:cs="Arial"/>
          <w:i/>
          <w:iCs/>
          <w:szCs w:val="22"/>
        </w:rPr>
        <w:t>, mitigation.</w:t>
      </w:r>
    </w:p>
    <w:p w14:paraId="72ABFE69" w14:textId="4B4BFCBA" w:rsidR="0016556B" w:rsidRDefault="0016556B" w:rsidP="00CA0540">
      <w:pPr>
        <w:spacing w:before="100" w:beforeAutospacing="1" w:after="0" w:line="360" w:lineRule="auto"/>
        <w:jc w:val="both"/>
        <w:outlineLvl w:val="1"/>
        <w:rPr>
          <w:rFonts w:ascii="Arial" w:eastAsia="Times New Roman" w:hAnsi="Arial" w:cs="Arial"/>
          <w:b/>
          <w:bCs/>
          <w:i/>
          <w:iCs/>
          <w:szCs w:val="22"/>
        </w:rPr>
      </w:pPr>
    </w:p>
    <w:p w14:paraId="3D2B4BB4" w14:textId="77777777" w:rsidR="0016556B" w:rsidRPr="000F21FA" w:rsidRDefault="0016556B" w:rsidP="00CA0540">
      <w:pPr>
        <w:spacing w:before="100" w:beforeAutospacing="1" w:after="0" w:line="360" w:lineRule="auto"/>
        <w:jc w:val="both"/>
        <w:outlineLvl w:val="1"/>
        <w:rPr>
          <w:rFonts w:ascii="Arial" w:eastAsia="Times New Roman" w:hAnsi="Arial" w:cs="Arial"/>
          <w:b/>
          <w:bCs/>
          <w:i/>
          <w:iCs/>
          <w:szCs w:val="22"/>
        </w:rPr>
      </w:pPr>
    </w:p>
    <w:p w14:paraId="7F457D65" w14:textId="77777777" w:rsidR="00127C76" w:rsidRPr="000F21FA" w:rsidRDefault="00127C76" w:rsidP="00CA0540">
      <w:pPr>
        <w:spacing w:before="100" w:beforeAutospacing="1" w:after="0" w:line="360" w:lineRule="auto"/>
        <w:jc w:val="both"/>
        <w:outlineLvl w:val="1"/>
        <w:rPr>
          <w:rFonts w:ascii="Arial" w:eastAsia="Times New Roman" w:hAnsi="Arial" w:cs="Arial"/>
          <w:b/>
          <w:bCs/>
          <w:szCs w:val="22"/>
        </w:rPr>
      </w:pPr>
      <w:r w:rsidRPr="000F21FA">
        <w:rPr>
          <w:rFonts w:ascii="Arial" w:eastAsia="Times New Roman" w:hAnsi="Arial" w:cs="Arial"/>
          <w:b/>
          <w:bCs/>
          <w:szCs w:val="22"/>
        </w:rPr>
        <w:lastRenderedPageBreak/>
        <w:t>1. INTRODUCTION</w:t>
      </w:r>
    </w:p>
    <w:p w14:paraId="27E87BB6" w14:textId="77777777" w:rsidR="00D16B87" w:rsidRDefault="00127C76" w:rsidP="00D16B87">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Rivers are vital freshwater resources that sustain agricultural production, domestic needs, industry, and ecological balance. Rapid urban development, expanding industries, and intensive farming practices have led to significant deterioration of freshwater bodies</w:t>
      </w:r>
      <w:r w:rsidR="00C825A1" w:rsidRPr="00834AD4">
        <w:rPr>
          <w:rFonts w:ascii="Arial" w:eastAsia="Times New Roman" w:hAnsi="Arial" w:cs="Arial"/>
          <w:sz w:val="20"/>
        </w:rPr>
        <w:t xml:space="preserve"> globally</w:t>
      </w:r>
      <w:r w:rsidRPr="00834AD4">
        <w:rPr>
          <w:rFonts w:ascii="Arial" w:eastAsia="Times New Roman" w:hAnsi="Arial" w:cs="Arial"/>
          <w:sz w:val="20"/>
        </w:rPr>
        <w:t xml:space="preserve"> (Whitton et al., 1991). In India, riverine pollution has intensified due to the continuous discharge of untreated municipal wastewater, industrial effluents, and nutrient-rich agricultural runoff (</w:t>
      </w:r>
      <w:proofErr w:type="spellStart"/>
      <w:r w:rsidRPr="00834AD4">
        <w:rPr>
          <w:rFonts w:ascii="Arial" w:eastAsia="Times New Roman" w:hAnsi="Arial" w:cs="Arial"/>
          <w:sz w:val="20"/>
        </w:rPr>
        <w:t>Hatje</w:t>
      </w:r>
      <w:proofErr w:type="spellEnd"/>
      <w:r w:rsidRPr="00834AD4">
        <w:rPr>
          <w:rFonts w:ascii="Arial" w:eastAsia="Times New Roman" w:hAnsi="Arial" w:cs="Arial"/>
          <w:sz w:val="20"/>
        </w:rPr>
        <w:t xml:space="preserve"> et al., 1998). Such contaminants alter the </w:t>
      </w:r>
      <w:proofErr w:type="spellStart"/>
      <w:r w:rsidRPr="00834AD4">
        <w:rPr>
          <w:rFonts w:ascii="Arial" w:eastAsia="Times New Roman" w:hAnsi="Arial" w:cs="Arial"/>
          <w:sz w:val="20"/>
        </w:rPr>
        <w:t>physico</w:t>
      </w:r>
      <w:proofErr w:type="spellEnd"/>
      <w:r w:rsidRPr="00834AD4">
        <w:rPr>
          <w:rFonts w:ascii="Arial" w:eastAsia="Times New Roman" w:hAnsi="Arial" w:cs="Arial"/>
          <w:sz w:val="20"/>
        </w:rPr>
        <w:t>-chemical nature of water, disrupt biodiversity, and pose serious risks to human health.</w:t>
      </w:r>
      <w:r w:rsidR="00D16B87">
        <w:rPr>
          <w:rFonts w:ascii="Arial" w:eastAsia="Times New Roman" w:hAnsi="Arial" w:cs="Arial"/>
          <w:sz w:val="20"/>
        </w:rPr>
        <w:t xml:space="preserve"> </w:t>
      </w:r>
    </w:p>
    <w:p w14:paraId="1CDEBDE0" w14:textId="77777777" w:rsidR="00D16B87" w:rsidRDefault="00127C76" w:rsidP="00D16B87">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The Sai River</w:t>
      </w:r>
      <w:r w:rsidR="007121D7" w:rsidRPr="00834AD4">
        <w:rPr>
          <w:rFonts w:ascii="Arial" w:eastAsia="Times New Roman" w:hAnsi="Arial" w:cs="Arial"/>
          <w:sz w:val="20"/>
        </w:rPr>
        <w:t xml:space="preserve">, </w:t>
      </w:r>
      <w:r w:rsidRPr="00834AD4">
        <w:rPr>
          <w:rFonts w:ascii="Arial" w:eastAsia="Times New Roman" w:hAnsi="Arial" w:cs="Arial"/>
          <w:sz w:val="20"/>
        </w:rPr>
        <w:t>locally known as the Adi Ganga</w:t>
      </w:r>
      <w:r w:rsidR="007121D7" w:rsidRPr="00834AD4">
        <w:rPr>
          <w:rFonts w:ascii="Arial" w:eastAsia="Times New Roman" w:hAnsi="Arial" w:cs="Arial"/>
          <w:sz w:val="20"/>
        </w:rPr>
        <w:t xml:space="preserve">, </w:t>
      </w:r>
      <w:r w:rsidRPr="00834AD4">
        <w:rPr>
          <w:rFonts w:ascii="Arial" w:eastAsia="Times New Roman" w:hAnsi="Arial" w:cs="Arial"/>
          <w:sz w:val="20"/>
        </w:rPr>
        <w:t xml:space="preserve">is an important tributary of the Gomti River. It originates in </w:t>
      </w:r>
      <w:proofErr w:type="spellStart"/>
      <w:r w:rsidRPr="00834AD4">
        <w:rPr>
          <w:rFonts w:ascii="Arial" w:eastAsia="Times New Roman" w:hAnsi="Arial" w:cs="Arial"/>
          <w:sz w:val="20"/>
        </w:rPr>
        <w:t>Bijgwan</w:t>
      </w:r>
      <w:proofErr w:type="spellEnd"/>
      <w:r w:rsidRPr="00834AD4">
        <w:rPr>
          <w:rFonts w:ascii="Arial" w:eastAsia="Times New Roman" w:hAnsi="Arial" w:cs="Arial"/>
          <w:sz w:val="20"/>
        </w:rPr>
        <w:t xml:space="preserve"> village near </w:t>
      </w:r>
      <w:proofErr w:type="spellStart"/>
      <w:r w:rsidRPr="00834AD4">
        <w:rPr>
          <w:rFonts w:ascii="Arial" w:eastAsia="Times New Roman" w:hAnsi="Arial" w:cs="Arial"/>
          <w:sz w:val="20"/>
        </w:rPr>
        <w:t>Pihani</w:t>
      </w:r>
      <w:proofErr w:type="spellEnd"/>
      <w:r w:rsidRPr="00834AD4">
        <w:rPr>
          <w:rFonts w:ascii="Arial" w:eastAsia="Times New Roman" w:hAnsi="Arial" w:cs="Arial"/>
          <w:sz w:val="20"/>
        </w:rPr>
        <w:t xml:space="preserve"> in Hardoi district and travels approximately 600 km through </w:t>
      </w:r>
      <w:proofErr w:type="spellStart"/>
      <w:r w:rsidRPr="00834AD4">
        <w:rPr>
          <w:rFonts w:ascii="Arial" w:eastAsia="Times New Roman" w:hAnsi="Arial" w:cs="Arial"/>
          <w:sz w:val="20"/>
        </w:rPr>
        <w:t>Hardoi</w:t>
      </w:r>
      <w:proofErr w:type="spellEnd"/>
      <w:r w:rsidRPr="00834AD4">
        <w:rPr>
          <w:rFonts w:ascii="Arial" w:eastAsia="Times New Roman" w:hAnsi="Arial" w:cs="Arial"/>
          <w:sz w:val="20"/>
        </w:rPr>
        <w:t xml:space="preserve">, </w:t>
      </w:r>
      <w:proofErr w:type="spellStart"/>
      <w:r w:rsidRPr="00834AD4">
        <w:rPr>
          <w:rFonts w:ascii="Arial" w:eastAsia="Times New Roman" w:hAnsi="Arial" w:cs="Arial"/>
          <w:sz w:val="20"/>
        </w:rPr>
        <w:t>Raebareli</w:t>
      </w:r>
      <w:proofErr w:type="spellEnd"/>
      <w:r w:rsidRPr="00834AD4">
        <w:rPr>
          <w:rFonts w:ascii="Arial" w:eastAsia="Times New Roman" w:hAnsi="Arial" w:cs="Arial"/>
          <w:sz w:val="20"/>
        </w:rPr>
        <w:t xml:space="preserve">, and </w:t>
      </w:r>
      <w:proofErr w:type="spellStart"/>
      <w:r w:rsidRPr="00834AD4">
        <w:rPr>
          <w:rFonts w:ascii="Arial" w:eastAsia="Times New Roman" w:hAnsi="Arial" w:cs="Arial"/>
          <w:sz w:val="20"/>
        </w:rPr>
        <w:t>Pratapgarh</w:t>
      </w:r>
      <w:proofErr w:type="spellEnd"/>
      <w:r w:rsidRPr="00834AD4">
        <w:rPr>
          <w:rFonts w:ascii="Arial" w:eastAsia="Times New Roman" w:hAnsi="Arial" w:cs="Arial"/>
          <w:sz w:val="20"/>
        </w:rPr>
        <w:t xml:space="preserve"> before merging with the Gomti at </w:t>
      </w:r>
      <w:proofErr w:type="spellStart"/>
      <w:r w:rsidRPr="00834AD4">
        <w:rPr>
          <w:rFonts w:ascii="Arial" w:eastAsia="Times New Roman" w:hAnsi="Arial" w:cs="Arial"/>
          <w:sz w:val="20"/>
        </w:rPr>
        <w:t>Rajepur</w:t>
      </w:r>
      <w:proofErr w:type="spellEnd"/>
      <w:r w:rsidRPr="00834AD4">
        <w:rPr>
          <w:rFonts w:ascii="Arial" w:eastAsia="Times New Roman" w:hAnsi="Arial" w:cs="Arial"/>
          <w:sz w:val="20"/>
        </w:rPr>
        <w:t xml:space="preserve"> in </w:t>
      </w:r>
      <w:proofErr w:type="spellStart"/>
      <w:r w:rsidRPr="00834AD4">
        <w:rPr>
          <w:rFonts w:ascii="Arial" w:eastAsia="Times New Roman" w:hAnsi="Arial" w:cs="Arial"/>
          <w:sz w:val="20"/>
        </w:rPr>
        <w:t>Jaunpur</w:t>
      </w:r>
      <w:proofErr w:type="spellEnd"/>
      <w:r w:rsidRPr="00834AD4">
        <w:rPr>
          <w:rFonts w:ascii="Arial" w:eastAsia="Times New Roman" w:hAnsi="Arial" w:cs="Arial"/>
          <w:sz w:val="20"/>
        </w:rPr>
        <w:t xml:space="preserve"> (Kumari &amp; Chaurasia, 2015). In Pratapgarh, the river supports agriculture, fisheries, and the local ecosystem, but growing pressures from sewage discharge, industrial wastes, and agricultural inputs have compromised its water quality.</w:t>
      </w:r>
      <w:r w:rsidR="00897D67" w:rsidRPr="00834AD4">
        <w:rPr>
          <w:rFonts w:ascii="Arial" w:eastAsia="Times New Roman" w:hAnsi="Arial" w:cs="Arial"/>
          <w:sz w:val="20"/>
        </w:rPr>
        <w:t xml:space="preserve"> </w:t>
      </w:r>
      <w:r w:rsidRPr="00834AD4">
        <w:rPr>
          <w:rFonts w:ascii="Arial" w:eastAsia="Times New Roman" w:hAnsi="Arial" w:cs="Arial"/>
          <w:sz w:val="20"/>
        </w:rPr>
        <w:t xml:space="preserve">Seasonal changes strongly influence river water characteristics. </w:t>
      </w:r>
    </w:p>
    <w:p w14:paraId="2826FC2A" w14:textId="77777777" w:rsidR="00127C76" w:rsidRPr="00834AD4" w:rsidRDefault="00127C76" w:rsidP="00D16B87">
      <w:pPr>
        <w:spacing w:before="100" w:beforeAutospacing="1" w:after="0" w:line="360" w:lineRule="auto"/>
        <w:jc w:val="both"/>
        <w:rPr>
          <w:rFonts w:ascii="Arial" w:eastAsia="Times New Roman" w:hAnsi="Arial" w:cs="Arial"/>
          <w:sz w:val="20"/>
        </w:rPr>
      </w:pPr>
      <w:r w:rsidRPr="00834AD4">
        <w:rPr>
          <w:rFonts w:ascii="Arial" w:eastAsia="Times New Roman" w:hAnsi="Arial" w:cs="Arial"/>
          <w:sz w:val="20"/>
        </w:rPr>
        <w:t>Parameters such as temperature, pH, and dissolved oxygen vary naturally with climatic shifts, while rainfall and runoff significantly affect pollutant movement and concentration (Gupta &amp; Paul, 2021). Monitoring these seasonal dynamics is therefore crucial for evaluating river health and planning restoration measures.</w:t>
      </w:r>
      <w:r w:rsidR="00897D67" w:rsidRPr="00834AD4">
        <w:rPr>
          <w:rFonts w:ascii="Arial" w:eastAsia="Times New Roman" w:hAnsi="Arial" w:cs="Arial"/>
          <w:sz w:val="20"/>
        </w:rPr>
        <w:t xml:space="preserve"> </w:t>
      </w:r>
      <w:r w:rsidRPr="00834AD4">
        <w:rPr>
          <w:rFonts w:ascii="Arial" w:eastAsia="Times New Roman" w:hAnsi="Arial" w:cs="Arial"/>
          <w:sz w:val="20"/>
        </w:rPr>
        <w:t xml:space="preserve">The present study examines seasonal fluctuations in the </w:t>
      </w:r>
      <w:proofErr w:type="spellStart"/>
      <w:r w:rsidRPr="00834AD4">
        <w:rPr>
          <w:rFonts w:ascii="Arial" w:eastAsia="Times New Roman" w:hAnsi="Arial" w:cs="Arial"/>
          <w:sz w:val="20"/>
        </w:rPr>
        <w:t>physico</w:t>
      </w:r>
      <w:proofErr w:type="spellEnd"/>
      <w:r w:rsidRPr="00834AD4">
        <w:rPr>
          <w:rFonts w:ascii="Arial" w:eastAsia="Times New Roman" w:hAnsi="Arial" w:cs="Arial"/>
          <w:sz w:val="20"/>
        </w:rPr>
        <w:t>-chemical properties of the Sai River at three sites experiencing different levels of human interference. The findings help illustrate pollution patterns and the influence of seasonal hydrology on river condition.</w:t>
      </w:r>
    </w:p>
    <w:p w14:paraId="7AA49D2A" w14:textId="77777777" w:rsidR="00127C76" w:rsidRPr="00834AD4" w:rsidRDefault="00127C76" w:rsidP="00CA0540">
      <w:pPr>
        <w:spacing w:before="100" w:beforeAutospacing="1" w:after="100" w:afterAutospacing="1" w:line="360" w:lineRule="auto"/>
        <w:jc w:val="both"/>
        <w:outlineLvl w:val="1"/>
        <w:rPr>
          <w:rFonts w:ascii="Arial" w:eastAsia="Times New Roman" w:hAnsi="Arial" w:cs="Arial"/>
          <w:b/>
          <w:bCs/>
          <w:sz w:val="20"/>
        </w:rPr>
      </w:pPr>
      <w:r w:rsidRPr="000F21FA">
        <w:rPr>
          <w:rFonts w:ascii="Arial" w:eastAsia="Times New Roman" w:hAnsi="Arial" w:cs="Arial"/>
          <w:b/>
          <w:bCs/>
          <w:szCs w:val="22"/>
        </w:rPr>
        <w:t>2. MATERIALS AND METHODS</w:t>
      </w:r>
    </w:p>
    <w:p w14:paraId="182E4028" w14:textId="77777777" w:rsidR="00127C76" w:rsidRPr="00834AD4" w:rsidRDefault="00127C76"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2.1 Study Area</w:t>
      </w:r>
    </w:p>
    <w:p w14:paraId="41600796"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The study was conducted along a 72</w:t>
      </w:r>
      <w:r w:rsidR="003E50FE" w:rsidRPr="00834AD4">
        <w:rPr>
          <w:rFonts w:ascii="Arial" w:eastAsia="Times New Roman" w:hAnsi="Arial" w:cs="Arial"/>
          <w:sz w:val="20"/>
        </w:rPr>
        <w:t xml:space="preserve"> </w:t>
      </w:r>
      <w:r w:rsidRPr="00834AD4">
        <w:rPr>
          <w:rFonts w:ascii="Arial" w:eastAsia="Times New Roman" w:hAnsi="Arial" w:cs="Arial"/>
          <w:sz w:val="20"/>
        </w:rPr>
        <w:t>km stretch of the Sai River that passes through the Pratapgarh district (</w:t>
      </w:r>
      <w:r w:rsidR="003E50FE" w:rsidRPr="00834AD4">
        <w:rPr>
          <w:rFonts w:ascii="Arial" w:eastAsia="Times New Roman" w:hAnsi="Arial" w:cs="Arial"/>
          <w:sz w:val="20"/>
        </w:rPr>
        <w:t xml:space="preserve">latitude </w:t>
      </w:r>
      <w:r w:rsidRPr="00834AD4">
        <w:rPr>
          <w:rFonts w:ascii="Arial" w:eastAsia="Times New Roman" w:hAnsi="Arial" w:cs="Arial"/>
          <w:sz w:val="20"/>
        </w:rPr>
        <w:t>25.34°–26.11° N;</w:t>
      </w:r>
      <w:r w:rsidR="003E50FE" w:rsidRPr="00834AD4">
        <w:rPr>
          <w:rFonts w:ascii="Arial" w:eastAsia="Times New Roman" w:hAnsi="Arial" w:cs="Arial"/>
          <w:sz w:val="20"/>
        </w:rPr>
        <w:t xml:space="preserve"> longitude</w:t>
      </w:r>
      <w:r w:rsidRPr="00834AD4">
        <w:rPr>
          <w:rFonts w:ascii="Arial" w:eastAsia="Times New Roman" w:hAnsi="Arial" w:cs="Arial"/>
          <w:sz w:val="20"/>
        </w:rPr>
        <w:t xml:space="preserve"> 81.19°–82.27° E). The river enters </w:t>
      </w:r>
      <w:proofErr w:type="spellStart"/>
      <w:r w:rsidRPr="00834AD4">
        <w:rPr>
          <w:rFonts w:ascii="Arial" w:eastAsia="Times New Roman" w:hAnsi="Arial" w:cs="Arial"/>
          <w:sz w:val="20"/>
        </w:rPr>
        <w:t>Pratapgarh</w:t>
      </w:r>
      <w:proofErr w:type="spellEnd"/>
      <w:r w:rsidRPr="00834AD4">
        <w:rPr>
          <w:rFonts w:ascii="Arial" w:eastAsia="Times New Roman" w:hAnsi="Arial" w:cs="Arial"/>
          <w:sz w:val="20"/>
        </w:rPr>
        <w:t xml:space="preserve"> near </w:t>
      </w:r>
      <w:proofErr w:type="spellStart"/>
      <w:r w:rsidRPr="00834AD4">
        <w:rPr>
          <w:rFonts w:ascii="Arial" w:eastAsia="Times New Roman" w:hAnsi="Arial" w:cs="Arial"/>
          <w:sz w:val="20"/>
        </w:rPr>
        <w:t>Mustafabad</w:t>
      </w:r>
      <w:proofErr w:type="spellEnd"/>
      <w:r w:rsidRPr="00834AD4">
        <w:rPr>
          <w:rFonts w:ascii="Arial" w:eastAsia="Times New Roman" w:hAnsi="Arial" w:cs="Arial"/>
          <w:sz w:val="20"/>
        </w:rPr>
        <w:t xml:space="preserve">, traversing predominantly agricultural and semi-urban landscapes. The district </w:t>
      </w:r>
      <w:r w:rsidR="00897D67" w:rsidRPr="00834AD4">
        <w:rPr>
          <w:rFonts w:ascii="Arial" w:eastAsia="Times New Roman" w:hAnsi="Arial" w:cs="Arial"/>
          <w:sz w:val="20"/>
        </w:rPr>
        <w:t xml:space="preserve">Pratapgarh </w:t>
      </w:r>
      <w:r w:rsidRPr="00834AD4">
        <w:rPr>
          <w:rFonts w:ascii="Arial" w:eastAsia="Times New Roman" w:hAnsi="Arial" w:cs="Arial"/>
          <w:sz w:val="20"/>
        </w:rPr>
        <w:t xml:space="preserve">is bounded by Sultanpur, </w:t>
      </w:r>
      <w:proofErr w:type="spellStart"/>
      <w:r w:rsidRPr="00834AD4">
        <w:rPr>
          <w:rFonts w:ascii="Arial" w:eastAsia="Times New Roman" w:hAnsi="Arial" w:cs="Arial"/>
          <w:sz w:val="20"/>
        </w:rPr>
        <w:t>Prayagraj</w:t>
      </w:r>
      <w:proofErr w:type="spellEnd"/>
      <w:r w:rsidRPr="00834AD4">
        <w:rPr>
          <w:rFonts w:ascii="Arial" w:eastAsia="Times New Roman" w:hAnsi="Arial" w:cs="Arial"/>
          <w:sz w:val="20"/>
        </w:rPr>
        <w:t xml:space="preserve">, </w:t>
      </w:r>
      <w:proofErr w:type="spellStart"/>
      <w:r w:rsidRPr="00834AD4">
        <w:rPr>
          <w:rFonts w:ascii="Arial" w:eastAsia="Times New Roman" w:hAnsi="Arial" w:cs="Arial"/>
          <w:sz w:val="20"/>
        </w:rPr>
        <w:t>Jaunpur</w:t>
      </w:r>
      <w:proofErr w:type="spellEnd"/>
      <w:r w:rsidRPr="00834AD4">
        <w:rPr>
          <w:rFonts w:ascii="Arial" w:eastAsia="Times New Roman" w:hAnsi="Arial" w:cs="Arial"/>
          <w:sz w:val="20"/>
        </w:rPr>
        <w:t xml:space="preserve">, Fatehpur, and </w:t>
      </w:r>
      <w:proofErr w:type="spellStart"/>
      <w:r w:rsidRPr="00834AD4">
        <w:rPr>
          <w:rFonts w:ascii="Arial" w:eastAsia="Times New Roman" w:hAnsi="Arial" w:cs="Arial"/>
          <w:sz w:val="20"/>
        </w:rPr>
        <w:t>Raebareli</w:t>
      </w:r>
      <w:proofErr w:type="spellEnd"/>
      <w:r w:rsidRPr="00834AD4">
        <w:rPr>
          <w:rFonts w:ascii="Arial" w:eastAsia="Times New Roman" w:hAnsi="Arial" w:cs="Arial"/>
          <w:sz w:val="20"/>
        </w:rPr>
        <w:t>, and is partly bordered by the Ganga and Gomti rivers (Central Statistical Organization, 2022).</w:t>
      </w:r>
    </w:p>
    <w:p w14:paraId="1C0FE328" w14:textId="77777777" w:rsidR="001A282A" w:rsidRPr="00834AD4" w:rsidRDefault="001A282A" w:rsidP="00D16B87">
      <w:pPr>
        <w:spacing w:after="0" w:line="360" w:lineRule="auto"/>
        <w:jc w:val="center"/>
        <w:rPr>
          <w:rFonts w:ascii="Arial" w:hAnsi="Arial" w:cs="Arial"/>
          <w:sz w:val="20"/>
        </w:rPr>
      </w:pPr>
      <w:r w:rsidRPr="00834AD4">
        <w:rPr>
          <w:rFonts w:ascii="Arial" w:hAnsi="Arial" w:cs="Arial"/>
          <w:noProof/>
          <w:sz w:val="20"/>
        </w:rPr>
        <w:lastRenderedPageBreak/>
        <w:drawing>
          <wp:inline distT="0" distB="0" distL="0" distR="0" wp14:anchorId="25038D49" wp14:editId="144FF8B9">
            <wp:extent cx="4425349" cy="3657600"/>
            <wp:effectExtent l="19050" t="19050" r="13335" b="19050"/>
            <wp:docPr id="1" name="Picture 1" descr="C:\Users\DELL\Desktop\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5349" cy="3657600"/>
                    </a:xfrm>
                    <a:prstGeom prst="rect">
                      <a:avLst/>
                    </a:prstGeom>
                    <a:noFill/>
                    <a:ln w="12700" cmpd="sng">
                      <a:solidFill>
                        <a:schemeClr val="tx1">
                          <a:alpha val="99000"/>
                        </a:schemeClr>
                      </a:solidFill>
                    </a:ln>
                  </pic:spPr>
                </pic:pic>
              </a:graphicData>
            </a:graphic>
          </wp:inline>
        </w:drawing>
      </w:r>
    </w:p>
    <w:p w14:paraId="288A2AF5" w14:textId="77777777" w:rsidR="001A282A" w:rsidRPr="00834AD4" w:rsidRDefault="001A282A" w:rsidP="00CA0540">
      <w:pPr>
        <w:tabs>
          <w:tab w:val="center" w:pos="4680"/>
          <w:tab w:val="left" w:pos="7560"/>
        </w:tabs>
        <w:spacing w:line="360" w:lineRule="auto"/>
        <w:rPr>
          <w:rFonts w:ascii="Arial" w:hAnsi="Arial" w:cs="Arial"/>
          <w:b/>
          <w:bCs/>
          <w:sz w:val="20"/>
        </w:rPr>
      </w:pPr>
      <w:r w:rsidRPr="00834AD4">
        <w:rPr>
          <w:rFonts w:ascii="Arial" w:hAnsi="Arial" w:cs="Arial"/>
          <w:b/>
          <w:bCs/>
          <w:sz w:val="20"/>
        </w:rPr>
        <w:tab/>
        <w:t>Fig 1- Route and site of study of Sai River in</w:t>
      </w:r>
      <w:r w:rsidR="000C72E4">
        <w:rPr>
          <w:rFonts w:ascii="Arial" w:hAnsi="Arial" w:cs="Arial"/>
          <w:b/>
          <w:bCs/>
          <w:sz w:val="20"/>
        </w:rPr>
        <w:t xml:space="preserve"> Pratapgarh,</w:t>
      </w:r>
      <w:r w:rsidRPr="00834AD4">
        <w:rPr>
          <w:rFonts w:ascii="Arial" w:hAnsi="Arial" w:cs="Arial"/>
          <w:b/>
          <w:bCs/>
          <w:sz w:val="20"/>
        </w:rPr>
        <w:t xml:space="preserve"> Uttar Pradesh, India</w:t>
      </w:r>
    </w:p>
    <w:p w14:paraId="579EC009" w14:textId="77777777" w:rsidR="00127C76" w:rsidRPr="00834AD4" w:rsidRDefault="00127C76"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2.2 Site Selection</w:t>
      </w:r>
    </w:p>
    <w:p w14:paraId="0039FA9B" w14:textId="77777777" w:rsidR="00127C76" w:rsidRPr="00834AD4" w:rsidRDefault="00127C76" w:rsidP="00CA0540">
      <w:pPr>
        <w:spacing w:after="0" w:line="360" w:lineRule="auto"/>
        <w:jc w:val="both"/>
        <w:rPr>
          <w:rFonts w:ascii="Arial" w:eastAsia="Times New Roman" w:hAnsi="Arial" w:cs="Arial"/>
          <w:sz w:val="20"/>
        </w:rPr>
      </w:pPr>
      <w:r w:rsidRPr="00834AD4">
        <w:rPr>
          <w:rFonts w:ascii="Arial" w:eastAsia="Times New Roman" w:hAnsi="Arial" w:cs="Arial"/>
          <w:sz w:val="20"/>
        </w:rPr>
        <w:t>Three sampling sites</w:t>
      </w:r>
      <w:r w:rsidR="00EF1DCD" w:rsidRPr="00834AD4">
        <w:rPr>
          <w:rFonts w:ascii="Arial" w:eastAsia="Times New Roman" w:hAnsi="Arial" w:cs="Arial"/>
          <w:sz w:val="20"/>
        </w:rPr>
        <w:t>,</w:t>
      </w:r>
      <w:r w:rsidRPr="00834AD4">
        <w:rPr>
          <w:rFonts w:ascii="Arial" w:eastAsia="Times New Roman" w:hAnsi="Arial" w:cs="Arial"/>
          <w:sz w:val="20"/>
        </w:rPr>
        <w:t xml:space="preserve"> representing varying intensities of anthropogenic stress were chosen:</w:t>
      </w:r>
    </w:p>
    <w:p w14:paraId="4B4FBDE9" w14:textId="77777777" w:rsidR="00127C76" w:rsidRPr="00834AD4" w:rsidRDefault="00127C76" w:rsidP="00CA0540">
      <w:pPr>
        <w:numPr>
          <w:ilvl w:val="0"/>
          <w:numId w:val="1"/>
        </w:numPr>
        <w:spacing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Site I: </w:t>
      </w:r>
      <w:proofErr w:type="spellStart"/>
      <w:r w:rsidRPr="00834AD4">
        <w:rPr>
          <w:rFonts w:ascii="Arial" w:eastAsia="Times New Roman" w:hAnsi="Arial" w:cs="Arial"/>
          <w:sz w:val="20"/>
        </w:rPr>
        <w:t>Is</w:t>
      </w:r>
      <w:r w:rsidR="00EF1DCD" w:rsidRPr="00834AD4">
        <w:rPr>
          <w:rFonts w:ascii="Arial" w:eastAsia="Times New Roman" w:hAnsi="Arial" w:cs="Arial"/>
          <w:sz w:val="20"/>
        </w:rPr>
        <w:t>hipur</w:t>
      </w:r>
      <w:proofErr w:type="spellEnd"/>
      <w:r w:rsidR="00EF1DCD" w:rsidRPr="00834AD4">
        <w:rPr>
          <w:rFonts w:ascii="Arial" w:eastAsia="Times New Roman" w:hAnsi="Arial" w:cs="Arial"/>
          <w:sz w:val="20"/>
        </w:rPr>
        <w:t xml:space="preserve"> (Reference Site) having m</w:t>
      </w:r>
      <w:r w:rsidRPr="00834AD4">
        <w:rPr>
          <w:rFonts w:ascii="Arial" w:eastAsia="Times New Roman" w:hAnsi="Arial" w:cs="Arial"/>
          <w:sz w:val="20"/>
        </w:rPr>
        <w:t>inimal human activity.</w:t>
      </w:r>
    </w:p>
    <w:p w14:paraId="4D3576ED" w14:textId="77777777" w:rsidR="00127C76" w:rsidRPr="00834AD4" w:rsidRDefault="00127C76" w:rsidP="00CA0540">
      <w:pPr>
        <w:numPr>
          <w:ilvl w:val="0"/>
          <w:numId w:val="1"/>
        </w:num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Site II: </w:t>
      </w:r>
      <w:proofErr w:type="spellStart"/>
      <w:r w:rsidRPr="00834AD4">
        <w:rPr>
          <w:rFonts w:ascii="Arial" w:eastAsia="Times New Roman" w:hAnsi="Arial" w:cs="Arial"/>
          <w:sz w:val="20"/>
        </w:rPr>
        <w:t>Beera</w:t>
      </w:r>
      <w:r w:rsidR="00EF1DCD" w:rsidRPr="00834AD4">
        <w:rPr>
          <w:rFonts w:ascii="Arial" w:eastAsia="Times New Roman" w:hAnsi="Arial" w:cs="Arial"/>
          <w:sz w:val="20"/>
        </w:rPr>
        <w:t>pur</w:t>
      </w:r>
      <w:proofErr w:type="spellEnd"/>
      <w:r w:rsidR="00EF1DCD" w:rsidRPr="00834AD4">
        <w:rPr>
          <w:rFonts w:ascii="Arial" w:eastAsia="Times New Roman" w:hAnsi="Arial" w:cs="Arial"/>
          <w:sz w:val="20"/>
        </w:rPr>
        <w:t xml:space="preserve"> (Moderately Polluted Site) which is i</w:t>
      </w:r>
      <w:r w:rsidRPr="00834AD4">
        <w:rPr>
          <w:rFonts w:ascii="Arial" w:eastAsia="Times New Roman" w:hAnsi="Arial" w:cs="Arial"/>
          <w:sz w:val="20"/>
        </w:rPr>
        <w:t>nfluenced by intermediate urban runoff and agricultural practices.</w:t>
      </w:r>
    </w:p>
    <w:p w14:paraId="17203DD0" w14:textId="77777777" w:rsidR="00127C76" w:rsidRPr="00834AD4" w:rsidRDefault="00127C76" w:rsidP="00CA0540">
      <w:pPr>
        <w:numPr>
          <w:ilvl w:val="0"/>
          <w:numId w:val="1"/>
        </w:num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Site III: Bela (Highly Polluted Site) </w:t>
      </w:r>
      <w:r w:rsidR="00EF1DCD" w:rsidRPr="00834AD4">
        <w:rPr>
          <w:rFonts w:ascii="Arial" w:eastAsia="Times New Roman" w:hAnsi="Arial" w:cs="Arial"/>
          <w:sz w:val="20"/>
        </w:rPr>
        <w:t>which is e</w:t>
      </w:r>
      <w:r w:rsidRPr="00834AD4">
        <w:rPr>
          <w:rFonts w:ascii="Arial" w:eastAsia="Times New Roman" w:hAnsi="Arial" w:cs="Arial"/>
          <w:sz w:val="20"/>
        </w:rPr>
        <w:t>xposed to heavy domestic sewage, agricultural runoff, and industrial discharge.</w:t>
      </w:r>
    </w:p>
    <w:p w14:paraId="4AF014A0" w14:textId="77777777" w:rsidR="00127C76" w:rsidRPr="00834AD4" w:rsidRDefault="00127C76"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2.3 Sample Collection</w:t>
      </w:r>
    </w:p>
    <w:p w14:paraId="77542393" w14:textId="77777777" w:rsidR="00127C76" w:rsidRPr="00834AD4" w:rsidRDefault="00C02DB2"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The w</w:t>
      </w:r>
      <w:r w:rsidR="00127C76" w:rsidRPr="00834AD4">
        <w:rPr>
          <w:rFonts w:ascii="Arial" w:eastAsia="Times New Roman" w:hAnsi="Arial" w:cs="Arial"/>
          <w:sz w:val="20"/>
        </w:rPr>
        <w:t>ater samples (1000 mL each) were collected during three seasons: winter (Decembe</w:t>
      </w:r>
      <w:r w:rsidRPr="00834AD4">
        <w:rPr>
          <w:rFonts w:ascii="Arial" w:eastAsia="Times New Roman" w:hAnsi="Arial" w:cs="Arial"/>
          <w:sz w:val="20"/>
        </w:rPr>
        <w:t>r–February), summer (March–May)</w:t>
      </w:r>
      <w:r w:rsidR="00127C76" w:rsidRPr="00834AD4">
        <w:rPr>
          <w:rFonts w:ascii="Arial" w:eastAsia="Times New Roman" w:hAnsi="Arial" w:cs="Arial"/>
          <w:sz w:val="20"/>
        </w:rPr>
        <w:t xml:space="preserve"> and rainy season (June–Septe</w:t>
      </w:r>
      <w:r w:rsidRPr="00834AD4">
        <w:rPr>
          <w:rFonts w:ascii="Arial" w:eastAsia="Times New Roman" w:hAnsi="Arial" w:cs="Arial"/>
          <w:sz w:val="20"/>
        </w:rPr>
        <w:t>mber). Five samples per site (n=</w:t>
      </w:r>
      <w:r w:rsidR="00127C76" w:rsidRPr="00834AD4">
        <w:rPr>
          <w:rFonts w:ascii="Arial" w:eastAsia="Times New Roman" w:hAnsi="Arial" w:cs="Arial"/>
          <w:sz w:val="20"/>
        </w:rPr>
        <w:t>5) were taken following</w:t>
      </w:r>
      <w:r w:rsidRPr="00834AD4">
        <w:rPr>
          <w:rFonts w:ascii="Arial" w:eastAsia="Times New Roman" w:hAnsi="Arial" w:cs="Arial"/>
          <w:sz w:val="20"/>
        </w:rPr>
        <w:t xml:space="preserve"> the</w:t>
      </w:r>
      <w:r w:rsidR="00127C76" w:rsidRPr="00834AD4">
        <w:rPr>
          <w:rFonts w:ascii="Arial" w:eastAsia="Times New Roman" w:hAnsi="Arial" w:cs="Arial"/>
          <w:sz w:val="20"/>
        </w:rPr>
        <w:t xml:space="preserve"> APHA guidelines (APHA, </w:t>
      </w:r>
      <w:r w:rsidR="00CF0170" w:rsidRPr="00834AD4">
        <w:rPr>
          <w:rFonts w:ascii="Arial" w:eastAsia="Times New Roman" w:hAnsi="Arial" w:cs="Arial"/>
          <w:sz w:val="20"/>
        </w:rPr>
        <w:t>2017</w:t>
      </w:r>
      <w:r w:rsidRPr="00834AD4">
        <w:rPr>
          <w:rFonts w:ascii="Arial" w:eastAsia="Times New Roman" w:hAnsi="Arial" w:cs="Arial"/>
          <w:sz w:val="20"/>
        </w:rPr>
        <w:t xml:space="preserve">). Samples were stored in acid </w:t>
      </w:r>
      <w:r w:rsidR="00127C76" w:rsidRPr="00834AD4">
        <w:rPr>
          <w:rFonts w:ascii="Arial" w:eastAsia="Times New Roman" w:hAnsi="Arial" w:cs="Arial"/>
          <w:sz w:val="20"/>
        </w:rPr>
        <w:t>washed bottles, filtered when necessary, preserved with KI solution, and transported under refrigeration for</w:t>
      </w:r>
      <w:r w:rsidRPr="00834AD4">
        <w:rPr>
          <w:rFonts w:ascii="Arial" w:eastAsia="Times New Roman" w:hAnsi="Arial" w:cs="Arial"/>
          <w:sz w:val="20"/>
        </w:rPr>
        <w:t xml:space="preserve"> further</w:t>
      </w:r>
      <w:r w:rsidR="00127C76" w:rsidRPr="00834AD4">
        <w:rPr>
          <w:rFonts w:ascii="Arial" w:eastAsia="Times New Roman" w:hAnsi="Arial" w:cs="Arial"/>
          <w:sz w:val="20"/>
        </w:rPr>
        <w:t xml:space="preserve"> laboratory analysis.</w:t>
      </w:r>
    </w:p>
    <w:p w14:paraId="71E5BC5B" w14:textId="77777777" w:rsidR="00127C76" w:rsidRPr="00834AD4" w:rsidRDefault="00127C76"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 xml:space="preserve">2.4 </w:t>
      </w:r>
      <w:proofErr w:type="spellStart"/>
      <w:r w:rsidRPr="00834AD4">
        <w:rPr>
          <w:rFonts w:ascii="Arial" w:eastAsia="Times New Roman" w:hAnsi="Arial" w:cs="Arial"/>
          <w:b/>
          <w:bCs/>
          <w:sz w:val="20"/>
        </w:rPr>
        <w:t>Physico</w:t>
      </w:r>
      <w:proofErr w:type="spellEnd"/>
      <w:r w:rsidRPr="00834AD4">
        <w:rPr>
          <w:rFonts w:ascii="Arial" w:eastAsia="Times New Roman" w:hAnsi="Arial" w:cs="Arial"/>
          <w:b/>
          <w:bCs/>
          <w:sz w:val="20"/>
        </w:rPr>
        <w:t>-Chemical Analysis</w:t>
      </w:r>
    </w:p>
    <w:p w14:paraId="1577D5F0"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lastRenderedPageBreak/>
        <w:t xml:space="preserve">The collected samples were </w:t>
      </w:r>
      <w:r w:rsidR="00490675" w:rsidRPr="00834AD4">
        <w:rPr>
          <w:rFonts w:ascii="Arial" w:eastAsia="Times New Roman" w:hAnsi="Arial" w:cs="Arial"/>
          <w:sz w:val="20"/>
        </w:rPr>
        <w:t>analyzed</w:t>
      </w:r>
      <w:r w:rsidRPr="00834AD4">
        <w:rPr>
          <w:rFonts w:ascii="Arial" w:eastAsia="Times New Roman" w:hAnsi="Arial" w:cs="Arial"/>
          <w:sz w:val="20"/>
        </w:rPr>
        <w:t xml:space="preserve"> for temperature, pH, </w:t>
      </w:r>
      <w:proofErr w:type="spellStart"/>
      <w:r w:rsidRPr="00834AD4">
        <w:rPr>
          <w:rFonts w:ascii="Arial" w:eastAsia="Times New Roman" w:hAnsi="Arial" w:cs="Arial"/>
          <w:sz w:val="20"/>
        </w:rPr>
        <w:t>colour</w:t>
      </w:r>
      <w:proofErr w:type="spellEnd"/>
      <w:r w:rsidRPr="00834AD4">
        <w:rPr>
          <w:rFonts w:ascii="Arial" w:eastAsia="Times New Roman" w:hAnsi="Arial" w:cs="Arial"/>
          <w:sz w:val="20"/>
        </w:rPr>
        <w:t>, dissolved oxygen (DO), biochemical oxygen demand (BOD), chemical oxygen demand (COD), electrical conductivity (EC), chloride, nitrate, phosphate, total alkalinity (TA), turbidity, total dissolved solids (TDS), total suspended solids (TSS), total solids (TS), and total hardness (TH). Standard procedures recommended by APHA (</w:t>
      </w:r>
      <w:r w:rsidR="00CF0170" w:rsidRPr="00834AD4">
        <w:rPr>
          <w:rFonts w:ascii="Arial" w:eastAsia="Times New Roman" w:hAnsi="Arial" w:cs="Arial"/>
          <w:sz w:val="20"/>
        </w:rPr>
        <w:t>2017</w:t>
      </w:r>
      <w:r w:rsidRPr="00834AD4">
        <w:rPr>
          <w:rFonts w:ascii="Arial" w:eastAsia="Times New Roman" w:hAnsi="Arial" w:cs="Arial"/>
          <w:sz w:val="20"/>
        </w:rPr>
        <w:t>), AWWA, and WPCA (2005) were followed for all examinations.</w:t>
      </w:r>
    </w:p>
    <w:p w14:paraId="31571ACD" w14:textId="77777777" w:rsidR="00127C76" w:rsidRPr="000F21FA" w:rsidRDefault="00A87F5E" w:rsidP="00CA0540">
      <w:pPr>
        <w:spacing w:before="100" w:beforeAutospacing="1" w:after="100" w:afterAutospacing="1" w:line="360" w:lineRule="auto"/>
        <w:jc w:val="both"/>
        <w:outlineLvl w:val="1"/>
        <w:rPr>
          <w:rFonts w:ascii="Arial" w:eastAsia="Times New Roman" w:hAnsi="Arial" w:cs="Arial"/>
          <w:b/>
          <w:bCs/>
          <w:szCs w:val="22"/>
        </w:rPr>
      </w:pPr>
      <w:r w:rsidRPr="000F21FA">
        <w:rPr>
          <w:rFonts w:ascii="Arial" w:eastAsia="Times New Roman" w:hAnsi="Arial" w:cs="Arial"/>
          <w:b/>
          <w:bCs/>
          <w:szCs w:val="22"/>
        </w:rPr>
        <w:t>3</w:t>
      </w:r>
      <w:r w:rsidR="00127C76" w:rsidRPr="000F21FA">
        <w:rPr>
          <w:rFonts w:ascii="Arial" w:eastAsia="Times New Roman" w:hAnsi="Arial" w:cs="Arial"/>
          <w:b/>
          <w:bCs/>
          <w:szCs w:val="22"/>
        </w:rPr>
        <w:t>. RESULTS AND DISCUSSION</w:t>
      </w:r>
    </w:p>
    <w:p w14:paraId="75ABF04E"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The study revealed pronounced spatial and seasonal variations in the </w:t>
      </w:r>
      <w:proofErr w:type="spellStart"/>
      <w:r w:rsidRPr="00834AD4">
        <w:rPr>
          <w:rFonts w:ascii="Arial" w:eastAsia="Times New Roman" w:hAnsi="Arial" w:cs="Arial"/>
          <w:sz w:val="20"/>
        </w:rPr>
        <w:t>physico</w:t>
      </w:r>
      <w:proofErr w:type="spellEnd"/>
      <w:r w:rsidRPr="00834AD4">
        <w:rPr>
          <w:rFonts w:ascii="Arial" w:eastAsia="Times New Roman" w:hAnsi="Arial" w:cs="Arial"/>
          <w:sz w:val="20"/>
        </w:rPr>
        <w:t>-chemical parameters of the Sai River. Differences among sites reflected the increasing influence of domestic sewage, agricultural runoff, and industrial wastes from upstream to downstream.</w:t>
      </w:r>
    </w:p>
    <w:p w14:paraId="602EC543"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.1 Temperature</w:t>
      </w:r>
    </w:p>
    <w:p w14:paraId="7D528EF3"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Temperature showed a distinct seasonal pattern with maximum values during summer at all sites. Site III recorded the highest temperature (34.08°C), while Site II exhibited slightly elevated summer temperatures relative to Sites I and III. Winter and monsoon temperatures showed no significant differences. These variations affect oxygen solubility, metabolic rates, and overall biological activity (Singh et al., 2020). Comparable patterns were noted in other urban-impacted rivers, where shallow depth and human activities increase localized</w:t>
      </w:r>
      <w:r w:rsidR="00490675" w:rsidRPr="00834AD4">
        <w:rPr>
          <w:rFonts w:ascii="Arial" w:eastAsia="Times New Roman" w:hAnsi="Arial" w:cs="Arial"/>
          <w:sz w:val="20"/>
        </w:rPr>
        <w:t xml:space="preserve"> warming (Verma &amp; Sa</w:t>
      </w:r>
      <w:r w:rsidR="00F13F5C" w:rsidRPr="00834AD4">
        <w:rPr>
          <w:rFonts w:ascii="Arial" w:eastAsia="Times New Roman" w:hAnsi="Arial" w:cs="Arial"/>
          <w:sz w:val="20"/>
        </w:rPr>
        <w:t>ks</w:t>
      </w:r>
      <w:r w:rsidRPr="00834AD4">
        <w:rPr>
          <w:rFonts w:ascii="Arial" w:eastAsia="Times New Roman" w:hAnsi="Arial" w:cs="Arial"/>
          <w:sz w:val="20"/>
        </w:rPr>
        <w:t>ena, 2019).</w:t>
      </w:r>
    </w:p>
    <w:p w14:paraId="63430AE5"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.2 pH</w:t>
      </w:r>
    </w:p>
    <w:p w14:paraId="1E05CE88"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pH ranged from slightly acidic at Site I (6.64–6.80) to more alkaline at Sites II and III. Higher winter pH at Sites II and III indicates the presence of detergent-laden wastewater and agriculturally derived bicarbonates. Dilution during rainfall reduced differences across sites in other seasons. These outcomes agree with earlier findings where polluted stretches showed elevated pH values that normalize during monsoon flow (Sharma et al., 2018; Gupta &amp; Paul, 2021).</w:t>
      </w:r>
    </w:p>
    <w:p w14:paraId="5FD0FAFD"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 xml:space="preserve">.3 </w:t>
      </w:r>
      <w:proofErr w:type="spellStart"/>
      <w:r w:rsidR="00127C76" w:rsidRPr="00834AD4">
        <w:rPr>
          <w:rFonts w:ascii="Arial" w:eastAsia="Times New Roman" w:hAnsi="Arial" w:cs="Arial"/>
          <w:b/>
          <w:bCs/>
          <w:sz w:val="20"/>
        </w:rPr>
        <w:t>Colour</w:t>
      </w:r>
      <w:proofErr w:type="spellEnd"/>
      <w:r w:rsidR="00127C76" w:rsidRPr="00834AD4">
        <w:rPr>
          <w:rFonts w:ascii="Arial" w:eastAsia="Times New Roman" w:hAnsi="Arial" w:cs="Arial"/>
          <w:b/>
          <w:bCs/>
          <w:sz w:val="20"/>
        </w:rPr>
        <w:t xml:space="preserve"> and Taste</w:t>
      </w:r>
    </w:p>
    <w:p w14:paraId="6F39B5F7"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Water </w:t>
      </w:r>
      <w:proofErr w:type="spellStart"/>
      <w:r w:rsidRPr="00834AD4">
        <w:rPr>
          <w:rFonts w:ascii="Arial" w:eastAsia="Times New Roman" w:hAnsi="Arial" w:cs="Arial"/>
          <w:sz w:val="20"/>
        </w:rPr>
        <w:t>colour</w:t>
      </w:r>
      <w:proofErr w:type="spellEnd"/>
      <w:r w:rsidRPr="00834AD4">
        <w:rPr>
          <w:rFonts w:ascii="Arial" w:eastAsia="Times New Roman" w:hAnsi="Arial" w:cs="Arial"/>
          <w:sz w:val="20"/>
        </w:rPr>
        <w:t xml:space="preserve"> and taste deteriorated progressively downstream. Site I remained largely clear, whereas Sites II and III displayed yellow-brown coloration, especially during the rainy season. The change corresponds with increased suspended matter, organic debris, and sewage inputs. </w:t>
      </w:r>
      <w:r w:rsidR="00CF0170" w:rsidRPr="00834AD4">
        <w:rPr>
          <w:rFonts w:ascii="Arial" w:eastAsia="Times New Roman" w:hAnsi="Arial" w:cs="Arial"/>
          <w:sz w:val="20"/>
        </w:rPr>
        <w:t xml:space="preserve">Quantitative </w:t>
      </w:r>
      <w:r w:rsidRPr="00834AD4">
        <w:rPr>
          <w:rFonts w:ascii="Arial" w:eastAsia="Times New Roman" w:hAnsi="Arial" w:cs="Arial"/>
          <w:sz w:val="20"/>
        </w:rPr>
        <w:t xml:space="preserve">analysis </w:t>
      </w:r>
      <w:r w:rsidR="00CF0170" w:rsidRPr="00834AD4">
        <w:rPr>
          <w:rFonts w:ascii="Arial" w:eastAsia="Times New Roman" w:hAnsi="Arial" w:cs="Arial"/>
          <w:sz w:val="20"/>
        </w:rPr>
        <w:t>and</w:t>
      </w:r>
      <w:r w:rsidRPr="00834AD4">
        <w:rPr>
          <w:rFonts w:ascii="Arial" w:eastAsia="Times New Roman" w:hAnsi="Arial" w:cs="Arial"/>
          <w:sz w:val="20"/>
        </w:rPr>
        <w:t xml:space="preserve"> visual observations clearly indicated water quality degradation, </w:t>
      </w:r>
      <w:r w:rsidR="009D14C8" w:rsidRPr="00834AD4">
        <w:rPr>
          <w:rFonts w:ascii="Arial" w:eastAsia="Times New Roman" w:hAnsi="Arial" w:cs="Arial"/>
          <w:sz w:val="20"/>
        </w:rPr>
        <w:t xml:space="preserve">which is </w:t>
      </w:r>
      <w:r w:rsidRPr="00834AD4">
        <w:rPr>
          <w:rFonts w:ascii="Arial" w:eastAsia="Times New Roman" w:hAnsi="Arial" w:cs="Arial"/>
          <w:sz w:val="20"/>
        </w:rPr>
        <w:t>consistent with trends in other polluted Indian rivers (Mishra et al., 2017).</w:t>
      </w:r>
    </w:p>
    <w:p w14:paraId="1406C0D1"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.4 Turbidity</w:t>
      </w:r>
    </w:p>
    <w:p w14:paraId="621FBD9B"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lastRenderedPageBreak/>
        <w:t>Turbidity varied significantly across all seasons, with Sites II and III showing consistently higher values due to silt, organic particles, and wastewater inflow. Maximum turbidity (22.12 NTU) occurred at Site III in winter, while Site I recorded the lowest value in summer (5.96 NTU). Elevated turbidity restricts light penetration and impairs photosynthesis (Wetzel, 2001). Similar high turbidity levels have been reported in the Yamuna and Gomti rivers (Chopra &amp; Sharma, 2018).</w:t>
      </w:r>
    </w:p>
    <w:p w14:paraId="76B9DF89"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.5 Dissolved Oxygen (DO)</w:t>
      </w:r>
    </w:p>
    <w:p w14:paraId="53C1911D"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DO levels showed strong seasonal and spatial differences. </w:t>
      </w:r>
      <w:r w:rsidR="000D500F" w:rsidRPr="00834AD4">
        <w:rPr>
          <w:rFonts w:ascii="Arial" w:eastAsia="Times New Roman" w:hAnsi="Arial" w:cs="Arial"/>
          <w:sz w:val="20"/>
        </w:rPr>
        <w:t>Summers DO</w:t>
      </w:r>
      <w:r w:rsidRPr="00834AD4">
        <w:rPr>
          <w:rFonts w:ascii="Arial" w:eastAsia="Times New Roman" w:hAnsi="Arial" w:cs="Arial"/>
          <w:sz w:val="20"/>
        </w:rPr>
        <w:t xml:space="preserve"> at Sites II and III was significantly lower, reflecting oxygen depletion from high organic loads and microbial activity. Rainy season DO peaked at Site I (7.30 mg/L) due to improved aeration and dilution. These findings mirror DO reductions in polluted stretches of the Ganga and Cauvery rivers (Kumar &amp; Chauhan, 2020).</w:t>
      </w:r>
    </w:p>
    <w:p w14:paraId="43E8F999"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.6 Biochemical Oxygen Demand (BOD)</w:t>
      </w:r>
    </w:p>
    <w:p w14:paraId="5BBC4A48"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BOD increased progressively downstream, with the highest values observed during summer. Site III recorded a maximum of 10.06 mg/L. Winter BOD values at Sites II and III differed significantly from Site I, indicating substantial organic pollution. Although seasonal differences during summer and monsoon were statistically insignificant, overall elevated BOD levels suggest significant organic loading. Similar patterns have been reported in rivers impacted by untreated sewage (Pathak et al., 2019).</w:t>
      </w:r>
    </w:p>
    <w:p w14:paraId="617A94FB"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.7 Chemical Oxygen Demand (COD)</w:t>
      </w:r>
    </w:p>
    <w:p w14:paraId="36B23F72"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COD trends resembled those of BOD, with downstream sites showing higher concentrations. During the rainy season, COD was significantly higher at Sites II and III, suggesting chemical pollutant inflow via runoff. Winter COD peaked at Site III (121 mg/L), implying accumulation of both biodegradable and non-biodegradable substances. Comparable COD enrichment has been observed in the Chambal River (Singh &amp; Mathur, 2018).</w:t>
      </w:r>
    </w:p>
    <w:p w14:paraId="6F38BF38"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.8 Total Alkalinity (TA)</w:t>
      </w:r>
    </w:p>
    <w:p w14:paraId="6F0CBA22"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TA was markedly higher at Sites II and III throughout the year, reaching a maximum of 295.4 mg/L at Site III in winter. This increase reflects bicarbonate-rich domestic wastewater and agricultural residues. Comparable downstream alkalinity elevation has been documented in earlier studies (Goel &amp; Kaur, 2017).</w:t>
      </w:r>
    </w:p>
    <w:p w14:paraId="564D8EAE"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.9 Electrical Conductivity (EC)</w:t>
      </w:r>
    </w:p>
    <w:p w14:paraId="78678B70"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EC increased downstream due to higher dissolved ion concentrations from sewage, fertilizers, and industrial waste. Site III consistently showed the highest values. Winter EC reached 1580 µS/cm at Site </w:t>
      </w:r>
      <w:r w:rsidRPr="00834AD4">
        <w:rPr>
          <w:rFonts w:ascii="Arial" w:eastAsia="Times New Roman" w:hAnsi="Arial" w:cs="Arial"/>
          <w:sz w:val="20"/>
        </w:rPr>
        <w:lastRenderedPageBreak/>
        <w:t>III. Similar ionic enrichment has been reported in the polluted Sabarmati River stretch (Patel &amp; Raju, 2019).</w:t>
      </w:r>
    </w:p>
    <w:p w14:paraId="375D4CE9"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.10 Total Dissolved Solids (TDS)</w:t>
      </w:r>
    </w:p>
    <w:p w14:paraId="115C5EFD"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TDS values were significantly higher at Sites II and III during summer and monsoon seasons, indicating enriched dissolved salts and pollutants. Winter values also showed downstream increase although without statistical significance. Elevated TDS affects taste and aquatic suitability (WHO, 2017), and similar spatial patterns have been observed in the Yamuna and Krishna rivers (Rao et al., 2020).</w:t>
      </w:r>
    </w:p>
    <w:p w14:paraId="1FB4C94F"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.11 Total Solids (TS) and Total Suspended Solids (TSS)</w:t>
      </w:r>
    </w:p>
    <w:p w14:paraId="759B946B"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TS and TSS increased progressively from Site I to Site III, particularly during the rainy season due to higher erosion and runoff. Significant differences were recorded for TS, while TSS showed numerical </w:t>
      </w:r>
      <w:r w:rsidR="00890871" w:rsidRPr="00834AD4">
        <w:rPr>
          <w:rFonts w:ascii="Arial" w:eastAsia="Times New Roman" w:hAnsi="Arial" w:cs="Arial"/>
          <w:sz w:val="20"/>
        </w:rPr>
        <w:t>increase</w:t>
      </w:r>
      <w:r w:rsidRPr="00834AD4">
        <w:rPr>
          <w:rFonts w:ascii="Arial" w:eastAsia="Times New Roman" w:hAnsi="Arial" w:cs="Arial"/>
          <w:sz w:val="20"/>
        </w:rPr>
        <w:t>. These trends correspond with monsoon-driven suspended solids surges reported in previous studies (Rawat &amp; Singh, 2021).</w:t>
      </w:r>
    </w:p>
    <w:p w14:paraId="6C99B9F7"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.12 Total Hardness (TH)</w:t>
      </w:r>
    </w:p>
    <w:p w14:paraId="6080248D"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TH showed significant variation only during the rainy season, with the highest value at Site III (250.2 mg/L). Increased monsoon hardness likely results from leaching of minerals into the river. Although seasonal differences in winter and summer were minor, a downstream rise was evident. Similar patterns have been documented in the Narmada River (Trivedi et al., 2018).</w:t>
      </w:r>
    </w:p>
    <w:p w14:paraId="2F071DC0"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.13 Chloride</w:t>
      </w:r>
    </w:p>
    <w:p w14:paraId="3F0D1123" w14:textId="77777777" w:rsidR="00127C76" w:rsidRPr="00834AD4"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 xml:space="preserve">Chloride concentrations increased downstream, reflecting wastewater input, </w:t>
      </w:r>
      <w:r w:rsidR="009F7ADA" w:rsidRPr="00834AD4">
        <w:rPr>
          <w:rFonts w:ascii="Arial" w:eastAsia="Times New Roman" w:hAnsi="Arial" w:cs="Arial"/>
          <w:sz w:val="20"/>
        </w:rPr>
        <w:t xml:space="preserve">even </w:t>
      </w:r>
      <w:r w:rsidRPr="00834AD4">
        <w:rPr>
          <w:rFonts w:ascii="Arial" w:eastAsia="Times New Roman" w:hAnsi="Arial" w:cs="Arial"/>
          <w:sz w:val="20"/>
        </w:rPr>
        <w:t xml:space="preserve">though </w:t>
      </w:r>
      <w:r w:rsidR="009F7ADA" w:rsidRPr="00834AD4">
        <w:rPr>
          <w:rFonts w:ascii="Arial" w:eastAsia="Times New Roman" w:hAnsi="Arial" w:cs="Arial"/>
          <w:sz w:val="20"/>
        </w:rPr>
        <w:t xml:space="preserve">the </w:t>
      </w:r>
      <w:r w:rsidRPr="00834AD4">
        <w:rPr>
          <w:rFonts w:ascii="Arial" w:eastAsia="Times New Roman" w:hAnsi="Arial" w:cs="Arial"/>
          <w:sz w:val="20"/>
        </w:rPr>
        <w:t xml:space="preserve">statistical differences were </w:t>
      </w:r>
      <w:r w:rsidR="009F7ADA" w:rsidRPr="00834AD4">
        <w:rPr>
          <w:rFonts w:ascii="Arial" w:eastAsia="Times New Roman" w:hAnsi="Arial" w:cs="Arial"/>
          <w:sz w:val="20"/>
        </w:rPr>
        <w:t>prominent</w:t>
      </w:r>
      <w:r w:rsidRPr="00834AD4">
        <w:rPr>
          <w:rFonts w:ascii="Arial" w:eastAsia="Times New Roman" w:hAnsi="Arial" w:cs="Arial"/>
          <w:sz w:val="20"/>
        </w:rPr>
        <w:t>. Elevated chloride can disrupt osmotic balance in aquatic organisms (Sawyer et al., 2003).</w:t>
      </w:r>
    </w:p>
    <w:p w14:paraId="73574301" w14:textId="77777777" w:rsidR="00127C76" w:rsidRPr="00834AD4" w:rsidRDefault="00A87F5E" w:rsidP="00CA0540">
      <w:pPr>
        <w:spacing w:before="100" w:beforeAutospacing="1" w:after="100" w:afterAutospacing="1" w:line="360" w:lineRule="auto"/>
        <w:jc w:val="both"/>
        <w:outlineLvl w:val="2"/>
        <w:rPr>
          <w:rFonts w:ascii="Arial" w:eastAsia="Times New Roman" w:hAnsi="Arial" w:cs="Arial"/>
          <w:b/>
          <w:bCs/>
          <w:sz w:val="20"/>
        </w:rPr>
      </w:pPr>
      <w:r w:rsidRPr="00834AD4">
        <w:rPr>
          <w:rFonts w:ascii="Arial" w:eastAsia="Times New Roman" w:hAnsi="Arial" w:cs="Arial"/>
          <w:b/>
          <w:bCs/>
          <w:sz w:val="20"/>
        </w:rPr>
        <w:t>3</w:t>
      </w:r>
      <w:r w:rsidR="00127C76" w:rsidRPr="00834AD4">
        <w:rPr>
          <w:rFonts w:ascii="Arial" w:eastAsia="Times New Roman" w:hAnsi="Arial" w:cs="Arial"/>
          <w:b/>
          <w:bCs/>
          <w:sz w:val="20"/>
        </w:rPr>
        <w:t>.14 Nitrate and Phosphate</w:t>
      </w:r>
    </w:p>
    <w:p w14:paraId="75B26EA7" w14:textId="77777777" w:rsidR="00127C76" w:rsidRDefault="00127C76" w:rsidP="00CA0540">
      <w:pPr>
        <w:spacing w:before="100" w:beforeAutospacing="1" w:after="100" w:afterAutospacing="1" w:line="360" w:lineRule="auto"/>
        <w:jc w:val="both"/>
        <w:rPr>
          <w:rFonts w:ascii="Arial" w:eastAsia="Times New Roman" w:hAnsi="Arial" w:cs="Arial"/>
          <w:sz w:val="20"/>
        </w:rPr>
      </w:pPr>
      <w:r w:rsidRPr="00834AD4">
        <w:rPr>
          <w:rFonts w:ascii="Arial" w:eastAsia="Times New Roman" w:hAnsi="Arial" w:cs="Arial"/>
          <w:sz w:val="20"/>
        </w:rPr>
        <w:t>Nutrient (nitrate and phosphate) levels increased from Site I to Site III, with significant differences during the rainy season. The highest nitrate (1.34 mg/L) and phosphate (0.95 mg/L) values occurred at Site III in winter, likely due to agricultural fertilizers and sewage discharge. These nutrients contribute to eutrophication, a trend widely documented in polluted Indian rivers (Carpenter et al., 1998; Singh et al., 2020).</w:t>
      </w:r>
    </w:p>
    <w:p w14:paraId="594BEF15" w14:textId="77777777" w:rsidR="00281338" w:rsidRPr="00281338" w:rsidRDefault="00281338" w:rsidP="00574A21">
      <w:pPr>
        <w:spacing w:after="0" w:line="360" w:lineRule="auto"/>
        <w:jc w:val="both"/>
        <w:outlineLvl w:val="1"/>
        <w:rPr>
          <w:rFonts w:ascii="Arial" w:hAnsi="Arial" w:cs="Arial"/>
          <w:b/>
          <w:bCs/>
          <w:color w:val="000000"/>
          <w:sz w:val="20"/>
        </w:rPr>
      </w:pPr>
      <w:r w:rsidRPr="00281338">
        <w:rPr>
          <w:rFonts w:ascii="Arial" w:hAnsi="Arial" w:cs="Arial"/>
          <w:b/>
          <w:bCs/>
          <w:color w:val="000000"/>
          <w:sz w:val="20"/>
        </w:rPr>
        <w:lastRenderedPageBreak/>
        <w:t xml:space="preserve">Table 1:  Seasonal variation in </w:t>
      </w:r>
      <w:proofErr w:type="spellStart"/>
      <w:r w:rsidRPr="00281338">
        <w:rPr>
          <w:rFonts w:ascii="Arial" w:hAnsi="Arial" w:cs="Arial"/>
          <w:b/>
          <w:bCs/>
          <w:color w:val="000000"/>
          <w:sz w:val="20"/>
          <w:lang w:val="en-IN"/>
        </w:rPr>
        <w:t>physico</w:t>
      </w:r>
      <w:proofErr w:type="spellEnd"/>
      <w:r w:rsidRPr="00281338">
        <w:rPr>
          <w:rFonts w:ascii="Arial" w:hAnsi="Arial" w:cs="Arial"/>
          <w:b/>
          <w:bCs/>
          <w:color w:val="000000"/>
          <w:sz w:val="20"/>
          <w:lang w:val="en-IN"/>
        </w:rPr>
        <w:t xml:space="preserve">-chemical parameters of Sai River Water </w:t>
      </w:r>
      <w:r w:rsidRPr="00281338">
        <w:rPr>
          <w:rFonts w:ascii="Arial" w:hAnsi="Arial" w:cs="Arial"/>
          <w:b/>
          <w:bCs/>
          <w:color w:val="000000"/>
          <w:sz w:val="20"/>
        </w:rPr>
        <w:t>at three sites in three different seasons.</w:t>
      </w:r>
    </w:p>
    <w:tbl>
      <w:tblPr>
        <w:tblStyle w:val="TableGrid"/>
        <w:tblW w:w="5000" w:type="pct"/>
        <w:tblLook w:val="04A0" w:firstRow="1" w:lastRow="0" w:firstColumn="1" w:lastColumn="0" w:noHBand="0" w:noVBand="1"/>
      </w:tblPr>
      <w:tblGrid>
        <w:gridCol w:w="883"/>
        <w:gridCol w:w="2685"/>
        <w:gridCol w:w="670"/>
        <w:gridCol w:w="1726"/>
        <w:gridCol w:w="1726"/>
        <w:gridCol w:w="1886"/>
      </w:tblGrid>
      <w:tr w:rsidR="001A43CC" w:rsidRPr="00834AD4" w14:paraId="4E853300" w14:textId="77777777" w:rsidTr="003E25BD">
        <w:tc>
          <w:tcPr>
            <w:tcW w:w="461" w:type="pct"/>
          </w:tcPr>
          <w:p w14:paraId="511FE08E" w14:textId="77777777" w:rsidR="00A33CEF" w:rsidRPr="00834AD4" w:rsidRDefault="001A43CC" w:rsidP="003E25BD">
            <w:pPr>
              <w:spacing w:line="360" w:lineRule="auto"/>
              <w:jc w:val="both"/>
              <w:rPr>
                <w:rFonts w:ascii="Arial" w:hAnsi="Arial" w:cs="Arial"/>
                <w:b/>
                <w:bCs/>
                <w:color w:val="000000"/>
              </w:rPr>
            </w:pPr>
            <w:r w:rsidRPr="00834AD4">
              <w:rPr>
                <w:rFonts w:ascii="Arial" w:hAnsi="Arial" w:cs="Arial"/>
                <w:b/>
                <w:bCs/>
                <w:color w:val="000000"/>
              </w:rPr>
              <w:t>Sl</w:t>
            </w:r>
            <w:r w:rsidR="00281338">
              <w:rPr>
                <w:rFonts w:ascii="Arial" w:hAnsi="Arial" w:cs="Arial"/>
                <w:b/>
                <w:bCs/>
                <w:color w:val="000000"/>
              </w:rPr>
              <w:t>.</w:t>
            </w:r>
            <w:r w:rsidRPr="00834AD4">
              <w:rPr>
                <w:rFonts w:ascii="Arial" w:hAnsi="Arial" w:cs="Arial"/>
                <w:b/>
                <w:bCs/>
                <w:color w:val="000000"/>
              </w:rPr>
              <w:t xml:space="preserve"> No</w:t>
            </w:r>
            <w:r w:rsidR="00281338">
              <w:rPr>
                <w:rFonts w:ascii="Arial" w:hAnsi="Arial" w:cs="Arial"/>
                <w:b/>
                <w:bCs/>
                <w:color w:val="000000"/>
              </w:rPr>
              <w:t>.</w:t>
            </w:r>
          </w:p>
        </w:tc>
        <w:tc>
          <w:tcPr>
            <w:tcW w:w="1402" w:type="pct"/>
            <w:hideMark/>
          </w:tcPr>
          <w:p w14:paraId="4EF67EF4"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Parameter</w:t>
            </w:r>
          </w:p>
        </w:tc>
        <w:tc>
          <w:tcPr>
            <w:tcW w:w="350" w:type="pct"/>
            <w:hideMark/>
          </w:tcPr>
          <w:p w14:paraId="61712889"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Site</w:t>
            </w:r>
          </w:p>
        </w:tc>
        <w:tc>
          <w:tcPr>
            <w:tcW w:w="901" w:type="pct"/>
            <w:hideMark/>
          </w:tcPr>
          <w:p w14:paraId="4D2CFE10"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Winter</w:t>
            </w:r>
          </w:p>
        </w:tc>
        <w:tc>
          <w:tcPr>
            <w:tcW w:w="901" w:type="pct"/>
            <w:hideMark/>
          </w:tcPr>
          <w:p w14:paraId="521B9409"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Summer</w:t>
            </w:r>
          </w:p>
        </w:tc>
        <w:tc>
          <w:tcPr>
            <w:tcW w:w="985" w:type="pct"/>
            <w:hideMark/>
          </w:tcPr>
          <w:p w14:paraId="070B1083" w14:textId="77777777" w:rsidR="00A33CEF" w:rsidRPr="00834AD4" w:rsidRDefault="00A33CEF" w:rsidP="003E25BD">
            <w:pPr>
              <w:spacing w:line="360" w:lineRule="auto"/>
              <w:jc w:val="both"/>
              <w:rPr>
                <w:rFonts w:ascii="Arial" w:hAnsi="Arial" w:cs="Arial"/>
                <w:b/>
                <w:bCs/>
                <w:color w:val="000000"/>
                <w:lang w:bidi="hi-IN"/>
              </w:rPr>
            </w:pPr>
            <w:r w:rsidRPr="00834AD4">
              <w:rPr>
                <w:rFonts w:ascii="Arial" w:hAnsi="Arial" w:cs="Arial"/>
                <w:b/>
                <w:bCs/>
                <w:color w:val="000000"/>
                <w:lang w:bidi="hi-IN"/>
              </w:rPr>
              <w:t>Rainy</w:t>
            </w:r>
          </w:p>
        </w:tc>
      </w:tr>
      <w:tr w:rsidR="00574A21" w:rsidRPr="00834AD4" w14:paraId="2C301A93" w14:textId="77777777" w:rsidTr="003E25BD">
        <w:tc>
          <w:tcPr>
            <w:tcW w:w="461" w:type="pct"/>
            <w:vMerge w:val="restart"/>
          </w:tcPr>
          <w:p w14:paraId="670276CA"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w:t>
            </w:r>
          </w:p>
        </w:tc>
        <w:tc>
          <w:tcPr>
            <w:tcW w:w="1402" w:type="pct"/>
            <w:vMerge w:val="restart"/>
            <w:hideMark/>
          </w:tcPr>
          <w:p w14:paraId="649423E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Temperature (°C)</w:t>
            </w:r>
          </w:p>
        </w:tc>
        <w:tc>
          <w:tcPr>
            <w:tcW w:w="350" w:type="pct"/>
            <w:hideMark/>
          </w:tcPr>
          <w:p w14:paraId="223182A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06DE33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29.70 ± 0.48</w:t>
            </w:r>
          </w:p>
        </w:tc>
        <w:tc>
          <w:tcPr>
            <w:tcW w:w="901" w:type="pct"/>
            <w:hideMark/>
          </w:tcPr>
          <w:p w14:paraId="72B25E5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34.00 ± 0.50</w:t>
            </w:r>
          </w:p>
        </w:tc>
        <w:tc>
          <w:tcPr>
            <w:tcW w:w="985" w:type="pct"/>
            <w:hideMark/>
          </w:tcPr>
          <w:p w14:paraId="3FDA13A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32.36 ± 0.59</w:t>
            </w:r>
          </w:p>
        </w:tc>
      </w:tr>
      <w:tr w:rsidR="00574A21" w:rsidRPr="00834AD4" w14:paraId="6134665D" w14:textId="77777777" w:rsidTr="003E25BD">
        <w:tc>
          <w:tcPr>
            <w:tcW w:w="461" w:type="pct"/>
            <w:vMerge/>
          </w:tcPr>
          <w:p w14:paraId="4C78426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C97804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1B219D2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7396CE3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30.16 ± 0.17</w:t>
            </w:r>
          </w:p>
        </w:tc>
        <w:tc>
          <w:tcPr>
            <w:tcW w:w="901" w:type="pct"/>
            <w:hideMark/>
          </w:tcPr>
          <w:p w14:paraId="7B70EC4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33.86 ± 0.27ᵃ</w:t>
            </w:r>
          </w:p>
        </w:tc>
        <w:tc>
          <w:tcPr>
            <w:tcW w:w="985" w:type="pct"/>
            <w:hideMark/>
          </w:tcPr>
          <w:p w14:paraId="3625BF9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32.46 ± 0.64</w:t>
            </w:r>
          </w:p>
        </w:tc>
      </w:tr>
      <w:tr w:rsidR="00574A21" w:rsidRPr="00834AD4" w14:paraId="7F4B5EBF" w14:textId="77777777" w:rsidTr="003E25BD">
        <w:tc>
          <w:tcPr>
            <w:tcW w:w="461" w:type="pct"/>
            <w:vMerge/>
          </w:tcPr>
          <w:p w14:paraId="3247DB7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9BA8034"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2D511E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531D6C1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30.03 ± 0.43</w:t>
            </w:r>
          </w:p>
        </w:tc>
        <w:tc>
          <w:tcPr>
            <w:tcW w:w="901" w:type="pct"/>
            <w:hideMark/>
          </w:tcPr>
          <w:p w14:paraId="2AC7A02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34.08 ± 0.74</w:t>
            </w:r>
          </w:p>
        </w:tc>
        <w:tc>
          <w:tcPr>
            <w:tcW w:w="985" w:type="pct"/>
            <w:hideMark/>
          </w:tcPr>
          <w:p w14:paraId="4757685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32.86 ± 0.52</w:t>
            </w:r>
          </w:p>
        </w:tc>
      </w:tr>
      <w:tr w:rsidR="00574A21" w:rsidRPr="00834AD4" w14:paraId="3EE61BA7" w14:textId="77777777" w:rsidTr="003E25BD">
        <w:tc>
          <w:tcPr>
            <w:tcW w:w="461" w:type="pct"/>
            <w:vMerge w:val="restart"/>
          </w:tcPr>
          <w:p w14:paraId="097EB09D"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2.</w:t>
            </w:r>
          </w:p>
        </w:tc>
        <w:tc>
          <w:tcPr>
            <w:tcW w:w="1402" w:type="pct"/>
            <w:vMerge w:val="restart"/>
            <w:hideMark/>
          </w:tcPr>
          <w:p w14:paraId="5C4A27D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pH</w:t>
            </w:r>
          </w:p>
        </w:tc>
        <w:tc>
          <w:tcPr>
            <w:tcW w:w="350" w:type="pct"/>
            <w:hideMark/>
          </w:tcPr>
          <w:p w14:paraId="23E639E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5248C0A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6.80 ± 0.29</w:t>
            </w:r>
          </w:p>
        </w:tc>
        <w:tc>
          <w:tcPr>
            <w:tcW w:w="901" w:type="pct"/>
            <w:hideMark/>
          </w:tcPr>
          <w:p w14:paraId="4C1420D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6.64 ± 0.24</w:t>
            </w:r>
          </w:p>
        </w:tc>
        <w:tc>
          <w:tcPr>
            <w:tcW w:w="985" w:type="pct"/>
            <w:hideMark/>
          </w:tcPr>
          <w:p w14:paraId="3B3D6F5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6.64 ± 0.22</w:t>
            </w:r>
          </w:p>
        </w:tc>
      </w:tr>
      <w:tr w:rsidR="00574A21" w:rsidRPr="00834AD4" w14:paraId="29266ECF" w14:textId="77777777" w:rsidTr="003E25BD">
        <w:tc>
          <w:tcPr>
            <w:tcW w:w="461" w:type="pct"/>
            <w:vMerge/>
          </w:tcPr>
          <w:p w14:paraId="1CBF997B"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D6FC5E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4408B81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1D8B1D9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8.36 ± 0.05ᵃ</w:t>
            </w:r>
          </w:p>
        </w:tc>
        <w:tc>
          <w:tcPr>
            <w:tcW w:w="901" w:type="pct"/>
            <w:hideMark/>
          </w:tcPr>
          <w:p w14:paraId="7CFB6F3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7.92 ± 0.04</w:t>
            </w:r>
          </w:p>
        </w:tc>
        <w:tc>
          <w:tcPr>
            <w:tcW w:w="985" w:type="pct"/>
            <w:hideMark/>
          </w:tcPr>
          <w:p w14:paraId="54E67BC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7.86 ± 0.09</w:t>
            </w:r>
          </w:p>
        </w:tc>
      </w:tr>
      <w:tr w:rsidR="00574A21" w:rsidRPr="00834AD4" w14:paraId="0970179F" w14:textId="77777777" w:rsidTr="003E25BD">
        <w:tc>
          <w:tcPr>
            <w:tcW w:w="461" w:type="pct"/>
            <w:vMerge/>
          </w:tcPr>
          <w:p w14:paraId="4275D0EB"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CDC996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75F673B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0AC2F9A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8.50 ± 0.03ᵃ</w:t>
            </w:r>
          </w:p>
        </w:tc>
        <w:tc>
          <w:tcPr>
            <w:tcW w:w="901" w:type="pct"/>
            <w:hideMark/>
          </w:tcPr>
          <w:p w14:paraId="74EFFCA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8.13 ± 0.14</w:t>
            </w:r>
          </w:p>
        </w:tc>
        <w:tc>
          <w:tcPr>
            <w:tcW w:w="985" w:type="pct"/>
            <w:hideMark/>
          </w:tcPr>
          <w:p w14:paraId="35BC074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8.06 ± 0.12</w:t>
            </w:r>
          </w:p>
        </w:tc>
      </w:tr>
      <w:tr w:rsidR="00574A21" w:rsidRPr="00834AD4" w14:paraId="1A09F965" w14:textId="77777777" w:rsidTr="003E25BD">
        <w:tc>
          <w:tcPr>
            <w:tcW w:w="461" w:type="pct"/>
            <w:vMerge w:val="restart"/>
          </w:tcPr>
          <w:p w14:paraId="2C46E6A9"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3.</w:t>
            </w:r>
          </w:p>
        </w:tc>
        <w:tc>
          <w:tcPr>
            <w:tcW w:w="1402" w:type="pct"/>
            <w:vMerge w:val="restart"/>
            <w:hideMark/>
          </w:tcPr>
          <w:p w14:paraId="370BA83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Turbidity (NTU)</w:t>
            </w:r>
          </w:p>
        </w:tc>
        <w:tc>
          <w:tcPr>
            <w:tcW w:w="350" w:type="pct"/>
            <w:hideMark/>
          </w:tcPr>
          <w:p w14:paraId="55409F5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2B2CCAC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6.48 ± 0.66</w:t>
            </w:r>
          </w:p>
        </w:tc>
        <w:tc>
          <w:tcPr>
            <w:tcW w:w="901" w:type="pct"/>
            <w:hideMark/>
          </w:tcPr>
          <w:p w14:paraId="706B304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5.96 ± 0.43</w:t>
            </w:r>
          </w:p>
        </w:tc>
        <w:tc>
          <w:tcPr>
            <w:tcW w:w="985" w:type="pct"/>
            <w:hideMark/>
          </w:tcPr>
          <w:p w14:paraId="5B279EF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7.34 ± 0.83</w:t>
            </w:r>
          </w:p>
        </w:tc>
      </w:tr>
      <w:tr w:rsidR="00574A21" w:rsidRPr="00834AD4" w14:paraId="0C030C83" w14:textId="77777777" w:rsidTr="003E25BD">
        <w:tc>
          <w:tcPr>
            <w:tcW w:w="461" w:type="pct"/>
            <w:vMerge/>
          </w:tcPr>
          <w:p w14:paraId="0BB149BF"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B66E4C0"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56274B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4D24579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17.96 ± 1.27ᵃ</w:t>
            </w:r>
          </w:p>
        </w:tc>
        <w:tc>
          <w:tcPr>
            <w:tcW w:w="901" w:type="pct"/>
            <w:hideMark/>
          </w:tcPr>
          <w:p w14:paraId="0640FDC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17.22 ± 1.19ᵃ</w:t>
            </w:r>
          </w:p>
        </w:tc>
        <w:tc>
          <w:tcPr>
            <w:tcW w:w="985" w:type="pct"/>
            <w:hideMark/>
          </w:tcPr>
          <w:p w14:paraId="0655289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17.49 ± 1.41ᵃ</w:t>
            </w:r>
          </w:p>
        </w:tc>
      </w:tr>
      <w:tr w:rsidR="00574A21" w:rsidRPr="00834AD4" w14:paraId="0809D0F0" w14:textId="77777777" w:rsidTr="003E25BD">
        <w:tc>
          <w:tcPr>
            <w:tcW w:w="461" w:type="pct"/>
            <w:vMerge/>
          </w:tcPr>
          <w:p w14:paraId="6C03C764"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6805444E"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D1A63A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686D555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22.12 ± 1.85ᵃ</w:t>
            </w:r>
          </w:p>
        </w:tc>
        <w:tc>
          <w:tcPr>
            <w:tcW w:w="901" w:type="pct"/>
            <w:hideMark/>
          </w:tcPr>
          <w:p w14:paraId="4570688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20.89 ± 0.41ᵃᵇ</w:t>
            </w:r>
          </w:p>
        </w:tc>
        <w:tc>
          <w:tcPr>
            <w:tcW w:w="985" w:type="pct"/>
            <w:hideMark/>
          </w:tcPr>
          <w:p w14:paraId="04673FD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21.16 ± 1.25ᵃ</w:t>
            </w:r>
          </w:p>
        </w:tc>
      </w:tr>
      <w:tr w:rsidR="00574A21" w:rsidRPr="00834AD4" w14:paraId="66F7510F" w14:textId="77777777" w:rsidTr="003E25BD">
        <w:tc>
          <w:tcPr>
            <w:tcW w:w="461" w:type="pct"/>
            <w:vMerge w:val="restart"/>
          </w:tcPr>
          <w:p w14:paraId="7BA13DE2"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4.</w:t>
            </w:r>
          </w:p>
        </w:tc>
        <w:tc>
          <w:tcPr>
            <w:tcW w:w="1402" w:type="pct"/>
            <w:vMerge w:val="restart"/>
            <w:hideMark/>
          </w:tcPr>
          <w:p w14:paraId="73CFF7D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DO (mg/L)</w:t>
            </w:r>
          </w:p>
        </w:tc>
        <w:tc>
          <w:tcPr>
            <w:tcW w:w="350" w:type="pct"/>
            <w:hideMark/>
          </w:tcPr>
          <w:p w14:paraId="0C64E7B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161A899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7.02 ± 0.089</w:t>
            </w:r>
          </w:p>
        </w:tc>
        <w:tc>
          <w:tcPr>
            <w:tcW w:w="901" w:type="pct"/>
            <w:hideMark/>
          </w:tcPr>
          <w:p w14:paraId="131D101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6.92 ± 0.048</w:t>
            </w:r>
          </w:p>
        </w:tc>
        <w:tc>
          <w:tcPr>
            <w:tcW w:w="985" w:type="pct"/>
            <w:hideMark/>
          </w:tcPr>
          <w:p w14:paraId="5D00137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7.30 ± 0.054ᵃᵇ</w:t>
            </w:r>
          </w:p>
        </w:tc>
      </w:tr>
      <w:tr w:rsidR="00574A21" w:rsidRPr="00834AD4" w14:paraId="6FB9A05B" w14:textId="77777777" w:rsidTr="003E25BD">
        <w:tc>
          <w:tcPr>
            <w:tcW w:w="461" w:type="pct"/>
            <w:vMerge/>
          </w:tcPr>
          <w:p w14:paraId="38ED995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E1FB5B6"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718AAF3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70703E8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6.94 ± 0.12</w:t>
            </w:r>
          </w:p>
        </w:tc>
        <w:tc>
          <w:tcPr>
            <w:tcW w:w="901" w:type="pct"/>
            <w:hideMark/>
          </w:tcPr>
          <w:p w14:paraId="1D1C66F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6.50 ± 0.094ᵃ</w:t>
            </w:r>
          </w:p>
        </w:tc>
        <w:tc>
          <w:tcPr>
            <w:tcW w:w="985" w:type="pct"/>
            <w:hideMark/>
          </w:tcPr>
          <w:p w14:paraId="65A7C19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7.16 ± 0.02ᵃ</w:t>
            </w:r>
          </w:p>
        </w:tc>
      </w:tr>
      <w:tr w:rsidR="00574A21" w:rsidRPr="00834AD4" w14:paraId="5B540CC0" w14:textId="77777777" w:rsidTr="003E25BD">
        <w:tc>
          <w:tcPr>
            <w:tcW w:w="461" w:type="pct"/>
            <w:vMerge/>
          </w:tcPr>
          <w:p w14:paraId="3F49A43E"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72EA8A2"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407F49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604019D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6.82 ± 0.09</w:t>
            </w:r>
          </w:p>
        </w:tc>
        <w:tc>
          <w:tcPr>
            <w:tcW w:w="901" w:type="pct"/>
            <w:hideMark/>
          </w:tcPr>
          <w:p w14:paraId="162CB2D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6.22 ± 0.03ᵃ</w:t>
            </w:r>
          </w:p>
        </w:tc>
        <w:tc>
          <w:tcPr>
            <w:tcW w:w="985" w:type="pct"/>
            <w:hideMark/>
          </w:tcPr>
          <w:p w14:paraId="4BD5922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7.04 ± 0.06ᵃ</w:t>
            </w:r>
          </w:p>
        </w:tc>
      </w:tr>
      <w:tr w:rsidR="00574A21" w:rsidRPr="00834AD4" w14:paraId="00AF4496" w14:textId="77777777" w:rsidTr="003E25BD">
        <w:tc>
          <w:tcPr>
            <w:tcW w:w="461" w:type="pct"/>
            <w:vMerge w:val="restart"/>
          </w:tcPr>
          <w:p w14:paraId="4279F8E4"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5.</w:t>
            </w:r>
          </w:p>
        </w:tc>
        <w:tc>
          <w:tcPr>
            <w:tcW w:w="1402" w:type="pct"/>
            <w:vMerge w:val="restart"/>
            <w:hideMark/>
          </w:tcPr>
          <w:p w14:paraId="5C4E262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BOD (mg/L)</w:t>
            </w:r>
          </w:p>
        </w:tc>
        <w:tc>
          <w:tcPr>
            <w:tcW w:w="350" w:type="pct"/>
            <w:hideMark/>
          </w:tcPr>
          <w:p w14:paraId="3D1BAD5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9D6D63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4.20 ± 0.03</w:t>
            </w:r>
          </w:p>
        </w:tc>
        <w:tc>
          <w:tcPr>
            <w:tcW w:w="901" w:type="pct"/>
            <w:hideMark/>
          </w:tcPr>
          <w:p w14:paraId="71E62CB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6.38 ± 0.14ᵃ</w:t>
            </w:r>
          </w:p>
        </w:tc>
        <w:tc>
          <w:tcPr>
            <w:tcW w:w="985" w:type="pct"/>
            <w:hideMark/>
          </w:tcPr>
          <w:p w14:paraId="264D5B2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6.86 ± 0.27ᵃ</w:t>
            </w:r>
          </w:p>
        </w:tc>
      </w:tr>
      <w:tr w:rsidR="00574A21" w:rsidRPr="00834AD4" w14:paraId="7E7C7CFE" w14:textId="77777777" w:rsidTr="003E25BD">
        <w:tc>
          <w:tcPr>
            <w:tcW w:w="461" w:type="pct"/>
            <w:vMerge/>
          </w:tcPr>
          <w:p w14:paraId="5EE6D84D"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5904E973"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C7CC02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48E4C78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5.06 ± 0.10</w:t>
            </w:r>
          </w:p>
        </w:tc>
        <w:tc>
          <w:tcPr>
            <w:tcW w:w="901" w:type="pct"/>
            <w:hideMark/>
          </w:tcPr>
          <w:p w14:paraId="0BC654D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9.24 ± 0.36ᵃ</w:t>
            </w:r>
          </w:p>
        </w:tc>
        <w:tc>
          <w:tcPr>
            <w:tcW w:w="985" w:type="pct"/>
            <w:hideMark/>
          </w:tcPr>
          <w:p w14:paraId="52B17FB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8.70 ± 0.22ᵃ</w:t>
            </w:r>
          </w:p>
        </w:tc>
      </w:tr>
      <w:tr w:rsidR="00574A21" w:rsidRPr="00834AD4" w14:paraId="7199A7BD" w14:textId="77777777" w:rsidTr="003E25BD">
        <w:tc>
          <w:tcPr>
            <w:tcW w:w="461" w:type="pct"/>
            <w:vMerge/>
          </w:tcPr>
          <w:p w14:paraId="08D4185C"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4BB72D1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4D4A3AA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33B9DED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5.80 ± 0.09</w:t>
            </w:r>
          </w:p>
        </w:tc>
        <w:tc>
          <w:tcPr>
            <w:tcW w:w="901" w:type="pct"/>
            <w:hideMark/>
          </w:tcPr>
          <w:p w14:paraId="7CA65F0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10.06 ± 0.22ᵃ</w:t>
            </w:r>
          </w:p>
        </w:tc>
        <w:tc>
          <w:tcPr>
            <w:tcW w:w="985" w:type="pct"/>
            <w:hideMark/>
          </w:tcPr>
          <w:p w14:paraId="15978A1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9.34 ± 0.21ᵃ</w:t>
            </w:r>
          </w:p>
        </w:tc>
      </w:tr>
      <w:tr w:rsidR="00574A21" w:rsidRPr="00834AD4" w14:paraId="4DA15A27" w14:textId="77777777" w:rsidTr="003E25BD">
        <w:tc>
          <w:tcPr>
            <w:tcW w:w="461" w:type="pct"/>
            <w:vMerge w:val="restart"/>
          </w:tcPr>
          <w:p w14:paraId="2EC4E284"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6.</w:t>
            </w:r>
          </w:p>
        </w:tc>
        <w:tc>
          <w:tcPr>
            <w:tcW w:w="1402" w:type="pct"/>
            <w:vMerge w:val="restart"/>
            <w:hideMark/>
          </w:tcPr>
          <w:p w14:paraId="5232A84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COD (mg/L)</w:t>
            </w:r>
          </w:p>
        </w:tc>
        <w:tc>
          <w:tcPr>
            <w:tcW w:w="350" w:type="pct"/>
            <w:hideMark/>
          </w:tcPr>
          <w:p w14:paraId="7C6FCE0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84052B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84.20 ± 1.24</w:t>
            </w:r>
          </w:p>
        </w:tc>
        <w:tc>
          <w:tcPr>
            <w:tcW w:w="901" w:type="pct"/>
            <w:hideMark/>
          </w:tcPr>
          <w:p w14:paraId="06B109E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76.20 ± 3.56ᵃ</w:t>
            </w:r>
          </w:p>
        </w:tc>
        <w:tc>
          <w:tcPr>
            <w:tcW w:w="985" w:type="pct"/>
            <w:hideMark/>
          </w:tcPr>
          <w:p w14:paraId="50D6705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80.60 ± 5.78ᵇ</w:t>
            </w:r>
          </w:p>
        </w:tc>
      </w:tr>
      <w:tr w:rsidR="00574A21" w:rsidRPr="00834AD4" w14:paraId="56FFD3D4" w14:textId="77777777" w:rsidTr="003E25BD">
        <w:tc>
          <w:tcPr>
            <w:tcW w:w="461" w:type="pct"/>
            <w:vMerge/>
          </w:tcPr>
          <w:p w14:paraId="420C771D"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342716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706069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1D36A35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110.0 ± 2.66</w:t>
            </w:r>
          </w:p>
        </w:tc>
        <w:tc>
          <w:tcPr>
            <w:tcW w:w="901" w:type="pct"/>
            <w:hideMark/>
          </w:tcPr>
          <w:p w14:paraId="5425496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94.00 ± 1.61ᵃ</w:t>
            </w:r>
          </w:p>
        </w:tc>
        <w:tc>
          <w:tcPr>
            <w:tcW w:w="985" w:type="pct"/>
            <w:hideMark/>
          </w:tcPr>
          <w:p w14:paraId="357EA80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88.60 ± 2.78ᵃᵇ</w:t>
            </w:r>
          </w:p>
        </w:tc>
      </w:tr>
      <w:tr w:rsidR="00574A21" w:rsidRPr="00834AD4" w14:paraId="79ABBC6B" w14:textId="77777777" w:rsidTr="003E25BD">
        <w:tc>
          <w:tcPr>
            <w:tcW w:w="461" w:type="pct"/>
            <w:vMerge/>
          </w:tcPr>
          <w:p w14:paraId="2F6E3EF6"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3724021"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411306E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11FBDE3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121.0 ± 2.53</w:t>
            </w:r>
          </w:p>
        </w:tc>
        <w:tc>
          <w:tcPr>
            <w:tcW w:w="901" w:type="pct"/>
            <w:hideMark/>
          </w:tcPr>
          <w:p w14:paraId="06890D8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103.6 ± 1.80ᵃ</w:t>
            </w:r>
          </w:p>
        </w:tc>
        <w:tc>
          <w:tcPr>
            <w:tcW w:w="985" w:type="pct"/>
            <w:hideMark/>
          </w:tcPr>
          <w:p w14:paraId="52D9695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94.80 ± 2.90ᵃᵇ</w:t>
            </w:r>
          </w:p>
        </w:tc>
      </w:tr>
      <w:tr w:rsidR="00574A21" w:rsidRPr="00834AD4" w14:paraId="60A78E0D" w14:textId="77777777" w:rsidTr="003E25BD">
        <w:tc>
          <w:tcPr>
            <w:tcW w:w="461" w:type="pct"/>
            <w:vMerge w:val="restart"/>
          </w:tcPr>
          <w:p w14:paraId="4C685872"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7.</w:t>
            </w:r>
          </w:p>
        </w:tc>
        <w:tc>
          <w:tcPr>
            <w:tcW w:w="1402" w:type="pct"/>
            <w:vMerge w:val="restart"/>
            <w:hideMark/>
          </w:tcPr>
          <w:p w14:paraId="5A15E5C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Total Alkalinity (mg/L)</w:t>
            </w:r>
          </w:p>
        </w:tc>
        <w:tc>
          <w:tcPr>
            <w:tcW w:w="350" w:type="pct"/>
            <w:hideMark/>
          </w:tcPr>
          <w:p w14:paraId="151BFCE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DC0D61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221.8 ± 3.96</w:t>
            </w:r>
          </w:p>
        </w:tc>
        <w:tc>
          <w:tcPr>
            <w:tcW w:w="901" w:type="pct"/>
            <w:hideMark/>
          </w:tcPr>
          <w:p w14:paraId="19E243D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204.6 ± 1.56</w:t>
            </w:r>
          </w:p>
        </w:tc>
        <w:tc>
          <w:tcPr>
            <w:tcW w:w="985" w:type="pct"/>
            <w:hideMark/>
          </w:tcPr>
          <w:p w14:paraId="18506E6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202.6 ± 1.74</w:t>
            </w:r>
          </w:p>
        </w:tc>
      </w:tr>
      <w:tr w:rsidR="00574A21" w:rsidRPr="00834AD4" w14:paraId="52FF0C76" w14:textId="77777777" w:rsidTr="003E25BD">
        <w:tc>
          <w:tcPr>
            <w:tcW w:w="461" w:type="pct"/>
            <w:vMerge/>
          </w:tcPr>
          <w:p w14:paraId="17016A8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C5FB247"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6E47185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387DDDE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284.0 ± 6.62ᵃ</w:t>
            </w:r>
          </w:p>
        </w:tc>
        <w:tc>
          <w:tcPr>
            <w:tcW w:w="901" w:type="pct"/>
            <w:hideMark/>
          </w:tcPr>
          <w:p w14:paraId="4FB6E38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265.8 ± 1.85ᵃ</w:t>
            </w:r>
          </w:p>
        </w:tc>
        <w:tc>
          <w:tcPr>
            <w:tcW w:w="985" w:type="pct"/>
            <w:hideMark/>
          </w:tcPr>
          <w:p w14:paraId="3643682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255.2 ± 6.64ᵃ</w:t>
            </w:r>
          </w:p>
        </w:tc>
      </w:tr>
      <w:tr w:rsidR="00574A21" w:rsidRPr="00834AD4" w14:paraId="27063FFF" w14:textId="77777777" w:rsidTr="003E25BD">
        <w:tc>
          <w:tcPr>
            <w:tcW w:w="461" w:type="pct"/>
            <w:vMerge/>
          </w:tcPr>
          <w:p w14:paraId="1D8DED7A"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68DC164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E50253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43AFC2D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295.4 ± 4.68ᵃ</w:t>
            </w:r>
          </w:p>
        </w:tc>
        <w:tc>
          <w:tcPr>
            <w:tcW w:w="901" w:type="pct"/>
            <w:hideMark/>
          </w:tcPr>
          <w:p w14:paraId="48D347A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273.6 ± 2.89ᵃ</w:t>
            </w:r>
          </w:p>
        </w:tc>
        <w:tc>
          <w:tcPr>
            <w:tcW w:w="985" w:type="pct"/>
            <w:hideMark/>
          </w:tcPr>
          <w:p w14:paraId="6C70309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269.4 ± 1.63ᵃ</w:t>
            </w:r>
          </w:p>
        </w:tc>
      </w:tr>
      <w:tr w:rsidR="00574A21" w:rsidRPr="00834AD4" w14:paraId="72D7AD0D" w14:textId="77777777" w:rsidTr="003E25BD">
        <w:tc>
          <w:tcPr>
            <w:tcW w:w="461" w:type="pct"/>
            <w:vMerge w:val="restart"/>
          </w:tcPr>
          <w:p w14:paraId="35D1D368"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8.</w:t>
            </w:r>
          </w:p>
        </w:tc>
        <w:tc>
          <w:tcPr>
            <w:tcW w:w="1402" w:type="pct"/>
            <w:vMerge w:val="restart"/>
            <w:hideMark/>
          </w:tcPr>
          <w:p w14:paraId="4DA8185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Electrical Conductivity (µS/cm)</w:t>
            </w:r>
          </w:p>
        </w:tc>
        <w:tc>
          <w:tcPr>
            <w:tcW w:w="350" w:type="pct"/>
            <w:hideMark/>
          </w:tcPr>
          <w:p w14:paraId="44BAC07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4B76363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252.6 ± 9.52</w:t>
            </w:r>
          </w:p>
        </w:tc>
        <w:tc>
          <w:tcPr>
            <w:tcW w:w="901" w:type="pct"/>
            <w:hideMark/>
          </w:tcPr>
          <w:p w14:paraId="110A195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249.4 ± 6.24</w:t>
            </w:r>
          </w:p>
        </w:tc>
        <w:tc>
          <w:tcPr>
            <w:tcW w:w="985" w:type="pct"/>
            <w:hideMark/>
          </w:tcPr>
          <w:p w14:paraId="4B7C18F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292.0 ± 31.73</w:t>
            </w:r>
          </w:p>
        </w:tc>
      </w:tr>
      <w:tr w:rsidR="00574A21" w:rsidRPr="00834AD4" w14:paraId="53180B8F" w14:textId="77777777" w:rsidTr="003E25BD">
        <w:tc>
          <w:tcPr>
            <w:tcW w:w="461" w:type="pct"/>
            <w:vMerge/>
          </w:tcPr>
          <w:p w14:paraId="5716B153"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1C9DA2AF"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6676CBC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7674273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1272 ± 51.22</w:t>
            </w:r>
          </w:p>
        </w:tc>
        <w:tc>
          <w:tcPr>
            <w:tcW w:w="901" w:type="pct"/>
            <w:hideMark/>
          </w:tcPr>
          <w:p w14:paraId="61127E3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1194 ± 28.98</w:t>
            </w:r>
          </w:p>
        </w:tc>
        <w:tc>
          <w:tcPr>
            <w:tcW w:w="985" w:type="pct"/>
            <w:hideMark/>
          </w:tcPr>
          <w:p w14:paraId="1D8003A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1095 ± 47.21</w:t>
            </w:r>
          </w:p>
        </w:tc>
      </w:tr>
      <w:tr w:rsidR="00574A21" w:rsidRPr="00834AD4" w14:paraId="7F1855FF" w14:textId="77777777" w:rsidTr="003E25BD">
        <w:tc>
          <w:tcPr>
            <w:tcW w:w="461" w:type="pct"/>
            <w:vMerge/>
          </w:tcPr>
          <w:p w14:paraId="5C803F25"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F03523F"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7D7712A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5C1278D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1580 ± 35.15</w:t>
            </w:r>
          </w:p>
        </w:tc>
        <w:tc>
          <w:tcPr>
            <w:tcW w:w="901" w:type="pct"/>
            <w:hideMark/>
          </w:tcPr>
          <w:p w14:paraId="4BB3902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1349 ± 47.83ᵃ</w:t>
            </w:r>
          </w:p>
        </w:tc>
        <w:tc>
          <w:tcPr>
            <w:tcW w:w="985" w:type="pct"/>
            <w:hideMark/>
          </w:tcPr>
          <w:p w14:paraId="42ACED4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932.6 ± 88.19ᵃᵇ</w:t>
            </w:r>
          </w:p>
        </w:tc>
      </w:tr>
      <w:tr w:rsidR="00574A21" w:rsidRPr="00834AD4" w14:paraId="2BBEB44D" w14:textId="77777777" w:rsidTr="003E25BD">
        <w:tc>
          <w:tcPr>
            <w:tcW w:w="461" w:type="pct"/>
            <w:vMerge w:val="restart"/>
          </w:tcPr>
          <w:p w14:paraId="63A80C39"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9.</w:t>
            </w:r>
          </w:p>
        </w:tc>
        <w:tc>
          <w:tcPr>
            <w:tcW w:w="1402" w:type="pct"/>
            <w:vMerge w:val="restart"/>
            <w:hideMark/>
          </w:tcPr>
          <w:p w14:paraId="40E9D8D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TDS (mg/L)</w:t>
            </w:r>
          </w:p>
        </w:tc>
        <w:tc>
          <w:tcPr>
            <w:tcW w:w="350" w:type="pct"/>
            <w:hideMark/>
          </w:tcPr>
          <w:p w14:paraId="662FE2A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56161B5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154.4 ± 11.34</w:t>
            </w:r>
          </w:p>
        </w:tc>
        <w:tc>
          <w:tcPr>
            <w:tcW w:w="901" w:type="pct"/>
            <w:hideMark/>
          </w:tcPr>
          <w:p w14:paraId="2924E00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142.9 ± 7.16</w:t>
            </w:r>
          </w:p>
        </w:tc>
        <w:tc>
          <w:tcPr>
            <w:tcW w:w="985" w:type="pct"/>
            <w:hideMark/>
          </w:tcPr>
          <w:p w14:paraId="06B3688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140.2 ± 8.65</w:t>
            </w:r>
          </w:p>
        </w:tc>
      </w:tr>
      <w:tr w:rsidR="00574A21" w:rsidRPr="00834AD4" w14:paraId="0BCD5524" w14:textId="77777777" w:rsidTr="003E25BD">
        <w:tc>
          <w:tcPr>
            <w:tcW w:w="461" w:type="pct"/>
            <w:vMerge/>
          </w:tcPr>
          <w:p w14:paraId="4E17C7F6"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15F07FB"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35C1D2F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67C7431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652.4 ± 58.17</w:t>
            </w:r>
          </w:p>
        </w:tc>
        <w:tc>
          <w:tcPr>
            <w:tcW w:w="901" w:type="pct"/>
            <w:hideMark/>
          </w:tcPr>
          <w:p w14:paraId="6264D9B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547.7 ± 49.77</w:t>
            </w:r>
          </w:p>
        </w:tc>
        <w:tc>
          <w:tcPr>
            <w:tcW w:w="985" w:type="pct"/>
            <w:hideMark/>
          </w:tcPr>
          <w:p w14:paraId="5201029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497.3 ± 28.80ᵃ</w:t>
            </w:r>
          </w:p>
        </w:tc>
      </w:tr>
      <w:tr w:rsidR="00574A21" w:rsidRPr="00834AD4" w14:paraId="758BE9DC" w14:textId="77777777" w:rsidTr="003E25BD">
        <w:tc>
          <w:tcPr>
            <w:tcW w:w="461" w:type="pct"/>
            <w:vMerge/>
          </w:tcPr>
          <w:p w14:paraId="5F480A56"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69C17149"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3D23FAE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285C38C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826.8 ± 24.95</w:t>
            </w:r>
          </w:p>
        </w:tc>
        <w:tc>
          <w:tcPr>
            <w:tcW w:w="901" w:type="pct"/>
            <w:hideMark/>
          </w:tcPr>
          <w:p w14:paraId="74FBA04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651.1 ± 44.75ᵃ</w:t>
            </w:r>
          </w:p>
        </w:tc>
        <w:tc>
          <w:tcPr>
            <w:tcW w:w="985" w:type="pct"/>
            <w:hideMark/>
          </w:tcPr>
          <w:p w14:paraId="7440D08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658.2 ± 44.76ᵃ</w:t>
            </w:r>
          </w:p>
        </w:tc>
      </w:tr>
      <w:tr w:rsidR="00574A21" w:rsidRPr="00834AD4" w14:paraId="730074F0" w14:textId="77777777" w:rsidTr="003E25BD">
        <w:tc>
          <w:tcPr>
            <w:tcW w:w="461" w:type="pct"/>
            <w:vMerge w:val="restart"/>
          </w:tcPr>
          <w:p w14:paraId="139786A6"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10.</w:t>
            </w:r>
          </w:p>
        </w:tc>
        <w:tc>
          <w:tcPr>
            <w:tcW w:w="1402" w:type="pct"/>
            <w:vMerge w:val="restart"/>
            <w:hideMark/>
          </w:tcPr>
          <w:p w14:paraId="37154D2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TS (mg/L)</w:t>
            </w:r>
          </w:p>
        </w:tc>
        <w:tc>
          <w:tcPr>
            <w:tcW w:w="350" w:type="pct"/>
            <w:hideMark/>
          </w:tcPr>
          <w:p w14:paraId="473E53A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3D1CBA4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142.9 ± 7.16</w:t>
            </w:r>
          </w:p>
        </w:tc>
        <w:tc>
          <w:tcPr>
            <w:tcW w:w="901" w:type="pct"/>
            <w:hideMark/>
          </w:tcPr>
          <w:p w14:paraId="1223635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175.3 ± 24.25</w:t>
            </w:r>
          </w:p>
        </w:tc>
        <w:tc>
          <w:tcPr>
            <w:tcW w:w="985" w:type="pct"/>
            <w:hideMark/>
          </w:tcPr>
          <w:p w14:paraId="72A65B1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122.3 ± 3.14</w:t>
            </w:r>
          </w:p>
        </w:tc>
      </w:tr>
      <w:tr w:rsidR="00574A21" w:rsidRPr="00834AD4" w14:paraId="7EC9AAA3" w14:textId="77777777" w:rsidTr="003E25BD">
        <w:tc>
          <w:tcPr>
            <w:tcW w:w="461" w:type="pct"/>
            <w:vMerge/>
          </w:tcPr>
          <w:p w14:paraId="73930C67"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6B4FB6F0"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6C2A083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238985D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547.7 ± 49.77</w:t>
            </w:r>
          </w:p>
        </w:tc>
        <w:tc>
          <w:tcPr>
            <w:tcW w:w="901" w:type="pct"/>
            <w:hideMark/>
          </w:tcPr>
          <w:p w14:paraId="6DE03F9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608.1 ± 22.91</w:t>
            </w:r>
          </w:p>
        </w:tc>
        <w:tc>
          <w:tcPr>
            <w:tcW w:w="985" w:type="pct"/>
            <w:hideMark/>
          </w:tcPr>
          <w:p w14:paraId="4EF3ECA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406.4 ± 26.37ᵃᵇ</w:t>
            </w:r>
          </w:p>
        </w:tc>
      </w:tr>
      <w:tr w:rsidR="00574A21" w:rsidRPr="00834AD4" w14:paraId="70FF341A" w14:textId="77777777" w:rsidTr="003E25BD">
        <w:tc>
          <w:tcPr>
            <w:tcW w:w="461" w:type="pct"/>
            <w:vMerge/>
          </w:tcPr>
          <w:p w14:paraId="19A41A5D"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47943209"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1B504B5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72678B7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651.1 ± 44.75</w:t>
            </w:r>
          </w:p>
        </w:tc>
        <w:tc>
          <w:tcPr>
            <w:tcW w:w="901" w:type="pct"/>
            <w:hideMark/>
          </w:tcPr>
          <w:p w14:paraId="095F4BC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762.6 ± 68.26</w:t>
            </w:r>
          </w:p>
        </w:tc>
        <w:tc>
          <w:tcPr>
            <w:tcW w:w="985" w:type="pct"/>
            <w:hideMark/>
          </w:tcPr>
          <w:p w14:paraId="27EAAD1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583.0 ± 64.23ᵃᵇ</w:t>
            </w:r>
          </w:p>
        </w:tc>
      </w:tr>
      <w:tr w:rsidR="00574A21" w:rsidRPr="00834AD4" w14:paraId="0634C102" w14:textId="77777777" w:rsidTr="003E25BD">
        <w:tc>
          <w:tcPr>
            <w:tcW w:w="461" w:type="pct"/>
            <w:vMerge w:val="restart"/>
          </w:tcPr>
          <w:p w14:paraId="097EC71B"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11.</w:t>
            </w:r>
          </w:p>
        </w:tc>
        <w:tc>
          <w:tcPr>
            <w:tcW w:w="1402" w:type="pct"/>
            <w:vMerge w:val="restart"/>
            <w:hideMark/>
          </w:tcPr>
          <w:p w14:paraId="5FA8FB7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TSS (mg/L)</w:t>
            </w:r>
          </w:p>
        </w:tc>
        <w:tc>
          <w:tcPr>
            <w:tcW w:w="350" w:type="pct"/>
            <w:hideMark/>
          </w:tcPr>
          <w:p w14:paraId="70C33DC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0D269ED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39.47 ± 10.21</w:t>
            </w:r>
          </w:p>
        </w:tc>
        <w:tc>
          <w:tcPr>
            <w:tcW w:w="901" w:type="pct"/>
            <w:hideMark/>
          </w:tcPr>
          <w:p w14:paraId="1DA86EF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43.05 ± 3.80</w:t>
            </w:r>
          </w:p>
        </w:tc>
        <w:tc>
          <w:tcPr>
            <w:tcW w:w="985" w:type="pct"/>
            <w:hideMark/>
          </w:tcPr>
          <w:p w14:paraId="61B5601A"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36.55 ± 4.59</w:t>
            </w:r>
          </w:p>
        </w:tc>
      </w:tr>
      <w:tr w:rsidR="00574A21" w:rsidRPr="00834AD4" w14:paraId="6076BCCA" w14:textId="77777777" w:rsidTr="003E25BD">
        <w:tc>
          <w:tcPr>
            <w:tcW w:w="461" w:type="pct"/>
            <w:vMerge/>
          </w:tcPr>
          <w:p w14:paraId="30DD0AFF"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AFBA4FE"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12F55B4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69BB4C5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148.4 ± 9.27</w:t>
            </w:r>
          </w:p>
        </w:tc>
        <w:tc>
          <w:tcPr>
            <w:tcW w:w="901" w:type="pct"/>
            <w:hideMark/>
          </w:tcPr>
          <w:p w14:paraId="516CA37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135.6 ± 5.59</w:t>
            </w:r>
          </w:p>
        </w:tc>
        <w:tc>
          <w:tcPr>
            <w:tcW w:w="985" w:type="pct"/>
            <w:hideMark/>
          </w:tcPr>
          <w:p w14:paraId="4FC8ABE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127.2 ± 5.37</w:t>
            </w:r>
          </w:p>
        </w:tc>
      </w:tr>
      <w:tr w:rsidR="00574A21" w:rsidRPr="00834AD4" w14:paraId="2D257004" w14:textId="77777777" w:rsidTr="003E25BD">
        <w:tc>
          <w:tcPr>
            <w:tcW w:w="461" w:type="pct"/>
            <w:vMerge/>
          </w:tcPr>
          <w:p w14:paraId="46357A5B"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CA3E142"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06055F8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172F24A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158.8 ± 8.08</w:t>
            </w:r>
          </w:p>
        </w:tc>
        <w:tc>
          <w:tcPr>
            <w:tcW w:w="901" w:type="pct"/>
            <w:hideMark/>
          </w:tcPr>
          <w:p w14:paraId="069EB7C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145.7 ± 5.13</w:t>
            </w:r>
          </w:p>
        </w:tc>
        <w:tc>
          <w:tcPr>
            <w:tcW w:w="985" w:type="pct"/>
            <w:hideMark/>
          </w:tcPr>
          <w:p w14:paraId="11FCDFE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138.6 ± 3.79</w:t>
            </w:r>
          </w:p>
        </w:tc>
      </w:tr>
      <w:tr w:rsidR="00574A21" w:rsidRPr="00834AD4" w14:paraId="0EFD6713" w14:textId="77777777" w:rsidTr="003E25BD">
        <w:tc>
          <w:tcPr>
            <w:tcW w:w="461" w:type="pct"/>
            <w:vMerge w:val="restart"/>
          </w:tcPr>
          <w:p w14:paraId="1047028D"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lastRenderedPageBreak/>
              <w:t>12.</w:t>
            </w:r>
          </w:p>
        </w:tc>
        <w:tc>
          <w:tcPr>
            <w:tcW w:w="1402" w:type="pct"/>
            <w:vMerge w:val="restart"/>
            <w:hideMark/>
          </w:tcPr>
          <w:p w14:paraId="0F399E7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Total Hardness (mg/L)</w:t>
            </w:r>
          </w:p>
        </w:tc>
        <w:tc>
          <w:tcPr>
            <w:tcW w:w="350" w:type="pct"/>
            <w:hideMark/>
          </w:tcPr>
          <w:p w14:paraId="307FDF8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34AF9B7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96.27 ± 2.89</w:t>
            </w:r>
          </w:p>
        </w:tc>
        <w:tc>
          <w:tcPr>
            <w:tcW w:w="901" w:type="pct"/>
            <w:hideMark/>
          </w:tcPr>
          <w:p w14:paraId="4FEBA7A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89.39 ± 3.66</w:t>
            </w:r>
          </w:p>
        </w:tc>
        <w:tc>
          <w:tcPr>
            <w:tcW w:w="985" w:type="pct"/>
            <w:hideMark/>
          </w:tcPr>
          <w:p w14:paraId="1E8C7F5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82.31 ± 3.63</w:t>
            </w:r>
          </w:p>
        </w:tc>
      </w:tr>
      <w:tr w:rsidR="00574A21" w:rsidRPr="00834AD4" w14:paraId="4FD27385" w14:textId="77777777" w:rsidTr="003E25BD">
        <w:tc>
          <w:tcPr>
            <w:tcW w:w="461" w:type="pct"/>
            <w:vMerge/>
          </w:tcPr>
          <w:p w14:paraId="2A68082A"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40DF8F0"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7140C8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373205F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244.9 ± 13.85</w:t>
            </w:r>
          </w:p>
        </w:tc>
        <w:tc>
          <w:tcPr>
            <w:tcW w:w="901" w:type="pct"/>
            <w:hideMark/>
          </w:tcPr>
          <w:p w14:paraId="151C9E6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230.8 ± 11.69</w:t>
            </w:r>
          </w:p>
        </w:tc>
        <w:tc>
          <w:tcPr>
            <w:tcW w:w="985" w:type="pct"/>
            <w:hideMark/>
          </w:tcPr>
          <w:p w14:paraId="05F62AB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220.7 ± 8.08</w:t>
            </w:r>
          </w:p>
        </w:tc>
      </w:tr>
      <w:tr w:rsidR="00574A21" w:rsidRPr="00834AD4" w14:paraId="3B66FFC1" w14:textId="77777777" w:rsidTr="003E25BD">
        <w:tc>
          <w:tcPr>
            <w:tcW w:w="461" w:type="pct"/>
            <w:vMerge/>
          </w:tcPr>
          <w:p w14:paraId="57A68D8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B8F860D"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3C1661B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41AE62E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295.6 ± 2.57</w:t>
            </w:r>
          </w:p>
        </w:tc>
        <w:tc>
          <w:tcPr>
            <w:tcW w:w="901" w:type="pct"/>
            <w:hideMark/>
          </w:tcPr>
          <w:p w14:paraId="5A15C43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263.2 ± 17.07</w:t>
            </w:r>
          </w:p>
        </w:tc>
        <w:tc>
          <w:tcPr>
            <w:tcW w:w="985" w:type="pct"/>
            <w:hideMark/>
          </w:tcPr>
          <w:p w14:paraId="10161D1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250.2 ± 17.07ᵃ</w:t>
            </w:r>
          </w:p>
        </w:tc>
      </w:tr>
      <w:tr w:rsidR="00574A21" w:rsidRPr="00834AD4" w14:paraId="21929C34" w14:textId="77777777" w:rsidTr="003E25BD">
        <w:tc>
          <w:tcPr>
            <w:tcW w:w="461" w:type="pct"/>
            <w:vMerge w:val="restart"/>
          </w:tcPr>
          <w:p w14:paraId="796E6760"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13.</w:t>
            </w:r>
          </w:p>
        </w:tc>
        <w:tc>
          <w:tcPr>
            <w:tcW w:w="1402" w:type="pct"/>
            <w:vMerge w:val="restart"/>
            <w:hideMark/>
          </w:tcPr>
          <w:p w14:paraId="1B80CD0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Chloride (mg/L)</w:t>
            </w:r>
          </w:p>
        </w:tc>
        <w:tc>
          <w:tcPr>
            <w:tcW w:w="350" w:type="pct"/>
            <w:hideMark/>
          </w:tcPr>
          <w:p w14:paraId="374668D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233033F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10.91 ± 0.51</w:t>
            </w:r>
          </w:p>
        </w:tc>
        <w:tc>
          <w:tcPr>
            <w:tcW w:w="901" w:type="pct"/>
            <w:hideMark/>
          </w:tcPr>
          <w:p w14:paraId="0B46E90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9.85 ± 0.33</w:t>
            </w:r>
          </w:p>
        </w:tc>
        <w:tc>
          <w:tcPr>
            <w:tcW w:w="985" w:type="pct"/>
            <w:hideMark/>
          </w:tcPr>
          <w:p w14:paraId="3A67221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9.85 ± 0.33</w:t>
            </w:r>
          </w:p>
        </w:tc>
      </w:tr>
      <w:tr w:rsidR="00574A21" w:rsidRPr="00834AD4" w14:paraId="57D552C9" w14:textId="77777777" w:rsidTr="003E25BD">
        <w:tc>
          <w:tcPr>
            <w:tcW w:w="461" w:type="pct"/>
            <w:vMerge/>
          </w:tcPr>
          <w:p w14:paraId="107F28F2"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9528C46"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6EDC5AC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16928BB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129.4 ± 1.07</w:t>
            </w:r>
          </w:p>
        </w:tc>
        <w:tc>
          <w:tcPr>
            <w:tcW w:w="901" w:type="pct"/>
            <w:hideMark/>
          </w:tcPr>
          <w:p w14:paraId="0F077B40"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126.0 ± 3.86</w:t>
            </w:r>
          </w:p>
        </w:tc>
        <w:tc>
          <w:tcPr>
            <w:tcW w:w="985" w:type="pct"/>
            <w:hideMark/>
          </w:tcPr>
          <w:p w14:paraId="2D0FF276"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126.0 ± 3.86</w:t>
            </w:r>
          </w:p>
        </w:tc>
      </w:tr>
      <w:tr w:rsidR="00574A21" w:rsidRPr="00834AD4" w14:paraId="62DB506A" w14:textId="77777777" w:rsidTr="003E25BD">
        <w:tc>
          <w:tcPr>
            <w:tcW w:w="461" w:type="pct"/>
            <w:vMerge/>
          </w:tcPr>
          <w:p w14:paraId="2DD5D285"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7EFA0890"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59276AC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5837646D"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139.4 ± 2.44</w:t>
            </w:r>
          </w:p>
        </w:tc>
        <w:tc>
          <w:tcPr>
            <w:tcW w:w="901" w:type="pct"/>
            <w:hideMark/>
          </w:tcPr>
          <w:p w14:paraId="60147C2B"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137.5 ± 4.28</w:t>
            </w:r>
          </w:p>
        </w:tc>
        <w:tc>
          <w:tcPr>
            <w:tcW w:w="985" w:type="pct"/>
            <w:hideMark/>
          </w:tcPr>
          <w:p w14:paraId="0CEC5DE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137.5 ± 4.28</w:t>
            </w:r>
          </w:p>
        </w:tc>
      </w:tr>
      <w:tr w:rsidR="00574A21" w:rsidRPr="00834AD4" w14:paraId="5D00D873" w14:textId="77777777" w:rsidTr="003E25BD">
        <w:tc>
          <w:tcPr>
            <w:tcW w:w="461" w:type="pct"/>
            <w:vMerge w:val="restart"/>
          </w:tcPr>
          <w:p w14:paraId="12A8E91F"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14.</w:t>
            </w:r>
          </w:p>
        </w:tc>
        <w:tc>
          <w:tcPr>
            <w:tcW w:w="1402" w:type="pct"/>
            <w:vMerge w:val="restart"/>
            <w:hideMark/>
          </w:tcPr>
          <w:p w14:paraId="7504125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Nitrate (mg/L)</w:t>
            </w:r>
          </w:p>
        </w:tc>
        <w:tc>
          <w:tcPr>
            <w:tcW w:w="350" w:type="pct"/>
            <w:hideMark/>
          </w:tcPr>
          <w:p w14:paraId="384089C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1EF20F4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0.43 ± 0.03</w:t>
            </w:r>
          </w:p>
        </w:tc>
        <w:tc>
          <w:tcPr>
            <w:tcW w:w="901" w:type="pct"/>
            <w:hideMark/>
          </w:tcPr>
          <w:p w14:paraId="4740DFE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0.47 ± 0.02</w:t>
            </w:r>
          </w:p>
        </w:tc>
        <w:tc>
          <w:tcPr>
            <w:tcW w:w="985" w:type="pct"/>
            <w:hideMark/>
          </w:tcPr>
          <w:p w14:paraId="1EDB455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0.33 ± 0.03</w:t>
            </w:r>
          </w:p>
        </w:tc>
      </w:tr>
      <w:tr w:rsidR="00574A21" w:rsidRPr="00834AD4" w14:paraId="2DB2E5C3" w14:textId="77777777" w:rsidTr="003E25BD">
        <w:tc>
          <w:tcPr>
            <w:tcW w:w="461" w:type="pct"/>
            <w:vMerge/>
          </w:tcPr>
          <w:p w14:paraId="047CA18D"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3C4E55AC"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24396AD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49C4C59F"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0.98 ± 0.11</w:t>
            </w:r>
          </w:p>
        </w:tc>
        <w:tc>
          <w:tcPr>
            <w:tcW w:w="901" w:type="pct"/>
            <w:hideMark/>
          </w:tcPr>
          <w:p w14:paraId="1CDE46D8"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0.85 ± 0.07</w:t>
            </w:r>
          </w:p>
        </w:tc>
        <w:tc>
          <w:tcPr>
            <w:tcW w:w="985" w:type="pct"/>
            <w:hideMark/>
          </w:tcPr>
          <w:p w14:paraId="16509D6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0.66 ± 0.07ᵃ</w:t>
            </w:r>
          </w:p>
        </w:tc>
      </w:tr>
      <w:tr w:rsidR="00574A21" w:rsidRPr="00834AD4" w14:paraId="125E322B" w14:textId="77777777" w:rsidTr="003E25BD">
        <w:tc>
          <w:tcPr>
            <w:tcW w:w="461" w:type="pct"/>
            <w:vMerge/>
          </w:tcPr>
          <w:p w14:paraId="43253AEA"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651EB05"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0FB1C14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3150D64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1.34 ± 0.06</w:t>
            </w:r>
          </w:p>
        </w:tc>
        <w:tc>
          <w:tcPr>
            <w:tcW w:w="901" w:type="pct"/>
            <w:hideMark/>
          </w:tcPr>
          <w:p w14:paraId="0539239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1.15 ± 0.04</w:t>
            </w:r>
          </w:p>
        </w:tc>
        <w:tc>
          <w:tcPr>
            <w:tcW w:w="985" w:type="pct"/>
            <w:hideMark/>
          </w:tcPr>
          <w:p w14:paraId="7C16D109"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0.78 ± 0.03ᵃᵇ</w:t>
            </w:r>
          </w:p>
        </w:tc>
      </w:tr>
      <w:tr w:rsidR="00574A21" w:rsidRPr="00834AD4" w14:paraId="1B561E0B" w14:textId="77777777" w:rsidTr="003E25BD">
        <w:tc>
          <w:tcPr>
            <w:tcW w:w="461" w:type="pct"/>
            <w:vMerge w:val="restart"/>
          </w:tcPr>
          <w:p w14:paraId="42B764AD" w14:textId="77777777" w:rsidR="00574A21" w:rsidRPr="00834AD4" w:rsidRDefault="00574A21" w:rsidP="003E25BD">
            <w:pPr>
              <w:spacing w:line="360" w:lineRule="auto"/>
              <w:jc w:val="both"/>
              <w:rPr>
                <w:rFonts w:ascii="Arial" w:hAnsi="Arial" w:cs="Arial"/>
                <w:color w:val="000000"/>
              </w:rPr>
            </w:pPr>
            <w:r w:rsidRPr="00834AD4">
              <w:rPr>
                <w:rFonts w:ascii="Arial" w:hAnsi="Arial" w:cs="Arial"/>
                <w:color w:val="000000"/>
              </w:rPr>
              <w:t>15.</w:t>
            </w:r>
          </w:p>
        </w:tc>
        <w:tc>
          <w:tcPr>
            <w:tcW w:w="1402" w:type="pct"/>
            <w:vMerge w:val="restart"/>
            <w:hideMark/>
          </w:tcPr>
          <w:p w14:paraId="109E1E83"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Phosphate (mg/L)</w:t>
            </w:r>
          </w:p>
        </w:tc>
        <w:tc>
          <w:tcPr>
            <w:tcW w:w="350" w:type="pct"/>
            <w:hideMark/>
          </w:tcPr>
          <w:p w14:paraId="1D053D0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w:t>
            </w:r>
          </w:p>
        </w:tc>
        <w:tc>
          <w:tcPr>
            <w:tcW w:w="901" w:type="pct"/>
            <w:hideMark/>
          </w:tcPr>
          <w:p w14:paraId="6D02897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0.44 ± 0.03</w:t>
            </w:r>
          </w:p>
        </w:tc>
        <w:tc>
          <w:tcPr>
            <w:tcW w:w="901" w:type="pct"/>
            <w:hideMark/>
          </w:tcPr>
          <w:p w14:paraId="15613B6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0.39 ± 0.03</w:t>
            </w:r>
          </w:p>
        </w:tc>
        <w:tc>
          <w:tcPr>
            <w:tcW w:w="985" w:type="pct"/>
            <w:hideMark/>
          </w:tcPr>
          <w:p w14:paraId="4E2FD047"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0.33 ± 0.03</w:t>
            </w:r>
          </w:p>
        </w:tc>
      </w:tr>
      <w:tr w:rsidR="00574A21" w:rsidRPr="00834AD4" w14:paraId="07B840DF" w14:textId="77777777" w:rsidTr="003E25BD">
        <w:tc>
          <w:tcPr>
            <w:tcW w:w="461" w:type="pct"/>
            <w:vMerge/>
          </w:tcPr>
          <w:p w14:paraId="51CB5533"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00907121"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4050AC2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w:t>
            </w:r>
          </w:p>
        </w:tc>
        <w:tc>
          <w:tcPr>
            <w:tcW w:w="901" w:type="pct"/>
            <w:hideMark/>
          </w:tcPr>
          <w:p w14:paraId="71E9DBC4"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0.79 ± 0.02</w:t>
            </w:r>
          </w:p>
        </w:tc>
        <w:tc>
          <w:tcPr>
            <w:tcW w:w="901" w:type="pct"/>
            <w:hideMark/>
          </w:tcPr>
          <w:p w14:paraId="33A0D3F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0.66 ± 0.06</w:t>
            </w:r>
          </w:p>
        </w:tc>
        <w:tc>
          <w:tcPr>
            <w:tcW w:w="985" w:type="pct"/>
            <w:hideMark/>
          </w:tcPr>
          <w:p w14:paraId="3BF02B41"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0.66 ± 0.07ᵃ</w:t>
            </w:r>
          </w:p>
        </w:tc>
      </w:tr>
      <w:tr w:rsidR="00574A21" w:rsidRPr="00834AD4" w14:paraId="645D553B" w14:textId="77777777" w:rsidTr="003E25BD">
        <w:tc>
          <w:tcPr>
            <w:tcW w:w="461" w:type="pct"/>
            <w:vMerge/>
          </w:tcPr>
          <w:p w14:paraId="429D5FD6" w14:textId="77777777" w:rsidR="00574A21" w:rsidRPr="00834AD4" w:rsidRDefault="00574A21" w:rsidP="003E25BD">
            <w:pPr>
              <w:spacing w:line="360" w:lineRule="auto"/>
              <w:jc w:val="both"/>
              <w:rPr>
                <w:rFonts w:ascii="Arial" w:hAnsi="Arial" w:cs="Arial"/>
                <w:color w:val="000000"/>
              </w:rPr>
            </w:pPr>
          </w:p>
        </w:tc>
        <w:tc>
          <w:tcPr>
            <w:tcW w:w="1402" w:type="pct"/>
            <w:vMerge/>
            <w:hideMark/>
          </w:tcPr>
          <w:p w14:paraId="2A7270C1" w14:textId="77777777" w:rsidR="00574A21" w:rsidRPr="00834AD4" w:rsidRDefault="00574A21" w:rsidP="003E25BD">
            <w:pPr>
              <w:spacing w:line="360" w:lineRule="auto"/>
              <w:jc w:val="both"/>
              <w:rPr>
                <w:rFonts w:ascii="Arial" w:hAnsi="Arial" w:cs="Arial"/>
                <w:color w:val="000000"/>
                <w:lang w:bidi="hi-IN"/>
              </w:rPr>
            </w:pPr>
          </w:p>
        </w:tc>
        <w:tc>
          <w:tcPr>
            <w:tcW w:w="350" w:type="pct"/>
            <w:hideMark/>
          </w:tcPr>
          <w:p w14:paraId="035C780E"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III</w:t>
            </w:r>
          </w:p>
        </w:tc>
        <w:tc>
          <w:tcPr>
            <w:tcW w:w="901" w:type="pct"/>
            <w:hideMark/>
          </w:tcPr>
          <w:p w14:paraId="0D765FB2"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0.95 ± 0.10</w:t>
            </w:r>
          </w:p>
        </w:tc>
        <w:tc>
          <w:tcPr>
            <w:tcW w:w="901" w:type="pct"/>
            <w:hideMark/>
          </w:tcPr>
          <w:p w14:paraId="1141E265"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0.84 ± 0.07</w:t>
            </w:r>
          </w:p>
        </w:tc>
        <w:tc>
          <w:tcPr>
            <w:tcW w:w="985" w:type="pct"/>
            <w:hideMark/>
          </w:tcPr>
          <w:p w14:paraId="2796EF0C" w14:textId="77777777" w:rsidR="00574A21" w:rsidRPr="00834AD4" w:rsidRDefault="00574A21" w:rsidP="003E25BD">
            <w:pPr>
              <w:spacing w:line="360" w:lineRule="auto"/>
              <w:jc w:val="both"/>
              <w:rPr>
                <w:rFonts w:ascii="Arial" w:hAnsi="Arial" w:cs="Arial"/>
                <w:color w:val="000000"/>
                <w:lang w:bidi="hi-IN"/>
              </w:rPr>
            </w:pPr>
            <w:r w:rsidRPr="00834AD4">
              <w:rPr>
                <w:rFonts w:ascii="Arial" w:hAnsi="Arial" w:cs="Arial"/>
                <w:color w:val="000000"/>
                <w:lang w:bidi="hi-IN"/>
              </w:rPr>
              <w:t>0.78 ± 0.03ᵃᵇ</w:t>
            </w:r>
          </w:p>
        </w:tc>
      </w:tr>
    </w:tbl>
    <w:p w14:paraId="6B9BA946" w14:textId="77777777" w:rsidR="00281338" w:rsidRDefault="00281338" w:rsidP="00CA0540">
      <w:pPr>
        <w:spacing w:before="240" w:line="360" w:lineRule="auto"/>
        <w:jc w:val="both"/>
        <w:outlineLvl w:val="1"/>
        <w:rPr>
          <w:rFonts w:ascii="Arial" w:hAnsi="Arial" w:cs="Arial"/>
          <w:b/>
          <w:bCs/>
          <w:color w:val="000000"/>
          <w:szCs w:val="22"/>
          <w:u w:val="single"/>
        </w:rPr>
      </w:pPr>
    </w:p>
    <w:p w14:paraId="4DB9D166" w14:textId="7614B72E" w:rsidR="003E25BD" w:rsidRPr="003E25BD" w:rsidRDefault="00E61652" w:rsidP="00CA0540">
      <w:pPr>
        <w:spacing w:before="240" w:line="360" w:lineRule="auto"/>
        <w:jc w:val="both"/>
        <w:outlineLvl w:val="1"/>
        <w:rPr>
          <w:rFonts w:ascii="Arial" w:hAnsi="Arial" w:cs="Arial"/>
          <w:b/>
          <w:bCs/>
          <w:color w:val="000000"/>
          <w:szCs w:val="22"/>
          <w:u w:val="single"/>
        </w:rPr>
      </w:pPr>
      <w:r>
        <w:rPr>
          <w:rFonts w:ascii="Arial" w:hAnsi="Arial" w:cs="Arial"/>
          <w:b/>
          <w:bCs/>
          <w:color w:val="000000"/>
          <w:szCs w:val="22"/>
          <w:u w:val="single"/>
        </w:rPr>
        <w:t xml:space="preserve">Fig </w:t>
      </w:r>
      <w:proofErr w:type="gramStart"/>
      <w:r>
        <w:rPr>
          <w:rFonts w:ascii="Arial" w:hAnsi="Arial" w:cs="Arial"/>
          <w:b/>
          <w:bCs/>
          <w:color w:val="000000"/>
          <w:szCs w:val="22"/>
          <w:u w:val="single"/>
        </w:rPr>
        <w:t>1 :</w:t>
      </w:r>
      <w:proofErr w:type="gramEnd"/>
      <w:r>
        <w:rPr>
          <w:rFonts w:ascii="Arial" w:hAnsi="Arial" w:cs="Arial"/>
          <w:b/>
          <w:bCs/>
          <w:color w:val="000000"/>
          <w:szCs w:val="22"/>
          <w:u w:val="single"/>
        </w:rPr>
        <w:t xml:space="preserve"> </w:t>
      </w:r>
      <w:r w:rsidR="003E25BD" w:rsidRPr="003E25BD">
        <w:rPr>
          <w:rFonts w:ascii="Arial" w:hAnsi="Arial" w:cs="Arial"/>
          <w:b/>
          <w:bCs/>
          <w:color w:val="000000"/>
          <w:szCs w:val="22"/>
          <w:u w:val="single"/>
        </w:rPr>
        <w:t>Graphical Analysis of data</w:t>
      </w:r>
      <w:r w:rsidR="005A4C2B">
        <w:rPr>
          <w:rFonts w:ascii="Arial" w:hAnsi="Arial" w:cs="Arial"/>
          <w:b/>
          <w:bCs/>
          <w:color w:val="000000"/>
          <w:szCs w:val="22"/>
          <w:u w:val="single"/>
        </w:rPr>
        <w:t xml:space="preserve"> for all </w:t>
      </w:r>
      <w:r w:rsidR="003D4885">
        <w:rPr>
          <w:rFonts w:ascii="Arial" w:hAnsi="Arial" w:cs="Arial"/>
          <w:b/>
          <w:bCs/>
          <w:color w:val="000000"/>
          <w:szCs w:val="22"/>
          <w:u w:val="single"/>
        </w:rPr>
        <w:t>parameters</w:t>
      </w:r>
    </w:p>
    <w:p w14:paraId="6CA31057" w14:textId="77777777" w:rsidR="005D0292" w:rsidRPr="000F21FA" w:rsidRDefault="005D0292" w:rsidP="00CA0540">
      <w:pPr>
        <w:spacing w:before="240" w:line="360" w:lineRule="auto"/>
        <w:jc w:val="both"/>
        <w:outlineLvl w:val="1"/>
        <w:rPr>
          <w:rFonts w:ascii="Arial" w:hAnsi="Arial" w:cs="Arial"/>
          <w:color w:val="000000"/>
          <w:szCs w:val="22"/>
        </w:rPr>
      </w:pPr>
      <w:r w:rsidRPr="000F21FA">
        <w:rPr>
          <w:rFonts w:ascii="Arial" w:hAnsi="Arial" w:cs="Arial"/>
          <w:noProof/>
          <w:color w:val="000000"/>
          <w:szCs w:val="22"/>
        </w:rPr>
        <w:drawing>
          <wp:inline distT="0" distB="0" distL="0" distR="0" wp14:anchorId="5B058475" wp14:editId="7DB75FA1">
            <wp:extent cx="2698595" cy="2011680"/>
            <wp:effectExtent l="0" t="0" r="6985" b="7620"/>
            <wp:docPr id="6" name="Picture 6" descr="C:\Users\DELL\Desktop\phd paper 1 submission in journal\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phd paper 1 submission in journal\te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r w:rsidR="00076C66" w:rsidRPr="000F21FA">
        <w:rPr>
          <w:rFonts w:ascii="Arial" w:hAnsi="Arial" w:cs="Arial"/>
          <w:color w:val="000000"/>
          <w:szCs w:val="22"/>
        </w:rPr>
        <w:t xml:space="preserve">     </w:t>
      </w:r>
      <w:r w:rsidR="00D16B87">
        <w:rPr>
          <w:rFonts w:ascii="Arial" w:hAnsi="Arial" w:cs="Arial"/>
          <w:color w:val="000000"/>
          <w:szCs w:val="22"/>
        </w:rPr>
        <w:t xml:space="preserve">       </w:t>
      </w:r>
      <w:r w:rsidR="00076C66" w:rsidRPr="000F21FA">
        <w:rPr>
          <w:rFonts w:ascii="Arial" w:hAnsi="Arial" w:cs="Arial"/>
          <w:color w:val="000000"/>
          <w:szCs w:val="22"/>
        </w:rPr>
        <w:t xml:space="preserve"> </w:t>
      </w:r>
      <w:r w:rsidRPr="000F21FA">
        <w:rPr>
          <w:rFonts w:ascii="Arial" w:hAnsi="Arial" w:cs="Arial"/>
          <w:noProof/>
          <w:color w:val="000000"/>
          <w:szCs w:val="22"/>
        </w:rPr>
        <w:drawing>
          <wp:inline distT="0" distB="0" distL="0" distR="0" wp14:anchorId="7EDCAF9A" wp14:editId="73499A8F">
            <wp:extent cx="2698596" cy="2011680"/>
            <wp:effectExtent l="0" t="0" r="6985" b="7620"/>
            <wp:docPr id="5" name="Picture 5" descr="C:\Users\DELL\Desktop\phd paper 1 submission in journal\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phd paper 1 submission in journal\p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8596" cy="2011680"/>
                    </a:xfrm>
                    <a:prstGeom prst="rect">
                      <a:avLst/>
                    </a:prstGeom>
                    <a:noFill/>
                    <a:ln>
                      <a:noFill/>
                    </a:ln>
                  </pic:spPr>
                </pic:pic>
              </a:graphicData>
            </a:graphic>
          </wp:inline>
        </w:drawing>
      </w:r>
    </w:p>
    <w:p w14:paraId="46B6D516" w14:textId="77777777" w:rsidR="003E25BD" w:rsidRPr="000F21FA" w:rsidRDefault="005D0292" w:rsidP="00CA0540">
      <w:pPr>
        <w:spacing w:before="240" w:line="360" w:lineRule="auto"/>
        <w:jc w:val="both"/>
        <w:outlineLvl w:val="1"/>
        <w:rPr>
          <w:rFonts w:ascii="Arial" w:hAnsi="Arial" w:cs="Arial"/>
          <w:color w:val="000000"/>
          <w:szCs w:val="22"/>
        </w:rPr>
      </w:pPr>
      <w:r w:rsidRPr="000F21FA">
        <w:rPr>
          <w:rFonts w:ascii="Arial" w:hAnsi="Arial" w:cs="Arial"/>
          <w:noProof/>
          <w:color w:val="000000"/>
          <w:szCs w:val="22"/>
        </w:rPr>
        <w:drawing>
          <wp:inline distT="0" distB="0" distL="0" distR="0" wp14:anchorId="69BB4447" wp14:editId="50373A06">
            <wp:extent cx="2698595" cy="2011680"/>
            <wp:effectExtent l="0" t="0" r="6985" b="7620"/>
            <wp:docPr id="19" name="Picture 19" descr="C:\Users\DELL\Desktop\phd paper 1 submission in journal\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LL\Desktop\phd paper 1 submission in journal\D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r w:rsidR="003E25BD">
        <w:rPr>
          <w:rFonts w:ascii="Arial" w:hAnsi="Arial" w:cs="Arial"/>
          <w:color w:val="000000"/>
          <w:szCs w:val="22"/>
        </w:rPr>
        <w:t xml:space="preserve">             </w:t>
      </w:r>
      <w:r w:rsidRPr="000F21FA">
        <w:rPr>
          <w:rFonts w:ascii="Arial" w:hAnsi="Arial" w:cs="Arial"/>
          <w:noProof/>
          <w:color w:val="000000"/>
          <w:szCs w:val="22"/>
        </w:rPr>
        <w:drawing>
          <wp:inline distT="0" distB="0" distL="0" distR="0" wp14:anchorId="71B9D709" wp14:editId="017B72D4">
            <wp:extent cx="2698595" cy="2011680"/>
            <wp:effectExtent l="0" t="0" r="6985" b="7620"/>
            <wp:docPr id="18" name="Picture 18" descr="C:\Users\DELL\Desktop\phd paper 1 submission in journal\B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ELL\Desktop\phd paper 1 submission in journal\BO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p>
    <w:p w14:paraId="6F199404" w14:textId="77777777" w:rsidR="00D16B87" w:rsidRDefault="005D0292" w:rsidP="00CA0540">
      <w:pPr>
        <w:spacing w:before="240" w:line="360" w:lineRule="auto"/>
        <w:jc w:val="both"/>
        <w:outlineLvl w:val="1"/>
        <w:rPr>
          <w:rFonts w:ascii="Arial" w:hAnsi="Arial" w:cs="Arial"/>
          <w:color w:val="000000"/>
          <w:szCs w:val="22"/>
        </w:rPr>
      </w:pPr>
      <w:r w:rsidRPr="000F21FA">
        <w:rPr>
          <w:rFonts w:ascii="Arial" w:hAnsi="Arial" w:cs="Arial"/>
          <w:noProof/>
          <w:color w:val="000000"/>
          <w:szCs w:val="22"/>
        </w:rPr>
        <w:lastRenderedPageBreak/>
        <w:drawing>
          <wp:inline distT="0" distB="0" distL="0" distR="0" wp14:anchorId="77F0DA8C" wp14:editId="6DFD1B27">
            <wp:extent cx="2698594" cy="2011680"/>
            <wp:effectExtent l="0" t="0" r="6985" b="7620"/>
            <wp:docPr id="17" name="Picture 17" descr="C:\Users\DELL\Desktop\phd paper 1 submission in journal\C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ELL\Desktop\phd paper 1 submission in journal\CO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8594" cy="2011680"/>
                    </a:xfrm>
                    <a:prstGeom prst="rect">
                      <a:avLst/>
                    </a:prstGeom>
                    <a:noFill/>
                    <a:ln>
                      <a:noFill/>
                    </a:ln>
                  </pic:spPr>
                </pic:pic>
              </a:graphicData>
            </a:graphic>
          </wp:inline>
        </w:drawing>
      </w:r>
      <w:r w:rsidR="003E25BD">
        <w:rPr>
          <w:rFonts w:ascii="Arial" w:hAnsi="Arial" w:cs="Arial"/>
          <w:color w:val="000000"/>
          <w:szCs w:val="22"/>
        </w:rPr>
        <w:t xml:space="preserve">     </w:t>
      </w:r>
      <w:r w:rsidR="00D16B87">
        <w:rPr>
          <w:rFonts w:ascii="Arial" w:hAnsi="Arial" w:cs="Arial"/>
          <w:color w:val="000000"/>
          <w:szCs w:val="22"/>
        </w:rPr>
        <w:t xml:space="preserve"> </w:t>
      </w:r>
      <w:r w:rsidRPr="000F21FA">
        <w:rPr>
          <w:rFonts w:ascii="Arial" w:hAnsi="Arial" w:cs="Arial"/>
          <w:noProof/>
          <w:color w:val="000000"/>
          <w:szCs w:val="22"/>
        </w:rPr>
        <w:drawing>
          <wp:inline distT="0" distB="0" distL="0" distR="0" wp14:anchorId="22079AEF" wp14:editId="18CF8EBB">
            <wp:extent cx="2698594" cy="2011680"/>
            <wp:effectExtent l="0" t="0" r="6985" b="7620"/>
            <wp:docPr id="16" name="Picture 16" descr="C:\Users\DELL\Desktop\phd paper 1 submission in journal\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LL\Desktop\phd paper 1 submission in journal\T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8594" cy="2011680"/>
                    </a:xfrm>
                    <a:prstGeom prst="rect">
                      <a:avLst/>
                    </a:prstGeom>
                    <a:noFill/>
                    <a:ln>
                      <a:noFill/>
                    </a:ln>
                  </pic:spPr>
                </pic:pic>
              </a:graphicData>
            </a:graphic>
          </wp:inline>
        </w:drawing>
      </w:r>
    </w:p>
    <w:p w14:paraId="4350544A" w14:textId="77777777" w:rsidR="00D16B87" w:rsidRDefault="005D0292" w:rsidP="00CA0540">
      <w:pPr>
        <w:spacing w:before="240" w:line="360" w:lineRule="auto"/>
        <w:jc w:val="both"/>
        <w:outlineLvl w:val="1"/>
        <w:rPr>
          <w:rFonts w:ascii="Arial" w:hAnsi="Arial" w:cs="Arial"/>
          <w:color w:val="000000"/>
          <w:szCs w:val="22"/>
        </w:rPr>
      </w:pPr>
      <w:r w:rsidRPr="000F21FA">
        <w:rPr>
          <w:rFonts w:ascii="Arial" w:hAnsi="Arial" w:cs="Arial"/>
          <w:noProof/>
          <w:color w:val="000000"/>
          <w:szCs w:val="22"/>
        </w:rPr>
        <w:drawing>
          <wp:inline distT="0" distB="0" distL="0" distR="0" wp14:anchorId="6DA34F7B" wp14:editId="2D2D20B0">
            <wp:extent cx="2698595" cy="2011680"/>
            <wp:effectExtent l="0" t="0" r="6985" b="7620"/>
            <wp:docPr id="15" name="Picture 15" descr="C:\Users\DELL\Desktop\phd paper 1 submission in journa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Desktop\phd paper 1 submission in journal\E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r w:rsidR="003E25BD">
        <w:rPr>
          <w:rFonts w:ascii="Arial" w:hAnsi="Arial" w:cs="Arial"/>
          <w:color w:val="000000"/>
          <w:szCs w:val="22"/>
        </w:rPr>
        <w:t xml:space="preserve">      </w:t>
      </w:r>
      <w:r w:rsidRPr="000F21FA">
        <w:rPr>
          <w:rFonts w:ascii="Arial" w:hAnsi="Arial" w:cs="Arial"/>
          <w:noProof/>
          <w:color w:val="000000"/>
          <w:szCs w:val="22"/>
        </w:rPr>
        <w:drawing>
          <wp:inline distT="0" distB="0" distL="0" distR="0" wp14:anchorId="374BD548" wp14:editId="734200B9">
            <wp:extent cx="2698595" cy="2011680"/>
            <wp:effectExtent l="0" t="0" r="6985" b="7620"/>
            <wp:docPr id="14" name="Picture 14" descr="C:\Users\DELL\Desktop\phd paper 1 submission in journal\T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Desktop\phd paper 1 submission in journal\TD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p>
    <w:p w14:paraId="7BBE7804" w14:textId="77777777" w:rsidR="00D16B87" w:rsidRDefault="005D0292" w:rsidP="00CA0540">
      <w:pPr>
        <w:spacing w:before="240" w:line="360" w:lineRule="auto"/>
        <w:jc w:val="both"/>
        <w:outlineLvl w:val="1"/>
        <w:rPr>
          <w:rFonts w:ascii="Arial" w:hAnsi="Arial" w:cs="Arial"/>
          <w:color w:val="000000"/>
          <w:szCs w:val="22"/>
        </w:rPr>
      </w:pPr>
      <w:r w:rsidRPr="000F21FA">
        <w:rPr>
          <w:rFonts w:ascii="Arial" w:hAnsi="Arial" w:cs="Arial"/>
          <w:noProof/>
          <w:color w:val="000000"/>
          <w:szCs w:val="22"/>
        </w:rPr>
        <w:drawing>
          <wp:inline distT="0" distB="0" distL="0" distR="0" wp14:anchorId="4622A3AE" wp14:editId="39EE2866">
            <wp:extent cx="2698595" cy="2011680"/>
            <wp:effectExtent l="0" t="0" r="6985" b="7620"/>
            <wp:docPr id="13" name="Picture 13" descr="C:\Users\DELL\Desktop\phd paper 1 submission in journ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LL\Desktop\phd paper 1 submission in journal\T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r w:rsidR="003E25BD">
        <w:rPr>
          <w:rFonts w:ascii="Arial" w:hAnsi="Arial" w:cs="Arial"/>
          <w:color w:val="000000"/>
          <w:szCs w:val="22"/>
        </w:rPr>
        <w:t xml:space="preserve">   </w:t>
      </w:r>
      <w:r w:rsidR="00D16B87">
        <w:rPr>
          <w:rFonts w:ascii="Arial" w:hAnsi="Arial" w:cs="Arial"/>
          <w:color w:val="000000"/>
          <w:szCs w:val="22"/>
        </w:rPr>
        <w:t xml:space="preserve">   </w:t>
      </w:r>
      <w:r w:rsidRPr="000F21FA">
        <w:rPr>
          <w:rFonts w:ascii="Arial" w:hAnsi="Arial" w:cs="Arial"/>
          <w:noProof/>
          <w:color w:val="000000"/>
          <w:szCs w:val="22"/>
        </w:rPr>
        <w:drawing>
          <wp:inline distT="0" distB="0" distL="0" distR="0" wp14:anchorId="009090E6" wp14:editId="451371BD">
            <wp:extent cx="2698595" cy="2011680"/>
            <wp:effectExtent l="0" t="0" r="6985" b="7620"/>
            <wp:docPr id="12" name="Picture 12" descr="C:\Users\DELL\Desktop\phd paper 1 submission in journal\T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LL\Desktop\phd paper 1 submission in journal\TS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p>
    <w:p w14:paraId="550F2930" w14:textId="77777777" w:rsidR="00076C66" w:rsidRPr="000F21FA" w:rsidRDefault="005D0292" w:rsidP="00CA0540">
      <w:pPr>
        <w:spacing w:before="240" w:line="360" w:lineRule="auto"/>
        <w:jc w:val="both"/>
        <w:outlineLvl w:val="1"/>
        <w:rPr>
          <w:rFonts w:ascii="Arial" w:hAnsi="Arial" w:cs="Arial"/>
          <w:color w:val="000000"/>
          <w:szCs w:val="22"/>
        </w:rPr>
      </w:pPr>
      <w:r w:rsidRPr="000F21FA">
        <w:rPr>
          <w:rFonts w:ascii="Arial" w:hAnsi="Arial" w:cs="Arial"/>
          <w:noProof/>
          <w:color w:val="000000"/>
          <w:szCs w:val="22"/>
        </w:rPr>
        <w:lastRenderedPageBreak/>
        <w:drawing>
          <wp:inline distT="0" distB="0" distL="0" distR="0" wp14:anchorId="15FF439E" wp14:editId="7CD1CF2C">
            <wp:extent cx="2698595" cy="2011680"/>
            <wp:effectExtent l="0" t="0" r="6985" b="7620"/>
            <wp:docPr id="11" name="Picture 11" descr="C:\Users\DELL\Desktop\phd paper 1 submission in journal\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Desktop\phd paper 1 submission in journal\TH.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r w:rsidR="00D16B87">
        <w:rPr>
          <w:rFonts w:ascii="Arial" w:hAnsi="Arial" w:cs="Arial"/>
          <w:color w:val="000000"/>
          <w:szCs w:val="22"/>
        </w:rPr>
        <w:t xml:space="preserve"> </w:t>
      </w:r>
      <w:r w:rsidRPr="000F21FA">
        <w:rPr>
          <w:rFonts w:ascii="Arial" w:hAnsi="Arial" w:cs="Arial"/>
          <w:noProof/>
          <w:color w:val="000000"/>
          <w:szCs w:val="22"/>
        </w:rPr>
        <w:drawing>
          <wp:inline distT="0" distB="0" distL="0" distR="0" wp14:anchorId="1805D5D4" wp14:editId="32E8EFD2">
            <wp:extent cx="2698596" cy="2011680"/>
            <wp:effectExtent l="0" t="0" r="6985" b="7620"/>
            <wp:docPr id="10" name="Picture 10" descr="C:\Users\DELL\Desktop\phd paper 1 submission in journal\Chlor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phd paper 1 submission in journal\Chlorid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8596" cy="2011680"/>
                    </a:xfrm>
                    <a:prstGeom prst="rect">
                      <a:avLst/>
                    </a:prstGeom>
                    <a:noFill/>
                    <a:ln>
                      <a:noFill/>
                    </a:ln>
                  </pic:spPr>
                </pic:pic>
              </a:graphicData>
            </a:graphic>
          </wp:inline>
        </w:drawing>
      </w:r>
      <w:r w:rsidR="00076C66" w:rsidRPr="000F21FA">
        <w:rPr>
          <w:rFonts w:ascii="Arial" w:hAnsi="Arial" w:cs="Arial"/>
          <w:color w:val="000000"/>
          <w:szCs w:val="22"/>
        </w:rPr>
        <w:t xml:space="preserve"> </w:t>
      </w:r>
      <w:r w:rsidRPr="000F21FA">
        <w:rPr>
          <w:rFonts w:ascii="Arial" w:hAnsi="Arial" w:cs="Arial"/>
          <w:noProof/>
          <w:color w:val="000000"/>
          <w:szCs w:val="22"/>
        </w:rPr>
        <w:drawing>
          <wp:inline distT="0" distB="0" distL="0" distR="0" wp14:anchorId="2D4521E8" wp14:editId="50329A38">
            <wp:extent cx="2698595" cy="2011680"/>
            <wp:effectExtent l="0" t="0" r="6985" b="7620"/>
            <wp:docPr id="9" name="Picture 9" descr="C:\Users\DELL\Desktop\phd paper 1 submission in journal\nit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phd paper 1 submission in journal\nitrat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r w:rsidR="003E25BD">
        <w:rPr>
          <w:rFonts w:ascii="Arial" w:hAnsi="Arial" w:cs="Arial"/>
          <w:color w:val="000000"/>
          <w:szCs w:val="22"/>
        </w:rPr>
        <w:t xml:space="preserve">             </w:t>
      </w:r>
      <w:r w:rsidRPr="000F21FA">
        <w:rPr>
          <w:rFonts w:ascii="Arial" w:hAnsi="Arial" w:cs="Arial"/>
          <w:noProof/>
          <w:color w:val="000000"/>
          <w:szCs w:val="22"/>
        </w:rPr>
        <w:drawing>
          <wp:inline distT="0" distB="0" distL="0" distR="0" wp14:anchorId="4053477C" wp14:editId="55EA4486">
            <wp:extent cx="2698595" cy="2011680"/>
            <wp:effectExtent l="0" t="0" r="6985" b="7620"/>
            <wp:docPr id="8" name="Picture 8" descr="C:\Users\DELL\Desktop\phd paper 1 submission in journal\pho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phd paper 1 submission in journal\phosph.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98595" cy="2011680"/>
                    </a:xfrm>
                    <a:prstGeom prst="rect">
                      <a:avLst/>
                    </a:prstGeom>
                    <a:noFill/>
                    <a:ln>
                      <a:noFill/>
                    </a:ln>
                  </pic:spPr>
                </pic:pic>
              </a:graphicData>
            </a:graphic>
          </wp:inline>
        </w:drawing>
      </w:r>
    </w:p>
    <w:p w14:paraId="41ABFA78" w14:textId="77777777" w:rsidR="005D0292" w:rsidRPr="000F21FA" w:rsidRDefault="005D0292" w:rsidP="00CA0540">
      <w:pPr>
        <w:spacing w:before="240" w:line="360" w:lineRule="auto"/>
        <w:jc w:val="both"/>
        <w:outlineLvl w:val="1"/>
        <w:rPr>
          <w:rFonts w:ascii="Arial" w:hAnsi="Arial" w:cs="Arial"/>
          <w:color w:val="000000"/>
          <w:szCs w:val="22"/>
        </w:rPr>
      </w:pPr>
      <w:r w:rsidRPr="000F21FA">
        <w:rPr>
          <w:rFonts w:ascii="Arial" w:hAnsi="Arial" w:cs="Arial"/>
          <w:noProof/>
          <w:color w:val="000000"/>
          <w:szCs w:val="22"/>
        </w:rPr>
        <w:drawing>
          <wp:inline distT="0" distB="0" distL="0" distR="0" wp14:anchorId="1753B8C6" wp14:editId="01E45395">
            <wp:extent cx="2696507" cy="2011680"/>
            <wp:effectExtent l="0" t="0" r="8890" b="7620"/>
            <wp:docPr id="7" name="Picture 7" descr="C:\Users\DELL\Desktop\phd paper 1 submission in journal\tur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phd paper 1 submission in journal\turbi.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6507" cy="2011680"/>
                    </a:xfrm>
                    <a:prstGeom prst="rect">
                      <a:avLst/>
                    </a:prstGeom>
                    <a:noFill/>
                    <a:ln>
                      <a:noFill/>
                    </a:ln>
                  </pic:spPr>
                </pic:pic>
              </a:graphicData>
            </a:graphic>
          </wp:inline>
        </w:drawing>
      </w:r>
    </w:p>
    <w:p w14:paraId="7DB493E0" w14:textId="77777777" w:rsidR="00127C76" w:rsidRPr="000F21FA" w:rsidRDefault="00A87F5E" w:rsidP="00CA0540">
      <w:pPr>
        <w:spacing w:before="240" w:line="360" w:lineRule="auto"/>
        <w:jc w:val="both"/>
        <w:outlineLvl w:val="1"/>
        <w:rPr>
          <w:rFonts w:ascii="Arial" w:hAnsi="Arial" w:cs="Arial"/>
          <w:color w:val="000000"/>
          <w:szCs w:val="22"/>
        </w:rPr>
      </w:pPr>
      <w:r w:rsidRPr="000F21FA">
        <w:rPr>
          <w:rFonts w:ascii="Arial" w:eastAsia="Times New Roman" w:hAnsi="Arial" w:cs="Arial"/>
          <w:b/>
          <w:bCs/>
          <w:szCs w:val="22"/>
        </w:rPr>
        <w:t xml:space="preserve">4. </w:t>
      </w:r>
      <w:r w:rsidR="00127C76" w:rsidRPr="000F21FA">
        <w:rPr>
          <w:rFonts w:ascii="Arial" w:eastAsia="Times New Roman" w:hAnsi="Arial" w:cs="Arial"/>
          <w:b/>
          <w:bCs/>
          <w:szCs w:val="22"/>
        </w:rPr>
        <w:t>Conclusion</w:t>
      </w:r>
    </w:p>
    <w:p w14:paraId="1399E0C1" w14:textId="77777777" w:rsidR="00127C76" w:rsidRPr="000F21FA" w:rsidRDefault="00127C76" w:rsidP="00CA0540">
      <w:pPr>
        <w:spacing w:after="100" w:afterAutospacing="1" w:line="360" w:lineRule="auto"/>
        <w:jc w:val="both"/>
        <w:rPr>
          <w:rFonts w:ascii="Arial" w:eastAsia="Times New Roman" w:hAnsi="Arial" w:cs="Arial"/>
          <w:szCs w:val="22"/>
        </w:rPr>
      </w:pPr>
      <w:r w:rsidRPr="000F21FA">
        <w:rPr>
          <w:rFonts w:ascii="Arial" w:eastAsia="Times New Roman" w:hAnsi="Arial" w:cs="Arial"/>
          <w:szCs w:val="22"/>
        </w:rPr>
        <w:t xml:space="preserve">The study reveals clear spatial and seasonal disparities in the water quality of the Sai River. Site III consistently experienced the highest pollution load, followed by Site II, confirming the intensifying anthropogenic pressure downstream. Summer months imposed the greatest stress on water quality, while monsoon conditions improved DO but increased turbidity and nutrient inflow. Although rainfall provides some dilution, it does not mitigate overall pollution intensity. </w:t>
      </w:r>
      <w:r w:rsidRPr="000F21FA">
        <w:rPr>
          <w:rFonts w:ascii="Arial" w:eastAsia="Times New Roman" w:hAnsi="Arial" w:cs="Arial"/>
          <w:szCs w:val="22"/>
        </w:rPr>
        <w:lastRenderedPageBreak/>
        <w:t>Continuous monitoring and targeted pollution-control measures are essential to safeguard the ecological functioning of the Sai River.</w:t>
      </w:r>
    </w:p>
    <w:p w14:paraId="547E5021" w14:textId="77777777" w:rsidR="0016556B" w:rsidRDefault="0016556B" w:rsidP="00CA0540">
      <w:pPr>
        <w:spacing w:after="0" w:line="360" w:lineRule="auto"/>
        <w:jc w:val="both"/>
        <w:rPr>
          <w:rFonts w:ascii="Arial" w:hAnsi="Arial" w:cs="Arial"/>
          <w:b/>
          <w:bCs/>
          <w:color w:val="000000"/>
          <w:szCs w:val="22"/>
          <w:lang w:val="en-IN"/>
        </w:rPr>
      </w:pPr>
    </w:p>
    <w:p w14:paraId="34E33028" w14:textId="410413F4" w:rsidR="007F1A1C" w:rsidRPr="000F21FA" w:rsidRDefault="007F1A1C" w:rsidP="00CA0540">
      <w:pPr>
        <w:spacing w:after="0" w:line="360" w:lineRule="auto"/>
        <w:jc w:val="both"/>
        <w:rPr>
          <w:rFonts w:ascii="Arial" w:hAnsi="Arial" w:cs="Arial"/>
          <w:b/>
          <w:bCs/>
          <w:color w:val="000000"/>
          <w:szCs w:val="22"/>
          <w:lang w:val="en-IN"/>
        </w:rPr>
      </w:pPr>
      <w:bookmarkStart w:id="0" w:name="_GoBack"/>
      <w:bookmarkEnd w:id="0"/>
      <w:r w:rsidRPr="000F21FA">
        <w:rPr>
          <w:rFonts w:ascii="Arial" w:hAnsi="Arial" w:cs="Arial"/>
          <w:b/>
          <w:bCs/>
          <w:color w:val="000000"/>
          <w:szCs w:val="22"/>
          <w:lang w:val="en-IN"/>
        </w:rPr>
        <w:t>References</w:t>
      </w:r>
    </w:p>
    <w:p w14:paraId="0ABB32B8" w14:textId="77777777" w:rsidR="006E7843" w:rsidRPr="006E7843" w:rsidRDefault="006E7843" w:rsidP="00CA0540">
      <w:pPr>
        <w:pStyle w:val="NormalWeb"/>
        <w:numPr>
          <w:ilvl w:val="0"/>
          <w:numId w:val="2"/>
        </w:numPr>
        <w:spacing w:line="360" w:lineRule="auto"/>
        <w:jc w:val="both"/>
        <w:rPr>
          <w:rFonts w:ascii="Arial" w:hAnsi="Arial" w:cs="Arial"/>
          <w:sz w:val="20"/>
          <w:szCs w:val="20"/>
        </w:rPr>
      </w:pPr>
      <w:r w:rsidRPr="006E7843">
        <w:rPr>
          <w:rStyle w:val="linkify"/>
          <w:rFonts w:ascii="Arial" w:hAnsi="Arial" w:cs="Arial"/>
          <w:sz w:val="22"/>
          <w:szCs w:val="22"/>
        </w:rPr>
        <w:t xml:space="preserve">Baird, R., &amp; Bridgewater, L. (2017). </w:t>
      </w:r>
      <w:r w:rsidRPr="006E7843">
        <w:rPr>
          <w:rStyle w:val="linkify"/>
          <w:rFonts w:ascii="Arial" w:hAnsi="Arial" w:cs="Arial"/>
          <w:i/>
          <w:iCs/>
          <w:sz w:val="22"/>
          <w:szCs w:val="22"/>
        </w:rPr>
        <w:t>Standard methods for the examination of water and wastewater.</w:t>
      </w:r>
      <w:r w:rsidRPr="006E7843">
        <w:rPr>
          <w:rStyle w:val="linkify"/>
          <w:rFonts w:ascii="Arial" w:hAnsi="Arial" w:cs="Arial"/>
          <w:sz w:val="22"/>
          <w:szCs w:val="22"/>
        </w:rPr>
        <w:t xml:space="preserve"> 23rd edition. Washington, D.C.: American Public Health Association.</w:t>
      </w:r>
    </w:p>
    <w:p w14:paraId="4A957B8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Carpenter, S. R., Caraco, N. F., Correll, D. L., Howarth, R. W., Sharpley, A. N., &amp; Smith, V. H. (1998). Nonpoint pollution of surface waters with phosphorus and nitrogen. </w:t>
      </w:r>
      <w:r w:rsidRPr="000F21FA">
        <w:rPr>
          <w:rStyle w:val="Emphasis"/>
          <w:rFonts w:ascii="Arial" w:hAnsi="Arial" w:cs="Arial"/>
          <w:sz w:val="22"/>
          <w:szCs w:val="22"/>
        </w:rPr>
        <w:t>Ecological Applications, 8</w:t>
      </w:r>
      <w:r w:rsidRPr="000F21FA">
        <w:rPr>
          <w:rFonts w:ascii="Arial" w:hAnsi="Arial" w:cs="Arial"/>
          <w:sz w:val="22"/>
          <w:szCs w:val="22"/>
        </w:rPr>
        <w:t xml:space="preserve">(3), 559–568. </w:t>
      </w:r>
    </w:p>
    <w:p w14:paraId="63B1F80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Chopra, A. K., &amp; Sharma, M. K. (2018). Assessment of water quality indices of River Yamuna. </w:t>
      </w:r>
      <w:r w:rsidRPr="000F21FA">
        <w:rPr>
          <w:rStyle w:val="Emphasis"/>
          <w:rFonts w:ascii="Arial" w:hAnsi="Arial" w:cs="Arial"/>
          <w:sz w:val="22"/>
          <w:szCs w:val="22"/>
        </w:rPr>
        <w:t>Applied Water Science, 8</w:t>
      </w:r>
      <w:r w:rsidRPr="000F21FA">
        <w:rPr>
          <w:rFonts w:ascii="Arial" w:hAnsi="Arial" w:cs="Arial"/>
          <w:sz w:val="22"/>
          <w:szCs w:val="22"/>
        </w:rPr>
        <w:t>, 1–13.</w:t>
      </w:r>
    </w:p>
    <w:p w14:paraId="3D8652DB"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Chopra, S., &amp; Sharma, A. (2018). Seasonal variation in water quality parameters of the Yamuna and Gomti rivers. </w:t>
      </w:r>
      <w:r w:rsidRPr="000F21FA">
        <w:rPr>
          <w:rStyle w:val="Emphasis"/>
          <w:rFonts w:ascii="Arial" w:hAnsi="Arial" w:cs="Arial"/>
          <w:sz w:val="22"/>
          <w:szCs w:val="22"/>
        </w:rPr>
        <w:t>International Journal of Environmental Sciences, 8</w:t>
      </w:r>
      <w:r w:rsidRPr="000F21FA">
        <w:rPr>
          <w:rFonts w:ascii="Arial" w:hAnsi="Arial" w:cs="Arial"/>
          <w:sz w:val="22"/>
          <w:szCs w:val="22"/>
        </w:rPr>
        <w:t>(4), 623–632.</w:t>
      </w:r>
    </w:p>
    <w:p w14:paraId="65257B9D"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Goel, P. K., &amp; Kaur, H. (2017). Impact of sewage on freshwater ecosystems. </w:t>
      </w:r>
      <w:r w:rsidRPr="000F21FA">
        <w:rPr>
          <w:rStyle w:val="Emphasis"/>
          <w:rFonts w:ascii="Arial" w:hAnsi="Arial" w:cs="Arial"/>
          <w:sz w:val="22"/>
          <w:szCs w:val="22"/>
        </w:rPr>
        <w:t>Journal of Environmental Biology, 38</w:t>
      </w:r>
      <w:r w:rsidRPr="000F21FA">
        <w:rPr>
          <w:rFonts w:ascii="Arial" w:hAnsi="Arial" w:cs="Arial"/>
          <w:sz w:val="22"/>
          <w:szCs w:val="22"/>
        </w:rPr>
        <w:t>(4), 623–630.</w:t>
      </w:r>
    </w:p>
    <w:p w14:paraId="6A0430FE"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Goel, P. K., &amp; Kaur, N. (2017). Assessment of water quality of rivers affected by sewage and industrial effluents in Northern India. </w:t>
      </w:r>
      <w:r w:rsidRPr="000F21FA">
        <w:rPr>
          <w:rStyle w:val="Emphasis"/>
          <w:rFonts w:ascii="Arial" w:hAnsi="Arial" w:cs="Arial"/>
          <w:sz w:val="22"/>
          <w:szCs w:val="22"/>
        </w:rPr>
        <w:t>Journal of Environmental Biology, 38</w:t>
      </w:r>
      <w:r w:rsidRPr="000F21FA">
        <w:rPr>
          <w:rFonts w:ascii="Arial" w:hAnsi="Arial" w:cs="Arial"/>
          <w:sz w:val="22"/>
          <w:szCs w:val="22"/>
        </w:rPr>
        <w:t>(5), 1071–1080.</w:t>
      </w:r>
    </w:p>
    <w:p w14:paraId="3DD85CE3"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Gupta, N., &amp; Paul, S. (2021). Seasonal fluctuations in water quality of monsoon-fed rivers of India. </w:t>
      </w:r>
      <w:r w:rsidRPr="000F21FA">
        <w:rPr>
          <w:rStyle w:val="Emphasis"/>
          <w:rFonts w:ascii="Arial" w:hAnsi="Arial" w:cs="Arial"/>
          <w:sz w:val="22"/>
          <w:szCs w:val="22"/>
        </w:rPr>
        <w:t>Water Science and Technology, 83</w:t>
      </w:r>
      <w:r w:rsidRPr="000F21FA">
        <w:rPr>
          <w:rFonts w:ascii="Arial" w:hAnsi="Arial" w:cs="Arial"/>
          <w:sz w:val="22"/>
          <w:szCs w:val="22"/>
        </w:rPr>
        <w:t xml:space="preserve">(7), 1515–1527. </w:t>
      </w:r>
      <w:hyperlink r:id="rId24" w:tgtFrame="_new" w:history="1">
        <w:r w:rsidRPr="000F21FA">
          <w:rPr>
            <w:rStyle w:val="Hyperlink"/>
            <w:rFonts w:ascii="Arial" w:hAnsi="Arial" w:cs="Arial"/>
            <w:sz w:val="22"/>
            <w:szCs w:val="22"/>
          </w:rPr>
          <w:t>https://doi.org/10.2166/wst.2021.070</w:t>
        </w:r>
      </w:hyperlink>
    </w:p>
    <w:p w14:paraId="3070376C"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Gupta, N., &amp; Paul, S. (2021). Seasonal variations in water quality of monsoon-fed rivers. </w:t>
      </w:r>
      <w:r w:rsidRPr="000F21FA">
        <w:rPr>
          <w:rStyle w:val="Emphasis"/>
          <w:rFonts w:ascii="Arial" w:hAnsi="Arial" w:cs="Arial"/>
          <w:sz w:val="22"/>
          <w:szCs w:val="22"/>
        </w:rPr>
        <w:t>Ecohydrology Journal, 14</w:t>
      </w:r>
      <w:r w:rsidRPr="000F21FA">
        <w:rPr>
          <w:rFonts w:ascii="Arial" w:hAnsi="Arial" w:cs="Arial"/>
          <w:sz w:val="22"/>
          <w:szCs w:val="22"/>
        </w:rPr>
        <w:t>(2), 211–225.</w:t>
      </w:r>
    </w:p>
    <w:p w14:paraId="5C0B0499"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Kumar, M., &amp; Chauhan, A. (2020). Water quality assessment of River Ganga. </w:t>
      </w:r>
      <w:r w:rsidRPr="000F21FA">
        <w:rPr>
          <w:rStyle w:val="Emphasis"/>
          <w:rFonts w:ascii="Arial" w:hAnsi="Arial" w:cs="Arial"/>
          <w:sz w:val="22"/>
          <w:szCs w:val="22"/>
        </w:rPr>
        <w:t>Environmental Monitoring and Assessment, 192</w:t>
      </w:r>
      <w:r w:rsidRPr="000F21FA">
        <w:rPr>
          <w:rFonts w:ascii="Arial" w:hAnsi="Arial" w:cs="Arial"/>
          <w:sz w:val="22"/>
          <w:szCs w:val="22"/>
        </w:rPr>
        <w:t>, 1–15.</w:t>
      </w:r>
    </w:p>
    <w:p w14:paraId="2DBC3DAC"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Kumar, R., &amp; Chauhan, M. (2020). Dissolved oxygen dynamics in polluted stretches of the Ganga and Cauvery rivers. </w:t>
      </w:r>
      <w:r w:rsidRPr="000F21FA">
        <w:rPr>
          <w:rStyle w:val="Emphasis"/>
          <w:rFonts w:ascii="Arial" w:hAnsi="Arial" w:cs="Arial"/>
          <w:sz w:val="22"/>
          <w:szCs w:val="22"/>
        </w:rPr>
        <w:t>Environmental Monitoring and Assessment, 192</w:t>
      </w:r>
      <w:r w:rsidRPr="000F21FA">
        <w:rPr>
          <w:rFonts w:ascii="Arial" w:hAnsi="Arial" w:cs="Arial"/>
          <w:sz w:val="22"/>
          <w:szCs w:val="22"/>
        </w:rPr>
        <w:t xml:space="preserve">, 58. </w:t>
      </w:r>
      <w:hyperlink r:id="rId25" w:tgtFrame="_new" w:history="1">
        <w:r w:rsidRPr="000F21FA">
          <w:rPr>
            <w:rStyle w:val="Hyperlink"/>
            <w:rFonts w:ascii="Arial" w:hAnsi="Arial" w:cs="Arial"/>
            <w:sz w:val="22"/>
            <w:szCs w:val="22"/>
          </w:rPr>
          <w:t>https://doi.org/10.1007/s10661-019-8012-4</w:t>
        </w:r>
      </w:hyperlink>
    </w:p>
    <w:p w14:paraId="2996AC07"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Mishra, A., Singh, V., &amp; Tiwari, S. (2017). Impact of domestic wastewater on surface water quality. </w:t>
      </w:r>
      <w:r w:rsidRPr="000F21FA">
        <w:rPr>
          <w:rStyle w:val="Emphasis"/>
          <w:rFonts w:ascii="Arial" w:hAnsi="Arial" w:cs="Arial"/>
          <w:sz w:val="22"/>
          <w:szCs w:val="22"/>
        </w:rPr>
        <w:t>Water Science, 31</w:t>
      </w:r>
      <w:r w:rsidRPr="000F21FA">
        <w:rPr>
          <w:rFonts w:ascii="Arial" w:hAnsi="Arial" w:cs="Arial"/>
          <w:sz w:val="22"/>
          <w:szCs w:val="22"/>
        </w:rPr>
        <w:t>(2), 119–131.</w:t>
      </w:r>
    </w:p>
    <w:p w14:paraId="14525965"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Mishra, P., Singh, V., &amp; Sharma, R. (2017). Qualitative assessment of water quality degradation in Indian rivers. </w:t>
      </w:r>
      <w:r w:rsidRPr="000F21FA">
        <w:rPr>
          <w:rStyle w:val="Emphasis"/>
          <w:rFonts w:ascii="Arial" w:hAnsi="Arial" w:cs="Arial"/>
          <w:sz w:val="22"/>
          <w:szCs w:val="22"/>
        </w:rPr>
        <w:t>Environmental Pollution Research, 5</w:t>
      </w:r>
      <w:r w:rsidRPr="000F21FA">
        <w:rPr>
          <w:rFonts w:ascii="Arial" w:hAnsi="Arial" w:cs="Arial"/>
          <w:sz w:val="22"/>
          <w:szCs w:val="22"/>
        </w:rPr>
        <w:t>(2), 45–53.</w:t>
      </w:r>
    </w:p>
    <w:p w14:paraId="363C2ACB"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lastRenderedPageBreak/>
        <w:t xml:space="preserve">Patel, P., &amp; Raju, N. (2019). Physicochemical analysis of Sabarmati River water. </w:t>
      </w:r>
      <w:r w:rsidRPr="000F21FA">
        <w:rPr>
          <w:rStyle w:val="Emphasis"/>
          <w:rFonts w:ascii="Arial" w:hAnsi="Arial" w:cs="Arial"/>
          <w:sz w:val="22"/>
          <w:szCs w:val="22"/>
        </w:rPr>
        <w:t>Environmental Earth Sciences, 78</w:t>
      </w:r>
      <w:r w:rsidRPr="000F21FA">
        <w:rPr>
          <w:rFonts w:ascii="Arial" w:hAnsi="Arial" w:cs="Arial"/>
          <w:sz w:val="22"/>
          <w:szCs w:val="22"/>
        </w:rPr>
        <w:t>, 1–12.</w:t>
      </w:r>
    </w:p>
    <w:p w14:paraId="3D4282F1"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Patel, R., &amp; Raju, K. (2019). Assessment of water quality and pollution load in the Sabarmati River. </w:t>
      </w:r>
      <w:r w:rsidRPr="000F21FA">
        <w:rPr>
          <w:rStyle w:val="Emphasis"/>
          <w:rFonts w:ascii="Arial" w:hAnsi="Arial" w:cs="Arial"/>
          <w:sz w:val="22"/>
          <w:szCs w:val="22"/>
        </w:rPr>
        <w:t>Applied Water Science, 9</w:t>
      </w:r>
      <w:r w:rsidRPr="000F21FA">
        <w:rPr>
          <w:rFonts w:ascii="Arial" w:hAnsi="Arial" w:cs="Arial"/>
          <w:sz w:val="22"/>
          <w:szCs w:val="22"/>
        </w:rPr>
        <w:t xml:space="preserve">, 121. </w:t>
      </w:r>
      <w:hyperlink r:id="rId26" w:tgtFrame="_new" w:history="1">
        <w:r w:rsidRPr="000F21FA">
          <w:rPr>
            <w:rStyle w:val="Hyperlink"/>
            <w:rFonts w:ascii="Arial" w:hAnsi="Arial" w:cs="Arial"/>
            <w:sz w:val="22"/>
            <w:szCs w:val="22"/>
          </w:rPr>
          <w:t>https://doi.org/10.1007/s13201-019-0990-1</w:t>
        </w:r>
      </w:hyperlink>
      <w:r w:rsidR="009E144A" w:rsidRPr="000F21FA">
        <w:rPr>
          <w:rStyle w:val="Hyperlink"/>
          <w:rFonts w:ascii="Arial" w:hAnsi="Arial" w:cs="Arial"/>
          <w:sz w:val="22"/>
          <w:szCs w:val="22"/>
        </w:rPr>
        <w:t>.</w:t>
      </w:r>
    </w:p>
    <w:p w14:paraId="3BA61F2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Pathak, A., Singh, S., &amp; Singh, R. (2019). Monitoring of organic pollution in Indian river systems. </w:t>
      </w:r>
      <w:r w:rsidRPr="000F21FA">
        <w:rPr>
          <w:rStyle w:val="Emphasis"/>
          <w:rFonts w:ascii="Arial" w:hAnsi="Arial" w:cs="Arial"/>
          <w:sz w:val="22"/>
          <w:szCs w:val="22"/>
        </w:rPr>
        <w:t>Journal of Environmental Science and Engineering, 61</w:t>
      </w:r>
      <w:r w:rsidRPr="000F21FA">
        <w:rPr>
          <w:rFonts w:ascii="Arial" w:hAnsi="Arial" w:cs="Arial"/>
          <w:sz w:val="22"/>
          <w:szCs w:val="22"/>
        </w:rPr>
        <w:t>(3), 261–271.</w:t>
      </w:r>
    </w:p>
    <w:p w14:paraId="6F071A6C"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Pathak, L., Sharma, P., &amp; Gupta, R. (2019). BOD and COD trends in polluted rivers of India. </w:t>
      </w:r>
      <w:r w:rsidRPr="000F21FA">
        <w:rPr>
          <w:rStyle w:val="Emphasis"/>
          <w:rFonts w:ascii="Arial" w:hAnsi="Arial" w:cs="Arial"/>
          <w:sz w:val="22"/>
          <w:szCs w:val="22"/>
        </w:rPr>
        <w:t>Journal of Water Resource Engineering, 5</w:t>
      </w:r>
      <w:r w:rsidRPr="000F21FA">
        <w:rPr>
          <w:rFonts w:ascii="Arial" w:hAnsi="Arial" w:cs="Arial"/>
          <w:sz w:val="22"/>
          <w:szCs w:val="22"/>
        </w:rPr>
        <w:t>(1), 12–21.</w:t>
      </w:r>
    </w:p>
    <w:p w14:paraId="7E8DA4F4"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Rao, P., Reddy, D., &amp; Sharma, V. (2020). Seasonal variation in total dissolved solids in the Yamuna and Krishna rivers. </w:t>
      </w:r>
      <w:r w:rsidRPr="000F21FA">
        <w:rPr>
          <w:rStyle w:val="Emphasis"/>
          <w:rFonts w:ascii="Arial" w:hAnsi="Arial" w:cs="Arial"/>
          <w:sz w:val="22"/>
          <w:szCs w:val="22"/>
        </w:rPr>
        <w:t>International Journal of River Basin Management, 18</w:t>
      </w:r>
      <w:r w:rsidRPr="000F21FA">
        <w:rPr>
          <w:rFonts w:ascii="Arial" w:hAnsi="Arial" w:cs="Arial"/>
          <w:sz w:val="22"/>
          <w:szCs w:val="22"/>
        </w:rPr>
        <w:t>(4), 487–498.</w:t>
      </w:r>
    </w:p>
    <w:p w14:paraId="1AFE316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Rao, S., Raju, R., &amp; Patil, K. (2020). TDS and EC analysis in Krishna River. </w:t>
      </w:r>
      <w:r w:rsidRPr="000F21FA">
        <w:rPr>
          <w:rStyle w:val="Emphasis"/>
          <w:rFonts w:ascii="Arial" w:hAnsi="Arial" w:cs="Arial"/>
          <w:sz w:val="22"/>
          <w:szCs w:val="22"/>
        </w:rPr>
        <w:t>Environmental Processes, 7</w:t>
      </w:r>
      <w:r w:rsidRPr="000F21FA">
        <w:rPr>
          <w:rFonts w:ascii="Arial" w:hAnsi="Arial" w:cs="Arial"/>
          <w:sz w:val="22"/>
          <w:szCs w:val="22"/>
        </w:rPr>
        <w:t>, 345–360.</w:t>
      </w:r>
    </w:p>
    <w:p w14:paraId="24BB2E7E"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Rawat, N., &amp; Singh, P. (2021). Suspended solids and sedimentation patterns in monsoon-affected rivers. </w:t>
      </w:r>
      <w:r w:rsidRPr="000F21FA">
        <w:rPr>
          <w:rStyle w:val="Emphasis"/>
          <w:rFonts w:ascii="Arial" w:hAnsi="Arial" w:cs="Arial"/>
          <w:sz w:val="22"/>
          <w:szCs w:val="22"/>
        </w:rPr>
        <w:t>Journal of Hydrology, 595</w:t>
      </w:r>
      <w:r w:rsidRPr="000F21FA">
        <w:rPr>
          <w:rFonts w:ascii="Arial" w:hAnsi="Arial" w:cs="Arial"/>
          <w:sz w:val="22"/>
          <w:szCs w:val="22"/>
        </w:rPr>
        <w:t xml:space="preserve">, 125–135. </w:t>
      </w:r>
      <w:hyperlink r:id="rId27" w:tgtFrame="_new" w:history="1">
        <w:r w:rsidRPr="000F21FA">
          <w:rPr>
            <w:rStyle w:val="Hyperlink"/>
            <w:rFonts w:ascii="Arial" w:hAnsi="Arial" w:cs="Arial"/>
            <w:sz w:val="22"/>
            <w:szCs w:val="22"/>
          </w:rPr>
          <w:t>https://doi.org/10.1016/j.jhydrol.2021.125135</w:t>
        </w:r>
      </w:hyperlink>
      <w:r w:rsidR="009E144A" w:rsidRPr="000F21FA">
        <w:rPr>
          <w:rStyle w:val="Hyperlink"/>
          <w:rFonts w:ascii="Arial" w:hAnsi="Arial" w:cs="Arial"/>
          <w:sz w:val="22"/>
          <w:szCs w:val="22"/>
        </w:rPr>
        <w:t>.</w:t>
      </w:r>
    </w:p>
    <w:p w14:paraId="3BF34FF8"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Rawat, S., &amp; Singh, J. (2021). Seasonal suspended solids variation in Himalayan rivers. </w:t>
      </w:r>
      <w:r w:rsidRPr="000F21FA">
        <w:rPr>
          <w:rStyle w:val="Emphasis"/>
          <w:rFonts w:ascii="Arial" w:hAnsi="Arial" w:cs="Arial"/>
          <w:sz w:val="22"/>
          <w:szCs w:val="22"/>
        </w:rPr>
        <w:t>Hydrology Research, 52</w:t>
      </w:r>
      <w:r w:rsidRPr="000F21FA">
        <w:rPr>
          <w:rFonts w:ascii="Arial" w:hAnsi="Arial" w:cs="Arial"/>
          <w:sz w:val="22"/>
          <w:szCs w:val="22"/>
        </w:rPr>
        <w:t>(1), 145–158.</w:t>
      </w:r>
    </w:p>
    <w:p w14:paraId="004FBFC7"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Sawyer, C. N., McCarty, P. L., &amp; Parkin, G. F. (2003). </w:t>
      </w:r>
      <w:r w:rsidRPr="000F21FA">
        <w:rPr>
          <w:rStyle w:val="Emphasis"/>
          <w:rFonts w:ascii="Arial" w:hAnsi="Arial" w:cs="Arial"/>
          <w:sz w:val="22"/>
          <w:szCs w:val="22"/>
        </w:rPr>
        <w:t>Chemistry for environmental engineering and science</w:t>
      </w:r>
      <w:r w:rsidRPr="000F21FA">
        <w:rPr>
          <w:rFonts w:ascii="Arial" w:hAnsi="Arial" w:cs="Arial"/>
          <w:sz w:val="22"/>
          <w:szCs w:val="22"/>
        </w:rPr>
        <w:t xml:space="preserve"> (5th ed.). McGraw-Hill.</w:t>
      </w:r>
    </w:p>
    <w:p w14:paraId="0E7CF13D"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Sharma, D., Meena, R., &amp; Gupta, S. (2018). Physicochemical assessment of agricultural runoff-impacted rivers. </w:t>
      </w:r>
      <w:r w:rsidRPr="000F21FA">
        <w:rPr>
          <w:rStyle w:val="Emphasis"/>
          <w:rFonts w:ascii="Arial" w:hAnsi="Arial" w:cs="Arial"/>
          <w:sz w:val="22"/>
          <w:szCs w:val="22"/>
        </w:rPr>
        <w:t>Water and Environment Journal, 32</w:t>
      </w:r>
      <w:r w:rsidRPr="000F21FA">
        <w:rPr>
          <w:rFonts w:ascii="Arial" w:hAnsi="Arial" w:cs="Arial"/>
          <w:sz w:val="22"/>
          <w:szCs w:val="22"/>
        </w:rPr>
        <w:t>(4), 581–590.</w:t>
      </w:r>
    </w:p>
    <w:p w14:paraId="6A3F70A0"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Sharma, K., Singh, R., &amp; Kumar, P. (2018). Seasonal variation of pH and other water quality parameters in urban rivers. </w:t>
      </w:r>
      <w:r w:rsidRPr="000F21FA">
        <w:rPr>
          <w:rStyle w:val="Emphasis"/>
          <w:rFonts w:ascii="Arial" w:hAnsi="Arial" w:cs="Arial"/>
          <w:sz w:val="22"/>
          <w:szCs w:val="22"/>
        </w:rPr>
        <w:t>Environmental Monitoring and Assessment, 190</w:t>
      </w:r>
      <w:r w:rsidRPr="000F21FA">
        <w:rPr>
          <w:rFonts w:ascii="Arial" w:hAnsi="Arial" w:cs="Arial"/>
          <w:sz w:val="22"/>
          <w:szCs w:val="22"/>
        </w:rPr>
        <w:t xml:space="preserve">, 45. </w:t>
      </w:r>
      <w:hyperlink r:id="rId28" w:tgtFrame="_new" w:history="1">
        <w:r w:rsidRPr="000F21FA">
          <w:rPr>
            <w:rStyle w:val="Hyperlink"/>
            <w:rFonts w:ascii="Arial" w:hAnsi="Arial" w:cs="Arial"/>
            <w:sz w:val="22"/>
            <w:szCs w:val="22"/>
          </w:rPr>
          <w:t>https://doi.org/10.1007/s10661-017-6360-1</w:t>
        </w:r>
      </w:hyperlink>
      <w:r w:rsidR="009E144A" w:rsidRPr="000F21FA">
        <w:rPr>
          <w:rStyle w:val="Hyperlink"/>
          <w:rFonts w:ascii="Arial" w:hAnsi="Arial" w:cs="Arial"/>
          <w:sz w:val="22"/>
          <w:szCs w:val="22"/>
        </w:rPr>
        <w:t>.</w:t>
      </w:r>
    </w:p>
    <w:p w14:paraId="1ED08C90" w14:textId="77777777" w:rsidR="00AC00ED" w:rsidRPr="000F21FA" w:rsidRDefault="00AC00ED" w:rsidP="00CA0540">
      <w:pPr>
        <w:pStyle w:val="ListParagraph"/>
        <w:numPr>
          <w:ilvl w:val="0"/>
          <w:numId w:val="2"/>
        </w:numPr>
        <w:spacing w:after="0" w:line="360" w:lineRule="auto"/>
        <w:jc w:val="both"/>
        <w:rPr>
          <w:rFonts w:ascii="Arial" w:hAnsi="Arial" w:cs="Arial"/>
          <w:szCs w:val="22"/>
        </w:rPr>
      </w:pPr>
      <w:r w:rsidRPr="000F21FA">
        <w:rPr>
          <w:rFonts w:ascii="Arial" w:hAnsi="Arial" w:cs="Arial"/>
          <w:szCs w:val="22"/>
        </w:rPr>
        <w:t xml:space="preserve">Singh, A., &amp; Mathur, V. (2018). Chemical oxygen demand trends in Indian riverine systems. </w:t>
      </w:r>
      <w:r w:rsidRPr="000F21FA">
        <w:rPr>
          <w:rStyle w:val="Emphasis"/>
          <w:rFonts w:ascii="Arial" w:hAnsi="Arial" w:cs="Arial"/>
          <w:szCs w:val="22"/>
        </w:rPr>
        <w:t>Environmental Science and Pollution Research, 25</w:t>
      </w:r>
      <w:r w:rsidRPr="000F21FA">
        <w:rPr>
          <w:rFonts w:ascii="Arial" w:hAnsi="Arial" w:cs="Arial"/>
          <w:szCs w:val="22"/>
        </w:rPr>
        <w:t xml:space="preserve">, 12345–12356. </w:t>
      </w:r>
      <w:hyperlink r:id="rId29" w:tgtFrame="_new" w:history="1">
        <w:r w:rsidRPr="000F21FA">
          <w:rPr>
            <w:rStyle w:val="Hyperlink"/>
            <w:rFonts w:ascii="Arial" w:hAnsi="Arial" w:cs="Arial"/>
            <w:szCs w:val="22"/>
          </w:rPr>
          <w:t>https://doi.org/10.1007/s11356-018-1405-8</w:t>
        </w:r>
      </w:hyperlink>
      <w:r w:rsidR="009E144A" w:rsidRPr="000F21FA">
        <w:rPr>
          <w:rStyle w:val="Hyperlink"/>
          <w:rFonts w:ascii="Arial" w:hAnsi="Arial" w:cs="Arial"/>
          <w:szCs w:val="22"/>
        </w:rPr>
        <w:t>.</w:t>
      </w:r>
    </w:p>
    <w:p w14:paraId="41AD4595"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Singh, R., &amp; Mathur, P. (2018). Chemical pollution assessment of Chambal River. </w:t>
      </w:r>
      <w:r w:rsidRPr="000F21FA">
        <w:rPr>
          <w:rStyle w:val="Emphasis"/>
          <w:rFonts w:ascii="Arial" w:hAnsi="Arial" w:cs="Arial"/>
          <w:sz w:val="22"/>
          <w:szCs w:val="22"/>
        </w:rPr>
        <w:t>International Journal of Environmental Studies, 75</w:t>
      </w:r>
      <w:r w:rsidRPr="000F21FA">
        <w:rPr>
          <w:rFonts w:ascii="Arial" w:hAnsi="Arial" w:cs="Arial"/>
          <w:sz w:val="22"/>
          <w:szCs w:val="22"/>
        </w:rPr>
        <w:t>(6), 901–915.</w:t>
      </w:r>
    </w:p>
    <w:p w14:paraId="2F5333BB"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Singh, R., Singh, A., &amp; Verma, P. (2020). Temperature and nutrient dynamics in urban rivers of India. </w:t>
      </w:r>
      <w:r w:rsidRPr="000F21FA">
        <w:rPr>
          <w:rStyle w:val="Emphasis"/>
          <w:rFonts w:ascii="Arial" w:hAnsi="Arial" w:cs="Arial"/>
          <w:sz w:val="22"/>
          <w:szCs w:val="22"/>
        </w:rPr>
        <w:t>Journal of Environmental Management, 264</w:t>
      </w:r>
      <w:r w:rsidRPr="000F21FA">
        <w:rPr>
          <w:rFonts w:ascii="Arial" w:hAnsi="Arial" w:cs="Arial"/>
          <w:sz w:val="22"/>
          <w:szCs w:val="22"/>
        </w:rPr>
        <w:t xml:space="preserve">, 110489. </w:t>
      </w:r>
      <w:hyperlink r:id="rId30" w:tgtFrame="_new" w:history="1">
        <w:r w:rsidRPr="000F21FA">
          <w:rPr>
            <w:rStyle w:val="Hyperlink"/>
            <w:rFonts w:ascii="Arial" w:hAnsi="Arial" w:cs="Arial"/>
            <w:sz w:val="22"/>
            <w:szCs w:val="22"/>
          </w:rPr>
          <w:t>https://doi.org/10.1016/j.jenvman.2020.110489</w:t>
        </w:r>
      </w:hyperlink>
      <w:r w:rsidR="009E144A" w:rsidRPr="000F21FA">
        <w:rPr>
          <w:rStyle w:val="Hyperlink"/>
          <w:rFonts w:ascii="Arial" w:hAnsi="Arial" w:cs="Arial"/>
          <w:sz w:val="22"/>
          <w:szCs w:val="22"/>
        </w:rPr>
        <w:t>.</w:t>
      </w:r>
    </w:p>
    <w:p w14:paraId="25F4552B"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lastRenderedPageBreak/>
        <w:t xml:space="preserve">Singh, S., Verma, R., &amp; Yadav, R. (2020). Seasonal water quality variation in River Gomti. </w:t>
      </w:r>
      <w:r w:rsidRPr="000F21FA">
        <w:rPr>
          <w:rStyle w:val="Emphasis"/>
          <w:rFonts w:ascii="Arial" w:hAnsi="Arial" w:cs="Arial"/>
          <w:sz w:val="22"/>
          <w:szCs w:val="22"/>
        </w:rPr>
        <w:t>Journal of Environmental Protection, 11</w:t>
      </w:r>
      <w:r w:rsidRPr="000F21FA">
        <w:rPr>
          <w:rFonts w:ascii="Arial" w:hAnsi="Arial" w:cs="Arial"/>
          <w:sz w:val="22"/>
          <w:szCs w:val="22"/>
        </w:rPr>
        <w:t>, 155–170.</w:t>
      </w:r>
    </w:p>
    <w:p w14:paraId="297409FF"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Trivedi, A. K., Soni, H., &amp; Patel, R. (2018). Seasonal hardness variation in Narmada River. </w:t>
      </w:r>
      <w:r w:rsidRPr="000F21FA">
        <w:rPr>
          <w:rStyle w:val="Emphasis"/>
          <w:rFonts w:ascii="Arial" w:hAnsi="Arial" w:cs="Arial"/>
          <w:sz w:val="22"/>
          <w:szCs w:val="22"/>
        </w:rPr>
        <w:t>Asian Journal of Water, Environment and Pollution, 15</w:t>
      </w:r>
      <w:r w:rsidRPr="000F21FA">
        <w:rPr>
          <w:rFonts w:ascii="Arial" w:hAnsi="Arial" w:cs="Arial"/>
          <w:sz w:val="22"/>
          <w:szCs w:val="22"/>
        </w:rPr>
        <w:t>(1), 7–12.</w:t>
      </w:r>
    </w:p>
    <w:p w14:paraId="63B03807"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Trivedi, P., Sharma, V., &amp; Kaur, R. (2018). Seasonal hardness variation in the Narmada River. </w:t>
      </w:r>
      <w:r w:rsidRPr="000F21FA">
        <w:rPr>
          <w:rStyle w:val="Emphasis"/>
          <w:rFonts w:ascii="Arial" w:hAnsi="Arial" w:cs="Arial"/>
          <w:sz w:val="22"/>
          <w:szCs w:val="22"/>
        </w:rPr>
        <w:t>Environmental Monitoring and Assessment, 190</w:t>
      </w:r>
      <w:r w:rsidRPr="000F21FA">
        <w:rPr>
          <w:rFonts w:ascii="Arial" w:hAnsi="Arial" w:cs="Arial"/>
          <w:sz w:val="22"/>
          <w:szCs w:val="22"/>
        </w:rPr>
        <w:t xml:space="preserve">, 672. </w:t>
      </w:r>
      <w:hyperlink r:id="rId31" w:tgtFrame="_new" w:history="1">
        <w:r w:rsidRPr="000F21FA">
          <w:rPr>
            <w:rStyle w:val="Hyperlink"/>
            <w:rFonts w:ascii="Arial" w:hAnsi="Arial" w:cs="Arial"/>
            <w:sz w:val="22"/>
            <w:szCs w:val="22"/>
          </w:rPr>
          <w:t>https://doi.org/10.1007/s10661-018-6985-2</w:t>
        </w:r>
      </w:hyperlink>
      <w:r w:rsidR="009E144A" w:rsidRPr="000F21FA">
        <w:rPr>
          <w:rStyle w:val="Hyperlink"/>
          <w:rFonts w:ascii="Arial" w:hAnsi="Arial" w:cs="Arial"/>
          <w:sz w:val="22"/>
          <w:szCs w:val="22"/>
        </w:rPr>
        <w:t>.</w:t>
      </w:r>
    </w:p>
    <w:p w14:paraId="7A624DD0"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Verma, A., &amp; Saksena, D. (2019). Localized heating and water quality impacts in urban river stretches. </w:t>
      </w:r>
      <w:r w:rsidRPr="000F21FA">
        <w:rPr>
          <w:rStyle w:val="Emphasis"/>
          <w:rFonts w:ascii="Arial" w:hAnsi="Arial" w:cs="Arial"/>
          <w:sz w:val="22"/>
          <w:szCs w:val="22"/>
        </w:rPr>
        <w:t>Water Quality Research Journal, 54</w:t>
      </w:r>
      <w:r w:rsidRPr="000F21FA">
        <w:rPr>
          <w:rFonts w:ascii="Arial" w:hAnsi="Arial" w:cs="Arial"/>
          <w:sz w:val="22"/>
          <w:szCs w:val="22"/>
        </w:rPr>
        <w:t>(3), 205–215.</w:t>
      </w:r>
    </w:p>
    <w:p w14:paraId="28502CA2" w14:textId="77777777" w:rsidR="00AC00ED"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Wetzel, R. G. (2001). </w:t>
      </w:r>
      <w:r w:rsidRPr="000F21FA">
        <w:rPr>
          <w:rStyle w:val="Emphasis"/>
          <w:rFonts w:ascii="Arial" w:hAnsi="Arial" w:cs="Arial"/>
          <w:sz w:val="22"/>
          <w:szCs w:val="22"/>
        </w:rPr>
        <w:t>Limnology: Lake and river ecosystems</w:t>
      </w:r>
      <w:r w:rsidRPr="000F21FA">
        <w:rPr>
          <w:rFonts w:ascii="Arial" w:hAnsi="Arial" w:cs="Arial"/>
          <w:sz w:val="22"/>
          <w:szCs w:val="22"/>
        </w:rPr>
        <w:t xml:space="preserve"> (3rd ed.). Academic Press.</w:t>
      </w:r>
    </w:p>
    <w:p w14:paraId="26CD174C" w14:textId="77777777" w:rsidR="007F1A1C" w:rsidRPr="000F21FA" w:rsidRDefault="00AC00ED" w:rsidP="00CA0540">
      <w:pPr>
        <w:pStyle w:val="NormalWeb"/>
        <w:numPr>
          <w:ilvl w:val="0"/>
          <w:numId w:val="2"/>
        </w:numPr>
        <w:spacing w:line="360" w:lineRule="auto"/>
        <w:jc w:val="both"/>
        <w:rPr>
          <w:rFonts w:ascii="Arial" w:hAnsi="Arial" w:cs="Arial"/>
          <w:sz w:val="22"/>
          <w:szCs w:val="22"/>
        </w:rPr>
      </w:pPr>
      <w:r w:rsidRPr="000F21FA">
        <w:rPr>
          <w:rFonts w:ascii="Arial" w:hAnsi="Arial" w:cs="Arial"/>
          <w:sz w:val="22"/>
          <w:szCs w:val="22"/>
        </w:rPr>
        <w:t xml:space="preserve">World Health Organization. (2022). </w:t>
      </w:r>
      <w:r w:rsidRPr="000F21FA">
        <w:rPr>
          <w:rStyle w:val="Emphasis"/>
          <w:rFonts w:ascii="Arial" w:hAnsi="Arial" w:cs="Arial"/>
          <w:sz w:val="22"/>
          <w:szCs w:val="22"/>
        </w:rPr>
        <w:t>Guidelines for drinking-water quality: Incorporating the first and second addenda</w:t>
      </w:r>
      <w:r w:rsidRPr="000F21FA">
        <w:rPr>
          <w:rFonts w:ascii="Arial" w:hAnsi="Arial" w:cs="Arial"/>
          <w:sz w:val="22"/>
          <w:szCs w:val="22"/>
        </w:rPr>
        <w:t>. World Health Organization.</w:t>
      </w:r>
    </w:p>
    <w:sectPr w:rsidR="007F1A1C" w:rsidRPr="000F21FA">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9012C" w14:textId="77777777" w:rsidR="003B7AA2" w:rsidRDefault="003B7AA2" w:rsidP="00CF0170">
      <w:pPr>
        <w:spacing w:after="0" w:line="240" w:lineRule="auto"/>
      </w:pPr>
      <w:r>
        <w:separator/>
      </w:r>
    </w:p>
  </w:endnote>
  <w:endnote w:type="continuationSeparator" w:id="0">
    <w:p w14:paraId="0C786C8D" w14:textId="77777777" w:rsidR="003B7AA2" w:rsidRDefault="003B7AA2" w:rsidP="00CF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6A7A" w14:textId="77777777" w:rsidR="0016556B" w:rsidRDefault="00165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A26C" w14:textId="77777777" w:rsidR="0016556B" w:rsidRDefault="00165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D258" w14:textId="77777777" w:rsidR="0016556B" w:rsidRDefault="0016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2F74" w14:textId="77777777" w:rsidR="003B7AA2" w:rsidRDefault="003B7AA2" w:rsidP="00CF0170">
      <w:pPr>
        <w:spacing w:after="0" w:line="240" w:lineRule="auto"/>
      </w:pPr>
      <w:r>
        <w:separator/>
      </w:r>
    </w:p>
  </w:footnote>
  <w:footnote w:type="continuationSeparator" w:id="0">
    <w:p w14:paraId="5196A0B8" w14:textId="77777777" w:rsidR="003B7AA2" w:rsidRDefault="003B7AA2" w:rsidP="00CF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E36A" w14:textId="7260F987" w:rsidR="0016556B" w:rsidRDefault="0016556B">
    <w:pPr>
      <w:pStyle w:val="Header"/>
    </w:pPr>
    <w:r>
      <w:rPr>
        <w:noProof/>
      </w:rPr>
      <w:pict w14:anchorId="62550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2C79" w14:textId="6C38447E" w:rsidR="0016556B" w:rsidRDefault="0016556B">
    <w:pPr>
      <w:pStyle w:val="Header"/>
    </w:pPr>
    <w:r>
      <w:rPr>
        <w:noProof/>
      </w:rPr>
      <w:pict w14:anchorId="149D2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150B" w14:textId="4DC7B77E" w:rsidR="0016556B" w:rsidRDefault="0016556B">
    <w:pPr>
      <w:pStyle w:val="Header"/>
    </w:pPr>
    <w:r>
      <w:rPr>
        <w:noProof/>
      </w:rPr>
      <w:pict w14:anchorId="3DB7C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7502B"/>
    <w:multiLevelType w:val="multilevel"/>
    <w:tmpl w:val="70C6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E143D"/>
    <w:multiLevelType w:val="hybridMultilevel"/>
    <w:tmpl w:val="5D42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C76"/>
    <w:rsid w:val="00011C6D"/>
    <w:rsid w:val="00014617"/>
    <w:rsid w:val="00076C66"/>
    <w:rsid w:val="0008345F"/>
    <w:rsid w:val="000A5BC2"/>
    <w:rsid w:val="000C72E4"/>
    <w:rsid w:val="000D500F"/>
    <w:rsid w:val="000E1088"/>
    <w:rsid w:val="000E1323"/>
    <w:rsid w:val="000F21FA"/>
    <w:rsid w:val="00127C76"/>
    <w:rsid w:val="00136B18"/>
    <w:rsid w:val="0016556B"/>
    <w:rsid w:val="001767A1"/>
    <w:rsid w:val="0018289F"/>
    <w:rsid w:val="00184C4C"/>
    <w:rsid w:val="001A282A"/>
    <w:rsid w:val="001A43CC"/>
    <w:rsid w:val="001E4291"/>
    <w:rsid w:val="00211A3C"/>
    <w:rsid w:val="0021631B"/>
    <w:rsid w:val="00250893"/>
    <w:rsid w:val="00251919"/>
    <w:rsid w:val="00264761"/>
    <w:rsid w:val="00280D8F"/>
    <w:rsid w:val="00281338"/>
    <w:rsid w:val="00290650"/>
    <w:rsid w:val="002A7F88"/>
    <w:rsid w:val="002D14FC"/>
    <w:rsid w:val="00306E44"/>
    <w:rsid w:val="003147B6"/>
    <w:rsid w:val="003353E9"/>
    <w:rsid w:val="0036121C"/>
    <w:rsid w:val="003B7AA2"/>
    <w:rsid w:val="003C15B0"/>
    <w:rsid w:val="003D22F7"/>
    <w:rsid w:val="003D4885"/>
    <w:rsid w:val="003E25BD"/>
    <w:rsid w:val="003E50FE"/>
    <w:rsid w:val="003F5A16"/>
    <w:rsid w:val="00400444"/>
    <w:rsid w:val="00424C00"/>
    <w:rsid w:val="00461018"/>
    <w:rsid w:val="0046254D"/>
    <w:rsid w:val="00490675"/>
    <w:rsid w:val="00496EBB"/>
    <w:rsid w:val="00497120"/>
    <w:rsid w:val="004A023B"/>
    <w:rsid w:val="00504FC9"/>
    <w:rsid w:val="00505677"/>
    <w:rsid w:val="005145A6"/>
    <w:rsid w:val="00515495"/>
    <w:rsid w:val="00516570"/>
    <w:rsid w:val="005400A0"/>
    <w:rsid w:val="00574A21"/>
    <w:rsid w:val="0059442A"/>
    <w:rsid w:val="005A4C2B"/>
    <w:rsid w:val="005D0292"/>
    <w:rsid w:val="006276F7"/>
    <w:rsid w:val="00665331"/>
    <w:rsid w:val="006A13FB"/>
    <w:rsid w:val="006E7843"/>
    <w:rsid w:val="00700449"/>
    <w:rsid w:val="007121D7"/>
    <w:rsid w:val="0072009C"/>
    <w:rsid w:val="00720D50"/>
    <w:rsid w:val="00721E53"/>
    <w:rsid w:val="00723828"/>
    <w:rsid w:val="00742600"/>
    <w:rsid w:val="00760E83"/>
    <w:rsid w:val="00780C48"/>
    <w:rsid w:val="007A31E5"/>
    <w:rsid w:val="007F1A1C"/>
    <w:rsid w:val="00807076"/>
    <w:rsid w:val="00824D4E"/>
    <w:rsid w:val="00834AD4"/>
    <w:rsid w:val="00881EAF"/>
    <w:rsid w:val="008863C1"/>
    <w:rsid w:val="00890871"/>
    <w:rsid w:val="00897D67"/>
    <w:rsid w:val="008B6164"/>
    <w:rsid w:val="008C5CE9"/>
    <w:rsid w:val="008D1A37"/>
    <w:rsid w:val="00905A65"/>
    <w:rsid w:val="00906CD8"/>
    <w:rsid w:val="0093786A"/>
    <w:rsid w:val="009771AB"/>
    <w:rsid w:val="009838D6"/>
    <w:rsid w:val="009A2005"/>
    <w:rsid w:val="009B427D"/>
    <w:rsid w:val="009D0F43"/>
    <w:rsid w:val="009D14C8"/>
    <w:rsid w:val="009E07C8"/>
    <w:rsid w:val="009E144A"/>
    <w:rsid w:val="009F7ADA"/>
    <w:rsid w:val="00A0171B"/>
    <w:rsid w:val="00A21D5B"/>
    <w:rsid w:val="00A26BE1"/>
    <w:rsid w:val="00A26FF2"/>
    <w:rsid w:val="00A33CEF"/>
    <w:rsid w:val="00A3540E"/>
    <w:rsid w:val="00A5338B"/>
    <w:rsid w:val="00A87F5E"/>
    <w:rsid w:val="00A92C82"/>
    <w:rsid w:val="00AA09FD"/>
    <w:rsid w:val="00AC00ED"/>
    <w:rsid w:val="00AC6A82"/>
    <w:rsid w:val="00AD4286"/>
    <w:rsid w:val="00AD4E84"/>
    <w:rsid w:val="00AF2E7F"/>
    <w:rsid w:val="00B0514D"/>
    <w:rsid w:val="00B31C9A"/>
    <w:rsid w:val="00B3336E"/>
    <w:rsid w:val="00B751B0"/>
    <w:rsid w:val="00B8698E"/>
    <w:rsid w:val="00BA5090"/>
    <w:rsid w:val="00BB1330"/>
    <w:rsid w:val="00BF76E7"/>
    <w:rsid w:val="00C02DB2"/>
    <w:rsid w:val="00C765A2"/>
    <w:rsid w:val="00C82569"/>
    <w:rsid w:val="00C825A1"/>
    <w:rsid w:val="00C93237"/>
    <w:rsid w:val="00CA0540"/>
    <w:rsid w:val="00CA5E95"/>
    <w:rsid w:val="00CA7D9D"/>
    <w:rsid w:val="00CB3734"/>
    <w:rsid w:val="00CB5F54"/>
    <w:rsid w:val="00CD2B3A"/>
    <w:rsid w:val="00CF0170"/>
    <w:rsid w:val="00CF76FF"/>
    <w:rsid w:val="00D02734"/>
    <w:rsid w:val="00D16B87"/>
    <w:rsid w:val="00D41FBB"/>
    <w:rsid w:val="00DD1CAB"/>
    <w:rsid w:val="00DD3EE8"/>
    <w:rsid w:val="00DE409B"/>
    <w:rsid w:val="00E168DD"/>
    <w:rsid w:val="00E264B5"/>
    <w:rsid w:val="00E35E2F"/>
    <w:rsid w:val="00E61652"/>
    <w:rsid w:val="00E80C8F"/>
    <w:rsid w:val="00E8655B"/>
    <w:rsid w:val="00EC0203"/>
    <w:rsid w:val="00EC2AD5"/>
    <w:rsid w:val="00ED53C8"/>
    <w:rsid w:val="00EF1DCD"/>
    <w:rsid w:val="00EF539D"/>
    <w:rsid w:val="00F13911"/>
    <w:rsid w:val="00F13F5C"/>
    <w:rsid w:val="00F352B0"/>
    <w:rsid w:val="00F36519"/>
    <w:rsid w:val="00F81C7E"/>
    <w:rsid w:val="00FA6A16"/>
    <w:rsid w:val="00FC3004"/>
    <w:rsid w:val="00FC5A34"/>
    <w:rsid w:val="00FD5C6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225F7E"/>
  <w15:docId w15:val="{364B776E-EB04-47B6-B5C8-A318ECCD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127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7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C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7C76"/>
    <w:rPr>
      <w:rFonts w:ascii="Times New Roman" w:eastAsia="Times New Roman" w:hAnsi="Times New Roman" w:cs="Times New Roman"/>
      <w:b/>
      <w:bCs/>
      <w:sz w:val="27"/>
      <w:szCs w:val="27"/>
    </w:rPr>
  </w:style>
  <w:style w:type="character" w:styleId="Strong">
    <w:name w:val="Strong"/>
    <w:basedOn w:val="DefaultParagraphFont"/>
    <w:uiPriority w:val="22"/>
    <w:qFormat/>
    <w:rsid w:val="00127C76"/>
    <w:rPr>
      <w:b/>
      <w:bCs/>
    </w:rPr>
  </w:style>
  <w:style w:type="paragraph" w:styleId="NormalWeb">
    <w:name w:val="Normal (Web)"/>
    <w:basedOn w:val="Normal"/>
    <w:uiPriority w:val="99"/>
    <w:unhideWhenUsed/>
    <w:rsid w:val="00127C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F1A1C"/>
    <w:pPr>
      <w:spacing w:after="0" w:line="240" w:lineRule="auto"/>
    </w:pPr>
    <w:rPr>
      <w:sz w:val="20"/>
      <w:lang w:val="en-IN"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712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97120"/>
    <w:rPr>
      <w:rFonts w:ascii="Tahoma" w:hAnsi="Tahoma" w:cs="Mangal"/>
      <w:sz w:val="16"/>
      <w:szCs w:val="14"/>
    </w:rPr>
  </w:style>
  <w:style w:type="paragraph" w:styleId="Header">
    <w:name w:val="header"/>
    <w:basedOn w:val="Normal"/>
    <w:link w:val="HeaderChar"/>
    <w:uiPriority w:val="99"/>
    <w:unhideWhenUsed/>
    <w:rsid w:val="00CF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70"/>
    <w:rPr>
      <w:rFonts w:cs="Mangal"/>
    </w:rPr>
  </w:style>
  <w:style w:type="paragraph" w:styleId="Footer">
    <w:name w:val="footer"/>
    <w:basedOn w:val="Normal"/>
    <w:link w:val="FooterChar"/>
    <w:uiPriority w:val="99"/>
    <w:unhideWhenUsed/>
    <w:rsid w:val="00CF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70"/>
    <w:rPr>
      <w:rFonts w:cs="Mangal"/>
    </w:rPr>
  </w:style>
  <w:style w:type="character" w:styleId="Emphasis">
    <w:name w:val="Emphasis"/>
    <w:basedOn w:val="DefaultParagraphFont"/>
    <w:uiPriority w:val="20"/>
    <w:qFormat/>
    <w:rsid w:val="00742600"/>
    <w:rPr>
      <w:i/>
      <w:iCs/>
    </w:rPr>
  </w:style>
  <w:style w:type="character" w:styleId="Hyperlink">
    <w:name w:val="Hyperlink"/>
    <w:basedOn w:val="DefaultParagraphFont"/>
    <w:uiPriority w:val="99"/>
    <w:unhideWhenUsed/>
    <w:rsid w:val="00742600"/>
    <w:rPr>
      <w:color w:val="0000FF"/>
      <w:u w:val="single"/>
    </w:rPr>
  </w:style>
  <w:style w:type="paragraph" w:styleId="ListParagraph">
    <w:name w:val="List Paragraph"/>
    <w:basedOn w:val="Normal"/>
    <w:uiPriority w:val="34"/>
    <w:qFormat/>
    <w:rsid w:val="009E144A"/>
    <w:pPr>
      <w:ind w:left="720"/>
      <w:contextualSpacing/>
    </w:pPr>
  </w:style>
  <w:style w:type="character" w:customStyle="1" w:styleId="linkify">
    <w:name w:val="linkify"/>
    <w:basedOn w:val="DefaultParagraphFont"/>
    <w:rsid w:val="006E7843"/>
  </w:style>
  <w:style w:type="character" w:styleId="UnresolvedMention">
    <w:name w:val="Unresolved Mention"/>
    <w:basedOn w:val="DefaultParagraphFont"/>
    <w:uiPriority w:val="99"/>
    <w:semiHidden/>
    <w:unhideWhenUsed/>
    <w:rsid w:val="00780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84762">
      <w:bodyDiv w:val="1"/>
      <w:marLeft w:val="0"/>
      <w:marRight w:val="0"/>
      <w:marTop w:val="0"/>
      <w:marBottom w:val="0"/>
      <w:divBdr>
        <w:top w:val="none" w:sz="0" w:space="0" w:color="auto"/>
        <w:left w:val="none" w:sz="0" w:space="0" w:color="auto"/>
        <w:bottom w:val="none" w:sz="0" w:space="0" w:color="auto"/>
        <w:right w:val="none" w:sz="0" w:space="0" w:color="auto"/>
      </w:divBdr>
    </w:div>
    <w:div w:id="659386537">
      <w:bodyDiv w:val="1"/>
      <w:marLeft w:val="0"/>
      <w:marRight w:val="0"/>
      <w:marTop w:val="0"/>
      <w:marBottom w:val="0"/>
      <w:divBdr>
        <w:top w:val="none" w:sz="0" w:space="0" w:color="auto"/>
        <w:left w:val="none" w:sz="0" w:space="0" w:color="auto"/>
        <w:bottom w:val="none" w:sz="0" w:space="0" w:color="auto"/>
        <w:right w:val="none" w:sz="0" w:space="0" w:color="auto"/>
      </w:divBdr>
    </w:div>
    <w:div w:id="884490388">
      <w:bodyDiv w:val="1"/>
      <w:marLeft w:val="0"/>
      <w:marRight w:val="0"/>
      <w:marTop w:val="0"/>
      <w:marBottom w:val="0"/>
      <w:divBdr>
        <w:top w:val="none" w:sz="0" w:space="0" w:color="auto"/>
        <w:left w:val="none" w:sz="0" w:space="0" w:color="auto"/>
        <w:bottom w:val="none" w:sz="0" w:space="0" w:color="auto"/>
        <w:right w:val="none" w:sz="0" w:space="0" w:color="auto"/>
      </w:divBdr>
    </w:div>
    <w:div w:id="913931637">
      <w:bodyDiv w:val="1"/>
      <w:marLeft w:val="0"/>
      <w:marRight w:val="0"/>
      <w:marTop w:val="0"/>
      <w:marBottom w:val="0"/>
      <w:divBdr>
        <w:top w:val="none" w:sz="0" w:space="0" w:color="auto"/>
        <w:left w:val="none" w:sz="0" w:space="0" w:color="auto"/>
        <w:bottom w:val="none" w:sz="0" w:space="0" w:color="auto"/>
        <w:right w:val="none" w:sz="0" w:space="0" w:color="auto"/>
      </w:divBdr>
      <w:divsChild>
        <w:div w:id="1909798834">
          <w:marLeft w:val="0"/>
          <w:marRight w:val="0"/>
          <w:marTop w:val="0"/>
          <w:marBottom w:val="0"/>
          <w:divBdr>
            <w:top w:val="none" w:sz="0" w:space="0" w:color="auto"/>
            <w:left w:val="none" w:sz="0" w:space="0" w:color="auto"/>
            <w:bottom w:val="none" w:sz="0" w:space="0" w:color="auto"/>
            <w:right w:val="none" w:sz="0" w:space="0" w:color="auto"/>
          </w:divBdr>
        </w:div>
      </w:divsChild>
    </w:div>
    <w:div w:id="1000080339">
      <w:bodyDiv w:val="1"/>
      <w:marLeft w:val="0"/>
      <w:marRight w:val="0"/>
      <w:marTop w:val="0"/>
      <w:marBottom w:val="0"/>
      <w:divBdr>
        <w:top w:val="none" w:sz="0" w:space="0" w:color="auto"/>
        <w:left w:val="none" w:sz="0" w:space="0" w:color="auto"/>
        <w:bottom w:val="none" w:sz="0" w:space="0" w:color="auto"/>
        <w:right w:val="none" w:sz="0" w:space="0" w:color="auto"/>
      </w:divBdr>
    </w:div>
    <w:div w:id="17426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07/s13201-019-0990-1" TargetMode="External"/><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07/s10661-019-8012-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doi.org/10.1007/s11356-018-140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2166/wst.2021.07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007/s10661-017-6360-1"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doi.org/10.1007/s10661-018-698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doi.org/10.1016/j.jhydrol.2021.125135" TargetMode="External"/><Relationship Id="rId30" Type="http://schemas.openxmlformats.org/officeDocument/2006/relationships/hyperlink" Target="https://doi.org/10.1016/j.jenvman.2020.110489"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73CC0-678D-428A-B3C8-D708D260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TotalTime>
  <Pages>13</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69</cp:revision>
  <dcterms:created xsi:type="dcterms:W3CDTF">2025-12-05T06:35:00Z</dcterms:created>
  <dcterms:modified xsi:type="dcterms:W3CDTF">2026-02-02T09:48:00Z</dcterms:modified>
</cp:coreProperties>
</file>