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329" w:rsidRDefault="006B68FF">
      <w:pPr>
        <w:jc w:val="center"/>
        <w:rPr>
          <w:rFonts w:ascii="Times New Roman" w:hAnsi="Times New Roman" w:cs="Times New Roman"/>
          <w:b/>
          <w:bCs/>
          <w:sz w:val="30"/>
          <w:szCs w:val="30"/>
        </w:rPr>
      </w:pPr>
      <w:r>
        <w:rPr>
          <w:rFonts w:ascii="Times New Roman" w:hAnsi="Times New Roman" w:cs="Times New Roman"/>
          <w:b/>
          <w:bCs/>
          <w:sz w:val="30"/>
          <w:szCs w:val="30"/>
        </w:rPr>
        <w:t>THE INTERPLAY OF RISK MANAGEMENT AND TAX STRATEGIES: AN ANALYSIS OF NIGERIAN COMPANIES</w:t>
      </w:r>
    </w:p>
    <w:p w:rsidR="00357565" w:rsidRDefault="00357565">
      <w:pPr>
        <w:jc w:val="center"/>
        <w:rPr>
          <w:rFonts w:ascii="Times New Roman" w:hAnsi="Times New Roman" w:cs="Times New Roman"/>
          <w:b/>
          <w:bCs/>
          <w:sz w:val="30"/>
          <w:szCs w:val="30"/>
        </w:rPr>
      </w:pP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Abstract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This research study will look into the impacts of risk governance mechanisms on tax planning practices among publicly traded corporations in Nigeria. Particularly, the study assesses how the characteristics</w:t>
      </w:r>
      <w:r>
        <w:rPr>
          <w:rFonts w:ascii="Times New Roman" w:hAnsi="Times New Roman" w:cs="Times New Roman"/>
          <w:sz w:val="28"/>
          <w:szCs w:val="28"/>
        </w:rPr>
        <w:t xml:space="preserve"> of risk committees such as committee size, accounting expertise and independence of its members affect the effective tax rates. Based on the risk management theory, the study will be ex-post facto with secondary data obtained through the annual financial </w:t>
      </w:r>
      <w:r>
        <w:rPr>
          <w:rFonts w:ascii="Times New Roman" w:hAnsi="Times New Roman" w:cs="Times New Roman"/>
          <w:sz w:val="28"/>
          <w:szCs w:val="28"/>
        </w:rPr>
        <w:t xml:space="preserve">statements of </w:t>
      </w:r>
      <w:proofErr w:type="gramStart"/>
      <w:r>
        <w:rPr>
          <w:rFonts w:ascii="Times New Roman" w:hAnsi="Times New Roman" w:cs="Times New Roman"/>
          <w:sz w:val="28"/>
          <w:szCs w:val="28"/>
        </w:rPr>
        <w:t>fifty four</w:t>
      </w:r>
      <w:proofErr w:type="gramEnd"/>
      <w:r>
        <w:rPr>
          <w:rFonts w:ascii="Times New Roman" w:hAnsi="Times New Roman" w:cs="Times New Roman"/>
          <w:sz w:val="28"/>
          <w:szCs w:val="28"/>
        </w:rPr>
        <w:t xml:space="preserve"> (54) publicly traded Nigerian companies between the years 2013-2022. The methods of analysis are descriptive analysis and correlation analysis. It has been found out that risk committee size has a negative and statistically signifi</w:t>
      </w:r>
      <w:r>
        <w:rPr>
          <w:rFonts w:ascii="Times New Roman" w:hAnsi="Times New Roman" w:cs="Times New Roman"/>
          <w:sz w:val="28"/>
          <w:szCs w:val="28"/>
        </w:rPr>
        <w:t xml:space="preserve">cant correlation with tax strategies (t-value = -7.074, p less than 0.05) that bigger risk committees are associated with less tax aggressiveness. In a similar manner, accounting skills in the risk committees show negative and significant impact </w:t>
      </w:r>
      <w:proofErr w:type="gramStart"/>
      <w:r>
        <w:rPr>
          <w:rFonts w:ascii="Times New Roman" w:hAnsi="Times New Roman" w:cs="Times New Roman"/>
          <w:sz w:val="28"/>
          <w:szCs w:val="28"/>
        </w:rPr>
        <w:t>( t</w:t>
      </w:r>
      <w:proofErr w:type="gramEnd"/>
      <w:r>
        <w:rPr>
          <w:rFonts w:ascii="Times New Roman" w:hAnsi="Times New Roman" w:cs="Times New Roman"/>
          <w:sz w:val="28"/>
          <w:szCs w:val="28"/>
        </w:rPr>
        <w:t xml:space="preserve">-value </w:t>
      </w:r>
      <w:r>
        <w:rPr>
          <w:rFonts w:ascii="Times New Roman" w:hAnsi="Times New Roman" w:cs="Times New Roman"/>
          <w:sz w:val="28"/>
          <w:szCs w:val="28"/>
        </w:rPr>
        <w:t>= -21.365, p &lt; 0.05), and the conclusion is that the higher the financial competence, the more conservative the tax practices. The independence of risk committees has a positive and significant relationship (t-value = -16.863, p &lt; 0.05), meaning that the h</w:t>
      </w:r>
      <w:r>
        <w:rPr>
          <w:rFonts w:ascii="Times New Roman" w:hAnsi="Times New Roman" w:cs="Times New Roman"/>
          <w:sz w:val="28"/>
          <w:szCs w:val="28"/>
        </w:rPr>
        <w:t>igher the independence, the lower the tax avoidance practices. The paper suggests that publicly traded organizations in Nigeria should make sure that risk committees are sizable, focus on hiring members with strong accounting qualifications, and focus on t</w:t>
      </w:r>
      <w:r>
        <w:rPr>
          <w:rFonts w:ascii="Times New Roman" w:hAnsi="Times New Roman" w:cs="Times New Roman"/>
          <w:sz w:val="28"/>
          <w:szCs w:val="28"/>
        </w:rPr>
        <w:t>he independence of the governance board to reduce aggressive tax planning. These results help to explain the effects of the corporate governance structure on the tax behavior in the emerging market.</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 xml:space="preserve">Keywords: </w:t>
      </w:r>
      <w:r>
        <w:rPr>
          <w:rFonts w:ascii="Times New Roman" w:hAnsi="Times New Roman" w:cs="Times New Roman"/>
          <w:sz w:val="28"/>
          <w:szCs w:val="28"/>
        </w:rPr>
        <w:t xml:space="preserve">Risk Management; Tax Strategies; Effective Tax </w:t>
      </w:r>
      <w:r>
        <w:rPr>
          <w:rFonts w:ascii="Times New Roman" w:hAnsi="Times New Roman" w:cs="Times New Roman"/>
          <w:sz w:val="28"/>
          <w:szCs w:val="28"/>
        </w:rPr>
        <w:t>rate; Risk Committee Size; Accounting Expertise; Independence; Nigerian Public Companies; risk management theory.</w:t>
      </w:r>
    </w:p>
    <w:p w:rsidR="00DA4567" w:rsidRDefault="00DA4567">
      <w:pPr>
        <w:jc w:val="both"/>
        <w:rPr>
          <w:rFonts w:ascii="Times New Roman" w:hAnsi="Times New Roman" w:cs="Times New Roman"/>
          <w:sz w:val="28"/>
          <w:szCs w:val="28"/>
        </w:rPr>
      </w:pPr>
    </w:p>
    <w:p w:rsidR="00DA4567" w:rsidRDefault="00DA4567">
      <w:pPr>
        <w:jc w:val="both"/>
        <w:rPr>
          <w:rFonts w:ascii="Times New Roman" w:hAnsi="Times New Roman" w:cs="Times New Roman"/>
          <w:sz w:val="28"/>
          <w:szCs w:val="28"/>
        </w:rPr>
      </w:pPr>
      <w:bookmarkStart w:id="0" w:name="_GoBack"/>
      <w:bookmarkEnd w:id="0"/>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lastRenderedPageBreak/>
        <w:t>1. INTRODUCTION</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contemporary business environment has seen the emergence of risk governance as one of the determinants of financial </w:t>
      </w:r>
      <w:r>
        <w:rPr>
          <w:rFonts w:ascii="Times New Roman" w:hAnsi="Times New Roman" w:cs="Times New Roman"/>
          <w:sz w:val="28"/>
          <w:szCs w:val="28"/>
        </w:rPr>
        <w:t>performance of organizations. In essence, risk governance entails the identification, evaluation, ranking, and strategy mitigation of uncertainties with regard to the allocation of resources to minimize the threats and maximize business opportunities (Alha</w:t>
      </w:r>
      <w:r>
        <w:rPr>
          <w:rFonts w:ascii="Times New Roman" w:hAnsi="Times New Roman" w:cs="Times New Roman"/>
          <w:sz w:val="28"/>
          <w:szCs w:val="28"/>
        </w:rPr>
        <w:t xml:space="preserve">ssan and </w:t>
      </w:r>
      <w:proofErr w:type="spellStart"/>
      <w:r>
        <w:rPr>
          <w:rFonts w:ascii="Times New Roman" w:hAnsi="Times New Roman" w:cs="Times New Roman"/>
          <w:sz w:val="28"/>
          <w:szCs w:val="28"/>
        </w:rPr>
        <w:t>Anwarul</w:t>
      </w:r>
      <w:proofErr w:type="spellEnd"/>
      <w:r>
        <w:rPr>
          <w:rFonts w:ascii="Times New Roman" w:hAnsi="Times New Roman" w:cs="Times New Roman"/>
          <w:sz w:val="28"/>
          <w:szCs w:val="28"/>
        </w:rPr>
        <w:t>-Islam, 2021). It is because the financial and operational restraints do not allow full eradication of all the uncertainties, which is why the systematic methods of risk containment are necessary.</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recent corporate failures in the world </w:t>
      </w:r>
      <w:r>
        <w:rPr>
          <w:rFonts w:ascii="Times New Roman" w:hAnsi="Times New Roman" w:cs="Times New Roman"/>
          <w:sz w:val="28"/>
          <w:szCs w:val="28"/>
        </w:rPr>
        <w:t>have placed the risk governance at the center of organizational priorities. Considering universal exposure to diverse risk classes, effective risk management has become critical to corporate sustainability and success in the long-term perspective. Strong r</w:t>
      </w:r>
      <w:r>
        <w:rPr>
          <w:rFonts w:ascii="Times New Roman" w:hAnsi="Times New Roman" w:cs="Times New Roman"/>
          <w:sz w:val="28"/>
          <w:szCs w:val="28"/>
        </w:rPr>
        <w:t>isk governance systems help organizations to prepare and react to various threats that they face in the day-to-day operations. In the environment of rising global commodity prices with the rising demand and limited supply, risk governance comes into the li</w:t>
      </w:r>
      <w:r>
        <w:rPr>
          <w:rFonts w:ascii="Times New Roman" w:hAnsi="Times New Roman" w:cs="Times New Roman"/>
          <w:sz w:val="28"/>
          <w:szCs w:val="28"/>
        </w:rPr>
        <w:t>melight of organizational performance, which nowadays is viewed as a key ability by the majority of stakeholders.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weak risk governance is one of the greatest challenges facing modern organizations. The history of the world shows that many companies hav</w:t>
      </w:r>
      <w:r>
        <w:rPr>
          <w:rFonts w:ascii="Times New Roman" w:hAnsi="Times New Roman" w:cs="Times New Roman"/>
          <w:sz w:val="28"/>
          <w:szCs w:val="28"/>
        </w:rPr>
        <w:t>e failed because of the poor practices in risk management, such as poor liquidity buffers, excess exposure to interest rates, improperly extended credit, and poor hedging against foreign exchange risks. The business entities in Nigeria are run in highly un</w:t>
      </w:r>
      <w:r>
        <w:rPr>
          <w:rFonts w:ascii="Times New Roman" w:hAnsi="Times New Roman" w:cs="Times New Roman"/>
          <w:sz w:val="28"/>
          <w:szCs w:val="28"/>
        </w:rPr>
        <w:t>certain environments and as a result, risk governance is also critical in reducing the losses incurred in these volatile markets.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popularity of risk governance studies was further enhanced by the globalization process, rising complexity of risks, the </w:t>
      </w:r>
      <w:r>
        <w:rPr>
          <w:rFonts w:ascii="Times New Roman" w:hAnsi="Times New Roman" w:cs="Times New Roman"/>
          <w:sz w:val="28"/>
          <w:szCs w:val="28"/>
        </w:rPr>
        <w:t>world financial crisis and the changing international regulatory demands. Thus, the isolated risk governance committees were considered to be important corporate governance tools that could control the exposure of the organization to risk. Tao and Hutchins</w:t>
      </w:r>
      <w:r>
        <w:rPr>
          <w:rFonts w:ascii="Times New Roman" w:hAnsi="Times New Roman" w:cs="Times New Roman"/>
          <w:sz w:val="28"/>
          <w:szCs w:val="28"/>
        </w:rPr>
        <w:t xml:space="preserve">on, (2013) defines risk governance as </w:t>
      </w:r>
      <w:proofErr w:type="spellStart"/>
      <w:r>
        <w:rPr>
          <w:rFonts w:ascii="Times New Roman" w:hAnsi="Times New Roman" w:cs="Times New Roman"/>
          <w:sz w:val="28"/>
          <w:szCs w:val="28"/>
        </w:rPr>
        <w:t>co-ordinated</w:t>
      </w:r>
      <w:proofErr w:type="spellEnd"/>
      <w:r>
        <w:rPr>
          <w:rFonts w:ascii="Times New Roman" w:hAnsi="Times New Roman" w:cs="Times New Roman"/>
          <w:sz w:val="28"/>
          <w:szCs w:val="28"/>
        </w:rPr>
        <w:t xml:space="preserve"> actions, aimed at guiding and controlling companies in relation to consequences of uncertainty to the corporate goals.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Khurana and Moser (2022) define tax strategies as all those activities that are specif</w:t>
      </w:r>
      <w:r>
        <w:rPr>
          <w:rFonts w:ascii="Times New Roman" w:hAnsi="Times New Roman" w:cs="Times New Roman"/>
          <w:sz w:val="28"/>
          <w:szCs w:val="28"/>
        </w:rPr>
        <w:t xml:space="preserve">ically planned to reduce the corporate tax account, such as tax evasion, tax avoidance, and legitimate tax savings. Tax plans involve not just reduction of liability, but optimization of cash flows in terms of moving money in a </w:t>
      </w:r>
      <w:proofErr w:type="spellStart"/>
      <w:proofErr w:type="gramStart"/>
      <w:r>
        <w:rPr>
          <w:rFonts w:ascii="Times New Roman" w:hAnsi="Times New Roman" w:cs="Times New Roman"/>
          <w:sz w:val="28"/>
          <w:szCs w:val="28"/>
        </w:rPr>
        <w:t>well timed</w:t>
      </w:r>
      <w:proofErr w:type="spellEnd"/>
      <w:proofErr w:type="gramEnd"/>
      <w:r>
        <w:rPr>
          <w:rFonts w:ascii="Times New Roman" w:hAnsi="Times New Roman" w:cs="Times New Roman"/>
          <w:sz w:val="28"/>
          <w:szCs w:val="28"/>
        </w:rPr>
        <w:t xml:space="preserve"> manner and at no </w:t>
      </w:r>
      <w:r>
        <w:rPr>
          <w:rFonts w:ascii="Times New Roman" w:hAnsi="Times New Roman" w:cs="Times New Roman"/>
          <w:sz w:val="28"/>
          <w:szCs w:val="28"/>
        </w:rPr>
        <w:t>loss to the state treasuries and eventually moving state treasury money to corporate hands.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measures of tax strategies differ in the literature of tax research. This research uses effective tax rate as the main measure. The conceptualization of tax str</w:t>
      </w:r>
      <w:r>
        <w:rPr>
          <w:rFonts w:ascii="Times New Roman" w:hAnsi="Times New Roman" w:cs="Times New Roman"/>
          <w:sz w:val="28"/>
          <w:szCs w:val="28"/>
        </w:rPr>
        <w:t>ategies may be seen as tax avoidance within the framework of legal activities, where the provisions of a tax regime are used to the benefit of an organization, where the amount of payable is decreased and partially with the help of the law. The tax strateg</w:t>
      </w:r>
      <w:r>
        <w:rPr>
          <w:rFonts w:ascii="Times New Roman" w:hAnsi="Times New Roman" w:cs="Times New Roman"/>
          <w:sz w:val="28"/>
          <w:szCs w:val="28"/>
        </w:rPr>
        <w:t>ies employed by the management are the initial triggers of tax management activities which are applied in the planning process and may culminate in tax evasion.</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1.1 Statement of the Problem</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Risk governance and tax strategies are the trendy subjects of </w:t>
      </w:r>
      <w:r>
        <w:rPr>
          <w:rFonts w:ascii="Times New Roman" w:hAnsi="Times New Roman" w:cs="Times New Roman"/>
          <w:sz w:val="28"/>
          <w:szCs w:val="28"/>
        </w:rPr>
        <w:t>the accounting, business and management research. Relations between risk governance strategies and tax strategies have been studied in the past. Nevertheless, there are inconclusive findings of these studies that expressed positive or negative, significant</w:t>
      </w:r>
      <w:r>
        <w:rPr>
          <w:rFonts w:ascii="Times New Roman" w:hAnsi="Times New Roman" w:cs="Times New Roman"/>
          <w:sz w:val="28"/>
          <w:szCs w:val="28"/>
        </w:rPr>
        <w:t xml:space="preserve"> or insignificant relationships between risk governance and tax strategies. The effect of risk governance on financial performance and tax strategies had not been adequately studied in the past. Moreover, the issue of risk management in the context of the </w:t>
      </w:r>
      <w:r>
        <w:rPr>
          <w:rFonts w:ascii="Times New Roman" w:hAnsi="Times New Roman" w:cs="Times New Roman"/>
          <w:sz w:val="28"/>
          <w:szCs w:val="28"/>
        </w:rPr>
        <w:t xml:space="preserve">Nigerian publicly traded companies has affected not only the profitability of the corporations, but also the national economic development and the growth of the business due to taxation (Alia and </w:t>
      </w:r>
      <w:proofErr w:type="spellStart"/>
      <w:r>
        <w:rPr>
          <w:rFonts w:ascii="Times New Roman" w:hAnsi="Times New Roman" w:cs="Times New Roman"/>
          <w:sz w:val="28"/>
          <w:szCs w:val="28"/>
        </w:rPr>
        <w:t>Oudatb</w:t>
      </w:r>
      <w:proofErr w:type="spellEnd"/>
      <w:r>
        <w:rPr>
          <w:rFonts w:ascii="Times New Roman" w:hAnsi="Times New Roman" w:cs="Times New Roman"/>
          <w:sz w:val="28"/>
          <w:szCs w:val="28"/>
        </w:rPr>
        <w:t xml:space="preserve">, 2020; Khan et al., 2022; </w:t>
      </w:r>
      <w:proofErr w:type="spellStart"/>
      <w:r>
        <w:rPr>
          <w:rFonts w:ascii="Times New Roman" w:hAnsi="Times New Roman" w:cs="Times New Roman"/>
          <w:sz w:val="28"/>
          <w:szCs w:val="28"/>
        </w:rPr>
        <w:t>Hajawiyah</w:t>
      </w:r>
      <w:proofErr w:type="spellEnd"/>
      <w:r>
        <w:rPr>
          <w:rFonts w:ascii="Times New Roman" w:hAnsi="Times New Roman" w:cs="Times New Roman"/>
          <w:sz w:val="28"/>
          <w:szCs w:val="28"/>
        </w:rPr>
        <w:t xml:space="preserve"> et al., 2022; </w:t>
      </w:r>
      <w:proofErr w:type="spellStart"/>
      <w:r>
        <w:rPr>
          <w:rFonts w:ascii="Times New Roman" w:hAnsi="Times New Roman" w:cs="Times New Roman"/>
          <w:sz w:val="28"/>
          <w:szCs w:val="28"/>
        </w:rPr>
        <w:t>Bou</w:t>
      </w:r>
      <w:r>
        <w:rPr>
          <w:rFonts w:ascii="Times New Roman" w:hAnsi="Times New Roman" w:cs="Times New Roman"/>
          <w:sz w:val="28"/>
          <w:szCs w:val="28"/>
        </w:rPr>
        <w:t>aziz</w:t>
      </w:r>
      <w:proofErr w:type="spellEnd"/>
      <w:r>
        <w:rPr>
          <w:rFonts w:ascii="Times New Roman" w:hAnsi="Times New Roman" w:cs="Times New Roman"/>
          <w:sz w:val="28"/>
          <w:szCs w:val="28"/>
        </w:rPr>
        <w:t xml:space="preserve">, 2022; Choi, 2022; </w:t>
      </w:r>
      <w:proofErr w:type="spellStart"/>
      <w:r>
        <w:rPr>
          <w:rFonts w:ascii="Times New Roman" w:hAnsi="Times New Roman" w:cs="Times New Roman"/>
          <w:sz w:val="28"/>
          <w:szCs w:val="28"/>
        </w:rPr>
        <w:t>Chouaibi</w:t>
      </w:r>
      <w:proofErr w:type="spellEnd"/>
      <w:r>
        <w:rPr>
          <w:rFonts w:ascii="Times New Roman" w:hAnsi="Times New Roman" w:cs="Times New Roman"/>
          <w:sz w:val="28"/>
          <w:szCs w:val="28"/>
        </w:rPr>
        <w:t xml:space="preserve"> et al., 2021; Ahmed, 2021). </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1.2 Research Aim and Objectives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This study was a general examination of the relationship between risk governance and tax strategies among the publicly-traded companies in Nigeria. Certain object</w:t>
      </w:r>
      <w:r>
        <w:rPr>
          <w:rFonts w:ascii="Times New Roman" w:hAnsi="Times New Roman" w:cs="Times New Roman"/>
          <w:sz w:val="28"/>
          <w:szCs w:val="28"/>
        </w:rPr>
        <w:t>ives investigated the relationships between:</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 The size of risk committee and tax strategies of the Nigerian publicly traded companies.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2. Accounting expertise and tax strategies of risk committee in Nigerian listed companies.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 Nigeria risk committee in</w:t>
      </w:r>
      <w:r>
        <w:rPr>
          <w:rFonts w:ascii="Times New Roman" w:hAnsi="Times New Roman" w:cs="Times New Roman"/>
          <w:sz w:val="28"/>
          <w:szCs w:val="28"/>
        </w:rPr>
        <w:t>dependence and tax strategies of publicly traded companies.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1.3 Research Questions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This investigation is based on the following questions, which are supported by identified research problems: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 Is there any correlation between the size of the risk committ</w:t>
      </w:r>
      <w:r>
        <w:rPr>
          <w:rFonts w:ascii="Times New Roman" w:hAnsi="Times New Roman" w:cs="Times New Roman"/>
          <w:sz w:val="28"/>
          <w:szCs w:val="28"/>
        </w:rPr>
        <w:t>ee and the tax policies of Nigerian publicly traded firms?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2. How does risk committee accounting expertise relate to tax strategies at the Nigerian publicly traded firms?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 How is the independence of the risk committees related to the tax strategies among</w:t>
      </w:r>
      <w:r>
        <w:rPr>
          <w:rFonts w:ascii="Times New Roman" w:hAnsi="Times New Roman" w:cs="Times New Roman"/>
          <w:sz w:val="28"/>
          <w:szCs w:val="28"/>
        </w:rPr>
        <w:t xml:space="preserve"> the Nigerian publicly traded companies?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1.4 Research Hypotheses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null hypothesis that was formulated by this investigation based on the research questions was: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01</w:t>
      </w:r>
      <w:r>
        <w:rPr>
          <w:rFonts w:ascii="Times New Roman" w:hAnsi="Times New Roman" w:cs="Times New Roman"/>
          <w:b/>
          <w:bCs/>
          <w:sz w:val="28"/>
          <w:szCs w:val="28"/>
        </w:rPr>
        <w:t xml:space="preserve">: </w:t>
      </w:r>
      <w:r>
        <w:rPr>
          <w:rFonts w:ascii="Times New Roman" w:hAnsi="Times New Roman" w:cs="Times New Roman"/>
          <w:sz w:val="28"/>
          <w:szCs w:val="28"/>
        </w:rPr>
        <w:t>There is no significant correlation between the size and risk committee and the tax str</w:t>
      </w:r>
      <w:r>
        <w:rPr>
          <w:rFonts w:ascii="Times New Roman" w:hAnsi="Times New Roman" w:cs="Times New Roman"/>
          <w:sz w:val="28"/>
          <w:szCs w:val="28"/>
        </w:rPr>
        <w:t>ategies in the Nigerian publicly traded firms.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02</w:t>
      </w:r>
      <w:r>
        <w:rPr>
          <w:rFonts w:ascii="Times New Roman" w:hAnsi="Times New Roman" w:cs="Times New Roman"/>
          <w:b/>
          <w:bCs/>
          <w:sz w:val="28"/>
          <w:szCs w:val="28"/>
        </w:rPr>
        <w:t xml:space="preserve">: </w:t>
      </w:r>
      <w:r>
        <w:rPr>
          <w:rFonts w:ascii="Times New Roman" w:hAnsi="Times New Roman" w:cs="Times New Roman"/>
          <w:sz w:val="28"/>
          <w:szCs w:val="28"/>
        </w:rPr>
        <w:t>There is no significant relationship between risk committee accounting expertise and tax strategies in companies that are publicly traded in Nigeria.</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03</w:t>
      </w:r>
      <w:r>
        <w:rPr>
          <w:rFonts w:ascii="Times New Roman" w:hAnsi="Times New Roman" w:cs="Times New Roman"/>
          <w:b/>
          <w:bCs/>
          <w:sz w:val="28"/>
          <w:szCs w:val="28"/>
        </w:rPr>
        <w:t xml:space="preserve">: </w:t>
      </w:r>
      <w:r>
        <w:rPr>
          <w:rFonts w:ascii="Times New Roman" w:hAnsi="Times New Roman" w:cs="Times New Roman"/>
          <w:sz w:val="28"/>
          <w:szCs w:val="28"/>
        </w:rPr>
        <w:t>Risk committee independence has no significant co</w:t>
      </w:r>
      <w:r>
        <w:rPr>
          <w:rFonts w:ascii="Times New Roman" w:hAnsi="Times New Roman" w:cs="Times New Roman"/>
          <w:sz w:val="28"/>
          <w:szCs w:val="28"/>
        </w:rPr>
        <w:t>rrelation, with tax strategies, in the Nigerian publicly traded companies.</w:t>
      </w:r>
    </w:p>
    <w:p w:rsidR="006A5329" w:rsidRDefault="006A5329">
      <w:pPr>
        <w:jc w:val="both"/>
        <w:rPr>
          <w:rFonts w:ascii="Times New Roman" w:hAnsi="Times New Roman" w:cs="Times New Roman"/>
          <w:b/>
          <w:bCs/>
          <w:sz w:val="28"/>
          <w:szCs w:val="28"/>
        </w:rPr>
      </w:pPr>
    </w:p>
    <w:p w:rsidR="006A5329" w:rsidRDefault="006A5329">
      <w:pPr>
        <w:jc w:val="both"/>
        <w:rPr>
          <w:rFonts w:ascii="Times New Roman" w:hAnsi="Times New Roman" w:cs="Times New Roman"/>
          <w:b/>
          <w:bCs/>
          <w:sz w:val="28"/>
          <w:szCs w:val="28"/>
        </w:rPr>
      </w:pP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 LITERATURE REVIEW</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2.1 Conceptual Review</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Risk Management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The risk governance may be described as a careful choice of cost-benefit methods to mitigate the effect of uncertainty r</w:t>
      </w:r>
      <w:r>
        <w:rPr>
          <w:rFonts w:ascii="Times New Roman" w:hAnsi="Times New Roman" w:cs="Times New Roman"/>
          <w:sz w:val="28"/>
          <w:szCs w:val="28"/>
        </w:rPr>
        <w:t>ecognition on corporate organizations. Full removal of all uncertainties is also not possible because of financial and practical limitations (Anthony et al., 2021). The concept involves identification, analysis and forecasting of uncertainties along with o</w:t>
      </w:r>
      <w:r>
        <w:rPr>
          <w:rFonts w:ascii="Times New Roman" w:hAnsi="Times New Roman" w:cs="Times New Roman"/>
          <w:sz w:val="28"/>
          <w:szCs w:val="28"/>
        </w:rPr>
        <w:t>rganizational and sound use of limited resources to lessen, oversee and anticipate probability and/or impacts of the unexpected occurrences or increase objective achievement.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Richardson et al. (2013) state that risk governance is a manner of effecting effe</w:t>
      </w:r>
      <w:r>
        <w:rPr>
          <w:rFonts w:ascii="Times New Roman" w:hAnsi="Times New Roman" w:cs="Times New Roman"/>
          <w:sz w:val="28"/>
          <w:szCs w:val="28"/>
        </w:rPr>
        <w:t xml:space="preserve">ctive governance mechanisms since it is a significant aspect of governance. The implementation of risk governance systems involves the creation of organizational risks through measurement and completion techniques of the risks at defined tolerance levels. </w:t>
      </w:r>
      <w:r>
        <w:rPr>
          <w:rFonts w:ascii="Times New Roman" w:hAnsi="Times New Roman" w:cs="Times New Roman"/>
          <w:sz w:val="28"/>
          <w:szCs w:val="28"/>
        </w:rPr>
        <w:t xml:space="preserve">The use of efficient risk governance systems enables the boards of commissioners to oversee it to its maximum. </w:t>
      </w:r>
      <w:proofErr w:type="spellStart"/>
      <w:r>
        <w:rPr>
          <w:rFonts w:ascii="Times New Roman" w:hAnsi="Times New Roman" w:cs="Times New Roman"/>
          <w:sz w:val="28"/>
          <w:szCs w:val="28"/>
        </w:rPr>
        <w:t>Caraiman</w:t>
      </w:r>
      <w:proofErr w:type="spellEnd"/>
      <w:r>
        <w:rPr>
          <w:rFonts w:ascii="Times New Roman" w:hAnsi="Times New Roman" w:cs="Times New Roman"/>
          <w:sz w:val="28"/>
          <w:szCs w:val="28"/>
        </w:rPr>
        <w:t xml:space="preserve"> and Mates (2020) define risk governance in the corporate environment as needed since organizations, as well as the fields of operation, </w:t>
      </w:r>
      <w:r>
        <w:rPr>
          <w:rFonts w:ascii="Times New Roman" w:hAnsi="Times New Roman" w:cs="Times New Roman"/>
          <w:sz w:val="28"/>
          <w:szCs w:val="28"/>
        </w:rPr>
        <w:t xml:space="preserve">are exposed to uncertainties in terms of threats to the objective realization or opportunities. When it comes to managing threats, the managers should </w:t>
      </w:r>
      <w:proofErr w:type="gramStart"/>
      <w:r>
        <w:rPr>
          <w:rFonts w:ascii="Times New Roman" w:hAnsi="Times New Roman" w:cs="Times New Roman"/>
          <w:sz w:val="28"/>
          <w:szCs w:val="28"/>
        </w:rPr>
        <w:t>take into account</w:t>
      </w:r>
      <w:proofErr w:type="gramEnd"/>
      <w:r>
        <w:rPr>
          <w:rFonts w:ascii="Times New Roman" w:hAnsi="Times New Roman" w:cs="Times New Roman"/>
          <w:sz w:val="28"/>
          <w:szCs w:val="28"/>
        </w:rPr>
        <w:t xml:space="preserve"> threat management strategies, or the inability to meet the goals will invalidate the ef</w:t>
      </w:r>
      <w:r>
        <w:rPr>
          <w:rFonts w:ascii="Times New Roman" w:hAnsi="Times New Roman" w:cs="Times New Roman"/>
          <w:sz w:val="28"/>
          <w:szCs w:val="28"/>
        </w:rPr>
        <w:t>fectiveness, or they can take advantage of the organizational benefits, evidencing effectiveness. When uncertainty is the order of the day, then responses to uncertainty should be made permanent.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risk governance is associated with executive and non-exe</w:t>
      </w:r>
      <w:r>
        <w:rPr>
          <w:rFonts w:ascii="Times New Roman" w:hAnsi="Times New Roman" w:cs="Times New Roman"/>
          <w:sz w:val="28"/>
          <w:szCs w:val="28"/>
        </w:rPr>
        <w:t>cutive board director committees and is designed in such a way that at least three and at most five members are included in the committee, deemed to be the best representation of corporate governance (Basel &amp; Mohammad, 2020). On the same note, risk governa</w:t>
      </w:r>
      <w:r>
        <w:rPr>
          <w:rFonts w:ascii="Times New Roman" w:hAnsi="Times New Roman" w:cs="Times New Roman"/>
          <w:sz w:val="28"/>
          <w:szCs w:val="28"/>
        </w:rPr>
        <w:t>nce is associated with jurisdiction, executive boards and senior-level management of the corporate governance of organizations. The Nigerian code of corporate governance (Securities and Exchange Commission, 2011) further states that boards of directors can</w:t>
      </w:r>
      <w:r>
        <w:rPr>
          <w:rFonts w:ascii="Times New Roman" w:hAnsi="Times New Roman" w:cs="Times New Roman"/>
          <w:sz w:val="28"/>
          <w:szCs w:val="28"/>
        </w:rPr>
        <w:t xml:space="preserve"> have risk committees that help boards to perform some functions that promote sound organizational risk management.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Among the factors of risk governance are the size of committee, independence of the committee and competence of the committee members when i</w:t>
      </w:r>
      <w:r>
        <w:rPr>
          <w:rFonts w:ascii="Times New Roman" w:hAnsi="Times New Roman" w:cs="Times New Roman"/>
          <w:sz w:val="28"/>
          <w:szCs w:val="28"/>
        </w:rPr>
        <w:t>t comes to accounting and finance knowledge (</w:t>
      </w:r>
      <w:proofErr w:type="spellStart"/>
      <w:r>
        <w:rPr>
          <w:rFonts w:ascii="Times New Roman" w:hAnsi="Times New Roman" w:cs="Times New Roman"/>
          <w:sz w:val="28"/>
          <w:szCs w:val="28"/>
        </w:rPr>
        <w:t>Bensaid</w:t>
      </w:r>
      <w:proofErr w:type="spellEnd"/>
      <w:r>
        <w:rPr>
          <w:rFonts w:ascii="Times New Roman" w:hAnsi="Times New Roman" w:cs="Times New Roman"/>
          <w:sz w:val="28"/>
          <w:szCs w:val="28"/>
        </w:rPr>
        <w:t xml:space="preserve"> et al., 2021). These are the following mechanisms: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lastRenderedPageBreak/>
        <w:t>Risk Committee Size:</w:t>
      </w:r>
      <w:r>
        <w:rPr>
          <w:rFonts w:ascii="Times New Roman" w:hAnsi="Times New Roman" w:cs="Times New Roman"/>
          <w:sz w:val="28"/>
          <w:szCs w:val="28"/>
        </w:rPr>
        <w:t xml:space="preserve"> This is the number of directors in a board. Increased numbers of directors can introduce additional ideas and competencies in solving problems in the organization (Al‐</w:t>
      </w:r>
      <w:proofErr w:type="spellStart"/>
      <w:r>
        <w:rPr>
          <w:rFonts w:ascii="Times New Roman" w:hAnsi="Times New Roman" w:cs="Times New Roman"/>
          <w:sz w:val="28"/>
          <w:szCs w:val="28"/>
        </w:rPr>
        <w:t>Hadi</w:t>
      </w:r>
      <w:proofErr w:type="spellEnd"/>
      <w:r>
        <w:rPr>
          <w:rFonts w:ascii="Times New Roman" w:hAnsi="Times New Roman" w:cs="Times New Roman"/>
          <w:sz w:val="28"/>
          <w:szCs w:val="28"/>
        </w:rPr>
        <w:t xml:space="preserve"> et al., 2016). Thus, the number of directors in available committees is an indicato</w:t>
      </w:r>
      <w:r>
        <w:rPr>
          <w:rFonts w:ascii="Times New Roman" w:hAnsi="Times New Roman" w:cs="Times New Roman"/>
          <w:sz w:val="28"/>
          <w:szCs w:val="28"/>
        </w:rPr>
        <w:t>r of enhanced financial performance of organizations. There is also the possibility that the organizational financial performance is related to the size of risk committees.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Risk Committee Accounting Expertise:</w:t>
      </w:r>
      <w:r>
        <w:rPr>
          <w:rFonts w:ascii="Times New Roman" w:hAnsi="Times New Roman" w:cs="Times New Roman"/>
          <w:sz w:val="28"/>
          <w:szCs w:val="28"/>
        </w:rPr>
        <w:t xml:space="preserve"> Competence of directors is also a huge issue that makes boards and sub-committees effective. In this investigation, risk committee competence is considered to be the ratio of risk committee members who have practice and degrees in accounting or business i</w:t>
      </w:r>
      <w:r>
        <w:rPr>
          <w:rFonts w:ascii="Times New Roman" w:hAnsi="Times New Roman" w:cs="Times New Roman"/>
          <w:sz w:val="28"/>
          <w:szCs w:val="28"/>
        </w:rPr>
        <w:t>n general (</w:t>
      </w:r>
      <w:proofErr w:type="spellStart"/>
      <w:r>
        <w:rPr>
          <w:rFonts w:ascii="Times New Roman" w:hAnsi="Times New Roman" w:cs="Times New Roman"/>
          <w:sz w:val="28"/>
          <w:szCs w:val="28"/>
        </w:rPr>
        <w:t>Alduneibat</w:t>
      </w:r>
      <w:proofErr w:type="spellEnd"/>
      <w:r>
        <w:rPr>
          <w:rFonts w:ascii="Times New Roman" w:hAnsi="Times New Roman" w:cs="Times New Roman"/>
          <w:sz w:val="28"/>
          <w:szCs w:val="28"/>
        </w:rPr>
        <w:t xml:space="preserve">, 2023). The account manipulation can be minimized with the help of more experienced and </w:t>
      </w:r>
      <w:proofErr w:type="spellStart"/>
      <w:r>
        <w:rPr>
          <w:rFonts w:ascii="Times New Roman" w:hAnsi="Times New Roman" w:cs="Times New Roman"/>
          <w:sz w:val="28"/>
          <w:szCs w:val="28"/>
        </w:rPr>
        <w:t>skilful</w:t>
      </w:r>
      <w:proofErr w:type="spellEnd"/>
      <w:r>
        <w:rPr>
          <w:rFonts w:ascii="Times New Roman" w:hAnsi="Times New Roman" w:cs="Times New Roman"/>
          <w:sz w:val="28"/>
          <w:szCs w:val="28"/>
        </w:rPr>
        <w:t xml:space="preserve"> directors. Equally, </w:t>
      </w:r>
      <w:proofErr w:type="spellStart"/>
      <w:r>
        <w:rPr>
          <w:rFonts w:ascii="Times New Roman" w:hAnsi="Times New Roman" w:cs="Times New Roman"/>
          <w:sz w:val="28"/>
          <w:szCs w:val="28"/>
        </w:rPr>
        <w:t>Bédard</w:t>
      </w:r>
      <w:proofErr w:type="spellEnd"/>
      <w:r>
        <w:rPr>
          <w:rFonts w:ascii="Times New Roman" w:hAnsi="Times New Roman" w:cs="Times New Roman"/>
          <w:sz w:val="28"/>
          <w:szCs w:val="28"/>
        </w:rPr>
        <w:t xml:space="preserve"> et al. (2004) believed that the presence of at least one financial specialist in risk committees would likely a</w:t>
      </w:r>
      <w:r>
        <w:rPr>
          <w:rFonts w:ascii="Times New Roman" w:hAnsi="Times New Roman" w:cs="Times New Roman"/>
          <w:sz w:val="28"/>
          <w:szCs w:val="28"/>
        </w:rPr>
        <w:t xml:space="preserve">id the discovery of earnings management practices, minimize chances of company failure and have a positive impact on shareholder wealth maximization. Director qualifications and experiences is one of the competence indicators. </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Risk Committee Independence:</w:t>
      </w:r>
      <w:r>
        <w:rPr>
          <w:rFonts w:ascii="Times New Roman" w:hAnsi="Times New Roman" w:cs="Times New Roman"/>
          <w:sz w:val="28"/>
          <w:szCs w:val="28"/>
        </w:rPr>
        <w:t xml:space="preserve"> The independence of the board of directors includes the outside directors and makes up a significant component of corporate governance mechanisms that controls the actions of the management since the directors in their judgment are not affected by persona</w:t>
      </w:r>
      <w:r>
        <w:rPr>
          <w:rFonts w:ascii="Times New Roman" w:hAnsi="Times New Roman" w:cs="Times New Roman"/>
          <w:sz w:val="28"/>
          <w:szCs w:val="28"/>
        </w:rPr>
        <w:t>l interests in the firm, nor are they influenced by partiality. The independence of the risk committees by directors is deemed as a vital instrument in a proper system of governance (</w:t>
      </w:r>
      <w:proofErr w:type="spellStart"/>
      <w:r>
        <w:rPr>
          <w:rFonts w:ascii="Times New Roman" w:hAnsi="Times New Roman" w:cs="Times New Roman"/>
          <w:sz w:val="28"/>
          <w:szCs w:val="28"/>
        </w:rPr>
        <w:t>Aldhamari</w:t>
      </w:r>
      <w:proofErr w:type="spellEnd"/>
      <w:r>
        <w:rPr>
          <w:rFonts w:ascii="Times New Roman" w:hAnsi="Times New Roman" w:cs="Times New Roman"/>
          <w:sz w:val="28"/>
          <w:szCs w:val="28"/>
        </w:rPr>
        <w:t xml:space="preserve"> et al., 2020). It is the primary responsibility of independent </w:t>
      </w:r>
      <w:r>
        <w:rPr>
          <w:rFonts w:ascii="Times New Roman" w:hAnsi="Times New Roman" w:cs="Times New Roman"/>
          <w:sz w:val="28"/>
          <w:szCs w:val="28"/>
        </w:rPr>
        <w:t>members to monitor activities and performance of the management and executive directors.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Tax Strategies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According to the ideas of Hanlon and </w:t>
      </w:r>
      <w:proofErr w:type="spellStart"/>
      <w:r>
        <w:rPr>
          <w:rFonts w:ascii="Times New Roman" w:hAnsi="Times New Roman" w:cs="Times New Roman"/>
          <w:sz w:val="28"/>
          <w:szCs w:val="28"/>
        </w:rPr>
        <w:t>Heitzman</w:t>
      </w:r>
      <w:proofErr w:type="spellEnd"/>
      <w:r>
        <w:rPr>
          <w:rFonts w:ascii="Times New Roman" w:hAnsi="Times New Roman" w:cs="Times New Roman"/>
          <w:sz w:val="28"/>
          <w:szCs w:val="28"/>
        </w:rPr>
        <w:t xml:space="preserve"> (2010), tax strategies can be characterized as a wide spectrum of actions, on one side of which a benign a</w:t>
      </w:r>
      <w:r>
        <w:rPr>
          <w:rFonts w:ascii="Times New Roman" w:hAnsi="Times New Roman" w:cs="Times New Roman"/>
          <w:sz w:val="28"/>
          <w:szCs w:val="28"/>
        </w:rPr>
        <w:t xml:space="preserve">pproach to tax policies is imagined by the tax policy, and on the other side there are tax fraud and evasion. In particular, in accounting tax research, the term tax strategies may refer to the term tax avoidance or tax planning. Tax planning as described </w:t>
      </w:r>
      <w:r>
        <w:rPr>
          <w:rFonts w:ascii="Times New Roman" w:hAnsi="Times New Roman" w:cs="Times New Roman"/>
          <w:sz w:val="28"/>
          <w:szCs w:val="28"/>
        </w:rPr>
        <w:t xml:space="preserve">by Johansson et al. (2017) is a case in which there is a lack of connection between the location of profits and actual activity that produces them. It also comprises of cases whereby effective tax rates of organizations are not presented at the artificial </w:t>
      </w:r>
      <w:r>
        <w:rPr>
          <w:rFonts w:ascii="Times New Roman" w:hAnsi="Times New Roman" w:cs="Times New Roman"/>
          <w:sz w:val="28"/>
          <w:szCs w:val="28"/>
        </w:rPr>
        <w:t xml:space="preserve">rates </w:t>
      </w:r>
      <w:r>
        <w:rPr>
          <w:rFonts w:ascii="Times New Roman" w:hAnsi="Times New Roman" w:cs="Times New Roman"/>
          <w:sz w:val="28"/>
          <w:szCs w:val="28"/>
        </w:rPr>
        <w:lastRenderedPageBreak/>
        <w:t xml:space="preserve">as compared to organization of the same country because of exploitation of tax planning schemes of tax systems loopholes and favorable tax treatment. </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In addition, the definition of tax strategies will be based on Chen et al. (2010) as the attempts t</w:t>
      </w:r>
      <w:r>
        <w:rPr>
          <w:rFonts w:ascii="Times New Roman" w:hAnsi="Times New Roman" w:cs="Times New Roman"/>
          <w:sz w:val="28"/>
          <w:szCs w:val="28"/>
        </w:rPr>
        <w:t>o minimize tax payments through aggressive tax planning operations as well as tax avoidance by taxpayers (i.e. business organizations). Tax strategies as defined by Frank et al. (2008) when the company attempts to reduce its tax expense by using existing t</w:t>
      </w:r>
      <w:r>
        <w:rPr>
          <w:rFonts w:ascii="Times New Roman" w:hAnsi="Times New Roman" w:cs="Times New Roman"/>
          <w:sz w:val="28"/>
          <w:szCs w:val="28"/>
        </w:rPr>
        <w:t>ax loopholes were called tax returns based on manipulation to reduce tax income as tax management. Desai and Dharmapala (2006) describe tax strategy activities as complex and obfuscated which is very challenging to detect by tax administrators. The activit</w:t>
      </w:r>
      <w:r>
        <w:rPr>
          <w:rFonts w:ascii="Times New Roman" w:hAnsi="Times New Roman" w:cs="Times New Roman"/>
          <w:sz w:val="28"/>
          <w:szCs w:val="28"/>
        </w:rPr>
        <w:t>ies of tax strategy may serve as an indicator of high management performance in terms of increasing the organizational net income and thus, generates positive signals to investors (both foreign and local).</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2.2 Theoretical Review</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Risk Management Theory</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sz w:val="28"/>
          <w:szCs w:val="28"/>
        </w:rPr>
        <w:t xml:space="preserve">risk management theory as explained by Tran et al. (2023) asserted that the firms put the interests of the shareholders ahead of the interests of all stakeholders. This was verified by Desai and Dharmapala (2009) that companies that conduct any activities </w:t>
      </w:r>
      <w:r>
        <w:rPr>
          <w:rFonts w:ascii="Times New Roman" w:hAnsi="Times New Roman" w:cs="Times New Roman"/>
          <w:sz w:val="28"/>
          <w:szCs w:val="28"/>
        </w:rPr>
        <w:t>that are likely to lower effective tax rates must be expensive to shareholders as it is more akin to managerial opportunism and rent extraction of administrators rather than shareholder wealth creation. By lowering effective tax rates, they would benefit b</w:t>
      </w:r>
      <w:r>
        <w:rPr>
          <w:rFonts w:ascii="Times New Roman" w:hAnsi="Times New Roman" w:cs="Times New Roman"/>
          <w:sz w:val="28"/>
          <w:szCs w:val="28"/>
        </w:rPr>
        <w:t>y raising after tax profits and consequently, their profits and shareholders would receive bonuses by their managers. Meanwhile, tax strategies present a company with dangerous moves and operations (</w:t>
      </w:r>
      <w:proofErr w:type="spellStart"/>
      <w:r>
        <w:rPr>
          <w:rFonts w:ascii="Times New Roman" w:hAnsi="Times New Roman" w:cs="Times New Roman"/>
          <w:sz w:val="28"/>
          <w:szCs w:val="28"/>
        </w:rPr>
        <w:t>Sholikhah</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Nurdin</w:t>
      </w:r>
      <w:proofErr w:type="spellEnd"/>
      <w:r>
        <w:rPr>
          <w:rFonts w:ascii="Times New Roman" w:hAnsi="Times New Roman" w:cs="Times New Roman"/>
          <w:sz w:val="28"/>
          <w:szCs w:val="28"/>
        </w:rPr>
        <w:t xml:space="preserve">, 2022; Choi and Park, 2022; </w:t>
      </w:r>
      <w:proofErr w:type="spellStart"/>
      <w:r>
        <w:rPr>
          <w:rFonts w:ascii="Times New Roman" w:hAnsi="Times New Roman" w:cs="Times New Roman"/>
          <w:sz w:val="28"/>
          <w:szCs w:val="28"/>
        </w:rPr>
        <w:t>Dyreng</w:t>
      </w:r>
      <w:proofErr w:type="spellEnd"/>
      <w:r>
        <w:rPr>
          <w:rFonts w:ascii="Times New Roman" w:hAnsi="Times New Roman" w:cs="Times New Roman"/>
          <w:sz w:val="28"/>
          <w:szCs w:val="28"/>
        </w:rPr>
        <w:t xml:space="preserve"> e</w:t>
      </w:r>
      <w:r>
        <w:rPr>
          <w:rFonts w:ascii="Times New Roman" w:hAnsi="Times New Roman" w:cs="Times New Roman"/>
          <w:sz w:val="28"/>
          <w:szCs w:val="28"/>
        </w:rPr>
        <w:t>t al., 2018) that shareholders and other investors will face when the financial position of a corporation is unclear.</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theory of risk management believed that the tax strategy practices could subject firms to extreme risks, including loss of reputation,</w:t>
      </w:r>
      <w:r>
        <w:rPr>
          <w:rFonts w:ascii="Times New Roman" w:hAnsi="Times New Roman" w:cs="Times New Roman"/>
          <w:sz w:val="28"/>
          <w:szCs w:val="28"/>
        </w:rPr>
        <w:t xml:space="preserve"> heightened political and media scrutiny, potential fines and penalties by the tax authorities, and boycotting of corporate products by consumers (</w:t>
      </w:r>
      <w:proofErr w:type="spellStart"/>
      <w:r>
        <w:rPr>
          <w:rFonts w:ascii="Times New Roman" w:hAnsi="Times New Roman" w:cs="Times New Roman"/>
          <w:sz w:val="28"/>
          <w:szCs w:val="28"/>
        </w:rPr>
        <w:t>Fombrun</w:t>
      </w:r>
      <w:proofErr w:type="spellEnd"/>
      <w:r>
        <w:rPr>
          <w:rFonts w:ascii="Times New Roman" w:hAnsi="Times New Roman" w:cs="Times New Roman"/>
          <w:sz w:val="28"/>
          <w:szCs w:val="28"/>
        </w:rPr>
        <w:t xml:space="preserve"> et al., 2000; Moser and Martin, 2012). In this instance, companies may avert the risk of image damage</w:t>
      </w:r>
      <w:r>
        <w:rPr>
          <w:rFonts w:ascii="Times New Roman" w:hAnsi="Times New Roman" w:cs="Times New Roman"/>
          <w:sz w:val="28"/>
          <w:szCs w:val="28"/>
        </w:rPr>
        <w:t xml:space="preserve"> through controlling corporate social responsibility and this was empirically confirmed by Huseynov and </w:t>
      </w:r>
      <w:proofErr w:type="spellStart"/>
      <w:r>
        <w:rPr>
          <w:rFonts w:ascii="Times New Roman" w:hAnsi="Times New Roman" w:cs="Times New Roman"/>
          <w:sz w:val="28"/>
          <w:szCs w:val="28"/>
        </w:rPr>
        <w:t>Klamm</w:t>
      </w:r>
      <w:proofErr w:type="spellEnd"/>
      <w:r>
        <w:rPr>
          <w:rFonts w:ascii="Times New Roman" w:hAnsi="Times New Roman" w:cs="Times New Roman"/>
          <w:sz w:val="28"/>
          <w:szCs w:val="28"/>
        </w:rPr>
        <w:t xml:space="preserve"> (2012).</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Also, according to this theory, there will be no activities within companies that have opposing implications to communities. The practices</w:t>
      </w:r>
      <w:r>
        <w:rPr>
          <w:rFonts w:ascii="Times New Roman" w:hAnsi="Times New Roman" w:cs="Times New Roman"/>
          <w:sz w:val="28"/>
          <w:szCs w:val="28"/>
        </w:rPr>
        <w:t xml:space="preserve"> of tax strategy are socially irresponsible activity due to the adverse effects on the economic welfare of the society. Conversely, the risk management theory stated that corporate social responsibility would be viewed as risk management tools to prevent a</w:t>
      </w:r>
      <w:r>
        <w:rPr>
          <w:rFonts w:ascii="Times New Roman" w:hAnsi="Times New Roman" w:cs="Times New Roman"/>
          <w:sz w:val="28"/>
          <w:szCs w:val="28"/>
        </w:rPr>
        <w:t>ny damage of firm reputation in case of their involvement in adverse practices (</w:t>
      </w:r>
      <w:proofErr w:type="spellStart"/>
      <w:r>
        <w:rPr>
          <w:rFonts w:ascii="Times New Roman" w:hAnsi="Times New Roman" w:cs="Times New Roman"/>
          <w:sz w:val="28"/>
          <w:szCs w:val="28"/>
        </w:rPr>
        <w:t>Fombrun</w:t>
      </w:r>
      <w:proofErr w:type="spellEnd"/>
      <w:r>
        <w:rPr>
          <w:rFonts w:ascii="Times New Roman" w:hAnsi="Times New Roman" w:cs="Times New Roman"/>
          <w:sz w:val="28"/>
          <w:szCs w:val="28"/>
        </w:rPr>
        <w:t xml:space="preserve"> et al., 2000; Moser and Martin, 2012). According to the risk management theory, companies can handle corporate social responsibility operations to cushion them against </w:t>
      </w:r>
      <w:r>
        <w:rPr>
          <w:rFonts w:ascii="Times New Roman" w:hAnsi="Times New Roman" w:cs="Times New Roman"/>
          <w:sz w:val="28"/>
          <w:szCs w:val="28"/>
        </w:rPr>
        <w:t>the effects of aggressive tax activity since the operation can have serious adverse organizational effects (Hoi et al., 2013). In other words, according to the risk management theory, companies prioritize the interests of shareholders above all the interes</w:t>
      </w:r>
      <w:r>
        <w:rPr>
          <w:rFonts w:ascii="Times New Roman" w:hAnsi="Times New Roman" w:cs="Times New Roman"/>
          <w:sz w:val="28"/>
          <w:szCs w:val="28"/>
        </w:rPr>
        <w:t>ts of stakeholders (Khan et al., 2022). It suggests that companies ought to intensify corporate social responsibility endeavors, which help them to create good images, and, consequently, reduce reputational risks associated with bad corporate affairs and m</w:t>
      </w:r>
      <w:r>
        <w:rPr>
          <w:rFonts w:ascii="Times New Roman" w:hAnsi="Times New Roman" w:cs="Times New Roman"/>
          <w:sz w:val="28"/>
          <w:szCs w:val="28"/>
        </w:rPr>
        <w:t>aximization of shareholder interests (Godfrey, 2005).</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2.3 Empirical Review</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Eguavoen</w:t>
      </w:r>
      <w:proofErr w:type="spellEnd"/>
      <w:r>
        <w:rPr>
          <w:rFonts w:ascii="Times New Roman" w:hAnsi="Times New Roman" w:cs="Times New Roman"/>
          <w:sz w:val="28"/>
          <w:szCs w:val="28"/>
        </w:rPr>
        <w:t xml:space="preserve"> et al., (2023) reviewed the effects of board attributes on tax strategies applied to listed oil and gas companies in Nigeria on 2011-2020. The sample used was the whole 13 </w:t>
      </w:r>
      <w:r>
        <w:rPr>
          <w:rFonts w:ascii="Times New Roman" w:hAnsi="Times New Roman" w:cs="Times New Roman"/>
          <w:sz w:val="28"/>
          <w:szCs w:val="28"/>
        </w:rPr>
        <w:t>oil and gas companies listed at the Nigeria exchange. The study involved disproportionate panel which comprised of companies that were delisted as well as those that were listed since the period. The data collected was secondary and it was obtained in fina</w:t>
      </w:r>
      <w:r>
        <w:rPr>
          <w:rFonts w:ascii="Times New Roman" w:hAnsi="Times New Roman" w:cs="Times New Roman"/>
          <w:sz w:val="28"/>
          <w:szCs w:val="28"/>
        </w:rPr>
        <w:t>ncial reports and accounts of sampled companies. The research adopted multicollinearity test, heteroskedasticity normality test, and Generalized Least Square Random Effect as the optimal regression model estimator. The study found that gender diversity and</w:t>
      </w:r>
      <w:r>
        <w:rPr>
          <w:rFonts w:ascii="Times New Roman" w:hAnsi="Times New Roman" w:cs="Times New Roman"/>
          <w:sz w:val="28"/>
          <w:szCs w:val="28"/>
        </w:rPr>
        <w:t xml:space="preserve"> board financial expertise are closely related to the poor ETR of oil and gas companies in Nigeria, thereby signifying that gender diversity and board financial expertise decrease ETR and promote tax strategies of sampled companies.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In a quantitative study</w:t>
      </w:r>
      <w:r>
        <w:rPr>
          <w:rFonts w:ascii="Times New Roman" w:hAnsi="Times New Roman" w:cs="Times New Roman"/>
          <w:sz w:val="28"/>
          <w:szCs w:val="28"/>
        </w:rPr>
        <w:t xml:space="preserve"> of non-financial listed companies in Nigeria, </w:t>
      </w:r>
      <w:proofErr w:type="spellStart"/>
      <w:r>
        <w:rPr>
          <w:rFonts w:ascii="Times New Roman" w:hAnsi="Times New Roman" w:cs="Times New Roman"/>
          <w:sz w:val="28"/>
          <w:szCs w:val="28"/>
        </w:rPr>
        <w:t>Aronmwan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Ogbaisi</w:t>
      </w:r>
      <w:proofErr w:type="spellEnd"/>
      <w:r>
        <w:rPr>
          <w:rFonts w:ascii="Times New Roman" w:hAnsi="Times New Roman" w:cs="Times New Roman"/>
          <w:sz w:val="28"/>
          <w:szCs w:val="28"/>
        </w:rPr>
        <w:t xml:space="preserve"> (2022) tested the relationship between the constituting standalone risk committees and tax strategies. The research used financial statements of eighty (80) companies based on twelve (12) </w:t>
      </w:r>
      <w:r>
        <w:rPr>
          <w:rFonts w:ascii="Times New Roman" w:hAnsi="Times New Roman" w:cs="Times New Roman"/>
          <w:sz w:val="28"/>
          <w:szCs w:val="28"/>
        </w:rPr>
        <w:t xml:space="preserve">years (20082019). Results of the investigation </w:t>
      </w:r>
      <w:r>
        <w:rPr>
          <w:rFonts w:ascii="Times New Roman" w:hAnsi="Times New Roman" w:cs="Times New Roman"/>
          <w:sz w:val="28"/>
          <w:szCs w:val="28"/>
        </w:rPr>
        <w:lastRenderedPageBreak/>
        <w:t>indicated that the existence of independent risk committees can help to reduce tax aggressive practice in Nigeria.</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authors of </w:t>
      </w:r>
      <w:proofErr w:type="spellStart"/>
      <w:r>
        <w:rPr>
          <w:rFonts w:ascii="Times New Roman" w:hAnsi="Times New Roman" w:cs="Times New Roman"/>
          <w:sz w:val="28"/>
          <w:szCs w:val="28"/>
        </w:rPr>
        <w:t>Khaoula</w:t>
      </w:r>
      <w:proofErr w:type="spellEnd"/>
      <w:r>
        <w:rPr>
          <w:rFonts w:ascii="Times New Roman" w:hAnsi="Times New Roman" w:cs="Times New Roman"/>
          <w:sz w:val="28"/>
          <w:szCs w:val="28"/>
        </w:rPr>
        <w:t xml:space="preserve"> and Ali, (2012) analyzed the effects of board characteristics on tax pl</w:t>
      </w:r>
      <w:r>
        <w:rPr>
          <w:rFonts w:ascii="Times New Roman" w:hAnsi="Times New Roman" w:cs="Times New Roman"/>
          <w:sz w:val="28"/>
          <w:szCs w:val="28"/>
        </w:rPr>
        <w:t>anning based on the sample of 73 French companies operating in SBF 120 index during ten years (i.e., 2006-2010). Regression analysis was used and the findings revealed that percentage of women on boards and board size are some of the factors that influence</w:t>
      </w:r>
      <w:r>
        <w:rPr>
          <w:rFonts w:ascii="Times New Roman" w:hAnsi="Times New Roman" w:cs="Times New Roman"/>
          <w:sz w:val="28"/>
          <w:szCs w:val="28"/>
        </w:rPr>
        <w:t xml:space="preserve"> ETR. They also discover that the ETRs are affected by the firm size and the ETRs are influenced by the asset returns. Also, the study by </w:t>
      </w:r>
      <w:proofErr w:type="spellStart"/>
      <w:r>
        <w:rPr>
          <w:rFonts w:ascii="Times New Roman" w:hAnsi="Times New Roman" w:cs="Times New Roman"/>
          <w:sz w:val="28"/>
          <w:szCs w:val="28"/>
        </w:rPr>
        <w:t>Aliani</w:t>
      </w:r>
      <w:proofErr w:type="spellEnd"/>
      <w:r>
        <w:rPr>
          <w:rFonts w:ascii="Times New Roman" w:hAnsi="Times New Roman" w:cs="Times New Roman"/>
          <w:sz w:val="28"/>
          <w:szCs w:val="28"/>
        </w:rPr>
        <w:t xml:space="preserve"> (2013) explores the impact of corporate governance (CG) on tax planning based on a sample of 300 American firms</w:t>
      </w:r>
      <w:r>
        <w:rPr>
          <w:rFonts w:ascii="Times New Roman" w:hAnsi="Times New Roman" w:cs="Times New Roman"/>
          <w:sz w:val="28"/>
          <w:szCs w:val="28"/>
        </w:rPr>
        <w:t xml:space="preserve"> during the 1996-2009. The research revealed that there is negligible correlation between tax planning and board size.</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2.4 Gap in Literature</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On the basis of the prior review of studies, the sufficient evidence on the simultaneous risk governance impacts on</w:t>
      </w:r>
      <w:r>
        <w:rPr>
          <w:rFonts w:ascii="Times New Roman" w:hAnsi="Times New Roman" w:cs="Times New Roman"/>
          <w:sz w:val="28"/>
          <w:szCs w:val="28"/>
        </w:rPr>
        <w:t xml:space="preserve"> tax strategies could not be demonstrated. One of the critical variables that can be adopted by the management to evaluate risk in the context of organizational tax strategies is risk governance. The majority of the prior studies in the Nigerian context fa</w:t>
      </w:r>
      <w:r>
        <w:rPr>
          <w:rFonts w:ascii="Times New Roman" w:hAnsi="Times New Roman" w:cs="Times New Roman"/>
          <w:sz w:val="28"/>
          <w:szCs w:val="28"/>
        </w:rPr>
        <w:t>iled to use cross-sectional panel data to explore the effects of the risk governance on tax strategies and this can influence generalization. More than that, numerous studies analyzed based on empirical review to date investigated risk governance on tax st</w:t>
      </w:r>
      <w:r>
        <w:rPr>
          <w:rFonts w:ascii="Times New Roman" w:hAnsi="Times New Roman" w:cs="Times New Roman"/>
          <w:sz w:val="28"/>
          <w:szCs w:val="28"/>
        </w:rPr>
        <w:t>rategies and had a one-sector focus, whereas the recent study investigated risk governance in Nigeria on tax strategies on risk committee size, risk committee accounting expertise, and risk committee independence considering 10 sectors. This research close</w:t>
      </w:r>
      <w:r>
        <w:rPr>
          <w:rFonts w:ascii="Times New Roman" w:hAnsi="Times New Roman" w:cs="Times New Roman"/>
          <w:sz w:val="28"/>
          <w:szCs w:val="28"/>
        </w:rPr>
        <w:t>d the divide and further takes the period of time more into a present year in an effort to unravel conflicting results that have been present in the past. This study therefore explored the interaction between risk governance and tax policies of the Nigeria</w:t>
      </w:r>
      <w:r>
        <w:rPr>
          <w:rFonts w:ascii="Times New Roman" w:hAnsi="Times New Roman" w:cs="Times New Roman"/>
          <w:sz w:val="28"/>
          <w:szCs w:val="28"/>
        </w:rPr>
        <w:t>n publicly traded firms.</w:t>
      </w:r>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3. METHODOLOGY</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3.1 Research Design</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This research study took ex-post facto research design. This is due to the fact that the research design enabled the use of historical data. Secondary data were used. To determine the sample of c</w:t>
      </w:r>
      <w:r>
        <w:rPr>
          <w:rFonts w:ascii="Times New Roman" w:hAnsi="Times New Roman" w:cs="Times New Roman"/>
          <w:sz w:val="28"/>
          <w:szCs w:val="28"/>
        </w:rPr>
        <w:t>ompanies to use in the study, scientific method was applied to select fifty-four (54) companies among one hundred and sixty-three (163) listed companies categorized into ten (10) sectors; that is, Construction and Real Estate sector, Conglomerate sector, C</w:t>
      </w:r>
      <w:r>
        <w:rPr>
          <w:rFonts w:ascii="Times New Roman" w:hAnsi="Times New Roman" w:cs="Times New Roman"/>
          <w:sz w:val="28"/>
          <w:szCs w:val="28"/>
        </w:rPr>
        <w:t>onsumers sector, Services sector and Industrial Goods sector, Agricultural sector, Information Communication Technology sector, Natural Resources sector, Financial Services sector, and Oil and Gas sector between 2013 and 2022 in the NXG.</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3.2 Model Specific</w:t>
      </w:r>
      <w:r>
        <w:rPr>
          <w:rFonts w:ascii="Times New Roman" w:hAnsi="Times New Roman" w:cs="Times New Roman"/>
          <w:sz w:val="28"/>
          <w:szCs w:val="28"/>
        </w:rPr>
        <w:t>ation</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Frances Galton (1974) specifies the regression model as follows: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y = a + x + e ... (1)</w:t>
      </w:r>
    </w:p>
    <w:p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Thus</w:t>
      </w:r>
      <w:proofErr w:type="gramEnd"/>
      <w:r>
        <w:rPr>
          <w:rFonts w:ascii="Times New Roman" w:hAnsi="Times New Roman" w:cs="Times New Roman"/>
          <w:sz w:val="28"/>
          <w:szCs w:val="28"/>
        </w:rPr>
        <w:t xml:space="preserve"> re-writing the model according to equation 1 above, the investigation has that: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ETR</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w:t>
      </w:r>
      <w:proofErr w:type="gramStart"/>
      <w:r>
        <w:rPr>
          <w:rFonts w:ascii="Times New Roman" w:hAnsi="Times New Roman" w:cs="Times New Roman"/>
          <w:sz w:val="28"/>
          <w:szCs w:val="28"/>
        </w:rPr>
        <w:t>f(</w:t>
      </w:r>
      <w:proofErr w:type="gramEnd"/>
      <w:r>
        <w:rPr>
          <w:rFonts w:ascii="Times New Roman" w:hAnsi="Times New Roman" w:cs="Times New Roman"/>
          <w:sz w:val="28"/>
          <w:szCs w:val="28"/>
        </w:rPr>
        <w:t>RMS</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RMAE</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RMI</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 (2)</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Where:</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ETR ix t = Effective Tax Record</w:t>
      </w:r>
      <w:r>
        <w:rPr>
          <w:rFonts w:ascii="Times New Roman" w:hAnsi="Times New Roman" w:cs="Times New Roman"/>
          <w:sz w:val="28"/>
          <w:szCs w:val="28"/>
        </w:rPr>
        <w:t xml:space="preserve"> of individual firm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at period t (proxy of Tax Strategies)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RMS 0 3 = Risk Committee Size of a single firm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in period 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RMAE 3 = Risk Committee Accounting Expertise of company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at time 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RMI 3 8 = Independence of individual company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at period t at </w:t>
      </w:r>
      <w:r>
        <w:rPr>
          <w:rFonts w:ascii="Times New Roman" w:hAnsi="Times New Roman" w:cs="Times New Roman"/>
          <w:sz w:val="28"/>
          <w:szCs w:val="28"/>
        </w:rPr>
        <w:t>Risk Committee.</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In order to test risk governance effect on tax strategies empirically, the investigation hypothesized that tax strategies can be used as proxy of Effective Tax Rate (ETR) is behaviorally dependent upon different risk governance constructs. </w:t>
      </w:r>
      <w:r>
        <w:rPr>
          <w:rFonts w:ascii="Times New Roman" w:hAnsi="Times New Roman" w:cs="Times New Roman"/>
          <w:sz w:val="28"/>
          <w:szCs w:val="28"/>
        </w:rPr>
        <w:t>Therefore, the following was considered such behavioral influence:</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ETR</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a + β₁RMS</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β₂RMAE</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β₃RMI</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ε</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(3)</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Trying to stipulate all the variable values in equation (3), we can rewrite equation (3) as: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ETR</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a + β₁RMS</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β₂RMAE</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β₃RMI</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w:t>
      </w:r>
      <w:r>
        <w:rPr>
          <w:rFonts w:ascii="Times New Roman" w:hAnsi="Times New Roman" w:cs="Times New Roman"/>
          <w:sz w:val="28"/>
          <w:szCs w:val="28"/>
        </w:rPr>
        <w:t>+ β₄FL + ε</w:t>
      </w:r>
      <w:r>
        <w:rPr>
          <w:rFonts w:ascii="Times New Roman" w:hAnsi="Times New Roman" w:cs="Times New Roman"/>
          <w:sz w:val="28"/>
          <w:szCs w:val="28"/>
        </w:rPr>
        <w:t>ᵢ</w:t>
      </w:r>
      <w:r>
        <w:rPr>
          <w:rFonts w:ascii="Times New Roman" w:hAnsi="Times New Roman" w:cs="Times New Roman"/>
          <w:sz w:val="28"/>
          <w:szCs w:val="28"/>
        </w:rPr>
        <w:t>ₜ</w:t>
      </w:r>
      <w:r>
        <w:rPr>
          <w:rFonts w:ascii="Times New Roman" w:hAnsi="Times New Roman" w:cs="Times New Roman"/>
          <w:sz w:val="28"/>
          <w:szCs w:val="28"/>
        </w:rPr>
        <w:t xml:space="preserve"> ... (4)</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Where:</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a = Constant parameter</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8 -1 to 8 -4 = parameters to be estimated.</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 = periods 2013 through 2022</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 cross-section (54 listed companies)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εₜ = error term</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FL = Firm Level (control variable)</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On a-priori, we expect: β₁ &lt; 0, β₂ &lt; 0, </w:t>
      </w:r>
      <w:r>
        <w:rPr>
          <w:rFonts w:ascii="Times New Roman" w:hAnsi="Times New Roman" w:cs="Times New Roman"/>
          <w:sz w:val="28"/>
          <w:szCs w:val="28"/>
        </w:rPr>
        <w:t>β₃ &gt; 0, and β₄ &gt; 0.</w:t>
      </w:r>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4. RESULTS AND INTERPRETATION</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4.1 Descriptive Statistics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Table 1: Descriptive Statistics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63"/>
        <w:gridCol w:w="1260"/>
        <w:gridCol w:w="990"/>
        <w:gridCol w:w="916"/>
        <w:gridCol w:w="850"/>
        <w:gridCol w:w="855"/>
      </w:tblGrid>
      <w:tr w:rsidR="006A5329">
        <w:trPr>
          <w:tblHeader/>
          <w:tblCellSpacing w:w="15" w:type="dxa"/>
        </w:trPr>
        <w:tc>
          <w:tcPr>
            <w:tcW w:w="0" w:type="auto"/>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Statistic</w:t>
            </w:r>
          </w:p>
        </w:tc>
        <w:tc>
          <w:tcPr>
            <w:tcW w:w="0" w:type="auto"/>
            <w:tcBorders>
              <w:lef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ETR</w:t>
            </w:r>
          </w:p>
        </w:tc>
        <w:tc>
          <w:tcPr>
            <w:tcW w:w="0" w:type="auto"/>
            <w:tcBorders>
              <w:left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RMS</w:t>
            </w:r>
          </w:p>
        </w:tc>
        <w:tc>
          <w:tcPr>
            <w:tcW w:w="0" w:type="auto"/>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RMAE</w:t>
            </w:r>
          </w:p>
        </w:tc>
        <w:tc>
          <w:tcPr>
            <w:tcW w:w="0" w:type="auto"/>
            <w:tcBorders>
              <w:left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RMI</w:t>
            </w:r>
          </w:p>
        </w:tc>
        <w:tc>
          <w:tcPr>
            <w:tcW w:w="0" w:type="auto"/>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FL</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Mean</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0.105</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0.401</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4.291</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3.296</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0.226</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Median</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0.115</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0.320</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4.000</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3.000</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0.220</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Maximum</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1.190</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1.030</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9.000</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7.000</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0.450</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Minimum</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-0.990</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0.090</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0.100</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Std. Dev.</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0.140</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0.243</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1.889</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1.505</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0.074</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Skewness</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0.355</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1.249</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0.576</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0.675</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0.933</w:t>
            </w:r>
          </w:p>
        </w:tc>
      </w:tr>
      <w:tr w:rsidR="006A5329">
        <w:trPr>
          <w:tblCellSpacing w:w="15" w:type="dxa"/>
        </w:trPr>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Kurtosis</w:t>
            </w:r>
          </w:p>
        </w:tc>
        <w:tc>
          <w:tcPr>
            <w:tcW w:w="0" w:type="auto"/>
            <w:tcBorders>
              <w:top w:val="single" w:sz="4" w:space="0" w:color="auto"/>
              <w:left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34.612</w:t>
            </w:r>
          </w:p>
        </w:tc>
        <w:tc>
          <w:tcPr>
            <w:tcW w:w="0" w:type="auto"/>
            <w:tcBorders>
              <w:top w:val="single" w:sz="4" w:space="0" w:color="auto"/>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3.567</w:t>
            </w:r>
          </w:p>
        </w:tc>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2.743</w:t>
            </w:r>
          </w:p>
        </w:tc>
        <w:tc>
          <w:tcPr>
            <w:tcW w:w="0" w:type="auto"/>
            <w:tcBorders>
              <w:top w:val="single" w:sz="4" w:space="0" w:color="auto"/>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2.794</w:t>
            </w:r>
          </w:p>
        </w:tc>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3.806</w:t>
            </w:r>
          </w:p>
        </w:tc>
      </w:tr>
      <w:tr w:rsidR="006A5329">
        <w:trPr>
          <w:tblCellSpacing w:w="15" w:type="dxa"/>
        </w:trPr>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Jarque-Bera</w:t>
            </w:r>
            <w:proofErr w:type="spellEnd"/>
          </w:p>
        </w:tc>
        <w:tc>
          <w:tcPr>
            <w:tcW w:w="0" w:type="auto"/>
            <w:tcBorders>
              <w:left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22495.650</w:t>
            </w:r>
          </w:p>
        </w:tc>
        <w:tc>
          <w:tcPr>
            <w:tcW w:w="0" w:type="auto"/>
            <w:tcBorders>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147.606</w:t>
            </w:r>
          </w:p>
        </w:tc>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31.327</w:t>
            </w:r>
          </w:p>
        </w:tc>
        <w:tc>
          <w:tcPr>
            <w:tcW w:w="0" w:type="auto"/>
            <w:tcBorders>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41.981</w:t>
            </w:r>
          </w:p>
        </w:tc>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92.924</w:t>
            </w:r>
          </w:p>
        </w:tc>
      </w:tr>
      <w:tr w:rsidR="006A5329">
        <w:trPr>
          <w:tblCellSpacing w:w="15" w:type="dxa"/>
        </w:trPr>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Probability</w:t>
            </w:r>
          </w:p>
        </w:tc>
        <w:tc>
          <w:tcPr>
            <w:tcW w:w="0" w:type="auto"/>
            <w:tcBorders>
              <w:left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trPr>
          <w:tblCellSpacing w:w="15" w:type="dxa"/>
        </w:trPr>
        <w:tc>
          <w:tcPr>
            <w:tcW w:w="0" w:type="auto"/>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Observations</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tcBorders>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tcBorders>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r>
    </w:tbl>
    <w:p w:rsidR="006A5329" w:rsidRDefault="006B68FF">
      <w:pPr>
        <w:jc w:val="both"/>
        <w:rPr>
          <w:rFonts w:ascii="Times New Roman" w:hAnsi="Times New Roman" w:cs="Times New Roman"/>
          <w:sz w:val="28"/>
          <w:szCs w:val="28"/>
        </w:rPr>
      </w:pPr>
      <w:r>
        <w:rPr>
          <w:rFonts w:ascii="Times New Roman" w:hAnsi="Times New Roman" w:cs="Times New Roman"/>
          <w:sz w:val="28"/>
          <w:szCs w:val="28"/>
        </w:rPr>
        <w:t>Source: Author's Computation, 2025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Table 1 presents the descriptive statistics of variables considered in the investigation, which reflect different risk governance dimensions of the Nigerian publicly traded companies. </w:t>
      </w:r>
      <w:r>
        <w:rPr>
          <w:rFonts w:ascii="Times New Roman" w:hAnsi="Times New Roman" w:cs="Times New Roman"/>
          <w:sz w:val="28"/>
          <w:szCs w:val="28"/>
        </w:rPr>
        <w:t>Effective Tax Rate (ETR) which serves as proxy of Tax Strategies has a mean value of 0.105. Mean Value of risk Committee Size (RMS) is 0.401 which means that on an average, the size levels of Risk Committee were moderate in the companies. Accounting Expert</w:t>
      </w:r>
      <w:r>
        <w:rPr>
          <w:rFonts w:ascii="Times New Roman" w:hAnsi="Times New Roman" w:cs="Times New Roman"/>
          <w:sz w:val="28"/>
          <w:szCs w:val="28"/>
        </w:rPr>
        <w:t>ise in the Risk Committee has mean value of 4.291 which states that on an average basis, companies have an average level of accounting expertise in their Risk Committees which is moderate. Its standard deviation of 1.889 indicates that the accounting exper</w:t>
      </w:r>
      <w:r>
        <w:rPr>
          <w:rFonts w:ascii="Times New Roman" w:hAnsi="Times New Roman" w:cs="Times New Roman"/>
          <w:sz w:val="28"/>
          <w:szCs w:val="28"/>
        </w:rPr>
        <w:t>tise in the firms is widely spread and may affect the quality of financial oversight and risk evaluation. The RMAE has a range of 1.000 to 9.000, with the firms at the lower end that do not have adequate accounting skills and would have weak financial cont</w:t>
      </w:r>
      <w:r>
        <w:rPr>
          <w:rFonts w:ascii="Times New Roman" w:hAnsi="Times New Roman" w:cs="Times New Roman"/>
          <w:sz w:val="28"/>
          <w:szCs w:val="28"/>
        </w:rPr>
        <w:t>rols whereas the firms in the upper end would be well placed to handle financial risks.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Mean Value of risk committee Independence (RMI) has a value of 3.296 indicating that on average, firms possess moderate levels of the independent risk governance member</w:t>
      </w:r>
      <w:r>
        <w:rPr>
          <w:rFonts w:ascii="Times New Roman" w:hAnsi="Times New Roman" w:cs="Times New Roman"/>
          <w:sz w:val="28"/>
          <w:szCs w:val="28"/>
        </w:rPr>
        <w:t>s, which is vital in making objective decisions. The standard deviation of 1.505 indicates that there is high variability in the manner the firms organize their risk governance, and this may affect their risk management performance. The RMI was in the rang</w:t>
      </w:r>
      <w:r>
        <w:rPr>
          <w:rFonts w:ascii="Times New Roman" w:hAnsi="Times New Roman" w:cs="Times New Roman"/>
          <w:sz w:val="28"/>
          <w:szCs w:val="28"/>
        </w:rPr>
        <w:t>e of 1.000 to 7.000 which implies that the firms have limited independent governance, and some have full independent Risk Committee which can result in more balanced and risk-averse policies.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Mean value of Firm Level (FL) is 0.226, which shows that compani</w:t>
      </w:r>
      <w:r>
        <w:rPr>
          <w:rFonts w:ascii="Times New Roman" w:hAnsi="Times New Roman" w:cs="Times New Roman"/>
          <w:sz w:val="28"/>
          <w:szCs w:val="28"/>
        </w:rPr>
        <w:t>es, on average, have quite low levels of firm-specific risk. The standard deviation of 0.074 indicates that there is moderate variation in the risk of firms in the sample. The FL is equal to 0.100 to 0.450, and companies with low end of the scale have less</w:t>
      </w:r>
      <w:r>
        <w:rPr>
          <w:rFonts w:ascii="Times New Roman" w:hAnsi="Times New Roman" w:cs="Times New Roman"/>
          <w:sz w:val="28"/>
          <w:szCs w:val="28"/>
        </w:rPr>
        <w:t xml:space="preserve"> firm-specific risks, whereas companies with high end may have less robust risk management strategies as they may be working in more volatile or complex environments.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4.2 Correlation Analysis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lastRenderedPageBreak/>
        <w:t>Table 2: Correlation Analysis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51"/>
        <w:gridCol w:w="970"/>
        <w:gridCol w:w="980"/>
        <w:gridCol w:w="980"/>
        <w:gridCol w:w="980"/>
        <w:gridCol w:w="725"/>
      </w:tblGrid>
      <w:tr w:rsidR="006A5329">
        <w:trPr>
          <w:tblHeader/>
          <w:tblCellSpacing w:w="15" w:type="dxa"/>
        </w:trPr>
        <w:tc>
          <w:tcPr>
            <w:tcW w:w="0" w:type="auto"/>
            <w:tcBorders>
              <w:right w:val="single" w:sz="4" w:space="0" w:color="auto"/>
            </w:tcBorders>
            <w:vAlign w:val="center"/>
          </w:tcPr>
          <w:p w:rsidR="006A5329" w:rsidRDefault="006A5329">
            <w:pPr>
              <w:jc w:val="both"/>
              <w:rPr>
                <w:rFonts w:ascii="Times New Roman" w:hAnsi="Times New Roman" w:cs="Times New Roman"/>
                <w:sz w:val="28"/>
                <w:szCs w:val="28"/>
              </w:rPr>
            </w:pPr>
          </w:p>
        </w:tc>
        <w:tc>
          <w:tcPr>
            <w:tcW w:w="0" w:type="auto"/>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ETR</w:t>
            </w:r>
          </w:p>
        </w:tc>
        <w:tc>
          <w:tcPr>
            <w:tcW w:w="0" w:type="auto"/>
            <w:tcBorders>
              <w:lef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RMS</w:t>
            </w:r>
          </w:p>
        </w:tc>
        <w:tc>
          <w:tcPr>
            <w:tcW w:w="0" w:type="auto"/>
            <w:tcBorders>
              <w:lef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RMAE</w:t>
            </w:r>
          </w:p>
        </w:tc>
        <w:tc>
          <w:tcPr>
            <w:tcW w:w="0" w:type="auto"/>
            <w:tcBorders>
              <w:lef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RMI</w:t>
            </w:r>
          </w:p>
        </w:tc>
        <w:tc>
          <w:tcPr>
            <w:tcW w:w="0" w:type="auto"/>
            <w:tcBorders>
              <w:lef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FL</w:t>
            </w:r>
          </w:p>
        </w:tc>
      </w:tr>
      <w:tr w:rsidR="006A5329">
        <w:trPr>
          <w:tblCellSpacing w:w="15" w:type="dxa"/>
        </w:trPr>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ETR</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r>
      <w:tr w:rsidR="006A5329">
        <w:trPr>
          <w:tblCellSpacing w:w="15" w:type="dxa"/>
        </w:trPr>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RMS</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0.147**</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r>
      <w:tr w:rsidR="006A5329">
        <w:trPr>
          <w:tblCellSpacing w:w="15" w:type="dxa"/>
        </w:trPr>
        <w:tc>
          <w:tcPr>
            <w:tcW w:w="0" w:type="auto"/>
            <w:tcBorders>
              <w:top w:val="single" w:sz="4" w:space="0" w:color="auto"/>
              <w:righ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(0.009)</w:t>
            </w: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r>
      <w:tr w:rsidR="006A5329">
        <w:trPr>
          <w:tblCellSpacing w:w="15" w:type="dxa"/>
        </w:trPr>
        <w:tc>
          <w:tcPr>
            <w:tcW w:w="0" w:type="auto"/>
            <w:tcBorders>
              <w:top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RMAE</w:t>
            </w:r>
          </w:p>
        </w:tc>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0.153**</w:t>
            </w:r>
          </w:p>
        </w:tc>
        <w:tc>
          <w:tcPr>
            <w:tcW w:w="0" w:type="auto"/>
            <w:tcBorders>
              <w:top w:val="single" w:sz="4" w:space="0" w:color="auto"/>
              <w:left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0.737**</w:t>
            </w:r>
          </w:p>
        </w:tc>
        <w:tc>
          <w:tcPr>
            <w:tcW w:w="0" w:type="auto"/>
            <w:tcBorders>
              <w:top w:val="single" w:sz="4" w:space="0" w:color="auto"/>
              <w:left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bottom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rsidR="006A5329" w:rsidRDefault="006A5329">
            <w:pPr>
              <w:jc w:val="both"/>
              <w:rPr>
                <w:rFonts w:ascii="Times New Roman" w:hAnsi="Times New Roman" w:cs="Times New Roman"/>
                <w:sz w:val="28"/>
                <w:szCs w:val="28"/>
              </w:rPr>
            </w:pPr>
          </w:p>
        </w:tc>
      </w:tr>
      <w:tr w:rsidR="006A5329">
        <w:trPr>
          <w:tblCellSpacing w:w="15" w:type="dxa"/>
        </w:trPr>
        <w:tc>
          <w:tcPr>
            <w:tcW w:w="0" w:type="auto"/>
            <w:tcBorders>
              <w:right w:val="single" w:sz="4" w:space="0" w:color="auto"/>
            </w:tcBorders>
            <w:vAlign w:val="center"/>
          </w:tcPr>
          <w:p w:rsidR="006A5329" w:rsidRDefault="006A5329">
            <w:pPr>
              <w:jc w:val="both"/>
              <w:rPr>
                <w:rFonts w:ascii="Times New Roman" w:hAnsi="Times New Roman" w:cs="Times New Roman"/>
                <w:sz w:val="28"/>
                <w:szCs w:val="28"/>
              </w:rPr>
            </w:pPr>
          </w:p>
        </w:tc>
        <w:tc>
          <w:tcPr>
            <w:tcW w:w="0" w:type="auto"/>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left w:val="single" w:sz="4" w:space="0" w:color="auto"/>
            </w:tcBorders>
            <w:vAlign w:val="center"/>
          </w:tcPr>
          <w:p w:rsidR="006A5329" w:rsidRDefault="006A5329">
            <w:pPr>
              <w:jc w:val="both"/>
              <w:rPr>
                <w:rFonts w:ascii="Times New Roman" w:hAnsi="Times New Roman" w:cs="Times New Roman"/>
                <w:sz w:val="28"/>
                <w:szCs w:val="28"/>
              </w:rPr>
            </w:pPr>
          </w:p>
        </w:tc>
      </w:tr>
      <w:tr w:rsidR="006A5329">
        <w:trPr>
          <w:tblCellSpacing w:w="15" w:type="dxa"/>
        </w:trPr>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RMI</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0.153**</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0.737**</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0.546**</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r>
      <w:tr w:rsidR="006A5329">
        <w:trPr>
          <w:tblCellSpacing w:w="15" w:type="dxa"/>
        </w:trPr>
        <w:tc>
          <w:tcPr>
            <w:tcW w:w="0" w:type="auto"/>
            <w:tcBorders>
              <w:top w:val="single" w:sz="4" w:space="0" w:color="auto"/>
              <w:righ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top w:val="single" w:sz="4" w:space="0" w:color="auto"/>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rsidR="006A5329" w:rsidRDefault="006A5329">
            <w:pPr>
              <w:jc w:val="both"/>
              <w:rPr>
                <w:rFonts w:ascii="Times New Roman" w:hAnsi="Times New Roman" w:cs="Times New Roman"/>
                <w:sz w:val="28"/>
                <w:szCs w:val="28"/>
              </w:rPr>
            </w:pPr>
          </w:p>
        </w:tc>
      </w:tr>
      <w:tr w:rsidR="006A5329">
        <w:trPr>
          <w:tblCellSpacing w:w="15" w:type="dxa"/>
        </w:trPr>
        <w:tc>
          <w:tcPr>
            <w:tcW w:w="0" w:type="auto"/>
            <w:tcBorders>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FL</w:t>
            </w:r>
          </w:p>
        </w:tc>
        <w:tc>
          <w:tcPr>
            <w:tcW w:w="0" w:type="auto"/>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0.061</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0.191**</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0.165**</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0.210**</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r>
      <w:tr w:rsidR="006A5329">
        <w:trPr>
          <w:tblCellSpacing w:w="15" w:type="dxa"/>
        </w:trPr>
        <w:tc>
          <w:tcPr>
            <w:tcW w:w="0" w:type="auto"/>
            <w:tcBorders>
              <w:right w:val="single" w:sz="4" w:space="0" w:color="auto"/>
            </w:tcBorders>
            <w:vAlign w:val="center"/>
          </w:tcPr>
          <w:p w:rsidR="006A5329" w:rsidRDefault="006A5329">
            <w:pPr>
              <w:jc w:val="both"/>
              <w:rPr>
                <w:rFonts w:ascii="Times New Roman" w:hAnsi="Times New Roman" w:cs="Times New Roman"/>
                <w:sz w:val="28"/>
                <w:szCs w:val="28"/>
              </w:rPr>
            </w:pPr>
          </w:p>
        </w:tc>
        <w:tc>
          <w:tcPr>
            <w:tcW w:w="0" w:type="auto"/>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(0.157)</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rsidR="006A5329" w:rsidRDefault="006A5329">
            <w:pPr>
              <w:jc w:val="both"/>
              <w:rPr>
                <w:rFonts w:ascii="Times New Roman" w:hAnsi="Times New Roman" w:cs="Times New Roman"/>
                <w:sz w:val="28"/>
                <w:szCs w:val="28"/>
              </w:rPr>
            </w:pPr>
          </w:p>
        </w:tc>
      </w:tr>
    </w:tbl>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 xml:space="preserve">Note: *** represents </w:t>
      </w:r>
      <w:r>
        <w:rPr>
          <w:rFonts w:ascii="Times New Roman" w:hAnsi="Times New Roman" w:cs="Times New Roman"/>
          <w:b/>
          <w:bCs/>
          <w:sz w:val="28"/>
          <w:szCs w:val="28"/>
        </w:rPr>
        <w:t>significance at 5 percent.</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Source: Author's Computation, 2025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There is a positive correlation between ETR and Risk Committee Size (RMS) (r = 0.147, p&lt;0.05), so it may happen that the larger Risk Committee a firm has, the more tax it has to pay, which may b</w:t>
      </w:r>
      <w:r>
        <w:rPr>
          <w:rFonts w:ascii="Times New Roman" w:hAnsi="Times New Roman" w:cs="Times New Roman"/>
          <w:sz w:val="28"/>
          <w:szCs w:val="28"/>
        </w:rPr>
        <w:t>e caused by the complexities and scale of its operations. Risk Committee Accounting Expertise (RMAE) and Risk Committee Independence (RMI) have also good and significant correlations with ETR; these correlations are 0.153 and 0.153 respectively at p= 0.05.</w:t>
      </w:r>
      <w:r>
        <w:rPr>
          <w:rFonts w:ascii="Times New Roman" w:hAnsi="Times New Roman" w:cs="Times New Roman"/>
          <w:sz w:val="28"/>
          <w:szCs w:val="28"/>
        </w:rPr>
        <w:t xml:space="preserve"> These correlations indicate that the companies that have more specialized accounting skills and independent Risk Committee might have higher effective tax rates which might </w:t>
      </w:r>
      <w:proofErr w:type="gramStart"/>
      <w:r>
        <w:rPr>
          <w:rFonts w:ascii="Times New Roman" w:hAnsi="Times New Roman" w:cs="Times New Roman"/>
          <w:sz w:val="28"/>
          <w:szCs w:val="28"/>
        </w:rPr>
        <w:t>be a reflection of</w:t>
      </w:r>
      <w:proofErr w:type="gramEnd"/>
      <w:r>
        <w:rPr>
          <w:rFonts w:ascii="Times New Roman" w:hAnsi="Times New Roman" w:cs="Times New Roman"/>
          <w:sz w:val="28"/>
          <w:szCs w:val="28"/>
        </w:rPr>
        <w:t xml:space="preserve"> the cost of such governance practices. The size of the firm (FL</w:t>
      </w:r>
      <w:r>
        <w:rPr>
          <w:rFonts w:ascii="Times New Roman" w:hAnsi="Times New Roman" w:cs="Times New Roman"/>
          <w:sz w:val="28"/>
          <w:szCs w:val="28"/>
        </w:rPr>
        <w:t>) is weak and not statistically significant in its positive relationship with ETR (r = 0.061, p&gt;0.05), which implies that there is no significant effect of firm size on effective tax rate.</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4.3 Test of Hypotheses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 xml:space="preserve">Hypothesis 1: Risk Committee Size Effect on </w:t>
      </w:r>
      <w:r>
        <w:rPr>
          <w:rFonts w:ascii="Times New Roman" w:hAnsi="Times New Roman" w:cs="Times New Roman"/>
          <w:b/>
          <w:bCs/>
          <w:sz w:val="28"/>
          <w:szCs w:val="28"/>
        </w:rPr>
        <w:t>tax Strategies.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lastRenderedPageBreak/>
        <w:t>H</w:t>
      </w:r>
      <w:r>
        <w:rPr>
          <w:rFonts w:ascii="Times New Roman" w:hAnsi="Times New Roman" w:cs="Times New Roman"/>
          <w:b/>
          <w:bCs/>
          <w:sz w:val="28"/>
          <w:szCs w:val="28"/>
          <w:vertAlign w:val="subscript"/>
        </w:rPr>
        <w:t>01</w:t>
      </w:r>
      <w:r>
        <w:rPr>
          <w:rFonts w:ascii="Times New Roman" w:hAnsi="Times New Roman" w:cs="Times New Roman"/>
          <w:b/>
          <w:bCs/>
          <w:sz w:val="28"/>
          <w:szCs w:val="28"/>
        </w:rPr>
        <w:t xml:space="preserve">: </w:t>
      </w:r>
      <w:r>
        <w:rPr>
          <w:rFonts w:ascii="Times New Roman" w:hAnsi="Times New Roman" w:cs="Times New Roman"/>
          <w:sz w:val="28"/>
          <w:szCs w:val="28"/>
        </w:rPr>
        <w:t>The size of risk committee is not significantly related to the tax strategies of the social entities traded in the Nigerian stock exchange.</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Table 3: Effect of RMS on ETR</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12"/>
        <w:gridCol w:w="1377"/>
        <w:gridCol w:w="1310"/>
        <w:gridCol w:w="1221"/>
        <w:gridCol w:w="741"/>
      </w:tblGrid>
      <w:tr w:rsidR="006A5329">
        <w:trPr>
          <w:tblHeader/>
          <w:tblCellSpacing w:w="15" w:type="dxa"/>
        </w:trPr>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t-Statistic</w:t>
            </w:r>
          </w:p>
        </w:tc>
        <w:tc>
          <w:tcPr>
            <w:tcW w:w="0" w:type="auto"/>
            <w:tcBorders>
              <w:bottom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Prob.</w:t>
            </w:r>
          </w:p>
        </w:tc>
      </w:tr>
      <w:tr w:rsidR="006A5329">
        <w:trPr>
          <w:tblCellSpacing w:w="15" w:type="dxa"/>
        </w:trPr>
        <w:tc>
          <w:tcPr>
            <w:tcW w:w="0" w:type="auto"/>
            <w:tcBorders>
              <w:right w:val="single" w:sz="4" w:space="0" w:color="auto"/>
            </w:tcBorders>
            <w:vAlign w:val="center"/>
          </w:tcPr>
          <w:p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ETR(</w:t>
            </w:r>
            <w:proofErr w:type="gramEnd"/>
            <w:r>
              <w:rPr>
                <w:rFonts w:ascii="Times New Roman" w:hAnsi="Times New Roman" w:cs="Times New Roman"/>
                <w:sz w:val="28"/>
                <w:szCs w:val="28"/>
              </w:rPr>
              <w:t>-1)</w:t>
            </w:r>
          </w:p>
        </w:tc>
        <w:tc>
          <w:tcPr>
            <w:tcW w:w="0" w:type="auto"/>
            <w:tcBorders>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0.047***</w:t>
            </w:r>
          </w:p>
        </w:tc>
        <w:tc>
          <w:tcPr>
            <w:tcW w:w="0" w:type="auto"/>
            <w:tcBorders>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0.003</w:t>
            </w:r>
          </w:p>
        </w:tc>
        <w:tc>
          <w:tcPr>
            <w:tcW w:w="0" w:type="auto"/>
            <w:tcBorders>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16.873</w:t>
            </w:r>
          </w:p>
        </w:tc>
        <w:tc>
          <w:tcPr>
            <w:tcW w:w="0" w:type="auto"/>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trPr>
          <w:tblCellSpacing w:w="15" w:type="dxa"/>
        </w:trPr>
        <w:tc>
          <w:tcPr>
            <w:tcW w:w="0" w:type="auto"/>
            <w:tcBorders>
              <w:top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RMS</w:t>
            </w:r>
          </w:p>
        </w:tc>
        <w:tc>
          <w:tcPr>
            <w:tcW w:w="0" w:type="auto"/>
            <w:tcBorders>
              <w:top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-0.054***</w:t>
            </w:r>
          </w:p>
        </w:tc>
        <w:tc>
          <w:tcPr>
            <w:tcW w:w="0" w:type="auto"/>
            <w:tcBorders>
              <w:top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0.003</w:t>
            </w:r>
          </w:p>
        </w:tc>
        <w:tc>
          <w:tcPr>
            <w:tcW w:w="0" w:type="auto"/>
            <w:tcBorders>
              <w:top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-17.110</w:t>
            </w:r>
          </w:p>
        </w:tc>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trPr>
          <w:tblCellSpacing w:w="15" w:type="dxa"/>
        </w:trPr>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FS</w:t>
            </w:r>
          </w:p>
        </w:tc>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0.022***</w:t>
            </w:r>
          </w:p>
        </w:tc>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0.001</w:t>
            </w:r>
          </w:p>
        </w:tc>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15.813</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bl>
    <w:p w:rsidR="006A5329" w:rsidRDefault="006B68FF">
      <w:pPr>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 denotes significance at 5% level</w:t>
      </w:r>
      <w:r>
        <w:rPr>
          <w:rFonts w:ascii="Times New Roman" w:hAnsi="Times New Roman" w:cs="Times New Roman"/>
          <w:sz w:val="28"/>
          <w:szCs w:val="28"/>
        </w:rPr>
        <w:br/>
        <w:t>Source: Author's Computation, 2025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Table 3 indicates that Effective Tax Rate lagged (ETR-1) has a coefficient of </w:t>
      </w:r>
      <w:r>
        <w:rPr>
          <w:rFonts w:ascii="Times New Roman" w:hAnsi="Times New Roman" w:cs="Times New Roman"/>
          <w:sz w:val="28"/>
          <w:szCs w:val="28"/>
        </w:rPr>
        <w:t xml:space="preserve">0.047 implying that increase of one million naira in the ETR of the previous period increases the current ETR by 0.047 </w:t>
      </w:r>
      <w:proofErr w:type="gramStart"/>
      <w:r>
        <w:rPr>
          <w:rFonts w:ascii="Times New Roman" w:hAnsi="Times New Roman" w:cs="Times New Roman"/>
          <w:sz w:val="28"/>
          <w:szCs w:val="28"/>
        </w:rPr>
        <w:t>million naira</w:t>
      </w:r>
      <w:proofErr w:type="gramEnd"/>
      <w:r>
        <w:rPr>
          <w:rFonts w:ascii="Times New Roman" w:hAnsi="Times New Roman" w:cs="Times New Roman"/>
          <w:sz w:val="28"/>
          <w:szCs w:val="28"/>
        </w:rPr>
        <w:t xml:space="preserve">, other </w:t>
      </w:r>
      <w:proofErr w:type="spellStart"/>
      <w:r>
        <w:rPr>
          <w:rFonts w:ascii="Times New Roman" w:hAnsi="Times New Roman" w:cs="Times New Roman"/>
          <w:sz w:val="28"/>
          <w:szCs w:val="28"/>
        </w:rPr>
        <w:t>other</w:t>
      </w:r>
      <w:proofErr w:type="spellEnd"/>
      <w:r>
        <w:rPr>
          <w:rFonts w:ascii="Times New Roman" w:hAnsi="Times New Roman" w:cs="Times New Roman"/>
          <w:sz w:val="28"/>
          <w:szCs w:val="28"/>
        </w:rPr>
        <w:t xml:space="preserve"> factors remaining constant. The existence of this positive relationship shows that previous tax strategies are</w:t>
      </w:r>
      <w:r>
        <w:rPr>
          <w:rFonts w:ascii="Times New Roman" w:hAnsi="Times New Roman" w:cs="Times New Roman"/>
          <w:sz w:val="28"/>
          <w:szCs w:val="28"/>
        </w:rPr>
        <w:t xml:space="preserve"> likely to be prolonged, which has an impact on the current tax rate. The t-statistic of 16.873 and the significance level (p &lt; 0.000) have confirmed that this effect is statistically significant that is, this effect is unlikely to have been as a result of</w:t>
      </w:r>
      <w:r>
        <w:rPr>
          <w:rFonts w:ascii="Times New Roman" w:hAnsi="Times New Roman" w:cs="Times New Roman"/>
          <w:sz w:val="28"/>
          <w:szCs w:val="28"/>
        </w:rPr>
        <w:t xml:space="preserve"> chance and therefore, past tax behaviors play a vital role in the determination of current Tax Strategies. Hone Size (FS) gives positive value of 0.022 which means a single unit in increase of FS will increase ETR by 0.022 </w:t>
      </w:r>
      <w:proofErr w:type="gramStart"/>
      <w:r>
        <w:rPr>
          <w:rFonts w:ascii="Times New Roman" w:hAnsi="Times New Roman" w:cs="Times New Roman"/>
          <w:sz w:val="28"/>
          <w:szCs w:val="28"/>
        </w:rPr>
        <w:t>million naira</w:t>
      </w:r>
      <w:proofErr w:type="gramEnd"/>
      <w:r>
        <w:rPr>
          <w:rFonts w:ascii="Times New Roman" w:hAnsi="Times New Roman" w:cs="Times New Roman"/>
          <w:sz w:val="28"/>
          <w:szCs w:val="28"/>
        </w:rPr>
        <w:t xml:space="preserve"> other things being</w:t>
      </w:r>
      <w:r>
        <w:rPr>
          <w:rFonts w:ascii="Times New Roman" w:hAnsi="Times New Roman" w:cs="Times New Roman"/>
          <w:sz w:val="28"/>
          <w:szCs w:val="28"/>
        </w:rPr>
        <w:t xml:space="preserve"> equal. This positive relationship suggests that bigger firms are more likely to have higher ETRs, which may be as a result of complexity and visibility of bigger firms, which results to less aggressive tax planning. The t-statistic of 15.813 and the signi</w:t>
      </w:r>
      <w:r>
        <w:rPr>
          <w:rFonts w:ascii="Times New Roman" w:hAnsi="Times New Roman" w:cs="Times New Roman"/>
          <w:sz w:val="28"/>
          <w:szCs w:val="28"/>
        </w:rPr>
        <w:t>ficance (p &lt; 0.000) indicate that this effect is significant, i.e. Firm Size is a significant ETR determinant in the model.</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analysis indicated that the size of the Risk Committee has a </w:t>
      </w:r>
      <w:proofErr w:type="gramStart"/>
      <w:r>
        <w:rPr>
          <w:rFonts w:ascii="Times New Roman" w:hAnsi="Times New Roman" w:cs="Times New Roman"/>
          <w:sz w:val="28"/>
          <w:szCs w:val="28"/>
        </w:rPr>
        <w:t>negative effects</w:t>
      </w:r>
      <w:proofErr w:type="gramEnd"/>
      <w:r>
        <w:rPr>
          <w:rFonts w:ascii="Times New Roman" w:hAnsi="Times New Roman" w:cs="Times New Roman"/>
          <w:sz w:val="28"/>
          <w:szCs w:val="28"/>
        </w:rPr>
        <w:t xml:space="preserve"> on the Tax Strategies of high magnitude. This impl</w:t>
      </w:r>
      <w:r>
        <w:rPr>
          <w:rFonts w:ascii="Times New Roman" w:hAnsi="Times New Roman" w:cs="Times New Roman"/>
          <w:sz w:val="28"/>
          <w:szCs w:val="28"/>
        </w:rPr>
        <w:t xml:space="preserve">ies that there is a decreased Tax Strategies in relation to bigger Risk Committees. These results are consistent with the studies of </w:t>
      </w:r>
      <w:proofErr w:type="spellStart"/>
      <w:r>
        <w:rPr>
          <w:rFonts w:ascii="Times New Roman" w:hAnsi="Times New Roman" w:cs="Times New Roman"/>
          <w:sz w:val="28"/>
          <w:szCs w:val="28"/>
        </w:rPr>
        <w:t>Aronmwan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Ogbaisi</w:t>
      </w:r>
      <w:proofErr w:type="spellEnd"/>
      <w:r>
        <w:rPr>
          <w:rFonts w:ascii="Times New Roman" w:hAnsi="Times New Roman" w:cs="Times New Roman"/>
          <w:sz w:val="28"/>
          <w:szCs w:val="28"/>
        </w:rPr>
        <w:t xml:space="preserve"> (2022) and </w:t>
      </w:r>
      <w:proofErr w:type="spellStart"/>
      <w:r>
        <w:rPr>
          <w:rFonts w:ascii="Times New Roman" w:hAnsi="Times New Roman" w:cs="Times New Roman"/>
          <w:sz w:val="28"/>
          <w:szCs w:val="28"/>
        </w:rPr>
        <w:t>Alkausar</w:t>
      </w:r>
      <w:proofErr w:type="spellEnd"/>
      <w:r>
        <w:rPr>
          <w:rFonts w:ascii="Times New Roman" w:hAnsi="Times New Roman" w:cs="Times New Roman"/>
          <w:sz w:val="28"/>
          <w:szCs w:val="28"/>
        </w:rPr>
        <w:t xml:space="preserve"> et al. (2023) that also reported the mitigating effect of Risk Committee Size on T</w:t>
      </w:r>
      <w:r>
        <w:rPr>
          <w:rFonts w:ascii="Times New Roman" w:hAnsi="Times New Roman" w:cs="Times New Roman"/>
          <w:sz w:val="28"/>
          <w:szCs w:val="28"/>
        </w:rPr>
        <w:t xml:space="preserve">ax Strategies. Consequently, the null hypothesis that Risk Committee Size does not play any </w:t>
      </w:r>
      <w:r>
        <w:rPr>
          <w:rFonts w:ascii="Times New Roman" w:hAnsi="Times New Roman" w:cs="Times New Roman"/>
          <w:sz w:val="28"/>
          <w:szCs w:val="28"/>
        </w:rPr>
        <w:lastRenderedPageBreak/>
        <w:t>significant role in Tax Strategies in the Nigerian publicly traded companies was rejected.</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Hypothesis 2: Accounting Expertise in the Risk Committee and Tax Strategi</w:t>
      </w:r>
      <w:r>
        <w:rPr>
          <w:rFonts w:ascii="Times New Roman" w:hAnsi="Times New Roman" w:cs="Times New Roman"/>
          <w:b/>
          <w:bCs/>
          <w:sz w:val="28"/>
          <w:szCs w:val="28"/>
        </w:rPr>
        <w:t>es.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02</w:t>
      </w:r>
      <w:r>
        <w:rPr>
          <w:rFonts w:ascii="Times New Roman" w:hAnsi="Times New Roman" w:cs="Times New Roman"/>
          <w:b/>
          <w:bCs/>
          <w:sz w:val="28"/>
          <w:szCs w:val="28"/>
        </w:rPr>
        <w:t xml:space="preserve">: </w:t>
      </w:r>
      <w:r>
        <w:rPr>
          <w:rFonts w:ascii="Times New Roman" w:hAnsi="Times New Roman" w:cs="Times New Roman"/>
          <w:sz w:val="28"/>
          <w:szCs w:val="28"/>
        </w:rPr>
        <w:t>Risk committee accounting expertise does not correlate significantly with tax strategies in the Nigerian publicly listed companies.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Table 4: RMAE on Tax Strategies.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12"/>
        <w:gridCol w:w="1377"/>
        <w:gridCol w:w="1300"/>
        <w:gridCol w:w="1231"/>
        <w:gridCol w:w="741"/>
      </w:tblGrid>
      <w:tr w:rsidR="006A5329">
        <w:trPr>
          <w:tblHeader/>
          <w:tblCellSpacing w:w="15" w:type="dxa"/>
        </w:trPr>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tcBorders>
              <w:bottom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t-Statistic</w:t>
            </w:r>
          </w:p>
        </w:tc>
        <w:tc>
          <w:tcPr>
            <w:tcW w:w="0" w:type="auto"/>
            <w:tcBorders>
              <w:bottom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Prob.</w:t>
            </w:r>
          </w:p>
        </w:tc>
      </w:tr>
      <w:tr w:rsidR="006A5329">
        <w:trPr>
          <w:tblCellSpacing w:w="15" w:type="dxa"/>
        </w:trPr>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ETR(</w:t>
            </w:r>
            <w:proofErr w:type="gramEnd"/>
            <w:r>
              <w:rPr>
                <w:rFonts w:ascii="Times New Roman" w:hAnsi="Times New Roman" w:cs="Times New Roman"/>
                <w:sz w:val="28"/>
                <w:szCs w:val="28"/>
              </w:rPr>
              <w:t>-1)</w:t>
            </w:r>
          </w:p>
        </w:tc>
        <w:tc>
          <w:tcPr>
            <w:tcW w:w="0" w:type="auto"/>
            <w:tcBorders>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0.058***</w:t>
            </w:r>
          </w:p>
        </w:tc>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0.002</w:t>
            </w:r>
          </w:p>
        </w:tc>
        <w:tc>
          <w:tcPr>
            <w:tcW w:w="0" w:type="auto"/>
            <w:tcBorders>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36.141</w:t>
            </w:r>
          </w:p>
        </w:tc>
        <w:tc>
          <w:tcPr>
            <w:tcW w:w="0" w:type="auto"/>
            <w:tcBorders>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trPr>
          <w:tblCellSpacing w:w="15" w:type="dxa"/>
        </w:trPr>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RMAE</w:t>
            </w:r>
          </w:p>
        </w:tc>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0.034***</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0.002</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21.365</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trPr>
          <w:tblCellSpacing w:w="15" w:type="dxa"/>
        </w:trPr>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FS</w:t>
            </w:r>
          </w:p>
        </w:tc>
        <w:tc>
          <w:tcPr>
            <w:tcW w:w="0" w:type="auto"/>
            <w:tcBorders>
              <w:top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0.013***</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0.001</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13.626</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bl>
    <w:p w:rsidR="006A5329" w:rsidRDefault="006B68FF">
      <w:pPr>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 denotes significance at 5% level</w:t>
      </w:r>
      <w:r>
        <w:rPr>
          <w:rFonts w:ascii="Times New Roman" w:hAnsi="Times New Roman" w:cs="Times New Roman"/>
          <w:sz w:val="28"/>
          <w:szCs w:val="28"/>
        </w:rPr>
        <w:br/>
        <w:t>Source: Author's Computation, 2025</w:t>
      </w:r>
    </w:p>
    <w:p w:rsidR="006A5329" w:rsidRDefault="006B68FF">
      <w:pPr>
        <w:rPr>
          <w:rFonts w:ascii="Times New Roman" w:hAnsi="Times New Roman" w:cs="Times New Roman"/>
          <w:sz w:val="28"/>
          <w:szCs w:val="28"/>
        </w:rPr>
      </w:pPr>
      <w:r>
        <w:rPr>
          <w:rFonts w:ascii="Times New Roman" w:hAnsi="Times New Roman" w:cs="Times New Roman"/>
          <w:sz w:val="28"/>
          <w:szCs w:val="28"/>
        </w:rPr>
        <w:t>Table 4 shows that the coefficient of the lagged effective tax rate, ETR (-1), is 0.058 with t -statistic</w:t>
      </w:r>
      <w:r>
        <w:rPr>
          <w:rFonts w:ascii="Times New Roman" w:hAnsi="Times New Roman" w:cs="Times New Roman"/>
          <w:sz w:val="28"/>
          <w:szCs w:val="28"/>
        </w:rPr>
        <w:t xml:space="preserve"> of 36.141 and a p-value of 0.000, which means that it is very significant. This finding implies that, 1 million Naira increment in the ETR of an earlier period will result in 0.058 million Naira increment in the ETR of the current period, other things rem</w:t>
      </w:r>
      <w:r>
        <w:rPr>
          <w:rFonts w:ascii="Times New Roman" w:hAnsi="Times New Roman" w:cs="Times New Roman"/>
          <w:sz w:val="28"/>
          <w:szCs w:val="28"/>
        </w:rPr>
        <w:t>aining constant. The persistence of ETR over time would mean that firms keep on to their tax strategies in the period and period, which would be consistent with the expectation that past tax rates would affect future tax behaviors.</w:t>
      </w:r>
    </w:p>
    <w:p w:rsidR="006A5329" w:rsidRDefault="006B68FF">
      <w:pPr>
        <w:rPr>
          <w:rFonts w:ascii="Times New Roman" w:hAnsi="Times New Roman" w:cs="Times New Roman"/>
          <w:sz w:val="28"/>
          <w:szCs w:val="28"/>
        </w:rPr>
      </w:pPr>
      <w:r>
        <w:rPr>
          <w:rFonts w:ascii="Times New Roman" w:hAnsi="Times New Roman" w:cs="Times New Roman"/>
          <w:sz w:val="28"/>
          <w:szCs w:val="28"/>
        </w:rPr>
        <w:t xml:space="preserve">RMAE has a coefficient </w:t>
      </w:r>
      <w:r>
        <w:rPr>
          <w:rFonts w:ascii="Times New Roman" w:hAnsi="Times New Roman" w:cs="Times New Roman"/>
          <w:sz w:val="28"/>
          <w:szCs w:val="28"/>
        </w:rPr>
        <w:t>of 0.034 with p-value of 0.000 that is highly significant. This finding means that every 1 million Naira increment in Risk Committee Accounting Expertise would imply 0.034 million Naira increment in ETR other things being equal. The positive correlation im</w:t>
      </w:r>
      <w:r>
        <w:rPr>
          <w:rFonts w:ascii="Times New Roman" w:hAnsi="Times New Roman" w:cs="Times New Roman"/>
          <w:sz w:val="28"/>
          <w:szCs w:val="28"/>
        </w:rPr>
        <w:t>plies that those firms that possess greater experience in risk governance accounting would be less aggressive in taxation, which leads to high effective tax rate. This result is expected by priori conformance because the more accounting expertise is in ris</w:t>
      </w:r>
      <w:r>
        <w:rPr>
          <w:rFonts w:ascii="Times New Roman" w:hAnsi="Times New Roman" w:cs="Times New Roman"/>
          <w:sz w:val="28"/>
          <w:szCs w:val="28"/>
        </w:rPr>
        <w:t>k governance, the more conservative the tax strategies used, and consequently, the less Tax Strategies and the more ETR.</w:t>
      </w:r>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correlation of firm size (FS) has a value of 0.013 and t-statistic of 13.626 and p-value of 0.000, which is statistically signific</w:t>
      </w:r>
      <w:r>
        <w:rPr>
          <w:rFonts w:ascii="Times New Roman" w:hAnsi="Times New Roman" w:cs="Times New Roman"/>
          <w:sz w:val="28"/>
          <w:szCs w:val="28"/>
        </w:rPr>
        <w:t>ant. It means that the growth of the firm by 1 unit would result in a growth of ETR by 0.013 million Naira, other things being equal. The positive correlation indicates that bigger firms are not so aggressive in taxation, maybe they are more visible and mo</w:t>
      </w:r>
      <w:r>
        <w:rPr>
          <w:rFonts w:ascii="Times New Roman" w:hAnsi="Times New Roman" w:cs="Times New Roman"/>
          <w:sz w:val="28"/>
          <w:szCs w:val="28"/>
        </w:rPr>
        <w:t>re controlled by tax agencies, and it is expected that bigger firms should have higher effective taxation rates.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result implies that the more accounting expertise is represented in Risk Committees of companies, the less aggressive tax practices they us</w:t>
      </w:r>
      <w:r>
        <w:rPr>
          <w:rFonts w:ascii="Times New Roman" w:hAnsi="Times New Roman" w:cs="Times New Roman"/>
          <w:sz w:val="28"/>
          <w:szCs w:val="28"/>
        </w:rPr>
        <w:t xml:space="preserve">e. These results are in line with the studies conducted by </w:t>
      </w:r>
      <w:proofErr w:type="spellStart"/>
      <w:r>
        <w:rPr>
          <w:rFonts w:ascii="Times New Roman" w:hAnsi="Times New Roman" w:cs="Times New Roman"/>
          <w:sz w:val="28"/>
          <w:szCs w:val="28"/>
        </w:rPr>
        <w:t>Uniamikogbo</w:t>
      </w:r>
      <w:proofErr w:type="spellEnd"/>
      <w:r>
        <w:rPr>
          <w:rFonts w:ascii="Times New Roman" w:hAnsi="Times New Roman" w:cs="Times New Roman"/>
          <w:sz w:val="28"/>
          <w:szCs w:val="28"/>
        </w:rPr>
        <w:t xml:space="preserve"> et al. (2019) and </w:t>
      </w:r>
      <w:proofErr w:type="spellStart"/>
      <w:r>
        <w:rPr>
          <w:rFonts w:ascii="Times New Roman" w:hAnsi="Times New Roman" w:cs="Times New Roman"/>
          <w:sz w:val="28"/>
          <w:szCs w:val="28"/>
        </w:rPr>
        <w:t>Aronmwan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Ogbaisi</w:t>
      </w:r>
      <w:proofErr w:type="spellEnd"/>
      <w:r>
        <w:rPr>
          <w:rFonts w:ascii="Times New Roman" w:hAnsi="Times New Roman" w:cs="Times New Roman"/>
          <w:sz w:val="28"/>
          <w:szCs w:val="28"/>
        </w:rPr>
        <w:t xml:space="preserve"> (2022), all of which also mentioned the mitigating effect of Risk Committee Accounting Expertise on Tax Strategies. As a result, the null hypothes</w:t>
      </w:r>
      <w:r>
        <w:rPr>
          <w:rFonts w:ascii="Times New Roman" w:hAnsi="Times New Roman" w:cs="Times New Roman"/>
          <w:sz w:val="28"/>
          <w:szCs w:val="28"/>
        </w:rPr>
        <w:t>is according to which there seems to be no significant impact on the Tax Strategies of the companies listed on the Nigerian stock market of the Risk Committee Accounting Expertise was rejected.</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Hypothesis 3: Risk Committee Independence Effect on Tax Strate</w:t>
      </w:r>
      <w:r>
        <w:rPr>
          <w:rFonts w:ascii="Times New Roman" w:hAnsi="Times New Roman" w:cs="Times New Roman"/>
          <w:b/>
          <w:bCs/>
          <w:sz w:val="28"/>
          <w:szCs w:val="28"/>
        </w:rPr>
        <w:t>gies.</w:t>
      </w:r>
    </w:p>
    <w:p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03:</w:t>
      </w:r>
      <w:r>
        <w:rPr>
          <w:rFonts w:ascii="Times New Roman" w:hAnsi="Times New Roman" w:cs="Times New Roman"/>
          <w:sz w:val="28"/>
          <w:szCs w:val="28"/>
          <w:vertAlign w:val="subscript"/>
        </w:rPr>
        <w:t xml:space="preserve"> </w:t>
      </w:r>
      <w:r>
        <w:rPr>
          <w:rFonts w:ascii="Times New Roman" w:hAnsi="Times New Roman" w:cs="Times New Roman"/>
          <w:sz w:val="28"/>
          <w:szCs w:val="28"/>
        </w:rPr>
        <w:t>The independence of risk committees is not significantly associated with tax strategies in Nigerian publicly traded corporations.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Table 5: Effect of RMI on ETR</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02"/>
        <w:gridCol w:w="1387"/>
        <w:gridCol w:w="1300"/>
        <w:gridCol w:w="1231"/>
        <w:gridCol w:w="741"/>
      </w:tblGrid>
      <w:tr w:rsidR="006A5329">
        <w:trPr>
          <w:tblHeader/>
          <w:tblCellSpacing w:w="15" w:type="dxa"/>
        </w:trPr>
        <w:tc>
          <w:tcPr>
            <w:tcW w:w="0" w:type="auto"/>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left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left w:val="single" w:sz="4" w:space="0" w:color="auto"/>
              <w:right w:val="single" w:sz="4" w:space="0" w:color="auto"/>
            </w:tcBorders>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t-Statistic</w:t>
            </w:r>
          </w:p>
        </w:tc>
        <w:tc>
          <w:tcPr>
            <w:tcW w:w="0" w:type="auto"/>
            <w:vAlign w:val="center"/>
          </w:tcPr>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Prob.</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ETR(</w:t>
            </w:r>
            <w:proofErr w:type="gramEnd"/>
            <w:r>
              <w:rPr>
                <w:rFonts w:ascii="Times New Roman" w:hAnsi="Times New Roman" w:cs="Times New Roman"/>
                <w:sz w:val="28"/>
                <w:szCs w:val="28"/>
              </w:rPr>
              <w:t>-1)</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0.061***</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0.002</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29.901</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trPr>
          <w:tblCellSpacing w:w="15" w:type="dxa"/>
        </w:trPr>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RMI</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0.044***</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0.003</w:t>
            </w:r>
          </w:p>
        </w:tc>
        <w:tc>
          <w:tcPr>
            <w:tcW w:w="0" w:type="auto"/>
            <w:tcBorders>
              <w:top w:val="single" w:sz="4" w:space="0" w:color="auto"/>
              <w:left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16.863</w:t>
            </w:r>
          </w:p>
        </w:tc>
        <w:tc>
          <w:tcPr>
            <w:tcW w:w="0" w:type="auto"/>
            <w:tcBorders>
              <w:top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trPr>
          <w:tblCellSpacing w:w="15" w:type="dxa"/>
        </w:trPr>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FS</w:t>
            </w:r>
          </w:p>
        </w:tc>
        <w:tc>
          <w:tcPr>
            <w:tcW w:w="0" w:type="auto"/>
            <w:tcBorders>
              <w:top w:val="single" w:sz="4" w:space="0" w:color="auto"/>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0.028***</w:t>
            </w:r>
          </w:p>
        </w:tc>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0.001</w:t>
            </w:r>
          </w:p>
        </w:tc>
        <w:tc>
          <w:tcPr>
            <w:tcW w:w="0" w:type="auto"/>
            <w:tcBorders>
              <w:top w:val="single" w:sz="4" w:space="0" w:color="auto"/>
              <w:left w:val="single" w:sz="4" w:space="0" w:color="auto"/>
              <w:bottom w:val="single" w:sz="4" w:space="0" w:color="auto"/>
              <w:right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18.848</w:t>
            </w:r>
          </w:p>
        </w:tc>
        <w:tc>
          <w:tcPr>
            <w:tcW w:w="0" w:type="auto"/>
            <w:tcBorders>
              <w:top w:val="single" w:sz="4" w:space="0" w:color="auto"/>
              <w:bottom w:val="single" w:sz="4" w:space="0" w:color="auto"/>
            </w:tcBorders>
            <w:vAlign w:val="center"/>
          </w:tcPr>
          <w:p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bl>
    <w:p w:rsidR="006A5329" w:rsidRDefault="006B68FF">
      <w:pPr>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 denotes significance at 5% level</w:t>
      </w:r>
      <w:r>
        <w:rPr>
          <w:rFonts w:ascii="Times New Roman" w:hAnsi="Times New Roman" w:cs="Times New Roman"/>
          <w:sz w:val="28"/>
          <w:szCs w:val="28"/>
        </w:rPr>
        <w:br/>
        <w:t>Source: Author's Computation, 2025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Table 5 shows Effect of Risk Committee Independence (RMI) on effective Tax rate (ETR). According to the </w:t>
      </w:r>
      <w:r>
        <w:rPr>
          <w:rFonts w:ascii="Times New Roman" w:hAnsi="Times New Roman" w:cs="Times New Roman"/>
          <w:sz w:val="28"/>
          <w:szCs w:val="28"/>
        </w:rPr>
        <w:t xml:space="preserve">analysis, lagged ETR (-1) has a positive and significant effect on the current ETR, the coefficient of which equals 0.061 and the t-statistic equals 29.901. This means that one unit in increase in the previous year ETR will </w:t>
      </w:r>
      <w:r>
        <w:rPr>
          <w:rFonts w:ascii="Times New Roman" w:hAnsi="Times New Roman" w:cs="Times New Roman"/>
          <w:sz w:val="28"/>
          <w:szCs w:val="28"/>
        </w:rPr>
        <w:lastRenderedPageBreak/>
        <w:t>result in a growth by 0.061 unit</w:t>
      </w:r>
      <w:r>
        <w:rPr>
          <w:rFonts w:ascii="Times New Roman" w:hAnsi="Times New Roman" w:cs="Times New Roman"/>
          <w:sz w:val="28"/>
          <w:szCs w:val="28"/>
        </w:rPr>
        <w:t>s in current ETR all other things remaining constant. This finding is not surprising according to a priori expectations because ETR is generally persistent in the long run.</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RMI has a coefficient of 0.044 and t-statistic of 16.863 which means that there is </w:t>
      </w:r>
      <w:r>
        <w:rPr>
          <w:rFonts w:ascii="Times New Roman" w:hAnsi="Times New Roman" w:cs="Times New Roman"/>
          <w:sz w:val="28"/>
          <w:szCs w:val="28"/>
        </w:rPr>
        <w:t xml:space="preserve">a positive and significant connection between Risk Committee Independence and ETR. It is in this sense that, an increase of one million naira in RMI will result in an increase in ETR by 0.044 </w:t>
      </w:r>
      <w:proofErr w:type="gramStart"/>
      <w:r>
        <w:rPr>
          <w:rFonts w:ascii="Times New Roman" w:hAnsi="Times New Roman" w:cs="Times New Roman"/>
          <w:sz w:val="28"/>
          <w:szCs w:val="28"/>
        </w:rPr>
        <w:t>million naira</w:t>
      </w:r>
      <w:proofErr w:type="gramEnd"/>
      <w:r>
        <w:rPr>
          <w:rFonts w:ascii="Times New Roman" w:hAnsi="Times New Roman" w:cs="Times New Roman"/>
          <w:sz w:val="28"/>
          <w:szCs w:val="28"/>
        </w:rPr>
        <w:t>, other factors unchanged. This finding is a priori</w:t>
      </w:r>
      <w:r>
        <w:rPr>
          <w:rFonts w:ascii="Times New Roman" w:hAnsi="Times New Roman" w:cs="Times New Roman"/>
          <w:sz w:val="28"/>
          <w:szCs w:val="28"/>
        </w:rPr>
        <w:t xml:space="preserve"> justified since, greater Risk Committee Independence should lead to more conservative tax practices, which result in higher ETR, thus, lowering Tax Strategies.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Firm size (FS) is also a good and significant factor towards ETR with a coefficient of 0.028 </w:t>
      </w:r>
      <w:r>
        <w:rPr>
          <w:rFonts w:ascii="Times New Roman" w:hAnsi="Times New Roman" w:cs="Times New Roman"/>
          <w:sz w:val="28"/>
          <w:szCs w:val="28"/>
        </w:rPr>
        <w:t xml:space="preserve">and t-statistic of 18.848. This implies that a one unit increase in firm size causes </w:t>
      </w:r>
      <w:proofErr w:type="gramStart"/>
      <w:r>
        <w:rPr>
          <w:rFonts w:ascii="Times New Roman" w:hAnsi="Times New Roman" w:cs="Times New Roman"/>
          <w:sz w:val="28"/>
          <w:szCs w:val="28"/>
        </w:rPr>
        <w:t>0.028 unit</w:t>
      </w:r>
      <w:proofErr w:type="gramEnd"/>
      <w:r>
        <w:rPr>
          <w:rFonts w:ascii="Times New Roman" w:hAnsi="Times New Roman" w:cs="Times New Roman"/>
          <w:sz w:val="28"/>
          <w:szCs w:val="28"/>
        </w:rPr>
        <w:t xml:space="preserve"> increase in ETR, all other factors remaining constant. This result is consistent with a priori predictions, because bigger companies tend to be more obedient in</w:t>
      </w:r>
      <w:r>
        <w:rPr>
          <w:rFonts w:ascii="Times New Roman" w:hAnsi="Times New Roman" w:cs="Times New Roman"/>
          <w:sz w:val="28"/>
          <w:szCs w:val="28"/>
        </w:rPr>
        <w:t xml:space="preserve"> terms of tax laws, and which results in increased ETR.</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This result implies that as the risk governance body of the company is more independent, it is less likely to be involved in aggressive tax policies. These findings are consistent with the already pub</w:t>
      </w:r>
      <w:r>
        <w:rPr>
          <w:rFonts w:ascii="Times New Roman" w:hAnsi="Times New Roman" w:cs="Times New Roman"/>
          <w:sz w:val="28"/>
          <w:szCs w:val="28"/>
        </w:rPr>
        <w:t xml:space="preserve">lished works by </w:t>
      </w:r>
      <w:proofErr w:type="spellStart"/>
      <w:r>
        <w:rPr>
          <w:rFonts w:ascii="Times New Roman" w:hAnsi="Times New Roman" w:cs="Times New Roman"/>
          <w:sz w:val="28"/>
          <w:szCs w:val="28"/>
        </w:rPr>
        <w:t>Ajube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Jeroh</w:t>
      </w:r>
      <w:proofErr w:type="spellEnd"/>
      <w:r>
        <w:rPr>
          <w:rFonts w:ascii="Times New Roman" w:hAnsi="Times New Roman" w:cs="Times New Roman"/>
          <w:sz w:val="28"/>
          <w:szCs w:val="28"/>
        </w:rPr>
        <w:t xml:space="preserve"> (2023), as well as </w:t>
      </w:r>
      <w:proofErr w:type="spellStart"/>
      <w:r>
        <w:rPr>
          <w:rFonts w:ascii="Times New Roman" w:hAnsi="Times New Roman" w:cs="Times New Roman"/>
          <w:sz w:val="28"/>
          <w:szCs w:val="28"/>
        </w:rPr>
        <w:t>Uniamikogbo</w:t>
      </w:r>
      <w:proofErr w:type="spellEnd"/>
      <w:r>
        <w:rPr>
          <w:rFonts w:ascii="Times New Roman" w:hAnsi="Times New Roman" w:cs="Times New Roman"/>
          <w:sz w:val="28"/>
          <w:szCs w:val="28"/>
        </w:rPr>
        <w:t xml:space="preserve"> et al. (2019), which also discussed the mitigation of the impact of independent risk governance on Tax Strategies. Consequently, the null hypothesis, which stated that there is no significant i</w:t>
      </w:r>
      <w:r>
        <w:rPr>
          <w:rFonts w:ascii="Times New Roman" w:hAnsi="Times New Roman" w:cs="Times New Roman"/>
          <w:sz w:val="28"/>
          <w:szCs w:val="28"/>
        </w:rPr>
        <w:t>mpact of the Risk Committee Independence on the Tax Strategies of Nigerian publicly traded companies, was significantly rejected. This is an indication of the need to promote independent oversight in Risk Committees that will enhance ethical financial prac</w:t>
      </w:r>
      <w:r>
        <w:rPr>
          <w:rFonts w:ascii="Times New Roman" w:hAnsi="Times New Roman" w:cs="Times New Roman"/>
          <w:sz w:val="28"/>
          <w:szCs w:val="28"/>
        </w:rPr>
        <w:t>tices and minimize Tax Strategies.</w:t>
      </w:r>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5. CONCLUSION AND RECOMMENDATIONS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5.1 Conclusion</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research came up with a conclusion that Risk Committees are instrumental in deterring Tax Strategies. Particularly, the size of risk governance bodies, accounting skil</w:t>
      </w:r>
      <w:r>
        <w:rPr>
          <w:rFonts w:ascii="Times New Roman" w:hAnsi="Times New Roman" w:cs="Times New Roman"/>
          <w:sz w:val="28"/>
          <w:szCs w:val="28"/>
        </w:rPr>
        <w:t xml:space="preserve">ls of the body member and independence were all identified to be associated with strong propensity to Tax Strategies reduction. This suggests that good and informed </w:t>
      </w:r>
      <w:r>
        <w:rPr>
          <w:rFonts w:ascii="Times New Roman" w:hAnsi="Times New Roman" w:cs="Times New Roman"/>
          <w:sz w:val="28"/>
          <w:szCs w:val="28"/>
        </w:rPr>
        <w:lastRenderedPageBreak/>
        <w:t>governance systems are imperative in the process of making sure that businesses practice et</w:t>
      </w:r>
      <w:r>
        <w:rPr>
          <w:rFonts w:ascii="Times New Roman" w:hAnsi="Times New Roman" w:cs="Times New Roman"/>
          <w:sz w:val="28"/>
          <w:szCs w:val="28"/>
        </w:rPr>
        <w:t>hical taxes. Having independent and competent governance members would presumably increase the monitoring and accountability systems in companies and this means that the management can find it harder to develop aggressive tax practices.</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5.2 Recommendations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On the basis of the conclusions made, the following recommendations can be offered:</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1. Companies must give preference to inclusion of members who possess high accounting skills in their Risk Committees. This knowledge plays a vital role in making sure tha</w:t>
      </w:r>
      <w:r>
        <w:rPr>
          <w:rFonts w:ascii="Times New Roman" w:hAnsi="Times New Roman" w:cs="Times New Roman"/>
          <w:sz w:val="28"/>
          <w:szCs w:val="28"/>
        </w:rPr>
        <w:t>t the financial strategies are ethical and within the regulatory requirements hence minimizing Tax Strategies.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2. The companies should place great emphasis on independence of risk governance members. Independent governance will lead to unbiased </w:t>
      </w:r>
      <w:r>
        <w:rPr>
          <w:rFonts w:ascii="Times New Roman" w:hAnsi="Times New Roman" w:cs="Times New Roman"/>
          <w:sz w:val="28"/>
          <w:szCs w:val="28"/>
        </w:rPr>
        <w:t>decision-making that will be important in curbing Tax Strategies and encouraging transparency.</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3. A combination of effective Risk Committees and improved internal controls should be used as the full approach to tax management adopted by companies. Such an </w:t>
      </w:r>
      <w:r>
        <w:rPr>
          <w:rFonts w:ascii="Times New Roman" w:hAnsi="Times New Roman" w:cs="Times New Roman"/>
          <w:sz w:val="28"/>
          <w:szCs w:val="28"/>
        </w:rPr>
        <w:t>integrated approach will guarantee ethical financial behavior and minimized chances of indulging in aggressive tax planning.</w:t>
      </w:r>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ETHICAL APPROVAL</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Concerned departmental research ethics committee approval was obtained with respect to ethics. The research emplo</w:t>
      </w:r>
      <w:r>
        <w:rPr>
          <w:rFonts w:ascii="Times New Roman" w:hAnsi="Times New Roman" w:cs="Times New Roman"/>
          <w:sz w:val="28"/>
          <w:szCs w:val="28"/>
        </w:rPr>
        <w:t>yed secondary data which were accessible in open domain hence fulfilling academic ethical standards, confidentiality and integrity of data.</w:t>
      </w: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COMPETING INTERESTS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authors have stated that they cannot assert any known competing financial interest or non-fi</w:t>
      </w:r>
      <w:r>
        <w:rPr>
          <w:rFonts w:ascii="Times New Roman" w:hAnsi="Times New Roman" w:cs="Times New Roman"/>
          <w:sz w:val="28"/>
          <w:szCs w:val="28"/>
        </w:rPr>
        <w:t>nancial interest or personal relationship that might have manifested itself on work that has been reported in this paper.</w:t>
      </w:r>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Ahmed, A. E. (2021). Corporate social responsibility and tax avoidance: Egypt evidence. Arab Journal of Administration, 41</w:t>
      </w:r>
      <w:r>
        <w:rPr>
          <w:rFonts w:ascii="Times New Roman" w:hAnsi="Times New Roman" w:cs="Times New Roman"/>
          <w:sz w:val="28"/>
          <w:szCs w:val="28"/>
        </w:rPr>
        <w:t>(4), 395-406. https://doi.org/10.21608/aja.2021.205201</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Khaoula</w:t>
      </w:r>
      <w:proofErr w:type="spellEnd"/>
      <w:r>
        <w:rPr>
          <w:rFonts w:ascii="Times New Roman" w:hAnsi="Times New Roman" w:cs="Times New Roman"/>
          <w:sz w:val="28"/>
          <w:szCs w:val="28"/>
        </w:rPr>
        <w:t>, A., &amp; Ali, Z. M. (2012). The board of directors and the corporate tax planning: Empirical Evidence from Tunisia. International Journal of Accounting and Financial Reporting, 2(2), 142. https:/</w:t>
      </w:r>
      <w:r>
        <w:rPr>
          <w:rFonts w:ascii="Times New Roman" w:hAnsi="Times New Roman" w:cs="Times New Roman"/>
          <w:sz w:val="28"/>
          <w:szCs w:val="28"/>
        </w:rPr>
        <w:t>/doi.org/10.5296/ijafr.v2i2.2525</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Ajube</w:t>
      </w:r>
      <w:proofErr w:type="spellEnd"/>
      <w:r>
        <w:rPr>
          <w:rFonts w:ascii="Times New Roman" w:hAnsi="Times New Roman" w:cs="Times New Roman"/>
          <w:sz w:val="28"/>
          <w:szCs w:val="28"/>
        </w:rPr>
        <w:t xml:space="preserve">, D. T., &amp; </w:t>
      </w:r>
      <w:proofErr w:type="spellStart"/>
      <w:r>
        <w:rPr>
          <w:rFonts w:ascii="Times New Roman" w:hAnsi="Times New Roman" w:cs="Times New Roman"/>
          <w:sz w:val="28"/>
          <w:szCs w:val="28"/>
        </w:rPr>
        <w:t>Jeroh</w:t>
      </w:r>
      <w:proofErr w:type="spellEnd"/>
      <w:r>
        <w:rPr>
          <w:rFonts w:ascii="Times New Roman" w:hAnsi="Times New Roman" w:cs="Times New Roman"/>
          <w:sz w:val="28"/>
          <w:szCs w:val="28"/>
        </w:rPr>
        <w:t>, E. (2023). DETERMINANTS OF TAX AGGRESSIVENESS AMONG NON-FINANCIAL LISTED FIRMS IN NIGERIA. International Journal of Applied Research in Social Sciences, 5(7), 207–220. https://doi.org/10.51594/ijarss.</w:t>
      </w:r>
      <w:r>
        <w:rPr>
          <w:rFonts w:ascii="Times New Roman" w:hAnsi="Times New Roman" w:cs="Times New Roman"/>
          <w:sz w:val="28"/>
          <w:szCs w:val="28"/>
        </w:rPr>
        <w:t>v5i7.566</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Aldhamari</w:t>
      </w:r>
      <w:proofErr w:type="spellEnd"/>
      <w:r>
        <w:rPr>
          <w:rFonts w:ascii="Times New Roman" w:hAnsi="Times New Roman" w:cs="Times New Roman"/>
          <w:sz w:val="28"/>
          <w:szCs w:val="28"/>
        </w:rPr>
        <w:t xml:space="preserve">, R., Nor, M. N. M., </w:t>
      </w:r>
      <w:proofErr w:type="spellStart"/>
      <w:r>
        <w:rPr>
          <w:rFonts w:ascii="Times New Roman" w:hAnsi="Times New Roman" w:cs="Times New Roman"/>
          <w:sz w:val="28"/>
          <w:szCs w:val="28"/>
        </w:rPr>
        <w:t>Boudiab</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Mas’ud</w:t>
      </w:r>
      <w:proofErr w:type="spellEnd"/>
      <w:r>
        <w:rPr>
          <w:rFonts w:ascii="Times New Roman" w:hAnsi="Times New Roman" w:cs="Times New Roman"/>
          <w:sz w:val="28"/>
          <w:szCs w:val="28"/>
        </w:rPr>
        <w:t>, A. (2020). The impact of political connection and risk committee on corporate financial performance: evidence from financial firms in Malaysia. Corporate Governance, 20(7), 1281–1305. https://do</w:t>
      </w:r>
      <w:r>
        <w:rPr>
          <w:rFonts w:ascii="Times New Roman" w:hAnsi="Times New Roman" w:cs="Times New Roman"/>
          <w:sz w:val="28"/>
          <w:szCs w:val="28"/>
        </w:rPr>
        <w:t>i.org/10.1108/cg-04-2020-0122</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Alduneibat</w:t>
      </w:r>
      <w:proofErr w:type="spellEnd"/>
      <w:r>
        <w:rPr>
          <w:rFonts w:ascii="Times New Roman" w:hAnsi="Times New Roman" w:cs="Times New Roman"/>
          <w:sz w:val="28"/>
          <w:szCs w:val="28"/>
        </w:rPr>
        <w:t>, K. A. (2023). The effect of risk management committee characteristics on a company’s performance in an emerging country. Journal of Governance and Regulation, 12(1, special issue), 376–386. https://doi.org/10.22495</w:t>
      </w:r>
      <w:r>
        <w:rPr>
          <w:rFonts w:ascii="Times New Roman" w:hAnsi="Times New Roman" w:cs="Times New Roman"/>
          <w:sz w:val="28"/>
          <w:szCs w:val="28"/>
        </w:rPr>
        <w:t>/jgrv12i1siart16</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Al‐</w:t>
      </w:r>
      <w:proofErr w:type="spellStart"/>
      <w:r>
        <w:rPr>
          <w:rFonts w:ascii="Times New Roman" w:hAnsi="Times New Roman" w:cs="Times New Roman"/>
          <w:sz w:val="28"/>
          <w:szCs w:val="28"/>
        </w:rPr>
        <w:t>Hadi</w:t>
      </w:r>
      <w:proofErr w:type="spellEnd"/>
      <w:r>
        <w:rPr>
          <w:rFonts w:ascii="Times New Roman" w:hAnsi="Times New Roman" w:cs="Times New Roman"/>
          <w:sz w:val="28"/>
          <w:szCs w:val="28"/>
        </w:rPr>
        <w:t>, A., Hasan, M. M., &amp; Habib, A. (2015). Risk Committee, firm life cycle, and market risk disclosures. Corporate Governance an International Review, 24(2), 145–170. https://doi.org/10.1111/corg.12115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Alhassan, I., &amp; Islam, K. M. A. (</w:t>
      </w:r>
      <w:r>
        <w:rPr>
          <w:rFonts w:ascii="Times New Roman" w:hAnsi="Times New Roman" w:cs="Times New Roman"/>
          <w:sz w:val="28"/>
          <w:szCs w:val="28"/>
        </w:rPr>
        <w:t>2021). CREDIT MANAGEMENT STRATEGIES AND FINANCIAL PERFORMANCE OF INDUSTRIAL GOODS SECTOR IN NIGERIA. Indian Journal of Finance and Banking, 59–74. https://doi.org/10.46281/ijfb.v8i1.1495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Alia, B. J., &amp; </w:t>
      </w:r>
      <w:proofErr w:type="spellStart"/>
      <w:r>
        <w:rPr>
          <w:rFonts w:ascii="Times New Roman" w:hAnsi="Times New Roman" w:cs="Times New Roman"/>
          <w:sz w:val="28"/>
          <w:szCs w:val="28"/>
        </w:rPr>
        <w:t>Oudatb</w:t>
      </w:r>
      <w:proofErr w:type="spellEnd"/>
      <w:r>
        <w:rPr>
          <w:rFonts w:ascii="Times New Roman" w:hAnsi="Times New Roman" w:cs="Times New Roman"/>
          <w:sz w:val="28"/>
          <w:szCs w:val="28"/>
        </w:rPr>
        <w:t>, M. S. (2020). Financial risk and the financial</w:t>
      </w:r>
      <w:r>
        <w:rPr>
          <w:rFonts w:ascii="Times New Roman" w:hAnsi="Times New Roman" w:cs="Times New Roman"/>
          <w:sz w:val="28"/>
          <w:szCs w:val="28"/>
        </w:rPr>
        <w:t xml:space="preserve"> performance in listed commercial and investment banks in Bahrain Bourse. International Journal of Innovation, Creativity and Change, 13(12), 160-180. </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Aliani</w:t>
      </w:r>
      <w:proofErr w:type="spellEnd"/>
      <w:r>
        <w:rPr>
          <w:rFonts w:ascii="Times New Roman" w:hAnsi="Times New Roman" w:cs="Times New Roman"/>
          <w:sz w:val="28"/>
          <w:szCs w:val="28"/>
        </w:rPr>
        <w:t>, K. (2013). Does corporate governance affect tax planning? Evidence from American companies. Inte</w:t>
      </w:r>
      <w:r>
        <w:rPr>
          <w:rFonts w:ascii="Times New Roman" w:hAnsi="Times New Roman" w:cs="Times New Roman"/>
          <w:sz w:val="28"/>
          <w:szCs w:val="28"/>
        </w:rPr>
        <w:t>rnational Journal of Advanced Research, 1(10), 864-879.</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Alkausar</w:t>
      </w:r>
      <w:proofErr w:type="spellEnd"/>
      <w:r>
        <w:rPr>
          <w:rFonts w:ascii="Times New Roman" w:hAnsi="Times New Roman" w:cs="Times New Roman"/>
          <w:sz w:val="28"/>
          <w:szCs w:val="28"/>
        </w:rPr>
        <w:t xml:space="preserve">, B., </w:t>
      </w:r>
      <w:proofErr w:type="spellStart"/>
      <w:r>
        <w:rPr>
          <w:rFonts w:ascii="Times New Roman" w:hAnsi="Times New Roman" w:cs="Times New Roman"/>
          <w:sz w:val="28"/>
          <w:szCs w:val="28"/>
        </w:rPr>
        <w:t>Nugroho</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Qomariyah</w:t>
      </w:r>
      <w:proofErr w:type="spellEnd"/>
      <w:r>
        <w:rPr>
          <w:rFonts w:ascii="Times New Roman" w:hAnsi="Times New Roman" w:cs="Times New Roman"/>
          <w:sz w:val="28"/>
          <w:szCs w:val="28"/>
        </w:rPr>
        <w:t xml:space="preserve">, A., &amp; </w:t>
      </w:r>
      <w:proofErr w:type="spellStart"/>
      <w:r>
        <w:rPr>
          <w:rFonts w:ascii="Times New Roman" w:hAnsi="Times New Roman" w:cs="Times New Roman"/>
          <w:sz w:val="28"/>
          <w:szCs w:val="28"/>
        </w:rPr>
        <w:t>Prasetyo</w:t>
      </w:r>
      <w:proofErr w:type="spellEnd"/>
      <w:r>
        <w:rPr>
          <w:rFonts w:ascii="Times New Roman" w:hAnsi="Times New Roman" w:cs="Times New Roman"/>
          <w:sz w:val="28"/>
          <w:szCs w:val="28"/>
        </w:rPr>
        <w:t>, A. (2023). Corporate tax aggressiveness: evidence unresolved agency problem captured by theory agency type 3. Cogent Business &amp; Management, 10(2).</w:t>
      </w:r>
      <w:r>
        <w:rPr>
          <w:rFonts w:ascii="Times New Roman" w:hAnsi="Times New Roman" w:cs="Times New Roman"/>
          <w:sz w:val="28"/>
          <w:szCs w:val="28"/>
        </w:rPr>
        <w:t xml:space="preserve"> https://doi.org/10.1080/23311975.2023.2218685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Anthony, C. E., Peter, I. O., &amp; </w:t>
      </w:r>
      <w:proofErr w:type="spellStart"/>
      <w:r>
        <w:rPr>
          <w:rFonts w:ascii="Times New Roman" w:hAnsi="Times New Roman" w:cs="Times New Roman"/>
          <w:sz w:val="28"/>
          <w:szCs w:val="28"/>
        </w:rPr>
        <w:t>Yimka</w:t>
      </w:r>
      <w:proofErr w:type="spellEnd"/>
      <w:r>
        <w:rPr>
          <w:rFonts w:ascii="Times New Roman" w:hAnsi="Times New Roman" w:cs="Times New Roman"/>
          <w:sz w:val="28"/>
          <w:szCs w:val="28"/>
        </w:rPr>
        <w:t>, S. A. (2021). Effect of exchange rate volatility on return on assets of consumer goods manufacturing companies listed in Nigeria. International Journal of Research and In</w:t>
      </w:r>
      <w:r>
        <w:rPr>
          <w:rFonts w:ascii="Times New Roman" w:hAnsi="Times New Roman" w:cs="Times New Roman"/>
          <w:sz w:val="28"/>
          <w:szCs w:val="28"/>
        </w:rPr>
        <w:t>novation in Social Science (IJRISS), 5(6), 462-470. https://doi.org/10.47772/IJRISS.2021.5626</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Aronmwan</w:t>
      </w:r>
      <w:proofErr w:type="spellEnd"/>
      <w:r>
        <w:rPr>
          <w:rFonts w:ascii="Times New Roman" w:hAnsi="Times New Roman" w:cs="Times New Roman"/>
          <w:sz w:val="28"/>
          <w:szCs w:val="28"/>
        </w:rPr>
        <w:t xml:space="preserve">, E. J., &amp; </w:t>
      </w:r>
      <w:proofErr w:type="spellStart"/>
      <w:r>
        <w:rPr>
          <w:rFonts w:ascii="Times New Roman" w:hAnsi="Times New Roman" w:cs="Times New Roman"/>
          <w:sz w:val="28"/>
          <w:szCs w:val="28"/>
        </w:rPr>
        <w:t>Ogbaisi</w:t>
      </w:r>
      <w:proofErr w:type="spellEnd"/>
      <w:r>
        <w:rPr>
          <w:rFonts w:ascii="Times New Roman" w:hAnsi="Times New Roman" w:cs="Times New Roman"/>
          <w:sz w:val="28"/>
          <w:szCs w:val="28"/>
        </w:rPr>
        <w:t>, S. A. (2022). The nexus between standalone risk committees and tax aggressiveness: evidence from Nigeria. Future Business Journal, 8(1</w:t>
      </w:r>
      <w:r>
        <w:rPr>
          <w:rFonts w:ascii="Times New Roman" w:hAnsi="Times New Roman" w:cs="Times New Roman"/>
          <w:sz w:val="28"/>
          <w:szCs w:val="28"/>
        </w:rPr>
        <w:t>). https://doi.org/10.1186/s43093-022-00120-0</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Basel, J. A., &amp; Mohammad, S. O. (2020). Financial risk and the financial performance in listed commercial and investment banks in Bahrain Bourse. International Journal of Innovation, Creativity and Change, 13(1</w:t>
      </w:r>
      <w:r>
        <w:rPr>
          <w:rFonts w:ascii="Times New Roman" w:hAnsi="Times New Roman" w:cs="Times New Roman"/>
          <w:sz w:val="28"/>
          <w:szCs w:val="28"/>
        </w:rPr>
        <w:t xml:space="preserve">2), 160-180. </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Be´Dard</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Chtourou</w:t>
      </w:r>
      <w:proofErr w:type="spellEnd"/>
      <w:r>
        <w:rPr>
          <w:rFonts w:ascii="Times New Roman" w:hAnsi="Times New Roman" w:cs="Times New Roman"/>
          <w:sz w:val="28"/>
          <w:szCs w:val="28"/>
        </w:rPr>
        <w:t xml:space="preserve">, S. M., &amp; </w:t>
      </w:r>
      <w:proofErr w:type="spellStart"/>
      <w:r>
        <w:rPr>
          <w:rFonts w:ascii="Times New Roman" w:hAnsi="Times New Roman" w:cs="Times New Roman"/>
          <w:sz w:val="28"/>
          <w:szCs w:val="28"/>
        </w:rPr>
        <w:t>Courteau</w:t>
      </w:r>
      <w:proofErr w:type="spellEnd"/>
      <w:r>
        <w:rPr>
          <w:rFonts w:ascii="Times New Roman" w:hAnsi="Times New Roman" w:cs="Times New Roman"/>
          <w:sz w:val="28"/>
          <w:szCs w:val="28"/>
        </w:rPr>
        <w:t>, L. (2004). The effect of audit committee expertise, independence, and activity on aggressive earnings management. Auditing a Journal of Practice &amp; Theory, 23(2), 13–35. https://doi.org/10.2308/aud.200</w:t>
      </w:r>
      <w:r>
        <w:rPr>
          <w:rFonts w:ascii="Times New Roman" w:hAnsi="Times New Roman" w:cs="Times New Roman"/>
          <w:sz w:val="28"/>
          <w:szCs w:val="28"/>
        </w:rPr>
        <w:t>4.23.2.13</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Bensaid</w:t>
      </w:r>
      <w:proofErr w:type="spellEnd"/>
      <w:r>
        <w:rPr>
          <w:rFonts w:ascii="Times New Roman" w:hAnsi="Times New Roman" w:cs="Times New Roman"/>
          <w:sz w:val="28"/>
          <w:szCs w:val="28"/>
        </w:rPr>
        <w:t xml:space="preserve">, A., Ishak, S. B., &amp; </w:t>
      </w:r>
      <w:proofErr w:type="spellStart"/>
      <w:r>
        <w:rPr>
          <w:rFonts w:ascii="Times New Roman" w:hAnsi="Times New Roman" w:cs="Times New Roman"/>
          <w:sz w:val="28"/>
          <w:szCs w:val="28"/>
        </w:rPr>
        <w:t>Mustapa</w:t>
      </w:r>
      <w:proofErr w:type="spellEnd"/>
      <w:r>
        <w:rPr>
          <w:rFonts w:ascii="Times New Roman" w:hAnsi="Times New Roman" w:cs="Times New Roman"/>
          <w:sz w:val="28"/>
          <w:szCs w:val="28"/>
        </w:rPr>
        <w:t>, I. R. B. (2021). Risk Management Committee Attributes: A review of the literature and future directions. Universal Journal of Accounting and Finance, 9(3), 388–395. https://doi.org/10.13189/ujaf.2021.090313</w:t>
      </w:r>
    </w:p>
    <w:p w:rsidR="006A5329" w:rsidRDefault="006A5329">
      <w:pPr>
        <w:jc w:val="both"/>
        <w:rPr>
          <w:rFonts w:ascii="Times New Roman" w:hAnsi="Times New Roman" w:cs="Times New Roman"/>
          <w:sz w:val="28"/>
          <w:szCs w:val="28"/>
        </w:rPr>
      </w:pP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Caraiman</w:t>
      </w:r>
      <w:proofErr w:type="spellEnd"/>
      <w:r>
        <w:rPr>
          <w:rFonts w:ascii="Times New Roman" w:hAnsi="Times New Roman" w:cs="Times New Roman"/>
          <w:sz w:val="28"/>
          <w:szCs w:val="28"/>
        </w:rPr>
        <w:t>, A., &amp; Mates, D. (2020). Risk management in corporate governance. Proceedings of the . . . International Conference on Business Excellence, 14(1), 182–201. https://doi.org/10.2478/picbe-2020-0018</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Chen, S., Chen, X., Cheng, Q., &amp; Shevlin, T. (2010)</w:t>
      </w:r>
      <w:r>
        <w:rPr>
          <w:rFonts w:ascii="Times New Roman" w:hAnsi="Times New Roman" w:cs="Times New Roman"/>
          <w:sz w:val="28"/>
          <w:szCs w:val="28"/>
        </w:rPr>
        <w:t>. Are family firms more tax aggressive than non-family firms? Journal of Financial Economics, 95(1), 41–61. https://doi.org/10.1016/j.jfineco.2009.02.003</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Choi, J., &amp; Park, H. (2022). Tax Avoidance, Tax Risk, and Corporate Governance: Evidence from Korea. S</w:t>
      </w:r>
      <w:r>
        <w:rPr>
          <w:rFonts w:ascii="Times New Roman" w:hAnsi="Times New Roman" w:cs="Times New Roman"/>
          <w:sz w:val="28"/>
          <w:szCs w:val="28"/>
        </w:rPr>
        <w:t>ustainability, 14(1), 469. https://doi.org/10.3390/su14010469.</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Chouaibi</w:t>
      </w:r>
      <w:proofErr w:type="spellEnd"/>
      <w:r>
        <w:rPr>
          <w:rFonts w:ascii="Times New Roman" w:hAnsi="Times New Roman" w:cs="Times New Roman"/>
          <w:sz w:val="28"/>
          <w:szCs w:val="28"/>
        </w:rPr>
        <w:t xml:space="preserve">, J., Rossi, M., &amp; </w:t>
      </w:r>
      <w:proofErr w:type="spellStart"/>
      <w:r>
        <w:rPr>
          <w:rFonts w:ascii="Times New Roman" w:hAnsi="Times New Roman" w:cs="Times New Roman"/>
          <w:sz w:val="28"/>
          <w:szCs w:val="28"/>
        </w:rPr>
        <w:t>Abdessamed</w:t>
      </w:r>
      <w:proofErr w:type="spellEnd"/>
      <w:r>
        <w:rPr>
          <w:rFonts w:ascii="Times New Roman" w:hAnsi="Times New Roman" w:cs="Times New Roman"/>
          <w:sz w:val="28"/>
          <w:szCs w:val="28"/>
        </w:rPr>
        <w:t>, N. (2021). The effect of corporate social responsibility practices on tax avoidance: an empirical study in the French context. Competitiveness Review an I</w:t>
      </w:r>
      <w:r>
        <w:rPr>
          <w:rFonts w:ascii="Times New Roman" w:hAnsi="Times New Roman" w:cs="Times New Roman"/>
          <w:sz w:val="28"/>
          <w:szCs w:val="28"/>
        </w:rPr>
        <w:t>nternational Business Journal Incorporating Journal of Global Competitiveness, 32(3), 326–349. https://doi.org/10.1108/cr-04-2021-0062.</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Bouaziz</w:t>
      </w:r>
      <w:proofErr w:type="spellEnd"/>
      <w:r>
        <w:rPr>
          <w:rFonts w:ascii="Times New Roman" w:hAnsi="Times New Roman" w:cs="Times New Roman"/>
          <w:sz w:val="28"/>
          <w:szCs w:val="28"/>
        </w:rPr>
        <w:t xml:space="preserve">, I. B. (2022). Corporate social responsibility and tax avoidance: the effect of ownership structure. </w:t>
      </w:r>
      <w:r>
        <w:rPr>
          <w:rFonts w:ascii="Times New Roman" w:hAnsi="Times New Roman" w:cs="Times New Roman"/>
          <w:sz w:val="28"/>
          <w:szCs w:val="28"/>
        </w:rPr>
        <w:t>International Journal of Applied Research in Management and Economics, 5(3), 25–39. https://doi.org/10.33422/ijarme.v5i3.782</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Eguavoen</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Ukarin</w:t>
      </w:r>
      <w:proofErr w:type="spellEnd"/>
      <w:r>
        <w:rPr>
          <w:rFonts w:ascii="Times New Roman" w:hAnsi="Times New Roman" w:cs="Times New Roman"/>
          <w:sz w:val="28"/>
          <w:szCs w:val="28"/>
        </w:rPr>
        <w:t xml:space="preserve">, I., &amp; </w:t>
      </w:r>
      <w:proofErr w:type="spellStart"/>
      <w:r>
        <w:rPr>
          <w:rFonts w:ascii="Times New Roman" w:hAnsi="Times New Roman" w:cs="Times New Roman"/>
          <w:sz w:val="28"/>
          <w:szCs w:val="28"/>
        </w:rPr>
        <w:t>Enewerome</w:t>
      </w:r>
      <w:proofErr w:type="spellEnd"/>
      <w:r>
        <w:rPr>
          <w:rFonts w:ascii="Times New Roman" w:hAnsi="Times New Roman" w:cs="Times New Roman"/>
          <w:sz w:val="28"/>
          <w:szCs w:val="28"/>
        </w:rPr>
        <w:t xml:space="preserve">, O. T. (2023). Board Attributes and tax planning of Corporate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in Nigeria. MANAG</w:t>
      </w:r>
      <w:r>
        <w:rPr>
          <w:rFonts w:ascii="Times New Roman" w:hAnsi="Times New Roman" w:cs="Times New Roman"/>
          <w:sz w:val="28"/>
          <w:szCs w:val="28"/>
        </w:rPr>
        <w:t>EMENT AND ECONOMICS REVIEW, 8(1), 46–57. https://doi.org/10.24818/mer/2023.02-04</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Desai, M. A., &amp; Dharmapala, D. (2006). Corporate tax avoidance and high-powered incentives. Journal of Financial Economics, 79(1), 145–179. https://doi.org/10.1016/j.jfineco.2</w:t>
      </w:r>
      <w:r>
        <w:rPr>
          <w:rFonts w:ascii="Times New Roman" w:hAnsi="Times New Roman" w:cs="Times New Roman"/>
          <w:sz w:val="28"/>
          <w:szCs w:val="28"/>
        </w:rPr>
        <w:t>005.02.002</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Desai, M. A., &amp; Dharmapala, D. (2009). Corporate tax avoidance and firm value. Review of Economics and Statistics, 91(3), 537-546. https://www.jstor.org/stable/25651357</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Dyreng</w:t>
      </w:r>
      <w:proofErr w:type="spellEnd"/>
      <w:r>
        <w:rPr>
          <w:rFonts w:ascii="Times New Roman" w:hAnsi="Times New Roman" w:cs="Times New Roman"/>
          <w:sz w:val="28"/>
          <w:szCs w:val="28"/>
        </w:rPr>
        <w:t xml:space="preserve">, S., Hanlon, M., &amp; Maydew, E. L. (2018). Rolling the dice: When does </w:t>
      </w:r>
      <w:r>
        <w:rPr>
          <w:rFonts w:ascii="Times New Roman" w:hAnsi="Times New Roman" w:cs="Times New Roman"/>
          <w:sz w:val="28"/>
          <w:szCs w:val="28"/>
        </w:rPr>
        <w:t>tax avoidance result in tax uncertainty? SSRN Electronic Journal. https://doi.org/10.2139/ssrn.2374945</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Fombrun</w:t>
      </w:r>
      <w:proofErr w:type="spellEnd"/>
      <w:r>
        <w:rPr>
          <w:rFonts w:ascii="Times New Roman" w:hAnsi="Times New Roman" w:cs="Times New Roman"/>
          <w:sz w:val="28"/>
          <w:szCs w:val="28"/>
        </w:rPr>
        <w:t xml:space="preserve">, C. J., </w:t>
      </w:r>
      <w:proofErr w:type="spellStart"/>
      <w:r>
        <w:rPr>
          <w:rFonts w:ascii="Times New Roman" w:hAnsi="Times New Roman" w:cs="Times New Roman"/>
          <w:sz w:val="28"/>
          <w:szCs w:val="28"/>
        </w:rPr>
        <w:t>Gardberg</w:t>
      </w:r>
      <w:proofErr w:type="spellEnd"/>
      <w:r>
        <w:rPr>
          <w:rFonts w:ascii="Times New Roman" w:hAnsi="Times New Roman" w:cs="Times New Roman"/>
          <w:sz w:val="28"/>
          <w:szCs w:val="28"/>
        </w:rPr>
        <w:t>, N. A., &amp; Barnett, M. L. (2000). Opportunity platforms and safety nets: corporate citizenship and reputational risk. Business an</w:t>
      </w:r>
      <w:r>
        <w:rPr>
          <w:rFonts w:ascii="Times New Roman" w:hAnsi="Times New Roman" w:cs="Times New Roman"/>
          <w:sz w:val="28"/>
          <w:szCs w:val="28"/>
        </w:rPr>
        <w:t>d Society Review, 105(1), 85–106. https://doi.org/10.1111/0045-3609.00066</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Frank, M. M., Lynch, L. J., &amp; </w:t>
      </w:r>
      <w:proofErr w:type="spellStart"/>
      <w:r>
        <w:rPr>
          <w:rFonts w:ascii="Times New Roman" w:hAnsi="Times New Roman" w:cs="Times New Roman"/>
          <w:sz w:val="28"/>
          <w:szCs w:val="28"/>
        </w:rPr>
        <w:t>Rego</w:t>
      </w:r>
      <w:proofErr w:type="spellEnd"/>
      <w:r>
        <w:rPr>
          <w:rFonts w:ascii="Times New Roman" w:hAnsi="Times New Roman" w:cs="Times New Roman"/>
          <w:sz w:val="28"/>
          <w:szCs w:val="28"/>
        </w:rPr>
        <w:t>, S. O. (2008). Does aggressive financial reporting accompany aggressive tax reporting (and vice versa)? SSRN Electronic Journal, 22(12), 1496–1497.</w:t>
      </w:r>
      <w:r>
        <w:rPr>
          <w:rFonts w:ascii="Times New Roman" w:hAnsi="Times New Roman" w:cs="Times New Roman"/>
          <w:sz w:val="28"/>
          <w:szCs w:val="28"/>
        </w:rPr>
        <w:t xml:space="preserve"> https://doi.org/10.2139/ssrn.647604</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Godfrey, P. C. (2005). The relationship between corporate philanthropy and shareholder wealth: A Risk Management perspective. Academy of Management Review, 30(4), 777–798. https://doi.org/10.5465/amr.2005.18378878</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Hajaw</w:t>
      </w:r>
      <w:r>
        <w:rPr>
          <w:rFonts w:ascii="Times New Roman" w:hAnsi="Times New Roman" w:cs="Times New Roman"/>
          <w:sz w:val="28"/>
          <w:szCs w:val="28"/>
        </w:rPr>
        <w:t>iyah</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Kiswanto</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Suryarini</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Yanto</w:t>
      </w:r>
      <w:proofErr w:type="spellEnd"/>
      <w:r>
        <w:rPr>
          <w:rFonts w:ascii="Times New Roman" w:hAnsi="Times New Roman" w:cs="Times New Roman"/>
          <w:sz w:val="28"/>
          <w:szCs w:val="28"/>
        </w:rPr>
        <w:t xml:space="preserve">, H., &amp; </w:t>
      </w:r>
      <w:proofErr w:type="spellStart"/>
      <w:r>
        <w:rPr>
          <w:rFonts w:ascii="Times New Roman" w:hAnsi="Times New Roman" w:cs="Times New Roman"/>
          <w:sz w:val="28"/>
          <w:szCs w:val="28"/>
        </w:rPr>
        <w:t>Harjanto</w:t>
      </w:r>
      <w:proofErr w:type="spellEnd"/>
      <w:r>
        <w:rPr>
          <w:rFonts w:ascii="Times New Roman" w:hAnsi="Times New Roman" w:cs="Times New Roman"/>
          <w:sz w:val="28"/>
          <w:szCs w:val="28"/>
        </w:rPr>
        <w:t xml:space="preserve">, A. P. (2022). The bidirectional relationship of tax aggressiveness and CSR: Evidence from Indonesia. </w:t>
      </w:r>
      <w:r>
        <w:rPr>
          <w:rFonts w:ascii="Times New Roman" w:hAnsi="Times New Roman" w:cs="Times New Roman"/>
          <w:sz w:val="28"/>
          <w:szCs w:val="28"/>
        </w:rPr>
        <w:lastRenderedPageBreak/>
        <w:t>Cogent Business &amp; Management, 9(1). https://doi.org/10.1080/23311975.2022.2090207</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Hanlon, M.,</w:t>
      </w:r>
      <w:r>
        <w:rPr>
          <w:rFonts w:ascii="Times New Roman" w:hAnsi="Times New Roman" w:cs="Times New Roman"/>
          <w:sz w:val="28"/>
          <w:szCs w:val="28"/>
        </w:rPr>
        <w:t xml:space="preserve"> &amp; </w:t>
      </w:r>
      <w:proofErr w:type="spellStart"/>
      <w:r>
        <w:rPr>
          <w:rFonts w:ascii="Times New Roman" w:hAnsi="Times New Roman" w:cs="Times New Roman"/>
          <w:sz w:val="28"/>
          <w:szCs w:val="28"/>
        </w:rPr>
        <w:t>Heitzman</w:t>
      </w:r>
      <w:proofErr w:type="spellEnd"/>
      <w:r>
        <w:rPr>
          <w:rFonts w:ascii="Times New Roman" w:hAnsi="Times New Roman" w:cs="Times New Roman"/>
          <w:sz w:val="28"/>
          <w:szCs w:val="28"/>
        </w:rPr>
        <w:t>, S. (2010). A review of tax research. Journal of Accounting and Economics, 50(2–3), 127–178. https://doi.org/10.1016/j.jacceco.2010.09.002</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Hoi, C. K., Wu, Q., &amp; Zhang, H. (2013). Is Corporate Social Responsibility (CSR) Associated with Tax Avoi</w:t>
      </w:r>
      <w:r>
        <w:rPr>
          <w:rFonts w:ascii="Times New Roman" w:hAnsi="Times New Roman" w:cs="Times New Roman"/>
          <w:sz w:val="28"/>
          <w:szCs w:val="28"/>
        </w:rPr>
        <w:t>dance? Evidence from Irresponsible CSR Activities. The Accounting Review, 88(6), 2025–2059. https://doi.org/10.2308/accr-50544</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Huseynov, F., &amp; </w:t>
      </w:r>
      <w:proofErr w:type="spellStart"/>
      <w:r>
        <w:rPr>
          <w:rFonts w:ascii="Times New Roman" w:hAnsi="Times New Roman" w:cs="Times New Roman"/>
          <w:sz w:val="28"/>
          <w:szCs w:val="28"/>
        </w:rPr>
        <w:t>Klamm</w:t>
      </w:r>
      <w:proofErr w:type="spellEnd"/>
      <w:r>
        <w:rPr>
          <w:rFonts w:ascii="Times New Roman" w:hAnsi="Times New Roman" w:cs="Times New Roman"/>
          <w:sz w:val="28"/>
          <w:szCs w:val="28"/>
        </w:rPr>
        <w:t>, B. K. (2012). Tax avoidance, tax management and corporate social responsibility. Journal of Corporate Fina</w:t>
      </w:r>
      <w:r>
        <w:rPr>
          <w:rFonts w:ascii="Times New Roman" w:hAnsi="Times New Roman" w:cs="Times New Roman"/>
          <w:sz w:val="28"/>
          <w:szCs w:val="28"/>
        </w:rPr>
        <w:t>nce, 18(4), 804–827. https://doi.org/10.1016/j.jcorpfin.2012.06.005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Johansson, Å., </w:t>
      </w:r>
      <w:proofErr w:type="spellStart"/>
      <w:r>
        <w:rPr>
          <w:rFonts w:ascii="Times New Roman" w:hAnsi="Times New Roman" w:cs="Times New Roman"/>
          <w:sz w:val="28"/>
          <w:szCs w:val="28"/>
        </w:rPr>
        <w:t>Øystein</w:t>
      </w:r>
      <w:proofErr w:type="spellEnd"/>
      <w:r>
        <w:rPr>
          <w:rFonts w:ascii="Times New Roman" w:hAnsi="Times New Roman" w:cs="Times New Roman"/>
          <w:sz w:val="28"/>
          <w:szCs w:val="28"/>
        </w:rPr>
        <w:t xml:space="preserve">, B. S., </w:t>
      </w:r>
      <w:proofErr w:type="spellStart"/>
      <w:r>
        <w:rPr>
          <w:rFonts w:ascii="Times New Roman" w:hAnsi="Times New Roman" w:cs="Times New Roman"/>
          <w:sz w:val="28"/>
          <w:szCs w:val="28"/>
        </w:rPr>
        <w:t>Sorbe</w:t>
      </w:r>
      <w:proofErr w:type="spellEnd"/>
      <w:r>
        <w:rPr>
          <w:rFonts w:ascii="Times New Roman" w:hAnsi="Times New Roman" w:cs="Times New Roman"/>
          <w:sz w:val="28"/>
          <w:szCs w:val="28"/>
        </w:rPr>
        <w:t>, S., &amp; Menon, C. (2017). Tax planning by multinational firms. OECD Economics Department Working Papers. https://doi.org/10.1787/9ea89b4d-en</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Khan, N., A</w:t>
      </w:r>
      <w:r>
        <w:rPr>
          <w:rFonts w:ascii="Times New Roman" w:hAnsi="Times New Roman" w:cs="Times New Roman"/>
          <w:sz w:val="28"/>
          <w:szCs w:val="28"/>
        </w:rPr>
        <w:t xml:space="preserve">braham, O. O., Alex, A., </w:t>
      </w:r>
      <w:proofErr w:type="spellStart"/>
      <w:r>
        <w:rPr>
          <w:rFonts w:ascii="Times New Roman" w:hAnsi="Times New Roman" w:cs="Times New Roman"/>
          <w:sz w:val="28"/>
          <w:szCs w:val="28"/>
        </w:rPr>
        <w:t>Eluyela</w:t>
      </w:r>
      <w:proofErr w:type="spellEnd"/>
      <w:r>
        <w:rPr>
          <w:rFonts w:ascii="Times New Roman" w:hAnsi="Times New Roman" w:cs="Times New Roman"/>
          <w:sz w:val="28"/>
          <w:szCs w:val="28"/>
        </w:rPr>
        <w:t xml:space="preserve">, D. F., &amp; </w:t>
      </w:r>
      <w:proofErr w:type="spellStart"/>
      <w:r>
        <w:rPr>
          <w:rFonts w:ascii="Times New Roman" w:hAnsi="Times New Roman" w:cs="Times New Roman"/>
          <w:sz w:val="28"/>
          <w:szCs w:val="28"/>
        </w:rPr>
        <w:t>Odianonsen</w:t>
      </w:r>
      <w:proofErr w:type="spellEnd"/>
      <w:r>
        <w:rPr>
          <w:rFonts w:ascii="Times New Roman" w:hAnsi="Times New Roman" w:cs="Times New Roman"/>
          <w:sz w:val="28"/>
          <w:szCs w:val="28"/>
        </w:rPr>
        <w:t>, I. F. (2022). Corporate governance, tax avoidance, and corporate social responsibility: Evidence of emerging market of Nigeria and frontier market of Pakistan. Cogent Economics &amp; Finance, 10(1). https:</w:t>
      </w:r>
      <w:r>
        <w:rPr>
          <w:rFonts w:ascii="Times New Roman" w:hAnsi="Times New Roman" w:cs="Times New Roman"/>
          <w:sz w:val="28"/>
          <w:szCs w:val="28"/>
        </w:rPr>
        <w:t>//doi.org/10.1080/23322039.2022.2080898</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Khurana, I. K., &amp; Moser, W. J. (2009). Shareholder investment horizons and tax aggressiveness. SSRN Electronic Journal. https://doi.org/10.2139/ssrn.1517913</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Tao, N. B., &amp; Hutchinson, M. (2013) Corporate governance an</w:t>
      </w:r>
      <w:r>
        <w:rPr>
          <w:rFonts w:ascii="Times New Roman" w:hAnsi="Times New Roman" w:cs="Times New Roman"/>
          <w:sz w:val="28"/>
          <w:szCs w:val="28"/>
        </w:rPr>
        <w:t>d risk management: The role of risk management and compensation committees. Journal of Contemporary Accounting &amp; Economics, 9(1), 83–99. https://doi.org/10.1016/j.jcae.2013.03.003</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Moser, D. V., &amp; Martin, P. R. (2012). A broader perspective on corporate soc</w:t>
      </w:r>
      <w:r>
        <w:rPr>
          <w:rFonts w:ascii="Times New Roman" w:hAnsi="Times New Roman" w:cs="Times New Roman"/>
          <w:sz w:val="28"/>
          <w:szCs w:val="28"/>
        </w:rPr>
        <w:t>ial responsibility research in accounting. The Accounting Review. https://doi.org/10.2308/accr-50139</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Richardson, G., Taylor, G., &amp; </w:t>
      </w:r>
      <w:proofErr w:type="spellStart"/>
      <w:r>
        <w:rPr>
          <w:rFonts w:ascii="Times New Roman" w:hAnsi="Times New Roman" w:cs="Times New Roman"/>
          <w:sz w:val="28"/>
          <w:szCs w:val="28"/>
        </w:rPr>
        <w:t>Lanis</w:t>
      </w:r>
      <w:proofErr w:type="spellEnd"/>
      <w:r>
        <w:rPr>
          <w:rFonts w:ascii="Times New Roman" w:hAnsi="Times New Roman" w:cs="Times New Roman"/>
          <w:sz w:val="28"/>
          <w:szCs w:val="28"/>
        </w:rPr>
        <w:t>, R. (2013). The impact of board of director oversight characteristics on corporate tax aggressiveness: An empirical ana</w:t>
      </w:r>
      <w:r>
        <w:rPr>
          <w:rFonts w:ascii="Times New Roman" w:hAnsi="Times New Roman" w:cs="Times New Roman"/>
          <w:sz w:val="28"/>
          <w:szCs w:val="28"/>
        </w:rPr>
        <w:t>lysis. Journal of Accounting and Public Policy, 32(3), 68–88. https://doi.org/10.1016/j.jaccpubpol.2013.02.004</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Securities and Exchange Commission (SEC). (2011). Code of Corporate Governance for Public Companies in Nigeria. SEC Nigeria.</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Sholikhah</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M. ’</w:t>
      </w:r>
      <w:proofErr w:type="gramEnd"/>
      <w:r>
        <w:rPr>
          <w:rFonts w:ascii="Times New Roman" w:hAnsi="Times New Roman" w:cs="Times New Roman"/>
          <w:sz w:val="28"/>
          <w:szCs w:val="28"/>
        </w:rPr>
        <w:t xml:space="preserve">., &amp; </w:t>
      </w:r>
      <w:proofErr w:type="spellStart"/>
      <w:r>
        <w:rPr>
          <w:rFonts w:ascii="Times New Roman" w:hAnsi="Times New Roman" w:cs="Times New Roman"/>
          <w:sz w:val="28"/>
          <w:szCs w:val="28"/>
        </w:rPr>
        <w:t>Nurdin</w:t>
      </w:r>
      <w:proofErr w:type="spellEnd"/>
      <w:r>
        <w:rPr>
          <w:rFonts w:ascii="Times New Roman" w:hAnsi="Times New Roman" w:cs="Times New Roman"/>
          <w:sz w:val="28"/>
          <w:szCs w:val="28"/>
        </w:rPr>
        <w:t>, F. (2022). The effect of good corporate governance on tax avoidance: Empirical study on trade, service and investment company listed on the Indonesia Stock Exchange period of 2016 - 2020. JURNAL PAJAK INDONESIA (Indonesian Tax Review), 6(2), 203–21</w:t>
      </w:r>
      <w:r>
        <w:rPr>
          <w:rFonts w:ascii="Times New Roman" w:hAnsi="Times New Roman" w:cs="Times New Roman"/>
          <w:sz w:val="28"/>
          <w:szCs w:val="28"/>
        </w:rPr>
        <w:t>3. https://doi.org/10.31092/jpi.v6i2.1715</w:t>
      </w:r>
    </w:p>
    <w:p w:rsidR="006A5329" w:rsidRDefault="006B68FF">
      <w:pPr>
        <w:jc w:val="both"/>
        <w:rPr>
          <w:rFonts w:ascii="Times New Roman" w:hAnsi="Times New Roman" w:cs="Times New Roman"/>
          <w:sz w:val="28"/>
          <w:szCs w:val="28"/>
        </w:rPr>
      </w:pPr>
      <w:r>
        <w:rPr>
          <w:rFonts w:ascii="Times New Roman" w:hAnsi="Times New Roman" w:cs="Times New Roman"/>
          <w:sz w:val="28"/>
          <w:szCs w:val="28"/>
        </w:rPr>
        <w:t>Tran, T. K., Truong, M. T., Bui, K. T., Duong, P. D., Huynh, M. V., &amp; Nguyen, T. T. H. (2023). Firm risk and tax avoidance in Vietnam: Do good board characteristics interfere effectively? Risks, 11(2), 39. https://</w:t>
      </w:r>
      <w:r>
        <w:rPr>
          <w:rFonts w:ascii="Times New Roman" w:hAnsi="Times New Roman" w:cs="Times New Roman"/>
          <w:sz w:val="28"/>
          <w:szCs w:val="28"/>
        </w:rPr>
        <w:t>doi.org/10.3390/risks11020039</w:t>
      </w:r>
    </w:p>
    <w:p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Uniamikogbo</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Bennee</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Adeusi</w:t>
      </w:r>
      <w:proofErr w:type="spellEnd"/>
      <w:r>
        <w:rPr>
          <w:rFonts w:ascii="Times New Roman" w:hAnsi="Times New Roman" w:cs="Times New Roman"/>
          <w:sz w:val="28"/>
          <w:szCs w:val="28"/>
        </w:rPr>
        <w:t>, S. A. (2019). Corporate governance and tax strategies in Nigeria. AE-FUNAI Journal of Accounting Business and Finance (FJABAF), 4(1), 20-33.</w:t>
      </w:r>
    </w:p>
    <w:sectPr w:rsidR="006A53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8FF" w:rsidRDefault="006B68FF">
      <w:pPr>
        <w:spacing w:line="240" w:lineRule="auto"/>
      </w:pPr>
      <w:r>
        <w:separator/>
      </w:r>
    </w:p>
  </w:endnote>
  <w:endnote w:type="continuationSeparator" w:id="0">
    <w:p w:rsidR="006B68FF" w:rsidRDefault="006B6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567" w:rsidRDefault="00DA4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567" w:rsidRDefault="00DA4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567" w:rsidRDefault="00DA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8FF" w:rsidRDefault="006B68FF">
      <w:pPr>
        <w:spacing w:after="0"/>
      </w:pPr>
      <w:r>
        <w:separator/>
      </w:r>
    </w:p>
  </w:footnote>
  <w:footnote w:type="continuationSeparator" w:id="0">
    <w:p w:rsidR="006B68FF" w:rsidRDefault="006B68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567" w:rsidRDefault="00DA45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608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567" w:rsidRDefault="00DA45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608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567" w:rsidRDefault="00DA45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608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29"/>
    <w:rsid w:val="000A3BE8"/>
    <w:rsid w:val="000D20E9"/>
    <w:rsid w:val="00357565"/>
    <w:rsid w:val="006A5329"/>
    <w:rsid w:val="006B68FF"/>
    <w:rsid w:val="00DA4567"/>
    <w:rsid w:val="1D60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6FD9B"/>
  <w15:docId w15:val="{85E0104C-A1EC-46F8-A9C3-AEC253A8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rPr>
      <w:rFonts w:ascii="Times New Roman" w:hAnsi="Times New Roman" w:cs="Times New Roman"/>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357565"/>
    <w:rPr>
      <w:color w:val="605E5C"/>
      <w:shd w:val="clear" w:color="auto" w:fill="E1DFDD"/>
    </w:rPr>
  </w:style>
  <w:style w:type="paragraph" w:styleId="Header">
    <w:name w:val="header"/>
    <w:basedOn w:val="Normal"/>
    <w:link w:val="HeaderChar"/>
    <w:rsid w:val="00DA4567"/>
    <w:pPr>
      <w:tabs>
        <w:tab w:val="center" w:pos="4680"/>
        <w:tab w:val="right" w:pos="9360"/>
      </w:tabs>
      <w:spacing w:after="0" w:line="240" w:lineRule="auto"/>
    </w:pPr>
  </w:style>
  <w:style w:type="character" w:customStyle="1" w:styleId="HeaderChar">
    <w:name w:val="Header Char"/>
    <w:basedOn w:val="DefaultParagraphFont"/>
    <w:link w:val="Header"/>
    <w:rsid w:val="00DA4567"/>
    <w:rPr>
      <w:kern w:val="2"/>
      <w:sz w:val="24"/>
      <w:szCs w:val="24"/>
      <w:lang w:val="en-US" w:eastAsia="en-US"/>
      <w14:ligatures w14:val="standardContextual"/>
    </w:rPr>
  </w:style>
  <w:style w:type="paragraph" w:styleId="Footer">
    <w:name w:val="footer"/>
    <w:basedOn w:val="Normal"/>
    <w:link w:val="FooterChar"/>
    <w:rsid w:val="00DA4567"/>
    <w:pPr>
      <w:tabs>
        <w:tab w:val="center" w:pos="4680"/>
        <w:tab w:val="right" w:pos="9360"/>
      </w:tabs>
      <w:spacing w:after="0" w:line="240" w:lineRule="auto"/>
    </w:pPr>
  </w:style>
  <w:style w:type="character" w:customStyle="1" w:styleId="FooterChar">
    <w:name w:val="Footer Char"/>
    <w:basedOn w:val="DefaultParagraphFont"/>
    <w:link w:val="Footer"/>
    <w:rsid w:val="00DA4567"/>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23</Pages>
  <Words>6689</Words>
  <Characters>38129</Characters>
  <Application>Microsoft Office Word</Application>
  <DocSecurity>0</DocSecurity>
  <Lines>317</Lines>
  <Paragraphs>89</Paragraphs>
  <ScaleCrop>false</ScaleCrop>
  <Company/>
  <LinksUpToDate>false</LinksUpToDate>
  <CharactersWithSpaces>44729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SDI 1084</cp:lastModifiedBy>
  <cp:revision>12</cp:revision>
  <dcterms:created xsi:type="dcterms:W3CDTF">2026-01-22T06:26:00Z</dcterms:created>
  <dcterms:modified xsi:type="dcterms:W3CDTF">2026-01-28T10:12:00Z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83F66D1561C54CE1987007C1C95B6DD2_13</vt:lpwstr>
  </property>
  <property fmtid="{D5CDD505-2E9C-101B-9397-08002B2CF9AE}" pid="3" name="KSOProductBuildVer">
    <vt:lpwstr>1033-12.2.0.23196</vt:lpwstr>
  </property>
</Properties>
</file>