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64B9A" w14:textId="5AD679FE" w:rsidR="00754C9A" w:rsidRDefault="00F26F07" w:rsidP="00441B6F">
      <w:pPr>
        <w:pStyle w:val="Title"/>
        <w:spacing w:after="0"/>
        <w:jc w:val="both"/>
        <w:rPr>
          <w:rFonts w:ascii="Arial" w:hAnsi="Arial" w:cs="Arial"/>
        </w:rPr>
      </w:pPr>
      <w:r w:rsidRPr="001C0143">
        <w:rPr>
          <w:rFonts w:ascii="Arial" w:hAnsi="Arial" w:cs="Arial"/>
        </w:rPr>
        <w:t>Systematic Revi</w:t>
      </w:r>
      <w:r w:rsidR="001C0143" w:rsidRPr="001C0143">
        <w:rPr>
          <w:rFonts w:ascii="Arial" w:hAnsi="Arial" w:cs="Arial"/>
        </w:rPr>
        <w:t>ew</w:t>
      </w:r>
    </w:p>
    <w:p w14:paraId="535F3C98" w14:textId="46A07016" w:rsidR="00163BC4" w:rsidRPr="00163BC4" w:rsidRDefault="00F77A0A" w:rsidP="00441B6F">
      <w:pPr>
        <w:pStyle w:val="Author"/>
        <w:spacing w:line="240" w:lineRule="auto"/>
        <w:rPr>
          <w:rFonts w:ascii="Arial" w:hAnsi="Arial" w:cs="Arial"/>
          <w:bCs/>
          <w:iCs/>
          <w:kern w:val="28"/>
          <w:sz w:val="36"/>
        </w:rPr>
      </w:pPr>
      <w:bookmarkStart w:id="0" w:name="_Hlk220405746"/>
      <w:r w:rsidRPr="00F77A0A">
        <w:rPr>
          <w:rFonts w:ascii="Arial" w:hAnsi="Arial" w:cs="Arial"/>
          <w:bCs/>
          <w:iCs/>
          <w:kern w:val="28"/>
          <w:sz w:val="36"/>
        </w:rPr>
        <w:t>Determinants of Artificial Intelligence Adoption in Software Development: A Systematic Literature Review Using the TOE Framework</w:t>
      </w:r>
      <w:r w:rsidR="00231920">
        <w:rPr>
          <w:rFonts w:ascii="Arial" w:hAnsi="Arial" w:cs="Arial"/>
          <w:bCs/>
          <w:iCs/>
          <w:kern w:val="28"/>
          <w:sz w:val="36"/>
        </w:rPr>
        <w:t xml:space="preserve"> </w:t>
      </w:r>
    </w:p>
    <w:bookmarkEnd w:id="0"/>
    <w:p w14:paraId="2821EE2E" w14:textId="77777777" w:rsidR="002C57D2" w:rsidRPr="00FB3A86" w:rsidRDefault="002C57D2" w:rsidP="00441B6F">
      <w:pPr>
        <w:pStyle w:val="Affiliation"/>
        <w:spacing w:after="0" w:line="240" w:lineRule="auto"/>
        <w:jc w:val="both"/>
        <w:rPr>
          <w:rFonts w:ascii="Arial" w:hAnsi="Arial" w:cs="Arial"/>
        </w:rPr>
      </w:pPr>
    </w:p>
    <w:p w14:paraId="38BB1323" w14:textId="7439AAC0" w:rsidR="00B01FCD" w:rsidRPr="00FB3A86" w:rsidRDefault="00EB2B1B" w:rsidP="00441B6F">
      <w:pPr>
        <w:pStyle w:val="Copyright"/>
        <w:spacing w:after="0" w:line="240" w:lineRule="auto"/>
        <w:jc w:val="both"/>
        <w:rPr>
          <w:rFonts w:ascii="Arial" w:hAnsi="Arial" w:cs="Arial"/>
        </w:rPr>
        <w:sectPr w:rsidR="00B01FCD" w:rsidRPr="00FB3A86" w:rsidSect="00CE21D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A3E04C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BEF4345" w14:textId="77777777" w:rsidR="00CD1A34" w:rsidRDefault="00CD1A34" w:rsidP="00441B6F">
      <w:pPr>
        <w:pStyle w:val="AbstHead"/>
        <w:spacing w:after="0"/>
        <w:jc w:val="both"/>
        <w:rPr>
          <w:rFonts w:ascii="Arial" w:hAnsi="Arial" w:cs="Arial"/>
        </w:rPr>
      </w:pPr>
    </w:p>
    <w:p w14:paraId="7BD9E793" w14:textId="1FA8DB3C" w:rsidR="00B01FCD" w:rsidRDefault="00B01FCD" w:rsidP="00441B6F">
      <w:pPr>
        <w:pStyle w:val="AbstHead"/>
        <w:spacing w:after="0"/>
        <w:jc w:val="both"/>
        <w:rPr>
          <w:rFonts w:ascii="Arial" w:hAnsi="Arial" w:cs="Arial"/>
        </w:rPr>
      </w:pPr>
      <w:r w:rsidRPr="00FB3A86">
        <w:rPr>
          <w:rFonts w:ascii="Arial" w:hAnsi="Arial" w:cs="Arial"/>
        </w:rPr>
        <w:t>ABSTRACT</w:t>
      </w:r>
    </w:p>
    <w:p w14:paraId="7195E5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4EE7137" w14:textId="77777777" w:rsidTr="001E44FE">
        <w:tc>
          <w:tcPr>
            <w:tcW w:w="9576" w:type="dxa"/>
            <w:shd w:val="clear" w:color="auto" w:fill="F2F2F2"/>
          </w:tcPr>
          <w:p w14:paraId="11842BD9" w14:textId="2011E10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7421F" w:rsidRPr="00F7421F">
              <w:rPr>
                <w:rFonts w:ascii="Arial" w:eastAsia="Calibri" w:hAnsi="Arial" w:cs="Arial"/>
                <w:szCs w:val="22"/>
              </w:rPr>
              <w:t>Artificial intelligence (AI) is reshaping software development through automation, predictive analytics, and enhanced decision-making across the development lifecycle. However, AI adoption outcomes remain uneven and are influenced by a complex interplay of technological, organizational, and environmental factors. This study aims to systematically identify and synthesize the antecedents influencing AI adoption in software development using the Technology</w:t>
            </w:r>
            <w:r w:rsidR="00F7421F">
              <w:rPr>
                <w:rFonts w:ascii="Arial" w:eastAsia="Calibri" w:hAnsi="Arial" w:cs="Arial"/>
                <w:szCs w:val="22"/>
              </w:rPr>
              <w:t xml:space="preserve"> </w:t>
            </w:r>
            <w:r w:rsidR="00F7421F" w:rsidRPr="00F7421F">
              <w:rPr>
                <w:rFonts w:ascii="Arial" w:eastAsia="Calibri" w:hAnsi="Arial" w:cs="Arial"/>
                <w:szCs w:val="22"/>
              </w:rPr>
              <w:t>Organization</w:t>
            </w:r>
            <w:r w:rsidR="00F7421F">
              <w:rPr>
                <w:rFonts w:ascii="Arial" w:eastAsia="Calibri" w:hAnsi="Arial" w:cs="Arial"/>
                <w:szCs w:val="22"/>
              </w:rPr>
              <w:t xml:space="preserve"> </w:t>
            </w:r>
            <w:r w:rsidR="00F7421F" w:rsidRPr="00F7421F">
              <w:rPr>
                <w:rFonts w:ascii="Arial" w:eastAsia="Calibri" w:hAnsi="Arial" w:cs="Arial"/>
                <w:szCs w:val="22"/>
              </w:rPr>
              <w:t>Environment (TOE) framework.</w:t>
            </w:r>
          </w:p>
          <w:p w14:paraId="508B1CA2" w14:textId="6E91016B" w:rsidR="00BA1B01" w:rsidRPr="00BA1B01" w:rsidRDefault="00F7421F"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Pr="00F7421F">
              <w:rPr>
                <w:rFonts w:ascii="Arial" w:eastAsia="Calibri" w:hAnsi="Arial" w:cs="Arial"/>
                <w:szCs w:val="22"/>
              </w:rPr>
              <w:t>A systematic literature review (SLR) was conducted following the PRISMA protocol. A total of 32 peer-reviewed journal articles published between 2015 and 2025 were selected and analyzed. The review applied thematic coding guided by the TOE framework to extract and categorize adoption-related factors into technological, organizational, and environmental dimensions</w:t>
            </w:r>
            <w:r w:rsidR="00BA1B01" w:rsidRPr="00BA1B01">
              <w:rPr>
                <w:rFonts w:ascii="Arial" w:eastAsia="Calibri" w:hAnsi="Arial" w:cs="Arial"/>
                <w:szCs w:val="22"/>
              </w:rPr>
              <w:t>.</w:t>
            </w:r>
          </w:p>
          <w:p w14:paraId="03D6461A" w14:textId="2A37822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7421F" w:rsidRPr="00F7421F">
              <w:rPr>
                <w:rFonts w:ascii="Arial" w:eastAsia="Calibri" w:hAnsi="Arial" w:cs="Arial"/>
                <w:szCs w:val="22"/>
              </w:rPr>
              <w:t>The analysis identified 92 distinct antecedents, comprising 31 technological, 34 organizational, and 27 environmental factors. Key technological determinants included relative advantage, compatibility, and security. Organizational factors such as top management support, organizational readiness, and human capital emerged as critical enablers. Environmental drivers, including competitive pressure, regulatory support, and ecosystem readiness, were less frequently examined. Contradictory findings were observed, particularly where security and compatibility functioned as both enablers and barriers depending on context</w:t>
            </w:r>
            <w:r w:rsidRPr="00BA1B01">
              <w:rPr>
                <w:rFonts w:ascii="Arial" w:eastAsia="Calibri" w:hAnsi="Arial" w:cs="Arial"/>
                <w:szCs w:val="22"/>
              </w:rPr>
              <w:t>.</w:t>
            </w:r>
          </w:p>
          <w:p w14:paraId="54900A78" w14:textId="15DF40A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7421F" w:rsidRPr="00F7421F">
              <w:rPr>
                <w:rFonts w:ascii="Arial" w:eastAsia="Calibri" w:hAnsi="Arial" w:cs="Arial"/>
                <w:szCs w:val="22"/>
              </w:rPr>
              <w:t>The findings validate the TOE framework as an effective lens for analyzing AI adoption in software development. The study consolidates fragmented evidence, highlights contextual inconsistencies, and identifies underexplored environmental influences. The review provides theoretical insights for researchers and practical guidance for decision makers seeking to structure AI adoption strategies to enhance productivity in software development</w:t>
            </w:r>
            <w:r w:rsidRPr="00BA1B01">
              <w:rPr>
                <w:rFonts w:ascii="Arial" w:eastAsia="Calibri" w:hAnsi="Arial" w:cs="Arial"/>
                <w:szCs w:val="22"/>
              </w:rPr>
              <w:t>.</w:t>
            </w:r>
          </w:p>
        </w:tc>
      </w:tr>
    </w:tbl>
    <w:p w14:paraId="3A7A19BB" w14:textId="77777777" w:rsidR="00636EB2" w:rsidRDefault="00636EB2" w:rsidP="00441B6F">
      <w:pPr>
        <w:pStyle w:val="Body"/>
        <w:spacing w:after="0"/>
        <w:rPr>
          <w:rFonts w:ascii="Arial" w:hAnsi="Arial" w:cs="Arial"/>
          <w:i/>
        </w:rPr>
      </w:pPr>
    </w:p>
    <w:p w14:paraId="74127A18" w14:textId="7FF1EC55" w:rsidR="0024282C" w:rsidRPr="00504286" w:rsidRDefault="00A24E7E" w:rsidP="00441B6F">
      <w:pPr>
        <w:pStyle w:val="Body"/>
        <w:spacing w:after="0"/>
        <w:rPr>
          <w:rFonts w:ascii="Arial" w:hAnsi="Arial" w:cs="Arial"/>
          <w:i/>
        </w:rPr>
      </w:pPr>
      <w:r>
        <w:rPr>
          <w:rFonts w:ascii="Arial" w:hAnsi="Arial" w:cs="Arial"/>
          <w:i/>
        </w:rPr>
        <w:t>Keywords:</w:t>
      </w:r>
      <w:r w:rsidR="00F7421F">
        <w:rPr>
          <w:rFonts w:ascii="Arial" w:hAnsi="Arial" w:cs="Arial"/>
          <w:i/>
        </w:rPr>
        <w:t xml:space="preserve"> </w:t>
      </w:r>
      <w:r w:rsidR="00F7421F" w:rsidRPr="00F7421F">
        <w:rPr>
          <w:rFonts w:ascii="Arial" w:hAnsi="Arial" w:cs="Arial"/>
          <w:i/>
        </w:rPr>
        <w:t>Artificial Intelligence</w:t>
      </w:r>
      <w:r w:rsidR="00F7421F">
        <w:rPr>
          <w:rFonts w:ascii="Arial" w:hAnsi="Arial" w:cs="Arial"/>
          <w:i/>
        </w:rPr>
        <w:t>,</w:t>
      </w:r>
      <w:r w:rsidR="00F7421F" w:rsidRPr="00F7421F">
        <w:rPr>
          <w:rFonts w:ascii="Arial" w:hAnsi="Arial" w:cs="Arial"/>
          <w:i/>
        </w:rPr>
        <w:t xml:space="preserve"> Software Development</w:t>
      </w:r>
      <w:r w:rsidR="00F7421F">
        <w:rPr>
          <w:rFonts w:ascii="Arial" w:hAnsi="Arial" w:cs="Arial"/>
          <w:i/>
        </w:rPr>
        <w:t>,</w:t>
      </w:r>
      <w:r w:rsidR="00F7421F" w:rsidRPr="00F7421F">
        <w:rPr>
          <w:rFonts w:ascii="Arial" w:hAnsi="Arial" w:cs="Arial"/>
          <w:i/>
        </w:rPr>
        <w:t xml:space="preserve"> TOE Framework</w:t>
      </w:r>
      <w:r w:rsidR="00F7421F">
        <w:rPr>
          <w:rFonts w:ascii="Arial" w:hAnsi="Arial" w:cs="Arial"/>
          <w:i/>
        </w:rPr>
        <w:t>,</w:t>
      </w:r>
      <w:r w:rsidR="00F7421F" w:rsidRPr="00F7421F">
        <w:rPr>
          <w:rFonts w:ascii="Arial" w:hAnsi="Arial" w:cs="Arial"/>
          <w:i/>
        </w:rPr>
        <w:t xml:space="preserve"> Technology Adoption</w:t>
      </w:r>
      <w:r w:rsidR="00F7421F">
        <w:rPr>
          <w:rFonts w:ascii="Arial" w:hAnsi="Arial" w:cs="Arial"/>
          <w:i/>
        </w:rPr>
        <w:t>,</w:t>
      </w:r>
      <w:r w:rsidR="00F7421F" w:rsidRPr="00F7421F">
        <w:rPr>
          <w:rFonts w:ascii="Arial" w:hAnsi="Arial" w:cs="Arial"/>
          <w:i/>
        </w:rPr>
        <w:t xml:space="preserve"> Systematic Literature Review</w:t>
      </w:r>
    </w:p>
    <w:p w14:paraId="03E2DF63" w14:textId="77777777" w:rsidR="00505F06" w:rsidRPr="00A24E7E" w:rsidRDefault="00505F06" w:rsidP="00441B6F">
      <w:pPr>
        <w:pStyle w:val="Body"/>
        <w:spacing w:after="0"/>
        <w:rPr>
          <w:rFonts w:ascii="Arial" w:hAnsi="Arial" w:cs="Arial"/>
          <w:i/>
        </w:rPr>
      </w:pPr>
    </w:p>
    <w:p w14:paraId="31A08566" w14:textId="45B49CA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62A68E0" w14:textId="77777777" w:rsidR="00790ADA" w:rsidRPr="00FB3A86" w:rsidRDefault="00790ADA" w:rsidP="00441B6F">
      <w:pPr>
        <w:pStyle w:val="AbstHead"/>
        <w:spacing w:after="0"/>
        <w:jc w:val="both"/>
        <w:rPr>
          <w:rFonts w:ascii="Arial" w:hAnsi="Arial" w:cs="Arial"/>
        </w:rPr>
      </w:pPr>
    </w:p>
    <w:p w14:paraId="2A19610B" w14:textId="77777777" w:rsidR="009A58DC" w:rsidRDefault="009A58DC" w:rsidP="009A58DC">
      <w:pPr>
        <w:pStyle w:val="Body"/>
        <w:spacing w:after="0"/>
        <w:rPr>
          <w:rFonts w:ascii="Arial" w:hAnsi="Arial" w:cs="Arial"/>
        </w:rPr>
      </w:pPr>
      <w:r w:rsidRPr="009A58DC">
        <w:rPr>
          <w:rFonts w:ascii="Arial" w:hAnsi="Arial" w:cs="Arial"/>
        </w:rPr>
        <w:t xml:space="preserve">Artificial intelligence (AI) is a transformative force in software development, reshaping activities from requirements engineering to testing and maintenance. Studies show that AI-driven frameworks enhance scalability, performance, and productivity by automating repetitive tasks and enabling data-driven decision-making (Arshad et al., 2025; Sofian et al., 2022). Large language models (LLMs) have introduced new opportunities for coding assistance, debugging, and requirements analysis, though challenges persist regarding reliability, consistency, and </w:t>
      </w:r>
      <w:proofErr w:type="gramStart"/>
      <w:r w:rsidRPr="009A58DC">
        <w:rPr>
          <w:rFonts w:ascii="Arial" w:hAnsi="Arial" w:cs="Arial"/>
        </w:rPr>
        <w:t>interpretability(</w:t>
      </w:r>
      <w:proofErr w:type="gramEnd"/>
      <w:r w:rsidRPr="009A58DC">
        <w:rPr>
          <w:rFonts w:ascii="Arial" w:hAnsi="Arial" w:cs="Arial"/>
        </w:rPr>
        <w:t>Ko and Kang, 2025; Li et al., 2024).</w:t>
      </w:r>
    </w:p>
    <w:p w14:paraId="1D7DEF88" w14:textId="77777777" w:rsidR="00706135" w:rsidRPr="009A58DC" w:rsidRDefault="00706135" w:rsidP="009A58DC">
      <w:pPr>
        <w:pStyle w:val="Body"/>
        <w:spacing w:after="0"/>
        <w:rPr>
          <w:rFonts w:ascii="Arial" w:hAnsi="Arial" w:cs="Arial"/>
        </w:rPr>
      </w:pPr>
    </w:p>
    <w:p w14:paraId="2AAC9CC4" w14:textId="77777777" w:rsidR="009A58DC" w:rsidRDefault="009A58DC" w:rsidP="009A58DC">
      <w:pPr>
        <w:pStyle w:val="Body"/>
        <w:spacing w:after="0"/>
        <w:rPr>
          <w:rFonts w:ascii="Arial" w:hAnsi="Arial" w:cs="Arial"/>
        </w:rPr>
      </w:pPr>
      <w:r w:rsidRPr="009A58DC">
        <w:rPr>
          <w:rFonts w:ascii="Arial" w:hAnsi="Arial" w:cs="Arial"/>
        </w:rPr>
        <w:t xml:space="preserve">Systematic mappings highlight AI’s increasing presence in testing, fault prediction, and regression prioritization, with emerging applications in requirements analysis and </w:t>
      </w:r>
      <w:r w:rsidRPr="009A58DC">
        <w:rPr>
          <w:rFonts w:ascii="Arial" w:hAnsi="Arial" w:cs="Arial"/>
        </w:rPr>
        <w:lastRenderedPageBreak/>
        <w:t xml:space="preserve">conversational agents (Khan et al., 2024; Martinez-Garate et al., 2023). These applications demonstrate AI’s capacity to address productivity bottlenecks and quality assurance concerns. Empirical studies in SMEs, higher education, financial services, and the public sector further confirm momentum toward adoption and its strategic benefits (Bhardwaj et al., 2020; </w:t>
      </w:r>
      <w:proofErr w:type="spellStart"/>
      <w:r w:rsidRPr="009A58DC">
        <w:rPr>
          <w:rFonts w:ascii="Arial" w:hAnsi="Arial" w:cs="Arial"/>
        </w:rPr>
        <w:t>Badghish</w:t>
      </w:r>
      <w:proofErr w:type="spellEnd"/>
      <w:r w:rsidRPr="009A58DC">
        <w:rPr>
          <w:rFonts w:ascii="Arial" w:hAnsi="Arial" w:cs="Arial"/>
        </w:rPr>
        <w:t xml:space="preserve"> and Soomro, 2024; Xiang et al., 2023).</w:t>
      </w:r>
    </w:p>
    <w:p w14:paraId="26DB3DAB" w14:textId="77777777" w:rsidR="00706135" w:rsidRPr="009A58DC" w:rsidRDefault="00706135" w:rsidP="009A58DC">
      <w:pPr>
        <w:pStyle w:val="Body"/>
        <w:spacing w:after="0"/>
        <w:rPr>
          <w:rFonts w:ascii="Arial" w:hAnsi="Arial" w:cs="Arial"/>
        </w:rPr>
      </w:pPr>
    </w:p>
    <w:p w14:paraId="3B06E6C4" w14:textId="77777777" w:rsidR="009A58DC" w:rsidRDefault="009A58DC" w:rsidP="009A58DC">
      <w:pPr>
        <w:pStyle w:val="Body"/>
        <w:spacing w:after="0"/>
        <w:rPr>
          <w:rFonts w:ascii="Arial" w:hAnsi="Arial" w:cs="Arial"/>
        </w:rPr>
      </w:pPr>
      <w:r w:rsidRPr="009A58DC">
        <w:rPr>
          <w:rFonts w:ascii="Arial" w:hAnsi="Arial" w:cs="Arial"/>
        </w:rPr>
        <w:t xml:space="preserve">Adoption, however, remains uneven. Security and privacy concerns are major barriers in sensitive contexts such as HRM and higher education (Bhardwaj et al., 2020; </w:t>
      </w:r>
      <w:proofErr w:type="spellStart"/>
      <w:r w:rsidRPr="009A58DC">
        <w:rPr>
          <w:rFonts w:ascii="Arial" w:hAnsi="Arial" w:cs="Arial"/>
        </w:rPr>
        <w:t>Siradhana</w:t>
      </w:r>
      <w:proofErr w:type="spellEnd"/>
      <w:r w:rsidRPr="009A58DC">
        <w:rPr>
          <w:rFonts w:ascii="Arial" w:hAnsi="Arial" w:cs="Arial"/>
        </w:rPr>
        <w:t xml:space="preserve"> and Arora, 2024), yet function as enablers when safeguards and vendor assurances are trusted (Hsu and Lin, 2016). Complexity and compatibility also show inconsistent roles: compatibility typically supports integration (Gutierrez et al., 2015), but in retail SMEs it was negatively correlated with adoption as firms sought to move away from legacy systems (Lorente-Martínez et al., 2020). Leadership support is another mixed determinant. While top management advocacy is frequently highlighted as critical (Teh et al., 2024; Marei, 2023), in micro-enterprises leadership was less significant than individual-level factors like computer self-efficacy (Aligarh et al., 2023). These contradictions highlight the contextual variability of Technology–Organization–Environment (TOE) determinants across domains.</w:t>
      </w:r>
    </w:p>
    <w:p w14:paraId="2BA50762" w14:textId="77777777" w:rsidR="00706135" w:rsidRPr="009A58DC" w:rsidRDefault="00706135" w:rsidP="009A58DC">
      <w:pPr>
        <w:pStyle w:val="Body"/>
        <w:spacing w:after="0"/>
        <w:rPr>
          <w:rFonts w:ascii="Arial" w:hAnsi="Arial" w:cs="Arial"/>
        </w:rPr>
      </w:pPr>
    </w:p>
    <w:p w14:paraId="12CFC5B2" w14:textId="77777777" w:rsidR="009A58DC" w:rsidRPr="009A58DC" w:rsidRDefault="009A58DC" w:rsidP="009A58DC">
      <w:pPr>
        <w:pStyle w:val="Body"/>
        <w:spacing w:after="0"/>
        <w:rPr>
          <w:rFonts w:ascii="Arial" w:hAnsi="Arial" w:cs="Arial"/>
        </w:rPr>
      </w:pPr>
      <w:r w:rsidRPr="009A58DC">
        <w:rPr>
          <w:rFonts w:ascii="Arial" w:hAnsi="Arial" w:cs="Arial"/>
        </w:rPr>
        <w:t>Generative AI compounds this complexity. Studies indicate that success requires not just technical capacity but also governance, training, and cultural readiness (Dilshan et al., 2024; Russo, 2024). Developers report barriers such as inadequate policies, insufficient training, and unclear financial responsibility, while supportive guidance and peer sharing act as enablers (Li et al., 2024). This reflects the challenge of aligning technological, organizational, and environmental conditions for sustainable adoption.</w:t>
      </w:r>
    </w:p>
    <w:p w14:paraId="47E004FF" w14:textId="77777777" w:rsidR="009A58DC" w:rsidRPr="009A58DC" w:rsidRDefault="009A58DC" w:rsidP="009A58DC">
      <w:pPr>
        <w:pStyle w:val="Body"/>
        <w:spacing w:after="0"/>
        <w:rPr>
          <w:rFonts w:ascii="Arial" w:hAnsi="Arial" w:cs="Arial"/>
        </w:rPr>
      </w:pPr>
      <w:r w:rsidRPr="009A58DC">
        <w:rPr>
          <w:rFonts w:ascii="Arial" w:hAnsi="Arial" w:cs="Arial"/>
        </w:rPr>
        <w:t>Despite advances, scholarship remains fragmented. Prior reviews mapped AI techniques in software engineering (Sofian et al., 2022) and sectoral studies explored domain-specific adoption, but few integrate insights under a unified framework. Notably, limited work applies TOE to systematically compare drivers and barriers across contexts (Dwivedi et al., 2012; Awa et al., 2017). TOE remains a well-established integrative model in information systems, balancing internal and external influences (Dwivedi et al., 2012; Awa et al., 2017). Addressing this gap is crucial for understanding adoption contingencies.</w:t>
      </w:r>
    </w:p>
    <w:p w14:paraId="2C7C3923" w14:textId="4ED75B7F" w:rsidR="00B01FCD" w:rsidRDefault="009A58DC" w:rsidP="00441B6F">
      <w:pPr>
        <w:pStyle w:val="Body"/>
        <w:spacing w:after="0"/>
        <w:rPr>
          <w:rFonts w:ascii="Arial" w:hAnsi="Arial" w:cs="Arial"/>
        </w:rPr>
      </w:pPr>
      <w:r w:rsidRPr="009A58DC">
        <w:rPr>
          <w:rFonts w:ascii="Arial" w:hAnsi="Arial" w:cs="Arial"/>
        </w:rPr>
        <w:t>Accordingly, this study conducts a systematic literature review (SLR) of 33 papers published between 2015 and 2025, spanning empirical studies, conceptual frameworks, and mappings. Guided by TOE, it synthesizes technological, organizational, and environmental determinants of AI adoption in software development. Its contributions are threefold: consolidating adoption factors globally, identifying convergences and contradictions, and providing theoretical and practical insights. A systematic review ensures rigor and replicability, following established information systems protocols (</w:t>
      </w:r>
      <w:proofErr w:type="spellStart"/>
      <w:r w:rsidRPr="009A58DC">
        <w:rPr>
          <w:rFonts w:ascii="Arial" w:hAnsi="Arial" w:cs="Arial"/>
        </w:rPr>
        <w:t>Okoli</w:t>
      </w:r>
      <w:proofErr w:type="spellEnd"/>
      <w:r w:rsidRPr="009A58DC">
        <w:rPr>
          <w:rFonts w:ascii="Arial" w:hAnsi="Arial" w:cs="Arial"/>
        </w:rPr>
        <w:t xml:space="preserve"> and </w:t>
      </w:r>
      <w:proofErr w:type="spellStart"/>
      <w:r w:rsidRPr="009A58DC">
        <w:rPr>
          <w:rFonts w:ascii="Arial" w:hAnsi="Arial" w:cs="Arial"/>
        </w:rPr>
        <w:t>Schabram</w:t>
      </w:r>
      <w:proofErr w:type="spellEnd"/>
      <w:r w:rsidRPr="009A58DC">
        <w:rPr>
          <w:rFonts w:ascii="Arial" w:hAnsi="Arial" w:cs="Arial"/>
        </w:rPr>
        <w:t>, 2012).</w:t>
      </w:r>
    </w:p>
    <w:p w14:paraId="34A8CE4E" w14:textId="77777777" w:rsidR="00790ADA" w:rsidRPr="00FB3A86" w:rsidRDefault="00790ADA" w:rsidP="00441B6F">
      <w:pPr>
        <w:pStyle w:val="Body"/>
        <w:spacing w:after="0"/>
        <w:rPr>
          <w:rFonts w:ascii="Arial" w:hAnsi="Arial" w:cs="Arial"/>
        </w:rPr>
      </w:pPr>
    </w:p>
    <w:p w14:paraId="4AFF50F7" w14:textId="785FFF82" w:rsidR="007F7B32" w:rsidRDefault="00902823" w:rsidP="00441B6F">
      <w:pPr>
        <w:pStyle w:val="AbstHead"/>
        <w:spacing w:after="0"/>
        <w:jc w:val="both"/>
        <w:rPr>
          <w:rFonts w:ascii="Arial" w:hAnsi="Arial" w:cs="Arial"/>
        </w:rPr>
      </w:pPr>
      <w:r>
        <w:rPr>
          <w:rFonts w:ascii="Arial" w:hAnsi="Arial" w:cs="Arial"/>
        </w:rPr>
        <w:t xml:space="preserve">2. </w:t>
      </w:r>
      <w:r w:rsidR="00706135" w:rsidRPr="00706135">
        <w:rPr>
          <w:rFonts w:ascii="Arial" w:hAnsi="Arial" w:cs="Arial"/>
        </w:rPr>
        <w:t>MATERIAL AND METHODS</w:t>
      </w:r>
    </w:p>
    <w:p w14:paraId="4017C675" w14:textId="77777777" w:rsidR="00706135" w:rsidRDefault="00706135" w:rsidP="00441B6F">
      <w:pPr>
        <w:pStyle w:val="AbstHead"/>
        <w:spacing w:after="0"/>
        <w:jc w:val="both"/>
        <w:rPr>
          <w:rFonts w:ascii="Arial" w:hAnsi="Arial" w:cs="Arial"/>
        </w:rPr>
      </w:pPr>
    </w:p>
    <w:p w14:paraId="2DC1764F" w14:textId="691613A0" w:rsidR="00706135" w:rsidRDefault="00706135" w:rsidP="00441B6F">
      <w:pPr>
        <w:pStyle w:val="AbstHead"/>
        <w:spacing w:after="0"/>
        <w:jc w:val="both"/>
        <w:rPr>
          <w:rFonts w:ascii="Arial" w:hAnsi="Arial" w:cs="Arial"/>
        </w:rPr>
      </w:pPr>
      <w:r w:rsidRPr="00C30A0F">
        <w:rPr>
          <w:rFonts w:ascii="Arial" w:hAnsi="Arial" w:cs="Arial"/>
        </w:rPr>
        <w:t xml:space="preserve">2.1 </w:t>
      </w:r>
      <w:r w:rsidRPr="00706135">
        <w:rPr>
          <w:rFonts w:ascii="Arial" w:hAnsi="Arial" w:cs="Arial"/>
        </w:rPr>
        <w:t>Review Design</w:t>
      </w:r>
    </w:p>
    <w:p w14:paraId="3FD1EA46" w14:textId="77777777" w:rsidR="00790ADA" w:rsidRPr="00FB3A86" w:rsidRDefault="00790ADA" w:rsidP="00441B6F">
      <w:pPr>
        <w:pStyle w:val="AbstHead"/>
        <w:spacing w:after="0"/>
        <w:jc w:val="both"/>
        <w:rPr>
          <w:rFonts w:ascii="Arial" w:hAnsi="Arial" w:cs="Arial"/>
        </w:rPr>
      </w:pPr>
    </w:p>
    <w:p w14:paraId="0C8F2075" w14:textId="6EED5673" w:rsidR="00706135" w:rsidRDefault="002A5C57" w:rsidP="00706135">
      <w:pPr>
        <w:pStyle w:val="Body"/>
        <w:spacing w:after="0"/>
        <w:rPr>
          <w:rFonts w:ascii="Arial" w:hAnsi="Arial" w:cs="Arial"/>
        </w:rPr>
      </w:pPr>
      <w:r>
        <w:rPr>
          <w:rFonts w:ascii="Arial" w:hAnsi="Arial" w:cs="Arial"/>
        </w:rPr>
        <w:t>As per the r</w:t>
      </w:r>
      <w:r w:rsidR="00BA1C04">
        <w:rPr>
          <w:rFonts w:ascii="Arial" w:hAnsi="Arial" w:cs="Arial"/>
        </w:rPr>
        <w:t xml:space="preserve">ecommendation of similar past studies </w:t>
      </w:r>
      <w:r w:rsidR="006501CA">
        <w:rPr>
          <w:rFonts w:ascii="Arial" w:hAnsi="Arial" w:cs="Arial"/>
        </w:rPr>
        <w:t>(</w:t>
      </w:r>
      <w:r w:rsidR="006501CA" w:rsidRPr="0010176B">
        <w:rPr>
          <w:rFonts w:ascii="Arial" w:hAnsi="Arial" w:cs="Arial"/>
        </w:rPr>
        <w:t xml:space="preserve">e.g. Chathuranga et al., 2023; De Silva et al., 2025; Dias et al., 2025; </w:t>
      </w:r>
      <w:proofErr w:type="spellStart"/>
      <w:r w:rsidR="006501CA" w:rsidRPr="0010176B">
        <w:rPr>
          <w:rFonts w:ascii="Arial" w:hAnsi="Arial" w:cs="Arial"/>
        </w:rPr>
        <w:t>Dilhara</w:t>
      </w:r>
      <w:proofErr w:type="spellEnd"/>
      <w:r w:rsidR="006501CA" w:rsidRPr="0010176B">
        <w:rPr>
          <w:rFonts w:ascii="Arial" w:hAnsi="Arial" w:cs="Arial"/>
        </w:rPr>
        <w:t xml:space="preserve"> et al., 2024; Fathima et al., 2024; </w:t>
      </w:r>
      <w:proofErr w:type="spellStart"/>
      <w:r w:rsidR="006501CA" w:rsidRPr="0010176B">
        <w:rPr>
          <w:rFonts w:ascii="Arial" w:hAnsi="Arial" w:cs="Arial"/>
        </w:rPr>
        <w:t>Galappaththi</w:t>
      </w:r>
      <w:proofErr w:type="spellEnd"/>
      <w:r w:rsidR="006501CA" w:rsidRPr="0010176B">
        <w:rPr>
          <w:rFonts w:ascii="Arial" w:hAnsi="Arial" w:cs="Arial"/>
        </w:rPr>
        <w:t xml:space="preserve"> et al., 2024; Hensman et al., 2024; Jayasinghe et al., 2023; </w:t>
      </w:r>
      <w:r w:rsidR="00601C1B">
        <w:rPr>
          <w:noProof/>
        </w:rPr>
        <w:t xml:space="preserve">Naseer et al., 2025; </w:t>
      </w:r>
      <w:r w:rsidR="006501CA" w:rsidRPr="0010176B">
        <w:rPr>
          <w:rFonts w:ascii="Arial" w:hAnsi="Arial" w:cs="Arial"/>
        </w:rPr>
        <w:t>Ranasinghe et al., 2024; Wijesinghe et al., 2024</w:t>
      </w:r>
      <w:r w:rsidR="006501CA">
        <w:rPr>
          <w:rFonts w:ascii="Arial" w:hAnsi="Arial" w:cs="Arial"/>
        </w:rPr>
        <w:t>)</w:t>
      </w:r>
      <w:r>
        <w:rPr>
          <w:rFonts w:ascii="Arial" w:hAnsi="Arial" w:cs="Arial"/>
        </w:rPr>
        <w:t>, t</w:t>
      </w:r>
      <w:r w:rsidR="00706135" w:rsidRPr="00706135">
        <w:rPr>
          <w:rFonts w:ascii="Arial" w:hAnsi="Arial" w:cs="Arial"/>
        </w:rPr>
        <w:t>his study employs a Systematic Literature Review (SLR) to identify and categorize the antecedents influencing the adoption of AI in software development. A systematic approach was chosen over a narrative review to ensure rigor, replicability, and transparency in synthesizing evidence across multiple studies (</w:t>
      </w:r>
      <w:proofErr w:type="spellStart"/>
      <w:r w:rsidR="00706135" w:rsidRPr="00706135">
        <w:rPr>
          <w:rFonts w:ascii="Arial" w:hAnsi="Arial" w:cs="Arial"/>
        </w:rPr>
        <w:t>Okoli</w:t>
      </w:r>
      <w:proofErr w:type="spellEnd"/>
      <w:r w:rsidR="00706135" w:rsidRPr="00706135">
        <w:rPr>
          <w:rFonts w:ascii="Arial" w:hAnsi="Arial" w:cs="Arial"/>
        </w:rPr>
        <w:t xml:space="preserve"> and </w:t>
      </w:r>
      <w:proofErr w:type="spellStart"/>
      <w:r w:rsidR="00706135" w:rsidRPr="00706135">
        <w:rPr>
          <w:rFonts w:ascii="Arial" w:hAnsi="Arial" w:cs="Arial"/>
        </w:rPr>
        <w:t>Schabram</w:t>
      </w:r>
      <w:proofErr w:type="spellEnd"/>
      <w:r w:rsidR="00706135" w:rsidRPr="00706135">
        <w:rPr>
          <w:rFonts w:ascii="Arial" w:hAnsi="Arial" w:cs="Arial"/>
        </w:rPr>
        <w:t>, 2012). The review followed the PRISMA protocol to ensure structured inclusion and exclusion, minimizing bias and maximizing coverage.</w:t>
      </w:r>
    </w:p>
    <w:p w14:paraId="2085B99A" w14:textId="77777777" w:rsidR="00706135" w:rsidRPr="00706135" w:rsidRDefault="00706135" w:rsidP="00706135">
      <w:pPr>
        <w:pStyle w:val="Body"/>
        <w:spacing w:after="0"/>
        <w:rPr>
          <w:rFonts w:ascii="Arial" w:hAnsi="Arial" w:cs="Arial"/>
        </w:rPr>
      </w:pPr>
    </w:p>
    <w:p w14:paraId="69DCD9BB" w14:textId="62A9BC5E" w:rsidR="00706135" w:rsidRDefault="00706135" w:rsidP="00706135">
      <w:pPr>
        <w:pStyle w:val="Body"/>
        <w:spacing w:after="0"/>
        <w:rPr>
          <w:rFonts w:ascii="Arial" w:hAnsi="Arial" w:cs="Arial"/>
        </w:rPr>
      </w:pPr>
      <w:r w:rsidRPr="00706135">
        <w:rPr>
          <w:rFonts w:ascii="Arial" w:hAnsi="Arial" w:cs="Arial"/>
        </w:rPr>
        <w:t>The review is guided by the Technology–Organization–Environment (TOE) framework (Dwivedi et al., 2012</w:t>
      </w:r>
      <w:r w:rsidR="005A743B">
        <w:rPr>
          <w:rFonts w:ascii="Arial" w:hAnsi="Arial" w:cs="Arial"/>
        </w:rPr>
        <w:t xml:space="preserve">; </w:t>
      </w:r>
      <w:r w:rsidR="005A743B">
        <w:rPr>
          <w:noProof/>
        </w:rPr>
        <w:t>Vithana et al., 2026</w:t>
      </w:r>
      <w:r w:rsidRPr="00706135">
        <w:rPr>
          <w:rFonts w:ascii="Arial" w:hAnsi="Arial" w:cs="Arial"/>
        </w:rPr>
        <w:t>), which has been widely applied in technology adoption research to examine how internal and external contexts jointly shape organizational decision-making (Awa et al., 2017). Through a multi-stage PRISMA process and thematic coding, fragmented findings were synthesized into a coherent evidence base that highlights key determinants and underexplored factors influencing AI adoption in software development.</w:t>
      </w:r>
    </w:p>
    <w:p w14:paraId="2EC48AC1" w14:textId="77777777" w:rsidR="00706135" w:rsidRDefault="00706135" w:rsidP="00706135">
      <w:pPr>
        <w:pStyle w:val="Body"/>
        <w:spacing w:after="0"/>
        <w:rPr>
          <w:rFonts w:ascii="Arial" w:hAnsi="Arial" w:cs="Arial"/>
        </w:rPr>
      </w:pPr>
    </w:p>
    <w:p w14:paraId="7CA5BDE7" w14:textId="3FAEC1C5" w:rsidR="00706135" w:rsidRPr="00706135" w:rsidRDefault="00706135" w:rsidP="00706135">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CD1A34" w:rsidRPr="00CD1A34">
        <w:rPr>
          <w:rFonts w:ascii="Arial" w:hAnsi="Arial" w:cs="Arial"/>
          <w:b/>
          <w:sz w:val="22"/>
        </w:rPr>
        <w:t>SEARCH STRATEGY</w:t>
      </w:r>
    </w:p>
    <w:p w14:paraId="13E0AB52" w14:textId="77777777" w:rsidR="00790ADA" w:rsidRDefault="00790ADA" w:rsidP="00441B6F">
      <w:pPr>
        <w:pStyle w:val="Body"/>
        <w:spacing w:after="0"/>
        <w:rPr>
          <w:rFonts w:ascii="Arial" w:hAnsi="Arial" w:cs="Arial"/>
        </w:rPr>
      </w:pPr>
    </w:p>
    <w:p w14:paraId="51FC8A34" w14:textId="34679DC9" w:rsidR="00706135" w:rsidRDefault="00706135" w:rsidP="00706135">
      <w:pPr>
        <w:pStyle w:val="Body"/>
        <w:spacing w:after="0"/>
        <w:rPr>
          <w:rFonts w:ascii="Arial" w:hAnsi="Arial" w:cs="Arial"/>
        </w:rPr>
      </w:pPr>
      <w:r w:rsidRPr="00706135">
        <w:rPr>
          <w:rFonts w:ascii="Arial" w:hAnsi="Arial" w:cs="Arial"/>
        </w:rPr>
        <w:t>A systematic search was conducted using Scopus, chosen for its comprehensive coverage of peer-reviewed literature in computer science and software engineering (Mongeon and Paul-Hus, 2016). The query combined keywords for the TOE framework and the software industry:</w:t>
      </w:r>
      <w:r w:rsidR="005A743B">
        <w:rPr>
          <w:rFonts w:ascii="Arial" w:hAnsi="Arial" w:cs="Arial"/>
        </w:rPr>
        <w:t xml:space="preserve"> </w:t>
      </w:r>
      <w:r w:rsidRPr="00706135">
        <w:rPr>
          <w:rFonts w:ascii="Arial" w:hAnsi="Arial" w:cs="Arial"/>
        </w:rPr>
        <w:t>(TITLE-ABS-KEY (toe OR technology–organization–environment)) AND (software AND industry) AND (LIMIT-TO(DOCTYPE,"</w:t>
      </w:r>
      <w:proofErr w:type="spellStart"/>
      <w:r w:rsidRPr="00706135">
        <w:rPr>
          <w:rFonts w:ascii="Arial" w:hAnsi="Arial" w:cs="Arial"/>
        </w:rPr>
        <w:t>ar</w:t>
      </w:r>
      <w:proofErr w:type="spellEnd"/>
      <w:r w:rsidRPr="00706135">
        <w:rPr>
          <w:rFonts w:ascii="Arial" w:hAnsi="Arial" w:cs="Arial"/>
        </w:rPr>
        <w:t>")) AND (LIMIT-TO(</w:t>
      </w:r>
      <w:proofErr w:type="spellStart"/>
      <w:r w:rsidRPr="00706135">
        <w:rPr>
          <w:rFonts w:ascii="Arial" w:hAnsi="Arial" w:cs="Arial"/>
        </w:rPr>
        <w:t>EXACTKEYWORD,"Toe</w:t>
      </w:r>
      <w:proofErr w:type="spellEnd"/>
      <w:r w:rsidRPr="00706135">
        <w:rPr>
          <w:rFonts w:ascii="Arial" w:hAnsi="Arial" w:cs="Arial"/>
        </w:rPr>
        <w:t>"))</w:t>
      </w:r>
    </w:p>
    <w:p w14:paraId="246BA050" w14:textId="77777777" w:rsidR="00706135" w:rsidRPr="00706135" w:rsidRDefault="00706135" w:rsidP="00706135">
      <w:pPr>
        <w:pStyle w:val="Body"/>
        <w:spacing w:after="0"/>
        <w:rPr>
          <w:rFonts w:ascii="Arial" w:hAnsi="Arial" w:cs="Arial"/>
        </w:rPr>
      </w:pPr>
    </w:p>
    <w:p w14:paraId="2D19269B" w14:textId="5A4AAEAE" w:rsidR="00502516" w:rsidRDefault="00706135" w:rsidP="00441B6F">
      <w:pPr>
        <w:pStyle w:val="Body"/>
        <w:spacing w:after="0"/>
        <w:rPr>
          <w:rFonts w:ascii="Arial" w:hAnsi="Arial" w:cs="Arial"/>
        </w:rPr>
      </w:pPr>
      <w:r w:rsidRPr="00706135">
        <w:rPr>
          <w:rFonts w:ascii="Arial" w:hAnsi="Arial" w:cs="Arial"/>
        </w:rPr>
        <w:t>The initial search retrieved 65,345 records. Filtering to journal articles reduced this to 51,190, and applying the “TOE” keyword narrowed it further to 9,743. Restricting to “software” and “industry” brought the results to 98. Applying a publication date filter (2015–2025) refined this to 85 studies. Final relevance screening through title, abstract, and full-text review produced 32 studies directly aligned with the review objectives</w:t>
      </w:r>
      <w:r w:rsidR="00502516" w:rsidRPr="00502516">
        <w:rPr>
          <w:rFonts w:ascii="Arial" w:hAnsi="Arial" w:cs="Arial"/>
        </w:rPr>
        <w:t>.</w:t>
      </w:r>
    </w:p>
    <w:p w14:paraId="653FEFA2" w14:textId="77777777" w:rsidR="00310FB6" w:rsidRDefault="00310FB6" w:rsidP="00441B6F">
      <w:pPr>
        <w:pStyle w:val="Body"/>
        <w:spacing w:after="0"/>
        <w:rPr>
          <w:rFonts w:ascii="Arial" w:hAnsi="Arial" w:cs="Arial"/>
        </w:rPr>
      </w:pPr>
    </w:p>
    <w:p w14:paraId="7D330E5B" w14:textId="77777777" w:rsidR="0076309C" w:rsidRDefault="00310FB6" w:rsidP="0076309C">
      <w:pPr>
        <w:pStyle w:val="Body"/>
        <w:keepNext/>
        <w:spacing w:after="0"/>
      </w:pPr>
      <w:r w:rsidRPr="00662109">
        <w:rPr>
          <w:noProof/>
        </w:rPr>
        <w:drawing>
          <wp:inline distT="114300" distB="114300" distL="114300" distR="114300" wp14:anchorId="46683489" wp14:editId="26B44802">
            <wp:extent cx="3712779" cy="3452649"/>
            <wp:effectExtent l="0" t="0" r="0" b="0"/>
            <wp:docPr id="1" name="image1.png" descr="A diagram of a flowchar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diagram of a flowchart&#10;&#10;AI-generated content may be incorrect."/>
                    <pic:cNvPicPr preferRelativeResize="0"/>
                  </pic:nvPicPr>
                  <pic:blipFill>
                    <a:blip r:embed="rId14"/>
                    <a:srcRect/>
                    <a:stretch>
                      <a:fillRect/>
                    </a:stretch>
                  </pic:blipFill>
                  <pic:spPr>
                    <a:xfrm>
                      <a:off x="0" y="0"/>
                      <a:ext cx="3760089" cy="3496645"/>
                    </a:xfrm>
                    <a:prstGeom prst="rect">
                      <a:avLst/>
                    </a:prstGeom>
                    <a:ln/>
                  </pic:spPr>
                </pic:pic>
              </a:graphicData>
            </a:graphic>
          </wp:inline>
        </w:drawing>
      </w:r>
    </w:p>
    <w:p w14:paraId="1639F46B" w14:textId="1D7C1448" w:rsidR="00310FB6" w:rsidRPr="0076309C" w:rsidRDefault="0076309C" w:rsidP="0076309C">
      <w:pPr>
        <w:pStyle w:val="Caption"/>
        <w:jc w:val="both"/>
        <w:rPr>
          <w:rFonts w:ascii="Arial" w:hAnsi="Arial" w:cs="Arial"/>
          <w:b/>
          <w:bCs/>
          <w:i w:val="0"/>
          <w:iCs w:val="0"/>
          <w:color w:val="000000" w:themeColor="text1"/>
          <w:sz w:val="20"/>
          <w:szCs w:val="20"/>
        </w:rPr>
      </w:pPr>
      <w:r w:rsidRPr="0076309C">
        <w:rPr>
          <w:rFonts w:ascii="Arial" w:hAnsi="Arial" w:cs="Arial"/>
          <w:b/>
          <w:bCs/>
          <w:i w:val="0"/>
          <w:iCs w:val="0"/>
          <w:color w:val="000000" w:themeColor="text1"/>
          <w:sz w:val="20"/>
          <w:szCs w:val="20"/>
        </w:rPr>
        <w:t xml:space="preserve">Fig. </w:t>
      </w:r>
      <w:r w:rsidRPr="0076309C">
        <w:rPr>
          <w:rFonts w:ascii="Arial" w:hAnsi="Arial" w:cs="Arial"/>
          <w:b/>
          <w:bCs/>
          <w:i w:val="0"/>
          <w:iCs w:val="0"/>
          <w:color w:val="000000" w:themeColor="text1"/>
          <w:sz w:val="20"/>
          <w:szCs w:val="20"/>
        </w:rPr>
        <w:fldChar w:fldCharType="begin"/>
      </w:r>
      <w:r w:rsidRPr="0076309C">
        <w:rPr>
          <w:rFonts w:ascii="Arial" w:hAnsi="Arial" w:cs="Arial"/>
          <w:b/>
          <w:bCs/>
          <w:i w:val="0"/>
          <w:iCs w:val="0"/>
          <w:color w:val="000000" w:themeColor="text1"/>
          <w:sz w:val="20"/>
          <w:szCs w:val="20"/>
        </w:rPr>
        <w:instrText xml:space="preserve"> SEQ Fig. \* ARABIC </w:instrText>
      </w:r>
      <w:r w:rsidRPr="0076309C">
        <w:rPr>
          <w:rFonts w:ascii="Arial" w:hAnsi="Arial" w:cs="Arial"/>
          <w:b/>
          <w:bCs/>
          <w:i w:val="0"/>
          <w:iCs w:val="0"/>
          <w:color w:val="000000" w:themeColor="text1"/>
          <w:sz w:val="20"/>
          <w:szCs w:val="20"/>
        </w:rPr>
        <w:fldChar w:fldCharType="separate"/>
      </w:r>
      <w:r w:rsidR="00E03BA4">
        <w:rPr>
          <w:rFonts w:ascii="Arial" w:hAnsi="Arial" w:cs="Arial"/>
          <w:b/>
          <w:bCs/>
          <w:i w:val="0"/>
          <w:iCs w:val="0"/>
          <w:noProof/>
          <w:color w:val="000000" w:themeColor="text1"/>
          <w:sz w:val="20"/>
          <w:szCs w:val="20"/>
        </w:rPr>
        <w:t>1</w:t>
      </w:r>
      <w:r w:rsidRPr="0076309C">
        <w:rPr>
          <w:rFonts w:ascii="Arial" w:hAnsi="Arial" w:cs="Arial"/>
          <w:b/>
          <w:bCs/>
          <w:i w:val="0"/>
          <w:iCs w:val="0"/>
          <w:color w:val="000000" w:themeColor="text1"/>
          <w:sz w:val="20"/>
          <w:szCs w:val="20"/>
        </w:rPr>
        <w:fldChar w:fldCharType="end"/>
      </w:r>
      <w:r w:rsidRPr="0076309C">
        <w:rPr>
          <w:rFonts w:ascii="Arial" w:hAnsi="Arial" w:cs="Arial"/>
          <w:b/>
          <w:bCs/>
          <w:i w:val="0"/>
          <w:iCs w:val="0"/>
          <w:color w:val="000000" w:themeColor="text1"/>
          <w:sz w:val="20"/>
          <w:szCs w:val="20"/>
        </w:rPr>
        <w:t>. Article screening process</w:t>
      </w:r>
    </w:p>
    <w:p w14:paraId="0ED06618" w14:textId="77777777" w:rsidR="00706135" w:rsidRDefault="00706135" w:rsidP="00441B6F">
      <w:pPr>
        <w:pStyle w:val="Body"/>
        <w:spacing w:after="0"/>
        <w:rPr>
          <w:rFonts w:ascii="Arial" w:hAnsi="Arial" w:cs="Arial"/>
        </w:rPr>
      </w:pPr>
    </w:p>
    <w:p w14:paraId="4C395962" w14:textId="63107279" w:rsidR="00706135" w:rsidRDefault="00706135" w:rsidP="00441B6F">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706135">
        <w:rPr>
          <w:rFonts w:ascii="Arial" w:hAnsi="Arial" w:cs="Arial"/>
          <w:b/>
          <w:sz w:val="22"/>
        </w:rPr>
        <w:t>Inclusion and Exclusion Criteria</w:t>
      </w:r>
    </w:p>
    <w:p w14:paraId="38EADC87" w14:textId="77777777" w:rsidR="002E0D56" w:rsidRDefault="002E0D56" w:rsidP="00441B6F">
      <w:pPr>
        <w:pStyle w:val="Body"/>
        <w:spacing w:after="0"/>
        <w:rPr>
          <w:rFonts w:ascii="Arial" w:hAnsi="Arial" w:cs="Arial"/>
        </w:rPr>
      </w:pPr>
    </w:p>
    <w:p w14:paraId="251B072E" w14:textId="4F16EBF7" w:rsidR="00502516" w:rsidRDefault="00706135" w:rsidP="00441B6F">
      <w:pPr>
        <w:pStyle w:val="Body"/>
        <w:spacing w:after="0"/>
        <w:rPr>
          <w:rFonts w:ascii="Arial" w:hAnsi="Arial" w:cs="Arial"/>
        </w:rPr>
      </w:pPr>
      <w:r w:rsidRPr="00706135">
        <w:rPr>
          <w:rFonts w:ascii="Arial" w:hAnsi="Arial" w:cs="Arial"/>
        </w:rPr>
        <w:t>To ensure methodological rigor, inclusion and exclusion criteria were systematically applied to guide the selection of studies, as summarized in Table 1</w:t>
      </w:r>
      <w:r w:rsidR="00502516" w:rsidRPr="00502516">
        <w:rPr>
          <w:rFonts w:ascii="Arial" w:hAnsi="Arial" w:cs="Arial"/>
        </w:rPr>
        <w:t>.</w:t>
      </w:r>
    </w:p>
    <w:p w14:paraId="48B321DD" w14:textId="77777777" w:rsidR="00310FB6" w:rsidRDefault="00310FB6" w:rsidP="00441B6F">
      <w:pPr>
        <w:pStyle w:val="Body"/>
        <w:spacing w:after="0"/>
        <w:rPr>
          <w:rFonts w:ascii="Arial" w:hAnsi="Arial" w:cs="Arial"/>
        </w:rPr>
      </w:pPr>
    </w:p>
    <w:p w14:paraId="31F19EC3" w14:textId="226B07A8" w:rsidR="00921A7B" w:rsidRPr="00921A7B" w:rsidRDefault="00921A7B" w:rsidP="00921A7B">
      <w:pPr>
        <w:pStyle w:val="Caption"/>
        <w:keepNext/>
        <w:rPr>
          <w:rFonts w:ascii="Arial" w:hAnsi="Arial" w:cs="Arial"/>
          <w:b/>
          <w:bCs/>
          <w:i w:val="0"/>
          <w:iCs w:val="0"/>
          <w:color w:val="000000" w:themeColor="text1"/>
          <w:sz w:val="20"/>
          <w:szCs w:val="20"/>
        </w:rPr>
      </w:pPr>
      <w:r w:rsidRPr="00921A7B">
        <w:rPr>
          <w:rFonts w:ascii="Arial" w:hAnsi="Arial" w:cs="Arial"/>
          <w:b/>
          <w:bCs/>
          <w:i w:val="0"/>
          <w:iCs w:val="0"/>
          <w:color w:val="000000" w:themeColor="text1"/>
          <w:sz w:val="20"/>
          <w:szCs w:val="20"/>
        </w:rPr>
        <w:t xml:space="preserve">Table </w:t>
      </w:r>
      <w:r w:rsidRPr="00921A7B">
        <w:rPr>
          <w:rFonts w:ascii="Arial" w:hAnsi="Arial" w:cs="Arial"/>
          <w:b/>
          <w:bCs/>
          <w:i w:val="0"/>
          <w:iCs w:val="0"/>
          <w:color w:val="000000" w:themeColor="text1"/>
          <w:sz w:val="20"/>
          <w:szCs w:val="20"/>
        </w:rPr>
        <w:fldChar w:fldCharType="begin"/>
      </w:r>
      <w:r w:rsidRPr="00921A7B">
        <w:rPr>
          <w:rFonts w:ascii="Arial" w:hAnsi="Arial" w:cs="Arial"/>
          <w:b/>
          <w:bCs/>
          <w:i w:val="0"/>
          <w:iCs w:val="0"/>
          <w:color w:val="000000" w:themeColor="text1"/>
          <w:sz w:val="20"/>
          <w:szCs w:val="20"/>
        </w:rPr>
        <w:instrText xml:space="preserve"> SEQ Table \* ARABIC </w:instrText>
      </w:r>
      <w:r w:rsidRPr="00921A7B">
        <w:rPr>
          <w:rFonts w:ascii="Arial" w:hAnsi="Arial" w:cs="Arial"/>
          <w:b/>
          <w:bCs/>
          <w:i w:val="0"/>
          <w:iCs w:val="0"/>
          <w:color w:val="000000" w:themeColor="text1"/>
          <w:sz w:val="20"/>
          <w:szCs w:val="20"/>
        </w:rPr>
        <w:fldChar w:fldCharType="separate"/>
      </w:r>
      <w:r w:rsidR="00E03BA4">
        <w:rPr>
          <w:rFonts w:ascii="Arial" w:hAnsi="Arial" w:cs="Arial"/>
          <w:b/>
          <w:bCs/>
          <w:i w:val="0"/>
          <w:iCs w:val="0"/>
          <w:noProof/>
          <w:color w:val="000000" w:themeColor="text1"/>
          <w:sz w:val="20"/>
          <w:szCs w:val="20"/>
        </w:rPr>
        <w:t>1</w:t>
      </w:r>
      <w:r w:rsidRPr="00921A7B">
        <w:rPr>
          <w:rFonts w:ascii="Arial" w:hAnsi="Arial" w:cs="Arial"/>
          <w:b/>
          <w:bCs/>
          <w:i w:val="0"/>
          <w:iCs w:val="0"/>
          <w:color w:val="000000" w:themeColor="text1"/>
          <w:sz w:val="20"/>
          <w:szCs w:val="20"/>
        </w:rPr>
        <w:fldChar w:fldCharType="end"/>
      </w:r>
      <w:r w:rsidRPr="00921A7B">
        <w:rPr>
          <w:rFonts w:ascii="Arial" w:hAnsi="Arial" w:cs="Arial"/>
          <w:b/>
          <w:bCs/>
          <w:i w:val="0"/>
          <w:iCs w:val="0"/>
          <w:color w:val="000000" w:themeColor="text1"/>
          <w:sz w:val="20"/>
          <w:szCs w:val="20"/>
        </w:rPr>
        <w:t>. Inclusion and exclusion criteria</w:t>
      </w:r>
    </w:p>
    <w:tbl>
      <w:tblPr>
        <w:tblStyle w:val="PlainTable2"/>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3035"/>
        <w:gridCol w:w="2454"/>
      </w:tblGrid>
      <w:tr w:rsidR="00310FB6" w:rsidRPr="00310FB6" w14:paraId="7342A907" w14:textId="77777777" w:rsidTr="0076309C">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307" w:type="dxa"/>
            <w:tcBorders>
              <w:bottom w:val="none" w:sz="0" w:space="0" w:color="auto"/>
            </w:tcBorders>
          </w:tcPr>
          <w:p w14:paraId="4308DDAB"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Characteristic</w:t>
            </w:r>
          </w:p>
        </w:tc>
        <w:tc>
          <w:tcPr>
            <w:tcW w:w="3035" w:type="dxa"/>
            <w:tcBorders>
              <w:bottom w:val="none" w:sz="0" w:space="0" w:color="auto"/>
            </w:tcBorders>
          </w:tcPr>
          <w:p w14:paraId="462CD159" w14:textId="77777777" w:rsidR="00310FB6" w:rsidRPr="00310FB6" w:rsidRDefault="00310FB6" w:rsidP="002711F1">
            <w:pPr>
              <w:spacing w:before="92"/>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310FB6">
              <w:rPr>
                <w:rFonts w:ascii="Arial" w:eastAsia="Times New Roman" w:hAnsi="Arial" w:cs="Arial"/>
              </w:rPr>
              <w:t>Inclusion Criteria</w:t>
            </w:r>
          </w:p>
        </w:tc>
        <w:tc>
          <w:tcPr>
            <w:tcW w:w="2454" w:type="dxa"/>
            <w:tcBorders>
              <w:bottom w:val="none" w:sz="0" w:space="0" w:color="auto"/>
            </w:tcBorders>
          </w:tcPr>
          <w:p w14:paraId="40681035" w14:textId="77777777" w:rsidR="00310FB6" w:rsidRPr="00310FB6" w:rsidRDefault="00310FB6" w:rsidP="002711F1">
            <w:pPr>
              <w:spacing w:before="92"/>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310FB6">
              <w:rPr>
                <w:rFonts w:ascii="Arial" w:eastAsia="Times New Roman" w:hAnsi="Arial" w:cs="Arial"/>
              </w:rPr>
              <w:t>Exclusion Criteria</w:t>
            </w:r>
          </w:p>
        </w:tc>
      </w:tr>
      <w:tr w:rsidR="00310FB6" w:rsidRPr="00310FB6" w14:paraId="05F80FEE" w14:textId="77777777" w:rsidTr="0076309C">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307" w:type="dxa"/>
            <w:tcBorders>
              <w:top w:val="none" w:sz="0" w:space="0" w:color="auto"/>
              <w:bottom w:val="none" w:sz="0" w:space="0" w:color="auto"/>
            </w:tcBorders>
          </w:tcPr>
          <w:p w14:paraId="5F5B6156" w14:textId="77777777" w:rsidR="00310FB6" w:rsidRPr="00310FB6" w:rsidRDefault="00310FB6" w:rsidP="002711F1">
            <w:pPr>
              <w:spacing w:before="92"/>
              <w:rPr>
                <w:rFonts w:ascii="Arial" w:eastAsia="Times New Roman" w:hAnsi="Arial" w:cs="Arial"/>
                <w:b w:val="0"/>
                <w:bCs w:val="0"/>
              </w:rPr>
            </w:pPr>
            <w:r w:rsidRPr="00310FB6">
              <w:rPr>
                <w:rFonts w:ascii="Arial" w:eastAsia="Times New Roman" w:hAnsi="Arial" w:cs="Arial"/>
              </w:rPr>
              <w:t>Type of Publication</w:t>
            </w:r>
          </w:p>
        </w:tc>
        <w:tc>
          <w:tcPr>
            <w:tcW w:w="3035" w:type="dxa"/>
            <w:tcBorders>
              <w:top w:val="none" w:sz="0" w:space="0" w:color="auto"/>
              <w:bottom w:val="none" w:sz="0" w:space="0" w:color="auto"/>
            </w:tcBorders>
          </w:tcPr>
          <w:p w14:paraId="4FB1FA61"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Peer-reviewed journal articles indexed in Scopus</w:t>
            </w:r>
          </w:p>
        </w:tc>
        <w:tc>
          <w:tcPr>
            <w:tcW w:w="2454" w:type="dxa"/>
            <w:tcBorders>
              <w:top w:val="none" w:sz="0" w:space="0" w:color="auto"/>
              <w:bottom w:val="none" w:sz="0" w:space="0" w:color="auto"/>
            </w:tcBorders>
          </w:tcPr>
          <w:p w14:paraId="79DF48C8"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Non–peer-reviewed or non-Scopus sources</w:t>
            </w:r>
          </w:p>
        </w:tc>
      </w:tr>
      <w:tr w:rsidR="00310FB6" w:rsidRPr="00310FB6" w14:paraId="27EDD51E" w14:textId="77777777" w:rsidTr="0076309C">
        <w:trPr>
          <w:trHeight w:val="460"/>
        </w:trPr>
        <w:tc>
          <w:tcPr>
            <w:cnfStyle w:val="001000000000" w:firstRow="0" w:lastRow="0" w:firstColumn="1" w:lastColumn="0" w:oddVBand="0" w:evenVBand="0" w:oddHBand="0" w:evenHBand="0" w:firstRowFirstColumn="0" w:firstRowLastColumn="0" w:lastRowFirstColumn="0" w:lastRowLastColumn="0"/>
            <w:tcW w:w="2307" w:type="dxa"/>
          </w:tcPr>
          <w:p w14:paraId="1887C6E6"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Time period</w:t>
            </w:r>
          </w:p>
        </w:tc>
        <w:tc>
          <w:tcPr>
            <w:tcW w:w="3035" w:type="dxa"/>
          </w:tcPr>
          <w:p w14:paraId="2BE62A31" w14:textId="77777777" w:rsidR="00310FB6" w:rsidRPr="00310FB6" w:rsidRDefault="00310FB6" w:rsidP="002711F1">
            <w:pPr>
              <w:spacing w:before="9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10FB6">
              <w:rPr>
                <w:rFonts w:ascii="Arial" w:eastAsia="Times New Roman" w:hAnsi="Arial" w:cs="Arial"/>
              </w:rPr>
              <w:t>Published between 2015–2025</w:t>
            </w:r>
          </w:p>
        </w:tc>
        <w:tc>
          <w:tcPr>
            <w:tcW w:w="2454" w:type="dxa"/>
          </w:tcPr>
          <w:p w14:paraId="37ED5BF7" w14:textId="77777777" w:rsidR="00310FB6" w:rsidRPr="00310FB6" w:rsidRDefault="00310FB6" w:rsidP="002711F1">
            <w:pPr>
              <w:spacing w:before="9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10FB6">
              <w:rPr>
                <w:rFonts w:ascii="Arial" w:eastAsia="Times New Roman" w:hAnsi="Arial" w:cs="Arial"/>
              </w:rPr>
              <w:t>Publications before 2015</w:t>
            </w:r>
          </w:p>
        </w:tc>
      </w:tr>
      <w:tr w:rsidR="00310FB6" w:rsidRPr="00310FB6" w14:paraId="6459DD65" w14:textId="77777777" w:rsidTr="0076309C">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307" w:type="dxa"/>
            <w:tcBorders>
              <w:top w:val="none" w:sz="0" w:space="0" w:color="auto"/>
              <w:bottom w:val="none" w:sz="0" w:space="0" w:color="auto"/>
            </w:tcBorders>
          </w:tcPr>
          <w:p w14:paraId="6A15B730"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Language</w:t>
            </w:r>
          </w:p>
        </w:tc>
        <w:tc>
          <w:tcPr>
            <w:tcW w:w="3035" w:type="dxa"/>
            <w:tcBorders>
              <w:top w:val="none" w:sz="0" w:space="0" w:color="auto"/>
              <w:bottom w:val="none" w:sz="0" w:space="0" w:color="auto"/>
            </w:tcBorders>
          </w:tcPr>
          <w:p w14:paraId="5E219DBA"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English</w:t>
            </w:r>
          </w:p>
        </w:tc>
        <w:tc>
          <w:tcPr>
            <w:tcW w:w="2454" w:type="dxa"/>
            <w:tcBorders>
              <w:top w:val="none" w:sz="0" w:space="0" w:color="auto"/>
              <w:bottom w:val="none" w:sz="0" w:space="0" w:color="auto"/>
            </w:tcBorders>
          </w:tcPr>
          <w:p w14:paraId="4AACDAFC"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Non-English publications</w:t>
            </w:r>
          </w:p>
        </w:tc>
      </w:tr>
      <w:tr w:rsidR="00310FB6" w:rsidRPr="00310FB6" w14:paraId="6D74C586" w14:textId="77777777" w:rsidTr="0076309C">
        <w:trPr>
          <w:trHeight w:val="1754"/>
        </w:trPr>
        <w:tc>
          <w:tcPr>
            <w:cnfStyle w:val="001000000000" w:firstRow="0" w:lastRow="0" w:firstColumn="1" w:lastColumn="0" w:oddVBand="0" w:evenVBand="0" w:oddHBand="0" w:evenHBand="0" w:firstRowFirstColumn="0" w:firstRowLastColumn="0" w:lastRowFirstColumn="0" w:lastRowLastColumn="0"/>
            <w:tcW w:w="2307" w:type="dxa"/>
          </w:tcPr>
          <w:p w14:paraId="668F6273"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Research Focus</w:t>
            </w:r>
          </w:p>
        </w:tc>
        <w:tc>
          <w:tcPr>
            <w:tcW w:w="3035" w:type="dxa"/>
          </w:tcPr>
          <w:p w14:paraId="25C0D229" w14:textId="77777777" w:rsidR="00310FB6" w:rsidRPr="00310FB6" w:rsidRDefault="00310FB6" w:rsidP="002711F1">
            <w:pPr>
              <w:spacing w:before="9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10FB6">
              <w:rPr>
                <w:rFonts w:ascii="Arial" w:eastAsia="Times New Roman" w:hAnsi="Arial" w:cs="Arial"/>
              </w:rPr>
              <w:t>Explicit engagement with the TOE framework as a theoretical basis; focus on the software industry or directly relevant organizational technology adoption settings</w:t>
            </w:r>
          </w:p>
        </w:tc>
        <w:tc>
          <w:tcPr>
            <w:tcW w:w="2454" w:type="dxa"/>
          </w:tcPr>
          <w:p w14:paraId="714B3673" w14:textId="77777777" w:rsidR="00310FB6" w:rsidRPr="00310FB6" w:rsidRDefault="00310FB6" w:rsidP="002711F1">
            <w:pPr>
              <w:spacing w:before="9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10FB6">
              <w:rPr>
                <w:rFonts w:ascii="Arial" w:eastAsia="Times New Roman" w:hAnsi="Arial" w:cs="Arial"/>
              </w:rPr>
              <w:t>Studies mentioning TOE only superficially, without using it as a core framework; articles outside the software/IT domain.</w:t>
            </w:r>
          </w:p>
        </w:tc>
      </w:tr>
      <w:tr w:rsidR="00310FB6" w:rsidRPr="00310FB6" w14:paraId="28A7A054" w14:textId="77777777" w:rsidTr="0076309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307" w:type="dxa"/>
            <w:tcBorders>
              <w:top w:val="none" w:sz="0" w:space="0" w:color="auto"/>
              <w:bottom w:val="none" w:sz="0" w:space="0" w:color="auto"/>
            </w:tcBorders>
          </w:tcPr>
          <w:p w14:paraId="33CA8750"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Content Type</w:t>
            </w:r>
          </w:p>
        </w:tc>
        <w:tc>
          <w:tcPr>
            <w:tcW w:w="3035" w:type="dxa"/>
            <w:tcBorders>
              <w:top w:val="none" w:sz="0" w:space="0" w:color="auto"/>
              <w:bottom w:val="none" w:sz="0" w:space="0" w:color="auto"/>
            </w:tcBorders>
          </w:tcPr>
          <w:p w14:paraId="7BB5D59C"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Empirical, conceptual, or theoretical papers that identify adoption factors</w:t>
            </w:r>
          </w:p>
        </w:tc>
        <w:tc>
          <w:tcPr>
            <w:tcW w:w="2454" w:type="dxa"/>
            <w:tcBorders>
              <w:top w:val="none" w:sz="0" w:space="0" w:color="auto"/>
              <w:bottom w:val="none" w:sz="0" w:space="0" w:color="auto"/>
            </w:tcBorders>
          </w:tcPr>
          <w:p w14:paraId="09D0C1CE" w14:textId="77777777" w:rsidR="00310FB6" w:rsidRPr="00310FB6" w:rsidRDefault="00310FB6" w:rsidP="002711F1">
            <w:pPr>
              <w:keepNext/>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Duplicate or overlapping studies already represented in the dataset</w:t>
            </w:r>
          </w:p>
        </w:tc>
      </w:tr>
    </w:tbl>
    <w:p w14:paraId="0D134740" w14:textId="77777777" w:rsidR="00310FB6" w:rsidRDefault="00310FB6" w:rsidP="00441B6F">
      <w:pPr>
        <w:pStyle w:val="Body"/>
        <w:spacing w:after="0"/>
        <w:rPr>
          <w:rFonts w:ascii="Arial" w:hAnsi="Arial" w:cs="Arial"/>
        </w:rPr>
      </w:pPr>
    </w:p>
    <w:p w14:paraId="54D599B7" w14:textId="77777777" w:rsidR="00706135" w:rsidRDefault="00706135" w:rsidP="00441B6F">
      <w:pPr>
        <w:pStyle w:val="Body"/>
        <w:spacing w:after="0"/>
        <w:rPr>
          <w:rFonts w:ascii="Arial" w:hAnsi="Arial" w:cs="Arial"/>
        </w:rPr>
      </w:pPr>
    </w:p>
    <w:p w14:paraId="6B05CC8D" w14:textId="6DAB1D7F" w:rsidR="00706135" w:rsidRDefault="00706135" w:rsidP="00441B6F">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706135">
        <w:rPr>
          <w:rFonts w:ascii="Arial" w:hAnsi="Arial" w:cs="Arial"/>
          <w:b/>
          <w:sz w:val="22"/>
        </w:rPr>
        <w:t>Data Extraction and Analysis</w:t>
      </w:r>
    </w:p>
    <w:p w14:paraId="18EF24EA" w14:textId="77777777" w:rsidR="00790ADA" w:rsidRPr="00502516" w:rsidRDefault="00790ADA" w:rsidP="00441B6F">
      <w:pPr>
        <w:pStyle w:val="Body"/>
        <w:spacing w:after="0"/>
        <w:rPr>
          <w:rFonts w:ascii="Arial" w:hAnsi="Arial" w:cs="Arial"/>
        </w:rPr>
      </w:pPr>
    </w:p>
    <w:p w14:paraId="1BB40639" w14:textId="77777777" w:rsidR="003F216A" w:rsidRDefault="003F216A" w:rsidP="003F216A">
      <w:pPr>
        <w:pStyle w:val="Body"/>
        <w:spacing w:after="0"/>
        <w:rPr>
          <w:rFonts w:ascii="Arial" w:hAnsi="Arial" w:cs="Arial"/>
        </w:rPr>
      </w:pPr>
      <w:r w:rsidRPr="003F216A">
        <w:rPr>
          <w:rFonts w:ascii="Arial" w:hAnsi="Arial" w:cs="Arial"/>
        </w:rPr>
        <w:t>Data were extracted from the 32 selected studies using a standardized template, capturing bibliographic details, research context, methodology, and application of the TOE framework, along with identified technological, organizational, and environmental factors. The extracted antecedents were consolidated into frequency tables to assess their prominence and then organized within the three TOE dimensions.</w:t>
      </w:r>
    </w:p>
    <w:p w14:paraId="06863343" w14:textId="77777777" w:rsidR="003F216A" w:rsidRPr="003F216A" w:rsidRDefault="003F216A" w:rsidP="003F216A">
      <w:pPr>
        <w:pStyle w:val="Body"/>
        <w:spacing w:after="0"/>
        <w:rPr>
          <w:rFonts w:ascii="Arial" w:hAnsi="Arial" w:cs="Arial"/>
        </w:rPr>
      </w:pPr>
    </w:p>
    <w:p w14:paraId="2967D723" w14:textId="3F5B75C4" w:rsidR="00B01FCD" w:rsidRDefault="003F216A" w:rsidP="00441B6F">
      <w:pPr>
        <w:pStyle w:val="Body"/>
        <w:spacing w:after="0"/>
        <w:rPr>
          <w:rFonts w:ascii="Arial" w:hAnsi="Arial" w:cs="Arial"/>
        </w:rPr>
      </w:pPr>
      <w:r w:rsidRPr="003F216A">
        <w:rPr>
          <w:rFonts w:ascii="Arial" w:hAnsi="Arial" w:cs="Arial"/>
        </w:rPr>
        <w:t>To enhance clarity, factors were further synthesized into broader thematic categories, reducing fragmentation. This categorization enabled thematic analysis to interpret their collective influence on AI adoption in software development, highlighting the interplay of internal and external determinants</w:t>
      </w:r>
      <w:r w:rsidR="00502516" w:rsidRPr="00502516">
        <w:rPr>
          <w:rFonts w:ascii="Arial" w:hAnsi="Arial" w:cs="Arial"/>
        </w:rPr>
        <w:t>.</w:t>
      </w:r>
    </w:p>
    <w:p w14:paraId="5AE1FF2E" w14:textId="77777777" w:rsidR="00CA0838" w:rsidRDefault="00CA0838" w:rsidP="00441B6F">
      <w:pPr>
        <w:pStyle w:val="Body"/>
        <w:spacing w:after="0"/>
        <w:rPr>
          <w:rFonts w:ascii="Arial" w:hAnsi="Arial" w:cs="Arial"/>
        </w:rPr>
      </w:pPr>
    </w:p>
    <w:p w14:paraId="23EB34FE" w14:textId="56718E01" w:rsidR="00CA0838" w:rsidRDefault="00CA0838" w:rsidP="00CA0838">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CA0838">
        <w:rPr>
          <w:rFonts w:ascii="Arial" w:hAnsi="Arial" w:cs="Arial"/>
          <w:b/>
          <w:sz w:val="22"/>
        </w:rPr>
        <w:t>Factor Coding and Thematic Synthesis</w:t>
      </w:r>
    </w:p>
    <w:p w14:paraId="115CB77D" w14:textId="77777777" w:rsidR="00CA0838" w:rsidRPr="00502516" w:rsidRDefault="00CA0838" w:rsidP="00CA0838">
      <w:pPr>
        <w:pStyle w:val="Body"/>
        <w:spacing w:after="0"/>
        <w:rPr>
          <w:rFonts w:ascii="Arial" w:hAnsi="Arial" w:cs="Arial"/>
        </w:rPr>
      </w:pPr>
    </w:p>
    <w:p w14:paraId="1DAD3533" w14:textId="77777777" w:rsidR="00CA0838" w:rsidRDefault="00CA0838" w:rsidP="00CA0838">
      <w:pPr>
        <w:pStyle w:val="Body"/>
        <w:spacing w:after="0"/>
        <w:rPr>
          <w:rFonts w:ascii="Arial" w:hAnsi="Arial" w:cs="Arial"/>
        </w:rPr>
      </w:pPr>
      <w:r w:rsidRPr="00CA0838">
        <w:rPr>
          <w:rFonts w:ascii="Arial" w:hAnsi="Arial" w:cs="Arial"/>
        </w:rPr>
        <w:t>Following data extraction, an open coding process was applied to identify all adoption-related antecedents reported across the selected studies. This initial coding resulted in 92 distinct factors. To reduce redundancy and improve interpretability, axial coding was subsequently conducted to consolidate semantically overlapping factors. For example, closely related constructs such as data security, privacy risk, and compliance concerns were merged under broader thematic categories where conceptual similarity was evident.</w:t>
      </w:r>
    </w:p>
    <w:p w14:paraId="64C2CAD1" w14:textId="77777777" w:rsidR="00CA0838" w:rsidRPr="00CA0838" w:rsidRDefault="00CA0838" w:rsidP="00CA0838">
      <w:pPr>
        <w:pStyle w:val="Body"/>
        <w:spacing w:after="0"/>
        <w:rPr>
          <w:rFonts w:ascii="Arial" w:hAnsi="Arial" w:cs="Arial"/>
        </w:rPr>
      </w:pPr>
    </w:p>
    <w:p w14:paraId="78D6D5F7" w14:textId="18DEA6A5" w:rsidR="00CA0838" w:rsidRDefault="00CA0838" w:rsidP="00CA0838">
      <w:pPr>
        <w:pStyle w:val="Body"/>
        <w:spacing w:after="0"/>
        <w:rPr>
          <w:rFonts w:ascii="Arial" w:hAnsi="Arial" w:cs="Arial"/>
        </w:rPr>
      </w:pPr>
      <w:r w:rsidRPr="00CA0838">
        <w:rPr>
          <w:rFonts w:ascii="Arial" w:hAnsi="Arial" w:cs="Arial"/>
        </w:rPr>
        <w:t xml:space="preserve">The consolidated factors were then systematically mapped to the Technology, Organization, and Environment dimensions of the TOE framework. This mapping was guided by prior TOE-based taxonomies and adoption studies, ensuring conceptual alignment while preserving contextual nuance. The final categorization resulted in 31 technological, 34 organizational, and 27 environmental factors. Frequency counts were retained to indicate the </w:t>
      </w:r>
      <w:r w:rsidRPr="00CA0838">
        <w:rPr>
          <w:rFonts w:ascii="Arial" w:hAnsi="Arial" w:cs="Arial"/>
        </w:rPr>
        <w:lastRenderedPageBreak/>
        <w:t>relative prominence of each factor across studies, while thematic grouping enabled cross-contextual comparison and synthesis</w:t>
      </w:r>
      <w:r w:rsidRPr="003F216A">
        <w:rPr>
          <w:rFonts w:ascii="Arial" w:hAnsi="Arial" w:cs="Arial"/>
        </w:rPr>
        <w:t>.</w:t>
      </w:r>
    </w:p>
    <w:p w14:paraId="231D979E" w14:textId="77777777" w:rsidR="003F216A" w:rsidRDefault="003F216A" w:rsidP="00441B6F">
      <w:pPr>
        <w:pStyle w:val="Body"/>
        <w:spacing w:after="0"/>
        <w:rPr>
          <w:rFonts w:ascii="Arial" w:hAnsi="Arial" w:cs="Arial"/>
        </w:rPr>
      </w:pPr>
    </w:p>
    <w:p w14:paraId="40C54B2C" w14:textId="3246FD47" w:rsidR="003F216A" w:rsidRDefault="003F216A" w:rsidP="003F216A">
      <w:pPr>
        <w:pStyle w:val="Head1"/>
        <w:spacing w:after="0"/>
        <w:jc w:val="both"/>
        <w:rPr>
          <w:rFonts w:ascii="Arial" w:hAnsi="Arial" w:cs="Arial"/>
        </w:rPr>
      </w:pPr>
      <w:r>
        <w:rPr>
          <w:rFonts w:ascii="Arial" w:hAnsi="Arial" w:cs="Arial"/>
        </w:rPr>
        <w:t>3. results and discussion</w:t>
      </w:r>
    </w:p>
    <w:p w14:paraId="2ACC4E8E" w14:textId="77777777" w:rsidR="003F216A" w:rsidRDefault="003F216A" w:rsidP="00441B6F">
      <w:pPr>
        <w:pStyle w:val="Body"/>
        <w:spacing w:after="0"/>
        <w:rPr>
          <w:rFonts w:ascii="Arial" w:hAnsi="Arial" w:cs="Arial"/>
        </w:rPr>
      </w:pPr>
    </w:p>
    <w:p w14:paraId="634177E1" w14:textId="651EEBF0" w:rsidR="003F216A" w:rsidRDefault="003F216A" w:rsidP="00441B6F">
      <w:pPr>
        <w:pStyle w:val="Body"/>
        <w:spacing w:after="0"/>
        <w:rPr>
          <w:rFonts w:ascii="Arial" w:hAnsi="Arial" w:cs="Arial"/>
        </w:rPr>
      </w:pPr>
      <w:r w:rsidRPr="003F216A">
        <w:rPr>
          <w:rFonts w:ascii="Arial" w:hAnsi="Arial" w:cs="Arial"/>
        </w:rPr>
        <w:t>This review, based on 32 peer-reviewed studies identified through systematic screening, consolidated antecedents of AI adoption in software development under the TOE framework. In total, 92 distinct factors were extracted: 31 technological, 34 organizational, and 27 environmental. To reduce fragmentation, overlapping items were merged and synthesized into thematic categories</w:t>
      </w:r>
      <w:r>
        <w:rPr>
          <w:rFonts w:ascii="Arial" w:hAnsi="Arial" w:cs="Arial"/>
        </w:rPr>
        <w:t>.</w:t>
      </w:r>
    </w:p>
    <w:p w14:paraId="5DCAA321" w14:textId="77777777" w:rsidR="003F216A" w:rsidRDefault="003F216A" w:rsidP="00441B6F">
      <w:pPr>
        <w:pStyle w:val="Body"/>
        <w:spacing w:after="0"/>
        <w:rPr>
          <w:rFonts w:ascii="Arial" w:hAnsi="Arial" w:cs="Arial"/>
        </w:rPr>
      </w:pPr>
    </w:p>
    <w:p w14:paraId="3E26AAC5" w14:textId="0D073F7C" w:rsidR="003F216A" w:rsidRDefault="003F216A"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3F216A">
        <w:rPr>
          <w:rFonts w:ascii="Arial" w:hAnsi="Arial" w:cs="Arial"/>
          <w:b/>
          <w:sz w:val="22"/>
        </w:rPr>
        <w:t>Technological Factors</w:t>
      </w:r>
    </w:p>
    <w:p w14:paraId="49CBA597" w14:textId="77777777" w:rsidR="003F216A" w:rsidRDefault="003F216A" w:rsidP="00441B6F">
      <w:pPr>
        <w:pStyle w:val="Body"/>
        <w:spacing w:after="0"/>
        <w:rPr>
          <w:rFonts w:ascii="Arial" w:hAnsi="Arial" w:cs="Arial"/>
          <w:b/>
          <w:sz w:val="22"/>
        </w:rPr>
      </w:pPr>
    </w:p>
    <w:p w14:paraId="0589CDBF" w14:textId="68845ED9" w:rsidR="003F216A" w:rsidRDefault="003F216A" w:rsidP="00441B6F">
      <w:pPr>
        <w:pStyle w:val="Body"/>
        <w:spacing w:after="0"/>
        <w:rPr>
          <w:rFonts w:ascii="Arial" w:hAnsi="Arial" w:cs="Arial"/>
        </w:rPr>
      </w:pPr>
      <w:r w:rsidRPr="003F216A">
        <w:rPr>
          <w:rFonts w:ascii="Arial" w:hAnsi="Arial" w:cs="Arial"/>
        </w:rPr>
        <w:t>The technological dimension accounts for 31 factors grouped into eight thematic categories: Value &amp; Performance, Compatibility &amp; Integration, Usability &amp; Complexity, Security &amp; Risk, Technical Readiness &amp; Assets, Trialability &amp; Observability, Cost &amp; Efficiency, and Scalability &amp; Flexibility. Among these, relative advantage (13 studies) and security and privacy concerns (12 studies) were the most frequently cited determinants of adoption. Compatibility (10) and complexity (8) also emerged as strong predictors. Less frequently discussed were factors such as AI tool capability limits and licensing, though they highlight emerging concerns in practice</w:t>
      </w:r>
      <w:r>
        <w:rPr>
          <w:rFonts w:ascii="Arial" w:hAnsi="Arial" w:cs="Arial"/>
        </w:rPr>
        <w:t>.</w:t>
      </w:r>
    </w:p>
    <w:p w14:paraId="4499228D" w14:textId="77777777" w:rsidR="00310FB6" w:rsidRDefault="00310FB6" w:rsidP="00441B6F">
      <w:pPr>
        <w:pStyle w:val="Body"/>
        <w:spacing w:after="0"/>
        <w:rPr>
          <w:rFonts w:ascii="Arial" w:hAnsi="Arial" w:cs="Arial"/>
        </w:rPr>
      </w:pPr>
    </w:p>
    <w:p w14:paraId="42AF9BF6" w14:textId="2B647CF5" w:rsidR="00921A7B" w:rsidRPr="00921A7B" w:rsidRDefault="00921A7B" w:rsidP="00921A7B">
      <w:pPr>
        <w:pStyle w:val="Caption"/>
        <w:keepNext/>
        <w:rPr>
          <w:rFonts w:ascii="Arial" w:hAnsi="Arial" w:cs="Arial"/>
          <w:b/>
          <w:bCs/>
          <w:i w:val="0"/>
          <w:iCs w:val="0"/>
          <w:color w:val="000000" w:themeColor="text1"/>
          <w:sz w:val="20"/>
          <w:szCs w:val="20"/>
        </w:rPr>
      </w:pPr>
      <w:r w:rsidRPr="00921A7B">
        <w:rPr>
          <w:rFonts w:ascii="Arial" w:hAnsi="Arial" w:cs="Arial"/>
          <w:b/>
          <w:bCs/>
          <w:i w:val="0"/>
          <w:iCs w:val="0"/>
          <w:color w:val="000000" w:themeColor="text1"/>
          <w:sz w:val="20"/>
          <w:szCs w:val="20"/>
        </w:rPr>
        <w:t xml:space="preserve">Table </w:t>
      </w:r>
      <w:r w:rsidRPr="00921A7B">
        <w:rPr>
          <w:rFonts w:ascii="Arial" w:hAnsi="Arial" w:cs="Arial"/>
          <w:b/>
          <w:bCs/>
          <w:i w:val="0"/>
          <w:iCs w:val="0"/>
          <w:color w:val="000000" w:themeColor="text1"/>
          <w:sz w:val="20"/>
          <w:szCs w:val="20"/>
        </w:rPr>
        <w:fldChar w:fldCharType="begin"/>
      </w:r>
      <w:r w:rsidRPr="00921A7B">
        <w:rPr>
          <w:rFonts w:ascii="Arial" w:hAnsi="Arial" w:cs="Arial"/>
          <w:b/>
          <w:bCs/>
          <w:i w:val="0"/>
          <w:iCs w:val="0"/>
          <w:color w:val="000000" w:themeColor="text1"/>
          <w:sz w:val="20"/>
          <w:szCs w:val="20"/>
        </w:rPr>
        <w:instrText xml:space="preserve"> SEQ Table \* ARABIC </w:instrText>
      </w:r>
      <w:r w:rsidRPr="00921A7B">
        <w:rPr>
          <w:rFonts w:ascii="Arial" w:hAnsi="Arial" w:cs="Arial"/>
          <w:b/>
          <w:bCs/>
          <w:i w:val="0"/>
          <w:iCs w:val="0"/>
          <w:color w:val="000000" w:themeColor="text1"/>
          <w:sz w:val="20"/>
          <w:szCs w:val="20"/>
        </w:rPr>
        <w:fldChar w:fldCharType="separate"/>
      </w:r>
      <w:r w:rsidR="00E03BA4">
        <w:rPr>
          <w:rFonts w:ascii="Arial" w:hAnsi="Arial" w:cs="Arial"/>
          <w:b/>
          <w:bCs/>
          <w:i w:val="0"/>
          <w:iCs w:val="0"/>
          <w:noProof/>
          <w:color w:val="000000" w:themeColor="text1"/>
          <w:sz w:val="20"/>
          <w:szCs w:val="20"/>
        </w:rPr>
        <w:t>2</w:t>
      </w:r>
      <w:r w:rsidRPr="00921A7B">
        <w:rPr>
          <w:rFonts w:ascii="Arial" w:hAnsi="Arial" w:cs="Arial"/>
          <w:b/>
          <w:bCs/>
          <w:i w:val="0"/>
          <w:iCs w:val="0"/>
          <w:color w:val="000000" w:themeColor="text1"/>
          <w:sz w:val="20"/>
          <w:szCs w:val="20"/>
        </w:rPr>
        <w:fldChar w:fldCharType="end"/>
      </w:r>
      <w:r w:rsidRPr="00921A7B">
        <w:rPr>
          <w:rFonts w:ascii="Arial" w:hAnsi="Arial" w:cs="Arial"/>
          <w:b/>
          <w:bCs/>
          <w:i w:val="0"/>
          <w:iCs w:val="0"/>
          <w:color w:val="000000" w:themeColor="text1"/>
          <w:sz w:val="20"/>
          <w:szCs w:val="20"/>
        </w:rPr>
        <w:t>. Technological factors</w:t>
      </w:r>
    </w:p>
    <w:tbl>
      <w:tblPr>
        <w:tblW w:w="7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3613"/>
        <w:gridCol w:w="1507"/>
      </w:tblGrid>
      <w:tr w:rsidR="00310FB6" w:rsidRPr="00310FB6" w14:paraId="3CD54464" w14:textId="77777777" w:rsidTr="00921A7B">
        <w:trPr>
          <w:trHeight w:val="377"/>
        </w:trPr>
        <w:tc>
          <w:tcPr>
            <w:tcW w:w="2528" w:type="dxa"/>
            <w:vAlign w:val="center"/>
          </w:tcPr>
          <w:p w14:paraId="56AE320C" w14:textId="77777777" w:rsidR="00310FB6" w:rsidRPr="00310FB6" w:rsidRDefault="00310FB6" w:rsidP="002711F1">
            <w:pPr>
              <w:rPr>
                <w:rFonts w:ascii="Arial" w:hAnsi="Arial" w:cs="Arial"/>
                <w:b/>
                <w:bCs/>
                <w:color w:val="000000"/>
              </w:rPr>
            </w:pPr>
            <w:r w:rsidRPr="00310FB6">
              <w:rPr>
                <w:rFonts w:ascii="Arial" w:hAnsi="Arial" w:cs="Arial"/>
                <w:b/>
                <w:bCs/>
                <w:color w:val="000000"/>
              </w:rPr>
              <w:t>Category</w:t>
            </w:r>
          </w:p>
        </w:tc>
        <w:tc>
          <w:tcPr>
            <w:tcW w:w="3613" w:type="dxa"/>
            <w:vAlign w:val="center"/>
          </w:tcPr>
          <w:p w14:paraId="73C2DC42" w14:textId="77777777" w:rsidR="00310FB6" w:rsidRPr="00310FB6" w:rsidRDefault="00310FB6" w:rsidP="002711F1">
            <w:pPr>
              <w:rPr>
                <w:rFonts w:ascii="Arial" w:hAnsi="Arial" w:cs="Arial"/>
                <w:b/>
                <w:bCs/>
                <w:color w:val="000000"/>
              </w:rPr>
            </w:pPr>
            <w:r w:rsidRPr="00310FB6">
              <w:rPr>
                <w:rFonts w:ascii="Arial" w:hAnsi="Arial" w:cs="Arial"/>
                <w:b/>
                <w:bCs/>
                <w:color w:val="000000"/>
              </w:rPr>
              <w:t>Factors</w:t>
            </w:r>
          </w:p>
        </w:tc>
        <w:tc>
          <w:tcPr>
            <w:tcW w:w="1507" w:type="dxa"/>
            <w:vAlign w:val="center"/>
          </w:tcPr>
          <w:p w14:paraId="1588D161" w14:textId="77777777" w:rsidR="00310FB6" w:rsidRPr="00310FB6" w:rsidRDefault="00310FB6" w:rsidP="002711F1">
            <w:pPr>
              <w:rPr>
                <w:rFonts w:ascii="Arial" w:hAnsi="Arial" w:cs="Arial"/>
                <w:b/>
                <w:bCs/>
                <w:color w:val="000000"/>
              </w:rPr>
            </w:pPr>
            <w:r w:rsidRPr="00310FB6">
              <w:rPr>
                <w:rFonts w:ascii="Arial" w:hAnsi="Arial" w:cs="Arial"/>
                <w:b/>
                <w:bCs/>
                <w:color w:val="000000"/>
              </w:rPr>
              <w:t>Frequency</w:t>
            </w:r>
          </w:p>
        </w:tc>
      </w:tr>
      <w:tr w:rsidR="00310FB6" w:rsidRPr="00310FB6" w14:paraId="002F7D78" w14:textId="77777777" w:rsidTr="00921A7B">
        <w:trPr>
          <w:trHeight w:val="250"/>
        </w:trPr>
        <w:tc>
          <w:tcPr>
            <w:tcW w:w="2528" w:type="dxa"/>
            <w:vMerge w:val="restart"/>
            <w:vAlign w:val="center"/>
          </w:tcPr>
          <w:p w14:paraId="5CAD751C" w14:textId="77777777" w:rsidR="00310FB6" w:rsidRPr="00310FB6" w:rsidRDefault="00310FB6" w:rsidP="002711F1">
            <w:pPr>
              <w:rPr>
                <w:rFonts w:ascii="Arial" w:hAnsi="Arial" w:cs="Arial"/>
                <w:color w:val="000000"/>
              </w:rPr>
            </w:pPr>
            <w:r w:rsidRPr="00310FB6">
              <w:rPr>
                <w:rFonts w:ascii="Arial" w:hAnsi="Arial" w:cs="Arial"/>
              </w:rPr>
              <w:t>Value &amp; Performance</w:t>
            </w:r>
          </w:p>
        </w:tc>
        <w:tc>
          <w:tcPr>
            <w:tcW w:w="3613" w:type="dxa"/>
            <w:vAlign w:val="center"/>
          </w:tcPr>
          <w:p w14:paraId="0572A9A3" w14:textId="77777777" w:rsidR="00310FB6" w:rsidRPr="00310FB6" w:rsidRDefault="00310FB6" w:rsidP="002711F1">
            <w:pPr>
              <w:jc w:val="both"/>
              <w:rPr>
                <w:rFonts w:ascii="Arial" w:hAnsi="Arial" w:cs="Arial"/>
                <w:color w:val="000000"/>
              </w:rPr>
            </w:pPr>
            <w:r w:rsidRPr="00310FB6">
              <w:rPr>
                <w:rFonts w:ascii="Arial" w:hAnsi="Arial" w:cs="Arial"/>
                <w:color w:val="000000"/>
              </w:rPr>
              <w:t>Relative Advantage</w:t>
            </w:r>
          </w:p>
        </w:tc>
        <w:tc>
          <w:tcPr>
            <w:tcW w:w="1507" w:type="dxa"/>
            <w:vAlign w:val="center"/>
          </w:tcPr>
          <w:p w14:paraId="1AE28C5D" w14:textId="77777777" w:rsidR="00310FB6" w:rsidRPr="00310FB6" w:rsidRDefault="00310FB6" w:rsidP="002711F1">
            <w:pPr>
              <w:jc w:val="right"/>
              <w:rPr>
                <w:rFonts w:ascii="Arial" w:hAnsi="Arial" w:cs="Arial"/>
                <w:color w:val="000000"/>
              </w:rPr>
            </w:pPr>
            <w:r w:rsidRPr="00310FB6">
              <w:rPr>
                <w:rFonts w:ascii="Arial" w:hAnsi="Arial" w:cs="Arial"/>
                <w:color w:val="000000"/>
              </w:rPr>
              <w:t>13</w:t>
            </w:r>
          </w:p>
        </w:tc>
      </w:tr>
      <w:tr w:rsidR="00310FB6" w:rsidRPr="00310FB6" w14:paraId="1842DFB7" w14:textId="77777777" w:rsidTr="00921A7B">
        <w:trPr>
          <w:trHeight w:val="250"/>
        </w:trPr>
        <w:tc>
          <w:tcPr>
            <w:tcW w:w="2528" w:type="dxa"/>
            <w:vMerge/>
            <w:vAlign w:val="center"/>
          </w:tcPr>
          <w:p w14:paraId="38ED021E" w14:textId="77777777" w:rsidR="00310FB6" w:rsidRPr="00310FB6" w:rsidRDefault="00310FB6" w:rsidP="002711F1">
            <w:pPr>
              <w:rPr>
                <w:rFonts w:ascii="Arial" w:hAnsi="Arial" w:cs="Arial"/>
                <w:color w:val="000000"/>
              </w:rPr>
            </w:pPr>
          </w:p>
        </w:tc>
        <w:tc>
          <w:tcPr>
            <w:tcW w:w="3613" w:type="dxa"/>
            <w:vAlign w:val="center"/>
          </w:tcPr>
          <w:p w14:paraId="7777021A" w14:textId="77777777" w:rsidR="00310FB6" w:rsidRPr="00310FB6" w:rsidRDefault="00310FB6" w:rsidP="002711F1">
            <w:pPr>
              <w:jc w:val="both"/>
              <w:rPr>
                <w:rFonts w:ascii="Arial" w:hAnsi="Arial" w:cs="Arial"/>
                <w:color w:val="000000"/>
              </w:rPr>
            </w:pPr>
            <w:r w:rsidRPr="00310FB6">
              <w:rPr>
                <w:rFonts w:ascii="Arial" w:hAnsi="Arial" w:cs="Arial"/>
                <w:color w:val="000000"/>
              </w:rPr>
              <w:t>Performance/ quality</w:t>
            </w:r>
          </w:p>
        </w:tc>
        <w:tc>
          <w:tcPr>
            <w:tcW w:w="1507" w:type="dxa"/>
            <w:vAlign w:val="center"/>
          </w:tcPr>
          <w:p w14:paraId="2B98996E" w14:textId="77777777" w:rsidR="00310FB6" w:rsidRPr="00310FB6" w:rsidRDefault="00310FB6" w:rsidP="002711F1">
            <w:pPr>
              <w:jc w:val="right"/>
              <w:rPr>
                <w:rFonts w:ascii="Arial" w:hAnsi="Arial" w:cs="Arial"/>
                <w:color w:val="000000"/>
              </w:rPr>
            </w:pPr>
            <w:r w:rsidRPr="00310FB6">
              <w:rPr>
                <w:rFonts w:ascii="Arial" w:hAnsi="Arial" w:cs="Arial"/>
                <w:color w:val="000000"/>
              </w:rPr>
              <w:t>6</w:t>
            </w:r>
          </w:p>
        </w:tc>
      </w:tr>
      <w:tr w:rsidR="00310FB6" w:rsidRPr="00310FB6" w14:paraId="7E91F872" w14:textId="77777777" w:rsidTr="00921A7B">
        <w:trPr>
          <w:trHeight w:val="250"/>
        </w:trPr>
        <w:tc>
          <w:tcPr>
            <w:tcW w:w="2528" w:type="dxa"/>
            <w:vMerge w:val="restart"/>
            <w:vAlign w:val="center"/>
          </w:tcPr>
          <w:p w14:paraId="588D1F49" w14:textId="77777777" w:rsidR="00310FB6" w:rsidRPr="00310FB6" w:rsidRDefault="00310FB6" w:rsidP="002711F1">
            <w:pPr>
              <w:rPr>
                <w:rFonts w:ascii="Arial" w:hAnsi="Arial" w:cs="Arial"/>
                <w:color w:val="000000"/>
              </w:rPr>
            </w:pPr>
            <w:r w:rsidRPr="00310FB6">
              <w:rPr>
                <w:rFonts w:ascii="Arial" w:hAnsi="Arial" w:cs="Arial"/>
              </w:rPr>
              <w:t>Compatibility &amp; Integration</w:t>
            </w:r>
          </w:p>
        </w:tc>
        <w:tc>
          <w:tcPr>
            <w:tcW w:w="3613" w:type="dxa"/>
            <w:vAlign w:val="center"/>
          </w:tcPr>
          <w:p w14:paraId="38F60903" w14:textId="77777777" w:rsidR="00310FB6" w:rsidRPr="00310FB6" w:rsidRDefault="00310FB6" w:rsidP="002711F1">
            <w:pPr>
              <w:jc w:val="both"/>
              <w:rPr>
                <w:rFonts w:ascii="Arial" w:hAnsi="Arial" w:cs="Arial"/>
                <w:color w:val="000000"/>
              </w:rPr>
            </w:pPr>
            <w:r w:rsidRPr="00310FB6">
              <w:rPr>
                <w:rFonts w:ascii="Arial" w:hAnsi="Arial" w:cs="Arial"/>
                <w:color w:val="000000"/>
              </w:rPr>
              <w:t>Compatibility</w:t>
            </w:r>
          </w:p>
        </w:tc>
        <w:tc>
          <w:tcPr>
            <w:tcW w:w="1507" w:type="dxa"/>
            <w:vAlign w:val="center"/>
          </w:tcPr>
          <w:p w14:paraId="51C49B98" w14:textId="77777777" w:rsidR="00310FB6" w:rsidRPr="00310FB6" w:rsidRDefault="00310FB6" w:rsidP="002711F1">
            <w:pPr>
              <w:jc w:val="right"/>
              <w:rPr>
                <w:rFonts w:ascii="Arial" w:hAnsi="Arial" w:cs="Arial"/>
                <w:color w:val="000000"/>
              </w:rPr>
            </w:pPr>
            <w:r w:rsidRPr="00310FB6">
              <w:rPr>
                <w:rFonts w:ascii="Arial" w:hAnsi="Arial" w:cs="Arial"/>
                <w:color w:val="000000"/>
              </w:rPr>
              <w:t>10</w:t>
            </w:r>
          </w:p>
        </w:tc>
      </w:tr>
      <w:tr w:rsidR="00310FB6" w:rsidRPr="00310FB6" w14:paraId="615A610D" w14:textId="77777777" w:rsidTr="00921A7B">
        <w:trPr>
          <w:trHeight w:val="250"/>
        </w:trPr>
        <w:tc>
          <w:tcPr>
            <w:tcW w:w="2528" w:type="dxa"/>
            <w:vMerge/>
            <w:vAlign w:val="center"/>
          </w:tcPr>
          <w:p w14:paraId="40F532A3" w14:textId="77777777" w:rsidR="00310FB6" w:rsidRPr="00310FB6" w:rsidRDefault="00310FB6" w:rsidP="002711F1">
            <w:pPr>
              <w:rPr>
                <w:rFonts w:ascii="Arial" w:hAnsi="Arial" w:cs="Arial"/>
                <w:color w:val="000000"/>
              </w:rPr>
            </w:pPr>
          </w:p>
        </w:tc>
        <w:tc>
          <w:tcPr>
            <w:tcW w:w="3613" w:type="dxa"/>
            <w:vAlign w:val="center"/>
          </w:tcPr>
          <w:p w14:paraId="19A46F8F" w14:textId="77777777" w:rsidR="00310FB6" w:rsidRPr="00310FB6" w:rsidRDefault="00310FB6" w:rsidP="002711F1">
            <w:pPr>
              <w:jc w:val="both"/>
              <w:rPr>
                <w:rFonts w:ascii="Arial" w:hAnsi="Arial" w:cs="Arial"/>
                <w:color w:val="000000"/>
              </w:rPr>
            </w:pPr>
            <w:r w:rsidRPr="00310FB6">
              <w:rPr>
                <w:rFonts w:ascii="Arial" w:hAnsi="Arial" w:cs="Arial"/>
                <w:color w:val="000000"/>
              </w:rPr>
              <w:t>Integration/ interoperability</w:t>
            </w:r>
          </w:p>
        </w:tc>
        <w:tc>
          <w:tcPr>
            <w:tcW w:w="1507" w:type="dxa"/>
            <w:vAlign w:val="center"/>
          </w:tcPr>
          <w:p w14:paraId="54587A58"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0F646F87" w14:textId="77777777" w:rsidTr="00921A7B">
        <w:trPr>
          <w:trHeight w:val="250"/>
        </w:trPr>
        <w:tc>
          <w:tcPr>
            <w:tcW w:w="2528" w:type="dxa"/>
            <w:vMerge w:val="restart"/>
            <w:vAlign w:val="center"/>
          </w:tcPr>
          <w:p w14:paraId="634A1CD1" w14:textId="77777777" w:rsidR="00310FB6" w:rsidRPr="00310FB6" w:rsidRDefault="00310FB6" w:rsidP="002711F1">
            <w:pPr>
              <w:rPr>
                <w:rFonts w:ascii="Arial" w:hAnsi="Arial" w:cs="Arial"/>
                <w:color w:val="000000"/>
              </w:rPr>
            </w:pPr>
            <w:r w:rsidRPr="00310FB6">
              <w:rPr>
                <w:rFonts w:ascii="Arial" w:hAnsi="Arial" w:cs="Arial"/>
              </w:rPr>
              <w:t>Usability &amp; Complexity</w:t>
            </w:r>
          </w:p>
        </w:tc>
        <w:tc>
          <w:tcPr>
            <w:tcW w:w="3613" w:type="dxa"/>
            <w:vAlign w:val="center"/>
          </w:tcPr>
          <w:p w14:paraId="2D4069C0" w14:textId="77777777" w:rsidR="00310FB6" w:rsidRPr="00310FB6" w:rsidRDefault="00310FB6" w:rsidP="002711F1">
            <w:pPr>
              <w:jc w:val="both"/>
              <w:rPr>
                <w:rFonts w:ascii="Arial" w:hAnsi="Arial" w:cs="Arial"/>
                <w:color w:val="000000"/>
              </w:rPr>
            </w:pPr>
            <w:r w:rsidRPr="00310FB6">
              <w:rPr>
                <w:rFonts w:ascii="Arial" w:hAnsi="Arial" w:cs="Arial"/>
                <w:color w:val="000000"/>
              </w:rPr>
              <w:t>Complexity</w:t>
            </w:r>
          </w:p>
        </w:tc>
        <w:tc>
          <w:tcPr>
            <w:tcW w:w="1507" w:type="dxa"/>
            <w:vAlign w:val="center"/>
          </w:tcPr>
          <w:p w14:paraId="1B25ACD7" w14:textId="77777777" w:rsidR="00310FB6" w:rsidRPr="00310FB6" w:rsidRDefault="00310FB6" w:rsidP="002711F1">
            <w:pPr>
              <w:jc w:val="right"/>
              <w:rPr>
                <w:rFonts w:ascii="Arial" w:hAnsi="Arial" w:cs="Arial"/>
                <w:color w:val="000000"/>
              </w:rPr>
            </w:pPr>
            <w:r w:rsidRPr="00310FB6">
              <w:rPr>
                <w:rFonts w:ascii="Arial" w:hAnsi="Arial" w:cs="Arial"/>
                <w:color w:val="000000"/>
              </w:rPr>
              <w:t>8</w:t>
            </w:r>
          </w:p>
        </w:tc>
      </w:tr>
      <w:tr w:rsidR="00310FB6" w:rsidRPr="00310FB6" w14:paraId="0AB2FF76" w14:textId="77777777" w:rsidTr="00921A7B">
        <w:trPr>
          <w:trHeight w:val="250"/>
        </w:trPr>
        <w:tc>
          <w:tcPr>
            <w:tcW w:w="2528" w:type="dxa"/>
            <w:vMerge/>
            <w:vAlign w:val="center"/>
          </w:tcPr>
          <w:p w14:paraId="1B174318" w14:textId="77777777" w:rsidR="00310FB6" w:rsidRPr="00310FB6" w:rsidRDefault="00310FB6" w:rsidP="002711F1">
            <w:pPr>
              <w:rPr>
                <w:rFonts w:ascii="Arial" w:hAnsi="Arial" w:cs="Arial"/>
                <w:color w:val="000000"/>
              </w:rPr>
            </w:pPr>
          </w:p>
        </w:tc>
        <w:tc>
          <w:tcPr>
            <w:tcW w:w="3613" w:type="dxa"/>
            <w:vAlign w:val="center"/>
          </w:tcPr>
          <w:p w14:paraId="6675BA45" w14:textId="77777777" w:rsidR="00310FB6" w:rsidRPr="00310FB6" w:rsidRDefault="00310FB6" w:rsidP="002711F1">
            <w:pPr>
              <w:jc w:val="both"/>
              <w:rPr>
                <w:rFonts w:ascii="Arial" w:hAnsi="Arial" w:cs="Arial"/>
                <w:color w:val="000000"/>
              </w:rPr>
            </w:pPr>
            <w:r w:rsidRPr="00310FB6">
              <w:rPr>
                <w:rFonts w:ascii="Arial" w:hAnsi="Arial" w:cs="Arial"/>
                <w:color w:val="000000"/>
              </w:rPr>
              <w:t xml:space="preserve">Ease of Use / </w:t>
            </w:r>
            <w:r w:rsidRPr="00310FB6">
              <w:rPr>
                <w:rFonts w:ascii="Arial" w:hAnsi="Arial" w:cs="Arial"/>
              </w:rPr>
              <w:t>Usability</w:t>
            </w:r>
          </w:p>
        </w:tc>
        <w:tc>
          <w:tcPr>
            <w:tcW w:w="1507" w:type="dxa"/>
            <w:vAlign w:val="center"/>
          </w:tcPr>
          <w:p w14:paraId="4D77DF01" w14:textId="77777777" w:rsidR="00310FB6" w:rsidRPr="00310FB6" w:rsidRDefault="00310FB6" w:rsidP="002711F1">
            <w:pPr>
              <w:jc w:val="right"/>
              <w:rPr>
                <w:rFonts w:ascii="Arial" w:hAnsi="Arial" w:cs="Arial"/>
                <w:color w:val="000000"/>
              </w:rPr>
            </w:pPr>
            <w:r w:rsidRPr="00310FB6">
              <w:rPr>
                <w:rFonts w:ascii="Arial" w:hAnsi="Arial" w:cs="Arial"/>
                <w:color w:val="000000"/>
              </w:rPr>
              <w:t>6</w:t>
            </w:r>
          </w:p>
        </w:tc>
      </w:tr>
      <w:tr w:rsidR="00310FB6" w:rsidRPr="00310FB6" w14:paraId="77D9C7B3" w14:textId="77777777" w:rsidTr="00921A7B">
        <w:trPr>
          <w:trHeight w:val="250"/>
        </w:trPr>
        <w:tc>
          <w:tcPr>
            <w:tcW w:w="2528" w:type="dxa"/>
            <w:vMerge/>
            <w:vAlign w:val="center"/>
          </w:tcPr>
          <w:p w14:paraId="0FFEFA08" w14:textId="77777777" w:rsidR="00310FB6" w:rsidRPr="00310FB6" w:rsidRDefault="00310FB6" w:rsidP="002711F1">
            <w:pPr>
              <w:rPr>
                <w:rFonts w:ascii="Arial" w:hAnsi="Arial" w:cs="Arial"/>
                <w:color w:val="000000"/>
              </w:rPr>
            </w:pPr>
          </w:p>
        </w:tc>
        <w:tc>
          <w:tcPr>
            <w:tcW w:w="3613" w:type="dxa"/>
            <w:vAlign w:val="center"/>
          </w:tcPr>
          <w:p w14:paraId="43CAC62B" w14:textId="77777777" w:rsidR="00310FB6" w:rsidRPr="00310FB6" w:rsidRDefault="00310FB6" w:rsidP="002711F1">
            <w:pPr>
              <w:jc w:val="both"/>
              <w:rPr>
                <w:rFonts w:ascii="Arial" w:hAnsi="Arial" w:cs="Arial"/>
                <w:color w:val="000000"/>
              </w:rPr>
            </w:pPr>
            <w:r w:rsidRPr="00310FB6">
              <w:rPr>
                <w:rFonts w:ascii="Arial" w:hAnsi="Arial" w:cs="Arial"/>
                <w:color w:val="000000"/>
              </w:rPr>
              <w:t>UX/visualization/ergonomics</w:t>
            </w:r>
          </w:p>
        </w:tc>
        <w:tc>
          <w:tcPr>
            <w:tcW w:w="1507" w:type="dxa"/>
            <w:vAlign w:val="center"/>
          </w:tcPr>
          <w:p w14:paraId="5521417A" w14:textId="77777777" w:rsidR="00310FB6" w:rsidRPr="00310FB6" w:rsidRDefault="00310FB6" w:rsidP="002711F1">
            <w:pPr>
              <w:jc w:val="right"/>
              <w:rPr>
                <w:rFonts w:ascii="Arial" w:hAnsi="Arial" w:cs="Arial"/>
                <w:color w:val="000000"/>
              </w:rPr>
            </w:pPr>
            <w:r w:rsidRPr="00310FB6">
              <w:rPr>
                <w:rFonts w:ascii="Arial" w:hAnsi="Arial" w:cs="Arial"/>
                <w:color w:val="000000"/>
              </w:rPr>
              <w:t>5</w:t>
            </w:r>
          </w:p>
        </w:tc>
      </w:tr>
      <w:tr w:rsidR="00310FB6" w:rsidRPr="00310FB6" w14:paraId="5A45A61B" w14:textId="77777777" w:rsidTr="00921A7B">
        <w:trPr>
          <w:trHeight w:val="250"/>
        </w:trPr>
        <w:tc>
          <w:tcPr>
            <w:tcW w:w="2528" w:type="dxa"/>
            <w:vMerge/>
            <w:vAlign w:val="center"/>
          </w:tcPr>
          <w:p w14:paraId="78CF0AD2" w14:textId="77777777" w:rsidR="00310FB6" w:rsidRPr="00310FB6" w:rsidRDefault="00310FB6" w:rsidP="002711F1">
            <w:pPr>
              <w:rPr>
                <w:rFonts w:ascii="Arial" w:hAnsi="Arial" w:cs="Arial"/>
                <w:color w:val="000000"/>
              </w:rPr>
            </w:pPr>
          </w:p>
        </w:tc>
        <w:tc>
          <w:tcPr>
            <w:tcW w:w="3613" w:type="dxa"/>
            <w:vAlign w:val="center"/>
          </w:tcPr>
          <w:p w14:paraId="39DF109A" w14:textId="77777777" w:rsidR="00310FB6" w:rsidRPr="00310FB6" w:rsidRDefault="00310FB6" w:rsidP="002711F1">
            <w:pPr>
              <w:jc w:val="both"/>
              <w:rPr>
                <w:rFonts w:ascii="Arial" w:hAnsi="Arial" w:cs="Arial"/>
                <w:color w:val="000000"/>
              </w:rPr>
            </w:pPr>
            <w:r w:rsidRPr="00310FB6">
              <w:rPr>
                <w:rFonts w:ascii="Arial" w:hAnsi="Arial" w:cs="Arial"/>
                <w:color w:val="000000"/>
              </w:rPr>
              <w:t>User motivation (habit/hedonic)</w:t>
            </w:r>
          </w:p>
        </w:tc>
        <w:tc>
          <w:tcPr>
            <w:tcW w:w="1507" w:type="dxa"/>
            <w:vAlign w:val="center"/>
          </w:tcPr>
          <w:p w14:paraId="3D8CB697" w14:textId="77777777" w:rsidR="00310FB6" w:rsidRPr="00310FB6" w:rsidRDefault="00310FB6" w:rsidP="002711F1">
            <w:pPr>
              <w:jc w:val="right"/>
              <w:rPr>
                <w:rFonts w:ascii="Arial" w:hAnsi="Arial" w:cs="Arial"/>
                <w:color w:val="000000"/>
              </w:rPr>
            </w:pPr>
            <w:r w:rsidRPr="00310FB6">
              <w:rPr>
                <w:rFonts w:ascii="Arial" w:hAnsi="Arial" w:cs="Arial"/>
                <w:color w:val="000000"/>
              </w:rPr>
              <w:t>2</w:t>
            </w:r>
          </w:p>
        </w:tc>
      </w:tr>
      <w:tr w:rsidR="00310FB6" w:rsidRPr="00310FB6" w14:paraId="154C2D12" w14:textId="77777777" w:rsidTr="00921A7B">
        <w:trPr>
          <w:trHeight w:val="232"/>
        </w:trPr>
        <w:tc>
          <w:tcPr>
            <w:tcW w:w="2528" w:type="dxa"/>
            <w:vMerge/>
            <w:vAlign w:val="center"/>
          </w:tcPr>
          <w:p w14:paraId="3D023F30" w14:textId="77777777" w:rsidR="00310FB6" w:rsidRPr="00310FB6" w:rsidRDefault="00310FB6" w:rsidP="002711F1">
            <w:pPr>
              <w:rPr>
                <w:rFonts w:ascii="Arial" w:hAnsi="Arial" w:cs="Arial"/>
                <w:color w:val="000000"/>
              </w:rPr>
            </w:pPr>
          </w:p>
        </w:tc>
        <w:tc>
          <w:tcPr>
            <w:tcW w:w="3613" w:type="dxa"/>
            <w:vAlign w:val="center"/>
          </w:tcPr>
          <w:p w14:paraId="1A3EE510" w14:textId="77777777" w:rsidR="00310FB6" w:rsidRPr="00310FB6" w:rsidRDefault="00310FB6" w:rsidP="002711F1">
            <w:pPr>
              <w:jc w:val="both"/>
              <w:rPr>
                <w:rFonts w:ascii="Arial" w:hAnsi="Arial" w:cs="Arial"/>
                <w:color w:val="000000"/>
              </w:rPr>
            </w:pPr>
            <w:r w:rsidRPr="00310FB6">
              <w:rPr>
                <w:rFonts w:ascii="Arial" w:hAnsi="Arial" w:cs="Arial"/>
                <w:color w:val="000000"/>
              </w:rPr>
              <w:t>Expectancy/conditions (tech)</w:t>
            </w:r>
          </w:p>
        </w:tc>
        <w:tc>
          <w:tcPr>
            <w:tcW w:w="1507" w:type="dxa"/>
            <w:vAlign w:val="center"/>
          </w:tcPr>
          <w:p w14:paraId="79E65B5E"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20154A97" w14:textId="77777777" w:rsidTr="00921A7B">
        <w:trPr>
          <w:trHeight w:val="160"/>
        </w:trPr>
        <w:tc>
          <w:tcPr>
            <w:tcW w:w="2528" w:type="dxa"/>
            <w:vMerge w:val="restart"/>
            <w:vAlign w:val="center"/>
          </w:tcPr>
          <w:p w14:paraId="2669D233" w14:textId="77777777" w:rsidR="00310FB6" w:rsidRPr="00310FB6" w:rsidRDefault="00310FB6" w:rsidP="002711F1">
            <w:pPr>
              <w:rPr>
                <w:rFonts w:ascii="Arial" w:hAnsi="Arial" w:cs="Arial"/>
                <w:color w:val="000000"/>
              </w:rPr>
            </w:pPr>
            <w:r w:rsidRPr="00310FB6">
              <w:rPr>
                <w:rFonts w:ascii="Arial" w:hAnsi="Arial" w:cs="Arial"/>
              </w:rPr>
              <w:t>Security &amp; Risk</w:t>
            </w:r>
          </w:p>
        </w:tc>
        <w:tc>
          <w:tcPr>
            <w:tcW w:w="3613" w:type="dxa"/>
            <w:vAlign w:val="center"/>
          </w:tcPr>
          <w:p w14:paraId="44B1AD05" w14:textId="77777777" w:rsidR="00310FB6" w:rsidRPr="00310FB6" w:rsidRDefault="00310FB6" w:rsidP="002711F1">
            <w:pPr>
              <w:jc w:val="both"/>
              <w:rPr>
                <w:rFonts w:ascii="Arial" w:hAnsi="Arial" w:cs="Arial"/>
                <w:color w:val="000000"/>
              </w:rPr>
            </w:pPr>
            <w:r w:rsidRPr="00310FB6">
              <w:rPr>
                <w:rFonts w:ascii="Arial" w:hAnsi="Arial" w:cs="Arial"/>
                <w:color w:val="000000"/>
              </w:rPr>
              <w:t>Security and privacy (risk)</w:t>
            </w:r>
          </w:p>
        </w:tc>
        <w:tc>
          <w:tcPr>
            <w:tcW w:w="1507" w:type="dxa"/>
            <w:vAlign w:val="center"/>
          </w:tcPr>
          <w:p w14:paraId="6F475F06" w14:textId="77777777" w:rsidR="00310FB6" w:rsidRPr="00310FB6" w:rsidRDefault="00310FB6" w:rsidP="002711F1">
            <w:pPr>
              <w:jc w:val="right"/>
              <w:rPr>
                <w:rFonts w:ascii="Arial" w:hAnsi="Arial" w:cs="Arial"/>
                <w:color w:val="000000"/>
              </w:rPr>
            </w:pPr>
            <w:r w:rsidRPr="00310FB6">
              <w:rPr>
                <w:rFonts w:ascii="Arial" w:hAnsi="Arial" w:cs="Arial"/>
                <w:color w:val="000000"/>
              </w:rPr>
              <w:t>12</w:t>
            </w:r>
          </w:p>
        </w:tc>
      </w:tr>
      <w:tr w:rsidR="00310FB6" w:rsidRPr="00310FB6" w14:paraId="5841C0CA" w14:textId="77777777" w:rsidTr="00921A7B">
        <w:trPr>
          <w:trHeight w:val="160"/>
        </w:trPr>
        <w:tc>
          <w:tcPr>
            <w:tcW w:w="2528" w:type="dxa"/>
            <w:vMerge/>
            <w:vAlign w:val="center"/>
          </w:tcPr>
          <w:p w14:paraId="6BDB3B6D" w14:textId="77777777" w:rsidR="00310FB6" w:rsidRPr="00310FB6" w:rsidRDefault="00310FB6" w:rsidP="002711F1">
            <w:pPr>
              <w:rPr>
                <w:rFonts w:ascii="Arial" w:hAnsi="Arial" w:cs="Arial"/>
                <w:color w:val="000000"/>
              </w:rPr>
            </w:pPr>
          </w:p>
        </w:tc>
        <w:tc>
          <w:tcPr>
            <w:tcW w:w="3613" w:type="dxa"/>
            <w:vAlign w:val="center"/>
          </w:tcPr>
          <w:p w14:paraId="5483A3C1" w14:textId="77777777" w:rsidR="00310FB6" w:rsidRPr="00310FB6" w:rsidRDefault="00310FB6" w:rsidP="002711F1">
            <w:pPr>
              <w:jc w:val="both"/>
              <w:rPr>
                <w:rFonts w:ascii="Arial" w:hAnsi="Arial" w:cs="Arial"/>
                <w:color w:val="000000"/>
              </w:rPr>
            </w:pPr>
            <w:r w:rsidRPr="00310FB6">
              <w:rPr>
                <w:rFonts w:ascii="Arial" w:hAnsi="Arial" w:cs="Arial"/>
                <w:color w:val="000000"/>
              </w:rPr>
              <w:t>Safety/compliance (tech)</w:t>
            </w:r>
          </w:p>
        </w:tc>
        <w:tc>
          <w:tcPr>
            <w:tcW w:w="1507" w:type="dxa"/>
            <w:vAlign w:val="center"/>
          </w:tcPr>
          <w:p w14:paraId="592E1753" w14:textId="77777777" w:rsidR="00310FB6" w:rsidRPr="00310FB6" w:rsidRDefault="00310FB6" w:rsidP="002711F1">
            <w:pPr>
              <w:jc w:val="right"/>
              <w:rPr>
                <w:rFonts w:ascii="Arial" w:hAnsi="Arial" w:cs="Arial"/>
                <w:color w:val="000000"/>
              </w:rPr>
            </w:pPr>
            <w:r w:rsidRPr="00310FB6">
              <w:rPr>
                <w:rFonts w:ascii="Arial" w:hAnsi="Arial" w:cs="Arial"/>
                <w:color w:val="000000"/>
              </w:rPr>
              <w:t>2</w:t>
            </w:r>
          </w:p>
        </w:tc>
      </w:tr>
      <w:tr w:rsidR="00310FB6" w:rsidRPr="00310FB6" w14:paraId="2126520A" w14:textId="77777777" w:rsidTr="00921A7B">
        <w:trPr>
          <w:trHeight w:val="160"/>
        </w:trPr>
        <w:tc>
          <w:tcPr>
            <w:tcW w:w="2528" w:type="dxa"/>
            <w:vMerge w:val="restart"/>
            <w:vAlign w:val="center"/>
          </w:tcPr>
          <w:p w14:paraId="6D8DE5F7" w14:textId="77777777" w:rsidR="00310FB6" w:rsidRPr="00310FB6" w:rsidRDefault="00310FB6" w:rsidP="002711F1">
            <w:pPr>
              <w:rPr>
                <w:rFonts w:ascii="Arial" w:hAnsi="Arial" w:cs="Arial"/>
                <w:color w:val="000000"/>
              </w:rPr>
            </w:pPr>
            <w:r w:rsidRPr="00310FB6">
              <w:rPr>
                <w:rFonts w:ascii="Arial" w:hAnsi="Arial" w:cs="Arial"/>
              </w:rPr>
              <w:t>Technical Readiness &amp; Assets</w:t>
            </w:r>
          </w:p>
        </w:tc>
        <w:tc>
          <w:tcPr>
            <w:tcW w:w="3613" w:type="dxa"/>
            <w:vAlign w:val="center"/>
          </w:tcPr>
          <w:p w14:paraId="77BC13BD" w14:textId="77777777" w:rsidR="00310FB6" w:rsidRPr="00310FB6" w:rsidRDefault="00310FB6" w:rsidP="002711F1">
            <w:pPr>
              <w:jc w:val="both"/>
              <w:rPr>
                <w:rFonts w:ascii="Arial" w:hAnsi="Arial" w:cs="Arial"/>
                <w:color w:val="000000"/>
              </w:rPr>
            </w:pPr>
            <w:r w:rsidRPr="00310FB6">
              <w:rPr>
                <w:rFonts w:ascii="Arial" w:hAnsi="Arial" w:cs="Arial"/>
                <w:color w:val="000000"/>
              </w:rPr>
              <w:t>Tech readiness (infrastructure)</w:t>
            </w:r>
          </w:p>
        </w:tc>
        <w:tc>
          <w:tcPr>
            <w:tcW w:w="1507" w:type="dxa"/>
            <w:vAlign w:val="center"/>
          </w:tcPr>
          <w:p w14:paraId="054E1FCB" w14:textId="77777777" w:rsidR="00310FB6" w:rsidRPr="00310FB6" w:rsidRDefault="00310FB6" w:rsidP="002711F1">
            <w:pPr>
              <w:jc w:val="right"/>
              <w:rPr>
                <w:rFonts w:ascii="Arial" w:hAnsi="Arial" w:cs="Arial"/>
                <w:color w:val="000000"/>
              </w:rPr>
            </w:pPr>
            <w:r w:rsidRPr="00310FB6">
              <w:rPr>
                <w:rFonts w:ascii="Arial" w:hAnsi="Arial" w:cs="Arial"/>
                <w:color w:val="000000"/>
              </w:rPr>
              <w:t>7</w:t>
            </w:r>
          </w:p>
        </w:tc>
      </w:tr>
      <w:tr w:rsidR="00310FB6" w:rsidRPr="00310FB6" w14:paraId="4619B688" w14:textId="77777777" w:rsidTr="00921A7B">
        <w:trPr>
          <w:trHeight w:val="160"/>
        </w:trPr>
        <w:tc>
          <w:tcPr>
            <w:tcW w:w="2528" w:type="dxa"/>
            <w:vMerge/>
            <w:vAlign w:val="center"/>
          </w:tcPr>
          <w:p w14:paraId="56261250" w14:textId="77777777" w:rsidR="00310FB6" w:rsidRPr="00310FB6" w:rsidRDefault="00310FB6" w:rsidP="002711F1">
            <w:pPr>
              <w:rPr>
                <w:rFonts w:ascii="Arial" w:hAnsi="Arial" w:cs="Arial"/>
                <w:color w:val="000000"/>
              </w:rPr>
            </w:pPr>
          </w:p>
        </w:tc>
        <w:tc>
          <w:tcPr>
            <w:tcW w:w="3613" w:type="dxa"/>
            <w:vAlign w:val="center"/>
          </w:tcPr>
          <w:p w14:paraId="0D99683F" w14:textId="77777777" w:rsidR="00310FB6" w:rsidRPr="00310FB6" w:rsidRDefault="00310FB6" w:rsidP="002711F1">
            <w:pPr>
              <w:jc w:val="both"/>
              <w:rPr>
                <w:rFonts w:ascii="Arial" w:hAnsi="Arial" w:cs="Arial"/>
                <w:color w:val="000000"/>
              </w:rPr>
            </w:pPr>
            <w:r w:rsidRPr="00310FB6">
              <w:rPr>
                <w:rFonts w:ascii="Arial" w:hAnsi="Arial" w:cs="Arial"/>
                <w:color w:val="000000"/>
              </w:rPr>
              <w:t>Human/skill readiness (tech)</w:t>
            </w:r>
          </w:p>
        </w:tc>
        <w:tc>
          <w:tcPr>
            <w:tcW w:w="1507" w:type="dxa"/>
            <w:vAlign w:val="center"/>
          </w:tcPr>
          <w:p w14:paraId="514102EA"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287DBDF1" w14:textId="77777777" w:rsidTr="00921A7B">
        <w:trPr>
          <w:trHeight w:val="160"/>
        </w:trPr>
        <w:tc>
          <w:tcPr>
            <w:tcW w:w="2528" w:type="dxa"/>
            <w:vMerge/>
            <w:vAlign w:val="center"/>
          </w:tcPr>
          <w:p w14:paraId="637C4BFB" w14:textId="77777777" w:rsidR="00310FB6" w:rsidRPr="00310FB6" w:rsidRDefault="00310FB6" w:rsidP="002711F1">
            <w:pPr>
              <w:rPr>
                <w:rFonts w:ascii="Arial" w:hAnsi="Arial" w:cs="Arial"/>
                <w:color w:val="000000"/>
              </w:rPr>
            </w:pPr>
          </w:p>
        </w:tc>
        <w:tc>
          <w:tcPr>
            <w:tcW w:w="3613" w:type="dxa"/>
            <w:vAlign w:val="center"/>
          </w:tcPr>
          <w:p w14:paraId="327BCE73" w14:textId="77777777" w:rsidR="00310FB6" w:rsidRPr="00310FB6" w:rsidRDefault="00310FB6" w:rsidP="002711F1">
            <w:pPr>
              <w:jc w:val="both"/>
              <w:rPr>
                <w:rFonts w:ascii="Arial" w:hAnsi="Arial" w:cs="Arial"/>
                <w:color w:val="000000"/>
              </w:rPr>
            </w:pPr>
            <w:r w:rsidRPr="00310FB6">
              <w:rPr>
                <w:rFonts w:ascii="Arial" w:hAnsi="Arial" w:cs="Arial"/>
                <w:color w:val="000000"/>
              </w:rPr>
              <w:t>Licensing/asset base</w:t>
            </w:r>
          </w:p>
        </w:tc>
        <w:tc>
          <w:tcPr>
            <w:tcW w:w="1507" w:type="dxa"/>
            <w:vAlign w:val="center"/>
          </w:tcPr>
          <w:p w14:paraId="52ABEBB1" w14:textId="77777777" w:rsidR="00310FB6" w:rsidRPr="00310FB6" w:rsidRDefault="00310FB6" w:rsidP="002711F1">
            <w:pPr>
              <w:jc w:val="right"/>
              <w:rPr>
                <w:rFonts w:ascii="Arial" w:hAnsi="Arial" w:cs="Arial"/>
                <w:color w:val="000000"/>
              </w:rPr>
            </w:pPr>
            <w:r w:rsidRPr="00310FB6">
              <w:rPr>
                <w:rFonts w:ascii="Arial" w:hAnsi="Arial" w:cs="Arial"/>
                <w:color w:val="000000"/>
              </w:rPr>
              <w:t>1</w:t>
            </w:r>
          </w:p>
        </w:tc>
      </w:tr>
      <w:tr w:rsidR="00310FB6" w:rsidRPr="00310FB6" w14:paraId="335A410E" w14:textId="77777777" w:rsidTr="00921A7B">
        <w:trPr>
          <w:trHeight w:val="250"/>
        </w:trPr>
        <w:tc>
          <w:tcPr>
            <w:tcW w:w="2528" w:type="dxa"/>
            <w:vMerge w:val="restart"/>
            <w:vAlign w:val="center"/>
          </w:tcPr>
          <w:p w14:paraId="7AEC9BD1" w14:textId="77777777" w:rsidR="00310FB6" w:rsidRPr="00310FB6" w:rsidRDefault="00310FB6" w:rsidP="002711F1">
            <w:pPr>
              <w:rPr>
                <w:rFonts w:ascii="Arial" w:hAnsi="Arial" w:cs="Arial"/>
                <w:color w:val="000000"/>
              </w:rPr>
            </w:pPr>
            <w:r w:rsidRPr="00310FB6">
              <w:rPr>
                <w:rFonts w:ascii="Arial" w:hAnsi="Arial" w:cs="Arial"/>
              </w:rPr>
              <w:t>Trialability &amp; Observability</w:t>
            </w:r>
          </w:p>
        </w:tc>
        <w:tc>
          <w:tcPr>
            <w:tcW w:w="3613" w:type="dxa"/>
            <w:vAlign w:val="center"/>
          </w:tcPr>
          <w:p w14:paraId="622295E3" w14:textId="77777777" w:rsidR="00310FB6" w:rsidRPr="00310FB6" w:rsidRDefault="00310FB6" w:rsidP="002711F1">
            <w:pPr>
              <w:jc w:val="both"/>
              <w:rPr>
                <w:rFonts w:ascii="Arial" w:hAnsi="Arial" w:cs="Arial"/>
                <w:color w:val="000000"/>
              </w:rPr>
            </w:pPr>
            <w:r w:rsidRPr="00310FB6">
              <w:rPr>
                <w:rFonts w:ascii="Arial" w:hAnsi="Arial" w:cs="Arial"/>
                <w:color w:val="000000"/>
              </w:rPr>
              <w:t>Trialability</w:t>
            </w:r>
          </w:p>
        </w:tc>
        <w:tc>
          <w:tcPr>
            <w:tcW w:w="1507" w:type="dxa"/>
            <w:vAlign w:val="center"/>
          </w:tcPr>
          <w:p w14:paraId="63DD1422" w14:textId="77777777" w:rsidR="00310FB6" w:rsidRPr="00310FB6" w:rsidRDefault="00310FB6" w:rsidP="002711F1">
            <w:pPr>
              <w:jc w:val="right"/>
              <w:rPr>
                <w:rFonts w:ascii="Arial" w:hAnsi="Arial" w:cs="Arial"/>
                <w:color w:val="000000"/>
              </w:rPr>
            </w:pPr>
            <w:r w:rsidRPr="00310FB6">
              <w:rPr>
                <w:rFonts w:ascii="Arial" w:hAnsi="Arial" w:cs="Arial"/>
                <w:color w:val="000000"/>
              </w:rPr>
              <w:t>4</w:t>
            </w:r>
          </w:p>
        </w:tc>
      </w:tr>
      <w:tr w:rsidR="00310FB6" w:rsidRPr="00310FB6" w14:paraId="10824036" w14:textId="77777777" w:rsidTr="00921A7B">
        <w:trPr>
          <w:trHeight w:val="250"/>
        </w:trPr>
        <w:tc>
          <w:tcPr>
            <w:tcW w:w="2528" w:type="dxa"/>
            <w:vMerge/>
          </w:tcPr>
          <w:p w14:paraId="287E94B9" w14:textId="77777777" w:rsidR="00310FB6" w:rsidRPr="00310FB6" w:rsidRDefault="00310FB6" w:rsidP="002711F1">
            <w:pPr>
              <w:rPr>
                <w:rFonts w:ascii="Arial" w:hAnsi="Arial" w:cs="Arial"/>
                <w:color w:val="000000"/>
              </w:rPr>
            </w:pPr>
          </w:p>
        </w:tc>
        <w:tc>
          <w:tcPr>
            <w:tcW w:w="3613" w:type="dxa"/>
            <w:vAlign w:val="center"/>
          </w:tcPr>
          <w:p w14:paraId="1B1C407F" w14:textId="77777777" w:rsidR="00310FB6" w:rsidRPr="00310FB6" w:rsidRDefault="00310FB6" w:rsidP="002711F1">
            <w:pPr>
              <w:jc w:val="both"/>
              <w:rPr>
                <w:rFonts w:ascii="Arial" w:hAnsi="Arial" w:cs="Arial"/>
                <w:color w:val="000000"/>
              </w:rPr>
            </w:pPr>
            <w:r w:rsidRPr="00310FB6">
              <w:rPr>
                <w:rFonts w:ascii="Arial" w:hAnsi="Arial" w:cs="Arial"/>
                <w:color w:val="000000"/>
              </w:rPr>
              <w:t>Observability</w:t>
            </w:r>
          </w:p>
        </w:tc>
        <w:tc>
          <w:tcPr>
            <w:tcW w:w="1507" w:type="dxa"/>
            <w:vAlign w:val="center"/>
          </w:tcPr>
          <w:p w14:paraId="25E2FFF6"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6A2D19AA" w14:textId="77777777" w:rsidTr="00921A7B">
        <w:trPr>
          <w:trHeight w:val="250"/>
        </w:trPr>
        <w:tc>
          <w:tcPr>
            <w:tcW w:w="2528" w:type="dxa"/>
          </w:tcPr>
          <w:p w14:paraId="6FE601CD" w14:textId="77777777" w:rsidR="00310FB6" w:rsidRPr="00310FB6" w:rsidRDefault="00310FB6" w:rsidP="002711F1">
            <w:pPr>
              <w:rPr>
                <w:rFonts w:ascii="Arial" w:hAnsi="Arial" w:cs="Arial"/>
                <w:color w:val="000000"/>
              </w:rPr>
            </w:pPr>
            <w:r w:rsidRPr="00310FB6">
              <w:rPr>
                <w:rFonts w:ascii="Arial" w:hAnsi="Arial" w:cs="Arial"/>
                <w:color w:val="000000"/>
              </w:rPr>
              <w:t>Cost &amp; Efficiency</w:t>
            </w:r>
          </w:p>
        </w:tc>
        <w:tc>
          <w:tcPr>
            <w:tcW w:w="3613" w:type="dxa"/>
            <w:vAlign w:val="center"/>
          </w:tcPr>
          <w:p w14:paraId="65DFF96D" w14:textId="77777777" w:rsidR="00310FB6" w:rsidRPr="00310FB6" w:rsidRDefault="00310FB6" w:rsidP="002711F1">
            <w:pPr>
              <w:jc w:val="both"/>
              <w:rPr>
                <w:rFonts w:ascii="Arial" w:hAnsi="Arial" w:cs="Arial"/>
                <w:color w:val="000000"/>
              </w:rPr>
            </w:pPr>
            <w:r w:rsidRPr="00310FB6">
              <w:rPr>
                <w:rFonts w:ascii="Arial" w:hAnsi="Arial" w:cs="Arial"/>
                <w:color w:val="000000"/>
              </w:rPr>
              <w:t>Cost / cost-effectiveness</w:t>
            </w:r>
          </w:p>
        </w:tc>
        <w:tc>
          <w:tcPr>
            <w:tcW w:w="1507" w:type="dxa"/>
            <w:vAlign w:val="center"/>
          </w:tcPr>
          <w:p w14:paraId="5C70B06C" w14:textId="77777777" w:rsidR="00310FB6" w:rsidRPr="00310FB6" w:rsidRDefault="00310FB6" w:rsidP="002711F1">
            <w:pPr>
              <w:jc w:val="right"/>
              <w:rPr>
                <w:rFonts w:ascii="Arial" w:hAnsi="Arial" w:cs="Arial"/>
                <w:color w:val="000000"/>
              </w:rPr>
            </w:pPr>
            <w:r w:rsidRPr="00310FB6">
              <w:rPr>
                <w:rFonts w:ascii="Arial" w:hAnsi="Arial" w:cs="Arial"/>
                <w:color w:val="000000"/>
              </w:rPr>
              <w:t>7</w:t>
            </w:r>
          </w:p>
        </w:tc>
      </w:tr>
      <w:tr w:rsidR="00310FB6" w:rsidRPr="00310FB6" w14:paraId="1E7041CD" w14:textId="77777777" w:rsidTr="00921A7B">
        <w:trPr>
          <w:trHeight w:val="250"/>
        </w:trPr>
        <w:tc>
          <w:tcPr>
            <w:tcW w:w="2528" w:type="dxa"/>
          </w:tcPr>
          <w:p w14:paraId="5F3E8751" w14:textId="77777777" w:rsidR="00310FB6" w:rsidRPr="00310FB6" w:rsidRDefault="00310FB6" w:rsidP="002711F1">
            <w:pPr>
              <w:rPr>
                <w:rFonts w:ascii="Arial" w:hAnsi="Arial" w:cs="Arial"/>
                <w:color w:val="000000"/>
              </w:rPr>
            </w:pPr>
            <w:r w:rsidRPr="00310FB6">
              <w:rPr>
                <w:rFonts w:ascii="Arial" w:hAnsi="Arial" w:cs="Arial"/>
                <w:color w:val="000000"/>
              </w:rPr>
              <w:t>Scalability &amp; Flexibility</w:t>
            </w:r>
          </w:p>
        </w:tc>
        <w:tc>
          <w:tcPr>
            <w:tcW w:w="3613" w:type="dxa"/>
            <w:vAlign w:val="center"/>
          </w:tcPr>
          <w:p w14:paraId="7CDA123A" w14:textId="77777777" w:rsidR="00310FB6" w:rsidRPr="00310FB6" w:rsidRDefault="00310FB6" w:rsidP="002711F1">
            <w:pPr>
              <w:jc w:val="both"/>
              <w:rPr>
                <w:rFonts w:ascii="Arial" w:hAnsi="Arial" w:cs="Arial"/>
                <w:color w:val="000000"/>
              </w:rPr>
            </w:pPr>
            <w:r w:rsidRPr="00310FB6">
              <w:rPr>
                <w:rFonts w:ascii="Arial" w:hAnsi="Arial" w:cs="Arial"/>
                <w:color w:val="000000"/>
              </w:rPr>
              <w:t>Scalability/flexibility</w:t>
            </w:r>
          </w:p>
        </w:tc>
        <w:tc>
          <w:tcPr>
            <w:tcW w:w="1507" w:type="dxa"/>
            <w:vAlign w:val="center"/>
          </w:tcPr>
          <w:p w14:paraId="54FA392C"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7791C2CB" w14:textId="77777777" w:rsidTr="00921A7B">
        <w:trPr>
          <w:trHeight w:val="250"/>
        </w:trPr>
        <w:tc>
          <w:tcPr>
            <w:tcW w:w="2528" w:type="dxa"/>
            <w:vMerge w:val="restart"/>
          </w:tcPr>
          <w:p w14:paraId="53990FC4" w14:textId="77777777" w:rsidR="00310FB6" w:rsidRPr="00310FB6" w:rsidRDefault="00310FB6" w:rsidP="002711F1">
            <w:pPr>
              <w:rPr>
                <w:rFonts w:ascii="Arial" w:hAnsi="Arial" w:cs="Arial"/>
                <w:color w:val="000000"/>
              </w:rPr>
            </w:pPr>
            <w:r w:rsidRPr="00310FB6">
              <w:rPr>
                <w:rFonts w:ascii="Arial" w:hAnsi="Arial" w:cs="Arial"/>
                <w:color w:val="000000"/>
              </w:rPr>
              <w:t>Task/AI Capability Fit</w:t>
            </w:r>
          </w:p>
        </w:tc>
        <w:tc>
          <w:tcPr>
            <w:tcW w:w="3613" w:type="dxa"/>
            <w:vAlign w:val="center"/>
          </w:tcPr>
          <w:p w14:paraId="31FEB82F" w14:textId="77777777" w:rsidR="00310FB6" w:rsidRPr="00310FB6" w:rsidRDefault="00310FB6" w:rsidP="002711F1">
            <w:pPr>
              <w:jc w:val="both"/>
              <w:rPr>
                <w:rFonts w:ascii="Arial" w:hAnsi="Arial" w:cs="Arial"/>
                <w:color w:val="000000"/>
              </w:rPr>
            </w:pPr>
            <w:r w:rsidRPr="00310FB6">
              <w:rPr>
                <w:rFonts w:ascii="Arial" w:hAnsi="Arial" w:cs="Arial"/>
                <w:color w:val="000000"/>
              </w:rPr>
              <w:t>Task-technology fit</w:t>
            </w:r>
          </w:p>
        </w:tc>
        <w:tc>
          <w:tcPr>
            <w:tcW w:w="1507" w:type="dxa"/>
            <w:vAlign w:val="center"/>
          </w:tcPr>
          <w:p w14:paraId="13EC9EB8" w14:textId="77777777" w:rsidR="00310FB6" w:rsidRPr="00310FB6" w:rsidRDefault="00310FB6" w:rsidP="002711F1">
            <w:pPr>
              <w:jc w:val="right"/>
              <w:rPr>
                <w:rFonts w:ascii="Arial" w:hAnsi="Arial" w:cs="Arial"/>
                <w:color w:val="000000"/>
              </w:rPr>
            </w:pPr>
            <w:r w:rsidRPr="00310FB6">
              <w:rPr>
                <w:rFonts w:ascii="Arial" w:hAnsi="Arial" w:cs="Arial"/>
                <w:color w:val="000000"/>
              </w:rPr>
              <w:t>2</w:t>
            </w:r>
          </w:p>
        </w:tc>
      </w:tr>
      <w:tr w:rsidR="00310FB6" w:rsidRPr="00310FB6" w14:paraId="5EE0321F" w14:textId="77777777" w:rsidTr="00921A7B">
        <w:trPr>
          <w:trHeight w:val="250"/>
        </w:trPr>
        <w:tc>
          <w:tcPr>
            <w:tcW w:w="2528" w:type="dxa"/>
            <w:vMerge/>
          </w:tcPr>
          <w:p w14:paraId="2DEAF0AA" w14:textId="77777777" w:rsidR="00310FB6" w:rsidRPr="00310FB6" w:rsidRDefault="00310FB6" w:rsidP="002711F1">
            <w:pPr>
              <w:jc w:val="both"/>
              <w:rPr>
                <w:rFonts w:ascii="Arial" w:hAnsi="Arial" w:cs="Arial"/>
                <w:color w:val="000000"/>
              </w:rPr>
            </w:pPr>
          </w:p>
        </w:tc>
        <w:tc>
          <w:tcPr>
            <w:tcW w:w="3613" w:type="dxa"/>
            <w:vAlign w:val="center"/>
          </w:tcPr>
          <w:p w14:paraId="291F7A9B" w14:textId="77777777" w:rsidR="00310FB6" w:rsidRPr="00310FB6" w:rsidRDefault="00310FB6" w:rsidP="002711F1">
            <w:pPr>
              <w:jc w:val="both"/>
              <w:rPr>
                <w:rFonts w:ascii="Arial" w:hAnsi="Arial" w:cs="Arial"/>
                <w:color w:val="000000"/>
              </w:rPr>
            </w:pPr>
            <w:r w:rsidRPr="00310FB6">
              <w:rPr>
                <w:rFonts w:ascii="Arial" w:hAnsi="Arial" w:cs="Arial"/>
                <w:color w:val="000000"/>
              </w:rPr>
              <w:t>AI tool capability limits</w:t>
            </w:r>
          </w:p>
        </w:tc>
        <w:tc>
          <w:tcPr>
            <w:tcW w:w="1507" w:type="dxa"/>
            <w:vAlign w:val="center"/>
          </w:tcPr>
          <w:p w14:paraId="37AF65C6" w14:textId="77777777" w:rsidR="00310FB6" w:rsidRPr="00310FB6" w:rsidRDefault="00310FB6" w:rsidP="002711F1">
            <w:pPr>
              <w:keepNext/>
              <w:jc w:val="right"/>
              <w:rPr>
                <w:rFonts w:ascii="Arial" w:hAnsi="Arial" w:cs="Arial"/>
                <w:color w:val="000000"/>
              </w:rPr>
            </w:pPr>
            <w:r w:rsidRPr="00310FB6">
              <w:rPr>
                <w:rFonts w:ascii="Arial" w:hAnsi="Arial" w:cs="Arial"/>
                <w:color w:val="000000"/>
              </w:rPr>
              <w:t>2</w:t>
            </w:r>
          </w:p>
        </w:tc>
      </w:tr>
    </w:tbl>
    <w:p w14:paraId="0486B764" w14:textId="77777777" w:rsidR="003F216A" w:rsidRDefault="003F216A" w:rsidP="00441B6F">
      <w:pPr>
        <w:pStyle w:val="Body"/>
        <w:spacing w:after="0"/>
        <w:rPr>
          <w:rFonts w:ascii="Arial" w:hAnsi="Arial" w:cs="Arial"/>
        </w:rPr>
      </w:pPr>
    </w:p>
    <w:p w14:paraId="0CEF584A" w14:textId="32DAE34B" w:rsidR="003F216A" w:rsidRDefault="003F216A"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F216A">
        <w:rPr>
          <w:rFonts w:ascii="Arial" w:hAnsi="Arial" w:cs="Arial"/>
          <w:b/>
          <w:sz w:val="22"/>
        </w:rPr>
        <w:t>Organizational Factors</w:t>
      </w:r>
    </w:p>
    <w:p w14:paraId="1A3418C1" w14:textId="77777777" w:rsidR="003F216A" w:rsidRDefault="003F216A" w:rsidP="00441B6F">
      <w:pPr>
        <w:pStyle w:val="Body"/>
        <w:spacing w:after="0"/>
        <w:rPr>
          <w:rFonts w:ascii="Arial" w:hAnsi="Arial" w:cs="Arial"/>
        </w:rPr>
      </w:pPr>
    </w:p>
    <w:p w14:paraId="0DBCBDFE" w14:textId="3DB5EBA2" w:rsidR="003F216A" w:rsidRDefault="003F216A" w:rsidP="00441B6F">
      <w:pPr>
        <w:pStyle w:val="Body"/>
        <w:spacing w:after="0"/>
        <w:rPr>
          <w:rFonts w:ascii="Arial" w:hAnsi="Arial" w:cs="Arial"/>
        </w:rPr>
      </w:pPr>
      <w:r w:rsidRPr="003F216A">
        <w:rPr>
          <w:rFonts w:ascii="Arial" w:hAnsi="Arial" w:cs="Arial"/>
        </w:rPr>
        <w:t xml:space="preserve">The organizational dimension yielded 34 factors, consolidated into nine categories: Leadership &amp; Support, Readiness &amp; Innovation, Human Capital &amp; Training, IT Capability &amp; </w:t>
      </w:r>
      <w:r w:rsidRPr="003F216A">
        <w:rPr>
          <w:rFonts w:ascii="Arial" w:hAnsi="Arial" w:cs="Arial"/>
        </w:rPr>
        <w:lastRenderedPageBreak/>
        <w:t>Infrastructure, Financial Resources, Structure &amp; Scale, Organizational Structure, Culture &amp; Knowledge Sharing, and Policies &amp; Governance. Top management support was the most frequently cited organizational determinant (16 studies), followed by organizational readiness (10) and human capital and training (8). Cultural and governance elements appeared less consistently but remain important contextual enablers</w:t>
      </w:r>
      <w:r>
        <w:rPr>
          <w:rFonts w:ascii="Arial" w:hAnsi="Arial" w:cs="Arial"/>
        </w:rPr>
        <w:t>.</w:t>
      </w:r>
    </w:p>
    <w:p w14:paraId="158B95E5" w14:textId="77777777" w:rsidR="00310FB6" w:rsidRDefault="00310FB6" w:rsidP="00441B6F">
      <w:pPr>
        <w:pStyle w:val="Body"/>
        <w:spacing w:after="0"/>
        <w:rPr>
          <w:rFonts w:ascii="Arial" w:hAnsi="Arial" w:cs="Arial"/>
        </w:rPr>
      </w:pPr>
    </w:p>
    <w:p w14:paraId="6629D938" w14:textId="450171D4" w:rsidR="00921A7B" w:rsidRPr="00921A7B" w:rsidRDefault="00921A7B" w:rsidP="00921A7B">
      <w:pPr>
        <w:pStyle w:val="Caption"/>
        <w:keepNext/>
        <w:rPr>
          <w:rFonts w:ascii="Arial" w:hAnsi="Arial" w:cs="Arial"/>
          <w:b/>
          <w:bCs/>
          <w:i w:val="0"/>
          <w:iCs w:val="0"/>
          <w:color w:val="000000" w:themeColor="text1"/>
          <w:sz w:val="20"/>
          <w:szCs w:val="20"/>
        </w:rPr>
      </w:pPr>
      <w:r w:rsidRPr="00921A7B">
        <w:rPr>
          <w:rFonts w:ascii="Arial" w:hAnsi="Arial" w:cs="Arial"/>
          <w:b/>
          <w:bCs/>
          <w:i w:val="0"/>
          <w:iCs w:val="0"/>
          <w:color w:val="000000" w:themeColor="text1"/>
          <w:sz w:val="20"/>
          <w:szCs w:val="20"/>
        </w:rPr>
        <w:t xml:space="preserve">Table </w:t>
      </w:r>
      <w:r w:rsidRPr="00921A7B">
        <w:rPr>
          <w:rFonts w:ascii="Arial" w:hAnsi="Arial" w:cs="Arial"/>
          <w:b/>
          <w:bCs/>
          <w:i w:val="0"/>
          <w:iCs w:val="0"/>
          <w:color w:val="000000" w:themeColor="text1"/>
          <w:sz w:val="20"/>
          <w:szCs w:val="20"/>
        </w:rPr>
        <w:fldChar w:fldCharType="begin"/>
      </w:r>
      <w:r w:rsidRPr="00921A7B">
        <w:rPr>
          <w:rFonts w:ascii="Arial" w:hAnsi="Arial" w:cs="Arial"/>
          <w:b/>
          <w:bCs/>
          <w:i w:val="0"/>
          <w:iCs w:val="0"/>
          <w:color w:val="000000" w:themeColor="text1"/>
          <w:sz w:val="20"/>
          <w:szCs w:val="20"/>
        </w:rPr>
        <w:instrText xml:space="preserve"> SEQ Table \* ARABIC </w:instrText>
      </w:r>
      <w:r w:rsidRPr="00921A7B">
        <w:rPr>
          <w:rFonts w:ascii="Arial" w:hAnsi="Arial" w:cs="Arial"/>
          <w:b/>
          <w:bCs/>
          <w:i w:val="0"/>
          <w:iCs w:val="0"/>
          <w:color w:val="000000" w:themeColor="text1"/>
          <w:sz w:val="20"/>
          <w:szCs w:val="20"/>
        </w:rPr>
        <w:fldChar w:fldCharType="separate"/>
      </w:r>
      <w:r w:rsidR="00E03BA4">
        <w:rPr>
          <w:rFonts w:ascii="Arial" w:hAnsi="Arial" w:cs="Arial"/>
          <w:b/>
          <w:bCs/>
          <w:i w:val="0"/>
          <w:iCs w:val="0"/>
          <w:noProof/>
          <w:color w:val="000000" w:themeColor="text1"/>
          <w:sz w:val="20"/>
          <w:szCs w:val="20"/>
        </w:rPr>
        <w:t>3</w:t>
      </w:r>
      <w:r w:rsidRPr="00921A7B">
        <w:rPr>
          <w:rFonts w:ascii="Arial" w:hAnsi="Arial" w:cs="Arial"/>
          <w:b/>
          <w:bCs/>
          <w:i w:val="0"/>
          <w:iCs w:val="0"/>
          <w:color w:val="000000" w:themeColor="text1"/>
          <w:sz w:val="20"/>
          <w:szCs w:val="20"/>
        </w:rPr>
        <w:fldChar w:fldCharType="end"/>
      </w:r>
      <w:r w:rsidRPr="00921A7B">
        <w:rPr>
          <w:rFonts w:ascii="Arial" w:hAnsi="Arial" w:cs="Arial"/>
          <w:b/>
          <w:bCs/>
          <w:i w:val="0"/>
          <w:iCs w:val="0"/>
          <w:color w:val="000000" w:themeColor="text1"/>
          <w:sz w:val="20"/>
          <w:szCs w:val="20"/>
        </w:rPr>
        <w:t>. Organizational Factors</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4068"/>
        <w:gridCol w:w="1657"/>
      </w:tblGrid>
      <w:tr w:rsidR="00310FB6" w:rsidRPr="0076309C" w14:paraId="1FDD2FE0" w14:textId="77777777" w:rsidTr="00921A7B">
        <w:trPr>
          <w:trHeight w:val="331"/>
        </w:trPr>
        <w:tc>
          <w:tcPr>
            <w:tcW w:w="2260" w:type="dxa"/>
            <w:vAlign w:val="center"/>
          </w:tcPr>
          <w:p w14:paraId="4218964F" w14:textId="77777777" w:rsidR="00310FB6" w:rsidRPr="0076309C" w:rsidRDefault="00310FB6" w:rsidP="002711F1">
            <w:pPr>
              <w:rPr>
                <w:rFonts w:ascii="Arial" w:hAnsi="Arial" w:cs="Arial"/>
                <w:b/>
                <w:bCs/>
                <w:color w:val="000000"/>
              </w:rPr>
            </w:pPr>
            <w:r w:rsidRPr="0076309C">
              <w:rPr>
                <w:rFonts w:ascii="Arial" w:hAnsi="Arial" w:cs="Arial"/>
                <w:b/>
                <w:bCs/>
                <w:color w:val="000000"/>
              </w:rPr>
              <w:t>Category</w:t>
            </w:r>
          </w:p>
        </w:tc>
        <w:tc>
          <w:tcPr>
            <w:tcW w:w="4068" w:type="dxa"/>
            <w:vAlign w:val="center"/>
          </w:tcPr>
          <w:p w14:paraId="444B3BCD" w14:textId="77777777" w:rsidR="00310FB6" w:rsidRPr="0076309C" w:rsidRDefault="00310FB6" w:rsidP="002711F1">
            <w:pPr>
              <w:rPr>
                <w:rFonts w:ascii="Arial" w:hAnsi="Arial" w:cs="Arial"/>
                <w:b/>
                <w:bCs/>
                <w:color w:val="000000"/>
              </w:rPr>
            </w:pPr>
            <w:r w:rsidRPr="0076309C">
              <w:rPr>
                <w:rFonts w:ascii="Arial" w:hAnsi="Arial" w:cs="Arial"/>
                <w:b/>
                <w:bCs/>
                <w:color w:val="000000"/>
              </w:rPr>
              <w:t>Factors</w:t>
            </w:r>
          </w:p>
        </w:tc>
        <w:tc>
          <w:tcPr>
            <w:tcW w:w="1657" w:type="dxa"/>
            <w:vAlign w:val="center"/>
          </w:tcPr>
          <w:p w14:paraId="1541FEEB" w14:textId="77777777" w:rsidR="00310FB6" w:rsidRPr="0076309C" w:rsidRDefault="00310FB6" w:rsidP="002711F1">
            <w:pPr>
              <w:rPr>
                <w:rFonts w:ascii="Arial" w:hAnsi="Arial" w:cs="Arial"/>
                <w:b/>
                <w:bCs/>
                <w:color w:val="000000"/>
              </w:rPr>
            </w:pPr>
            <w:r w:rsidRPr="0076309C">
              <w:rPr>
                <w:rFonts w:ascii="Arial" w:hAnsi="Arial" w:cs="Arial"/>
                <w:b/>
                <w:bCs/>
                <w:color w:val="000000"/>
              </w:rPr>
              <w:t>Frequency</w:t>
            </w:r>
          </w:p>
        </w:tc>
      </w:tr>
      <w:tr w:rsidR="00310FB6" w:rsidRPr="0076309C" w14:paraId="2C058F10" w14:textId="77777777" w:rsidTr="00921A7B">
        <w:trPr>
          <w:trHeight w:val="313"/>
        </w:trPr>
        <w:tc>
          <w:tcPr>
            <w:tcW w:w="2260" w:type="dxa"/>
            <w:vMerge w:val="restart"/>
            <w:vAlign w:val="center"/>
          </w:tcPr>
          <w:p w14:paraId="03826830" w14:textId="77777777" w:rsidR="00310FB6" w:rsidRPr="0076309C" w:rsidRDefault="00310FB6" w:rsidP="002711F1">
            <w:pPr>
              <w:rPr>
                <w:rFonts w:ascii="Arial" w:hAnsi="Arial" w:cs="Arial"/>
                <w:color w:val="000000"/>
              </w:rPr>
            </w:pPr>
            <w:r w:rsidRPr="0076309C">
              <w:rPr>
                <w:rFonts w:ascii="Arial" w:hAnsi="Arial" w:cs="Arial"/>
              </w:rPr>
              <w:t>Leadership &amp; Support</w:t>
            </w:r>
          </w:p>
        </w:tc>
        <w:tc>
          <w:tcPr>
            <w:tcW w:w="4068" w:type="dxa"/>
            <w:vAlign w:val="center"/>
          </w:tcPr>
          <w:p w14:paraId="3CE3BBAD" w14:textId="77777777" w:rsidR="00310FB6" w:rsidRPr="0076309C" w:rsidRDefault="00310FB6" w:rsidP="002711F1">
            <w:pPr>
              <w:rPr>
                <w:rFonts w:ascii="Arial" w:hAnsi="Arial" w:cs="Arial"/>
                <w:color w:val="000000"/>
              </w:rPr>
            </w:pPr>
            <w:r w:rsidRPr="0076309C">
              <w:rPr>
                <w:rFonts w:ascii="Arial" w:hAnsi="Arial" w:cs="Arial"/>
                <w:color w:val="000000"/>
              </w:rPr>
              <w:t>Top Management Support</w:t>
            </w:r>
          </w:p>
        </w:tc>
        <w:tc>
          <w:tcPr>
            <w:tcW w:w="1657" w:type="dxa"/>
            <w:vAlign w:val="center"/>
          </w:tcPr>
          <w:p w14:paraId="07A3A535" w14:textId="77777777" w:rsidR="00310FB6" w:rsidRPr="0076309C" w:rsidRDefault="00310FB6" w:rsidP="002711F1">
            <w:pPr>
              <w:jc w:val="right"/>
              <w:rPr>
                <w:rFonts w:ascii="Arial" w:hAnsi="Arial" w:cs="Arial"/>
                <w:color w:val="000000"/>
              </w:rPr>
            </w:pPr>
            <w:r w:rsidRPr="0076309C">
              <w:rPr>
                <w:rFonts w:ascii="Arial" w:hAnsi="Arial" w:cs="Arial"/>
                <w:color w:val="000000"/>
              </w:rPr>
              <w:t>16</w:t>
            </w:r>
          </w:p>
        </w:tc>
      </w:tr>
      <w:tr w:rsidR="00310FB6" w:rsidRPr="0076309C" w14:paraId="1F16E987" w14:textId="77777777" w:rsidTr="00921A7B">
        <w:trPr>
          <w:trHeight w:val="223"/>
        </w:trPr>
        <w:tc>
          <w:tcPr>
            <w:tcW w:w="2260" w:type="dxa"/>
            <w:vMerge/>
            <w:vAlign w:val="center"/>
          </w:tcPr>
          <w:p w14:paraId="6C4E241D" w14:textId="77777777" w:rsidR="00310FB6" w:rsidRPr="0076309C" w:rsidRDefault="00310FB6" w:rsidP="002711F1">
            <w:pPr>
              <w:rPr>
                <w:rFonts w:ascii="Arial" w:hAnsi="Arial" w:cs="Arial"/>
                <w:color w:val="000000"/>
              </w:rPr>
            </w:pPr>
          </w:p>
        </w:tc>
        <w:tc>
          <w:tcPr>
            <w:tcW w:w="4068" w:type="dxa"/>
            <w:vAlign w:val="center"/>
          </w:tcPr>
          <w:p w14:paraId="0CCC5B6F" w14:textId="77777777" w:rsidR="00310FB6" w:rsidRPr="0076309C" w:rsidRDefault="00310FB6" w:rsidP="002711F1">
            <w:pPr>
              <w:rPr>
                <w:rFonts w:ascii="Arial" w:hAnsi="Arial" w:cs="Arial"/>
                <w:color w:val="000000"/>
              </w:rPr>
            </w:pPr>
            <w:r w:rsidRPr="0076309C">
              <w:rPr>
                <w:rFonts w:ascii="Arial" w:hAnsi="Arial" w:cs="Arial"/>
                <w:color w:val="000000"/>
              </w:rPr>
              <w:t>Leadership attitude</w:t>
            </w:r>
          </w:p>
        </w:tc>
        <w:tc>
          <w:tcPr>
            <w:tcW w:w="1657" w:type="dxa"/>
            <w:vAlign w:val="center"/>
          </w:tcPr>
          <w:p w14:paraId="16DC5E36" w14:textId="77777777" w:rsidR="00310FB6" w:rsidRPr="0076309C" w:rsidRDefault="00310FB6" w:rsidP="002711F1">
            <w:pPr>
              <w:jc w:val="right"/>
              <w:rPr>
                <w:rFonts w:ascii="Arial" w:hAnsi="Arial" w:cs="Arial"/>
                <w:color w:val="000000"/>
              </w:rPr>
            </w:pPr>
            <w:r w:rsidRPr="0076309C">
              <w:rPr>
                <w:rFonts w:ascii="Arial" w:hAnsi="Arial" w:cs="Arial"/>
                <w:color w:val="000000"/>
              </w:rPr>
              <w:t>3</w:t>
            </w:r>
          </w:p>
        </w:tc>
      </w:tr>
      <w:tr w:rsidR="00310FB6" w:rsidRPr="0076309C" w14:paraId="0E9AD307" w14:textId="77777777" w:rsidTr="00921A7B">
        <w:trPr>
          <w:trHeight w:val="223"/>
        </w:trPr>
        <w:tc>
          <w:tcPr>
            <w:tcW w:w="2260" w:type="dxa"/>
            <w:vMerge/>
            <w:vAlign w:val="center"/>
          </w:tcPr>
          <w:p w14:paraId="4D09A474" w14:textId="77777777" w:rsidR="00310FB6" w:rsidRPr="0076309C" w:rsidRDefault="00310FB6" w:rsidP="002711F1">
            <w:pPr>
              <w:rPr>
                <w:rFonts w:ascii="Arial" w:hAnsi="Arial" w:cs="Arial"/>
                <w:color w:val="000000"/>
              </w:rPr>
            </w:pPr>
          </w:p>
        </w:tc>
        <w:tc>
          <w:tcPr>
            <w:tcW w:w="4068" w:type="dxa"/>
            <w:vAlign w:val="center"/>
          </w:tcPr>
          <w:p w14:paraId="05F6C9C4" w14:textId="77777777" w:rsidR="00310FB6" w:rsidRPr="0076309C" w:rsidRDefault="00310FB6" w:rsidP="002711F1">
            <w:pPr>
              <w:rPr>
                <w:rFonts w:ascii="Arial" w:hAnsi="Arial" w:cs="Arial"/>
                <w:color w:val="000000"/>
              </w:rPr>
            </w:pPr>
            <w:r w:rsidRPr="0076309C">
              <w:rPr>
                <w:rFonts w:ascii="Arial" w:hAnsi="Arial" w:cs="Arial"/>
                <w:color w:val="000000"/>
              </w:rPr>
              <w:t>Leadership &amp; knowledge</w:t>
            </w:r>
          </w:p>
        </w:tc>
        <w:tc>
          <w:tcPr>
            <w:tcW w:w="1657" w:type="dxa"/>
            <w:vAlign w:val="center"/>
          </w:tcPr>
          <w:p w14:paraId="67A70C96" w14:textId="77777777" w:rsidR="00310FB6" w:rsidRPr="0076309C" w:rsidRDefault="00310FB6" w:rsidP="002711F1">
            <w:pPr>
              <w:jc w:val="right"/>
              <w:rPr>
                <w:rFonts w:ascii="Arial" w:hAnsi="Arial" w:cs="Arial"/>
                <w:color w:val="000000"/>
              </w:rPr>
            </w:pPr>
            <w:r w:rsidRPr="0076309C">
              <w:rPr>
                <w:rFonts w:ascii="Arial" w:hAnsi="Arial" w:cs="Arial"/>
                <w:color w:val="000000"/>
              </w:rPr>
              <w:t>2</w:t>
            </w:r>
          </w:p>
        </w:tc>
      </w:tr>
      <w:tr w:rsidR="00310FB6" w:rsidRPr="0076309C" w14:paraId="7395FAEF" w14:textId="77777777" w:rsidTr="00921A7B">
        <w:trPr>
          <w:trHeight w:val="367"/>
        </w:trPr>
        <w:tc>
          <w:tcPr>
            <w:tcW w:w="2260" w:type="dxa"/>
            <w:vMerge w:val="restart"/>
            <w:vAlign w:val="center"/>
          </w:tcPr>
          <w:p w14:paraId="649E62AC" w14:textId="77777777" w:rsidR="00310FB6" w:rsidRPr="0076309C" w:rsidRDefault="00310FB6" w:rsidP="002711F1">
            <w:pPr>
              <w:rPr>
                <w:rFonts w:ascii="Arial" w:hAnsi="Arial" w:cs="Arial"/>
                <w:color w:val="000000"/>
              </w:rPr>
            </w:pPr>
            <w:r w:rsidRPr="0076309C">
              <w:rPr>
                <w:rFonts w:ascii="Arial" w:hAnsi="Arial" w:cs="Arial"/>
              </w:rPr>
              <w:t>Organizational Readiness &amp; Innovation</w:t>
            </w:r>
          </w:p>
        </w:tc>
        <w:tc>
          <w:tcPr>
            <w:tcW w:w="4068" w:type="dxa"/>
            <w:vAlign w:val="center"/>
          </w:tcPr>
          <w:p w14:paraId="2B3C43FE" w14:textId="77777777" w:rsidR="00310FB6" w:rsidRPr="0076309C" w:rsidRDefault="00310FB6" w:rsidP="002711F1">
            <w:pPr>
              <w:rPr>
                <w:rFonts w:ascii="Arial" w:hAnsi="Arial" w:cs="Arial"/>
                <w:color w:val="000000"/>
              </w:rPr>
            </w:pPr>
            <w:r w:rsidRPr="0076309C">
              <w:rPr>
                <w:rFonts w:ascii="Arial" w:hAnsi="Arial" w:cs="Arial"/>
                <w:color w:val="000000"/>
              </w:rPr>
              <w:t>Organizational Readiness</w:t>
            </w:r>
          </w:p>
        </w:tc>
        <w:tc>
          <w:tcPr>
            <w:tcW w:w="1657" w:type="dxa"/>
            <w:vAlign w:val="center"/>
          </w:tcPr>
          <w:p w14:paraId="42092324" w14:textId="77777777" w:rsidR="00310FB6" w:rsidRPr="0076309C" w:rsidRDefault="00310FB6" w:rsidP="002711F1">
            <w:pPr>
              <w:jc w:val="right"/>
              <w:rPr>
                <w:rFonts w:ascii="Arial" w:hAnsi="Arial" w:cs="Arial"/>
                <w:color w:val="000000"/>
              </w:rPr>
            </w:pPr>
            <w:r w:rsidRPr="0076309C">
              <w:rPr>
                <w:rFonts w:ascii="Arial" w:hAnsi="Arial" w:cs="Arial"/>
                <w:color w:val="000000"/>
              </w:rPr>
              <w:t>10</w:t>
            </w:r>
          </w:p>
        </w:tc>
      </w:tr>
      <w:tr w:rsidR="00310FB6" w:rsidRPr="0076309C" w14:paraId="38F2682B" w14:textId="77777777" w:rsidTr="00921A7B">
        <w:trPr>
          <w:trHeight w:val="304"/>
        </w:trPr>
        <w:tc>
          <w:tcPr>
            <w:tcW w:w="2260" w:type="dxa"/>
            <w:vMerge/>
            <w:vAlign w:val="center"/>
          </w:tcPr>
          <w:p w14:paraId="5BC8A160" w14:textId="77777777" w:rsidR="00310FB6" w:rsidRPr="0076309C" w:rsidRDefault="00310FB6" w:rsidP="002711F1">
            <w:pPr>
              <w:rPr>
                <w:rFonts w:ascii="Arial" w:hAnsi="Arial" w:cs="Arial"/>
                <w:color w:val="000000"/>
              </w:rPr>
            </w:pPr>
          </w:p>
        </w:tc>
        <w:tc>
          <w:tcPr>
            <w:tcW w:w="4068" w:type="dxa"/>
            <w:vAlign w:val="center"/>
          </w:tcPr>
          <w:p w14:paraId="3AE3D823" w14:textId="77777777" w:rsidR="00310FB6" w:rsidRPr="0076309C" w:rsidRDefault="00310FB6" w:rsidP="002711F1">
            <w:pPr>
              <w:rPr>
                <w:rFonts w:ascii="Arial" w:hAnsi="Arial" w:cs="Arial"/>
                <w:color w:val="000000"/>
              </w:rPr>
            </w:pPr>
            <w:r w:rsidRPr="0076309C">
              <w:rPr>
                <w:rFonts w:ascii="Arial" w:hAnsi="Arial" w:cs="Arial"/>
                <w:color w:val="000000"/>
              </w:rPr>
              <w:t>Innovation orientation</w:t>
            </w:r>
          </w:p>
        </w:tc>
        <w:tc>
          <w:tcPr>
            <w:tcW w:w="1657" w:type="dxa"/>
            <w:vAlign w:val="center"/>
          </w:tcPr>
          <w:p w14:paraId="51E77EA5" w14:textId="77777777" w:rsidR="00310FB6" w:rsidRPr="0076309C" w:rsidRDefault="00310FB6" w:rsidP="002711F1">
            <w:pPr>
              <w:jc w:val="right"/>
              <w:rPr>
                <w:rFonts w:ascii="Arial" w:hAnsi="Arial" w:cs="Arial"/>
                <w:color w:val="000000"/>
              </w:rPr>
            </w:pPr>
            <w:r w:rsidRPr="0076309C">
              <w:rPr>
                <w:rFonts w:ascii="Arial" w:hAnsi="Arial" w:cs="Arial"/>
                <w:color w:val="000000"/>
              </w:rPr>
              <w:t>1</w:t>
            </w:r>
          </w:p>
        </w:tc>
      </w:tr>
      <w:tr w:rsidR="00310FB6" w:rsidRPr="0076309C" w14:paraId="75F099D3" w14:textId="77777777" w:rsidTr="00921A7B">
        <w:trPr>
          <w:trHeight w:val="295"/>
        </w:trPr>
        <w:tc>
          <w:tcPr>
            <w:tcW w:w="2260" w:type="dxa"/>
            <w:vMerge w:val="restart"/>
            <w:vAlign w:val="center"/>
          </w:tcPr>
          <w:p w14:paraId="4693067F" w14:textId="77777777" w:rsidR="00310FB6" w:rsidRPr="0076309C" w:rsidRDefault="00310FB6" w:rsidP="002711F1">
            <w:pPr>
              <w:rPr>
                <w:rFonts w:ascii="Arial" w:hAnsi="Arial" w:cs="Arial"/>
                <w:color w:val="000000"/>
              </w:rPr>
            </w:pPr>
            <w:r w:rsidRPr="0076309C">
              <w:rPr>
                <w:rFonts w:ascii="Arial" w:hAnsi="Arial" w:cs="Arial"/>
              </w:rPr>
              <w:t>Human Capital &amp; Training</w:t>
            </w:r>
          </w:p>
        </w:tc>
        <w:tc>
          <w:tcPr>
            <w:tcW w:w="4068" w:type="dxa"/>
            <w:vAlign w:val="center"/>
          </w:tcPr>
          <w:p w14:paraId="116D1DEA" w14:textId="77777777" w:rsidR="00310FB6" w:rsidRPr="0076309C" w:rsidRDefault="00310FB6" w:rsidP="002711F1">
            <w:pPr>
              <w:rPr>
                <w:rFonts w:ascii="Arial" w:hAnsi="Arial" w:cs="Arial"/>
                <w:color w:val="000000"/>
              </w:rPr>
            </w:pPr>
            <w:r w:rsidRPr="0076309C">
              <w:rPr>
                <w:rFonts w:ascii="Arial" w:hAnsi="Arial" w:cs="Arial"/>
                <w:color w:val="000000"/>
              </w:rPr>
              <w:t>Human capital and training</w:t>
            </w:r>
          </w:p>
        </w:tc>
        <w:tc>
          <w:tcPr>
            <w:tcW w:w="1657" w:type="dxa"/>
            <w:vAlign w:val="center"/>
          </w:tcPr>
          <w:p w14:paraId="22216371" w14:textId="77777777" w:rsidR="00310FB6" w:rsidRPr="0076309C" w:rsidRDefault="00310FB6" w:rsidP="002711F1">
            <w:pPr>
              <w:jc w:val="right"/>
              <w:rPr>
                <w:rFonts w:ascii="Arial" w:hAnsi="Arial" w:cs="Arial"/>
                <w:color w:val="000000"/>
              </w:rPr>
            </w:pPr>
            <w:r w:rsidRPr="0076309C">
              <w:rPr>
                <w:rFonts w:ascii="Arial" w:hAnsi="Arial" w:cs="Arial"/>
                <w:color w:val="000000"/>
              </w:rPr>
              <w:t>8</w:t>
            </w:r>
          </w:p>
        </w:tc>
      </w:tr>
      <w:tr w:rsidR="00310FB6" w:rsidRPr="0076309C" w14:paraId="4AF72852" w14:textId="77777777" w:rsidTr="00921A7B">
        <w:trPr>
          <w:trHeight w:val="250"/>
        </w:trPr>
        <w:tc>
          <w:tcPr>
            <w:tcW w:w="2260" w:type="dxa"/>
            <w:vMerge/>
            <w:vAlign w:val="center"/>
          </w:tcPr>
          <w:p w14:paraId="2A4A2133" w14:textId="77777777" w:rsidR="00310FB6" w:rsidRPr="0076309C" w:rsidRDefault="00310FB6" w:rsidP="002711F1">
            <w:pPr>
              <w:rPr>
                <w:rFonts w:ascii="Arial" w:hAnsi="Arial" w:cs="Arial"/>
                <w:color w:val="000000"/>
              </w:rPr>
            </w:pPr>
          </w:p>
        </w:tc>
        <w:tc>
          <w:tcPr>
            <w:tcW w:w="4068" w:type="dxa"/>
            <w:vAlign w:val="center"/>
          </w:tcPr>
          <w:p w14:paraId="78E86A94" w14:textId="77777777" w:rsidR="00310FB6" w:rsidRPr="0076309C" w:rsidRDefault="00310FB6" w:rsidP="002711F1">
            <w:pPr>
              <w:rPr>
                <w:rFonts w:ascii="Arial" w:hAnsi="Arial" w:cs="Arial"/>
                <w:color w:val="000000"/>
              </w:rPr>
            </w:pPr>
            <w:r w:rsidRPr="0076309C">
              <w:rPr>
                <w:rFonts w:ascii="Arial" w:hAnsi="Arial" w:cs="Arial"/>
                <w:color w:val="000000"/>
              </w:rPr>
              <w:t>HR readiness</w:t>
            </w:r>
          </w:p>
        </w:tc>
        <w:tc>
          <w:tcPr>
            <w:tcW w:w="1657" w:type="dxa"/>
            <w:vAlign w:val="center"/>
          </w:tcPr>
          <w:p w14:paraId="074DB3CB" w14:textId="77777777" w:rsidR="00310FB6" w:rsidRPr="0076309C" w:rsidRDefault="00310FB6" w:rsidP="002711F1">
            <w:pPr>
              <w:jc w:val="right"/>
              <w:rPr>
                <w:rFonts w:ascii="Arial" w:hAnsi="Arial" w:cs="Arial"/>
                <w:color w:val="000000"/>
              </w:rPr>
            </w:pPr>
            <w:r w:rsidRPr="0076309C">
              <w:rPr>
                <w:rFonts w:ascii="Arial" w:hAnsi="Arial" w:cs="Arial"/>
                <w:color w:val="000000"/>
              </w:rPr>
              <w:t>3</w:t>
            </w:r>
          </w:p>
        </w:tc>
      </w:tr>
      <w:tr w:rsidR="00310FB6" w:rsidRPr="0076309C" w14:paraId="39B30091" w14:textId="77777777" w:rsidTr="00921A7B">
        <w:trPr>
          <w:trHeight w:val="430"/>
        </w:trPr>
        <w:tc>
          <w:tcPr>
            <w:tcW w:w="2260" w:type="dxa"/>
            <w:vAlign w:val="center"/>
          </w:tcPr>
          <w:p w14:paraId="06D2A6C3" w14:textId="77777777" w:rsidR="00310FB6" w:rsidRPr="0076309C" w:rsidRDefault="00310FB6" w:rsidP="002711F1">
            <w:pPr>
              <w:rPr>
                <w:rFonts w:ascii="Arial" w:hAnsi="Arial" w:cs="Arial"/>
                <w:color w:val="000000"/>
              </w:rPr>
            </w:pPr>
            <w:r w:rsidRPr="0076309C">
              <w:rPr>
                <w:rFonts w:ascii="Arial" w:hAnsi="Arial" w:cs="Arial"/>
              </w:rPr>
              <w:t>IT Capability &amp; Infra</w:t>
            </w:r>
          </w:p>
        </w:tc>
        <w:tc>
          <w:tcPr>
            <w:tcW w:w="4068" w:type="dxa"/>
            <w:vAlign w:val="center"/>
          </w:tcPr>
          <w:p w14:paraId="5A543991" w14:textId="77777777" w:rsidR="00310FB6" w:rsidRPr="0076309C" w:rsidRDefault="00310FB6" w:rsidP="002711F1">
            <w:pPr>
              <w:rPr>
                <w:rFonts w:ascii="Arial" w:hAnsi="Arial" w:cs="Arial"/>
                <w:color w:val="000000"/>
              </w:rPr>
            </w:pPr>
            <w:r w:rsidRPr="0076309C">
              <w:rPr>
                <w:rFonts w:ascii="Arial" w:hAnsi="Arial" w:cs="Arial"/>
                <w:color w:val="000000"/>
              </w:rPr>
              <w:t>IT capability/infrastructure</w:t>
            </w:r>
          </w:p>
        </w:tc>
        <w:tc>
          <w:tcPr>
            <w:tcW w:w="1657" w:type="dxa"/>
            <w:vAlign w:val="center"/>
          </w:tcPr>
          <w:p w14:paraId="6C314863" w14:textId="77777777" w:rsidR="00310FB6" w:rsidRPr="0076309C" w:rsidRDefault="00310FB6" w:rsidP="002711F1">
            <w:pPr>
              <w:jc w:val="right"/>
              <w:rPr>
                <w:rFonts w:ascii="Arial" w:hAnsi="Arial" w:cs="Arial"/>
                <w:color w:val="000000"/>
              </w:rPr>
            </w:pPr>
            <w:r w:rsidRPr="0076309C">
              <w:rPr>
                <w:rFonts w:ascii="Arial" w:hAnsi="Arial" w:cs="Arial"/>
                <w:color w:val="000000"/>
              </w:rPr>
              <w:t>5</w:t>
            </w:r>
          </w:p>
        </w:tc>
      </w:tr>
      <w:tr w:rsidR="00310FB6" w:rsidRPr="0076309C" w14:paraId="7A0058D0" w14:textId="77777777" w:rsidTr="00921A7B">
        <w:trPr>
          <w:trHeight w:val="241"/>
        </w:trPr>
        <w:tc>
          <w:tcPr>
            <w:tcW w:w="2260" w:type="dxa"/>
            <w:vAlign w:val="center"/>
          </w:tcPr>
          <w:p w14:paraId="2329853B" w14:textId="77777777" w:rsidR="00310FB6" w:rsidRPr="0076309C" w:rsidRDefault="00310FB6" w:rsidP="002711F1">
            <w:pPr>
              <w:rPr>
                <w:rFonts w:ascii="Arial" w:hAnsi="Arial" w:cs="Arial"/>
                <w:color w:val="000000"/>
              </w:rPr>
            </w:pPr>
            <w:r w:rsidRPr="0076309C">
              <w:rPr>
                <w:rFonts w:ascii="Arial" w:hAnsi="Arial" w:cs="Arial"/>
              </w:rPr>
              <w:t>Financial Resources</w:t>
            </w:r>
          </w:p>
        </w:tc>
        <w:tc>
          <w:tcPr>
            <w:tcW w:w="4068" w:type="dxa"/>
            <w:vAlign w:val="center"/>
          </w:tcPr>
          <w:p w14:paraId="0AE8F803" w14:textId="77777777" w:rsidR="00310FB6" w:rsidRPr="0076309C" w:rsidRDefault="00310FB6" w:rsidP="002711F1">
            <w:pPr>
              <w:rPr>
                <w:rFonts w:ascii="Arial" w:hAnsi="Arial" w:cs="Arial"/>
                <w:color w:val="000000"/>
              </w:rPr>
            </w:pPr>
            <w:r w:rsidRPr="0076309C">
              <w:rPr>
                <w:rFonts w:ascii="Arial" w:hAnsi="Arial" w:cs="Arial"/>
                <w:color w:val="000000"/>
              </w:rPr>
              <w:t>Financial Resources</w:t>
            </w:r>
          </w:p>
        </w:tc>
        <w:tc>
          <w:tcPr>
            <w:tcW w:w="1657" w:type="dxa"/>
            <w:vAlign w:val="center"/>
          </w:tcPr>
          <w:p w14:paraId="267F3AD2" w14:textId="77777777" w:rsidR="00310FB6" w:rsidRPr="0076309C" w:rsidRDefault="00310FB6" w:rsidP="002711F1">
            <w:pPr>
              <w:jc w:val="right"/>
              <w:rPr>
                <w:rFonts w:ascii="Arial" w:hAnsi="Arial" w:cs="Arial"/>
                <w:color w:val="000000"/>
              </w:rPr>
            </w:pPr>
            <w:r w:rsidRPr="0076309C">
              <w:rPr>
                <w:rFonts w:ascii="Arial" w:hAnsi="Arial" w:cs="Arial"/>
                <w:color w:val="000000"/>
              </w:rPr>
              <w:t>6</w:t>
            </w:r>
          </w:p>
        </w:tc>
      </w:tr>
      <w:tr w:rsidR="00310FB6" w:rsidRPr="0076309C" w14:paraId="14F995AF" w14:textId="77777777" w:rsidTr="00921A7B">
        <w:trPr>
          <w:trHeight w:val="241"/>
        </w:trPr>
        <w:tc>
          <w:tcPr>
            <w:tcW w:w="2260" w:type="dxa"/>
            <w:vAlign w:val="center"/>
          </w:tcPr>
          <w:p w14:paraId="7A5C0B2F" w14:textId="77777777" w:rsidR="00310FB6" w:rsidRPr="0076309C" w:rsidRDefault="00310FB6" w:rsidP="002711F1">
            <w:pPr>
              <w:rPr>
                <w:rFonts w:ascii="Arial" w:hAnsi="Arial" w:cs="Arial"/>
              </w:rPr>
            </w:pPr>
            <w:r w:rsidRPr="0076309C">
              <w:rPr>
                <w:rFonts w:ascii="Arial" w:hAnsi="Arial" w:cs="Arial"/>
              </w:rPr>
              <w:t>Structure &amp; Scale</w:t>
            </w:r>
          </w:p>
        </w:tc>
        <w:tc>
          <w:tcPr>
            <w:tcW w:w="4068" w:type="dxa"/>
            <w:vAlign w:val="center"/>
          </w:tcPr>
          <w:p w14:paraId="3826125F" w14:textId="77777777" w:rsidR="00310FB6" w:rsidRPr="0076309C" w:rsidRDefault="00310FB6" w:rsidP="002711F1">
            <w:pPr>
              <w:rPr>
                <w:rFonts w:ascii="Arial" w:hAnsi="Arial" w:cs="Arial"/>
                <w:color w:val="000000"/>
              </w:rPr>
            </w:pPr>
            <w:r w:rsidRPr="0076309C">
              <w:rPr>
                <w:rFonts w:ascii="Arial" w:hAnsi="Arial" w:cs="Arial"/>
                <w:color w:val="000000"/>
              </w:rPr>
              <w:t>Structure (size/project)</w:t>
            </w:r>
          </w:p>
        </w:tc>
        <w:tc>
          <w:tcPr>
            <w:tcW w:w="1657" w:type="dxa"/>
            <w:vAlign w:val="center"/>
          </w:tcPr>
          <w:p w14:paraId="279B8993" w14:textId="77777777" w:rsidR="00310FB6" w:rsidRPr="0076309C" w:rsidRDefault="00310FB6" w:rsidP="002711F1">
            <w:pPr>
              <w:jc w:val="right"/>
              <w:rPr>
                <w:rFonts w:ascii="Arial" w:hAnsi="Arial" w:cs="Arial"/>
                <w:color w:val="000000"/>
              </w:rPr>
            </w:pPr>
            <w:r w:rsidRPr="0076309C">
              <w:rPr>
                <w:rFonts w:ascii="Arial" w:hAnsi="Arial" w:cs="Arial"/>
                <w:color w:val="000000"/>
              </w:rPr>
              <w:t>8</w:t>
            </w:r>
          </w:p>
        </w:tc>
      </w:tr>
      <w:tr w:rsidR="00310FB6" w:rsidRPr="0076309C" w14:paraId="2FEE0CC5" w14:textId="77777777" w:rsidTr="00921A7B">
        <w:trPr>
          <w:trHeight w:val="241"/>
        </w:trPr>
        <w:tc>
          <w:tcPr>
            <w:tcW w:w="2260" w:type="dxa"/>
            <w:vAlign w:val="center"/>
          </w:tcPr>
          <w:p w14:paraId="45F026C7" w14:textId="77777777" w:rsidR="00310FB6" w:rsidRPr="0076309C" w:rsidRDefault="00310FB6" w:rsidP="002711F1">
            <w:pPr>
              <w:rPr>
                <w:rFonts w:ascii="Arial" w:hAnsi="Arial" w:cs="Arial"/>
              </w:rPr>
            </w:pPr>
            <w:r w:rsidRPr="0076309C">
              <w:rPr>
                <w:rFonts w:ascii="Arial" w:hAnsi="Arial" w:cs="Arial"/>
              </w:rPr>
              <w:t>Organizational Structure</w:t>
            </w:r>
          </w:p>
        </w:tc>
        <w:tc>
          <w:tcPr>
            <w:tcW w:w="4068" w:type="dxa"/>
            <w:vAlign w:val="center"/>
          </w:tcPr>
          <w:p w14:paraId="290C6FB8" w14:textId="77777777" w:rsidR="00310FB6" w:rsidRPr="0076309C" w:rsidRDefault="00310FB6" w:rsidP="002711F1">
            <w:pPr>
              <w:rPr>
                <w:rFonts w:ascii="Arial" w:hAnsi="Arial" w:cs="Arial"/>
                <w:color w:val="000000"/>
              </w:rPr>
            </w:pPr>
            <w:r w:rsidRPr="0076309C">
              <w:rPr>
                <w:rFonts w:ascii="Arial" w:hAnsi="Arial" w:cs="Arial"/>
                <w:color w:val="000000"/>
              </w:rPr>
              <w:t>Organizational Structure</w:t>
            </w:r>
          </w:p>
        </w:tc>
        <w:tc>
          <w:tcPr>
            <w:tcW w:w="1657" w:type="dxa"/>
            <w:vAlign w:val="center"/>
          </w:tcPr>
          <w:p w14:paraId="5D26AE00" w14:textId="77777777" w:rsidR="00310FB6" w:rsidRPr="0076309C" w:rsidRDefault="00310FB6" w:rsidP="002711F1">
            <w:pPr>
              <w:jc w:val="right"/>
              <w:rPr>
                <w:rFonts w:ascii="Arial" w:hAnsi="Arial" w:cs="Arial"/>
                <w:color w:val="000000"/>
              </w:rPr>
            </w:pPr>
            <w:r w:rsidRPr="0076309C">
              <w:rPr>
                <w:rFonts w:ascii="Arial" w:hAnsi="Arial" w:cs="Arial"/>
                <w:color w:val="000000"/>
              </w:rPr>
              <w:t>3</w:t>
            </w:r>
          </w:p>
        </w:tc>
      </w:tr>
      <w:tr w:rsidR="00310FB6" w:rsidRPr="0076309C" w14:paraId="08AC401A" w14:textId="77777777" w:rsidTr="00921A7B">
        <w:trPr>
          <w:trHeight w:val="241"/>
        </w:trPr>
        <w:tc>
          <w:tcPr>
            <w:tcW w:w="2260" w:type="dxa"/>
            <w:vMerge w:val="restart"/>
            <w:vAlign w:val="center"/>
          </w:tcPr>
          <w:p w14:paraId="5A6CA214" w14:textId="77777777" w:rsidR="00310FB6" w:rsidRPr="0076309C" w:rsidRDefault="00310FB6" w:rsidP="002711F1">
            <w:pPr>
              <w:rPr>
                <w:rFonts w:ascii="Arial" w:hAnsi="Arial" w:cs="Arial"/>
              </w:rPr>
            </w:pPr>
            <w:r w:rsidRPr="0076309C">
              <w:rPr>
                <w:rFonts w:ascii="Arial" w:hAnsi="Arial" w:cs="Arial"/>
              </w:rPr>
              <w:t>Culture &amp; Knowledge</w:t>
            </w:r>
          </w:p>
        </w:tc>
        <w:tc>
          <w:tcPr>
            <w:tcW w:w="4068" w:type="dxa"/>
            <w:vAlign w:val="center"/>
          </w:tcPr>
          <w:p w14:paraId="1492C22B" w14:textId="77777777" w:rsidR="00310FB6" w:rsidRPr="0076309C" w:rsidRDefault="00310FB6" w:rsidP="002711F1">
            <w:pPr>
              <w:rPr>
                <w:rFonts w:ascii="Arial" w:hAnsi="Arial" w:cs="Arial"/>
                <w:color w:val="000000"/>
              </w:rPr>
            </w:pPr>
            <w:r w:rsidRPr="0076309C">
              <w:rPr>
                <w:rFonts w:ascii="Arial" w:hAnsi="Arial" w:cs="Arial"/>
                <w:color w:val="000000"/>
              </w:rPr>
              <w:t>Organizational culture</w:t>
            </w:r>
          </w:p>
        </w:tc>
        <w:tc>
          <w:tcPr>
            <w:tcW w:w="1657" w:type="dxa"/>
            <w:vAlign w:val="center"/>
          </w:tcPr>
          <w:p w14:paraId="5D2FAA7C" w14:textId="77777777" w:rsidR="00310FB6" w:rsidRPr="0076309C" w:rsidRDefault="00310FB6" w:rsidP="002711F1">
            <w:pPr>
              <w:jc w:val="right"/>
              <w:rPr>
                <w:rFonts w:ascii="Arial" w:hAnsi="Arial" w:cs="Arial"/>
                <w:color w:val="000000"/>
              </w:rPr>
            </w:pPr>
            <w:r w:rsidRPr="0076309C">
              <w:rPr>
                <w:rFonts w:ascii="Arial" w:hAnsi="Arial" w:cs="Arial"/>
                <w:color w:val="000000"/>
              </w:rPr>
              <w:t>4</w:t>
            </w:r>
          </w:p>
        </w:tc>
      </w:tr>
      <w:tr w:rsidR="00310FB6" w:rsidRPr="0076309C" w14:paraId="13FE54EE" w14:textId="77777777" w:rsidTr="00921A7B">
        <w:trPr>
          <w:trHeight w:val="241"/>
        </w:trPr>
        <w:tc>
          <w:tcPr>
            <w:tcW w:w="2260" w:type="dxa"/>
            <w:vMerge/>
            <w:vAlign w:val="center"/>
          </w:tcPr>
          <w:p w14:paraId="5323CBE2" w14:textId="77777777" w:rsidR="00310FB6" w:rsidRPr="0076309C" w:rsidRDefault="00310FB6" w:rsidP="002711F1">
            <w:pPr>
              <w:rPr>
                <w:rFonts w:ascii="Arial" w:hAnsi="Arial" w:cs="Arial"/>
              </w:rPr>
            </w:pPr>
          </w:p>
        </w:tc>
        <w:tc>
          <w:tcPr>
            <w:tcW w:w="4068" w:type="dxa"/>
            <w:vAlign w:val="center"/>
          </w:tcPr>
          <w:p w14:paraId="1F517DE9" w14:textId="77777777" w:rsidR="00310FB6" w:rsidRPr="0076309C" w:rsidRDefault="00310FB6" w:rsidP="002711F1">
            <w:pPr>
              <w:rPr>
                <w:rFonts w:ascii="Arial" w:hAnsi="Arial" w:cs="Arial"/>
                <w:color w:val="000000"/>
              </w:rPr>
            </w:pPr>
            <w:r w:rsidRPr="0076309C">
              <w:rPr>
                <w:rFonts w:ascii="Arial" w:hAnsi="Arial" w:cs="Arial"/>
                <w:color w:val="000000"/>
              </w:rPr>
              <w:t>Collaborative culture/knowledge</w:t>
            </w:r>
          </w:p>
        </w:tc>
        <w:tc>
          <w:tcPr>
            <w:tcW w:w="1657" w:type="dxa"/>
            <w:vAlign w:val="center"/>
          </w:tcPr>
          <w:p w14:paraId="14582133" w14:textId="77777777" w:rsidR="00310FB6" w:rsidRPr="0076309C" w:rsidRDefault="00310FB6" w:rsidP="002711F1">
            <w:pPr>
              <w:jc w:val="right"/>
              <w:rPr>
                <w:rFonts w:ascii="Arial" w:hAnsi="Arial" w:cs="Arial"/>
                <w:color w:val="000000"/>
              </w:rPr>
            </w:pPr>
            <w:r w:rsidRPr="0076309C">
              <w:rPr>
                <w:rFonts w:ascii="Arial" w:hAnsi="Arial" w:cs="Arial"/>
                <w:color w:val="000000"/>
              </w:rPr>
              <w:t>4</w:t>
            </w:r>
          </w:p>
        </w:tc>
      </w:tr>
      <w:tr w:rsidR="00310FB6" w:rsidRPr="0076309C" w14:paraId="792A4424" w14:textId="77777777" w:rsidTr="00921A7B">
        <w:trPr>
          <w:trHeight w:val="241"/>
        </w:trPr>
        <w:tc>
          <w:tcPr>
            <w:tcW w:w="2260" w:type="dxa"/>
            <w:vMerge/>
            <w:vAlign w:val="center"/>
          </w:tcPr>
          <w:p w14:paraId="1F0CF92B" w14:textId="77777777" w:rsidR="00310FB6" w:rsidRPr="0076309C" w:rsidRDefault="00310FB6" w:rsidP="002711F1">
            <w:pPr>
              <w:rPr>
                <w:rFonts w:ascii="Arial" w:hAnsi="Arial" w:cs="Arial"/>
              </w:rPr>
            </w:pPr>
          </w:p>
        </w:tc>
        <w:tc>
          <w:tcPr>
            <w:tcW w:w="4068" w:type="dxa"/>
            <w:vAlign w:val="center"/>
          </w:tcPr>
          <w:p w14:paraId="4FBF9DC5" w14:textId="77777777" w:rsidR="00310FB6" w:rsidRPr="0076309C" w:rsidRDefault="00310FB6" w:rsidP="002711F1">
            <w:pPr>
              <w:rPr>
                <w:rFonts w:ascii="Arial" w:hAnsi="Arial" w:cs="Arial"/>
                <w:color w:val="000000"/>
              </w:rPr>
            </w:pPr>
            <w:r w:rsidRPr="0076309C">
              <w:rPr>
                <w:rFonts w:ascii="Arial" w:hAnsi="Arial" w:cs="Arial"/>
                <w:color w:val="000000"/>
              </w:rPr>
              <w:t>Knowledge diversity</w:t>
            </w:r>
          </w:p>
        </w:tc>
        <w:tc>
          <w:tcPr>
            <w:tcW w:w="1657" w:type="dxa"/>
            <w:vAlign w:val="center"/>
          </w:tcPr>
          <w:p w14:paraId="05145C6C" w14:textId="77777777" w:rsidR="00310FB6" w:rsidRPr="0076309C" w:rsidRDefault="00310FB6" w:rsidP="002711F1">
            <w:pPr>
              <w:jc w:val="right"/>
              <w:rPr>
                <w:rFonts w:ascii="Arial" w:hAnsi="Arial" w:cs="Arial"/>
                <w:color w:val="000000"/>
              </w:rPr>
            </w:pPr>
            <w:r w:rsidRPr="0076309C">
              <w:rPr>
                <w:rFonts w:ascii="Arial" w:hAnsi="Arial" w:cs="Arial"/>
                <w:color w:val="000000"/>
              </w:rPr>
              <w:t>2</w:t>
            </w:r>
          </w:p>
        </w:tc>
      </w:tr>
      <w:tr w:rsidR="00310FB6" w:rsidRPr="0076309C" w14:paraId="1AF99626" w14:textId="77777777" w:rsidTr="00921A7B">
        <w:trPr>
          <w:trHeight w:val="241"/>
        </w:trPr>
        <w:tc>
          <w:tcPr>
            <w:tcW w:w="2260" w:type="dxa"/>
            <w:vAlign w:val="center"/>
          </w:tcPr>
          <w:p w14:paraId="65852006" w14:textId="77777777" w:rsidR="00310FB6" w:rsidRPr="0076309C" w:rsidRDefault="00310FB6" w:rsidP="002711F1">
            <w:pPr>
              <w:rPr>
                <w:rFonts w:ascii="Arial" w:hAnsi="Arial" w:cs="Arial"/>
              </w:rPr>
            </w:pPr>
            <w:r w:rsidRPr="0076309C">
              <w:rPr>
                <w:rFonts w:ascii="Arial" w:hAnsi="Arial" w:cs="Arial"/>
              </w:rPr>
              <w:t>Policies &amp; Governance</w:t>
            </w:r>
          </w:p>
        </w:tc>
        <w:tc>
          <w:tcPr>
            <w:tcW w:w="4068" w:type="dxa"/>
            <w:vAlign w:val="center"/>
          </w:tcPr>
          <w:p w14:paraId="3F2A6544" w14:textId="77777777" w:rsidR="00310FB6" w:rsidRPr="0076309C" w:rsidRDefault="00310FB6" w:rsidP="002711F1">
            <w:pPr>
              <w:rPr>
                <w:rFonts w:ascii="Arial" w:hAnsi="Arial" w:cs="Arial"/>
                <w:color w:val="000000"/>
              </w:rPr>
            </w:pPr>
            <w:r w:rsidRPr="0076309C">
              <w:rPr>
                <w:rFonts w:ascii="Arial" w:hAnsi="Arial" w:cs="Arial"/>
                <w:color w:val="000000"/>
              </w:rPr>
              <w:t>Policies &amp; Governance</w:t>
            </w:r>
          </w:p>
        </w:tc>
        <w:tc>
          <w:tcPr>
            <w:tcW w:w="1657" w:type="dxa"/>
            <w:vAlign w:val="center"/>
          </w:tcPr>
          <w:p w14:paraId="587BA86F" w14:textId="77777777" w:rsidR="00310FB6" w:rsidRPr="0076309C" w:rsidRDefault="00310FB6" w:rsidP="002711F1">
            <w:pPr>
              <w:jc w:val="right"/>
              <w:rPr>
                <w:rFonts w:ascii="Arial" w:hAnsi="Arial" w:cs="Arial"/>
                <w:color w:val="000000"/>
              </w:rPr>
            </w:pPr>
            <w:r w:rsidRPr="0076309C">
              <w:rPr>
                <w:rFonts w:ascii="Arial" w:hAnsi="Arial" w:cs="Arial"/>
                <w:color w:val="000000"/>
              </w:rPr>
              <w:t>4</w:t>
            </w:r>
          </w:p>
        </w:tc>
      </w:tr>
      <w:tr w:rsidR="00310FB6" w:rsidRPr="0076309C" w14:paraId="4B42E36B" w14:textId="77777777" w:rsidTr="00921A7B">
        <w:trPr>
          <w:trHeight w:val="241"/>
        </w:trPr>
        <w:tc>
          <w:tcPr>
            <w:tcW w:w="2260" w:type="dxa"/>
            <w:vAlign w:val="center"/>
          </w:tcPr>
          <w:p w14:paraId="7401F1E3" w14:textId="77777777" w:rsidR="00310FB6" w:rsidRPr="0076309C" w:rsidRDefault="00310FB6" w:rsidP="002711F1">
            <w:pPr>
              <w:rPr>
                <w:rFonts w:ascii="Arial" w:hAnsi="Arial" w:cs="Arial"/>
              </w:rPr>
            </w:pPr>
            <w:r w:rsidRPr="0076309C">
              <w:rPr>
                <w:rFonts w:ascii="Arial" w:hAnsi="Arial" w:cs="Arial"/>
              </w:rPr>
              <w:t>Change Management</w:t>
            </w:r>
          </w:p>
        </w:tc>
        <w:tc>
          <w:tcPr>
            <w:tcW w:w="4068" w:type="dxa"/>
            <w:vAlign w:val="center"/>
          </w:tcPr>
          <w:p w14:paraId="09A9999D" w14:textId="77777777" w:rsidR="00310FB6" w:rsidRPr="0076309C" w:rsidRDefault="00310FB6" w:rsidP="002711F1">
            <w:pPr>
              <w:rPr>
                <w:rFonts w:ascii="Arial" w:hAnsi="Arial" w:cs="Arial"/>
                <w:color w:val="000000"/>
              </w:rPr>
            </w:pPr>
            <w:r w:rsidRPr="0076309C">
              <w:rPr>
                <w:rFonts w:ascii="Arial" w:hAnsi="Arial" w:cs="Arial"/>
                <w:color w:val="000000"/>
              </w:rPr>
              <w:t>Change Management</w:t>
            </w:r>
          </w:p>
        </w:tc>
        <w:tc>
          <w:tcPr>
            <w:tcW w:w="1657" w:type="dxa"/>
            <w:vAlign w:val="center"/>
          </w:tcPr>
          <w:p w14:paraId="4A76D129" w14:textId="77777777" w:rsidR="00310FB6" w:rsidRPr="0076309C" w:rsidRDefault="00310FB6" w:rsidP="002711F1">
            <w:pPr>
              <w:jc w:val="right"/>
              <w:rPr>
                <w:rFonts w:ascii="Arial" w:hAnsi="Arial" w:cs="Arial"/>
                <w:color w:val="000000"/>
              </w:rPr>
            </w:pPr>
            <w:r w:rsidRPr="0076309C">
              <w:rPr>
                <w:rFonts w:ascii="Arial" w:hAnsi="Arial" w:cs="Arial"/>
                <w:color w:val="000000"/>
              </w:rPr>
              <w:t>3</w:t>
            </w:r>
          </w:p>
        </w:tc>
      </w:tr>
      <w:tr w:rsidR="00310FB6" w:rsidRPr="0076309C" w14:paraId="1492053A" w14:textId="77777777" w:rsidTr="00921A7B">
        <w:trPr>
          <w:trHeight w:val="241"/>
        </w:trPr>
        <w:tc>
          <w:tcPr>
            <w:tcW w:w="2260" w:type="dxa"/>
            <w:vAlign w:val="center"/>
          </w:tcPr>
          <w:p w14:paraId="601B4B52" w14:textId="77777777" w:rsidR="00310FB6" w:rsidRPr="0076309C" w:rsidRDefault="00310FB6" w:rsidP="002711F1">
            <w:pPr>
              <w:rPr>
                <w:rFonts w:ascii="Arial" w:hAnsi="Arial" w:cs="Arial"/>
              </w:rPr>
            </w:pPr>
            <w:r w:rsidRPr="0076309C">
              <w:rPr>
                <w:rFonts w:ascii="Arial" w:hAnsi="Arial" w:cs="Arial"/>
              </w:rPr>
              <w:t>Entrepreneurial Factors</w:t>
            </w:r>
          </w:p>
        </w:tc>
        <w:tc>
          <w:tcPr>
            <w:tcW w:w="4068" w:type="dxa"/>
            <w:vAlign w:val="center"/>
          </w:tcPr>
          <w:p w14:paraId="1225859F" w14:textId="77777777" w:rsidR="00310FB6" w:rsidRPr="0076309C" w:rsidRDefault="00310FB6" w:rsidP="002711F1">
            <w:pPr>
              <w:rPr>
                <w:rFonts w:ascii="Arial" w:hAnsi="Arial" w:cs="Arial"/>
                <w:color w:val="000000"/>
              </w:rPr>
            </w:pPr>
            <w:r w:rsidRPr="0076309C">
              <w:rPr>
                <w:rFonts w:ascii="Arial" w:hAnsi="Arial" w:cs="Arial"/>
                <w:color w:val="000000"/>
              </w:rPr>
              <w:t>Entrepreneurial cognition</w:t>
            </w:r>
          </w:p>
        </w:tc>
        <w:tc>
          <w:tcPr>
            <w:tcW w:w="1657" w:type="dxa"/>
            <w:vAlign w:val="center"/>
          </w:tcPr>
          <w:p w14:paraId="4483EFC4" w14:textId="77777777" w:rsidR="00310FB6" w:rsidRPr="0076309C" w:rsidRDefault="00310FB6" w:rsidP="002711F1">
            <w:pPr>
              <w:jc w:val="right"/>
              <w:rPr>
                <w:rFonts w:ascii="Arial" w:hAnsi="Arial" w:cs="Arial"/>
                <w:color w:val="000000"/>
              </w:rPr>
            </w:pPr>
            <w:r w:rsidRPr="0076309C">
              <w:rPr>
                <w:rFonts w:ascii="Arial" w:hAnsi="Arial" w:cs="Arial"/>
                <w:color w:val="000000"/>
              </w:rPr>
              <w:t>2</w:t>
            </w:r>
          </w:p>
        </w:tc>
      </w:tr>
      <w:tr w:rsidR="00310FB6" w:rsidRPr="0076309C" w14:paraId="621C0219" w14:textId="77777777" w:rsidTr="00921A7B">
        <w:trPr>
          <w:trHeight w:val="241"/>
        </w:trPr>
        <w:tc>
          <w:tcPr>
            <w:tcW w:w="2260" w:type="dxa"/>
            <w:vAlign w:val="center"/>
          </w:tcPr>
          <w:p w14:paraId="40DF3F70" w14:textId="77777777" w:rsidR="00310FB6" w:rsidRPr="0076309C" w:rsidRDefault="00310FB6" w:rsidP="002711F1">
            <w:pPr>
              <w:rPr>
                <w:rFonts w:ascii="Arial" w:hAnsi="Arial" w:cs="Arial"/>
              </w:rPr>
            </w:pPr>
            <w:r w:rsidRPr="0076309C">
              <w:rPr>
                <w:rFonts w:ascii="Arial" w:hAnsi="Arial" w:cs="Arial"/>
              </w:rPr>
              <w:t>External Expertise</w:t>
            </w:r>
          </w:p>
        </w:tc>
        <w:tc>
          <w:tcPr>
            <w:tcW w:w="4068" w:type="dxa"/>
            <w:vAlign w:val="center"/>
          </w:tcPr>
          <w:p w14:paraId="4F917C76" w14:textId="77777777" w:rsidR="00310FB6" w:rsidRPr="0076309C" w:rsidRDefault="00310FB6" w:rsidP="002711F1">
            <w:pPr>
              <w:rPr>
                <w:rFonts w:ascii="Arial" w:hAnsi="Arial" w:cs="Arial"/>
                <w:color w:val="000000"/>
              </w:rPr>
            </w:pPr>
            <w:r w:rsidRPr="0076309C">
              <w:rPr>
                <w:rFonts w:ascii="Arial" w:hAnsi="Arial" w:cs="Arial"/>
                <w:color w:val="000000"/>
              </w:rPr>
              <w:t>External expertise/services</w:t>
            </w:r>
          </w:p>
        </w:tc>
        <w:tc>
          <w:tcPr>
            <w:tcW w:w="1657" w:type="dxa"/>
            <w:vAlign w:val="center"/>
          </w:tcPr>
          <w:p w14:paraId="1B608D5E" w14:textId="77777777" w:rsidR="00310FB6" w:rsidRPr="0076309C" w:rsidRDefault="00310FB6" w:rsidP="002711F1">
            <w:pPr>
              <w:keepNext/>
              <w:jc w:val="right"/>
              <w:rPr>
                <w:rFonts w:ascii="Arial" w:hAnsi="Arial" w:cs="Arial"/>
                <w:color w:val="000000"/>
              </w:rPr>
            </w:pPr>
            <w:r w:rsidRPr="0076309C">
              <w:rPr>
                <w:rFonts w:ascii="Arial" w:hAnsi="Arial" w:cs="Arial"/>
                <w:color w:val="000000"/>
              </w:rPr>
              <w:t>2</w:t>
            </w:r>
          </w:p>
        </w:tc>
      </w:tr>
    </w:tbl>
    <w:p w14:paraId="45EAC412" w14:textId="77777777" w:rsidR="003F216A" w:rsidRDefault="003F216A" w:rsidP="00441B6F">
      <w:pPr>
        <w:pStyle w:val="Body"/>
        <w:spacing w:after="0"/>
        <w:rPr>
          <w:rFonts w:ascii="Arial" w:hAnsi="Arial" w:cs="Arial"/>
        </w:rPr>
      </w:pPr>
    </w:p>
    <w:p w14:paraId="42554CBC" w14:textId="002961D3" w:rsidR="003F216A" w:rsidRDefault="003F216A" w:rsidP="003F216A">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3F216A">
        <w:rPr>
          <w:rFonts w:ascii="Arial" w:hAnsi="Arial" w:cs="Arial"/>
          <w:b/>
          <w:sz w:val="22"/>
        </w:rPr>
        <w:t>Environmental Factors</w:t>
      </w:r>
    </w:p>
    <w:p w14:paraId="5D6DA488" w14:textId="77777777" w:rsidR="003F216A" w:rsidRDefault="003F216A" w:rsidP="003F216A">
      <w:pPr>
        <w:pStyle w:val="Body"/>
        <w:spacing w:after="0"/>
        <w:rPr>
          <w:rFonts w:ascii="Arial" w:hAnsi="Arial" w:cs="Arial"/>
        </w:rPr>
      </w:pPr>
    </w:p>
    <w:p w14:paraId="524DE63F" w14:textId="7E73B663" w:rsidR="003F216A" w:rsidRDefault="003F216A" w:rsidP="003F216A">
      <w:pPr>
        <w:pStyle w:val="Body"/>
        <w:spacing w:after="0"/>
        <w:rPr>
          <w:rFonts w:ascii="Arial" w:hAnsi="Arial" w:cs="Arial"/>
        </w:rPr>
      </w:pPr>
      <w:r w:rsidRPr="003F216A">
        <w:rPr>
          <w:rFonts w:ascii="Arial" w:hAnsi="Arial" w:cs="Arial"/>
        </w:rPr>
        <w:t>The environmental dimension produced 27 factors, grouped into seven categories: Market &amp; Industry For</w:t>
      </w:r>
      <w:r w:rsidR="0076309C">
        <w:rPr>
          <w:rFonts w:ascii="Arial" w:hAnsi="Arial" w:cs="Arial"/>
        </w:rPr>
        <w:t xml:space="preserve"> </w:t>
      </w:r>
      <w:proofErr w:type="spellStart"/>
      <w:r w:rsidRPr="003F216A">
        <w:rPr>
          <w:rFonts w:ascii="Arial" w:hAnsi="Arial" w:cs="Arial"/>
        </w:rPr>
        <w:t>ces</w:t>
      </w:r>
      <w:proofErr w:type="spellEnd"/>
      <w:r w:rsidRPr="003F216A">
        <w:rPr>
          <w:rFonts w:ascii="Arial" w:hAnsi="Arial" w:cs="Arial"/>
        </w:rPr>
        <w:t>, Customer Factors, Ecosystem &amp; Partners, Government &amp; Regulation, Regulatory Uncertainty, Macro/National Readiness, Institutional Pressures, and External Support &amp; Standards. Competitive and market pressures were the most frequently cited (13 studies), followed by government and regulatory support (7) and customer-related expectations (8). Institutional pressures such as mimetic, normative, and coercive influences appeared in fewer studies but underscore broader societal and institutional dynamics</w:t>
      </w:r>
      <w:r>
        <w:rPr>
          <w:rFonts w:ascii="Arial" w:hAnsi="Arial" w:cs="Arial"/>
        </w:rPr>
        <w:t>.</w:t>
      </w:r>
    </w:p>
    <w:p w14:paraId="6D5755A5" w14:textId="77777777" w:rsidR="0076309C" w:rsidRDefault="0076309C" w:rsidP="003F216A">
      <w:pPr>
        <w:pStyle w:val="Body"/>
        <w:spacing w:after="0"/>
        <w:rPr>
          <w:rFonts w:ascii="Arial" w:hAnsi="Arial" w:cs="Arial"/>
        </w:rPr>
      </w:pPr>
    </w:p>
    <w:p w14:paraId="72A210A4" w14:textId="3E9B2386" w:rsidR="00921A7B" w:rsidRPr="00921A7B" w:rsidRDefault="00921A7B" w:rsidP="00921A7B">
      <w:pPr>
        <w:pStyle w:val="Caption"/>
        <w:keepNext/>
        <w:rPr>
          <w:rFonts w:ascii="Arial" w:hAnsi="Arial" w:cs="Arial"/>
          <w:b/>
          <w:bCs/>
          <w:i w:val="0"/>
          <w:iCs w:val="0"/>
          <w:color w:val="000000" w:themeColor="text1"/>
          <w:sz w:val="20"/>
          <w:szCs w:val="20"/>
        </w:rPr>
      </w:pPr>
      <w:r w:rsidRPr="00921A7B">
        <w:rPr>
          <w:rFonts w:ascii="Arial" w:hAnsi="Arial" w:cs="Arial"/>
          <w:b/>
          <w:bCs/>
          <w:i w:val="0"/>
          <w:iCs w:val="0"/>
          <w:color w:val="000000" w:themeColor="text1"/>
          <w:sz w:val="20"/>
          <w:szCs w:val="20"/>
        </w:rPr>
        <w:t xml:space="preserve">Table </w:t>
      </w:r>
      <w:r w:rsidRPr="00921A7B">
        <w:rPr>
          <w:rFonts w:ascii="Arial" w:hAnsi="Arial" w:cs="Arial"/>
          <w:b/>
          <w:bCs/>
          <w:i w:val="0"/>
          <w:iCs w:val="0"/>
          <w:color w:val="000000" w:themeColor="text1"/>
          <w:sz w:val="20"/>
          <w:szCs w:val="20"/>
        </w:rPr>
        <w:fldChar w:fldCharType="begin"/>
      </w:r>
      <w:r w:rsidRPr="00921A7B">
        <w:rPr>
          <w:rFonts w:ascii="Arial" w:hAnsi="Arial" w:cs="Arial"/>
          <w:b/>
          <w:bCs/>
          <w:i w:val="0"/>
          <w:iCs w:val="0"/>
          <w:color w:val="000000" w:themeColor="text1"/>
          <w:sz w:val="20"/>
          <w:szCs w:val="20"/>
        </w:rPr>
        <w:instrText xml:space="preserve"> SEQ Table \* ARABIC </w:instrText>
      </w:r>
      <w:r w:rsidRPr="00921A7B">
        <w:rPr>
          <w:rFonts w:ascii="Arial" w:hAnsi="Arial" w:cs="Arial"/>
          <w:b/>
          <w:bCs/>
          <w:i w:val="0"/>
          <w:iCs w:val="0"/>
          <w:color w:val="000000" w:themeColor="text1"/>
          <w:sz w:val="20"/>
          <w:szCs w:val="20"/>
        </w:rPr>
        <w:fldChar w:fldCharType="separate"/>
      </w:r>
      <w:r w:rsidR="00E03BA4">
        <w:rPr>
          <w:rFonts w:ascii="Arial" w:hAnsi="Arial" w:cs="Arial"/>
          <w:b/>
          <w:bCs/>
          <w:i w:val="0"/>
          <w:iCs w:val="0"/>
          <w:noProof/>
          <w:color w:val="000000" w:themeColor="text1"/>
          <w:sz w:val="20"/>
          <w:szCs w:val="20"/>
        </w:rPr>
        <w:t>4</w:t>
      </w:r>
      <w:r w:rsidRPr="00921A7B">
        <w:rPr>
          <w:rFonts w:ascii="Arial" w:hAnsi="Arial" w:cs="Arial"/>
          <w:b/>
          <w:bCs/>
          <w:i w:val="0"/>
          <w:iCs w:val="0"/>
          <w:color w:val="000000" w:themeColor="text1"/>
          <w:sz w:val="20"/>
          <w:szCs w:val="20"/>
        </w:rPr>
        <w:fldChar w:fldCharType="end"/>
      </w:r>
      <w:r w:rsidRPr="00921A7B">
        <w:rPr>
          <w:rFonts w:ascii="Arial" w:hAnsi="Arial" w:cs="Arial"/>
          <w:b/>
          <w:bCs/>
          <w:i w:val="0"/>
          <w:iCs w:val="0"/>
          <w:color w:val="000000" w:themeColor="text1"/>
          <w:sz w:val="20"/>
          <w:szCs w:val="20"/>
        </w:rPr>
        <w:t>. Environmental Factors</w:t>
      </w:r>
    </w:p>
    <w:tbl>
      <w:tblPr>
        <w:tblW w:w="7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4550"/>
        <w:gridCol w:w="1598"/>
      </w:tblGrid>
      <w:tr w:rsidR="0076309C" w:rsidRPr="0076309C" w14:paraId="6A949A81" w14:textId="77777777" w:rsidTr="00F77A0A">
        <w:trPr>
          <w:trHeight w:val="304"/>
        </w:trPr>
        <w:tc>
          <w:tcPr>
            <w:tcW w:w="1698" w:type="dxa"/>
            <w:vAlign w:val="center"/>
          </w:tcPr>
          <w:p w14:paraId="2B3F0C66" w14:textId="77777777" w:rsidR="0076309C" w:rsidRPr="0076309C" w:rsidRDefault="0076309C" w:rsidP="002711F1">
            <w:pPr>
              <w:rPr>
                <w:rFonts w:ascii="Arial" w:hAnsi="Arial" w:cs="Arial"/>
                <w:b/>
                <w:bCs/>
                <w:color w:val="000000"/>
              </w:rPr>
            </w:pPr>
            <w:r w:rsidRPr="0076309C">
              <w:rPr>
                <w:rFonts w:ascii="Arial" w:hAnsi="Arial" w:cs="Arial"/>
                <w:b/>
                <w:bCs/>
                <w:color w:val="000000"/>
              </w:rPr>
              <w:t>Category</w:t>
            </w:r>
          </w:p>
        </w:tc>
        <w:tc>
          <w:tcPr>
            <w:tcW w:w="4550" w:type="dxa"/>
            <w:vAlign w:val="center"/>
          </w:tcPr>
          <w:p w14:paraId="2CCB69C4" w14:textId="77777777" w:rsidR="0076309C" w:rsidRPr="0076309C" w:rsidRDefault="0076309C" w:rsidP="002711F1">
            <w:pPr>
              <w:rPr>
                <w:rFonts w:ascii="Arial" w:hAnsi="Arial" w:cs="Arial"/>
                <w:b/>
                <w:bCs/>
                <w:color w:val="000000"/>
              </w:rPr>
            </w:pPr>
            <w:r w:rsidRPr="0076309C">
              <w:rPr>
                <w:rFonts w:ascii="Arial" w:hAnsi="Arial" w:cs="Arial"/>
                <w:b/>
                <w:bCs/>
                <w:color w:val="000000"/>
              </w:rPr>
              <w:t>Factors</w:t>
            </w:r>
          </w:p>
        </w:tc>
        <w:tc>
          <w:tcPr>
            <w:tcW w:w="1598" w:type="dxa"/>
            <w:vAlign w:val="center"/>
          </w:tcPr>
          <w:p w14:paraId="12A54D56" w14:textId="77777777" w:rsidR="0076309C" w:rsidRPr="0076309C" w:rsidRDefault="0076309C" w:rsidP="002711F1">
            <w:pPr>
              <w:rPr>
                <w:rFonts w:ascii="Arial" w:hAnsi="Arial" w:cs="Arial"/>
                <w:b/>
                <w:bCs/>
                <w:color w:val="000000"/>
              </w:rPr>
            </w:pPr>
            <w:r w:rsidRPr="0076309C">
              <w:rPr>
                <w:rFonts w:ascii="Arial" w:hAnsi="Arial" w:cs="Arial"/>
                <w:b/>
                <w:bCs/>
                <w:color w:val="000000"/>
              </w:rPr>
              <w:t>Frequency</w:t>
            </w:r>
          </w:p>
        </w:tc>
      </w:tr>
      <w:tr w:rsidR="0076309C" w:rsidRPr="0076309C" w14:paraId="36E9D10E" w14:textId="77777777" w:rsidTr="00F77A0A">
        <w:trPr>
          <w:trHeight w:val="304"/>
        </w:trPr>
        <w:tc>
          <w:tcPr>
            <w:tcW w:w="1698" w:type="dxa"/>
            <w:vMerge w:val="restart"/>
            <w:vAlign w:val="center"/>
          </w:tcPr>
          <w:p w14:paraId="61F844E4" w14:textId="77777777" w:rsidR="0076309C" w:rsidRPr="0076309C" w:rsidRDefault="0076309C" w:rsidP="002711F1">
            <w:pPr>
              <w:rPr>
                <w:rFonts w:ascii="Arial" w:hAnsi="Arial" w:cs="Arial"/>
                <w:color w:val="000000"/>
              </w:rPr>
            </w:pPr>
            <w:r w:rsidRPr="0076309C">
              <w:rPr>
                <w:rFonts w:ascii="Arial" w:hAnsi="Arial" w:cs="Arial"/>
              </w:rPr>
              <w:t>Market &amp; Industry Forces</w:t>
            </w:r>
          </w:p>
        </w:tc>
        <w:tc>
          <w:tcPr>
            <w:tcW w:w="4550" w:type="dxa"/>
            <w:vAlign w:val="center"/>
          </w:tcPr>
          <w:p w14:paraId="0C77CC9A" w14:textId="77777777" w:rsidR="0076309C" w:rsidRPr="0076309C" w:rsidRDefault="0076309C" w:rsidP="002711F1">
            <w:pPr>
              <w:rPr>
                <w:rFonts w:ascii="Arial" w:hAnsi="Arial" w:cs="Arial"/>
                <w:color w:val="000000"/>
              </w:rPr>
            </w:pPr>
            <w:r w:rsidRPr="0076309C">
              <w:rPr>
                <w:rFonts w:ascii="Arial" w:hAnsi="Arial" w:cs="Arial"/>
                <w:color w:val="000000"/>
              </w:rPr>
              <w:t>Market/competitive pressure</w:t>
            </w:r>
          </w:p>
        </w:tc>
        <w:tc>
          <w:tcPr>
            <w:tcW w:w="1598" w:type="dxa"/>
            <w:vAlign w:val="center"/>
          </w:tcPr>
          <w:p w14:paraId="6AF0E764" w14:textId="77777777" w:rsidR="0076309C" w:rsidRPr="0076309C" w:rsidRDefault="0076309C" w:rsidP="002711F1">
            <w:pPr>
              <w:jc w:val="right"/>
              <w:rPr>
                <w:rFonts w:ascii="Arial" w:hAnsi="Arial" w:cs="Arial"/>
                <w:color w:val="000000"/>
              </w:rPr>
            </w:pPr>
            <w:r w:rsidRPr="0076309C">
              <w:rPr>
                <w:rFonts w:ascii="Arial" w:hAnsi="Arial" w:cs="Arial"/>
                <w:color w:val="000000"/>
              </w:rPr>
              <w:t>13</w:t>
            </w:r>
          </w:p>
        </w:tc>
      </w:tr>
      <w:tr w:rsidR="0076309C" w:rsidRPr="0076309C" w14:paraId="4541FA3C" w14:textId="77777777" w:rsidTr="00F77A0A">
        <w:trPr>
          <w:trHeight w:val="250"/>
        </w:trPr>
        <w:tc>
          <w:tcPr>
            <w:tcW w:w="1698" w:type="dxa"/>
            <w:vMerge/>
            <w:vAlign w:val="center"/>
          </w:tcPr>
          <w:p w14:paraId="4305C4F3" w14:textId="77777777" w:rsidR="0076309C" w:rsidRPr="0076309C" w:rsidRDefault="0076309C" w:rsidP="002711F1">
            <w:pPr>
              <w:rPr>
                <w:rFonts w:ascii="Arial" w:hAnsi="Arial" w:cs="Arial"/>
                <w:color w:val="000000"/>
              </w:rPr>
            </w:pPr>
          </w:p>
        </w:tc>
        <w:tc>
          <w:tcPr>
            <w:tcW w:w="4550" w:type="dxa"/>
            <w:vAlign w:val="center"/>
          </w:tcPr>
          <w:p w14:paraId="4F618754" w14:textId="77777777" w:rsidR="0076309C" w:rsidRPr="0076309C" w:rsidRDefault="0076309C" w:rsidP="002711F1">
            <w:pPr>
              <w:rPr>
                <w:rFonts w:ascii="Arial" w:hAnsi="Arial" w:cs="Arial"/>
                <w:color w:val="000000"/>
              </w:rPr>
            </w:pPr>
            <w:r w:rsidRPr="0076309C">
              <w:rPr>
                <w:rFonts w:ascii="Arial" w:hAnsi="Arial" w:cs="Arial"/>
                <w:color w:val="000000"/>
              </w:rPr>
              <w:t>Industry/sector pressure</w:t>
            </w:r>
          </w:p>
        </w:tc>
        <w:tc>
          <w:tcPr>
            <w:tcW w:w="1598" w:type="dxa"/>
            <w:vAlign w:val="center"/>
          </w:tcPr>
          <w:p w14:paraId="6B916E51" w14:textId="77777777" w:rsidR="0076309C" w:rsidRPr="0076309C" w:rsidRDefault="0076309C" w:rsidP="002711F1">
            <w:pPr>
              <w:jc w:val="right"/>
              <w:rPr>
                <w:rFonts w:ascii="Arial" w:hAnsi="Arial" w:cs="Arial"/>
                <w:color w:val="000000"/>
              </w:rPr>
            </w:pPr>
            <w:r w:rsidRPr="0076309C">
              <w:rPr>
                <w:rFonts w:ascii="Arial" w:hAnsi="Arial" w:cs="Arial"/>
                <w:color w:val="000000"/>
              </w:rPr>
              <w:t>5</w:t>
            </w:r>
          </w:p>
        </w:tc>
      </w:tr>
      <w:tr w:rsidR="0076309C" w:rsidRPr="0076309C" w14:paraId="06FA8289" w14:textId="77777777" w:rsidTr="00F77A0A">
        <w:trPr>
          <w:trHeight w:val="331"/>
        </w:trPr>
        <w:tc>
          <w:tcPr>
            <w:tcW w:w="1698" w:type="dxa"/>
            <w:vMerge w:val="restart"/>
            <w:vAlign w:val="center"/>
          </w:tcPr>
          <w:p w14:paraId="0F299D5A" w14:textId="77777777" w:rsidR="0076309C" w:rsidRPr="0076309C" w:rsidRDefault="0076309C" w:rsidP="002711F1">
            <w:pPr>
              <w:rPr>
                <w:rFonts w:ascii="Arial" w:hAnsi="Arial" w:cs="Arial"/>
                <w:color w:val="000000"/>
              </w:rPr>
            </w:pPr>
            <w:r w:rsidRPr="0076309C">
              <w:rPr>
                <w:rFonts w:ascii="Arial" w:hAnsi="Arial" w:cs="Arial"/>
              </w:rPr>
              <w:t xml:space="preserve">Customer Factors &amp; Market </w:t>
            </w:r>
            <w:r w:rsidRPr="0076309C">
              <w:rPr>
                <w:rFonts w:ascii="Arial" w:hAnsi="Arial" w:cs="Arial"/>
              </w:rPr>
              <w:lastRenderedPageBreak/>
              <w:t>Awareness</w:t>
            </w:r>
          </w:p>
        </w:tc>
        <w:tc>
          <w:tcPr>
            <w:tcW w:w="4550" w:type="dxa"/>
            <w:vAlign w:val="center"/>
          </w:tcPr>
          <w:p w14:paraId="4A863919" w14:textId="77777777" w:rsidR="0076309C" w:rsidRPr="0076309C" w:rsidRDefault="0076309C" w:rsidP="002711F1">
            <w:pPr>
              <w:rPr>
                <w:rFonts w:ascii="Arial" w:hAnsi="Arial" w:cs="Arial"/>
                <w:color w:val="000000"/>
              </w:rPr>
            </w:pPr>
            <w:r w:rsidRPr="0076309C">
              <w:rPr>
                <w:rFonts w:ascii="Arial" w:hAnsi="Arial" w:cs="Arial"/>
                <w:color w:val="000000"/>
              </w:rPr>
              <w:lastRenderedPageBreak/>
              <w:t>Customer Factors</w:t>
            </w:r>
          </w:p>
        </w:tc>
        <w:tc>
          <w:tcPr>
            <w:tcW w:w="1598" w:type="dxa"/>
            <w:vAlign w:val="center"/>
          </w:tcPr>
          <w:p w14:paraId="1A493ECA" w14:textId="77777777" w:rsidR="0076309C" w:rsidRPr="0076309C" w:rsidRDefault="0076309C" w:rsidP="002711F1">
            <w:pPr>
              <w:jc w:val="right"/>
              <w:rPr>
                <w:rFonts w:ascii="Arial" w:hAnsi="Arial" w:cs="Arial"/>
                <w:color w:val="000000"/>
              </w:rPr>
            </w:pPr>
            <w:r w:rsidRPr="0076309C">
              <w:rPr>
                <w:rFonts w:ascii="Arial" w:hAnsi="Arial" w:cs="Arial"/>
                <w:color w:val="000000"/>
              </w:rPr>
              <w:t>8</w:t>
            </w:r>
          </w:p>
        </w:tc>
      </w:tr>
      <w:tr w:rsidR="0076309C" w:rsidRPr="0076309C" w14:paraId="4A299D63" w14:textId="77777777" w:rsidTr="00F77A0A">
        <w:trPr>
          <w:trHeight w:val="232"/>
        </w:trPr>
        <w:tc>
          <w:tcPr>
            <w:tcW w:w="1698" w:type="dxa"/>
            <w:vMerge/>
            <w:vAlign w:val="center"/>
          </w:tcPr>
          <w:p w14:paraId="536E6942" w14:textId="77777777" w:rsidR="0076309C" w:rsidRPr="0076309C" w:rsidRDefault="0076309C" w:rsidP="002711F1">
            <w:pPr>
              <w:rPr>
                <w:rFonts w:ascii="Arial" w:hAnsi="Arial" w:cs="Arial"/>
              </w:rPr>
            </w:pPr>
          </w:p>
        </w:tc>
        <w:tc>
          <w:tcPr>
            <w:tcW w:w="4550" w:type="dxa"/>
            <w:vAlign w:val="center"/>
          </w:tcPr>
          <w:p w14:paraId="4DC8D840" w14:textId="77777777" w:rsidR="0076309C" w:rsidRPr="0076309C" w:rsidRDefault="0076309C" w:rsidP="002711F1">
            <w:pPr>
              <w:rPr>
                <w:rFonts w:ascii="Arial" w:hAnsi="Arial" w:cs="Arial"/>
                <w:color w:val="000000"/>
              </w:rPr>
            </w:pPr>
            <w:r w:rsidRPr="0076309C">
              <w:rPr>
                <w:rFonts w:ascii="Arial" w:hAnsi="Arial" w:cs="Arial"/>
                <w:color w:val="000000"/>
              </w:rPr>
              <w:t>Market awareness/readiness</w:t>
            </w:r>
          </w:p>
        </w:tc>
        <w:tc>
          <w:tcPr>
            <w:tcW w:w="1598" w:type="dxa"/>
            <w:vAlign w:val="center"/>
          </w:tcPr>
          <w:p w14:paraId="2D1CEFD6"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14E228E1" w14:textId="77777777" w:rsidTr="00F77A0A">
        <w:trPr>
          <w:trHeight w:val="268"/>
        </w:trPr>
        <w:tc>
          <w:tcPr>
            <w:tcW w:w="1698" w:type="dxa"/>
            <w:vMerge w:val="restart"/>
            <w:vAlign w:val="center"/>
          </w:tcPr>
          <w:p w14:paraId="3987C518" w14:textId="77777777" w:rsidR="0076309C" w:rsidRPr="0076309C" w:rsidRDefault="0076309C" w:rsidP="002711F1">
            <w:pPr>
              <w:rPr>
                <w:rFonts w:ascii="Arial" w:hAnsi="Arial" w:cs="Arial"/>
                <w:color w:val="000000"/>
              </w:rPr>
            </w:pPr>
            <w:r w:rsidRPr="0076309C">
              <w:rPr>
                <w:rFonts w:ascii="Arial" w:hAnsi="Arial" w:cs="Arial"/>
              </w:rPr>
              <w:t>Ecosystem &amp; Partners</w:t>
            </w:r>
          </w:p>
        </w:tc>
        <w:tc>
          <w:tcPr>
            <w:tcW w:w="4550" w:type="dxa"/>
            <w:vAlign w:val="center"/>
          </w:tcPr>
          <w:p w14:paraId="28A0F34D" w14:textId="77777777" w:rsidR="0076309C" w:rsidRPr="0076309C" w:rsidRDefault="0076309C" w:rsidP="002711F1">
            <w:pPr>
              <w:rPr>
                <w:rFonts w:ascii="Arial" w:hAnsi="Arial" w:cs="Arial"/>
                <w:color w:val="000000"/>
              </w:rPr>
            </w:pPr>
            <w:r w:rsidRPr="0076309C">
              <w:rPr>
                <w:rFonts w:ascii="Arial" w:hAnsi="Arial" w:cs="Arial"/>
                <w:color w:val="000000"/>
              </w:rPr>
              <w:t>Ecosystem/partner pressure</w:t>
            </w:r>
          </w:p>
        </w:tc>
        <w:tc>
          <w:tcPr>
            <w:tcW w:w="1598" w:type="dxa"/>
            <w:vAlign w:val="center"/>
          </w:tcPr>
          <w:p w14:paraId="41A292AF" w14:textId="77777777" w:rsidR="0076309C" w:rsidRPr="0076309C" w:rsidRDefault="0076309C" w:rsidP="002711F1">
            <w:pPr>
              <w:jc w:val="right"/>
              <w:rPr>
                <w:rFonts w:ascii="Arial" w:hAnsi="Arial" w:cs="Arial"/>
                <w:color w:val="000000"/>
              </w:rPr>
            </w:pPr>
            <w:r w:rsidRPr="0076309C">
              <w:rPr>
                <w:rFonts w:ascii="Arial" w:hAnsi="Arial" w:cs="Arial"/>
                <w:color w:val="000000"/>
              </w:rPr>
              <w:t>5</w:t>
            </w:r>
          </w:p>
        </w:tc>
      </w:tr>
      <w:tr w:rsidR="0076309C" w:rsidRPr="0076309C" w14:paraId="6F24AFB1" w14:textId="77777777" w:rsidTr="00F77A0A">
        <w:trPr>
          <w:trHeight w:val="286"/>
        </w:trPr>
        <w:tc>
          <w:tcPr>
            <w:tcW w:w="1698" w:type="dxa"/>
            <w:vMerge/>
            <w:vAlign w:val="center"/>
          </w:tcPr>
          <w:p w14:paraId="43470965" w14:textId="77777777" w:rsidR="0076309C" w:rsidRPr="0076309C" w:rsidRDefault="0076309C" w:rsidP="002711F1">
            <w:pPr>
              <w:rPr>
                <w:rFonts w:ascii="Arial" w:hAnsi="Arial" w:cs="Arial"/>
                <w:color w:val="000000"/>
              </w:rPr>
            </w:pPr>
          </w:p>
        </w:tc>
        <w:tc>
          <w:tcPr>
            <w:tcW w:w="4550" w:type="dxa"/>
            <w:vAlign w:val="center"/>
          </w:tcPr>
          <w:p w14:paraId="17403060" w14:textId="77777777" w:rsidR="0076309C" w:rsidRPr="0076309C" w:rsidRDefault="0076309C" w:rsidP="002711F1">
            <w:pPr>
              <w:rPr>
                <w:rFonts w:ascii="Arial" w:hAnsi="Arial" w:cs="Arial"/>
                <w:color w:val="000000"/>
              </w:rPr>
            </w:pPr>
            <w:r w:rsidRPr="0076309C">
              <w:rPr>
                <w:rFonts w:ascii="Arial" w:hAnsi="Arial" w:cs="Arial"/>
                <w:color w:val="000000"/>
              </w:rPr>
              <w:t>Vendor/partner support</w:t>
            </w:r>
          </w:p>
        </w:tc>
        <w:tc>
          <w:tcPr>
            <w:tcW w:w="1598" w:type="dxa"/>
            <w:vAlign w:val="center"/>
          </w:tcPr>
          <w:p w14:paraId="148C8DB2" w14:textId="77777777" w:rsidR="0076309C" w:rsidRPr="0076309C" w:rsidRDefault="0076309C" w:rsidP="002711F1">
            <w:pPr>
              <w:jc w:val="right"/>
              <w:rPr>
                <w:rFonts w:ascii="Arial" w:hAnsi="Arial" w:cs="Arial"/>
                <w:color w:val="000000"/>
              </w:rPr>
            </w:pPr>
            <w:r w:rsidRPr="0076309C">
              <w:rPr>
                <w:rFonts w:ascii="Arial" w:hAnsi="Arial" w:cs="Arial"/>
                <w:color w:val="000000"/>
              </w:rPr>
              <w:t>4</w:t>
            </w:r>
          </w:p>
        </w:tc>
      </w:tr>
      <w:tr w:rsidR="0076309C" w:rsidRPr="0076309C" w14:paraId="66B954EA" w14:textId="77777777" w:rsidTr="00F77A0A">
        <w:trPr>
          <w:trHeight w:val="196"/>
        </w:trPr>
        <w:tc>
          <w:tcPr>
            <w:tcW w:w="1698" w:type="dxa"/>
            <w:vMerge/>
            <w:vAlign w:val="center"/>
          </w:tcPr>
          <w:p w14:paraId="6D7504D2" w14:textId="77777777" w:rsidR="0076309C" w:rsidRPr="0076309C" w:rsidRDefault="0076309C" w:rsidP="002711F1">
            <w:pPr>
              <w:rPr>
                <w:rFonts w:ascii="Arial" w:hAnsi="Arial" w:cs="Arial"/>
                <w:color w:val="000000"/>
              </w:rPr>
            </w:pPr>
          </w:p>
        </w:tc>
        <w:tc>
          <w:tcPr>
            <w:tcW w:w="4550" w:type="dxa"/>
            <w:vAlign w:val="center"/>
          </w:tcPr>
          <w:p w14:paraId="3D46DF4E" w14:textId="77777777" w:rsidR="0076309C" w:rsidRPr="0076309C" w:rsidRDefault="0076309C" w:rsidP="002711F1">
            <w:pPr>
              <w:rPr>
                <w:rFonts w:ascii="Arial" w:hAnsi="Arial" w:cs="Arial"/>
                <w:color w:val="000000"/>
              </w:rPr>
            </w:pPr>
            <w:r w:rsidRPr="0076309C">
              <w:rPr>
                <w:rFonts w:ascii="Arial" w:hAnsi="Arial" w:cs="Arial"/>
                <w:color w:val="000000"/>
              </w:rPr>
              <w:t>Industry bodies/associations</w:t>
            </w:r>
          </w:p>
        </w:tc>
        <w:tc>
          <w:tcPr>
            <w:tcW w:w="1598" w:type="dxa"/>
            <w:vAlign w:val="center"/>
          </w:tcPr>
          <w:p w14:paraId="62F18648"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377EA846" w14:textId="77777777" w:rsidTr="00F77A0A">
        <w:trPr>
          <w:trHeight w:val="214"/>
        </w:trPr>
        <w:tc>
          <w:tcPr>
            <w:tcW w:w="1698" w:type="dxa"/>
            <w:vMerge w:val="restart"/>
            <w:vAlign w:val="center"/>
          </w:tcPr>
          <w:p w14:paraId="6EFB9043" w14:textId="77777777" w:rsidR="0076309C" w:rsidRPr="0076309C" w:rsidRDefault="0076309C" w:rsidP="002711F1">
            <w:pPr>
              <w:rPr>
                <w:rFonts w:ascii="Arial" w:hAnsi="Arial" w:cs="Arial"/>
                <w:color w:val="000000"/>
              </w:rPr>
            </w:pPr>
            <w:r w:rsidRPr="0076309C">
              <w:rPr>
                <w:rFonts w:ascii="Arial" w:hAnsi="Arial" w:cs="Arial"/>
              </w:rPr>
              <w:t>Government &amp; Regulation</w:t>
            </w:r>
          </w:p>
        </w:tc>
        <w:tc>
          <w:tcPr>
            <w:tcW w:w="4550" w:type="dxa"/>
            <w:vAlign w:val="center"/>
          </w:tcPr>
          <w:p w14:paraId="43DA52D3" w14:textId="77777777" w:rsidR="0076309C" w:rsidRPr="0076309C" w:rsidRDefault="0076309C" w:rsidP="002711F1">
            <w:pPr>
              <w:rPr>
                <w:rFonts w:ascii="Arial" w:hAnsi="Arial" w:cs="Arial"/>
                <w:color w:val="000000"/>
              </w:rPr>
            </w:pPr>
            <w:r w:rsidRPr="0076309C">
              <w:rPr>
                <w:rFonts w:ascii="Arial" w:hAnsi="Arial" w:cs="Arial"/>
                <w:color w:val="000000"/>
              </w:rPr>
              <w:t>Government/regulatory</w:t>
            </w:r>
          </w:p>
        </w:tc>
        <w:tc>
          <w:tcPr>
            <w:tcW w:w="1598" w:type="dxa"/>
            <w:vAlign w:val="center"/>
          </w:tcPr>
          <w:p w14:paraId="29A8457D" w14:textId="77777777" w:rsidR="0076309C" w:rsidRPr="0076309C" w:rsidRDefault="0076309C" w:rsidP="002711F1">
            <w:pPr>
              <w:jc w:val="right"/>
              <w:rPr>
                <w:rFonts w:ascii="Arial" w:hAnsi="Arial" w:cs="Arial"/>
                <w:color w:val="000000"/>
              </w:rPr>
            </w:pPr>
            <w:r w:rsidRPr="0076309C">
              <w:rPr>
                <w:rFonts w:ascii="Arial" w:hAnsi="Arial" w:cs="Arial"/>
                <w:color w:val="000000"/>
              </w:rPr>
              <w:t>7</w:t>
            </w:r>
          </w:p>
        </w:tc>
      </w:tr>
      <w:tr w:rsidR="0076309C" w:rsidRPr="0076309C" w14:paraId="7E947FE8" w14:textId="77777777" w:rsidTr="00F77A0A">
        <w:trPr>
          <w:trHeight w:val="250"/>
        </w:trPr>
        <w:tc>
          <w:tcPr>
            <w:tcW w:w="1698" w:type="dxa"/>
            <w:vMerge/>
          </w:tcPr>
          <w:p w14:paraId="110A536F" w14:textId="77777777" w:rsidR="0076309C" w:rsidRPr="0076309C" w:rsidRDefault="0076309C" w:rsidP="002711F1">
            <w:pPr>
              <w:rPr>
                <w:rFonts w:ascii="Arial" w:hAnsi="Arial" w:cs="Arial"/>
                <w:color w:val="000000"/>
              </w:rPr>
            </w:pPr>
          </w:p>
        </w:tc>
        <w:tc>
          <w:tcPr>
            <w:tcW w:w="4550" w:type="dxa"/>
            <w:vAlign w:val="center"/>
          </w:tcPr>
          <w:p w14:paraId="542F802C" w14:textId="77777777" w:rsidR="0076309C" w:rsidRPr="0076309C" w:rsidRDefault="0076309C" w:rsidP="002711F1">
            <w:pPr>
              <w:rPr>
                <w:rFonts w:ascii="Arial" w:hAnsi="Arial" w:cs="Arial"/>
                <w:color w:val="000000"/>
              </w:rPr>
            </w:pPr>
            <w:r w:rsidRPr="0076309C">
              <w:rPr>
                <w:rFonts w:ascii="Arial" w:hAnsi="Arial" w:cs="Arial"/>
                <w:color w:val="000000"/>
              </w:rPr>
              <w:t>Regulatory uncertainty</w:t>
            </w:r>
          </w:p>
        </w:tc>
        <w:tc>
          <w:tcPr>
            <w:tcW w:w="1598" w:type="dxa"/>
            <w:vAlign w:val="center"/>
          </w:tcPr>
          <w:p w14:paraId="3D54F053" w14:textId="77777777" w:rsidR="0076309C" w:rsidRPr="0076309C" w:rsidRDefault="0076309C" w:rsidP="002711F1">
            <w:pPr>
              <w:jc w:val="right"/>
              <w:rPr>
                <w:rFonts w:ascii="Arial" w:hAnsi="Arial" w:cs="Arial"/>
                <w:color w:val="000000"/>
              </w:rPr>
            </w:pPr>
            <w:r w:rsidRPr="0076309C">
              <w:rPr>
                <w:rFonts w:ascii="Arial" w:hAnsi="Arial" w:cs="Arial"/>
                <w:color w:val="000000"/>
              </w:rPr>
              <w:t>3</w:t>
            </w:r>
          </w:p>
        </w:tc>
      </w:tr>
      <w:tr w:rsidR="0076309C" w:rsidRPr="0076309C" w14:paraId="3D49F91B" w14:textId="77777777" w:rsidTr="00F77A0A">
        <w:trPr>
          <w:trHeight w:val="259"/>
        </w:trPr>
        <w:tc>
          <w:tcPr>
            <w:tcW w:w="1698" w:type="dxa"/>
            <w:vMerge/>
          </w:tcPr>
          <w:p w14:paraId="21FBECBB" w14:textId="77777777" w:rsidR="0076309C" w:rsidRPr="0076309C" w:rsidRDefault="0076309C" w:rsidP="002711F1">
            <w:pPr>
              <w:rPr>
                <w:rFonts w:ascii="Arial" w:hAnsi="Arial" w:cs="Arial"/>
                <w:color w:val="000000"/>
              </w:rPr>
            </w:pPr>
          </w:p>
        </w:tc>
        <w:tc>
          <w:tcPr>
            <w:tcW w:w="4550" w:type="dxa"/>
            <w:vAlign w:val="center"/>
          </w:tcPr>
          <w:p w14:paraId="58B588BD" w14:textId="77777777" w:rsidR="0076309C" w:rsidRPr="0076309C" w:rsidRDefault="0076309C" w:rsidP="002711F1">
            <w:pPr>
              <w:rPr>
                <w:rFonts w:ascii="Arial" w:hAnsi="Arial" w:cs="Arial"/>
                <w:color w:val="000000"/>
              </w:rPr>
            </w:pPr>
            <w:r w:rsidRPr="0076309C">
              <w:rPr>
                <w:rFonts w:ascii="Arial" w:hAnsi="Arial" w:cs="Arial"/>
                <w:color w:val="000000"/>
              </w:rPr>
              <w:t>Macro/national readiness</w:t>
            </w:r>
          </w:p>
        </w:tc>
        <w:tc>
          <w:tcPr>
            <w:tcW w:w="1598" w:type="dxa"/>
            <w:vAlign w:val="center"/>
          </w:tcPr>
          <w:p w14:paraId="474BAD73"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7B677759" w14:textId="77777777" w:rsidTr="00F77A0A">
        <w:trPr>
          <w:trHeight w:val="259"/>
        </w:trPr>
        <w:tc>
          <w:tcPr>
            <w:tcW w:w="1698" w:type="dxa"/>
            <w:vMerge w:val="restart"/>
            <w:vAlign w:val="center"/>
          </w:tcPr>
          <w:p w14:paraId="59E662F7" w14:textId="77777777" w:rsidR="0076309C" w:rsidRPr="0076309C" w:rsidRDefault="0076309C" w:rsidP="002711F1">
            <w:pPr>
              <w:rPr>
                <w:rFonts w:ascii="Arial" w:hAnsi="Arial" w:cs="Arial"/>
                <w:color w:val="000000"/>
              </w:rPr>
            </w:pPr>
            <w:r w:rsidRPr="0076309C">
              <w:rPr>
                <w:rFonts w:ascii="Arial" w:hAnsi="Arial" w:cs="Arial"/>
                <w:color w:val="000000"/>
              </w:rPr>
              <w:t>Institutional Pressures</w:t>
            </w:r>
          </w:p>
        </w:tc>
        <w:tc>
          <w:tcPr>
            <w:tcW w:w="4550" w:type="dxa"/>
            <w:vAlign w:val="center"/>
          </w:tcPr>
          <w:p w14:paraId="766F759E" w14:textId="77777777" w:rsidR="0076309C" w:rsidRPr="0076309C" w:rsidRDefault="0076309C" w:rsidP="002711F1">
            <w:pPr>
              <w:rPr>
                <w:rFonts w:ascii="Arial" w:hAnsi="Arial" w:cs="Arial"/>
                <w:color w:val="000000"/>
              </w:rPr>
            </w:pPr>
            <w:r w:rsidRPr="0076309C">
              <w:rPr>
                <w:rFonts w:ascii="Arial" w:hAnsi="Arial" w:cs="Arial"/>
                <w:color w:val="000000"/>
              </w:rPr>
              <w:t>Institutional/bandwagon</w:t>
            </w:r>
          </w:p>
        </w:tc>
        <w:tc>
          <w:tcPr>
            <w:tcW w:w="1598" w:type="dxa"/>
            <w:vAlign w:val="center"/>
          </w:tcPr>
          <w:p w14:paraId="2D003113" w14:textId="77777777" w:rsidR="0076309C" w:rsidRPr="0076309C" w:rsidRDefault="0076309C" w:rsidP="002711F1">
            <w:pPr>
              <w:jc w:val="right"/>
              <w:rPr>
                <w:rFonts w:ascii="Arial" w:hAnsi="Arial" w:cs="Arial"/>
                <w:color w:val="000000"/>
              </w:rPr>
            </w:pPr>
            <w:r w:rsidRPr="0076309C">
              <w:rPr>
                <w:rFonts w:ascii="Arial" w:hAnsi="Arial" w:cs="Arial"/>
                <w:color w:val="000000"/>
              </w:rPr>
              <w:t>3</w:t>
            </w:r>
          </w:p>
        </w:tc>
      </w:tr>
      <w:tr w:rsidR="0076309C" w:rsidRPr="0076309C" w14:paraId="2127A545" w14:textId="77777777" w:rsidTr="00F77A0A">
        <w:trPr>
          <w:trHeight w:val="259"/>
        </w:trPr>
        <w:tc>
          <w:tcPr>
            <w:tcW w:w="1698" w:type="dxa"/>
            <w:vMerge/>
          </w:tcPr>
          <w:p w14:paraId="4B5A7C2E" w14:textId="77777777" w:rsidR="0076309C" w:rsidRPr="0076309C" w:rsidRDefault="0076309C" w:rsidP="002711F1">
            <w:pPr>
              <w:rPr>
                <w:rFonts w:ascii="Arial" w:hAnsi="Arial" w:cs="Arial"/>
                <w:color w:val="000000"/>
              </w:rPr>
            </w:pPr>
          </w:p>
        </w:tc>
        <w:tc>
          <w:tcPr>
            <w:tcW w:w="4550" w:type="dxa"/>
            <w:vAlign w:val="center"/>
          </w:tcPr>
          <w:p w14:paraId="695ACB72" w14:textId="77777777" w:rsidR="0076309C" w:rsidRPr="0076309C" w:rsidRDefault="0076309C" w:rsidP="002711F1">
            <w:pPr>
              <w:rPr>
                <w:rFonts w:ascii="Arial" w:hAnsi="Arial" w:cs="Arial"/>
                <w:color w:val="000000"/>
              </w:rPr>
            </w:pPr>
            <w:r w:rsidRPr="0076309C">
              <w:rPr>
                <w:rFonts w:ascii="Arial" w:hAnsi="Arial" w:cs="Arial"/>
                <w:color w:val="000000"/>
              </w:rPr>
              <w:t>Institutional/coercive</w:t>
            </w:r>
          </w:p>
        </w:tc>
        <w:tc>
          <w:tcPr>
            <w:tcW w:w="1598" w:type="dxa"/>
            <w:vAlign w:val="center"/>
          </w:tcPr>
          <w:p w14:paraId="5B3BD357"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167D61DF" w14:textId="77777777" w:rsidTr="00F77A0A">
        <w:trPr>
          <w:trHeight w:val="259"/>
        </w:trPr>
        <w:tc>
          <w:tcPr>
            <w:tcW w:w="1698" w:type="dxa"/>
            <w:vMerge/>
          </w:tcPr>
          <w:p w14:paraId="08FC1ACA" w14:textId="77777777" w:rsidR="0076309C" w:rsidRPr="0076309C" w:rsidRDefault="0076309C" w:rsidP="002711F1">
            <w:pPr>
              <w:rPr>
                <w:rFonts w:ascii="Arial" w:hAnsi="Arial" w:cs="Arial"/>
                <w:color w:val="000000"/>
              </w:rPr>
            </w:pPr>
          </w:p>
        </w:tc>
        <w:tc>
          <w:tcPr>
            <w:tcW w:w="4550" w:type="dxa"/>
            <w:vAlign w:val="center"/>
          </w:tcPr>
          <w:p w14:paraId="4A9C7F3D" w14:textId="77777777" w:rsidR="0076309C" w:rsidRPr="0076309C" w:rsidRDefault="0076309C" w:rsidP="002711F1">
            <w:pPr>
              <w:rPr>
                <w:rFonts w:ascii="Arial" w:hAnsi="Arial" w:cs="Arial"/>
                <w:color w:val="000000"/>
              </w:rPr>
            </w:pPr>
            <w:r w:rsidRPr="0076309C">
              <w:rPr>
                <w:rFonts w:ascii="Arial" w:hAnsi="Arial" w:cs="Arial"/>
                <w:color w:val="000000"/>
              </w:rPr>
              <w:t>Institutional/normative</w:t>
            </w:r>
          </w:p>
        </w:tc>
        <w:tc>
          <w:tcPr>
            <w:tcW w:w="1598" w:type="dxa"/>
            <w:vAlign w:val="center"/>
          </w:tcPr>
          <w:p w14:paraId="70CA286A"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2990B206" w14:textId="77777777" w:rsidTr="00F77A0A">
        <w:trPr>
          <w:trHeight w:val="278"/>
        </w:trPr>
        <w:tc>
          <w:tcPr>
            <w:tcW w:w="1698" w:type="dxa"/>
            <w:vMerge/>
          </w:tcPr>
          <w:p w14:paraId="6320691F" w14:textId="77777777" w:rsidR="0076309C" w:rsidRPr="0076309C" w:rsidRDefault="0076309C" w:rsidP="002711F1">
            <w:pPr>
              <w:rPr>
                <w:rFonts w:ascii="Arial" w:hAnsi="Arial" w:cs="Arial"/>
                <w:color w:val="000000"/>
              </w:rPr>
            </w:pPr>
          </w:p>
        </w:tc>
        <w:tc>
          <w:tcPr>
            <w:tcW w:w="4550" w:type="dxa"/>
            <w:vAlign w:val="center"/>
          </w:tcPr>
          <w:p w14:paraId="6D6DC48B" w14:textId="77777777" w:rsidR="0076309C" w:rsidRPr="0076309C" w:rsidRDefault="0076309C" w:rsidP="002711F1">
            <w:pPr>
              <w:rPr>
                <w:rFonts w:ascii="Arial" w:hAnsi="Arial" w:cs="Arial"/>
                <w:color w:val="000000"/>
              </w:rPr>
            </w:pPr>
            <w:r w:rsidRPr="0076309C">
              <w:rPr>
                <w:rFonts w:ascii="Arial" w:hAnsi="Arial" w:cs="Arial"/>
                <w:color w:val="000000"/>
              </w:rPr>
              <w:t>Institutional/mimetic</w:t>
            </w:r>
          </w:p>
        </w:tc>
        <w:tc>
          <w:tcPr>
            <w:tcW w:w="1598" w:type="dxa"/>
            <w:vAlign w:val="center"/>
          </w:tcPr>
          <w:p w14:paraId="2719F31F"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12896C26" w14:textId="77777777" w:rsidTr="00F77A0A">
        <w:trPr>
          <w:trHeight w:val="269"/>
        </w:trPr>
        <w:tc>
          <w:tcPr>
            <w:tcW w:w="1698" w:type="dxa"/>
            <w:vMerge w:val="restart"/>
            <w:vAlign w:val="center"/>
          </w:tcPr>
          <w:p w14:paraId="2F0A47C7" w14:textId="77777777" w:rsidR="0076309C" w:rsidRPr="0076309C" w:rsidRDefault="0076309C" w:rsidP="002711F1">
            <w:pPr>
              <w:rPr>
                <w:rFonts w:ascii="Arial" w:hAnsi="Arial" w:cs="Arial"/>
                <w:color w:val="000000"/>
              </w:rPr>
            </w:pPr>
            <w:r w:rsidRPr="0076309C">
              <w:rPr>
                <w:rFonts w:ascii="Arial" w:hAnsi="Arial" w:cs="Arial"/>
                <w:color w:val="000000"/>
              </w:rPr>
              <w:t>External Support &amp; Safety</w:t>
            </w:r>
          </w:p>
        </w:tc>
        <w:tc>
          <w:tcPr>
            <w:tcW w:w="4550" w:type="dxa"/>
            <w:vAlign w:val="center"/>
          </w:tcPr>
          <w:tbl>
            <w:tblPr>
              <w:tblW w:w="0" w:type="auto"/>
              <w:tblCellSpacing w:w="15" w:type="dxa"/>
              <w:tblInd w:w="9" w:type="dxa"/>
              <w:tblLayout w:type="fixed"/>
              <w:tblCellMar>
                <w:top w:w="15" w:type="dxa"/>
                <w:left w:w="15" w:type="dxa"/>
                <w:bottom w:w="15" w:type="dxa"/>
                <w:right w:w="15" w:type="dxa"/>
              </w:tblCellMar>
              <w:tblLook w:val="04A0" w:firstRow="1" w:lastRow="0" w:firstColumn="1" w:lastColumn="0" w:noHBand="0" w:noVBand="1"/>
            </w:tblPr>
            <w:tblGrid>
              <w:gridCol w:w="177"/>
            </w:tblGrid>
            <w:tr w:rsidR="0076309C" w:rsidRPr="0076309C" w14:paraId="4C4F73C4" w14:textId="77777777" w:rsidTr="0076309C">
              <w:trPr>
                <w:trHeight w:hRule="exact" w:val="12"/>
                <w:tblCellSpacing w:w="15" w:type="dxa"/>
              </w:trPr>
              <w:tc>
                <w:tcPr>
                  <w:tcW w:w="117" w:type="dxa"/>
                  <w:vAlign w:val="center"/>
                  <w:hideMark/>
                </w:tcPr>
                <w:p w14:paraId="38706E97" w14:textId="77777777" w:rsidR="0076309C" w:rsidRPr="0076309C" w:rsidRDefault="0076309C" w:rsidP="002711F1">
                  <w:pPr>
                    <w:rPr>
                      <w:rFonts w:ascii="Arial" w:hAnsi="Arial" w:cs="Arial"/>
                      <w:color w:val="000000"/>
                    </w:rPr>
                  </w:pPr>
                </w:p>
              </w:tc>
            </w:tr>
          </w:tbl>
          <w:p w14:paraId="1F190909" w14:textId="77777777" w:rsidR="0076309C" w:rsidRPr="0076309C" w:rsidRDefault="0076309C" w:rsidP="002711F1">
            <w:pPr>
              <w:rPr>
                <w:rFonts w:ascii="Arial" w:hAnsi="Arial" w:cs="Arial"/>
                <w:vanish/>
                <w:color w:val="000000"/>
              </w:rPr>
            </w:pPr>
          </w:p>
          <w:p w14:paraId="1E7C6827" w14:textId="77777777" w:rsidR="0076309C" w:rsidRPr="0076309C" w:rsidRDefault="0076309C" w:rsidP="002711F1">
            <w:pPr>
              <w:rPr>
                <w:rFonts w:ascii="Arial" w:hAnsi="Arial" w:cs="Arial"/>
                <w:color w:val="000000"/>
              </w:rPr>
            </w:pPr>
            <w:r w:rsidRPr="0076309C">
              <w:rPr>
                <w:rFonts w:ascii="Arial" w:hAnsi="Arial" w:cs="Arial"/>
                <w:color w:val="000000"/>
              </w:rPr>
              <w:t>External support</w:t>
            </w:r>
          </w:p>
        </w:tc>
        <w:tc>
          <w:tcPr>
            <w:tcW w:w="1598" w:type="dxa"/>
            <w:vAlign w:val="center"/>
          </w:tcPr>
          <w:p w14:paraId="25B45764" w14:textId="77777777" w:rsidR="0076309C" w:rsidRPr="0076309C" w:rsidRDefault="0076309C" w:rsidP="002711F1">
            <w:pPr>
              <w:jc w:val="right"/>
              <w:rPr>
                <w:rFonts w:ascii="Arial" w:hAnsi="Arial" w:cs="Arial"/>
                <w:color w:val="000000"/>
              </w:rPr>
            </w:pPr>
            <w:r w:rsidRPr="0076309C">
              <w:rPr>
                <w:rFonts w:ascii="Arial" w:hAnsi="Arial" w:cs="Arial"/>
                <w:color w:val="000000"/>
              </w:rPr>
              <w:t>4</w:t>
            </w:r>
          </w:p>
        </w:tc>
      </w:tr>
      <w:tr w:rsidR="0076309C" w:rsidRPr="0076309C" w14:paraId="15D9A215" w14:textId="77777777" w:rsidTr="00F77A0A">
        <w:trPr>
          <w:trHeight w:val="259"/>
        </w:trPr>
        <w:tc>
          <w:tcPr>
            <w:tcW w:w="1698" w:type="dxa"/>
            <w:vMerge/>
          </w:tcPr>
          <w:p w14:paraId="3D06B8F5" w14:textId="77777777" w:rsidR="0076309C" w:rsidRPr="0076309C" w:rsidRDefault="0076309C" w:rsidP="002711F1">
            <w:pPr>
              <w:rPr>
                <w:rFonts w:ascii="Arial" w:hAnsi="Arial" w:cs="Arial"/>
                <w:color w:val="000000"/>
              </w:rPr>
            </w:pPr>
          </w:p>
        </w:tc>
        <w:tc>
          <w:tcPr>
            <w:tcW w:w="4550" w:type="dxa"/>
            <w:vAlign w:val="center"/>
          </w:tcPr>
          <w:p w14:paraId="45F26FF6" w14:textId="77777777" w:rsidR="0076309C" w:rsidRPr="0076309C" w:rsidRDefault="0076309C" w:rsidP="002711F1">
            <w:pPr>
              <w:rPr>
                <w:rFonts w:ascii="Arial" w:hAnsi="Arial" w:cs="Arial"/>
                <w:color w:val="000000"/>
              </w:rPr>
            </w:pPr>
            <w:r w:rsidRPr="0076309C">
              <w:rPr>
                <w:rFonts w:ascii="Arial" w:hAnsi="Arial" w:cs="Arial"/>
                <w:color w:val="000000"/>
              </w:rPr>
              <w:t>External training/support</w:t>
            </w:r>
          </w:p>
        </w:tc>
        <w:tc>
          <w:tcPr>
            <w:tcW w:w="1598" w:type="dxa"/>
            <w:vAlign w:val="center"/>
          </w:tcPr>
          <w:p w14:paraId="00BE0BDC" w14:textId="77777777" w:rsidR="0076309C" w:rsidRPr="0076309C" w:rsidRDefault="0076309C" w:rsidP="002711F1">
            <w:pPr>
              <w:jc w:val="right"/>
              <w:rPr>
                <w:rFonts w:ascii="Arial" w:hAnsi="Arial" w:cs="Arial"/>
                <w:color w:val="000000"/>
              </w:rPr>
            </w:pPr>
            <w:r w:rsidRPr="0076309C">
              <w:rPr>
                <w:rFonts w:ascii="Arial" w:hAnsi="Arial" w:cs="Arial"/>
                <w:color w:val="000000"/>
              </w:rPr>
              <w:t>3</w:t>
            </w:r>
          </w:p>
        </w:tc>
      </w:tr>
      <w:tr w:rsidR="0076309C" w:rsidRPr="0076309C" w14:paraId="59D1224B" w14:textId="77777777" w:rsidTr="00F77A0A">
        <w:trPr>
          <w:trHeight w:val="259"/>
        </w:trPr>
        <w:tc>
          <w:tcPr>
            <w:tcW w:w="1698" w:type="dxa"/>
            <w:vMerge/>
          </w:tcPr>
          <w:p w14:paraId="592BCB15" w14:textId="77777777" w:rsidR="0076309C" w:rsidRPr="0076309C" w:rsidRDefault="0076309C" w:rsidP="002711F1">
            <w:pPr>
              <w:rPr>
                <w:rFonts w:ascii="Arial" w:hAnsi="Arial" w:cs="Arial"/>
                <w:color w:val="000000"/>
              </w:rPr>
            </w:pPr>
          </w:p>
        </w:tc>
        <w:tc>
          <w:tcPr>
            <w:tcW w:w="4550" w:type="dxa"/>
            <w:vAlign w:val="center"/>
          </w:tcPr>
          <w:p w14:paraId="001AC69A" w14:textId="77777777" w:rsidR="0076309C" w:rsidRPr="0076309C" w:rsidRDefault="0076309C" w:rsidP="002711F1">
            <w:pPr>
              <w:rPr>
                <w:rFonts w:ascii="Arial" w:hAnsi="Arial" w:cs="Arial"/>
                <w:color w:val="000000"/>
              </w:rPr>
            </w:pPr>
            <w:r w:rsidRPr="0076309C">
              <w:rPr>
                <w:rFonts w:ascii="Arial" w:hAnsi="Arial" w:cs="Arial"/>
                <w:color w:val="000000"/>
              </w:rPr>
              <w:t>Standards and safety</w:t>
            </w:r>
          </w:p>
        </w:tc>
        <w:tc>
          <w:tcPr>
            <w:tcW w:w="1598" w:type="dxa"/>
            <w:vAlign w:val="center"/>
          </w:tcPr>
          <w:p w14:paraId="1E41B533" w14:textId="77777777" w:rsidR="0076309C" w:rsidRPr="0076309C" w:rsidRDefault="0076309C" w:rsidP="002711F1">
            <w:pPr>
              <w:jc w:val="right"/>
              <w:rPr>
                <w:rFonts w:ascii="Arial" w:hAnsi="Arial" w:cs="Arial"/>
                <w:color w:val="000000"/>
              </w:rPr>
            </w:pPr>
            <w:r w:rsidRPr="0076309C">
              <w:rPr>
                <w:rFonts w:ascii="Arial" w:hAnsi="Arial" w:cs="Arial"/>
                <w:color w:val="000000"/>
              </w:rPr>
              <w:t>3</w:t>
            </w:r>
          </w:p>
        </w:tc>
      </w:tr>
      <w:tr w:rsidR="0076309C" w:rsidRPr="0076309C" w14:paraId="7CDD9833" w14:textId="77777777" w:rsidTr="00F77A0A">
        <w:trPr>
          <w:trHeight w:val="259"/>
        </w:trPr>
        <w:tc>
          <w:tcPr>
            <w:tcW w:w="1698" w:type="dxa"/>
            <w:vMerge/>
          </w:tcPr>
          <w:p w14:paraId="471D8B63" w14:textId="77777777" w:rsidR="0076309C" w:rsidRPr="0076309C" w:rsidRDefault="0076309C" w:rsidP="002711F1">
            <w:pPr>
              <w:rPr>
                <w:rFonts w:ascii="Arial" w:hAnsi="Arial" w:cs="Arial"/>
                <w:color w:val="000000"/>
              </w:rPr>
            </w:pPr>
          </w:p>
        </w:tc>
        <w:tc>
          <w:tcPr>
            <w:tcW w:w="4550" w:type="dxa"/>
            <w:vAlign w:val="center"/>
          </w:tcPr>
          <w:p w14:paraId="53791D45" w14:textId="77777777" w:rsidR="0076309C" w:rsidRPr="0076309C" w:rsidRDefault="0076309C" w:rsidP="002711F1">
            <w:pPr>
              <w:rPr>
                <w:rFonts w:ascii="Arial" w:hAnsi="Arial" w:cs="Arial"/>
                <w:color w:val="000000"/>
              </w:rPr>
            </w:pPr>
            <w:r w:rsidRPr="0076309C">
              <w:rPr>
                <w:rFonts w:ascii="Arial" w:hAnsi="Arial" w:cs="Arial"/>
                <w:color w:val="000000"/>
              </w:rPr>
              <w:t>Technological environment</w:t>
            </w:r>
          </w:p>
        </w:tc>
        <w:tc>
          <w:tcPr>
            <w:tcW w:w="1598" w:type="dxa"/>
            <w:vAlign w:val="center"/>
          </w:tcPr>
          <w:p w14:paraId="6864C4C5" w14:textId="77777777" w:rsidR="0076309C" w:rsidRPr="0076309C" w:rsidRDefault="0076309C" w:rsidP="002711F1">
            <w:pPr>
              <w:keepNext/>
              <w:jc w:val="right"/>
              <w:rPr>
                <w:rFonts w:ascii="Arial" w:hAnsi="Arial" w:cs="Arial"/>
                <w:color w:val="000000"/>
              </w:rPr>
            </w:pPr>
            <w:r w:rsidRPr="0076309C">
              <w:rPr>
                <w:rFonts w:ascii="Arial" w:hAnsi="Arial" w:cs="Arial"/>
                <w:color w:val="000000"/>
              </w:rPr>
              <w:t>2</w:t>
            </w:r>
          </w:p>
        </w:tc>
      </w:tr>
    </w:tbl>
    <w:p w14:paraId="2DC63CB5" w14:textId="77777777" w:rsidR="003F216A" w:rsidRDefault="003F216A" w:rsidP="00441B6F">
      <w:pPr>
        <w:pStyle w:val="Body"/>
        <w:spacing w:after="0"/>
        <w:rPr>
          <w:rFonts w:ascii="Arial" w:hAnsi="Arial" w:cs="Arial"/>
        </w:rPr>
      </w:pPr>
    </w:p>
    <w:p w14:paraId="5C18D2F9" w14:textId="251ABF49" w:rsidR="003F216A" w:rsidRDefault="00526A0E" w:rsidP="003F216A">
      <w:pPr>
        <w:pStyle w:val="Head1"/>
        <w:spacing w:after="0"/>
        <w:jc w:val="both"/>
        <w:rPr>
          <w:rFonts w:ascii="Arial" w:hAnsi="Arial" w:cs="Arial"/>
        </w:rPr>
      </w:pPr>
      <w:r>
        <w:rPr>
          <w:rFonts w:ascii="Arial" w:hAnsi="Arial" w:cs="Arial"/>
        </w:rPr>
        <w:t>3</w:t>
      </w:r>
      <w:r w:rsidRPr="00C30A0F">
        <w:rPr>
          <w:rFonts w:ascii="Arial" w:hAnsi="Arial" w:cs="Arial"/>
        </w:rPr>
        <w:t>.</w:t>
      </w:r>
      <w:r>
        <w:rPr>
          <w:rFonts w:ascii="Arial" w:hAnsi="Arial" w:cs="Arial"/>
        </w:rPr>
        <w:t>4</w:t>
      </w:r>
      <w:r w:rsidRPr="00C30A0F">
        <w:rPr>
          <w:rFonts w:ascii="Arial" w:hAnsi="Arial" w:cs="Arial"/>
        </w:rPr>
        <w:t xml:space="preserve"> </w:t>
      </w:r>
      <w:r w:rsidRPr="00526A0E">
        <w:rPr>
          <w:rFonts w:ascii="Arial" w:hAnsi="Arial" w:cs="Arial"/>
        </w:rPr>
        <w:t>DISCUSSION</w:t>
      </w:r>
    </w:p>
    <w:p w14:paraId="441AD6E6" w14:textId="77777777" w:rsidR="00526A0E" w:rsidRDefault="00526A0E" w:rsidP="003F216A">
      <w:pPr>
        <w:pStyle w:val="Head1"/>
        <w:spacing w:after="0"/>
        <w:jc w:val="both"/>
        <w:rPr>
          <w:rFonts w:ascii="Arial" w:hAnsi="Arial" w:cs="Arial"/>
        </w:rPr>
      </w:pPr>
    </w:p>
    <w:p w14:paraId="136CFEFA" w14:textId="27AD5643" w:rsidR="00526A0E" w:rsidRDefault="00526A0E" w:rsidP="00526A0E">
      <w:pPr>
        <w:pStyle w:val="Head1"/>
        <w:spacing w:after="0"/>
        <w:jc w:val="both"/>
        <w:rPr>
          <w:rFonts w:ascii="Arial" w:hAnsi="Arial" w:cs="Arial"/>
        </w:rPr>
      </w:pPr>
      <w:r>
        <w:rPr>
          <w:rFonts w:ascii="Arial" w:hAnsi="Arial" w:cs="Arial"/>
          <w:u w:val="single"/>
        </w:rPr>
        <w:t>3</w:t>
      </w:r>
      <w:r w:rsidRPr="00902823">
        <w:rPr>
          <w:rFonts w:ascii="Arial" w:hAnsi="Arial" w:cs="Arial"/>
          <w:u w:val="single"/>
        </w:rPr>
        <w:t>.</w:t>
      </w:r>
      <w:r>
        <w:rPr>
          <w:rFonts w:ascii="Arial" w:hAnsi="Arial" w:cs="Arial"/>
          <w:u w:val="single"/>
        </w:rPr>
        <w:t>4</w:t>
      </w:r>
      <w:r w:rsidRPr="00902823">
        <w:rPr>
          <w:rFonts w:ascii="Arial" w:hAnsi="Arial" w:cs="Arial"/>
          <w:u w:val="single"/>
        </w:rPr>
        <w:t xml:space="preserve">.1 </w:t>
      </w:r>
      <w:r w:rsidRPr="00526A0E">
        <w:rPr>
          <w:rFonts w:ascii="Arial" w:hAnsi="Arial" w:cs="Arial"/>
          <w:u w:val="single"/>
        </w:rPr>
        <w:t>Technological Factors Influencing AI Adoption in Software Development</w:t>
      </w:r>
    </w:p>
    <w:p w14:paraId="6466819F" w14:textId="77777777" w:rsidR="003F216A" w:rsidRDefault="003F216A" w:rsidP="00441B6F">
      <w:pPr>
        <w:pStyle w:val="Body"/>
        <w:spacing w:after="0"/>
        <w:rPr>
          <w:rFonts w:ascii="Arial" w:hAnsi="Arial" w:cs="Arial"/>
        </w:rPr>
      </w:pPr>
    </w:p>
    <w:p w14:paraId="1C00F3DF" w14:textId="77777777" w:rsidR="00526A0E" w:rsidRDefault="00526A0E" w:rsidP="00526A0E">
      <w:pPr>
        <w:pStyle w:val="Body"/>
        <w:spacing w:after="0"/>
        <w:rPr>
          <w:rFonts w:ascii="Arial" w:hAnsi="Arial" w:cs="Arial"/>
        </w:rPr>
      </w:pPr>
      <w:r w:rsidRPr="00526A0E">
        <w:rPr>
          <w:rFonts w:ascii="Arial" w:hAnsi="Arial" w:cs="Arial"/>
        </w:rPr>
        <w:t>Technological determinants are consistently central to adoption decisions. Relative advantage stands out as a strong predictor: Indonesian MSMEs showed significant positive effects of relative advantage on cloud adoption, which improved efficiency and sales (Aligarh et al., 2023). In the Malaysian FinTech sector, hybrid project management tools under Quality 4.0 reinforced adoption by demonstrating sustainable performance gains (Xiang et al., 2023). These cases confirm that adoption depends on visible, outcome-linked benefits.</w:t>
      </w:r>
    </w:p>
    <w:p w14:paraId="2A3EBAF9" w14:textId="77777777" w:rsidR="00526A0E" w:rsidRPr="00526A0E" w:rsidRDefault="00526A0E" w:rsidP="00526A0E">
      <w:pPr>
        <w:pStyle w:val="Body"/>
        <w:spacing w:after="0"/>
        <w:rPr>
          <w:rFonts w:ascii="Arial" w:hAnsi="Arial" w:cs="Arial"/>
        </w:rPr>
      </w:pPr>
    </w:p>
    <w:p w14:paraId="6B987200" w14:textId="77777777" w:rsidR="00526A0E" w:rsidRDefault="00526A0E" w:rsidP="00526A0E">
      <w:pPr>
        <w:pStyle w:val="Body"/>
        <w:spacing w:after="0"/>
        <w:rPr>
          <w:rFonts w:ascii="Arial" w:hAnsi="Arial" w:cs="Arial"/>
        </w:rPr>
      </w:pPr>
      <w:r w:rsidRPr="00526A0E">
        <w:rPr>
          <w:rFonts w:ascii="Arial" w:hAnsi="Arial" w:cs="Arial"/>
        </w:rPr>
        <w:t>Compatibility and integration are also influential. In the UK, cloud adoption decisions were shaped by compatibility with existing systems, while complexity acted as a barrier (Gutierrez et al., 2015). Yet, Spanish retail SMEs revealed a contrasting effect, where incompatibility with legacy systems encouraged adoption (Lorente-Martínez et al., 2020). Thus, compatibility is not universally positive but context-dependent, varying with incremental improvement versus radical transformation strategies.</w:t>
      </w:r>
    </w:p>
    <w:p w14:paraId="26C74CB3" w14:textId="77777777" w:rsidR="00526A0E" w:rsidRPr="00526A0E" w:rsidRDefault="00526A0E" w:rsidP="00526A0E">
      <w:pPr>
        <w:pStyle w:val="Body"/>
        <w:spacing w:after="0"/>
        <w:rPr>
          <w:rFonts w:ascii="Arial" w:hAnsi="Arial" w:cs="Arial"/>
        </w:rPr>
      </w:pPr>
    </w:p>
    <w:p w14:paraId="525A487C" w14:textId="77777777" w:rsidR="00526A0E" w:rsidRDefault="00526A0E" w:rsidP="00526A0E">
      <w:pPr>
        <w:pStyle w:val="Body"/>
        <w:spacing w:after="0"/>
        <w:rPr>
          <w:rFonts w:ascii="Arial" w:hAnsi="Arial" w:cs="Arial"/>
        </w:rPr>
      </w:pPr>
      <w:r w:rsidRPr="00526A0E">
        <w:rPr>
          <w:rFonts w:ascii="Arial" w:hAnsi="Arial" w:cs="Arial"/>
        </w:rPr>
        <w:t>Complexity and usability exhibit asymmetric roles. In Jordanian auditing firms, complexity of generalized audit software discouraged adoption despite favorable conditions (Marei, 2023). Conversely, in retail settings, “fun-to-use” features and enhanced service quality promoted adoption (Lorente-Martínez et al., 2020). Hence, in employee-facing or technical systems, complexity deters uptake, while in customer-facing tools, usability can offset challenges.</w:t>
      </w:r>
    </w:p>
    <w:p w14:paraId="3BE649D7" w14:textId="77777777" w:rsidR="00526A0E" w:rsidRPr="00526A0E" w:rsidRDefault="00526A0E" w:rsidP="00526A0E">
      <w:pPr>
        <w:pStyle w:val="Body"/>
        <w:spacing w:after="0"/>
        <w:rPr>
          <w:rFonts w:ascii="Arial" w:hAnsi="Arial" w:cs="Arial"/>
        </w:rPr>
      </w:pPr>
    </w:p>
    <w:p w14:paraId="6C9B98D5" w14:textId="77777777" w:rsidR="00526A0E" w:rsidRDefault="00526A0E" w:rsidP="00526A0E">
      <w:pPr>
        <w:pStyle w:val="Body"/>
        <w:spacing w:after="0"/>
        <w:rPr>
          <w:rFonts w:ascii="Arial" w:hAnsi="Arial" w:cs="Arial"/>
        </w:rPr>
      </w:pPr>
      <w:r w:rsidRPr="00526A0E">
        <w:rPr>
          <w:rFonts w:ascii="Arial" w:hAnsi="Arial" w:cs="Arial"/>
        </w:rPr>
        <w:t xml:space="preserve">Security and privacy remain highly contextual. In Indian </w:t>
      </w:r>
      <w:proofErr w:type="spellStart"/>
      <w:r w:rsidRPr="00526A0E">
        <w:rPr>
          <w:rFonts w:ascii="Arial" w:hAnsi="Arial" w:cs="Arial"/>
        </w:rPr>
        <w:t>ITeS</w:t>
      </w:r>
      <w:proofErr w:type="spellEnd"/>
      <w:r w:rsidRPr="00526A0E">
        <w:rPr>
          <w:rFonts w:ascii="Arial" w:hAnsi="Arial" w:cs="Arial"/>
        </w:rPr>
        <w:t xml:space="preserve"> firms, HR data security concerns limited AI adoption (</w:t>
      </w:r>
      <w:proofErr w:type="spellStart"/>
      <w:r w:rsidRPr="00526A0E">
        <w:rPr>
          <w:rFonts w:ascii="Arial" w:hAnsi="Arial" w:cs="Arial"/>
        </w:rPr>
        <w:t>Siradhana</w:t>
      </w:r>
      <w:proofErr w:type="spellEnd"/>
      <w:r w:rsidRPr="00526A0E">
        <w:rPr>
          <w:rFonts w:ascii="Arial" w:hAnsi="Arial" w:cs="Arial"/>
        </w:rPr>
        <w:t xml:space="preserve"> and Arora, 2024). Indian universities adopting cloud-based e-learning likewise faced barriers unless government or vendor assurances reduced risk (Bhardwaj et al., 2020). By contrast, Taiwanese enterprises considered cloud a way to strengthen security, making it a positive adoption driver (Hsu and Lin, 2016). These divergences show that security can act as both barrier and enabler depending on trust, regulation, and data sensitivity.</w:t>
      </w:r>
    </w:p>
    <w:p w14:paraId="1DA537B3" w14:textId="77777777" w:rsidR="00526A0E" w:rsidRPr="00526A0E" w:rsidRDefault="00526A0E" w:rsidP="00526A0E">
      <w:pPr>
        <w:pStyle w:val="Body"/>
        <w:spacing w:after="0"/>
        <w:rPr>
          <w:rFonts w:ascii="Arial" w:hAnsi="Arial" w:cs="Arial"/>
        </w:rPr>
      </w:pPr>
    </w:p>
    <w:p w14:paraId="284310C7" w14:textId="77777777" w:rsidR="00526A0E" w:rsidRDefault="00526A0E" w:rsidP="00526A0E">
      <w:pPr>
        <w:pStyle w:val="Body"/>
        <w:spacing w:after="0"/>
        <w:rPr>
          <w:rFonts w:ascii="Arial" w:hAnsi="Arial" w:cs="Arial"/>
        </w:rPr>
      </w:pPr>
      <w:r w:rsidRPr="00526A0E">
        <w:rPr>
          <w:rFonts w:ascii="Arial" w:hAnsi="Arial" w:cs="Arial"/>
        </w:rPr>
        <w:lastRenderedPageBreak/>
        <w:t>Readiness and technical capacity are critical. Studies emphasize that strong IT infrastructure, competence, and skilled personnel broadened usage of internal audit analytics, leading to greater feature-level adoption and performance gains (Li et al., 2018). Conversely, insufficient training and weak readiness constrained augmented reality adoption in industrial settings (Masood and Egger, 2020).</w:t>
      </w:r>
    </w:p>
    <w:p w14:paraId="24DB3BC4" w14:textId="77777777" w:rsidR="00526A0E" w:rsidRPr="00526A0E" w:rsidRDefault="00526A0E" w:rsidP="00526A0E">
      <w:pPr>
        <w:pStyle w:val="Body"/>
        <w:spacing w:after="0"/>
        <w:rPr>
          <w:rFonts w:ascii="Arial" w:hAnsi="Arial" w:cs="Arial"/>
        </w:rPr>
      </w:pPr>
    </w:p>
    <w:p w14:paraId="2FE75D43" w14:textId="36C5E3B9" w:rsidR="00526A0E" w:rsidRPr="00526A0E" w:rsidRDefault="00526A0E" w:rsidP="00526A0E">
      <w:pPr>
        <w:pStyle w:val="Body"/>
        <w:spacing w:after="0"/>
        <w:rPr>
          <w:rFonts w:ascii="Arial" w:hAnsi="Arial" w:cs="Arial"/>
        </w:rPr>
      </w:pPr>
      <w:r w:rsidRPr="00526A0E">
        <w:rPr>
          <w:rFonts w:ascii="Arial" w:hAnsi="Arial" w:cs="Arial"/>
        </w:rPr>
        <w:t>Finally, trialability and observability reduce uncertainty. Conceptual models for cloud ERP in SMEs identified trialability as vital, enabling experimentation before full commitment (Razzaq et al., 2021). Blockchain adoption research in the DACH region showed observability of tangible results within ecosystems was essential for moving beyond pilots (Lustenberger et al., 2021). Similarly, for AI in software development, sandboxing and controlled pilots may play this role</w:t>
      </w:r>
      <w:r>
        <w:rPr>
          <w:rFonts w:ascii="Arial" w:hAnsi="Arial" w:cs="Arial"/>
        </w:rPr>
        <w:t>.</w:t>
      </w:r>
    </w:p>
    <w:p w14:paraId="1038D85D" w14:textId="3273B559" w:rsidR="003F216A" w:rsidRDefault="003F216A" w:rsidP="00441B6F">
      <w:pPr>
        <w:pStyle w:val="Body"/>
        <w:spacing w:after="0"/>
        <w:rPr>
          <w:rFonts w:ascii="Arial" w:hAnsi="Arial" w:cs="Arial"/>
        </w:rPr>
      </w:pPr>
    </w:p>
    <w:p w14:paraId="62AFD37A" w14:textId="5A2FEF63" w:rsidR="00526A0E" w:rsidRDefault="00526A0E" w:rsidP="00526A0E">
      <w:pPr>
        <w:pStyle w:val="Head1"/>
        <w:spacing w:after="0"/>
        <w:jc w:val="both"/>
        <w:rPr>
          <w:rFonts w:ascii="Arial" w:hAnsi="Arial" w:cs="Arial"/>
        </w:rPr>
      </w:pPr>
      <w:r>
        <w:rPr>
          <w:rFonts w:ascii="Arial" w:hAnsi="Arial" w:cs="Arial"/>
          <w:u w:val="single"/>
        </w:rPr>
        <w:t>3</w:t>
      </w:r>
      <w:r w:rsidRPr="00902823">
        <w:rPr>
          <w:rFonts w:ascii="Arial" w:hAnsi="Arial" w:cs="Arial"/>
          <w:u w:val="single"/>
        </w:rPr>
        <w:t>.</w:t>
      </w:r>
      <w:r>
        <w:rPr>
          <w:rFonts w:ascii="Arial" w:hAnsi="Arial" w:cs="Arial"/>
          <w:u w:val="single"/>
        </w:rPr>
        <w:t>4</w:t>
      </w:r>
      <w:r w:rsidRPr="00902823">
        <w:rPr>
          <w:rFonts w:ascii="Arial" w:hAnsi="Arial" w:cs="Arial"/>
          <w:u w:val="single"/>
        </w:rPr>
        <w:t>.</w:t>
      </w:r>
      <w:r>
        <w:rPr>
          <w:rFonts w:ascii="Arial" w:hAnsi="Arial" w:cs="Arial"/>
          <w:u w:val="single"/>
        </w:rPr>
        <w:t>2</w:t>
      </w:r>
      <w:r w:rsidRPr="00902823">
        <w:rPr>
          <w:rFonts w:ascii="Arial" w:hAnsi="Arial" w:cs="Arial"/>
          <w:u w:val="single"/>
        </w:rPr>
        <w:t xml:space="preserve"> </w:t>
      </w:r>
      <w:r w:rsidRPr="00526A0E">
        <w:rPr>
          <w:rFonts w:ascii="Arial" w:hAnsi="Arial" w:cs="Arial"/>
          <w:u w:val="single"/>
        </w:rPr>
        <w:t>Organizational Factors Influencing AI Adoption in Software Development</w:t>
      </w:r>
    </w:p>
    <w:p w14:paraId="0E50E303" w14:textId="77777777" w:rsidR="00526A0E" w:rsidRDefault="00526A0E" w:rsidP="00526A0E">
      <w:pPr>
        <w:pStyle w:val="Body"/>
        <w:spacing w:after="0"/>
        <w:rPr>
          <w:rFonts w:ascii="Arial" w:hAnsi="Arial" w:cs="Arial"/>
        </w:rPr>
      </w:pPr>
    </w:p>
    <w:p w14:paraId="51C11ACC" w14:textId="77777777" w:rsidR="00526A0E" w:rsidRDefault="00526A0E" w:rsidP="00526A0E">
      <w:pPr>
        <w:pStyle w:val="Body"/>
        <w:spacing w:after="0"/>
        <w:rPr>
          <w:rFonts w:ascii="Arial" w:hAnsi="Arial" w:cs="Arial"/>
        </w:rPr>
      </w:pPr>
      <w:r w:rsidRPr="00526A0E">
        <w:rPr>
          <w:rFonts w:ascii="Arial" w:hAnsi="Arial" w:cs="Arial"/>
        </w:rPr>
        <w:t>Organizational dynamics are central in translating technical potential into actual adoption, with TOE taxonomies emphasizing readiness and leadership as critical mediators (Awa et al., 2017). Top management support (TMS) is one of the most widely cited drivers. In Malaysian SMEs, TMS mediated relationships between TOE factors and cloud adoption, where compatibility and cost-effectiveness only translated into adoption when reinforced by leadership commitment (Teh et al., 2024). Similarly, in Jordanian auditing firms, TMS significantly encouraged generalized audit software adoption, underscoring leadership advocacy for professional services (Marei, 2023). Yet findings are not uniform: in Indonesian MSMEs, TMS was statistically insignificant, with decision-making shaped more by individual-level factors such as computer self-efficacy and competitive pressure (Aligarh et al., 2023). These differences suggest leadership influence is stronger in structured SMEs but weaker in micro-enterprises, where owners directly control technology adoption.</w:t>
      </w:r>
    </w:p>
    <w:p w14:paraId="3E76E925" w14:textId="77777777" w:rsidR="00526A0E" w:rsidRPr="00526A0E" w:rsidRDefault="00526A0E" w:rsidP="00526A0E">
      <w:pPr>
        <w:pStyle w:val="Body"/>
        <w:spacing w:after="0"/>
        <w:rPr>
          <w:rFonts w:ascii="Arial" w:hAnsi="Arial" w:cs="Arial"/>
        </w:rPr>
      </w:pPr>
    </w:p>
    <w:p w14:paraId="782DD434" w14:textId="77777777" w:rsidR="00526A0E" w:rsidRDefault="00526A0E" w:rsidP="00526A0E">
      <w:pPr>
        <w:pStyle w:val="Body"/>
        <w:spacing w:after="0"/>
        <w:rPr>
          <w:rFonts w:ascii="Arial" w:hAnsi="Arial" w:cs="Arial"/>
        </w:rPr>
      </w:pPr>
      <w:r w:rsidRPr="00526A0E">
        <w:rPr>
          <w:rFonts w:ascii="Arial" w:hAnsi="Arial" w:cs="Arial"/>
        </w:rPr>
        <w:t xml:space="preserve">Organizational readiness also plays a decisive role. In Jordanian SMEs, readiness defined by IT competence and resources positively predicted cloud adoption (Yaseen et al., 2023), while in audit </w:t>
      </w:r>
      <w:proofErr w:type="gramStart"/>
      <w:r w:rsidRPr="00526A0E">
        <w:rPr>
          <w:rFonts w:ascii="Arial" w:hAnsi="Arial" w:cs="Arial"/>
        </w:rPr>
        <w:t>firms</w:t>
      </w:r>
      <w:proofErr w:type="gramEnd"/>
      <w:r w:rsidRPr="00526A0E">
        <w:rPr>
          <w:rFonts w:ascii="Arial" w:hAnsi="Arial" w:cs="Arial"/>
        </w:rPr>
        <w:t xml:space="preserve"> readiness facilitated broader use (Marei, 2023). Conversely, in Indian higher education institutions, lack of internal competence compounded security concerns and slowed adoption (Bhardwaj et al., 2020). Thus, readiness reflects both resources and capacity-building, requiring investment in infrastructure and skills.</w:t>
      </w:r>
    </w:p>
    <w:p w14:paraId="3E4F2AF2" w14:textId="77777777" w:rsidR="00526A0E" w:rsidRPr="00526A0E" w:rsidRDefault="00526A0E" w:rsidP="00526A0E">
      <w:pPr>
        <w:pStyle w:val="Body"/>
        <w:spacing w:after="0"/>
        <w:rPr>
          <w:rFonts w:ascii="Arial" w:hAnsi="Arial" w:cs="Arial"/>
        </w:rPr>
      </w:pPr>
    </w:p>
    <w:p w14:paraId="1132D5C4" w14:textId="77777777" w:rsidR="00526A0E" w:rsidRDefault="00526A0E" w:rsidP="00526A0E">
      <w:pPr>
        <w:pStyle w:val="Body"/>
        <w:spacing w:after="0"/>
        <w:rPr>
          <w:rFonts w:ascii="Arial" w:hAnsi="Arial" w:cs="Arial"/>
        </w:rPr>
      </w:pPr>
      <w:r w:rsidRPr="00526A0E">
        <w:rPr>
          <w:rFonts w:ascii="Arial" w:hAnsi="Arial" w:cs="Arial"/>
        </w:rPr>
        <w:t>Human capital and training frequently emerge as enablers. In augmented reality adoption, inadequate training and work-organization adjustments constrained effectiveness despite favorable technology (Masood and Egger, 2020). In HRM, staff readiness and capability positively influenced AI adoption, reinforcing the need for sector-specific training (</w:t>
      </w:r>
      <w:proofErr w:type="spellStart"/>
      <w:r w:rsidRPr="00526A0E">
        <w:rPr>
          <w:rFonts w:ascii="Arial" w:hAnsi="Arial" w:cs="Arial"/>
        </w:rPr>
        <w:t>Siradhana</w:t>
      </w:r>
      <w:proofErr w:type="spellEnd"/>
      <w:r w:rsidRPr="00526A0E">
        <w:rPr>
          <w:rFonts w:ascii="Arial" w:hAnsi="Arial" w:cs="Arial"/>
        </w:rPr>
        <w:t xml:space="preserve"> and Arora, 2024). Without parallel investment in human capital, even advanced technologies risk underutilization.</w:t>
      </w:r>
    </w:p>
    <w:p w14:paraId="10AED5D7" w14:textId="77777777" w:rsidR="00526A0E" w:rsidRPr="00526A0E" w:rsidRDefault="00526A0E" w:rsidP="00526A0E">
      <w:pPr>
        <w:pStyle w:val="Body"/>
        <w:spacing w:after="0"/>
        <w:rPr>
          <w:rFonts w:ascii="Arial" w:hAnsi="Arial" w:cs="Arial"/>
        </w:rPr>
      </w:pPr>
    </w:p>
    <w:p w14:paraId="663F71E1" w14:textId="77777777" w:rsidR="00526A0E" w:rsidRDefault="00526A0E" w:rsidP="00526A0E">
      <w:pPr>
        <w:pStyle w:val="Body"/>
        <w:spacing w:after="0"/>
        <w:rPr>
          <w:rFonts w:ascii="Arial" w:hAnsi="Arial" w:cs="Arial"/>
        </w:rPr>
      </w:pPr>
      <w:r w:rsidRPr="00526A0E">
        <w:rPr>
          <w:rFonts w:ascii="Arial" w:hAnsi="Arial" w:cs="Arial"/>
        </w:rPr>
        <w:t>Culture and knowledge sharing further shape adoption. A grounded theory study in software engineering linked resistance to the absence of clear guidelines and weak sharing culture, while structured guidance improved AI tool use (Li et al., 2024). In accounting, cultural inertia and skepticism slowed blockchain adoption despite its promise (Martins et al., 2016). These examples highlight that openness to experimentation and collaborative practices are as important as resources.</w:t>
      </w:r>
    </w:p>
    <w:p w14:paraId="64A234B6" w14:textId="77777777" w:rsidR="00526A0E" w:rsidRPr="00526A0E" w:rsidRDefault="00526A0E" w:rsidP="00526A0E">
      <w:pPr>
        <w:pStyle w:val="Body"/>
        <w:spacing w:after="0"/>
        <w:rPr>
          <w:rFonts w:ascii="Arial" w:hAnsi="Arial" w:cs="Arial"/>
        </w:rPr>
      </w:pPr>
    </w:p>
    <w:p w14:paraId="2B00AEFD" w14:textId="77777777" w:rsidR="00526A0E" w:rsidRDefault="00526A0E" w:rsidP="00526A0E">
      <w:pPr>
        <w:pStyle w:val="Body"/>
        <w:spacing w:after="0"/>
        <w:rPr>
          <w:rFonts w:ascii="Arial" w:hAnsi="Arial" w:cs="Arial"/>
        </w:rPr>
      </w:pPr>
      <w:r w:rsidRPr="00526A0E">
        <w:rPr>
          <w:rFonts w:ascii="Arial" w:hAnsi="Arial" w:cs="Arial"/>
        </w:rPr>
        <w:t xml:space="preserve">Governance mechanisms also matter. In Iraqi hospitals, organizational policies, such as CRM and social media guidelines, predicted social CRM adoption, whereas leadership knowledge was not significant (Jalal et al., 2021). This shows that formal governance </w:t>
      </w:r>
      <w:r w:rsidRPr="00526A0E">
        <w:rPr>
          <w:rFonts w:ascii="Arial" w:hAnsi="Arial" w:cs="Arial"/>
        </w:rPr>
        <w:lastRenderedPageBreak/>
        <w:t>structures can outweigh individual leadership traits. Firm size has mixed effects: larger UK firms were more likely to adopt cloud computing (Gutierrez et al., 2015), but in Jordan, size was weaker than managerial intent and cost factors (Gui et al., 2021).</w:t>
      </w:r>
    </w:p>
    <w:p w14:paraId="5EDF05B3" w14:textId="77777777" w:rsidR="00526A0E" w:rsidRPr="00526A0E" w:rsidRDefault="00526A0E" w:rsidP="00526A0E">
      <w:pPr>
        <w:pStyle w:val="Body"/>
        <w:spacing w:after="0"/>
        <w:rPr>
          <w:rFonts w:ascii="Arial" w:hAnsi="Arial" w:cs="Arial"/>
        </w:rPr>
      </w:pPr>
    </w:p>
    <w:p w14:paraId="5445E91D" w14:textId="77777777" w:rsidR="00526A0E" w:rsidRDefault="00526A0E" w:rsidP="00526A0E">
      <w:pPr>
        <w:pStyle w:val="Body"/>
        <w:spacing w:after="0"/>
        <w:rPr>
          <w:rFonts w:ascii="Arial" w:hAnsi="Arial" w:cs="Arial"/>
        </w:rPr>
      </w:pPr>
      <w:r w:rsidRPr="00526A0E">
        <w:rPr>
          <w:rFonts w:ascii="Arial" w:hAnsi="Arial" w:cs="Arial"/>
        </w:rPr>
        <w:t>Financial resources consistently influence adoption decisions. Spanish retail SMEs reported that perceptions of financial capacity shaped adoption alongside attitudes and innovativeness (Lorente-Martínez et al., 2020). Similarly, conceptual frameworks for cloud ERP adoption highlight financial readiness as critical for SME uptake (Razzaq et al., 2021). Limited access to capital remains a structural barrier, particularly in developing contexts.</w:t>
      </w:r>
    </w:p>
    <w:p w14:paraId="0FA37593" w14:textId="77777777" w:rsidR="00526A0E" w:rsidRPr="00526A0E" w:rsidRDefault="00526A0E" w:rsidP="00526A0E">
      <w:pPr>
        <w:pStyle w:val="Body"/>
        <w:spacing w:after="0"/>
        <w:rPr>
          <w:rFonts w:ascii="Arial" w:hAnsi="Arial" w:cs="Arial"/>
        </w:rPr>
      </w:pPr>
    </w:p>
    <w:p w14:paraId="1ABA75B7" w14:textId="105391B6" w:rsidR="00526A0E" w:rsidRDefault="00526A0E" w:rsidP="00526A0E">
      <w:pPr>
        <w:pStyle w:val="Body"/>
        <w:spacing w:after="0"/>
        <w:rPr>
          <w:rFonts w:ascii="Arial" w:hAnsi="Arial" w:cs="Arial"/>
        </w:rPr>
      </w:pPr>
      <w:r w:rsidRPr="00526A0E">
        <w:rPr>
          <w:rFonts w:ascii="Arial" w:hAnsi="Arial" w:cs="Arial"/>
        </w:rPr>
        <w:t>Collectively, these findings demonstrate that organizational adoption depends on leadership, readiness, training, culture, governance, and resources, with outcomes highly contingent on firm size, structure, and sectoral context.</w:t>
      </w:r>
    </w:p>
    <w:p w14:paraId="11250888" w14:textId="77777777" w:rsidR="00526A0E" w:rsidRDefault="00526A0E" w:rsidP="00526A0E">
      <w:pPr>
        <w:pStyle w:val="Body"/>
        <w:spacing w:after="0"/>
        <w:rPr>
          <w:rFonts w:ascii="Arial" w:hAnsi="Arial" w:cs="Arial"/>
        </w:rPr>
      </w:pPr>
    </w:p>
    <w:p w14:paraId="06B462A9" w14:textId="67E39B8F" w:rsidR="00526A0E" w:rsidRDefault="00526A0E" w:rsidP="00526A0E">
      <w:pPr>
        <w:pStyle w:val="Head1"/>
        <w:spacing w:after="0"/>
        <w:jc w:val="both"/>
        <w:rPr>
          <w:rFonts w:ascii="Arial" w:hAnsi="Arial" w:cs="Arial"/>
        </w:rPr>
      </w:pPr>
      <w:r>
        <w:rPr>
          <w:rFonts w:ascii="Arial" w:hAnsi="Arial" w:cs="Arial"/>
          <w:u w:val="single"/>
        </w:rPr>
        <w:t>3</w:t>
      </w:r>
      <w:r w:rsidRPr="00902823">
        <w:rPr>
          <w:rFonts w:ascii="Arial" w:hAnsi="Arial" w:cs="Arial"/>
          <w:u w:val="single"/>
        </w:rPr>
        <w:t>.</w:t>
      </w:r>
      <w:r>
        <w:rPr>
          <w:rFonts w:ascii="Arial" w:hAnsi="Arial" w:cs="Arial"/>
          <w:u w:val="single"/>
        </w:rPr>
        <w:t>4</w:t>
      </w:r>
      <w:r w:rsidRPr="00902823">
        <w:rPr>
          <w:rFonts w:ascii="Arial" w:hAnsi="Arial" w:cs="Arial"/>
          <w:u w:val="single"/>
        </w:rPr>
        <w:t>.</w:t>
      </w:r>
      <w:r>
        <w:rPr>
          <w:rFonts w:ascii="Arial" w:hAnsi="Arial" w:cs="Arial"/>
          <w:u w:val="single"/>
        </w:rPr>
        <w:t>3</w:t>
      </w:r>
      <w:r w:rsidRPr="00902823">
        <w:rPr>
          <w:rFonts w:ascii="Arial" w:hAnsi="Arial" w:cs="Arial"/>
          <w:u w:val="single"/>
        </w:rPr>
        <w:t xml:space="preserve"> </w:t>
      </w:r>
      <w:r w:rsidRPr="00526A0E">
        <w:rPr>
          <w:rFonts w:ascii="Arial" w:hAnsi="Arial" w:cs="Arial"/>
          <w:u w:val="single"/>
        </w:rPr>
        <w:t>Environmental Factors Influencing AI Adoption in Software Development</w:t>
      </w:r>
    </w:p>
    <w:p w14:paraId="51399747" w14:textId="77777777" w:rsidR="00526A0E" w:rsidRDefault="00526A0E" w:rsidP="00526A0E">
      <w:pPr>
        <w:pStyle w:val="Body"/>
        <w:spacing w:after="0"/>
        <w:rPr>
          <w:rFonts w:ascii="Arial" w:hAnsi="Arial" w:cs="Arial"/>
        </w:rPr>
      </w:pPr>
    </w:p>
    <w:p w14:paraId="1054FF23" w14:textId="77777777" w:rsidR="00526A0E" w:rsidRDefault="00526A0E" w:rsidP="00526A0E">
      <w:pPr>
        <w:pStyle w:val="Body"/>
        <w:spacing w:after="0"/>
        <w:rPr>
          <w:rFonts w:ascii="Arial" w:hAnsi="Arial" w:cs="Arial"/>
        </w:rPr>
      </w:pPr>
      <w:r w:rsidRPr="00526A0E">
        <w:rPr>
          <w:rFonts w:ascii="Arial" w:hAnsi="Arial" w:cs="Arial"/>
        </w:rPr>
        <w:t>The external environment strongly shapes organizational adoption of AI and related technologies, with competitive, customer, ecosystem, and regulatory forces exerting varying effects. Competitive and market pressures emerge as consistent drivers in some contexts. For instance, in Indonesian MSMEs, competitive pressure and bandwagon effects significantly predicted cloud adoption, as firms imitated peers to reduce uncertainty and maintain legitimacy (Aligarh et al., 2023). However, in Jordanian auditing firms, competitive pressure did not influence generalized audit software adoption, suggesting that rivalry is less relevant for niche or emerging technologies (Marei, 2023). This indicates that competition is more influential for commoditized or widely diffused technologies, while specialized tools depend on other determinants.</w:t>
      </w:r>
    </w:p>
    <w:p w14:paraId="1E50B58B" w14:textId="77777777" w:rsidR="00526A0E" w:rsidRPr="00526A0E" w:rsidRDefault="00526A0E" w:rsidP="00526A0E">
      <w:pPr>
        <w:pStyle w:val="Body"/>
        <w:spacing w:after="0"/>
        <w:rPr>
          <w:rFonts w:ascii="Arial" w:hAnsi="Arial" w:cs="Arial"/>
        </w:rPr>
      </w:pPr>
    </w:p>
    <w:p w14:paraId="27CCA8D3" w14:textId="77777777" w:rsidR="00526A0E" w:rsidRDefault="00526A0E" w:rsidP="00526A0E">
      <w:pPr>
        <w:pStyle w:val="Body"/>
        <w:spacing w:after="0"/>
        <w:rPr>
          <w:rFonts w:ascii="Arial" w:hAnsi="Arial" w:cs="Arial"/>
        </w:rPr>
      </w:pPr>
      <w:r w:rsidRPr="00526A0E">
        <w:rPr>
          <w:rFonts w:ascii="Arial" w:hAnsi="Arial" w:cs="Arial"/>
        </w:rPr>
        <w:t>Customer expectations also play a decisive role. In Spanish retail SMEs, customer attitudes outweighed competitive and national readiness factors (Lorente-Martínez et al., 2020). Similarly, AI adoption in HRM was driven by demands for faster, more responsive talent acquisition, where vendor support amplified customer-driven pressures (</w:t>
      </w:r>
      <w:proofErr w:type="spellStart"/>
      <w:r w:rsidRPr="00526A0E">
        <w:rPr>
          <w:rFonts w:ascii="Arial" w:hAnsi="Arial" w:cs="Arial"/>
        </w:rPr>
        <w:t>Siradhana</w:t>
      </w:r>
      <w:proofErr w:type="spellEnd"/>
      <w:r w:rsidRPr="00526A0E">
        <w:rPr>
          <w:rFonts w:ascii="Arial" w:hAnsi="Arial" w:cs="Arial"/>
        </w:rPr>
        <w:t xml:space="preserve"> and Arora, 2024). These findings suggest that in customer-facing contexts, client expectations dominate adoption decisions, shifting the calculus from rival behavior to user satisfaction.</w:t>
      </w:r>
    </w:p>
    <w:p w14:paraId="01FCA77C" w14:textId="77777777" w:rsidR="00526A0E" w:rsidRPr="00526A0E" w:rsidRDefault="00526A0E" w:rsidP="00526A0E">
      <w:pPr>
        <w:pStyle w:val="Body"/>
        <w:spacing w:after="0"/>
        <w:rPr>
          <w:rFonts w:ascii="Arial" w:hAnsi="Arial" w:cs="Arial"/>
        </w:rPr>
      </w:pPr>
    </w:p>
    <w:p w14:paraId="71756896" w14:textId="77777777" w:rsidR="00526A0E" w:rsidRDefault="00526A0E" w:rsidP="00526A0E">
      <w:pPr>
        <w:pStyle w:val="Body"/>
        <w:spacing w:after="0"/>
        <w:rPr>
          <w:rFonts w:ascii="Arial" w:hAnsi="Arial" w:cs="Arial"/>
        </w:rPr>
      </w:pPr>
      <w:r w:rsidRPr="00526A0E">
        <w:rPr>
          <w:rFonts w:ascii="Arial" w:hAnsi="Arial" w:cs="Arial"/>
        </w:rPr>
        <w:t xml:space="preserve">Ecosystem and partner support further enable adoption. Vendor assistance was a key enabler in HRM and higher education (Bhardwaj et al., 2020; </w:t>
      </w:r>
      <w:proofErr w:type="spellStart"/>
      <w:r w:rsidRPr="00526A0E">
        <w:rPr>
          <w:rFonts w:ascii="Arial" w:hAnsi="Arial" w:cs="Arial"/>
        </w:rPr>
        <w:t>Siradhana</w:t>
      </w:r>
      <w:proofErr w:type="spellEnd"/>
      <w:r w:rsidRPr="00526A0E">
        <w:rPr>
          <w:rFonts w:ascii="Arial" w:hAnsi="Arial" w:cs="Arial"/>
        </w:rPr>
        <w:t xml:space="preserve"> and Arora, 2024), offering not only technical integration but also risk mitigation. Blockchain studies in the DACH region introduced the concept of ecosystem readiness, where adoption depended on networks of regulators, partners, and stakeholders (Lustenberger et al., 2021). Likewise, cloud ERP frameworks highlighted that critical mass among peers and partners accelerates diffusion (Razzaq et al., 2021).</w:t>
      </w:r>
    </w:p>
    <w:p w14:paraId="50B7D755" w14:textId="77777777" w:rsidR="00526A0E" w:rsidRPr="00526A0E" w:rsidRDefault="00526A0E" w:rsidP="00526A0E">
      <w:pPr>
        <w:pStyle w:val="Body"/>
        <w:spacing w:after="0"/>
        <w:rPr>
          <w:rFonts w:ascii="Arial" w:hAnsi="Arial" w:cs="Arial"/>
        </w:rPr>
      </w:pPr>
    </w:p>
    <w:p w14:paraId="403A3CB3" w14:textId="77777777" w:rsidR="00526A0E" w:rsidRDefault="00526A0E" w:rsidP="00526A0E">
      <w:pPr>
        <w:pStyle w:val="Body"/>
        <w:spacing w:after="0"/>
        <w:rPr>
          <w:rFonts w:ascii="Arial" w:hAnsi="Arial" w:cs="Arial"/>
        </w:rPr>
      </w:pPr>
      <w:r w:rsidRPr="00526A0E">
        <w:rPr>
          <w:rFonts w:ascii="Arial" w:hAnsi="Arial" w:cs="Arial"/>
        </w:rPr>
        <w:t>Government regulation and support function both positively and negatively. In India’s higher education sector, government backing mitigated institutional concerns and encouraged cloud adoption (Bhardwaj et al., 2020). Malaysian SMEs experienced stronger adoption intentions when regulatory compliance obligations were supported by top management (Eze et al., 2022). Conversely, blockchain adoption in accounting was hindered by regulatory uncertainty and fragmented standards, which suppressed investment (Martins et al., 2016). Thus, clear regulations stimulate adoption by reducing risk, whereas ambiguous frameworks deter uptake in trust-sensitive areas.</w:t>
      </w:r>
    </w:p>
    <w:p w14:paraId="4D3581FE" w14:textId="77777777" w:rsidR="00526A0E" w:rsidRPr="00526A0E" w:rsidRDefault="00526A0E" w:rsidP="00526A0E">
      <w:pPr>
        <w:pStyle w:val="Body"/>
        <w:spacing w:after="0"/>
        <w:rPr>
          <w:rFonts w:ascii="Arial" w:hAnsi="Arial" w:cs="Arial"/>
        </w:rPr>
      </w:pPr>
    </w:p>
    <w:p w14:paraId="153782C3" w14:textId="77777777" w:rsidR="00526A0E" w:rsidRDefault="00526A0E" w:rsidP="00526A0E">
      <w:pPr>
        <w:pStyle w:val="Body"/>
        <w:spacing w:after="0"/>
        <w:rPr>
          <w:rFonts w:ascii="Arial" w:hAnsi="Arial" w:cs="Arial"/>
        </w:rPr>
      </w:pPr>
      <w:r w:rsidRPr="00526A0E">
        <w:rPr>
          <w:rFonts w:ascii="Arial" w:hAnsi="Arial" w:cs="Arial"/>
        </w:rPr>
        <w:lastRenderedPageBreak/>
        <w:t>Institutional pressures including coercive, normative, and mimetic forces also reinforce environmental effects. SaaS diffusion studies demonstrated that institutional factors shaped both adoption intention and routinization, as firms pursued legitimacy within supply chains (Martins et al., 2016). Similarly, big data analytics in Malaysian manufacturing firms showed these pressures shaping adoption behaviors (</w:t>
      </w:r>
      <w:proofErr w:type="spellStart"/>
      <w:r w:rsidRPr="00526A0E">
        <w:rPr>
          <w:rFonts w:ascii="Arial" w:hAnsi="Arial" w:cs="Arial"/>
        </w:rPr>
        <w:t>Mukred</w:t>
      </w:r>
      <w:proofErr w:type="spellEnd"/>
      <w:r w:rsidRPr="00526A0E">
        <w:rPr>
          <w:rFonts w:ascii="Arial" w:hAnsi="Arial" w:cs="Arial"/>
        </w:rPr>
        <w:t xml:space="preserve"> et al., 2023).</w:t>
      </w:r>
    </w:p>
    <w:p w14:paraId="418CA72E" w14:textId="77777777" w:rsidR="00526A0E" w:rsidRPr="00526A0E" w:rsidRDefault="00526A0E" w:rsidP="00526A0E">
      <w:pPr>
        <w:pStyle w:val="Body"/>
        <w:spacing w:after="0"/>
        <w:rPr>
          <w:rFonts w:ascii="Arial" w:hAnsi="Arial" w:cs="Arial"/>
        </w:rPr>
      </w:pPr>
    </w:p>
    <w:p w14:paraId="34906D35" w14:textId="2CE6DDD4" w:rsidR="00526A0E" w:rsidRDefault="00526A0E" w:rsidP="00526A0E">
      <w:pPr>
        <w:pStyle w:val="Body"/>
        <w:spacing w:after="0"/>
        <w:rPr>
          <w:rFonts w:ascii="Arial" w:hAnsi="Arial" w:cs="Arial"/>
        </w:rPr>
      </w:pPr>
      <w:r w:rsidRPr="00526A0E">
        <w:rPr>
          <w:rFonts w:ascii="Arial" w:hAnsi="Arial" w:cs="Arial"/>
        </w:rPr>
        <w:t>Finally, external support and adherence to safety or professional standards influenced adoption. In industrial augmented reality, compliance with health and safety norms shaped implementation (Masood and Egger, 2020), while in audit analytics, professional standards guided application-level use (Li et al., 2018). Together, these findings illustrate that environmental influences extend beyond competition or regulation to include ecosystem readiness, institutional norms, and safety standards.</w:t>
      </w:r>
    </w:p>
    <w:p w14:paraId="608F1343" w14:textId="77777777" w:rsidR="00526A0E" w:rsidRDefault="00526A0E" w:rsidP="00526A0E">
      <w:pPr>
        <w:pStyle w:val="Body"/>
        <w:spacing w:after="0"/>
        <w:rPr>
          <w:rFonts w:ascii="Arial" w:hAnsi="Arial" w:cs="Arial"/>
        </w:rPr>
      </w:pPr>
    </w:p>
    <w:p w14:paraId="1AE69679" w14:textId="0546A38E" w:rsidR="00526A0E" w:rsidRDefault="00526A0E" w:rsidP="00526A0E">
      <w:pPr>
        <w:pStyle w:val="Head1"/>
        <w:spacing w:after="0"/>
        <w:jc w:val="both"/>
        <w:rPr>
          <w:rFonts w:ascii="Arial" w:hAnsi="Arial" w:cs="Arial"/>
        </w:rPr>
      </w:pPr>
      <w:r>
        <w:rPr>
          <w:rFonts w:ascii="Arial" w:hAnsi="Arial" w:cs="Arial"/>
        </w:rPr>
        <w:t xml:space="preserve">4. </w:t>
      </w:r>
      <w:r w:rsidRPr="00526A0E">
        <w:rPr>
          <w:rFonts w:ascii="Arial" w:hAnsi="Arial" w:cs="Arial"/>
        </w:rPr>
        <w:t>CONCLUSION</w:t>
      </w:r>
    </w:p>
    <w:p w14:paraId="3FF790D5" w14:textId="77777777" w:rsidR="00526A0E" w:rsidRDefault="00526A0E" w:rsidP="00526A0E">
      <w:pPr>
        <w:pStyle w:val="Body"/>
        <w:spacing w:after="0"/>
        <w:rPr>
          <w:rFonts w:ascii="Arial" w:hAnsi="Arial" w:cs="Arial"/>
        </w:rPr>
      </w:pPr>
    </w:p>
    <w:p w14:paraId="46993C5B" w14:textId="77777777" w:rsidR="00504286" w:rsidRDefault="00504286" w:rsidP="00504286">
      <w:pPr>
        <w:pStyle w:val="Body"/>
        <w:spacing w:after="0"/>
        <w:rPr>
          <w:rFonts w:ascii="Arial" w:hAnsi="Arial" w:cs="Arial"/>
        </w:rPr>
      </w:pPr>
      <w:r w:rsidRPr="00504286">
        <w:rPr>
          <w:rFonts w:ascii="Arial" w:hAnsi="Arial" w:cs="Arial"/>
        </w:rPr>
        <w:t>This study systematically reviewed 32 peer-reviewed articles on AI adoption in software development through the Technology–Organization–Environment (TOE) framework. It identified 92 antecedents, grouped into 31 technological, 34 organizational, and 27 environmental factors. Technological and organizational determinants dominated the literature, while environmental influences received comparatively less attention.</w:t>
      </w:r>
    </w:p>
    <w:p w14:paraId="54EC2E74" w14:textId="77777777" w:rsidR="00504286" w:rsidRPr="00504286" w:rsidRDefault="00504286" w:rsidP="00504286">
      <w:pPr>
        <w:pStyle w:val="Body"/>
        <w:spacing w:after="0"/>
        <w:rPr>
          <w:rFonts w:ascii="Arial" w:hAnsi="Arial" w:cs="Arial"/>
        </w:rPr>
      </w:pPr>
    </w:p>
    <w:p w14:paraId="7FAD41B3" w14:textId="77777777" w:rsidR="00504286" w:rsidRDefault="00504286" w:rsidP="00504286">
      <w:pPr>
        <w:pStyle w:val="Body"/>
        <w:spacing w:after="0"/>
        <w:rPr>
          <w:rFonts w:ascii="Arial" w:hAnsi="Arial" w:cs="Arial"/>
        </w:rPr>
      </w:pPr>
      <w:r w:rsidRPr="00504286">
        <w:rPr>
          <w:rFonts w:ascii="Arial" w:hAnsi="Arial" w:cs="Arial"/>
        </w:rPr>
        <w:t>Key technological drivers included relative advantage, compatibility, and security, highlighting that adoption depends on clear performance gains, ease of integration, and risk management. Notably, security acted as both an enabler and a barrier, underscoring the need for contextual interpretation. Organizational factors such as top management support, readiness, human capital, and governance were critical in translating technological potential into adoption success, with leadership, resources, and workforce competence emerging as prerequisites. Environmental conditions, including competition, customer demands, vendor support, and regulation, also shaped adoption, though inconsistencies across contexts indicate this dimension requires deeper study.</w:t>
      </w:r>
    </w:p>
    <w:p w14:paraId="6B98AFEF" w14:textId="77777777" w:rsidR="00504286" w:rsidRPr="00504286" w:rsidRDefault="00504286" w:rsidP="00504286">
      <w:pPr>
        <w:pStyle w:val="Body"/>
        <w:spacing w:after="0"/>
        <w:rPr>
          <w:rFonts w:ascii="Arial" w:hAnsi="Arial" w:cs="Arial"/>
        </w:rPr>
      </w:pPr>
    </w:p>
    <w:p w14:paraId="353D17A0" w14:textId="7FFCF061" w:rsidR="00526A0E" w:rsidRDefault="00504286" w:rsidP="00526A0E">
      <w:pPr>
        <w:pStyle w:val="Body"/>
        <w:spacing w:after="0"/>
        <w:rPr>
          <w:rFonts w:ascii="Arial" w:hAnsi="Arial" w:cs="Arial"/>
        </w:rPr>
      </w:pPr>
      <w:r w:rsidRPr="00504286">
        <w:rPr>
          <w:rFonts w:ascii="Arial" w:hAnsi="Arial" w:cs="Arial"/>
        </w:rPr>
        <w:t>The review reaffirms the TOE framework as a robust lens for analyzing AI adoption in software development. Practically, it provides decision makers with evidence to prioritize technological value and organizational readiness, while remaining aware of overlooked environmental influences. Limitations include reliance on secondary studies and frequency analysis, with future research needed to validate underexplored environmental drivers and cross-regional adoption dynamics.</w:t>
      </w:r>
    </w:p>
    <w:p w14:paraId="1432B49F" w14:textId="77777777" w:rsidR="00504286" w:rsidRDefault="00504286" w:rsidP="00526A0E">
      <w:pPr>
        <w:pStyle w:val="Body"/>
        <w:spacing w:after="0"/>
        <w:rPr>
          <w:rFonts w:ascii="Arial" w:hAnsi="Arial" w:cs="Arial"/>
        </w:rPr>
      </w:pPr>
    </w:p>
    <w:p w14:paraId="40F5876B" w14:textId="77777777" w:rsidR="00A619FD" w:rsidRDefault="00A619FD" w:rsidP="00A619FD">
      <w:pPr>
        <w:pStyle w:val="Body"/>
        <w:spacing w:after="0"/>
        <w:rPr>
          <w:rFonts w:ascii="Arial" w:hAnsi="Arial" w:cs="Arial"/>
        </w:rPr>
      </w:pPr>
      <w:bookmarkStart w:id="1" w:name="_GoBack"/>
      <w:bookmarkEnd w:id="1"/>
    </w:p>
    <w:p w14:paraId="36AB3AB1" w14:textId="77777777" w:rsidR="00A619FD" w:rsidRPr="00786D36" w:rsidRDefault="00A619FD" w:rsidP="00A619FD">
      <w:pPr>
        <w:pStyle w:val="ReferHead"/>
        <w:spacing w:after="0"/>
        <w:jc w:val="both"/>
        <w:rPr>
          <w:rFonts w:ascii="Arial" w:hAnsi="Arial" w:cs="Arial"/>
          <w:bCs/>
        </w:rPr>
      </w:pPr>
      <w:r w:rsidRPr="00786D36">
        <w:rPr>
          <w:rFonts w:ascii="Arial" w:hAnsi="Arial" w:cs="Arial"/>
          <w:bCs/>
        </w:rPr>
        <w:t>Competing interests</w:t>
      </w:r>
    </w:p>
    <w:p w14:paraId="61F76F11" w14:textId="77777777" w:rsidR="00A619FD" w:rsidRPr="00786D36" w:rsidRDefault="00A619FD" w:rsidP="00A619FD">
      <w:pPr>
        <w:pStyle w:val="ReferHead"/>
        <w:spacing w:after="0"/>
        <w:jc w:val="both"/>
        <w:rPr>
          <w:rFonts w:ascii="Arial" w:hAnsi="Arial" w:cs="Arial"/>
        </w:rPr>
      </w:pPr>
    </w:p>
    <w:p w14:paraId="70AF537E" w14:textId="49E2882E" w:rsidR="00A619FD" w:rsidRDefault="00A619FD" w:rsidP="00A619FD">
      <w:pPr>
        <w:pStyle w:val="Body"/>
        <w:spacing w:after="0"/>
        <w:rPr>
          <w:rFonts w:ascii="Arial" w:hAnsi="Arial" w:cs="Arial"/>
        </w:rPr>
      </w:pPr>
      <w:r w:rsidRPr="00A619FD">
        <w:rPr>
          <w:rFonts w:ascii="Arial" w:hAnsi="Arial" w:cs="Arial"/>
        </w:rPr>
        <w:t>The authors declare that no competing interests exist.</w:t>
      </w:r>
    </w:p>
    <w:p w14:paraId="7272DEBB" w14:textId="77777777" w:rsidR="00A619FD" w:rsidRDefault="00A619FD" w:rsidP="00A619FD">
      <w:pPr>
        <w:pStyle w:val="Body"/>
        <w:spacing w:after="0"/>
        <w:rPr>
          <w:rFonts w:ascii="Arial" w:hAnsi="Arial" w:cs="Arial"/>
        </w:rPr>
      </w:pPr>
    </w:p>
    <w:p w14:paraId="5AD55204" w14:textId="77777777" w:rsidR="00A619FD" w:rsidRDefault="00A619FD" w:rsidP="00A619FD">
      <w:pPr>
        <w:pStyle w:val="ReferHead"/>
        <w:spacing w:after="0"/>
        <w:jc w:val="both"/>
        <w:rPr>
          <w:rFonts w:ascii="Arial" w:hAnsi="Arial" w:cs="Arial"/>
          <w:b w:val="0"/>
          <w:caps w:val="0"/>
          <w:sz w:val="20"/>
        </w:rPr>
      </w:pPr>
    </w:p>
    <w:p w14:paraId="44B83FEA" w14:textId="012AC8A5" w:rsidR="00A619FD" w:rsidRDefault="00A619FD" w:rsidP="00A619FD">
      <w:pPr>
        <w:pStyle w:val="ReferHead"/>
        <w:spacing w:after="0"/>
        <w:jc w:val="both"/>
        <w:rPr>
          <w:rFonts w:ascii="Arial" w:hAnsi="Arial" w:cs="Arial"/>
          <w:bCs/>
        </w:rPr>
      </w:pPr>
      <w:r w:rsidRPr="002B685A">
        <w:rPr>
          <w:rFonts w:ascii="Arial" w:hAnsi="Arial" w:cs="Arial"/>
          <w:bCs/>
        </w:rPr>
        <w:t>Consent</w:t>
      </w:r>
    </w:p>
    <w:p w14:paraId="6B78D364" w14:textId="77777777" w:rsidR="00A619FD" w:rsidRPr="002B685A" w:rsidRDefault="00A619FD" w:rsidP="00A619FD">
      <w:pPr>
        <w:pStyle w:val="ReferHead"/>
        <w:spacing w:after="0"/>
        <w:jc w:val="both"/>
        <w:rPr>
          <w:rFonts w:ascii="Arial" w:hAnsi="Arial" w:cs="Arial"/>
          <w:bCs/>
        </w:rPr>
      </w:pPr>
    </w:p>
    <w:p w14:paraId="54FEBEEF" w14:textId="33FDA657" w:rsidR="00A619FD" w:rsidRPr="00F469F0" w:rsidRDefault="00F7421F" w:rsidP="00A619FD">
      <w:pPr>
        <w:pStyle w:val="ReferHead"/>
        <w:spacing w:after="0"/>
        <w:jc w:val="both"/>
        <w:rPr>
          <w:rFonts w:ascii="Arial" w:hAnsi="Arial" w:cs="Arial"/>
          <w:b w:val="0"/>
          <w:caps w:val="0"/>
          <w:sz w:val="20"/>
          <w:u w:val="single"/>
        </w:rPr>
      </w:pPr>
      <w:r w:rsidRPr="00F7421F">
        <w:rPr>
          <w:rFonts w:ascii="Arial" w:hAnsi="Arial" w:cs="Arial"/>
          <w:b w:val="0"/>
          <w:caps w:val="0"/>
          <w:sz w:val="20"/>
        </w:rPr>
        <w:t>Not applicable</w:t>
      </w:r>
    </w:p>
    <w:p w14:paraId="4BEFCAD0" w14:textId="77777777" w:rsidR="00A619FD" w:rsidRDefault="00A619FD" w:rsidP="00A619FD">
      <w:pPr>
        <w:pStyle w:val="ReferHead"/>
        <w:spacing w:after="0"/>
        <w:jc w:val="both"/>
        <w:rPr>
          <w:rFonts w:ascii="Arial" w:hAnsi="Arial" w:cs="Arial"/>
          <w:b w:val="0"/>
          <w:caps w:val="0"/>
          <w:sz w:val="20"/>
        </w:rPr>
      </w:pPr>
    </w:p>
    <w:p w14:paraId="49446E4B" w14:textId="77777777" w:rsidR="00A619FD" w:rsidRDefault="00A619FD" w:rsidP="00A619FD">
      <w:pPr>
        <w:pStyle w:val="ReferHead"/>
        <w:spacing w:after="0"/>
        <w:jc w:val="both"/>
        <w:rPr>
          <w:rFonts w:ascii="Arial" w:hAnsi="Arial" w:cs="Arial"/>
          <w:b w:val="0"/>
          <w:caps w:val="0"/>
          <w:sz w:val="20"/>
        </w:rPr>
      </w:pPr>
    </w:p>
    <w:p w14:paraId="61482031" w14:textId="34271A73" w:rsidR="00A619FD" w:rsidRDefault="00A619FD" w:rsidP="00A619FD">
      <w:pPr>
        <w:pStyle w:val="ReferHead"/>
        <w:spacing w:after="0"/>
        <w:jc w:val="both"/>
        <w:rPr>
          <w:rFonts w:ascii="Arial" w:hAnsi="Arial" w:cs="Arial"/>
          <w:bCs/>
        </w:rPr>
      </w:pPr>
      <w:r>
        <w:rPr>
          <w:rFonts w:ascii="Arial" w:hAnsi="Arial" w:cs="Arial"/>
          <w:bCs/>
        </w:rPr>
        <w:t>Ethical approval</w:t>
      </w:r>
    </w:p>
    <w:p w14:paraId="2707D5B0" w14:textId="77777777" w:rsidR="00A619FD" w:rsidRPr="002B685A" w:rsidRDefault="00A619FD" w:rsidP="00A619FD">
      <w:pPr>
        <w:pStyle w:val="ReferHead"/>
        <w:spacing w:after="0"/>
        <w:jc w:val="both"/>
        <w:rPr>
          <w:rFonts w:ascii="Arial" w:hAnsi="Arial" w:cs="Arial"/>
          <w:bCs/>
        </w:rPr>
      </w:pPr>
    </w:p>
    <w:p w14:paraId="729D8B43" w14:textId="35632147" w:rsidR="00A619FD" w:rsidRDefault="00F7421F" w:rsidP="00A619FD">
      <w:pPr>
        <w:pStyle w:val="ReferHead"/>
        <w:spacing w:after="0"/>
        <w:jc w:val="both"/>
        <w:rPr>
          <w:rFonts w:ascii="Arial" w:hAnsi="Arial" w:cs="Arial"/>
          <w:b w:val="0"/>
          <w:caps w:val="0"/>
          <w:sz w:val="20"/>
        </w:rPr>
      </w:pPr>
      <w:r w:rsidRPr="00F7421F">
        <w:rPr>
          <w:rFonts w:ascii="Arial" w:hAnsi="Arial" w:cs="Arial"/>
          <w:b w:val="0"/>
          <w:caps w:val="0"/>
          <w:sz w:val="20"/>
        </w:rPr>
        <w:t>Not applicable.</w:t>
      </w:r>
    </w:p>
    <w:p w14:paraId="3D2B165F" w14:textId="77777777" w:rsidR="00A619FD" w:rsidRDefault="00A619FD" w:rsidP="00A619FD">
      <w:pPr>
        <w:pStyle w:val="Body"/>
        <w:spacing w:after="0"/>
        <w:rPr>
          <w:rFonts w:ascii="Arial" w:hAnsi="Arial" w:cs="Arial"/>
        </w:rPr>
      </w:pPr>
    </w:p>
    <w:p w14:paraId="64D31603" w14:textId="77777777" w:rsidR="00A619FD" w:rsidRDefault="00A619FD" w:rsidP="00A619FD">
      <w:pPr>
        <w:pStyle w:val="Body"/>
        <w:spacing w:after="0"/>
        <w:rPr>
          <w:rFonts w:ascii="Arial" w:hAnsi="Arial" w:cs="Arial"/>
        </w:rPr>
      </w:pPr>
    </w:p>
    <w:p w14:paraId="634867C9" w14:textId="77777777" w:rsidR="00504286" w:rsidRDefault="00504286" w:rsidP="00504286">
      <w:pPr>
        <w:pStyle w:val="ReferHead"/>
        <w:spacing w:after="0"/>
        <w:jc w:val="both"/>
        <w:rPr>
          <w:rFonts w:ascii="Arial" w:hAnsi="Arial" w:cs="Arial"/>
        </w:rPr>
      </w:pPr>
      <w:r w:rsidRPr="00FB3A86">
        <w:rPr>
          <w:rFonts w:ascii="Arial" w:hAnsi="Arial" w:cs="Arial"/>
        </w:rPr>
        <w:t>References</w:t>
      </w:r>
    </w:p>
    <w:p w14:paraId="0217E6CE" w14:textId="77777777" w:rsidR="00921A7B" w:rsidRDefault="00921A7B" w:rsidP="00504286">
      <w:pPr>
        <w:pStyle w:val="ReferHead"/>
        <w:spacing w:after="0"/>
        <w:jc w:val="both"/>
        <w:rPr>
          <w:rFonts w:ascii="Arial" w:hAnsi="Arial" w:cs="Arial"/>
        </w:rPr>
      </w:pPr>
    </w:p>
    <w:p w14:paraId="01B8E93D" w14:textId="79763790" w:rsidR="00921A7B" w:rsidRDefault="00921A7B" w:rsidP="00921A7B">
      <w:pPr>
        <w:pStyle w:val="Body"/>
        <w:spacing w:after="0"/>
        <w:rPr>
          <w:rFonts w:ascii="Arial" w:hAnsi="Arial" w:cs="Arial"/>
        </w:rPr>
      </w:pPr>
      <w:r w:rsidRPr="00921A7B">
        <w:rPr>
          <w:rFonts w:ascii="Arial" w:hAnsi="Arial" w:cs="Arial"/>
        </w:rPr>
        <w:t xml:space="preserve">Arshad, N., Butt, T. A., &amp; Iqbal, M. (2025). A comprehensive framework for intelligent, scalable, and performance-optimized software development. </w:t>
      </w:r>
      <w:r w:rsidRPr="00921A7B">
        <w:rPr>
          <w:rFonts w:ascii="Arial" w:hAnsi="Arial" w:cs="Arial"/>
          <w:i/>
          <w:iCs/>
        </w:rPr>
        <w:t>IEEE Access</w:t>
      </w:r>
      <w:r w:rsidRPr="00921A7B">
        <w:rPr>
          <w:rFonts w:ascii="Arial" w:hAnsi="Arial" w:cs="Arial"/>
        </w:rPr>
        <w:t xml:space="preserve">, 13, 74062–74077. </w:t>
      </w:r>
      <w:hyperlink r:id="rId15" w:history="1">
        <w:r w:rsidRPr="00482253">
          <w:rPr>
            <w:rStyle w:val="Hyperlink"/>
            <w:rFonts w:ascii="Arial" w:hAnsi="Arial" w:cs="Arial"/>
          </w:rPr>
          <w:t>https://doi.org/10.1109/ACCESS.2025.3564139</w:t>
        </w:r>
      </w:hyperlink>
    </w:p>
    <w:p w14:paraId="11461C0B" w14:textId="77777777" w:rsidR="00921A7B" w:rsidRPr="00921A7B" w:rsidRDefault="00921A7B" w:rsidP="00921A7B">
      <w:pPr>
        <w:pStyle w:val="Body"/>
        <w:spacing w:after="0"/>
        <w:rPr>
          <w:rFonts w:ascii="Arial" w:hAnsi="Arial" w:cs="Arial"/>
        </w:rPr>
      </w:pPr>
    </w:p>
    <w:p w14:paraId="2DD867A8" w14:textId="5E45443C" w:rsidR="00921A7B" w:rsidRDefault="00921A7B" w:rsidP="00921A7B">
      <w:pPr>
        <w:pStyle w:val="Body"/>
        <w:spacing w:after="0"/>
        <w:rPr>
          <w:rFonts w:ascii="Arial" w:hAnsi="Arial" w:cs="Arial"/>
        </w:rPr>
      </w:pPr>
      <w:r w:rsidRPr="00921A7B">
        <w:rPr>
          <w:rFonts w:ascii="Arial" w:hAnsi="Arial" w:cs="Arial"/>
        </w:rPr>
        <w:t xml:space="preserve">Sofian, H., Yunus, N. A. M., &amp; Ahmad, R. (2022). Systematic mapping: Artificial intelligence techniques in software engineering. </w:t>
      </w:r>
      <w:r w:rsidRPr="00921A7B">
        <w:rPr>
          <w:rFonts w:ascii="Arial" w:hAnsi="Arial" w:cs="Arial"/>
          <w:i/>
          <w:iCs/>
        </w:rPr>
        <w:t>IEEE Access</w:t>
      </w:r>
      <w:r w:rsidRPr="00921A7B">
        <w:rPr>
          <w:rFonts w:ascii="Arial" w:hAnsi="Arial" w:cs="Arial"/>
        </w:rPr>
        <w:t xml:space="preserve">, 10, 51021–51040. </w:t>
      </w:r>
      <w:hyperlink r:id="rId16" w:history="1">
        <w:r w:rsidRPr="00482253">
          <w:rPr>
            <w:rStyle w:val="Hyperlink"/>
            <w:rFonts w:ascii="Arial" w:hAnsi="Arial" w:cs="Arial"/>
          </w:rPr>
          <w:t>https://doi.org/10.1109/ACCESS.2022.3174115</w:t>
        </w:r>
      </w:hyperlink>
    </w:p>
    <w:p w14:paraId="2B4959CF" w14:textId="77777777" w:rsidR="00921A7B" w:rsidRPr="00921A7B" w:rsidRDefault="00921A7B" w:rsidP="00921A7B">
      <w:pPr>
        <w:pStyle w:val="Body"/>
        <w:spacing w:after="0"/>
        <w:rPr>
          <w:rFonts w:ascii="Arial" w:hAnsi="Arial" w:cs="Arial"/>
        </w:rPr>
      </w:pPr>
    </w:p>
    <w:p w14:paraId="620D6F19" w14:textId="70722F37" w:rsidR="00921A7B" w:rsidRDefault="00921A7B" w:rsidP="00921A7B">
      <w:pPr>
        <w:pStyle w:val="Body"/>
        <w:spacing w:after="0"/>
        <w:rPr>
          <w:rFonts w:ascii="Arial" w:hAnsi="Arial" w:cs="Arial"/>
        </w:rPr>
      </w:pPr>
      <w:r w:rsidRPr="00921A7B">
        <w:rPr>
          <w:rFonts w:ascii="Arial" w:hAnsi="Arial" w:cs="Arial"/>
        </w:rPr>
        <w:t xml:space="preserve">Ko, E., &amp; Kang, P. (2025). Evaluating coding proficiency of large language models: An investigation through machine learning problems. </w:t>
      </w:r>
      <w:r w:rsidRPr="00921A7B">
        <w:rPr>
          <w:rFonts w:ascii="Arial" w:hAnsi="Arial" w:cs="Arial"/>
          <w:i/>
          <w:iCs/>
        </w:rPr>
        <w:t>IEEE Access</w:t>
      </w:r>
      <w:r w:rsidRPr="00921A7B">
        <w:rPr>
          <w:rFonts w:ascii="Arial" w:hAnsi="Arial" w:cs="Arial"/>
        </w:rPr>
        <w:t xml:space="preserve">, 13, 52925–52938. </w:t>
      </w:r>
      <w:hyperlink r:id="rId17" w:history="1">
        <w:r w:rsidRPr="00482253">
          <w:rPr>
            <w:rStyle w:val="Hyperlink"/>
            <w:rFonts w:ascii="Arial" w:hAnsi="Arial" w:cs="Arial"/>
          </w:rPr>
          <w:t>https://doi.org/10.1109/ACCESS.2025.3553870</w:t>
        </w:r>
      </w:hyperlink>
    </w:p>
    <w:p w14:paraId="63A04B59" w14:textId="77777777" w:rsidR="00921A7B" w:rsidRPr="00921A7B" w:rsidRDefault="00921A7B" w:rsidP="00921A7B">
      <w:pPr>
        <w:pStyle w:val="Body"/>
        <w:spacing w:after="0"/>
        <w:rPr>
          <w:rFonts w:ascii="Arial" w:hAnsi="Arial" w:cs="Arial"/>
        </w:rPr>
      </w:pPr>
    </w:p>
    <w:p w14:paraId="386C0579" w14:textId="77777777" w:rsidR="00921A7B" w:rsidRDefault="00921A7B" w:rsidP="00921A7B">
      <w:pPr>
        <w:pStyle w:val="Body"/>
        <w:spacing w:after="0"/>
        <w:rPr>
          <w:rFonts w:ascii="Arial" w:hAnsi="Arial" w:cs="Arial"/>
        </w:rPr>
      </w:pPr>
      <w:r w:rsidRPr="00921A7B">
        <w:rPr>
          <w:rFonts w:ascii="Arial" w:hAnsi="Arial" w:cs="Arial"/>
        </w:rPr>
        <w:t xml:space="preserve">Li, Z. S., Arony, N. N., </w:t>
      </w:r>
      <w:proofErr w:type="spellStart"/>
      <w:r w:rsidRPr="00921A7B">
        <w:rPr>
          <w:rFonts w:ascii="Arial" w:hAnsi="Arial" w:cs="Arial"/>
        </w:rPr>
        <w:t>Awon</w:t>
      </w:r>
      <w:proofErr w:type="spellEnd"/>
      <w:r w:rsidRPr="00921A7B">
        <w:rPr>
          <w:rFonts w:ascii="Arial" w:hAnsi="Arial" w:cs="Arial"/>
        </w:rPr>
        <w:t xml:space="preserve">, A. M., Damian, D., &amp; Xu, B. (2024). AI tool use and adoption in software development by individuals and organizations: A grounded theory study. </w:t>
      </w:r>
      <w:proofErr w:type="spellStart"/>
      <w:r w:rsidRPr="00921A7B">
        <w:rPr>
          <w:rFonts w:ascii="Arial" w:hAnsi="Arial" w:cs="Arial"/>
          <w:i/>
          <w:iCs/>
        </w:rPr>
        <w:t>arXiv</w:t>
      </w:r>
      <w:proofErr w:type="spellEnd"/>
      <w:r w:rsidRPr="00921A7B">
        <w:rPr>
          <w:rFonts w:ascii="Arial" w:hAnsi="Arial" w:cs="Arial"/>
        </w:rPr>
        <w:t xml:space="preserve">. </w:t>
      </w:r>
      <w:hyperlink r:id="rId18" w:tgtFrame="_new" w:history="1">
        <w:r w:rsidRPr="00921A7B">
          <w:rPr>
            <w:rStyle w:val="Hyperlink"/>
            <w:rFonts w:ascii="Arial" w:hAnsi="Arial" w:cs="Arial"/>
          </w:rPr>
          <w:t>http://arxiv.org/abs/2406.17325</w:t>
        </w:r>
      </w:hyperlink>
    </w:p>
    <w:p w14:paraId="17313292" w14:textId="77777777" w:rsidR="00921A7B" w:rsidRPr="00921A7B" w:rsidRDefault="00921A7B" w:rsidP="00921A7B">
      <w:pPr>
        <w:pStyle w:val="Body"/>
        <w:spacing w:after="0"/>
        <w:rPr>
          <w:rFonts w:ascii="Arial" w:hAnsi="Arial" w:cs="Arial"/>
        </w:rPr>
      </w:pPr>
    </w:p>
    <w:p w14:paraId="231AC24F" w14:textId="0349D960" w:rsidR="00921A7B" w:rsidRDefault="00921A7B" w:rsidP="00921A7B">
      <w:pPr>
        <w:pStyle w:val="Body"/>
        <w:spacing w:after="0"/>
        <w:rPr>
          <w:rFonts w:ascii="Arial" w:hAnsi="Arial" w:cs="Arial"/>
        </w:rPr>
      </w:pPr>
      <w:r w:rsidRPr="00921A7B">
        <w:rPr>
          <w:rFonts w:ascii="Arial" w:hAnsi="Arial" w:cs="Arial"/>
        </w:rPr>
        <w:t xml:space="preserve">Khan, M. A., et al. (2024). On the effectiveness of feature selection techniques in the context of ML-based regression test prioritization. </w:t>
      </w:r>
      <w:r w:rsidRPr="00921A7B">
        <w:rPr>
          <w:rFonts w:ascii="Arial" w:hAnsi="Arial" w:cs="Arial"/>
          <w:i/>
          <w:iCs/>
        </w:rPr>
        <w:t>IEEE Access</w:t>
      </w:r>
      <w:r w:rsidRPr="00921A7B">
        <w:rPr>
          <w:rFonts w:ascii="Arial" w:hAnsi="Arial" w:cs="Arial"/>
        </w:rPr>
        <w:t xml:space="preserve">, 12, 131556–131575. </w:t>
      </w:r>
      <w:hyperlink r:id="rId19" w:history="1">
        <w:r w:rsidRPr="00482253">
          <w:rPr>
            <w:rStyle w:val="Hyperlink"/>
            <w:rFonts w:ascii="Arial" w:hAnsi="Arial" w:cs="Arial"/>
          </w:rPr>
          <w:t>https://doi.org/10.1109/ACCESS.2024.3459656</w:t>
        </w:r>
      </w:hyperlink>
    </w:p>
    <w:p w14:paraId="2AD8E3BF" w14:textId="77777777" w:rsidR="00921A7B" w:rsidRPr="00921A7B" w:rsidRDefault="00921A7B" w:rsidP="00921A7B">
      <w:pPr>
        <w:pStyle w:val="Body"/>
        <w:spacing w:after="0"/>
        <w:rPr>
          <w:rFonts w:ascii="Arial" w:hAnsi="Arial" w:cs="Arial"/>
        </w:rPr>
      </w:pPr>
    </w:p>
    <w:p w14:paraId="549D11E3" w14:textId="26D9FE5A" w:rsidR="00921A7B" w:rsidRDefault="00921A7B" w:rsidP="00921A7B">
      <w:pPr>
        <w:pStyle w:val="Body"/>
        <w:spacing w:after="0"/>
        <w:rPr>
          <w:rFonts w:ascii="Arial" w:hAnsi="Arial" w:cs="Arial"/>
        </w:rPr>
      </w:pPr>
      <w:r w:rsidRPr="00921A7B">
        <w:rPr>
          <w:rFonts w:ascii="Arial" w:hAnsi="Arial" w:cs="Arial"/>
        </w:rPr>
        <w:t xml:space="preserve">Martinez-Garate, A. A., Aguilar-Calderon, J. A., Tripp-Barba, C., &amp; Zaldivar-Colado, A. (2023). Model-driven approaches for conversational </w:t>
      </w:r>
      <w:proofErr w:type="gramStart"/>
      <w:r w:rsidRPr="00921A7B">
        <w:rPr>
          <w:rFonts w:ascii="Arial" w:hAnsi="Arial" w:cs="Arial"/>
        </w:rPr>
        <w:t>agents</w:t>
      </w:r>
      <w:proofErr w:type="gramEnd"/>
      <w:r w:rsidRPr="00921A7B">
        <w:rPr>
          <w:rFonts w:ascii="Arial" w:hAnsi="Arial" w:cs="Arial"/>
        </w:rPr>
        <w:t xml:space="preserve"> development: A systematic mapping study. </w:t>
      </w:r>
      <w:r w:rsidRPr="00921A7B">
        <w:rPr>
          <w:rFonts w:ascii="Arial" w:hAnsi="Arial" w:cs="Arial"/>
          <w:i/>
          <w:iCs/>
        </w:rPr>
        <w:t>IEEE Access</w:t>
      </w:r>
      <w:r w:rsidRPr="00921A7B">
        <w:rPr>
          <w:rFonts w:ascii="Arial" w:hAnsi="Arial" w:cs="Arial"/>
        </w:rPr>
        <w:t xml:space="preserve">. </w:t>
      </w:r>
      <w:hyperlink r:id="rId20" w:history="1">
        <w:r w:rsidRPr="00482253">
          <w:rPr>
            <w:rStyle w:val="Hyperlink"/>
            <w:rFonts w:ascii="Arial" w:hAnsi="Arial" w:cs="Arial"/>
          </w:rPr>
          <w:t>https://doi.org/10.1109/ACCESS.2023.3293849</w:t>
        </w:r>
      </w:hyperlink>
    </w:p>
    <w:p w14:paraId="05E1BB4F" w14:textId="77777777" w:rsidR="00921A7B" w:rsidRPr="00921A7B" w:rsidRDefault="00921A7B" w:rsidP="00921A7B">
      <w:pPr>
        <w:pStyle w:val="Body"/>
        <w:spacing w:after="0"/>
        <w:rPr>
          <w:rFonts w:ascii="Arial" w:hAnsi="Arial" w:cs="Arial"/>
        </w:rPr>
      </w:pPr>
    </w:p>
    <w:p w14:paraId="28C40C5B" w14:textId="6C98101C" w:rsidR="00921A7B" w:rsidRDefault="00921A7B" w:rsidP="00921A7B">
      <w:pPr>
        <w:pStyle w:val="Body"/>
        <w:spacing w:after="0"/>
        <w:rPr>
          <w:rFonts w:ascii="Arial" w:hAnsi="Arial" w:cs="Arial"/>
        </w:rPr>
      </w:pPr>
      <w:r w:rsidRPr="00921A7B">
        <w:rPr>
          <w:rFonts w:ascii="Arial" w:hAnsi="Arial" w:cs="Arial"/>
        </w:rPr>
        <w:t xml:space="preserve">Bhardwaj, A. K., Garg, L., Garg, A., &amp; </w:t>
      </w:r>
      <w:proofErr w:type="spellStart"/>
      <w:r w:rsidRPr="00921A7B">
        <w:rPr>
          <w:rFonts w:ascii="Arial" w:hAnsi="Arial" w:cs="Arial"/>
        </w:rPr>
        <w:t>Gajpal</w:t>
      </w:r>
      <w:proofErr w:type="spellEnd"/>
      <w:r w:rsidRPr="00921A7B">
        <w:rPr>
          <w:rFonts w:ascii="Arial" w:hAnsi="Arial" w:cs="Arial"/>
        </w:rPr>
        <w:t xml:space="preserve">, Y. (2020). E-learning during COVID-19 outbreak: Cloud computing adoption in Indian public universities. </w:t>
      </w:r>
      <w:r w:rsidRPr="00921A7B">
        <w:rPr>
          <w:rFonts w:ascii="Arial" w:hAnsi="Arial" w:cs="Arial"/>
          <w:i/>
          <w:iCs/>
        </w:rPr>
        <w:t>Computers, Materials &amp; Continua</w:t>
      </w:r>
      <w:r w:rsidRPr="00921A7B">
        <w:rPr>
          <w:rFonts w:ascii="Arial" w:hAnsi="Arial" w:cs="Arial"/>
        </w:rPr>
        <w:t xml:space="preserve">, 66(3), 2471–2492. </w:t>
      </w:r>
      <w:hyperlink r:id="rId21" w:history="1">
        <w:r w:rsidRPr="00482253">
          <w:rPr>
            <w:rStyle w:val="Hyperlink"/>
            <w:rFonts w:ascii="Arial" w:hAnsi="Arial" w:cs="Arial"/>
          </w:rPr>
          <w:t>https://doi.org/10.32604/cmc.2021.014099</w:t>
        </w:r>
      </w:hyperlink>
    </w:p>
    <w:p w14:paraId="71716CAC" w14:textId="77777777" w:rsidR="00921A7B" w:rsidRPr="00921A7B" w:rsidRDefault="00921A7B" w:rsidP="00921A7B">
      <w:pPr>
        <w:pStyle w:val="Body"/>
        <w:spacing w:after="0"/>
        <w:rPr>
          <w:rFonts w:ascii="Arial" w:hAnsi="Arial" w:cs="Arial"/>
        </w:rPr>
      </w:pPr>
    </w:p>
    <w:p w14:paraId="041ABF34" w14:textId="77777777" w:rsidR="00921A7B" w:rsidRDefault="00921A7B" w:rsidP="00921A7B">
      <w:pPr>
        <w:pStyle w:val="Body"/>
        <w:spacing w:after="0"/>
        <w:rPr>
          <w:rFonts w:ascii="Arial" w:hAnsi="Arial" w:cs="Arial"/>
        </w:rPr>
      </w:pPr>
      <w:proofErr w:type="spellStart"/>
      <w:r w:rsidRPr="00921A7B">
        <w:rPr>
          <w:rFonts w:ascii="Arial" w:hAnsi="Arial" w:cs="Arial"/>
        </w:rPr>
        <w:t>Badghish</w:t>
      </w:r>
      <w:proofErr w:type="spellEnd"/>
      <w:r w:rsidRPr="00921A7B">
        <w:rPr>
          <w:rFonts w:ascii="Arial" w:hAnsi="Arial" w:cs="Arial"/>
        </w:rPr>
        <w:t xml:space="preserve">, S., &amp; Soomro, Y. A. (2024). Artificial intelligence adoption by SMEs to achieve sustainable business performance: Application of the technology–organization–environment framework. </w:t>
      </w:r>
      <w:r w:rsidRPr="00921A7B">
        <w:rPr>
          <w:rFonts w:ascii="Arial" w:hAnsi="Arial" w:cs="Arial"/>
          <w:i/>
          <w:iCs/>
        </w:rPr>
        <w:t>Sustainability</w:t>
      </w:r>
      <w:r w:rsidRPr="00921A7B">
        <w:rPr>
          <w:rFonts w:ascii="Arial" w:hAnsi="Arial" w:cs="Arial"/>
        </w:rPr>
        <w:t xml:space="preserve">, 16(5). </w:t>
      </w:r>
      <w:hyperlink r:id="rId22" w:tgtFrame="_new" w:history="1">
        <w:r w:rsidRPr="00921A7B">
          <w:rPr>
            <w:rStyle w:val="Hyperlink"/>
            <w:rFonts w:ascii="Arial" w:hAnsi="Arial" w:cs="Arial"/>
          </w:rPr>
          <w:t>https://doi.org/10.3390/su16051864</w:t>
        </w:r>
      </w:hyperlink>
    </w:p>
    <w:p w14:paraId="79810730" w14:textId="77777777" w:rsidR="00921A7B" w:rsidRPr="00921A7B" w:rsidRDefault="00921A7B" w:rsidP="00921A7B">
      <w:pPr>
        <w:pStyle w:val="Body"/>
        <w:spacing w:after="0"/>
        <w:rPr>
          <w:rFonts w:ascii="Arial" w:hAnsi="Arial" w:cs="Arial"/>
        </w:rPr>
      </w:pPr>
    </w:p>
    <w:p w14:paraId="1125CD97" w14:textId="6FFEA4BD" w:rsidR="00921A7B" w:rsidRDefault="00921A7B" w:rsidP="00921A7B">
      <w:pPr>
        <w:pStyle w:val="Body"/>
        <w:spacing w:after="0"/>
        <w:rPr>
          <w:rFonts w:ascii="Arial" w:hAnsi="Arial" w:cs="Arial"/>
        </w:rPr>
      </w:pPr>
      <w:r w:rsidRPr="00921A7B">
        <w:rPr>
          <w:rFonts w:ascii="Arial" w:hAnsi="Arial" w:cs="Arial"/>
        </w:rPr>
        <w:t xml:space="preserve">Xiang, T. C., Talib, Z. M., &amp; Md Johar, M. G. (2023). An analysis of sustainable change management for Quality 4.0: Evidence from hybrid project management adoption in the Malaysian FinTech context. </w:t>
      </w:r>
      <w:r w:rsidRPr="00921A7B">
        <w:rPr>
          <w:rFonts w:ascii="Arial" w:hAnsi="Arial" w:cs="Arial"/>
          <w:i/>
          <w:iCs/>
        </w:rPr>
        <w:t>Journal of Project Management</w:t>
      </w:r>
      <w:r w:rsidRPr="00921A7B">
        <w:rPr>
          <w:rFonts w:ascii="Arial" w:hAnsi="Arial" w:cs="Arial"/>
        </w:rPr>
        <w:t xml:space="preserve">, 8(4), 253–272. </w:t>
      </w:r>
      <w:hyperlink r:id="rId23" w:history="1">
        <w:r w:rsidRPr="00482253">
          <w:rPr>
            <w:rStyle w:val="Hyperlink"/>
            <w:rFonts w:ascii="Arial" w:hAnsi="Arial" w:cs="Arial"/>
          </w:rPr>
          <w:t>https://doi.org/10.5267/j.jpm.2023.6.001</w:t>
        </w:r>
      </w:hyperlink>
    </w:p>
    <w:p w14:paraId="00FD2A62" w14:textId="77777777" w:rsidR="00921A7B" w:rsidRPr="00921A7B" w:rsidRDefault="00921A7B" w:rsidP="00921A7B">
      <w:pPr>
        <w:pStyle w:val="Body"/>
        <w:spacing w:after="0"/>
        <w:rPr>
          <w:rFonts w:ascii="Arial" w:hAnsi="Arial" w:cs="Arial"/>
        </w:rPr>
      </w:pPr>
    </w:p>
    <w:p w14:paraId="724CC6F6" w14:textId="3EA890EA" w:rsidR="00921A7B" w:rsidRDefault="00921A7B" w:rsidP="00921A7B">
      <w:pPr>
        <w:pStyle w:val="Body"/>
        <w:spacing w:after="0"/>
        <w:rPr>
          <w:rFonts w:ascii="Arial" w:hAnsi="Arial" w:cs="Arial"/>
        </w:rPr>
      </w:pPr>
      <w:proofErr w:type="spellStart"/>
      <w:r w:rsidRPr="00921A7B">
        <w:rPr>
          <w:rFonts w:ascii="Arial" w:hAnsi="Arial" w:cs="Arial"/>
        </w:rPr>
        <w:t>Siradhana</w:t>
      </w:r>
      <w:proofErr w:type="spellEnd"/>
      <w:r w:rsidRPr="00921A7B">
        <w:rPr>
          <w:rFonts w:ascii="Arial" w:hAnsi="Arial" w:cs="Arial"/>
        </w:rPr>
        <w:t xml:space="preserve">, N. K., &amp; Arora, R. G. (2024). Examining the influence of artificial intelligence implementation in HRM practices using the technology–organization–environment model. </w:t>
      </w:r>
      <w:r w:rsidRPr="00921A7B">
        <w:rPr>
          <w:rFonts w:ascii="Arial" w:hAnsi="Arial" w:cs="Arial"/>
          <w:i/>
          <w:iCs/>
        </w:rPr>
        <w:t>Vision</w:t>
      </w:r>
      <w:r w:rsidRPr="00921A7B">
        <w:rPr>
          <w:rFonts w:ascii="Arial" w:hAnsi="Arial" w:cs="Arial"/>
        </w:rPr>
        <w:t xml:space="preserve">. </w:t>
      </w:r>
      <w:hyperlink r:id="rId24" w:history="1">
        <w:r w:rsidRPr="00482253">
          <w:rPr>
            <w:rStyle w:val="Hyperlink"/>
            <w:rFonts w:ascii="Arial" w:hAnsi="Arial" w:cs="Arial"/>
          </w:rPr>
          <w:t>https://doi.org/10.1177/09722629241231458</w:t>
        </w:r>
      </w:hyperlink>
    </w:p>
    <w:p w14:paraId="0BEA864F" w14:textId="77777777" w:rsidR="00921A7B" w:rsidRPr="00921A7B" w:rsidRDefault="00921A7B" w:rsidP="00921A7B">
      <w:pPr>
        <w:pStyle w:val="Body"/>
        <w:spacing w:after="0"/>
        <w:rPr>
          <w:rFonts w:ascii="Arial" w:hAnsi="Arial" w:cs="Arial"/>
        </w:rPr>
      </w:pPr>
    </w:p>
    <w:p w14:paraId="0679B28C" w14:textId="492A2108" w:rsidR="00921A7B" w:rsidRDefault="00921A7B" w:rsidP="00921A7B">
      <w:pPr>
        <w:pStyle w:val="Body"/>
        <w:spacing w:after="0"/>
        <w:rPr>
          <w:rFonts w:ascii="Arial" w:hAnsi="Arial" w:cs="Arial"/>
        </w:rPr>
      </w:pPr>
      <w:r w:rsidRPr="00921A7B">
        <w:rPr>
          <w:rFonts w:ascii="Arial" w:hAnsi="Arial" w:cs="Arial"/>
        </w:rPr>
        <w:t xml:space="preserve">Hsu, C. L., &amp; Lin, J. C. C. (2016). Factors affecting the adoption of cloud services in enterprises. </w:t>
      </w:r>
      <w:r w:rsidRPr="00921A7B">
        <w:rPr>
          <w:rFonts w:ascii="Arial" w:hAnsi="Arial" w:cs="Arial"/>
          <w:i/>
          <w:iCs/>
        </w:rPr>
        <w:t>Information Systems and e-Business Management</w:t>
      </w:r>
      <w:r w:rsidRPr="00921A7B">
        <w:rPr>
          <w:rFonts w:ascii="Arial" w:hAnsi="Arial" w:cs="Arial"/>
        </w:rPr>
        <w:t xml:space="preserve">, 14(4), 791–822. </w:t>
      </w:r>
      <w:hyperlink r:id="rId25" w:history="1">
        <w:r w:rsidRPr="00482253">
          <w:rPr>
            <w:rStyle w:val="Hyperlink"/>
            <w:rFonts w:ascii="Arial" w:hAnsi="Arial" w:cs="Arial"/>
          </w:rPr>
          <w:t>https://doi.org/10.1007/s10257-015-0300-9</w:t>
        </w:r>
      </w:hyperlink>
    </w:p>
    <w:p w14:paraId="4CF464D9" w14:textId="77777777" w:rsidR="00921A7B" w:rsidRPr="00921A7B" w:rsidRDefault="00921A7B" w:rsidP="00921A7B">
      <w:pPr>
        <w:pStyle w:val="Body"/>
        <w:spacing w:after="0"/>
        <w:rPr>
          <w:rFonts w:ascii="Arial" w:hAnsi="Arial" w:cs="Arial"/>
        </w:rPr>
      </w:pPr>
    </w:p>
    <w:p w14:paraId="05C35CFC" w14:textId="2C9799FC" w:rsidR="00921A7B" w:rsidRDefault="00921A7B" w:rsidP="00921A7B">
      <w:pPr>
        <w:pStyle w:val="Body"/>
        <w:spacing w:after="0"/>
        <w:rPr>
          <w:rFonts w:ascii="Arial" w:hAnsi="Arial" w:cs="Arial"/>
        </w:rPr>
      </w:pPr>
      <w:r w:rsidRPr="00921A7B">
        <w:rPr>
          <w:rFonts w:ascii="Arial" w:hAnsi="Arial" w:cs="Arial"/>
        </w:rPr>
        <w:t xml:space="preserve">Gutierrez, A., Boukrami, E., &amp; Lumsden, R. (2015). Technological, </w:t>
      </w:r>
      <w:proofErr w:type="spellStart"/>
      <w:r w:rsidRPr="00921A7B">
        <w:rPr>
          <w:rFonts w:ascii="Arial" w:hAnsi="Arial" w:cs="Arial"/>
        </w:rPr>
        <w:t>organisational</w:t>
      </w:r>
      <w:proofErr w:type="spellEnd"/>
      <w:r w:rsidRPr="00921A7B">
        <w:rPr>
          <w:rFonts w:ascii="Arial" w:hAnsi="Arial" w:cs="Arial"/>
        </w:rPr>
        <w:t xml:space="preserve"> and environmental factors influencing managers’ decision to adopt cloud computing in the UK. </w:t>
      </w:r>
      <w:r w:rsidRPr="00921A7B">
        <w:rPr>
          <w:rFonts w:ascii="Arial" w:hAnsi="Arial" w:cs="Arial"/>
          <w:i/>
          <w:iCs/>
        </w:rPr>
        <w:t>Journal of Enterprise Information Management</w:t>
      </w:r>
      <w:r w:rsidRPr="00921A7B">
        <w:rPr>
          <w:rFonts w:ascii="Arial" w:hAnsi="Arial" w:cs="Arial"/>
        </w:rPr>
        <w:t xml:space="preserve">, 28(6), 788–807. </w:t>
      </w:r>
      <w:hyperlink r:id="rId26" w:history="1">
        <w:r w:rsidRPr="00482253">
          <w:rPr>
            <w:rStyle w:val="Hyperlink"/>
            <w:rFonts w:ascii="Arial" w:hAnsi="Arial" w:cs="Arial"/>
          </w:rPr>
          <w:t>https://doi.org/10.1108/JEIM-01-2015-0001</w:t>
        </w:r>
      </w:hyperlink>
    </w:p>
    <w:p w14:paraId="7EBEFCBC" w14:textId="77777777" w:rsidR="00921A7B" w:rsidRPr="00921A7B" w:rsidRDefault="00921A7B" w:rsidP="00921A7B">
      <w:pPr>
        <w:pStyle w:val="Body"/>
        <w:spacing w:after="0"/>
        <w:rPr>
          <w:rFonts w:ascii="Arial" w:hAnsi="Arial" w:cs="Arial"/>
        </w:rPr>
      </w:pPr>
    </w:p>
    <w:p w14:paraId="32D2E4E6" w14:textId="18609A96" w:rsidR="00921A7B" w:rsidRDefault="00921A7B" w:rsidP="00921A7B">
      <w:pPr>
        <w:pStyle w:val="Body"/>
        <w:spacing w:after="0"/>
        <w:rPr>
          <w:rFonts w:ascii="Arial" w:hAnsi="Arial" w:cs="Arial"/>
        </w:rPr>
      </w:pPr>
      <w:r w:rsidRPr="00921A7B">
        <w:rPr>
          <w:rFonts w:ascii="Arial" w:hAnsi="Arial" w:cs="Arial"/>
        </w:rPr>
        <w:lastRenderedPageBreak/>
        <w:t xml:space="preserve">Lorente-Martínez, J., </w:t>
      </w:r>
      <w:proofErr w:type="spellStart"/>
      <w:r w:rsidRPr="00921A7B">
        <w:rPr>
          <w:rFonts w:ascii="Arial" w:hAnsi="Arial" w:cs="Arial"/>
        </w:rPr>
        <w:t>Navío</w:t>
      </w:r>
      <w:proofErr w:type="spellEnd"/>
      <w:r w:rsidRPr="00921A7B">
        <w:rPr>
          <w:rFonts w:ascii="Arial" w:hAnsi="Arial" w:cs="Arial"/>
        </w:rPr>
        <w:t xml:space="preserve">-Marco, J., &amp; Rodrigo-Moya, B. (2020). Analysis of the adoption of customer-facing in-store technologies in retail SMEs. </w:t>
      </w:r>
      <w:r w:rsidRPr="00921A7B">
        <w:rPr>
          <w:rFonts w:ascii="Arial" w:hAnsi="Arial" w:cs="Arial"/>
          <w:i/>
          <w:iCs/>
        </w:rPr>
        <w:t>Journal of Retailing and Consumer Services</w:t>
      </w:r>
      <w:r w:rsidRPr="00921A7B">
        <w:rPr>
          <w:rFonts w:ascii="Arial" w:hAnsi="Arial" w:cs="Arial"/>
        </w:rPr>
        <w:t xml:space="preserve">, 57. </w:t>
      </w:r>
      <w:hyperlink r:id="rId27" w:history="1">
        <w:r w:rsidRPr="00482253">
          <w:rPr>
            <w:rStyle w:val="Hyperlink"/>
            <w:rFonts w:ascii="Arial" w:hAnsi="Arial" w:cs="Arial"/>
          </w:rPr>
          <w:t>https://doi.org/10.1016/j.jretconser.2020.102225</w:t>
        </w:r>
      </w:hyperlink>
    </w:p>
    <w:p w14:paraId="799E96D5" w14:textId="77777777" w:rsidR="00921A7B" w:rsidRPr="00921A7B" w:rsidRDefault="00921A7B" w:rsidP="00921A7B">
      <w:pPr>
        <w:pStyle w:val="Body"/>
        <w:spacing w:after="0"/>
        <w:rPr>
          <w:rFonts w:ascii="Arial" w:hAnsi="Arial" w:cs="Arial"/>
        </w:rPr>
      </w:pPr>
    </w:p>
    <w:p w14:paraId="5FA40B9E" w14:textId="438A390F" w:rsidR="00921A7B" w:rsidRDefault="00921A7B" w:rsidP="00921A7B">
      <w:pPr>
        <w:pStyle w:val="Body"/>
        <w:spacing w:after="0"/>
        <w:rPr>
          <w:rFonts w:ascii="Arial" w:hAnsi="Arial" w:cs="Arial"/>
        </w:rPr>
      </w:pPr>
      <w:r w:rsidRPr="00921A7B">
        <w:rPr>
          <w:rFonts w:ascii="Arial" w:hAnsi="Arial" w:cs="Arial"/>
        </w:rPr>
        <w:t xml:space="preserve">Teh, R., Subramaniam, A., Ho, J. A., &amp; Basha, N. K. (2024). The mediation role of top management support in the adoption of cloud computing in Malaysian SMEs. </w:t>
      </w:r>
      <w:r w:rsidRPr="00921A7B">
        <w:rPr>
          <w:rFonts w:ascii="Arial" w:hAnsi="Arial" w:cs="Arial"/>
          <w:i/>
          <w:iCs/>
        </w:rPr>
        <w:t>International Journal of Management and Enterprise Development</w:t>
      </w:r>
      <w:r w:rsidRPr="00921A7B">
        <w:rPr>
          <w:rFonts w:ascii="Arial" w:hAnsi="Arial" w:cs="Arial"/>
        </w:rPr>
        <w:t xml:space="preserve">, 23(1), 73–96. </w:t>
      </w:r>
      <w:hyperlink r:id="rId28" w:history="1">
        <w:r w:rsidRPr="00482253">
          <w:rPr>
            <w:rStyle w:val="Hyperlink"/>
            <w:rFonts w:ascii="Arial" w:hAnsi="Arial" w:cs="Arial"/>
          </w:rPr>
          <w:t>https://doi.org/10.1504/IJMED.2024.138452</w:t>
        </w:r>
      </w:hyperlink>
    </w:p>
    <w:p w14:paraId="529559D7" w14:textId="77777777" w:rsidR="00921A7B" w:rsidRPr="00921A7B" w:rsidRDefault="00921A7B" w:rsidP="00921A7B">
      <w:pPr>
        <w:pStyle w:val="Body"/>
        <w:spacing w:after="0"/>
        <w:rPr>
          <w:rFonts w:ascii="Arial" w:hAnsi="Arial" w:cs="Arial"/>
        </w:rPr>
      </w:pPr>
    </w:p>
    <w:p w14:paraId="335E91DA" w14:textId="77777777" w:rsidR="00921A7B" w:rsidRDefault="00921A7B" w:rsidP="00921A7B">
      <w:pPr>
        <w:pStyle w:val="Body"/>
        <w:spacing w:after="0"/>
        <w:rPr>
          <w:rFonts w:ascii="Arial" w:hAnsi="Arial" w:cs="Arial"/>
        </w:rPr>
      </w:pPr>
      <w:r w:rsidRPr="00921A7B">
        <w:rPr>
          <w:rFonts w:ascii="Arial" w:hAnsi="Arial" w:cs="Arial"/>
        </w:rPr>
        <w:t xml:space="preserve">Marei, A. (2023). The moderating role of big data and user satisfaction in the predictors of generalized audit software among Jordanian auditing firms. </w:t>
      </w:r>
      <w:r w:rsidRPr="00921A7B">
        <w:rPr>
          <w:rFonts w:ascii="Arial" w:hAnsi="Arial" w:cs="Arial"/>
          <w:i/>
          <w:iCs/>
        </w:rPr>
        <w:t>WSEAS Transactions on Business and Economics</w:t>
      </w:r>
      <w:r w:rsidRPr="00921A7B">
        <w:rPr>
          <w:rFonts w:ascii="Arial" w:hAnsi="Arial" w:cs="Arial"/>
        </w:rPr>
        <w:t xml:space="preserve">, 20, 1357–1367. </w:t>
      </w:r>
      <w:hyperlink r:id="rId29" w:tgtFrame="_new" w:history="1">
        <w:r w:rsidRPr="00921A7B">
          <w:rPr>
            <w:rStyle w:val="Hyperlink"/>
            <w:rFonts w:ascii="Arial" w:hAnsi="Arial" w:cs="Arial"/>
          </w:rPr>
          <w:t>https://doi.org/10.37394/23207.2023.20.121</w:t>
        </w:r>
      </w:hyperlink>
    </w:p>
    <w:p w14:paraId="29FE6733" w14:textId="77777777" w:rsidR="00921A7B" w:rsidRPr="00921A7B" w:rsidRDefault="00921A7B" w:rsidP="00921A7B">
      <w:pPr>
        <w:pStyle w:val="Body"/>
        <w:spacing w:after="0"/>
        <w:rPr>
          <w:rFonts w:ascii="Arial" w:hAnsi="Arial" w:cs="Arial"/>
        </w:rPr>
      </w:pPr>
    </w:p>
    <w:p w14:paraId="4E0E2FC9" w14:textId="096B31A8" w:rsidR="00921A7B" w:rsidRDefault="00921A7B" w:rsidP="00921A7B">
      <w:pPr>
        <w:pStyle w:val="Body"/>
        <w:spacing w:after="0"/>
        <w:rPr>
          <w:rFonts w:ascii="Arial" w:hAnsi="Arial" w:cs="Arial"/>
        </w:rPr>
      </w:pPr>
      <w:r w:rsidRPr="00921A7B">
        <w:rPr>
          <w:rFonts w:ascii="Arial" w:hAnsi="Arial" w:cs="Arial"/>
        </w:rPr>
        <w:t xml:space="preserve">Aligarh, F., Sutopo, B., &amp; </w:t>
      </w:r>
      <w:proofErr w:type="spellStart"/>
      <w:r w:rsidRPr="00921A7B">
        <w:rPr>
          <w:rFonts w:ascii="Arial" w:hAnsi="Arial" w:cs="Arial"/>
        </w:rPr>
        <w:t>Widarjo</w:t>
      </w:r>
      <w:proofErr w:type="spellEnd"/>
      <w:r w:rsidRPr="00921A7B">
        <w:rPr>
          <w:rFonts w:ascii="Arial" w:hAnsi="Arial" w:cs="Arial"/>
        </w:rPr>
        <w:t xml:space="preserve">, W. (2023). The antecedents of cloud computing adoption and its consequences for MSMEs’ performance: A model based on the technology–organization–environment framework. </w:t>
      </w:r>
      <w:r w:rsidRPr="00921A7B">
        <w:rPr>
          <w:rFonts w:ascii="Arial" w:hAnsi="Arial" w:cs="Arial"/>
          <w:i/>
          <w:iCs/>
        </w:rPr>
        <w:t>Cogent Business &amp; Management</w:t>
      </w:r>
      <w:r w:rsidRPr="00921A7B">
        <w:rPr>
          <w:rFonts w:ascii="Arial" w:hAnsi="Arial" w:cs="Arial"/>
        </w:rPr>
        <w:t xml:space="preserve">, 10(2). </w:t>
      </w:r>
      <w:hyperlink r:id="rId30" w:history="1">
        <w:r w:rsidRPr="00482253">
          <w:rPr>
            <w:rStyle w:val="Hyperlink"/>
            <w:rFonts w:ascii="Arial" w:hAnsi="Arial" w:cs="Arial"/>
          </w:rPr>
          <w:t>https://doi.org/10.1080/23311975.2023.2220190</w:t>
        </w:r>
      </w:hyperlink>
    </w:p>
    <w:p w14:paraId="5BFDC9B1" w14:textId="77777777" w:rsidR="00921A7B" w:rsidRPr="00921A7B" w:rsidRDefault="00921A7B" w:rsidP="00921A7B">
      <w:pPr>
        <w:pStyle w:val="Body"/>
        <w:spacing w:after="0"/>
        <w:rPr>
          <w:rFonts w:ascii="Arial" w:hAnsi="Arial" w:cs="Arial"/>
        </w:rPr>
      </w:pPr>
    </w:p>
    <w:p w14:paraId="114C18D3" w14:textId="77777777" w:rsidR="00921A7B" w:rsidRPr="00921A7B" w:rsidRDefault="00921A7B" w:rsidP="00921A7B">
      <w:pPr>
        <w:pStyle w:val="Body"/>
        <w:spacing w:after="0"/>
        <w:rPr>
          <w:rFonts w:ascii="Arial" w:hAnsi="Arial" w:cs="Arial"/>
        </w:rPr>
      </w:pPr>
      <w:r w:rsidRPr="00921A7B">
        <w:rPr>
          <w:rFonts w:ascii="Arial" w:hAnsi="Arial" w:cs="Arial"/>
        </w:rPr>
        <w:t xml:space="preserve">Dilshan, A., </w:t>
      </w:r>
      <w:proofErr w:type="spellStart"/>
      <w:r w:rsidRPr="00921A7B">
        <w:rPr>
          <w:rFonts w:ascii="Arial" w:hAnsi="Arial" w:cs="Arial"/>
        </w:rPr>
        <w:t>Wijayanayake</w:t>
      </w:r>
      <w:proofErr w:type="spellEnd"/>
      <w:r w:rsidRPr="00921A7B">
        <w:rPr>
          <w:rFonts w:ascii="Arial" w:hAnsi="Arial" w:cs="Arial"/>
        </w:rPr>
        <w:t xml:space="preserve">, J., Asanka, D., &amp; Karunarathna, C. (2024). Adoption success of using generative AI apps for e-commerce platforms in Sri Lanka. In </w:t>
      </w:r>
      <w:r w:rsidRPr="00921A7B">
        <w:rPr>
          <w:rFonts w:ascii="Arial" w:hAnsi="Arial" w:cs="Arial"/>
          <w:i/>
          <w:iCs/>
        </w:rPr>
        <w:t>Proceedings of the Conference on Business Research and Humanities</w:t>
      </w:r>
      <w:r w:rsidRPr="00921A7B">
        <w:rPr>
          <w:rFonts w:ascii="Arial" w:hAnsi="Arial" w:cs="Arial"/>
        </w:rPr>
        <w:t>. https://doi.org/10.54389/BURH1886</w:t>
      </w:r>
    </w:p>
    <w:p w14:paraId="08DB9E23" w14:textId="77777777" w:rsidR="006501CA" w:rsidRDefault="006501CA" w:rsidP="00921A7B">
      <w:pPr>
        <w:pStyle w:val="Body"/>
        <w:spacing w:after="0"/>
        <w:rPr>
          <w:rFonts w:ascii="Arial" w:hAnsi="Arial" w:cs="Arial"/>
        </w:rPr>
      </w:pPr>
    </w:p>
    <w:p w14:paraId="2F611239" w14:textId="727EE31C" w:rsidR="00921A7B" w:rsidRDefault="00921A7B" w:rsidP="00921A7B">
      <w:pPr>
        <w:pStyle w:val="Body"/>
        <w:spacing w:after="0"/>
        <w:rPr>
          <w:rFonts w:ascii="Arial" w:hAnsi="Arial" w:cs="Arial"/>
        </w:rPr>
      </w:pPr>
      <w:r w:rsidRPr="00921A7B">
        <w:rPr>
          <w:rFonts w:ascii="Arial" w:hAnsi="Arial" w:cs="Arial"/>
        </w:rPr>
        <w:t xml:space="preserve">Russo, D. (2024). Navigating the complexity of generative AI adoption in software engineering. </w:t>
      </w:r>
      <w:r w:rsidRPr="00921A7B">
        <w:rPr>
          <w:rFonts w:ascii="Arial" w:hAnsi="Arial" w:cs="Arial"/>
          <w:i/>
          <w:iCs/>
        </w:rPr>
        <w:t>ACM Transactions on Software Engineering and Methodology</w:t>
      </w:r>
      <w:r w:rsidRPr="00921A7B">
        <w:rPr>
          <w:rFonts w:ascii="Arial" w:hAnsi="Arial" w:cs="Arial"/>
        </w:rPr>
        <w:t xml:space="preserve">, 33(5). </w:t>
      </w:r>
      <w:hyperlink r:id="rId31" w:tgtFrame="_new" w:history="1">
        <w:r w:rsidRPr="00921A7B">
          <w:rPr>
            <w:rStyle w:val="Hyperlink"/>
            <w:rFonts w:ascii="Arial" w:hAnsi="Arial" w:cs="Arial"/>
          </w:rPr>
          <w:t>https://doi.org/10.1145/3652154</w:t>
        </w:r>
      </w:hyperlink>
    </w:p>
    <w:p w14:paraId="22B8F97A" w14:textId="77777777" w:rsidR="00921A7B" w:rsidRPr="00921A7B" w:rsidRDefault="00921A7B" w:rsidP="00921A7B">
      <w:pPr>
        <w:pStyle w:val="Body"/>
        <w:spacing w:after="0"/>
        <w:rPr>
          <w:rFonts w:ascii="Arial" w:hAnsi="Arial" w:cs="Arial"/>
        </w:rPr>
      </w:pPr>
    </w:p>
    <w:p w14:paraId="3A04D7B2" w14:textId="77777777" w:rsidR="00921A7B" w:rsidRPr="00921A7B" w:rsidRDefault="00921A7B" w:rsidP="00921A7B">
      <w:pPr>
        <w:pStyle w:val="Body"/>
        <w:spacing w:after="0"/>
        <w:rPr>
          <w:rFonts w:ascii="Arial" w:hAnsi="Arial" w:cs="Arial"/>
        </w:rPr>
      </w:pPr>
      <w:r w:rsidRPr="00921A7B">
        <w:rPr>
          <w:rFonts w:ascii="Arial" w:hAnsi="Arial" w:cs="Arial"/>
        </w:rPr>
        <w:t xml:space="preserve">Dwivedi, Y. K., Wade, M. R., &amp; Schneberger, S. L. (Eds.). (2012). </w:t>
      </w:r>
      <w:r w:rsidRPr="00921A7B">
        <w:rPr>
          <w:rFonts w:ascii="Arial" w:hAnsi="Arial" w:cs="Arial"/>
          <w:i/>
          <w:iCs/>
        </w:rPr>
        <w:t>Information systems theory</w:t>
      </w:r>
      <w:r w:rsidRPr="00921A7B">
        <w:rPr>
          <w:rFonts w:ascii="Arial" w:hAnsi="Arial" w:cs="Arial"/>
        </w:rPr>
        <w:t xml:space="preserve"> (Vol. 28). New York, NY: Springer. https://doi.org/10.1007/978-1-4419-6108-2</w:t>
      </w:r>
    </w:p>
    <w:p w14:paraId="0DB01B4E" w14:textId="77777777" w:rsidR="006501CA" w:rsidRDefault="006501CA" w:rsidP="00921A7B">
      <w:pPr>
        <w:pStyle w:val="Body"/>
        <w:spacing w:after="0"/>
        <w:rPr>
          <w:rFonts w:ascii="Arial" w:hAnsi="Arial" w:cs="Arial"/>
        </w:rPr>
      </w:pPr>
    </w:p>
    <w:p w14:paraId="66D389F9" w14:textId="41FFCEDF" w:rsidR="00921A7B" w:rsidRDefault="00921A7B" w:rsidP="00921A7B">
      <w:pPr>
        <w:pStyle w:val="Body"/>
        <w:spacing w:after="0"/>
        <w:rPr>
          <w:rFonts w:ascii="Arial" w:hAnsi="Arial" w:cs="Arial"/>
        </w:rPr>
      </w:pPr>
      <w:r w:rsidRPr="00921A7B">
        <w:rPr>
          <w:rFonts w:ascii="Arial" w:hAnsi="Arial" w:cs="Arial"/>
        </w:rPr>
        <w:t xml:space="preserve">Awa, H. O., Ojiabo, O. U., &amp; </w:t>
      </w:r>
      <w:proofErr w:type="spellStart"/>
      <w:r w:rsidRPr="00921A7B">
        <w:rPr>
          <w:rFonts w:ascii="Arial" w:hAnsi="Arial" w:cs="Arial"/>
        </w:rPr>
        <w:t>Orokor</w:t>
      </w:r>
      <w:proofErr w:type="spellEnd"/>
      <w:r w:rsidRPr="00921A7B">
        <w:rPr>
          <w:rFonts w:ascii="Arial" w:hAnsi="Arial" w:cs="Arial"/>
        </w:rPr>
        <w:t xml:space="preserve">, L. E. (2017). Integrated technology–organization–environment taxonomies for technology adoption. </w:t>
      </w:r>
      <w:r w:rsidRPr="00921A7B">
        <w:rPr>
          <w:rFonts w:ascii="Arial" w:hAnsi="Arial" w:cs="Arial"/>
          <w:i/>
          <w:iCs/>
        </w:rPr>
        <w:t>Journal of Enterprise Information Management</w:t>
      </w:r>
      <w:r w:rsidRPr="00921A7B">
        <w:rPr>
          <w:rFonts w:ascii="Arial" w:hAnsi="Arial" w:cs="Arial"/>
        </w:rPr>
        <w:t xml:space="preserve">, 30(6), 893–921. </w:t>
      </w:r>
      <w:hyperlink r:id="rId32" w:history="1">
        <w:r w:rsidRPr="00482253">
          <w:rPr>
            <w:rStyle w:val="Hyperlink"/>
            <w:rFonts w:ascii="Arial" w:hAnsi="Arial" w:cs="Arial"/>
          </w:rPr>
          <w:t>https://doi.org/10.1108/JEIM-03-2016-0079</w:t>
        </w:r>
      </w:hyperlink>
    </w:p>
    <w:p w14:paraId="1DEDC779" w14:textId="77777777" w:rsidR="00921A7B" w:rsidRPr="00921A7B" w:rsidRDefault="00921A7B" w:rsidP="00921A7B">
      <w:pPr>
        <w:pStyle w:val="Body"/>
        <w:spacing w:after="0"/>
        <w:rPr>
          <w:rFonts w:ascii="Arial" w:hAnsi="Arial" w:cs="Arial"/>
        </w:rPr>
      </w:pPr>
    </w:p>
    <w:p w14:paraId="5C610C24" w14:textId="35A494F0" w:rsidR="00921A7B" w:rsidRDefault="00921A7B" w:rsidP="00921A7B">
      <w:pPr>
        <w:pStyle w:val="Body"/>
        <w:spacing w:after="0"/>
      </w:pPr>
      <w:r w:rsidRPr="00921A7B">
        <w:rPr>
          <w:rFonts w:ascii="Arial" w:hAnsi="Arial" w:cs="Arial"/>
        </w:rPr>
        <w:t xml:space="preserve">Okoli, C., &amp; </w:t>
      </w:r>
      <w:proofErr w:type="spellStart"/>
      <w:r w:rsidRPr="00921A7B">
        <w:rPr>
          <w:rFonts w:ascii="Arial" w:hAnsi="Arial" w:cs="Arial"/>
        </w:rPr>
        <w:t>Schabram</w:t>
      </w:r>
      <w:proofErr w:type="spellEnd"/>
      <w:r w:rsidRPr="00921A7B">
        <w:rPr>
          <w:rFonts w:ascii="Arial" w:hAnsi="Arial" w:cs="Arial"/>
        </w:rPr>
        <w:t xml:space="preserve">, K. (2012). A guide to conducting a systematic literature review of information systems research. </w:t>
      </w:r>
      <w:r w:rsidRPr="00921A7B">
        <w:rPr>
          <w:rFonts w:ascii="Arial" w:hAnsi="Arial" w:cs="Arial"/>
          <w:i/>
          <w:iCs/>
        </w:rPr>
        <w:t>SSRN Electronic Journal</w:t>
      </w:r>
      <w:r w:rsidRPr="00921A7B">
        <w:rPr>
          <w:rFonts w:ascii="Arial" w:hAnsi="Arial" w:cs="Arial"/>
        </w:rPr>
        <w:t xml:space="preserve">. </w:t>
      </w:r>
      <w:hyperlink r:id="rId33" w:history="1">
        <w:r w:rsidRPr="00482253">
          <w:rPr>
            <w:rStyle w:val="Hyperlink"/>
            <w:rFonts w:ascii="Arial" w:hAnsi="Arial" w:cs="Arial"/>
          </w:rPr>
          <w:t>https://doi.org/10.2139/ssrn.1954824</w:t>
        </w:r>
      </w:hyperlink>
    </w:p>
    <w:p w14:paraId="47904A8A" w14:textId="77777777" w:rsidR="006501CA" w:rsidRDefault="006501CA" w:rsidP="00921A7B">
      <w:pPr>
        <w:pStyle w:val="Body"/>
        <w:spacing w:after="0"/>
      </w:pPr>
    </w:p>
    <w:p w14:paraId="27B49D67" w14:textId="16063E4F" w:rsidR="006501CA" w:rsidRDefault="006501CA" w:rsidP="00921A7B">
      <w:pPr>
        <w:pStyle w:val="Body"/>
        <w:spacing w:after="0"/>
      </w:pPr>
      <w:r w:rsidRPr="00DA69EF">
        <w:rPr>
          <w:rFonts w:ascii="Arial" w:hAnsi="Arial" w:cs="Arial"/>
        </w:rPr>
        <w:t xml:space="preserve">Chathuranga, S., Jayasinghe, S., </w:t>
      </w:r>
      <w:proofErr w:type="spellStart"/>
      <w:r w:rsidRPr="00DA69EF">
        <w:rPr>
          <w:rFonts w:ascii="Arial" w:hAnsi="Arial" w:cs="Arial"/>
        </w:rPr>
        <w:t>Antucheviciene</w:t>
      </w:r>
      <w:proofErr w:type="spellEnd"/>
      <w:r w:rsidRPr="00DA69EF">
        <w:rPr>
          <w:rFonts w:ascii="Arial" w:hAnsi="Arial" w:cs="Arial"/>
        </w:rPr>
        <w:t xml:space="preserve">, J., Wickramarachchi, R., Udayanga, N., &amp; Weerakkody, W. A. S. (2023). Practices driving the adoption of agile project management methodologies in the design stage of building construction projects. </w:t>
      </w:r>
      <w:r w:rsidRPr="00DA69EF">
        <w:rPr>
          <w:rFonts w:ascii="Arial" w:hAnsi="Arial" w:cs="Arial"/>
          <w:i/>
          <w:iCs/>
        </w:rPr>
        <w:t>Buildings</w:t>
      </w:r>
      <w:r w:rsidRPr="00DA69EF">
        <w:rPr>
          <w:rFonts w:ascii="Arial" w:hAnsi="Arial" w:cs="Arial"/>
        </w:rPr>
        <w:t xml:space="preserve">, 13(4), 1079. </w:t>
      </w:r>
      <w:hyperlink r:id="rId34" w:history="1">
        <w:r w:rsidRPr="00077E46">
          <w:rPr>
            <w:rStyle w:val="Hyperlink"/>
            <w:rFonts w:ascii="Arial" w:hAnsi="Arial" w:cs="Arial"/>
          </w:rPr>
          <w:t>https://doi.org/10.3390/buildings13041079</w:t>
        </w:r>
      </w:hyperlink>
    </w:p>
    <w:p w14:paraId="4E1C138B" w14:textId="77777777" w:rsidR="006501CA" w:rsidRDefault="006501CA" w:rsidP="00921A7B">
      <w:pPr>
        <w:pStyle w:val="Body"/>
        <w:spacing w:after="0"/>
      </w:pPr>
    </w:p>
    <w:p w14:paraId="529F325A" w14:textId="23A3EEE2" w:rsidR="006501CA" w:rsidRDefault="006501CA" w:rsidP="00921A7B">
      <w:pPr>
        <w:pStyle w:val="Body"/>
        <w:spacing w:after="0"/>
      </w:pPr>
      <w:r w:rsidRPr="00745BEF">
        <w:rPr>
          <w:rFonts w:ascii="Arial" w:hAnsi="Arial" w:cs="Arial"/>
        </w:rPr>
        <w:t xml:space="preserve">De Silva, N., </w:t>
      </w:r>
      <w:proofErr w:type="spellStart"/>
      <w:r w:rsidRPr="00745BEF">
        <w:rPr>
          <w:rFonts w:ascii="Arial" w:hAnsi="Arial" w:cs="Arial"/>
        </w:rPr>
        <w:t>Wijayanayake</w:t>
      </w:r>
      <w:proofErr w:type="spellEnd"/>
      <w:r w:rsidRPr="00745BEF">
        <w:rPr>
          <w:rFonts w:ascii="Arial" w:hAnsi="Arial" w:cs="Arial"/>
        </w:rPr>
        <w:t xml:space="preserve">, J., &amp; Jayasinghe, S. (2025). Critical factors influencing the maturity of business analytics of software and apparel industries in Sri Lanka. 2025 International Conference on Advanced Research in Computing, </w:t>
      </w:r>
      <w:hyperlink r:id="rId35" w:history="1">
        <w:r w:rsidRPr="00077E46">
          <w:rPr>
            <w:rStyle w:val="Hyperlink"/>
            <w:rFonts w:ascii="Arial" w:hAnsi="Arial" w:cs="Arial"/>
          </w:rPr>
          <w:t>http://doi.org/</w:t>
        </w:r>
        <w:r w:rsidRPr="00077E46">
          <w:rPr>
            <w:rStyle w:val="Hyperlink"/>
            <w:rFonts w:ascii="Arial" w:hAnsi="Arial" w:cs="Arial"/>
            <w:lang w:val="en-GB"/>
          </w:rPr>
          <w:t>10.1109/ICARC64760.2025.10963021</w:t>
        </w:r>
      </w:hyperlink>
    </w:p>
    <w:p w14:paraId="5CEAAD37" w14:textId="77777777" w:rsidR="006501CA" w:rsidRDefault="006501CA" w:rsidP="00921A7B">
      <w:pPr>
        <w:pStyle w:val="Body"/>
        <w:spacing w:after="0"/>
      </w:pPr>
    </w:p>
    <w:p w14:paraId="383025FF" w14:textId="40C7CD59" w:rsidR="006501CA" w:rsidRDefault="006501CA" w:rsidP="00921A7B">
      <w:pPr>
        <w:pStyle w:val="Body"/>
        <w:spacing w:after="0"/>
      </w:pPr>
      <w:r w:rsidRPr="00362646">
        <w:rPr>
          <w:rFonts w:ascii="Arial" w:hAnsi="Arial" w:cs="Arial"/>
        </w:rPr>
        <w:t xml:space="preserve">Dias, I., Wickramarachchi, R., &amp; Jayasinghe, S. (2025). Key success factors for adoption of CI/CD with agile project management - Systematic literature review. 2025 International Research Conference on Smart Computing and Systems Engineering, </w:t>
      </w:r>
      <w:hyperlink r:id="rId36" w:history="1">
        <w:r w:rsidRPr="00077E46">
          <w:rPr>
            <w:rStyle w:val="Hyperlink"/>
            <w:rFonts w:ascii="Arial" w:hAnsi="Arial" w:cs="Arial"/>
          </w:rPr>
          <w:t>http://doi.org/10.1109/SCSE65633.2025.11031019</w:t>
        </w:r>
      </w:hyperlink>
    </w:p>
    <w:p w14:paraId="0D92DCF5" w14:textId="77777777" w:rsidR="006501CA" w:rsidRDefault="006501CA" w:rsidP="00921A7B">
      <w:pPr>
        <w:pStyle w:val="Body"/>
        <w:spacing w:after="0"/>
      </w:pPr>
    </w:p>
    <w:p w14:paraId="4A3168DF" w14:textId="7F1C0FDD" w:rsidR="006501CA" w:rsidRDefault="006501CA" w:rsidP="00921A7B">
      <w:pPr>
        <w:pStyle w:val="Body"/>
        <w:spacing w:after="0"/>
      </w:pPr>
      <w:proofErr w:type="spellStart"/>
      <w:r w:rsidRPr="003549A2">
        <w:rPr>
          <w:rFonts w:ascii="Arial" w:hAnsi="Arial" w:cs="Arial"/>
        </w:rPr>
        <w:lastRenderedPageBreak/>
        <w:t>Dilhara</w:t>
      </w:r>
      <w:proofErr w:type="spellEnd"/>
      <w:r w:rsidRPr="003549A2">
        <w:rPr>
          <w:rFonts w:ascii="Arial" w:hAnsi="Arial" w:cs="Arial"/>
        </w:rPr>
        <w:t xml:space="preserve">, T., Jayasinghe, S., &amp; Fernando, I. (2024). Factors influencing the adoption of agile project management methodologies by engineering teams in the telecommunications industry. 2024 International Research Conference on Smart Computing and Systems Engineering, </w:t>
      </w:r>
      <w:hyperlink r:id="rId37" w:history="1">
        <w:r w:rsidRPr="00077E46">
          <w:rPr>
            <w:rStyle w:val="Hyperlink"/>
            <w:rFonts w:ascii="Arial" w:hAnsi="Arial" w:cs="Arial"/>
          </w:rPr>
          <w:t>http://doi.org/10.1109/SCSE61872.2024.10550785</w:t>
        </w:r>
      </w:hyperlink>
    </w:p>
    <w:p w14:paraId="3DE03F22" w14:textId="77777777" w:rsidR="006501CA" w:rsidRDefault="006501CA" w:rsidP="00921A7B">
      <w:pPr>
        <w:pStyle w:val="Body"/>
        <w:spacing w:after="0"/>
      </w:pPr>
    </w:p>
    <w:p w14:paraId="4DF765E4" w14:textId="03A79E23" w:rsidR="006501CA" w:rsidRDefault="006501CA" w:rsidP="00921A7B">
      <w:pPr>
        <w:pStyle w:val="Body"/>
        <w:spacing w:after="0"/>
      </w:pPr>
      <w:r w:rsidRPr="00B319A4">
        <w:rPr>
          <w:rFonts w:ascii="Arial" w:hAnsi="Arial" w:cs="Arial"/>
        </w:rPr>
        <w:t xml:space="preserve">Fathima, F., Jayasinghe, S., </w:t>
      </w:r>
      <w:proofErr w:type="spellStart"/>
      <w:r w:rsidRPr="00B319A4">
        <w:rPr>
          <w:rFonts w:ascii="Arial" w:hAnsi="Arial" w:cs="Arial"/>
        </w:rPr>
        <w:t>Prasadika</w:t>
      </w:r>
      <w:proofErr w:type="spellEnd"/>
      <w:r w:rsidRPr="00B319A4">
        <w:rPr>
          <w:rFonts w:ascii="Arial" w:hAnsi="Arial" w:cs="Arial"/>
        </w:rPr>
        <w:t xml:space="preserve">, J., &amp; Wijerathna, S. (2024). Drivers of actual usage of building information modelling tools by civil engineering professionals in construction industry of Sri Lanka. 2024 International Research Conference on Smart Computing and Systems Engineering, </w:t>
      </w:r>
      <w:hyperlink r:id="rId38" w:history="1">
        <w:r w:rsidRPr="00077E46">
          <w:rPr>
            <w:rStyle w:val="Hyperlink"/>
            <w:rFonts w:ascii="Arial" w:hAnsi="Arial" w:cs="Arial"/>
          </w:rPr>
          <w:t>http://doi.org/10.1109/SCSE61872.2024.10550677</w:t>
        </w:r>
      </w:hyperlink>
    </w:p>
    <w:p w14:paraId="7D6CC91D" w14:textId="77777777" w:rsidR="006501CA" w:rsidRDefault="006501CA" w:rsidP="00921A7B">
      <w:pPr>
        <w:pStyle w:val="Body"/>
        <w:spacing w:after="0"/>
      </w:pPr>
    </w:p>
    <w:p w14:paraId="129E2832" w14:textId="498EFE0F" w:rsidR="006501CA" w:rsidRDefault="006501CA" w:rsidP="00921A7B">
      <w:pPr>
        <w:pStyle w:val="Body"/>
        <w:spacing w:after="0"/>
      </w:pPr>
      <w:proofErr w:type="spellStart"/>
      <w:r w:rsidRPr="0043180D">
        <w:rPr>
          <w:rFonts w:ascii="Arial" w:hAnsi="Arial" w:cs="Arial"/>
        </w:rPr>
        <w:t>Galappaththi</w:t>
      </w:r>
      <w:proofErr w:type="spellEnd"/>
      <w:r w:rsidRPr="0043180D">
        <w:rPr>
          <w:rFonts w:ascii="Arial" w:hAnsi="Arial" w:cs="Arial"/>
        </w:rPr>
        <w:t xml:space="preserve">, D., Jayasinghe, S., &amp; Peiris, P. (2024). Antecedents of customer purchase intention of furniture from online stores with the assistance of augmented reality applications. 2024 International Research Conference on Smart Computing and Systems Engineering, </w:t>
      </w:r>
      <w:hyperlink r:id="rId39" w:history="1">
        <w:r w:rsidRPr="00077E46">
          <w:rPr>
            <w:rStyle w:val="Hyperlink"/>
            <w:rFonts w:ascii="Arial" w:hAnsi="Arial" w:cs="Arial"/>
          </w:rPr>
          <w:t>http://doi.org/10.1109/SCSE61872.2024.10550849</w:t>
        </w:r>
      </w:hyperlink>
    </w:p>
    <w:p w14:paraId="4A520C3B" w14:textId="77777777" w:rsidR="006501CA" w:rsidRDefault="006501CA" w:rsidP="00921A7B">
      <w:pPr>
        <w:pStyle w:val="Body"/>
        <w:spacing w:after="0"/>
      </w:pPr>
    </w:p>
    <w:p w14:paraId="2059B496" w14:textId="5FC8BEF1" w:rsidR="006501CA" w:rsidRDefault="006501CA" w:rsidP="00921A7B">
      <w:pPr>
        <w:pStyle w:val="Body"/>
        <w:spacing w:after="0"/>
      </w:pPr>
      <w:r w:rsidRPr="00130BC5">
        <w:rPr>
          <w:rFonts w:ascii="Arial" w:hAnsi="Arial" w:cs="Arial"/>
        </w:rPr>
        <w:t xml:space="preserve">Hensman, S., Jayasinghe, S., &amp; Fernando, I. (2024). Antecedents of driving customer purchase intention via ai based customer engagement strategies in the post pandemic era. 2024 International Research Conference on Smart Computing and Systems Engineering, </w:t>
      </w:r>
      <w:hyperlink r:id="rId40" w:history="1">
        <w:r w:rsidRPr="00077E46">
          <w:rPr>
            <w:rStyle w:val="Hyperlink"/>
            <w:rFonts w:ascii="Arial" w:hAnsi="Arial" w:cs="Arial"/>
          </w:rPr>
          <w:t>http://doi.org/10.1109/SCSE61872.2024.10550604</w:t>
        </w:r>
      </w:hyperlink>
    </w:p>
    <w:p w14:paraId="2AEE5F69" w14:textId="77777777" w:rsidR="006501CA" w:rsidRDefault="006501CA" w:rsidP="00921A7B">
      <w:pPr>
        <w:pStyle w:val="Body"/>
        <w:spacing w:after="0"/>
      </w:pPr>
    </w:p>
    <w:p w14:paraId="7DBC68D8" w14:textId="44BC923F" w:rsidR="006501CA" w:rsidRDefault="006501CA" w:rsidP="00921A7B">
      <w:pPr>
        <w:pStyle w:val="Body"/>
        <w:spacing w:after="0"/>
      </w:pPr>
      <w:r w:rsidRPr="002766F7">
        <w:rPr>
          <w:rFonts w:ascii="Arial" w:hAnsi="Arial" w:cs="Arial"/>
        </w:rPr>
        <w:t xml:space="preserve">Jayasinghe, S., Suraweera, T., &amp; Samarasinghe, D. (2023). Job seeker value proposition </w:t>
      </w:r>
      <w:proofErr w:type="spellStart"/>
      <w:r w:rsidRPr="002766F7">
        <w:rPr>
          <w:rFonts w:ascii="Arial" w:hAnsi="Arial" w:cs="Arial"/>
        </w:rPr>
        <w:t>conceptualised</w:t>
      </w:r>
      <w:proofErr w:type="spellEnd"/>
      <w:r w:rsidRPr="002766F7">
        <w:rPr>
          <w:rFonts w:ascii="Arial" w:hAnsi="Arial" w:cs="Arial"/>
        </w:rPr>
        <w:t xml:space="preserve"> from the perspective of the job choice theory. Sri Lanka Journal of Social Sciences, 45(2). </w:t>
      </w:r>
      <w:hyperlink r:id="rId41" w:history="1">
        <w:r w:rsidRPr="00077E46">
          <w:rPr>
            <w:rStyle w:val="Hyperlink"/>
            <w:rFonts w:ascii="Arial" w:hAnsi="Arial" w:cs="Arial"/>
          </w:rPr>
          <w:t>https://doi.org/10.4038/sljss.v45i2.8341</w:t>
        </w:r>
      </w:hyperlink>
    </w:p>
    <w:p w14:paraId="0349C33B" w14:textId="77777777" w:rsidR="005A743B" w:rsidRDefault="005A743B" w:rsidP="00921A7B">
      <w:pPr>
        <w:pStyle w:val="Body"/>
        <w:spacing w:after="0"/>
      </w:pPr>
    </w:p>
    <w:p w14:paraId="532E7DA6" w14:textId="61A60D9C" w:rsidR="005A743B" w:rsidRDefault="005A743B" w:rsidP="00921A7B">
      <w:pPr>
        <w:pStyle w:val="Body"/>
        <w:spacing w:after="0"/>
      </w:pPr>
      <w:r w:rsidRPr="00BE2625">
        <w:rPr>
          <w:noProof/>
        </w:rPr>
        <w:t xml:space="preserve">Naseer, H., Wijayanayake, J., &amp; Jayasinghe, S. (2025). Antecedents of customer awareness in banking security: A protection motivation theory-based systematic review. </w:t>
      </w:r>
      <w:r w:rsidRPr="00BE2625">
        <w:rPr>
          <w:i/>
          <w:noProof/>
        </w:rPr>
        <w:t>Kelaniya Journal of Management</w:t>
      </w:r>
      <w:r w:rsidRPr="00BE2625">
        <w:rPr>
          <w:noProof/>
        </w:rPr>
        <w:t>,</w:t>
      </w:r>
      <w:r w:rsidRPr="00BE2625">
        <w:rPr>
          <w:i/>
          <w:noProof/>
        </w:rPr>
        <w:t xml:space="preserve"> 14</w:t>
      </w:r>
      <w:r w:rsidRPr="00BE2625">
        <w:rPr>
          <w:noProof/>
        </w:rPr>
        <w:t xml:space="preserve">(3). </w:t>
      </w:r>
      <w:hyperlink r:id="rId42" w:history="1">
        <w:r w:rsidRPr="00BE2625">
          <w:rPr>
            <w:rStyle w:val="Hyperlink"/>
            <w:noProof/>
          </w:rPr>
          <w:t>https://doi.org/10.4038/kjm.v14i3.7922</w:t>
        </w:r>
      </w:hyperlink>
    </w:p>
    <w:p w14:paraId="382B379A" w14:textId="77777777" w:rsidR="006501CA" w:rsidRDefault="006501CA" w:rsidP="00921A7B">
      <w:pPr>
        <w:pStyle w:val="Body"/>
        <w:spacing w:after="0"/>
      </w:pPr>
    </w:p>
    <w:p w14:paraId="37991A49" w14:textId="3B2FF4AA" w:rsidR="006501CA" w:rsidRDefault="006501CA" w:rsidP="00921A7B">
      <w:pPr>
        <w:pStyle w:val="Body"/>
        <w:spacing w:after="0"/>
      </w:pPr>
      <w:r w:rsidRPr="00C514A6">
        <w:rPr>
          <w:rFonts w:ascii="Arial" w:hAnsi="Arial" w:cs="Arial"/>
        </w:rPr>
        <w:t xml:space="preserve">Ranasinghe, V., Jayasinghe, S., &amp; Peiris, P. (2024). Determinants of intention to use project management information system by agile project teams in the information technology industry in Sri Lanka: an extension of the classic technology acceptance model. 2024 4th International Conference on Advanced Research in Computing, </w:t>
      </w:r>
      <w:hyperlink r:id="rId43" w:history="1">
        <w:r w:rsidRPr="00077E46">
          <w:rPr>
            <w:rStyle w:val="Hyperlink"/>
            <w:rFonts w:ascii="Arial" w:hAnsi="Arial" w:cs="Arial"/>
          </w:rPr>
          <w:t>http://doi.org/10.1109/ICARC61713.2024.10499786</w:t>
        </w:r>
      </w:hyperlink>
    </w:p>
    <w:p w14:paraId="4996B2F0" w14:textId="77777777" w:rsidR="006501CA" w:rsidRDefault="006501CA" w:rsidP="00921A7B">
      <w:pPr>
        <w:pStyle w:val="Body"/>
        <w:spacing w:after="0"/>
      </w:pPr>
    </w:p>
    <w:p w14:paraId="29FB367F" w14:textId="70AD734A" w:rsidR="00921A7B" w:rsidRDefault="006501CA" w:rsidP="00921A7B">
      <w:pPr>
        <w:pStyle w:val="Body"/>
        <w:spacing w:after="0"/>
        <w:rPr>
          <w:rFonts w:ascii="Arial" w:hAnsi="Arial" w:cs="Arial"/>
        </w:rPr>
      </w:pPr>
      <w:r w:rsidRPr="00C67982">
        <w:rPr>
          <w:rFonts w:ascii="Arial" w:hAnsi="Arial" w:cs="Arial"/>
        </w:rPr>
        <w:t xml:space="preserve">Wijesinghe, E. P. S. D., Jayasinghe, S., </w:t>
      </w:r>
      <w:proofErr w:type="spellStart"/>
      <w:r w:rsidRPr="00C67982">
        <w:rPr>
          <w:rFonts w:ascii="Arial" w:hAnsi="Arial" w:cs="Arial"/>
        </w:rPr>
        <w:t>Prasadika</w:t>
      </w:r>
      <w:proofErr w:type="spellEnd"/>
      <w:r w:rsidRPr="00C67982">
        <w:rPr>
          <w:rFonts w:ascii="Arial" w:hAnsi="Arial" w:cs="Arial"/>
        </w:rPr>
        <w:t xml:space="preserve">, A. P. K. J., &amp; Wijerathna, S. K. (2024). A systematic review on the determinants of customer relationship quality in agile projects in the IT industry: A social exchange theory perspective. 2024 International Research Conference on Smart Computing and Systems Engineering, </w:t>
      </w:r>
      <w:hyperlink r:id="rId44" w:history="1">
        <w:r w:rsidRPr="00077E46">
          <w:rPr>
            <w:rStyle w:val="Hyperlink"/>
            <w:rFonts w:ascii="Arial" w:hAnsi="Arial" w:cs="Arial"/>
          </w:rPr>
          <w:t>http://doi.org/10.1109/SCSE61872.2024.10550794</w:t>
        </w:r>
      </w:hyperlink>
    </w:p>
    <w:p w14:paraId="7B80FEFC" w14:textId="77777777" w:rsidR="005A743B" w:rsidRDefault="005A743B" w:rsidP="00921A7B">
      <w:pPr>
        <w:pStyle w:val="Body"/>
        <w:spacing w:after="0"/>
        <w:rPr>
          <w:rFonts w:ascii="Arial" w:hAnsi="Arial" w:cs="Arial"/>
        </w:rPr>
      </w:pPr>
    </w:p>
    <w:p w14:paraId="10B5BE51" w14:textId="2857CFB2" w:rsidR="005A743B" w:rsidRDefault="005A743B" w:rsidP="00921A7B">
      <w:pPr>
        <w:pStyle w:val="Body"/>
        <w:spacing w:after="0"/>
        <w:rPr>
          <w:rFonts w:ascii="Arial" w:hAnsi="Arial" w:cs="Arial"/>
        </w:rPr>
      </w:pPr>
      <w:r w:rsidRPr="00BE2625">
        <w:rPr>
          <w:noProof/>
        </w:rPr>
        <w:t xml:space="preserve">Vithana, I. A., Gamage, A. K. A., Wickramaarachchi, D., Wickramarachchi, R., &amp; Jayasinghe, S. (2026). Antecedents of test automation adoption in DevOps continuous testing: A systematic literature review through the TOE framework. </w:t>
      </w:r>
      <w:r w:rsidRPr="00BE2625">
        <w:rPr>
          <w:i/>
          <w:noProof/>
        </w:rPr>
        <w:t>Acta Informatica Pragensia</w:t>
      </w:r>
      <w:r w:rsidRPr="00BE2625">
        <w:rPr>
          <w:noProof/>
        </w:rPr>
        <w:t>,</w:t>
      </w:r>
      <w:r w:rsidRPr="00BE2625">
        <w:rPr>
          <w:i/>
          <w:noProof/>
        </w:rPr>
        <w:t xml:space="preserve"> 15</w:t>
      </w:r>
      <w:r w:rsidRPr="00BE2625">
        <w:rPr>
          <w:noProof/>
        </w:rPr>
        <w:t xml:space="preserve">(1), 253-273. </w:t>
      </w:r>
      <w:hyperlink r:id="rId45" w:history="1">
        <w:r w:rsidRPr="00BE2625">
          <w:rPr>
            <w:rStyle w:val="Hyperlink"/>
            <w:noProof/>
          </w:rPr>
          <w:t>https://doi.org/10.18267/j.aip.297</w:t>
        </w:r>
      </w:hyperlink>
    </w:p>
    <w:p w14:paraId="41F098AA" w14:textId="77777777" w:rsidR="005A743B" w:rsidRPr="00921A7B" w:rsidRDefault="005A743B" w:rsidP="00921A7B">
      <w:pPr>
        <w:pStyle w:val="Body"/>
        <w:spacing w:after="0"/>
        <w:rPr>
          <w:rFonts w:ascii="Arial" w:hAnsi="Arial" w:cs="Arial"/>
        </w:rPr>
      </w:pPr>
    </w:p>
    <w:p w14:paraId="121BB67E" w14:textId="7116A788" w:rsidR="00921A7B" w:rsidRDefault="00921A7B" w:rsidP="00921A7B">
      <w:pPr>
        <w:pStyle w:val="Body"/>
        <w:spacing w:after="0"/>
        <w:rPr>
          <w:rFonts w:ascii="Arial" w:hAnsi="Arial" w:cs="Arial"/>
        </w:rPr>
      </w:pPr>
      <w:r w:rsidRPr="00921A7B">
        <w:rPr>
          <w:rFonts w:ascii="Arial" w:hAnsi="Arial" w:cs="Arial"/>
        </w:rPr>
        <w:t xml:space="preserve">Mongeon, P., &amp; Paul-Hus, A. (2016). The journal coverage of Web of Science and Scopus: A comparative analysis. </w:t>
      </w:r>
      <w:proofErr w:type="spellStart"/>
      <w:r w:rsidRPr="00921A7B">
        <w:rPr>
          <w:rFonts w:ascii="Arial" w:hAnsi="Arial" w:cs="Arial"/>
          <w:i/>
          <w:iCs/>
        </w:rPr>
        <w:t>Scientometrics</w:t>
      </w:r>
      <w:proofErr w:type="spellEnd"/>
      <w:r w:rsidRPr="00921A7B">
        <w:rPr>
          <w:rFonts w:ascii="Arial" w:hAnsi="Arial" w:cs="Arial"/>
        </w:rPr>
        <w:t xml:space="preserve">, 106(1), 213–228. </w:t>
      </w:r>
      <w:hyperlink r:id="rId46" w:history="1">
        <w:r w:rsidRPr="00482253">
          <w:rPr>
            <w:rStyle w:val="Hyperlink"/>
            <w:rFonts w:ascii="Arial" w:hAnsi="Arial" w:cs="Arial"/>
          </w:rPr>
          <w:t>https://doi.org/10.1007/s11192-015-1765-5</w:t>
        </w:r>
      </w:hyperlink>
    </w:p>
    <w:p w14:paraId="726E8F32" w14:textId="77777777" w:rsidR="00921A7B" w:rsidRPr="00921A7B" w:rsidRDefault="00921A7B" w:rsidP="00921A7B">
      <w:pPr>
        <w:pStyle w:val="Body"/>
        <w:spacing w:after="0"/>
        <w:rPr>
          <w:rFonts w:ascii="Arial" w:hAnsi="Arial" w:cs="Arial"/>
        </w:rPr>
      </w:pPr>
    </w:p>
    <w:p w14:paraId="4C34CB73" w14:textId="0CEEBAEF" w:rsidR="00921A7B" w:rsidRDefault="00921A7B" w:rsidP="00921A7B">
      <w:pPr>
        <w:pStyle w:val="Body"/>
        <w:spacing w:after="0"/>
        <w:rPr>
          <w:rFonts w:ascii="Arial" w:hAnsi="Arial" w:cs="Arial"/>
        </w:rPr>
      </w:pPr>
      <w:r w:rsidRPr="00921A7B">
        <w:rPr>
          <w:rFonts w:ascii="Arial" w:hAnsi="Arial" w:cs="Arial"/>
        </w:rPr>
        <w:t xml:space="preserve">Li, H., Dai, J., Gershberg, T., &amp; </w:t>
      </w:r>
      <w:proofErr w:type="spellStart"/>
      <w:r w:rsidRPr="00921A7B">
        <w:rPr>
          <w:rFonts w:ascii="Arial" w:hAnsi="Arial" w:cs="Arial"/>
        </w:rPr>
        <w:t>Vasarhelyi</w:t>
      </w:r>
      <w:proofErr w:type="spellEnd"/>
      <w:r w:rsidRPr="00921A7B">
        <w:rPr>
          <w:rFonts w:ascii="Arial" w:hAnsi="Arial" w:cs="Arial"/>
        </w:rPr>
        <w:t xml:space="preserve">, M. A. (2018). Understanding usage and value of audit analytics for internal auditors: An organizational approach. </w:t>
      </w:r>
      <w:r w:rsidRPr="00921A7B">
        <w:rPr>
          <w:rFonts w:ascii="Arial" w:hAnsi="Arial" w:cs="Arial"/>
          <w:i/>
          <w:iCs/>
        </w:rPr>
        <w:t>International Journal of Accounting Information Systems</w:t>
      </w:r>
      <w:r w:rsidRPr="00921A7B">
        <w:rPr>
          <w:rFonts w:ascii="Arial" w:hAnsi="Arial" w:cs="Arial"/>
        </w:rPr>
        <w:t xml:space="preserve">, 28, 59–76. </w:t>
      </w:r>
      <w:hyperlink r:id="rId47" w:history="1">
        <w:r w:rsidRPr="00482253">
          <w:rPr>
            <w:rStyle w:val="Hyperlink"/>
            <w:rFonts w:ascii="Arial" w:hAnsi="Arial" w:cs="Arial"/>
          </w:rPr>
          <w:t>https://doi.org/10.1016/j.accinf.2017.12.005</w:t>
        </w:r>
      </w:hyperlink>
    </w:p>
    <w:p w14:paraId="714665C1" w14:textId="77777777" w:rsidR="00921A7B" w:rsidRPr="00921A7B" w:rsidRDefault="00921A7B" w:rsidP="00921A7B">
      <w:pPr>
        <w:pStyle w:val="Body"/>
        <w:spacing w:after="0"/>
        <w:rPr>
          <w:rFonts w:ascii="Arial" w:hAnsi="Arial" w:cs="Arial"/>
        </w:rPr>
      </w:pPr>
    </w:p>
    <w:p w14:paraId="206DE627" w14:textId="77777777" w:rsidR="00921A7B" w:rsidRPr="00921A7B" w:rsidRDefault="00921A7B" w:rsidP="00921A7B">
      <w:pPr>
        <w:pStyle w:val="Body"/>
        <w:spacing w:after="0"/>
        <w:rPr>
          <w:rFonts w:ascii="Arial" w:hAnsi="Arial" w:cs="Arial"/>
        </w:rPr>
      </w:pPr>
      <w:r w:rsidRPr="00921A7B">
        <w:rPr>
          <w:rFonts w:ascii="Arial" w:hAnsi="Arial" w:cs="Arial"/>
        </w:rPr>
        <w:lastRenderedPageBreak/>
        <w:t xml:space="preserve">Masood, T., &amp; Egger, J. (2020). Adopting augmented reality in the age of industrial </w:t>
      </w:r>
      <w:proofErr w:type="spellStart"/>
      <w:r w:rsidRPr="00921A7B">
        <w:rPr>
          <w:rFonts w:ascii="Arial" w:hAnsi="Arial" w:cs="Arial"/>
        </w:rPr>
        <w:t>digitalisation</w:t>
      </w:r>
      <w:proofErr w:type="spellEnd"/>
      <w:r w:rsidRPr="00921A7B">
        <w:rPr>
          <w:rFonts w:ascii="Arial" w:hAnsi="Arial" w:cs="Arial"/>
        </w:rPr>
        <w:t xml:space="preserve">. </w:t>
      </w:r>
      <w:r w:rsidRPr="00921A7B">
        <w:rPr>
          <w:rFonts w:ascii="Arial" w:hAnsi="Arial" w:cs="Arial"/>
          <w:i/>
          <w:iCs/>
        </w:rPr>
        <w:t>Computers in Industry</w:t>
      </w:r>
      <w:r w:rsidRPr="00921A7B">
        <w:rPr>
          <w:rFonts w:ascii="Arial" w:hAnsi="Arial" w:cs="Arial"/>
        </w:rPr>
        <w:t>, 115. https://doi.org/10.1016/j.compind.2019.07.002</w:t>
      </w:r>
    </w:p>
    <w:p w14:paraId="332324CF" w14:textId="77777777" w:rsidR="00921A7B" w:rsidRDefault="00921A7B" w:rsidP="00921A7B">
      <w:pPr>
        <w:pStyle w:val="Body"/>
        <w:spacing w:after="0"/>
        <w:rPr>
          <w:rFonts w:ascii="Arial" w:hAnsi="Arial" w:cs="Arial"/>
        </w:rPr>
      </w:pPr>
      <w:r w:rsidRPr="00921A7B">
        <w:rPr>
          <w:rFonts w:ascii="Arial" w:hAnsi="Arial" w:cs="Arial"/>
        </w:rPr>
        <w:t xml:space="preserve">Razzaq, A., et al. (2021). Propose a conceptual framework for the cloud ERP adoption among Malaysian SMEs. </w:t>
      </w:r>
      <w:r w:rsidRPr="00921A7B">
        <w:rPr>
          <w:rFonts w:ascii="Arial" w:hAnsi="Arial" w:cs="Arial"/>
          <w:i/>
          <w:iCs/>
        </w:rPr>
        <w:t>ResearchGate</w:t>
      </w:r>
      <w:r w:rsidRPr="00921A7B">
        <w:rPr>
          <w:rFonts w:ascii="Arial" w:hAnsi="Arial" w:cs="Arial"/>
        </w:rPr>
        <w:t xml:space="preserve">. </w:t>
      </w:r>
      <w:hyperlink r:id="rId48" w:tgtFrame="_new" w:history="1">
        <w:r w:rsidRPr="00921A7B">
          <w:rPr>
            <w:rStyle w:val="Hyperlink"/>
            <w:rFonts w:ascii="Arial" w:hAnsi="Arial" w:cs="Arial"/>
          </w:rPr>
          <w:t>https://www.researchgate.net/publication/354067790</w:t>
        </w:r>
      </w:hyperlink>
    </w:p>
    <w:p w14:paraId="5363B488" w14:textId="77777777" w:rsidR="00921A7B" w:rsidRPr="00921A7B" w:rsidRDefault="00921A7B" w:rsidP="00921A7B">
      <w:pPr>
        <w:pStyle w:val="Body"/>
        <w:spacing w:after="0"/>
        <w:rPr>
          <w:rFonts w:ascii="Arial" w:hAnsi="Arial" w:cs="Arial"/>
        </w:rPr>
      </w:pPr>
    </w:p>
    <w:p w14:paraId="6647ED57" w14:textId="1B5F2F0B" w:rsidR="00921A7B" w:rsidRDefault="00921A7B" w:rsidP="00921A7B">
      <w:pPr>
        <w:pStyle w:val="Body"/>
        <w:spacing w:after="0"/>
        <w:rPr>
          <w:rFonts w:ascii="Arial" w:hAnsi="Arial" w:cs="Arial"/>
        </w:rPr>
      </w:pPr>
      <w:r w:rsidRPr="00921A7B">
        <w:rPr>
          <w:rFonts w:ascii="Arial" w:hAnsi="Arial" w:cs="Arial"/>
        </w:rPr>
        <w:t xml:space="preserve">Lustenberger, M., Malešević, S., &amp; </w:t>
      </w:r>
      <w:proofErr w:type="spellStart"/>
      <w:r w:rsidRPr="00921A7B">
        <w:rPr>
          <w:rFonts w:ascii="Arial" w:hAnsi="Arial" w:cs="Arial"/>
        </w:rPr>
        <w:t>Spychiger</w:t>
      </w:r>
      <w:proofErr w:type="spellEnd"/>
      <w:r w:rsidRPr="00921A7B">
        <w:rPr>
          <w:rFonts w:ascii="Arial" w:hAnsi="Arial" w:cs="Arial"/>
        </w:rPr>
        <w:t xml:space="preserve">, F. (2021). Ecosystem readiness: Blockchain adoption is driven externally. </w:t>
      </w:r>
      <w:r w:rsidRPr="00921A7B">
        <w:rPr>
          <w:rFonts w:ascii="Arial" w:hAnsi="Arial" w:cs="Arial"/>
          <w:i/>
          <w:iCs/>
        </w:rPr>
        <w:t>Frontiers in Blockchain</w:t>
      </w:r>
      <w:r w:rsidRPr="00921A7B">
        <w:rPr>
          <w:rFonts w:ascii="Arial" w:hAnsi="Arial" w:cs="Arial"/>
        </w:rPr>
        <w:t xml:space="preserve">, 4. </w:t>
      </w:r>
      <w:hyperlink r:id="rId49" w:history="1">
        <w:r w:rsidRPr="00482253">
          <w:rPr>
            <w:rStyle w:val="Hyperlink"/>
            <w:rFonts w:ascii="Arial" w:hAnsi="Arial" w:cs="Arial"/>
          </w:rPr>
          <w:t>https://doi.org/10.3389/fbloc.2021.720454</w:t>
        </w:r>
      </w:hyperlink>
    </w:p>
    <w:p w14:paraId="6360185D" w14:textId="77777777" w:rsidR="00921A7B" w:rsidRPr="00921A7B" w:rsidRDefault="00921A7B" w:rsidP="00921A7B">
      <w:pPr>
        <w:pStyle w:val="Body"/>
        <w:spacing w:after="0"/>
        <w:rPr>
          <w:rFonts w:ascii="Arial" w:hAnsi="Arial" w:cs="Arial"/>
        </w:rPr>
      </w:pPr>
    </w:p>
    <w:p w14:paraId="70692221" w14:textId="3274FCF2" w:rsidR="00921A7B" w:rsidRDefault="00921A7B" w:rsidP="00921A7B">
      <w:pPr>
        <w:pStyle w:val="Body"/>
        <w:spacing w:after="0"/>
        <w:rPr>
          <w:rFonts w:ascii="Arial" w:hAnsi="Arial" w:cs="Arial"/>
        </w:rPr>
      </w:pPr>
      <w:r w:rsidRPr="00921A7B">
        <w:rPr>
          <w:rFonts w:ascii="Arial" w:hAnsi="Arial" w:cs="Arial"/>
        </w:rPr>
        <w:t xml:space="preserve">Yaseen, H., Al-Adwan, A. S., Nofal, M., </w:t>
      </w:r>
      <w:proofErr w:type="spellStart"/>
      <w:r w:rsidRPr="00921A7B">
        <w:rPr>
          <w:rFonts w:ascii="Arial" w:hAnsi="Arial" w:cs="Arial"/>
        </w:rPr>
        <w:t>Hmoud</w:t>
      </w:r>
      <w:proofErr w:type="spellEnd"/>
      <w:r w:rsidRPr="00921A7B">
        <w:rPr>
          <w:rFonts w:ascii="Arial" w:hAnsi="Arial" w:cs="Arial"/>
        </w:rPr>
        <w:t xml:space="preserve">, H., &amp; </w:t>
      </w:r>
      <w:proofErr w:type="spellStart"/>
      <w:r w:rsidRPr="00921A7B">
        <w:rPr>
          <w:rFonts w:ascii="Arial" w:hAnsi="Arial" w:cs="Arial"/>
        </w:rPr>
        <w:t>Abujassar</w:t>
      </w:r>
      <w:proofErr w:type="spellEnd"/>
      <w:r w:rsidRPr="00921A7B">
        <w:rPr>
          <w:rFonts w:ascii="Arial" w:hAnsi="Arial" w:cs="Arial"/>
        </w:rPr>
        <w:t xml:space="preserve">, R. S. (2023). Factors influencing cloud computing adoption among SMEs: The Jordanian context. </w:t>
      </w:r>
      <w:r w:rsidRPr="00921A7B">
        <w:rPr>
          <w:rFonts w:ascii="Arial" w:hAnsi="Arial" w:cs="Arial"/>
          <w:i/>
          <w:iCs/>
        </w:rPr>
        <w:t>Information Development</w:t>
      </w:r>
      <w:r w:rsidRPr="00921A7B">
        <w:rPr>
          <w:rFonts w:ascii="Arial" w:hAnsi="Arial" w:cs="Arial"/>
        </w:rPr>
        <w:t xml:space="preserve">, 39(2), 317–332. </w:t>
      </w:r>
      <w:hyperlink r:id="rId50" w:history="1">
        <w:r w:rsidRPr="00482253">
          <w:rPr>
            <w:rStyle w:val="Hyperlink"/>
            <w:rFonts w:ascii="Arial" w:hAnsi="Arial" w:cs="Arial"/>
          </w:rPr>
          <w:t>https://doi.org/10.1177/02666669211047916</w:t>
        </w:r>
      </w:hyperlink>
    </w:p>
    <w:p w14:paraId="6E6FDCEB" w14:textId="77777777" w:rsidR="00921A7B" w:rsidRPr="00921A7B" w:rsidRDefault="00921A7B" w:rsidP="00921A7B">
      <w:pPr>
        <w:pStyle w:val="Body"/>
        <w:spacing w:after="0"/>
        <w:rPr>
          <w:rFonts w:ascii="Arial" w:hAnsi="Arial" w:cs="Arial"/>
        </w:rPr>
      </w:pPr>
    </w:p>
    <w:p w14:paraId="0C4F520A" w14:textId="4FD2E541" w:rsidR="00921A7B" w:rsidRDefault="00921A7B" w:rsidP="00921A7B">
      <w:pPr>
        <w:pStyle w:val="Body"/>
        <w:spacing w:after="0"/>
        <w:rPr>
          <w:rFonts w:ascii="Arial" w:hAnsi="Arial" w:cs="Arial"/>
        </w:rPr>
      </w:pPr>
      <w:r w:rsidRPr="00921A7B">
        <w:rPr>
          <w:rFonts w:ascii="Arial" w:hAnsi="Arial" w:cs="Arial"/>
        </w:rPr>
        <w:t xml:space="preserve">Martins, R., Oliveira, T., &amp; Thomas, M. A. (2016). An empirical analysis to assess the determinants of SaaS diffusion in firms. </w:t>
      </w:r>
      <w:r w:rsidRPr="00921A7B">
        <w:rPr>
          <w:rFonts w:ascii="Arial" w:hAnsi="Arial" w:cs="Arial"/>
          <w:i/>
          <w:iCs/>
        </w:rPr>
        <w:t>Computers in Human Behavior</w:t>
      </w:r>
      <w:r w:rsidRPr="00921A7B">
        <w:rPr>
          <w:rFonts w:ascii="Arial" w:hAnsi="Arial" w:cs="Arial"/>
        </w:rPr>
        <w:t xml:space="preserve">, 62, 19–33. </w:t>
      </w:r>
      <w:hyperlink r:id="rId51" w:history="1">
        <w:r w:rsidRPr="00482253">
          <w:rPr>
            <w:rStyle w:val="Hyperlink"/>
            <w:rFonts w:ascii="Arial" w:hAnsi="Arial" w:cs="Arial"/>
          </w:rPr>
          <w:t>https://doi.org/10.1016/j.chb.2016.03.049</w:t>
        </w:r>
      </w:hyperlink>
    </w:p>
    <w:p w14:paraId="2ECC6313" w14:textId="77777777" w:rsidR="00921A7B" w:rsidRPr="00921A7B" w:rsidRDefault="00921A7B" w:rsidP="00921A7B">
      <w:pPr>
        <w:pStyle w:val="Body"/>
        <w:spacing w:after="0"/>
        <w:rPr>
          <w:rFonts w:ascii="Arial" w:hAnsi="Arial" w:cs="Arial"/>
        </w:rPr>
      </w:pPr>
    </w:p>
    <w:p w14:paraId="5A0AFB75" w14:textId="77777777" w:rsidR="00921A7B" w:rsidRDefault="00921A7B" w:rsidP="00921A7B">
      <w:pPr>
        <w:pStyle w:val="Body"/>
        <w:spacing w:after="0"/>
        <w:rPr>
          <w:rFonts w:ascii="Arial" w:hAnsi="Arial" w:cs="Arial"/>
        </w:rPr>
      </w:pPr>
      <w:r w:rsidRPr="00921A7B">
        <w:rPr>
          <w:rFonts w:ascii="Arial" w:hAnsi="Arial" w:cs="Arial"/>
        </w:rPr>
        <w:t xml:space="preserve">Jalal, A. N., Bahari, M., &amp; </w:t>
      </w:r>
      <w:proofErr w:type="spellStart"/>
      <w:r w:rsidRPr="00921A7B">
        <w:rPr>
          <w:rFonts w:ascii="Arial" w:hAnsi="Arial" w:cs="Arial"/>
        </w:rPr>
        <w:t>Tarofder</w:t>
      </w:r>
      <w:proofErr w:type="spellEnd"/>
      <w:r w:rsidRPr="00921A7B">
        <w:rPr>
          <w:rFonts w:ascii="Arial" w:hAnsi="Arial" w:cs="Arial"/>
        </w:rPr>
        <w:t xml:space="preserve">, A. K. (2021). Transforming traditional CRM into social CRM: An empirical investigation in Iraqi healthcare industry. </w:t>
      </w:r>
      <w:proofErr w:type="spellStart"/>
      <w:r w:rsidRPr="00921A7B">
        <w:rPr>
          <w:rFonts w:ascii="Arial" w:hAnsi="Arial" w:cs="Arial"/>
          <w:i/>
          <w:iCs/>
        </w:rPr>
        <w:t>Heliyon</w:t>
      </w:r>
      <w:proofErr w:type="spellEnd"/>
      <w:r w:rsidRPr="00921A7B">
        <w:rPr>
          <w:rFonts w:ascii="Arial" w:hAnsi="Arial" w:cs="Arial"/>
        </w:rPr>
        <w:t xml:space="preserve">, 7(5). </w:t>
      </w:r>
      <w:hyperlink r:id="rId52" w:tgtFrame="_new" w:history="1">
        <w:r w:rsidRPr="00921A7B">
          <w:rPr>
            <w:rStyle w:val="Hyperlink"/>
            <w:rFonts w:ascii="Arial" w:hAnsi="Arial" w:cs="Arial"/>
          </w:rPr>
          <w:t>https://doi.org/10.1016/j.heliyon.2021.e06913</w:t>
        </w:r>
      </w:hyperlink>
    </w:p>
    <w:p w14:paraId="547A3448" w14:textId="77777777" w:rsidR="00921A7B" w:rsidRPr="00921A7B" w:rsidRDefault="00921A7B" w:rsidP="00921A7B">
      <w:pPr>
        <w:pStyle w:val="Body"/>
        <w:spacing w:after="0"/>
        <w:rPr>
          <w:rFonts w:ascii="Arial" w:hAnsi="Arial" w:cs="Arial"/>
        </w:rPr>
      </w:pPr>
    </w:p>
    <w:p w14:paraId="725DAFB0" w14:textId="77777777" w:rsidR="00921A7B" w:rsidRDefault="00921A7B" w:rsidP="00921A7B">
      <w:pPr>
        <w:pStyle w:val="Body"/>
        <w:spacing w:after="0"/>
        <w:rPr>
          <w:rFonts w:ascii="Arial" w:hAnsi="Arial" w:cs="Arial"/>
        </w:rPr>
      </w:pPr>
      <w:r w:rsidRPr="00921A7B">
        <w:rPr>
          <w:rFonts w:ascii="Arial" w:hAnsi="Arial" w:cs="Arial"/>
        </w:rPr>
        <w:t xml:space="preserve">Gui, A., </w:t>
      </w:r>
      <w:proofErr w:type="spellStart"/>
      <w:r w:rsidRPr="00921A7B">
        <w:rPr>
          <w:rFonts w:ascii="Arial" w:hAnsi="Arial" w:cs="Arial"/>
        </w:rPr>
        <w:t>Pangestu</w:t>
      </w:r>
      <w:proofErr w:type="spellEnd"/>
      <w:r w:rsidRPr="00921A7B">
        <w:rPr>
          <w:rFonts w:ascii="Arial" w:hAnsi="Arial" w:cs="Arial"/>
        </w:rPr>
        <w:t xml:space="preserve">, K. Y., </w:t>
      </w:r>
      <w:proofErr w:type="spellStart"/>
      <w:r w:rsidRPr="00921A7B">
        <w:rPr>
          <w:rFonts w:ascii="Arial" w:hAnsi="Arial" w:cs="Arial"/>
        </w:rPr>
        <w:t>Rugoswanto</w:t>
      </w:r>
      <w:proofErr w:type="spellEnd"/>
      <w:r w:rsidRPr="00921A7B">
        <w:rPr>
          <w:rFonts w:ascii="Arial" w:hAnsi="Arial" w:cs="Arial"/>
        </w:rPr>
        <w:t xml:space="preserve">, F. H., &amp; </w:t>
      </w:r>
      <w:proofErr w:type="spellStart"/>
      <w:r w:rsidRPr="00921A7B">
        <w:rPr>
          <w:rFonts w:ascii="Arial" w:hAnsi="Arial" w:cs="Arial"/>
        </w:rPr>
        <w:t>Ahmarofi</w:t>
      </w:r>
      <w:proofErr w:type="spellEnd"/>
      <w:r w:rsidRPr="00921A7B">
        <w:rPr>
          <w:rFonts w:ascii="Arial" w:hAnsi="Arial" w:cs="Arial"/>
        </w:rPr>
        <w:t xml:space="preserve">, A. A. (2021). Factors affecting the adoption of cloud computations on company performance. </w:t>
      </w:r>
      <w:r w:rsidRPr="00921A7B">
        <w:rPr>
          <w:rFonts w:ascii="Arial" w:hAnsi="Arial" w:cs="Arial"/>
          <w:i/>
          <w:iCs/>
        </w:rPr>
        <w:t>Journal of Theoretical and Applied Information Technology</w:t>
      </w:r>
      <w:r w:rsidRPr="00921A7B">
        <w:rPr>
          <w:rFonts w:ascii="Arial" w:hAnsi="Arial" w:cs="Arial"/>
        </w:rPr>
        <w:t>, 31(14).</w:t>
      </w:r>
    </w:p>
    <w:p w14:paraId="35D7DA35" w14:textId="77777777" w:rsidR="00921A7B" w:rsidRPr="00921A7B" w:rsidRDefault="00921A7B" w:rsidP="00921A7B">
      <w:pPr>
        <w:pStyle w:val="Body"/>
        <w:spacing w:after="0"/>
        <w:rPr>
          <w:rFonts w:ascii="Arial" w:hAnsi="Arial" w:cs="Arial"/>
        </w:rPr>
      </w:pPr>
    </w:p>
    <w:p w14:paraId="0F29DA44" w14:textId="77AC4426" w:rsidR="00921A7B" w:rsidRDefault="00921A7B" w:rsidP="00921A7B">
      <w:pPr>
        <w:pStyle w:val="Body"/>
        <w:spacing w:after="0"/>
        <w:rPr>
          <w:rFonts w:ascii="Arial" w:hAnsi="Arial" w:cs="Arial"/>
        </w:rPr>
      </w:pPr>
      <w:r w:rsidRPr="00921A7B">
        <w:rPr>
          <w:rFonts w:ascii="Arial" w:hAnsi="Arial" w:cs="Arial"/>
        </w:rPr>
        <w:t xml:space="preserve">Eze, S. C., Chinedu-Eze, V. C., &amp; Awa, H. O. (2022). Studying service SME adoption of mobile marketing technology via the technology–organization–environment framework. </w:t>
      </w:r>
      <w:r w:rsidRPr="00921A7B">
        <w:rPr>
          <w:rFonts w:ascii="Arial" w:hAnsi="Arial" w:cs="Arial"/>
          <w:i/>
          <w:iCs/>
        </w:rPr>
        <w:t>International Journal of Information Systems in the Service Sector</w:t>
      </w:r>
      <w:r w:rsidRPr="00921A7B">
        <w:rPr>
          <w:rFonts w:ascii="Arial" w:hAnsi="Arial" w:cs="Arial"/>
        </w:rPr>
        <w:t xml:space="preserve">, 14(1). </w:t>
      </w:r>
      <w:hyperlink r:id="rId53" w:history="1">
        <w:r w:rsidRPr="00482253">
          <w:rPr>
            <w:rStyle w:val="Hyperlink"/>
            <w:rFonts w:ascii="Arial" w:hAnsi="Arial" w:cs="Arial"/>
          </w:rPr>
          <w:t>https://doi.org/10.4018/IJISSS.20220101.oa1</w:t>
        </w:r>
      </w:hyperlink>
    </w:p>
    <w:p w14:paraId="59ADFE11" w14:textId="77777777" w:rsidR="00921A7B" w:rsidRPr="00921A7B" w:rsidRDefault="00921A7B" w:rsidP="00921A7B">
      <w:pPr>
        <w:pStyle w:val="Body"/>
        <w:spacing w:after="0"/>
        <w:rPr>
          <w:rFonts w:ascii="Arial" w:hAnsi="Arial" w:cs="Arial"/>
        </w:rPr>
      </w:pPr>
    </w:p>
    <w:p w14:paraId="53A728C3" w14:textId="6BDC9046" w:rsidR="00921A7B" w:rsidRDefault="00921A7B" w:rsidP="00921A7B">
      <w:pPr>
        <w:pStyle w:val="Body"/>
        <w:spacing w:after="0"/>
        <w:rPr>
          <w:rFonts w:ascii="Arial" w:hAnsi="Arial" w:cs="Arial"/>
        </w:rPr>
      </w:pPr>
      <w:proofErr w:type="spellStart"/>
      <w:r w:rsidRPr="00921A7B">
        <w:rPr>
          <w:rFonts w:ascii="Arial" w:hAnsi="Arial" w:cs="Arial"/>
        </w:rPr>
        <w:t>Mukred</w:t>
      </w:r>
      <w:proofErr w:type="spellEnd"/>
      <w:r w:rsidRPr="00921A7B">
        <w:rPr>
          <w:rFonts w:ascii="Arial" w:hAnsi="Arial" w:cs="Arial"/>
        </w:rPr>
        <w:t xml:space="preserve">, M., Alotaibi, F. M., Yusof, Z. M., Mokhtar, U. A., Hawash, B., &amp; Ahmed, W. A. (2023). Enterprise resource planning adoption model for well-informed decision in higher learning institutions. </w:t>
      </w:r>
      <w:r w:rsidRPr="00921A7B">
        <w:rPr>
          <w:rFonts w:ascii="Arial" w:hAnsi="Arial" w:cs="Arial"/>
          <w:i/>
          <w:iCs/>
        </w:rPr>
        <w:t>Journal of Information Science</w:t>
      </w:r>
      <w:r w:rsidRPr="00921A7B">
        <w:rPr>
          <w:rFonts w:ascii="Arial" w:hAnsi="Arial" w:cs="Arial"/>
        </w:rPr>
        <w:t xml:space="preserve">, 49(3), 792–813. </w:t>
      </w:r>
      <w:hyperlink r:id="rId54" w:history="1">
        <w:r w:rsidRPr="00482253">
          <w:rPr>
            <w:rStyle w:val="Hyperlink"/>
            <w:rFonts w:ascii="Arial" w:hAnsi="Arial" w:cs="Arial"/>
          </w:rPr>
          <w:t>https://doi.org/10.1177/01655515211019703</w:t>
        </w:r>
      </w:hyperlink>
    </w:p>
    <w:p w14:paraId="26A7E12D" w14:textId="35BEDD96" w:rsidR="004D4277" w:rsidRPr="00FB3A86" w:rsidRDefault="004D4277" w:rsidP="00441B6F">
      <w:pPr>
        <w:pStyle w:val="Appendix"/>
        <w:spacing w:after="0"/>
        <w:jc w:val="both"/>
        <w:rPr>
          <w:rFonts w:ascii="Arial" w:hAnsi="Arial" w:cs="Arial"/>
          <w:b w:val="0"/>
        </w:rPr>
        <w:sectPr w:rsidR="004D4277" w:rsidRPr="00FB3A86" w:rsidSect="00CE21DD">
          <w:headerReference w:type="even" r:id="rId55"/>
          <w:headerReference w:type="default" r:id="rId56"/>
          <w:footerReference w:type="default" r:id="rId57"/>
          <w:headerReference w:type="first" r:id="rId58"/>
          <w:type w:val="continuous"/>
          <w:pgSz w:w="12240" w:h="15840"/>
          <w:pgMar w:top="1440" w:right="2016" w:bottom="2016" w:left="2016" w:header="720" w:footer="1123" w:gutter="0"/>
          <w:cols w:space="720"/>
          <w:docGrid w:linePitch="272"/>
        </w:sectPr>
      </w:pPr>
    </w:p>
    <w:p w14:paraId="11765198" w14:textId="77777777" w:rsidR="00B01FCD" w:rsidRPr="00FB3A86" w:rsidRDefault="00B01FCD" w:rsidP="00441B6F">
      <w:pPr>
        <w:pStyle w:val="Appendix"/>
        <w:spacing w:after="0"/>
        <w:jc w:val="both"/>
        <w:rPr>
          <w:rFonts w:ascii="Arial" w:hAnsi="Arial" w:cs="Arial"/>
          <w:b w:val="0"/>
        </w:rPr>
      </w:pPr>
    </w:p>
    <w:sectPr w:rsidR="00B01FCD" w:rsidRPr="00FB3A86" w:rsidSect="00CE21D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F47E6" w14:textId="77777777" w:rsidR="00EB2B1B" w:rsidRDefault="00EB2B1B" w:rsidP="00C37E61">
      <w:r>
        <w:separator/>
      </w:r>
    </w:p>
  </w:endnote>
  <w:endnote w:type="continuationSeparator" w:id="0">
    <w:p w14:paraId="15A0AB49" w14:textId="77777777" w:rsidR="00EB2B1B" w:rsidRDefault="00EB2B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DB99A" w14:textId="77777777" w:rsidR="00CE21DD" w:rsidRDefault="00CE2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B06F0" w14:textId="08B7C3D8" w:rsidR="00C37E61" w:rsidRPr="00F26F07" w:rsidRDefault="00C37E61" w:rsidP="00F26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E52B" w14:textId="77777777" w:rsidR="009E048A" w:rsidRDefault="009E048A">
    <w:pPr>
      <w:pStyle w:val="Footer"/>
      <w:rPr>
        <w:rFonts w:ascii="Arial" w:hAnsi="Arial" w:cs="Arial"/>
        <w:sz w:val="16"/>
      </w:rPr>
    </w:pPr>
  </w:p>
  <w:p w14:paraId="684F85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D0BC52" w14:textId="77777777" w:rsidR="009E048A" w:rsidRDefault="009E048A">
    <w:pPr>
      <w:pStyle w:val="Footer"/>
      <w:rPr>
        <w:rFonts w:ascii="Arial" w:hAnsi="Arial" w:cs="Arial"/>
        <w:sz w:val="16"/>
      </w:rPr>
    </w:pPr>
  </w:p>
  <w:p w14:paraId="5BD561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B5B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22602" w14:textId="77777777" w:rsidR="00EB2B1B" w:rsidRDefault="00EB2B1B" w:rsidP="00C37E61">
      <w:r>
        <w:separator/>
      </w:r>
    </w:p>
  </w:footnote>
  <w:footnote w:type="continuationSeparator" w:id="0">
    <w:p w14:paraId="0781A6B6" w14:textId="77777777" w:rsidR="00EB2B1B" w:rsidRDefault="00EB2B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479D" w14:textId="72C7E21C" w:rsidR="00CE21DD" w:rsidRDefault="00CE21DD">
    <w:pPr>
      <w:pStyle w:val="Header"/>
    </w:pPr>
    <w:r>
      <w:rPr>
        <w:noProof/>
      </w:rPr>
      <w:pict w14:anchorId="60DBF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2B259" w14:textId="6D6C0591" w:rsidR="00CE21DD" w:rsidRDefault="00CE21DD">
    <w:pPr>
      <w:pStyle w:val="Header"/>
    </w:pPr>
    <w:r>
      <w:rPr>
        <w:noProof/>
      </w:rPr>
      <w:pict w14:anchorId="2BBF8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59D9" w14:textId="3CF3115D" w:rsidR="00296529" w:rsidRPr="00296529" w:rsidRDefault="00CE21DD" w:rsidP="00296529">
    <w:pPr>
      <w:ind w:left="2160"/>
      <w:jc w:val="center"/>
      <w:rPr>
        <w:rFonts w:ascii="Times New Roman" w:eastAsia="Calibri" w:hAnsi="Times New Roman"/>
        <w:i/>
        <w:sz w:val="18"/>
        <w:szCs w:val="22"/>
      </w:rPr>
    </w:pPr>
    <w:r>
      <w:rPr>
        <w:noProof/>
      </w:rPr>
      <w:pict w14:anchorId="4827E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C888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1E6A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DBBFF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6148C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3222C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6E26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5BC71" w14:textId="71AB3B1E" w:rsidR="00CE21DD" w:rsidRDefault="00CE21DD">
    <w:pPr>
      <w:pStyle w:val="Header"/>
    </w:pPr>
    <w:r>
      <w:rPr>
        <w:noProof/>
      </w:rPr>
      <w:pict w14:anchorId="1E139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E9D0B" w14:textId="51AA6544" w:rsidR="00CE21DD" w:rsidRDefault="00CE21DD">
    <w:pPr>
      <w:pStyle w:val="Header"/>
    </w:pPr>
    <w:r>
      <w:rPr>
        <w:noProof/>
      </w:rPr>
      <w:pict w14:anchorId="16C2F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594D" w14:textId="4EA78FFB" w:rsidR="00CE21DD" w:rsidRDefault="00CE21DD">
    <w:pPr>
      <w:pStyle w:val="Header"/>
    </w:pPr>
    <w:r>
      <w:rPr>
        <w:noProof/>
      </w:rPr>
      <w:pict w14:anchorId="6D862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014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5C57"/>
    <w:rsid w:val="002B27FB"/>
    <w:rsid w:val="002B685A"/>
    <w:rsid w:val="002C57D2"/>
    <w:rsid w:val="002E0D56"/>
    <w:rsid w:val="00310FB6"/>
    <w:rsid w:val="00315186"/>
    <w:rsid w:val="0033343E"/>
    <w:rsid w:val="003512C2"/>
    <w:rsid w:val="00371FB6"/>
    <w:rsid w:val="003763C1"/>
    <w:rsid w:val="00376BBE"/>
    <w:rsid w:val="0039224F"/>
    <w:rsid w:val="003A43A4"/>
    <w:rsid w:val="003A7E18"/>
    <w:rsid w:val="003C4C86"/>
    <w:rsid w:val="003C6258"/>
    <w:rsid w:val="003E2904"/>
    <w:rsid w:val="003F216A"/>
    <w:rsid w:val="00401927"/>
    <w:rsid w:val="0041027F"/>
    <w:rsid w:val="00412475"/>
    <w:rsid w:val="00423789"/>
    <w:rsid w:val="00440F43"/>
    <w:rsid w:val="00441B6F"/>
    <w:rsid w:val="00446221"/>
    <w:rsid w:val="00450E62"/>
    <w:rsid w:val="004539DB"/>
    <w:rsid w:val="00471A80"/>
    <w:rsid w:val="004D305E"/>
    <w:rsid w:val="004D4277"/>
    <w:rsid w:val="00502516"/>
    <w:rsid w:val="00504286"/>
    <w:rsid w:val="00505F06"/>
    <w:rsid w:val="00506828"/>
    <w:rsid w:val="00526A0E"/>
    <w:rsid w:val="0053056E"/>
    <w:rsid w:val="00554FDA"/>
    <w:rsid w:val="005A743B"/>
    <w:rsid w:val="005C784C"/>
    <w:rsid w:val="005D17F6"/>
    <w:rsid w:val="005E5539"/>
    <w:rsid w:val="00601C1B"/>
    <w:rsid w:val="00602BF5"/>
    <w:rsid w:val="0060680C"/>
    <w:rsid w:val="00617FDD"/>
    <w:rsid w:val="00633614"/>
    <w:rsid w:val="00633F68"/>
    <w:rsid w:val="00636EB2"/>
    <w:rsid w:val="006375B8"/>
    <w:rsid w:val="006501CA"/>
    <w:rsid w:val="0066510A"/>
    <w:rsid w:val="00673F9F"/>
    <w:rsid w:val="00686953"/>
    <w:rsid w:val="00687DEA"/>
    <w:rsid w:val="00687E67"/>
    <w:rsid w:val="006967F7"/>
    <w:rsid w:val="006A250C"/>
    <w:rsid w:val="006A530E"/>
    <w:rsid w:val="006B21D3"/>
    <w:rsid w:val="006B57D0"/>
    <w:rsid w:val="006D30FF"/>
    <w:rsid w:val="006D6940"/>
    <w:rsid w:val="006F11EC"/>
    <w:rsid w:val="006F68D6"/>
    <w:rsid w:val="0070082C"/>
    <w:rsid w:val="00706135"/>
    <w:rsid w:val="0072187C"/>
    <w:rsid w:val="00727DFF"/>
    <w:rsid w:val="007369E6"/>
    <w:rsid w:val="00746E59"/>
    <w:rsid w:val="00754C9A"/>
    <w:rsid w:val="0075599A"/>
    <w:rsid w:val="00761D52"/>
    <w:rsid w:val="0076309C"/>
    <w:rsid w:val="0077749E"/>
    <w:rsid w:val="00790ADA"/>
    <w:rsid w:val="00797F75"/>
    <w:rsid w:val="007D2288"/>
    <w:rsid w:val="007E088F"/>
    <w:rsid w:val="007F7B32"/>
    <w:rsid w:val="00804BC2"/>
    <w:rsid w:val="0081431A"/>
    <w:rsid w:val="0083216F"/>
    <w:rsid w:val="00860000"/>
    <w:rsid w:val="00863BD3"/>
    <w:rsid w:val="008641ED"/>
    <w:rsid w:val="00866D66"/>
    <w:rsid w:val="008671C6"/>
    <w:rsid w:val="00875803"/>
    <w:rsid w:val="008B459E"/>
    <w:rsid w:val="008D0E2A"/>
    <w:rsid w:val="008E13AE"/>
    <w:rsid w:val="008E1506"/>
    <w:rsid w:val="008E710C"/>
    <w:rsid w:val="008F69D6"/>
    <w:rsid w:val="00902823"/>
    <w:rsid w:val="00915CA6"/>
    <w:rsid w:val="00921A7B"/>
    <w:rsid w:val="00927834"/>
    <w:rsid w:val="009500A6"/>
    <w:rsid w:val="00957C18"/>
    <w:rsid w:val="009659BA"/>
    <w:rsid w:val="00983040"/>
    <w:rsid w:val="009A58D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9FD"/>
    <w:rsid w:val="00A94063"/>
    <w:rsid w:val="00AA6219"/>
    <w:rsid w:val="00AA74E0"/>
    <w:rsid w:val="00AB703F"/>
    <w:rsid w:val="00AC6BB8"/>
    <w:rsid w:val="00AE008F"/>
    <w:rsid w:val="00B01FCD"/>
    <w:rsid w:val="00B1776C"/>
    <w:rsid w:val="00B21639"/>
    <w:rsid w:val="00B52583"/>
    <w:rsid w:val="00B52896"/>
    <w:rsid w:val="00B8656B"/>
    <w:rsid w:val="00B95236"/>
    <w:rsid w:val="00B96BD9"/>
    <w:rsid w:val="00BA1B01"/>
    <w:rsid w:val="00BA1C04"/>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0838"/>
    <w:rsid w:val="00CD1A34"/>
    <w:rsid w:val="00CD6755"/>
    <w:rsid w:val="00CD6856"/>
    <w:rsid w:val="00CE0089"/>
    <w:rsid w:val="00CE21DD"/>
    <w:rsid w:val="00CE793C"/>
    <w:rsid w:val="00CF193C"/>
    <w:rsid w:val="00D173F1"/>
    <w:rsid w:val="00D71E0F"/>
    <w:rsid w:val="00D74CB0"/>
    <w:rsid w:val="00D8295D"/>
    <w:rsid w:val="00DC2A65"/>
    <w:rsid w:val="00DE15F0"/>
    <w:rsid w:val="00DE5663"/>
    <w:rsid w:val="00DE78AA"/>
    <w:rsid w:val="00DE7C5C"/>
    <w:rsid w:val="00E03BA4"/>
    <w:rsid w:val="00E053D0"/>
    <w:rsid w:val="00E15994"/>
    <w:rsid w:val="00E3114E"/>
    <w:rsid w:val="00E31A70"/>
    <w:rsid w:val="00E35B02"/>
    <w:rsid w:val="00E66496"/>
    <w:rsid w:val="00E66B35"/>
    <w:rsid w:val="00E66E10"/>
    <w:rsid w:val="00E769F6"/>
    <w:rsid w:val="00E8407C"/>
    <w:rsid w:val="00E84F3C"/>
    <w:rsid w:val="00EA012C"/>
    <w:rsid w:val="00EB2B1B"/>
    <w:rsid w:val="00EC6A55"/>
    <w:rsid w:val="00ED0288"/>
    <w:rsid w:val="00EE52CB"/>
    <w:rsid w:val="00EF581D"/>
    <w:rsid w:val="00EF7FD8"/>
    <w:rsid w:val="00F06F59"/>
    <w:rsid w:val="00F17988"/>
    <w:rsid w:val="00F26F07"/>
    <w:rsid w:val="00F469F0"/>
    <w:rsid w:val="00F53273"/>
    <w:rsid w:val="00F54607"/>
    <w:rsid w:val="00F7421F"/>
    <w:rsid w:val="00F755E4"/>
    <w:rsid w:val="00F77A0A"/>
    <w:rsid w:val="00F77D02"/>
    <w:rsid w:val="00FB3A86"/>
    <w:rsid w:val="00FD21B1"/>
    <w:rsid w:val="00FD36C8"/>
    <w:rsid w:val="00FD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0DA62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310FB6"/>
    <w:pPr>
      <w:suppressAutoHyphens/>
    </w:pPr>
    <w:rPr>
      <w:rFonts w:eastAsia="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paragraph" w:styleId="Caption">
    <w:name w:val="caption"/>
    <w:basedOn w:val="Normal"/>
    <w:next w:val="Normal"/>
    <w:unhideWhenUsed/>
    <w:qFormat/>
    <w:rsid w:val="0076309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arxiv.org/abs/2406.17325" TargetMode="External"/><Relationship Id="rId26" Type="http://schemas.openxmlformats.org/officeDocument/2006/relationships/hyperlink" Target="https://doi.org/10.1108/JEIM-01-2015-0001" TargetMode="External"/><Relationship Id="rId39" Type="http://schemas.openxmlformats.org/officeDocument/2006/relationships/hyperlink" Target="http://doi.org/10.1109/SCSE61872.2024.10550849" TargetMode="External"/><Relationship Id="rId21" Type="http://schemas.openxmlformats.org/officeDocument/2006/relationships/hyperlink" Target="https://doi.org/10.32604/cmc.2021.014099" TargetMode="External"/><Relationship Id="rId34" Type="http://schemas.openxmlformats.org/officeDocument/2006/relationships/hyperlink" Target="https://doi.org/10.3390/buildings13041079" TargetMode="External"/><Relationship Id="rId42" Type="http://schemas.openxmlformats.org/officeDocument/2006/relationships/hyperlink" Target="https://doi.org/10.4038/kjm.v14i3.7922" TargetMode="External"/><Relationship Id="rId47" Type="http://schemas.openxmlformats.org/officeDocument/2006/relationships/hyperlink" Target="https://doi.org/10.1016/j.accinf.2017.12.005" TargetMode="External"/><Relationship Id="rId50" Type="http://schemas.openxmlformats.org/officeDocument/2006/relationships/hyperlink" Target="https://doi.org/10.1177/02666669211047916"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9/ACCESS.2022.3174115" TargetMode="External"/><Relationship Id="rId29" Type="http://schemas.openxmlformats.org/officeDocument/2006/relationships/hyperlink" Target="https://doi.org/10.37394/23207.2023.20.121" TargetMode="External"/><Relationship Id="rId11" Type="http://schemas.openxmlformats.org/officeDocument/2006/relationships/footer" Target="footer2.xml"/><Relationship Id="rId24" Type="http://schemas.openxmlformats.org/officeDocument/2006/relationships/hyperlink" Target="https://doi.org/10.1177/09722629241231458" TargetMode="External"/><Relationship Id="rId32" Type="http://schemas.openxmlformats.org/officeDocument/2006/relationships/hyperlink" Target="https://doi.org/10.1108/JEIM-03-2016-0079" TargetMode="External"/><Relationship Id="rId37" Type="http://schemas.openxmlformats.org/officeDocument/2006/relationships/hyperlink" Target="http://doi.org/10.1109/SCSE61872.2024.10550785" TargetMode="External"/><Relationship Id="rId40" Type="http://schemas.openxmlformats.org/officeDocument/2006/relationships/hyperlink" Target="http://doi.org/10.1109/SCSE61872.2024.10550604" TargetMode="External"/><Relationship Id="rId45" Type="http://schemas.openxmlformats.org/officeDocument/2006/relationships/hyperlink" Target="https://doi.org/10.18267/j.aip.297" TargetMode="External"/><Relationship Id="rId53" Type="http://schemas.openxmlformats.org/officeDocument/2006/relationships/hyperlink" Target="https://doi.org/10.4018/IJISSS.20220101.oa1"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yperlink" Target="https://doi.org/10.1109/ACCESS.2024.345965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su16051864" TargetMode="External"/><Relationship Id="rId27" Type="http://schemas.openxmlformats.org/officeDocument/2006/relationships/hyperlink" Target="https://doi.org/10.1016/j.jretconser.2020.102225" TargetMode="External"/><Relationship Id="rId30" Type="http://schemas.openxmlformats.org/officeDocument/2006/relationships/hyperlink" Target="https://doi.org/10.1080/23311975.2023.2220190" TargetMode="External"/><Relationship Id="rId35" Type="http://schemas.openxmlformats.org/officeDocument/2006/relationships/hyperlink" Target="http://doi.org/10.1109/ICARC64760.2025.10963021" TargetMode="External"/><Relationship Id="rId43" Type="http://schemas.openxmlformats.org/officeDocument/2006/relationships/hyperlink" Target="http://doi.org/10.1109/ICARC61713.2024.10499786" TargetMode="External"/><Relationship Id="rId48" Type="http://schemas.openxmlformats.org/officeDocument/2006/relationships/hyperlink" Target="https://www.researchgate.net/publication/354067790"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1016/j.chb.2016.03.04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9/ACCESS.2025.3553870" TargetMode="External"/><Relationship Id="rId25" Type="http://schemas.openxmlformats.org/officeDocument/2006/relationships/hyperlink" Target="https://doi.org/10.1007/s10257-015-0300-9" TargetMode="External"/><Relationship Id="rId33" Type="http://schemas.openxmlformats.org/officeDocument/2006/relationships/hyperlink" Target="https://doi.org/10.2139/ssrn.1954824" TargetMode="External"/><Relationship Id="rId38" Type="http://schemas.openxmlformats.org/officeDocument/2006/relationships/hyperlink" Target="http://doi.org/10.1109/SCSE61872.2024.10550677" TargetMode="External"/><Relationship Id="rId46" Type="http://schemas.openxmlformats.org/officeDocument/2006/relationships/hyperlink" Target="https://doi.org/10.1007/s11192-015-1765-5" TargetMode="External"/><Relationship Id="rId59" Type="http://schemas.openxmlformats.org/officeDocument/2006/relationships/fontTable" Target="fontTable.xml"/><Relationship Id="rId20" Type="http://schemas.openxmlformats.org/officeDocument/2006/relationships/hyperlink" Target="https://doi.org/10.1109/ACCESS.2023.3293849" TargetMode="External"/><Relationship Id="rId41" Type="http://schemas.openxmlformats.org/officeDocument/2006/relationships/hyperlink" Target="https://doi.org/10.4038/sljss.v45i2.8341" TargetMode="External"/><Relationship Id="rId54" Type="http://schemas.openxmlformats.org/officeDocument/2006/relationships/hyperlink" Target="https://doi.org/10.1177/016555152110197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9/ACCESS.2025.3564139" TargetMode="External"/><Relationship Id="rId23" Type="http://schemas.openxmlformats.org/officeDocument/2006/relationships/hyperlink" Target="https://doi.org/10.5267/j.jpm.2023.6.001" TargetMode="External"/><Relationship Id="rId28" Type="http://schemas.openxmlformats.org/officeDocument/2006/relationships/hyperlink" Target="https://doi.org/10.1504/IJMED.2024.138452" TargetMode="External"/><Relationship Id="rId36" Type="http://schemas.openxmlformats.org/officeDocument/2006/relationships/hyperlink" Target="http://doi.org/10.1109/SCSE65633.2025.11031019" TargetMode="External"/><Relationship Id="rId49" Type="http://schemas.openxmlformats.org/officeDocument/2006/relationships/hyperlink" Target="https://doi.org/10.3389/fbloc.2021.720454"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1145/3652154" TargetMode="External"/><Relationship Id="rId44" Type="http://schemas.openxmlformats.org/officeDocument/2006/relationships/hyperlink" Target="http://doi.org/10.1109/SCSE61872.2024.10550794" TargetMode="External"/><Relationship Id="rId52" Type="http://schemas.openxmlformats.org/officeDocument/2006/relationships/hyperlink" Target="https://doi.org/10.1016/j.heliyon.2021.e06913"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FE162-40D4-4C59-8197-9F8B6653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454</TotalTime>
  <Pages>14</Pages>
  <Words>6256</Words>
  <Characters>35663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2026-01-25T03:23:00Z</cp:lastPrinted>
  <dcterms:created xsi:type="dcterms:W3CDTF">2014-10-25T14:34:00Z</dcterms:created>
  <dcterms:modified xsi:type="dcterms:W3CDTF">2026-01-27T12:49:00Z</dcterms:modified>
</cp:coreProperties>
</file>