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3D41F" w14:textId="77777777" w:rsidR="00754C9A" w:rsidRDefault="00754C9A" w:rsidP="00441B6F">
      <w:pPr>
        <w:pStyle w:val="Title"/>
        <w:spacing w:after="0"/>
        <w:jc w:val="both"/>
        <w:rPr>
          <w:rFonts w:ascii="Arial" w:hAnsi="Arial" w:cs="Arial"/>
          <w:lang w:eastAsia="ja-JP"/>
        </w:rPr>
      </w:pPr>
    </w:p>
    <w:p w14:paraId="24142552" w14:textId="603FA248" w:rsidR="00F57042" w:rsidRPr="00F57042" w:rsidRDefault="009B601C" w:rsidP="00F57042">
      <w:pPr>
        <w:pStyle w:val="Author"/>
        <w:spacing w:line="240" w:lineRule="auto"/>
        <w:jc w:val="both"/>
        <w:rPr>
          <w:rFonts w:ascii="Arial" w:hAnsi="Arial" w:cs="Arial"/>
          <w:bCs/>
          <w:iCs/>
          <w:sz w:val="36"/>
        </w:rPr>
      </w:pPr>
      <w:bookmarkStart w:id="0" w:name="_Hlk219215835"/>
      <w:r w:rsidRPr="009B601C">
        <w:rPr>
          <w:rFonts w:ascii="Arial" w:hAnsi="Arial" w:cs="Arial"/>
          <w:bCs/>
          <w:iCs/>
          <w:sz w:val="36"/>
        </w:rPr>
        <w:t>Dollar Dominance as Infrastructure</w:t>
      </w:r>
      <w:r w:rsidR="00F57042" w:rsidRPr="00F57042">
        <w:rPr>
          <w:rFonts w:ascii="Arial" w:hAnsi="Arial" w:cs="Arial"/>
          <w:bCs/>
          <w:iCs/>
          <w:sz w:val="36"/>
        </w:rPr>
        <w:t>: Functional Stratification in the Global Monetary System</w:t>
      </w:r>
    </w:p>
    <w:bookmarkEnd w:id="0"/>
    <w:p w14:paraId="755D1605" w14:textId="77777777" w:rsidR="00A258C3" w:rsidRPr="00790ADA" w:rsidRDefault="00A258C3" w:rsidP="00441B6F">
      <w:pPr>
        <w:pStyle w:val="Author"/>
        <w:spacing w:line="240" w:lineRule="auto"/>
        <w:jc w:val="both"/>
        <w:rPr>
          <w:rFonts w:ascii="Arial" w:hAnsi="Arial" w:cs="Arial"/>
          <w:sz w:val="36"/>
        </w:rPr>
      </w:pPr>
    </w:p>
    <w:p w14:paraId="4EE1ACF5" w14:textId="77777777" w:rsidR="00BF68CD" w:rsidRDefault="00BF68CD" w:rsidP="00441B6F">
      <w:pPr>
        <w:pStyle w:val="Copyright"/>
        <w:spacing w:after="0" w:line="240" w:lineRule="auto"/>
        <w:jc w:val="both"/>
        <w:rPr>
          <w:rFonts w:ascii="Arial" w:hAnsi="Arial" w:cs="Arial"/>
        </w:rPr>
      </w:pPr>
    </w:p>
    <w:p w14:paraId="4C145011" w14:textId="490B3AF5" w:rsidR="00B01FCD" w:rsidRPr="00FB3A86" w:rsidRDefault="00137DB2" w:rsidP="00441B6F">
      <w:pPr>
        <w:pStyle w:val="Copyright"/>
        <w:spacing w:after="0" w:line="240" w:lineRule="auto"/>
        <w:jc w:val="both"/>
        <w:rPr>
          <w:rFonts w:ascii="Arial" w:hAnsi="Arial" w:cs="Arial"/>
        </w:rPr>
        <w:sectPr w:rsidR="00B01FCD" w:rsidRPr="00FB3A86" w:rsidSect="00BF68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A84DEFE" wp14:editId="266B5EF6">
                <wp:extent cx="5303520" cy="635"/>
                <wp:effectExtent l="0" t="12700" r="5080" b="12065"/>
                <wp:docPr id="1358943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60F39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425085E6" w14:textId="2629B48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2DADB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43EF3C" w14:textId="77777777" w:rsidTr="001E44FE">
        <w:tc>
          <w:tcPr>
            <w:tcW w:w="9576" w:type="dxa"/>
            <w:shd w:val="clear" w:color="auto" w:fill="F2F2F2"/>
          </w:tcPr>
          <w:p w14:paraId="2B0F1FCE" w14:textId="1C96CD0B" w:rsidR="00505F06" w:rsidRPr="00BA1B01" w:rsidRDefault="00F57042" w:rsidP="00441B6F">
            <w:pPr>
              <w:pStyle w:val="Body"/>
              <w:spacing w:after="0"/>
              <w:rPr>
                <w:rFonts w:ascii="Arial" w:eastAsia="Calibri" w:hAnsi="Arial" w:cs="Arial"/>
                <w:szCs w:val="22"/>
              </w:rPr>
            </w:pPr>
            <w:r w:rsidRPr="00F57042">
              <w:rPr>
                <w:rFonts w:ascii="Arial" w:eastAsia="Calibri" w:hAnsi="Arial" w:cs="Arial"/>
                <w:szCs w:val="22"/>
              </w:rPr>
              <w:t>This paper reconceptualizes de-dollarization by shifting the focus from aggregate currency shares to the distinct monetary functions performed by the US dollar. Rather than treating currency power as uniform, it models the dollar as providing differentiated infrastructure across four roles: unit of account, medium of exchange, store of value, and financial anchoring. De-dollarization is therefore defined as functional bypass rather than generalized substitution. The paper develops a formal framework in which the feasibility of bypass varies across functions and is constrained by balance-sheet risk, safe-asset scarcity, settlement efficiency, and sudden-stop dynamics. A Functional De-Dollarization Index is introduced to summarize effective monetary sovereignty net of macro-financial stability costs. The analysis shows that substitution away from the dollar is relatively feasible in trade pricing and payments but sharply constrained in safe-asset and financial-anchoring roles, particularly in financially shallow economies. Premature or forced bypass in these domains generates nonlinear instability through currency mismatch, financing contractions, and settlement fragmentation. As a result, partial dollarization emerges as a second-best equilibrium that stabilizes output and capital flows under global risk shocks. The findings imply that dollar dominance persists not as uniform hegemony but as infrastructure power within a functionally layered international monetary system.</w:t>
            </w:r>
            <w:r w:rsidR="009B601C">
              <w:rPr>
                <w:rFonts w:ascii="Arial" w:eastAsia="Calibri" w:hAnsi="Arial" w:cs="Arial"/>
                <w:szCs w:val="22"/>
              </w:rPr>
              <w:t xml:space="preserve"> </w:t>
            </w:r>
          </w:p>
        </w:tc>
      </w:tr>
    </w:tbl>
    <w:p w14:paraId="0F3DC2FE" w14:textId="77777777" w:rsidR="00636EB2" w:rsidRDefault="00636EB2" w:rsidP="00441B6F">
      <w:pPr>
        <w:pStyle w:val="Body"/>
        <w:spacing w:after="0"/>
        <w:rPr>
          <w:rFonts w:ascii="Arial" w:hAnsi="Arial" w:cs="Arial"/>
          <w:i/>
        </w:rPr>
      </w:pPr>
    </w:p>
    <w:p w14:paraId="0F84145E" w14:textId="4C2F2EA7" w:rsidR="0024282C" w:rsidRPr="001C48A6" w:rsidRDefault="00A24E7E" w:rsidP="00441B6F">
      <w:pPr>
        <w:pStyle w:val="Body"/>
        <w:spacing w:after="0"/>
        <w:rPr>
          <w:rFonts w:ascii="Arial" w:hAnsi="Arial" w:cs="Arial"/>
          <w:i/>
        </w:rPr>
      </w:pPr>
      <w:r>
        <w:rPr>
          <w:rFonts w:ascii="Arial" w:hAnsi="Arial" w:cs="Arial"/>
          <w:i/>
        </w:rPr>
        <w:t xml:space="preserve">Keywords: </w:t>
      </w:r>
      <w:r w:rsidR="00B4676C" w:rsidRPr="003D3D22">
        <w:rPr>
          <w:rFonts w:ascii="Arial" w:hAnsi="Arial" w:cs="Arial"/>
          <w:i/>
        </w:rPr>
        <w:t>De-dollarization</w:t>
      </w:r>
      <w:r w:rsidR="00B4676C" w:rsidRPr="00B4676C">
        <w:rPr>
          <w:rFonts w:ascii="Arial" w:hAnsi="Arial" w:cs="Arial"/>
          <w:i/>
        </w:rPr>
        <w:t xml:space="preserve"> </w:t>
      </w:r>
      <w:r w:rsidR="00B4676C" w:rsidRPr="003D3D22">
        <w:rPr>
          <w:rFonts w:ascii="Arial" w:hAnsi="Arial" w:cs="Arial"/>
          <w:i/>
        </w:rPr>
        <w:t xml:space="preserve">Infrastructure power; </w:t>
      </w:r>
      <w:r w:rsidR="003D3D22" w:rsidRPr="003D3D22">
        <w:rPr>
          <w:rFonts w:ascii="Arial" w:hAnsi="Arial" w:cs="Arial"/>
          <w:i/>
        </w:rPr>
        <w:t xml:space="preserve">Dollar dominance; International monetary system; Payment systems; </w:t>
      </w:r>
      <w:r w:rsidR="00B4676C" w:rsidRPr="00B4676C">
        <w:rPr>
          <w:rFonts w:ascii="Arial" w:hAnsi="Arial" w:cs="Arial"/>
          <w:i/>
          <w:iCs/>
        </w:rPr>
        <w:t>Safe assets</w:t>
      </w:r>
    </w:p>
    <w:p w14:paraId="590E01C9" w14:textId="77777777" w:rsidR="00505F06" w:rsidRPr="00A24E7E" w:rsidRDefault="00505F06" w:rsidP="00441B6F">
      <w:pPr>
        <w:pStyle w:val="Body"/>
        <w:spacing w:after="0"/>
        <w:rPr>
          <w:rFonts w:ascii="Arial" w:hAnsi="Arial" w:cs="Arial"/>
          <w:i/>
        </w:rPr>
      </w:pPr>
    </w:p>
    <w:p w14:paraId="0967593C" w14:textId="250A2AB1" w:rsidR="007F7B32" w:rsidRDefault="00902823" w:rsidP="00441B6F">
      <w:pPr>
        <w:pStyle w:val="AbstHead"/>
        <w:spacing w:after="0"/>
        <w:jc w:val="both"/>
        <w:rPr>
          <w:rFonts w:ascii="Arial" w:hAnsi="Arial" w:cs="Arial"/>
        </w:rPr>
      </w:pPr>
      <w:r w:rsidRPr="009A248F">
        <w:rPr>
          <w:rFonts w:ascii="Arial" w:hAnsi="Arial" w:cs="Arial"/>
        </w:rPr>
        <w:t xml:space="preserve">1. </w:t>
      </w:r>
      <w:r w:rsidR="00B01FCD" w:rsidRPr="009A248F">
        <w:rPr>
          <w:rFonts w:ascii="Arial" w:hAnsi="Arial" w:cs="Arial"/>
        </w:rPr>
        <w:t>INTRODUCTION</w:t>
      </w:r>
      <w:r w:rsidR="007F7B32" w:rsidRPr="009A248F">
        <w:rPr>
          <w:rFonts w:ascii="Arial" w:hAnsi="Arial" w:cs="Arial"/>
        </w:rPr>
        <w:t xml:space="preserve"> </w:t>
      </w:r>
    </w:p>
    <w:p w14:paraId="638B9C0A" w14:textId="425068D4" w:rsidR="00EB042D" w:rsidRPr="009A248F" w:rsidRDefault="00EB042D" w:rsidP="00EB042D">
      <w:pPr>
        <w:pStyle w:val="NormalWeb"/>
        <w:rPr>
          <w:rStyle w:val="Strong"/>
          <w:rFonts w:ascii="Arial" w:eastAsiaTheme="majorEastAsia" w:hAnsi="Arial" w:cs="Arial"/>
          <w:color w:val="000000" w:themeColor="text1"/>
          <w:sz w:val="22"/>
          <w:szCs w:val="22"/>
        </w:rPr>
      </w:pPr>
      <w:r w:rsidRPr="009A248F">
        <w:rPr>
          <w:rStyle w:val="Strong"/>
          <w:rFonts w:ascii="Arial" w:eastAsiaTheme="majorEastAsia" w:hAnsi="Arial" w:cs="Arial"/>
          <w:color w:val="000000" w:themeColor="text1"/>
          <w:sz w:val="22"/>
          <w:szCs w:val="22"/>
        </w:rPr>
        <w:t>1.</w:t>
      </w:r>
      <w:r>
        <w:rPr>
          <w:rStyle w:val="Strong"/>
          <w:rFonts w:ascii="Arial" w:eastAsiaTheme="majorEastAsia" w:hAnsi="Arial" w:cs="Arial"/>
          <w:color w:val="000000" w:themeColor="text1"/>
          <w:sz w:val="22"/>
          <w:szCs w:val="22"/>
        </w:rPr>
        <w:t>1</w:t>
      </w:r>
      <w:r w:rsidRPr="009A248F">
        <w:rPr>
          <w:rStyle w:val="Strong"/>
          <w:rFonts w:ascii="Arial" w:eastAsiaTheme="majorEastAsia" w:hAnsi="Arial" w:cs="Arial"/>
          <w:color w:val="000000" w:themeColor="text1"/>
          <w:sz w:val="22"/>
          <w:szCs w:val="22"/>
        </w:rPr>
        <w:t xml:space="preserve">. </w:t>
      </w:r>
      <w:r>
        <w:rPr>
          <w:rStyle w:val="Strong"/>
          <w:rFonts w:ascii="Arial" w:eastAsiaTheme="majorEastAsia" w:hAnsi="Arial" w:cs="Arial"/>
          <w:color w:val="000000" w:themeColor="text1"/>
          <w:sz w:val="22"/>
          <w:szCs w:val="22"/>
        </w:rPr>
        <w:t>Introduction</w:t>
      </w:r>
    </w:p>
    <w:p w14:paraId="0836D6C3" w14:textId="1E1703E0" w:rsidR="003D3D22" w:rsidRPr="009A248F" w:rsidRDefault="003D3D22" w:rsidP="003D3D22">
      <w:pPr>
        <w:pStyle w:val="NormalWeb"/>
        <w:rPr>
          <w:rFonts w:ascii="Arial" w:hAnsi="Arial" w:cs="Arial"/>
          <w:color w:val="000000"/>
          <w:sz w:val="20"/>
          <w:szCs w:val="20"/>
        </w:rPr>
      </w:pPr>
      <w:r w:rsidRPr="009A248F">
        <w:rPr>
          <w:rFonts w:ascii="Arial" w:hAnsi="Arial" w:cs="Arial"/>
          <w:color w:val="000000"/>
          <w:sz w:val="20"/>
          <w:szCs w:val="20"/>
        </w:rPr>
        <w:t xml:space="preserve">Predictions of the </w:t>
      </w:r>
      <w:r w:rsidR="00AE6EED">
        <w:rPr>
          <w:rFonts w:ascii="Arial" w:hAnsi="Arial" w:cs="Arial"/>
          <w:color w:val="000000"/>
          <w:sz w:val="20"/>
          <w:szCs w:val="20"/>
        </w:rPr>
        <w:t>US</w:t>
      </w:r>
      <w:r w:rsidRPr="009A248F">
        <w:rPr>
          <w:rFonts w:ascii="Arial" w:hAnsi="Arial" w:cs="Arial"/>
          <w:color w:val="000000"/>
          <w:sz w:val="20"/>
          <w:szCs w:val="20"/>
        </w:rPr>
        <w:t xml:space="preserve"> dollar’s decline have accompanied nearly every major transformation of the international monetary system over the past half-century. Yet despite recurrent financial crises, rising geopolitical fragmentation, and the emergence of large non-Western economies, the dollar remains central to global trade, finance, and reserve holdings. This coexistence of persistent dollar dominance with intensifying de-dollarization rhetoric presents a fundamental puzzle for international economics and international political economy. Recent policy debates and market commentaries underscore this tension: trade wars, tariff escalation, and fiscal stress have repeatedly raised concerns about the durability of the dollar’s safe-haven role, even as global demand for dollar liquidity resurfaces during episodes of market stress (</w:t>
      </w:r>
      <w:r w:rsidR="004B2CE2">
        <w:rPr>
          <w:rFonts w:ascii="Arial" w:hAnsi="Arial" w:cs="Arial"/>
          <w:color w:val="000000"/>
          <w:sz w:val="20"/>
          <w:szCs w:val="20"/>
        </w:rPr>
        <w:t>Yoshimori</w:t>
      </w:r>
      <w:r w:rsidR="001844A3">
        <w:rPr>
          <w:rFonts w:ascii="Arial" w:hAnsi="Arial" w:cs="Arial"/>
          <w:color w:val="000000"/>
          <w:sz w:val="20"/>
          <w:szCs w:val="20"/>
        </w:rPr>
        <w:t xml:space="preserve">, </w:t>
      </w:r>
      <w:r w:rsidR="004B2CE2">
        <w:rPr>
          <w:rFonts w:ascii="Arial" w:hAnsi="Arial" w:cs="Arial"/>
          <w:color w:val="000000"/>
          <w:sz w:val="20"/>
          <w:szCs w:val="20"/>
        </w:rPr>
        <w:t>2025a).</w:t>
      </w:r>
    </w:p>
    <w:p w14:paraId="3AD9A06D" w14:textId="54079621" w:rsidR="003D3D22" w:rsidRPr="009A248F" w:rsidRDefault="003D3D22" w:rsidP="003D3D22">
      <w:pPr>
        <w:pStyle w:val="NormalWeb"/>
        <w:rPr>
          <w:rFonts w:ascii="Arial" w:hAnsi="Arial" w:cs="Arial"/>
          <w:color w:val="000000"/>
          <w:sz w:val="20"/>
          <w:szCs w:val="20"/>
        </w:rPr>
      </w:pPr>
      <w:r w:rsidRPr="009A248F">
        <w:rPr>
          <w:rFonts w:ascii="Arial" w:hAnsi="Arial" w:cs="Arial"/>
          <w:color w:val="000000"/>
          <w:sz w:val="20"/>
          <w:szCs w:val="20"/>
        </w:rPr>
        <w:t xml:space="preserve">Existing empirical approaches typically assess de-dollarization through changes in portfolio shares, such as the dollar’s share in foreign-exchange reserves or trade invoicing. While informative, this scalar perspective implicitly treats currency power as homogeneous across uses and overlooks the fact that international currencies perform multiple, functionally distinct roles. As a result, it struggles to explain why the dollar appears resilient in some </w:t>
      </w:r>
      <w:r w:rsidRPr="009A248F">
        <w:rPr>
          <w:rFonts w:ascii="Arial" w:hAnsi="Arial" w:cs="Arial"/>
          <w:color w:val="000000"/>
          <w:sz w:val="20"/>
          <w:szCs w:val="20"/>
        </w:rPr>
        <w:lastRenderedPageBreak/>
        <w:t xml:space="preserve">domains while being actively bypassed in others. Contemporary developments illustrate this limitation. Efforts to expand bilateral settlement arrangements, regional payment systems, and alternative liquidity facilities—most notably through China’s expanding network of currency swap lines—signal attempts to reduce reliance on the dollar in specific functions without fully displacing it as a global anchor </w:t>
      </w:r>
      <w:r w:rsidR="004B2CE2" w:rsidRPr="009A248F">
        <w:rPr>
          <w:rFonts w:ascii="Arial" w:hAnsi="Arial" w:cs="Arial"/>
          <w:color w:val="000000"/>
          <w:sz w:val="20"/>
          <w:szCs w:val="20"/>
        </w:rPr>
        <w:t>(</w:t>
      </w:r>
      <w:r w:rsidR="004B2CE2">
        <w:rPr>
          <w:rFonts w:ascii="Arial" w:hAnsi="Arial" w:cs="Arial"/>
          <w:color w:val="000000"/>
          <w:sz w:val="20"/>
          <w:szCs w:val="20"/>
        </w:rPr>
        <w:t>Yoshimori</w:t>
      </w:r>
      <w:r w:rsidR="001844A3">
        <w:rPr>
          <w:rFonts w:ascii="Arial" w:hAnsi="Arial" w:cs="Arial"/>
          <w:color w:val="000000"/>
          <w:sz w:val="20"/>
          <w:szCs w:val="20"/>
        </w:rPr>
        <w:t xml:space="preserve">, </w:t>
      </w:r>
      <w:r w:rsidR="004B2CE2">
        <w:rPr>
          <w:rFonts w:ascii="Arial" w:hAnsi="Arial" w:cs="Arial"/>
          <w:color w:val="000000"/>
          <w:sz w:val="20"/>
          <w:szCs w:val="20"/>
        </w:rPr>
        <w:t>2025b).</w:t>
      </w:r>
      <w:r w:rsidR="004B2CE2" w:rsidRPr="009A248F">
        <w:rPr>
          <w:rFonts w:ascii="Arial" w:hAnsi="Arial" w:cs="Arial"/>
          <w:color w:val="000000"/>
          <w:sz w:val="20"/>
          <w:szCs w:val="20"/>
        </w:rPr>
        <w:t xml:space="preserve"> </w:t>
      </w:r>
    </w:p>
    <w:p w14:paraId="49EC482B" w14:textId="63F27A70" w:rsidR="003D3D22" w:rsidRPr="009A248F" w:rsidRDefault="003D3D22" w:rsidP="003D3D22">
      <w:pPr>
        <w:pStyle w:val="NormalWeb"/>
        <w:rPr>
          <w:rFonts w:ascii="Arial" w:hAnsi="Arial" w:cs="Arial"/>
          <w:color w:val="000000"/>
          <w:sz w:val="20"/>
          <w:szCs w:val="20"/>
        </w:rPr>
      </w:pPr>
      <w:r w:rsidRPr="009A248F">
        <w:rPr>
          <w:rFonts w:ascii="Arial" w:hAnsi="Arial" w:cs="Arial"/>
          <w:color w:val="000000"/>
          <w:sz w:val="20"/>
          <w:szCs w:val="20"/>
        </w:rPr>
        <w:t xml:space="preserve">Dollar dominance is more accurately understood as functional rather than aggregate. The dollar operates simultaneously as a unit of account for trade pricing, a medium of exchange for cross-border settlement, a store of value for savings and reserves, and a financial anchor for debt denomination and hedging, consistent with classic analyses of vehicle currencies and monetary hierarchy (Kindleberger, 1973; Krugman, 1980). Each role is sustained by distinct institutional infrastructures, market depths, and political constraints. This functional differentiation helps explain why recent policy proposals—such as attempts to influence the dollar’s value through coordinated tariff and exchange-rate strategies—generate complex and sometimes counterproductive macroeconomic effects rather than straightforward erosion of dollar dominance </w:t>
      </w:r>
      <w:r w:rsidR="004B2CE2" w:rsidRPr="009A248F">
        <w:rPr>
          <w:rFonts w:ascii="Arial" w:hAnsi="Arial" w:cs="Arial"/>
          <w:color w:val="000000"/>
          <w:sz w:val="20"/>
          <w:szCs w:val="20"/>
        </w:rPr>
        <w:t>(</w:t>
      </w:r>
      <w:r w:rsidR="004B2CE2">
        <w:rPr>
          <w:rFonts w:ascii="Arial" w:hAnsi="Arial" w:cs="Arial"/>
          <w:color w:val="000000"/>
          <w:sz w:val="20"/>
          <w:szCs w:val="20"/>
        </w:rPr>
        <w:t>Yoshimori</w:t>
      </w:r>
      <w:r w:rsidR="001844A3">
        <w:rPr>
          <w:rFonts w:ascii="Arial" w:hAnsi="Arial" w:cs="Arial"/>
          <w:color w:val="000000"/>
          <w:sz w:val="20"/>
          <w:szCs w:val="20"/>
        </w:rPr>
        <w:t xml:space="preserve">, </w:t>
      </w:r>
      <w:r w:rsidR="004B2CE2">
        <w:rPr>
          <w:rFonts w:ascii="Arial" w:hAnsi="Arial" w:cs="Arial"/>
          <w:color w:val="000000"/>
          <w:sz w:val="20"/>
          <w:szCs w:val="20"/>
        </w:rPr>
        <w:t>2025c).</w:t>
      </w:r>
      <w:r w:rsidR="004B2CE2" w:rsidRPr="009A248F">
        <w:rPr>
          <w:rFonts w:ascii="Arial" w:hAnsi="Arial" w:cs="Arial"/>
          <w:color w:val="000000"/>
          <w:sz w:val="20"/>
          <w:szCs w:val="20"/>
        </w:rPr>
        <w:t xml:space="preserve"> </w:t>
      </w:r>
    </w:p>
    <w:p w14:paraId="089979E8" w14:textId="5E1C3209" w:rsidR="003D3D22" w:rsidRDefault="003D3D22" w:rsidP="003D3D22">
      <w:pPr>
        <w:pStyle w:val="NormalWeb"/>
        <w:rPr>
          <w:rFonts w:ascii="Arial" w:hAnsi="Arial" w:cs="Arial"/>
          <w:color w:val="000000"/>
          <w:sz w:val="20"/>
          <w:szCs w:val="20"/>
        </w:rPr>
      </w:pPr>
      <w:r w:rsidRPr="009A248F">
        <w:rPr>
          <w:rFonts w:ascii="Arial" w:hAnsi="Arial" w:cs="Arial"/>
          <w:color w:val="000000"/>
          <w:sz w:val="20"/>
          <w:szCs w:val="20"/>
        </w:rPr>
        <w:t xml:space="preserve">This perspective is particularly important for understanding dollarization in the Global South. In many emerging and developing economies, reliance on the dollar reflects not preference or policy inertia but the absence of credible domestic substitutes for globally interoperable settlement systems, deep financial markets, and reliable monetary anchors. A theoretical framework highlights that while substitution away from the dollar is feasible in pricing and payment functions, attempts to exit dollar-based financial-anchoring and store-of-value roles generate nonlinear instability in financially shallow economies, echoing modern accounts of dominant-currency equilibria and international monetary hierarchy (Gopinath </w:t>
      </w:r>
      <w:r w:rsidRPr="004B2CE2">
        <w:rPr>
          <w:rFonts w:ascii="Arial" w:hAnsi="Arial" w:cs="Arial"/>
          <w:i/>
          <w:iCs/>
          <w:color w:val="000000"/>
          <w:sz w:val="20"/>
          <w:szCs w:val="20"/>
        </w:rPr>
        <w:t>et al</w:t>
      </w:r>
      <w:r w:rsidRPr="009A248F">
        <w:rPr>
          <w:rFonts w:ascii="Arial" w:hAnsi="Arial" w:cs="Arial"/>
          <w:color w:val="000000"/>
          <w:sz w:val="20"/>
          <w:szCs w:val="20"/>
        </w:rPr>
        <w:t xml:space="preserve">., 2020; Farhi </w:t>
      </w:r>
      <w:r w:rsidR="004B2CE2">
        <w:rPr>
          <w:rFonts w:ascii="Arial" w:hAnsi="Arial" w:cs="Arial"/>
          <w:color w:val="000000"/>
          <w:sz w:val="20"/>
          <w:szCs w:val="20"/>
        </w:rPr>
        <w:t>and</w:t>
      </w:r>
      <w:r w:rsidRPr="009A248F">
        <w:rPr>
          <w:rFonts w:ascii="Arial" w:hAnsi="Arial" w:cs="Arial"/>
          <w:color w:val="000000"/>
          <w:sz w:val="20"/>
          <w:szCs w:val="20"/>
        </w:rPr>
        <w:t xml:space="preserve"> Maggiori, 2018). Partial dollarization therefore emerges as a second-best equilibrium that preserves macroeconomic and systemic stability, reframing dollar dominance as infrastructure power rather than uniform monetary hegemony.</w:t>
      </w:r>
    </w:p>
    <w:p w14:paraId="7AE49BDB" w14:textId="4297638B" w:rsidR="00D1532C" w:rsidRPr="00D1532C" w:rsidRDefault="004A4ED4" w:rsidP="003D3D22">
      <w:pPr>
        <w:pStyle w:val="NormalWeb"/>
        <w:rPr>
          <w:rFonts w:ascii="Arial" w:hAnsi="Arial" w:cs="Arial"/>
          <w:color w:val="000000"/>
          <w:sz w:val="20"/>
          <w:szCs w:val="20"/>
        </w:rPr>
      </w:pPr>
      <w:r w:rsidRPr="004A4ED4">
        <w:rPr>
          <w:rFonts w:ascii="Arial" w:hAnsi="Arial" w:cs="Arial"/>
          <w:color w:val="000000"/>
          <w:sz w:val="20"/>
          <w:szCs w:val="20"/>
        </w:rPr>
        <w:t>The US dollar performs multiple, functionally distinct roles in the international monetary system: as a unit of account (UA), a medium of exchange (MOE), a store of value (SOV), and a financial anchor (FA). Each role is sustained by different underlying infrastructures and therefore exhibits asymmetric substitutability across functions. As illustrated in Figure 1, substitution away from the dollar is relatively feasible in pricing and settlement functions, where coordination and payment technologies can partially replicate dollar services. By contrast, safety-critical and finance-critical roles—store of value and financial anchoring—remain tightly constrained by safe-asset scarcity, market depth, and hedging capacity. Dollar dominance thus reflects infrastructure power rather than uniform currency usage.</w:t>
      </w:r>
    </w:p>
    <w:p w14:paraId="1EEF195F" w14:textId="323B60F4" w:rsidR="008F197D" w:rsidRDefault="008F197D" w:rsidP="003D3D22">
      <w:pPr>
        <w:pStyle w:val="NormalWeb"/>
        <w:rPr>
          <w:rFonts w:ascii="Arial" w:hAnsi="Arial" w:cs="Arial"/>
          <w:b/>
          <w:bCs/>
          <w:color w:val="000000"/>
          <w:sz w:val="20"/>
          <w:szCs w:val="20"/>
        </w:rPr>
      </w:pPr>
      <w:r w:rsidRPr="008F197D">
        <w:rPr>
          <w:rFonts w:ascii="Arial" w:hAnsi="Arial" w:cs="Arial"/>
          <w:b/>
          <w:bCs/>
          <w:color w:val="000000"/>
          <w:sz w:val="20"/>
          <w:szCs w:val="20"/>
        </w:rPr>
        <w:t>Figure 1. Functional Decomposition of Dollar Dominance as Monetary Infrastructure</w:t>
      </w:r>
    </w:p>
    <w:p w14:paraId="71D09B0F" w14:textId="48642C31" w:rsidR="008F197D" w:rsidRPr="008F197D" w:rsidRDefault="00D1532C" w:rsidP="003D3D22">
      <w:pPr>
        <w:pStyle w:val="NormalWeb"/>
        <w:rPr>
          <w:rFonts w:ascii="Arial" w:hAnsi="Arial" w:cs="Arial"/>
          <w:b/>
          <w:bCs/>
          <w:color w:val="000000"/>
          <w:sz w:val="20"/>
          <w:szCs w:val="20"/>
        </w:rPr>
      </w:pPr>
      <w:r w:rsidRPr="00D1532C">
        <w:rPr>
          <w:rFonts w:ascii="Arial" w:hAnsi="Arial" w:cs="Arial"/>
          <w:b/>
          <w:bCs/>
          <w:noProof/>
          <w:color w:val="000000"/>
          <w:sz w:val="20"/>
          <w:szCs w:val="20"/>
        </w:rPr>
        <mc:AlternateContent>
          <mc:Choice Requires="wps">
            <w:drawing>
              <wp:anchor distT="0" distB="0" distL="114300" distR="114300" simplePos="0" relativeHeight="251670528" behindDoc="0" locked="0" layoutInCell="1" allowOverlap="1" wp14:anchorId="51D17841" wp14:editId="598A2A84">
                <wp:simplePos x="0" y="0"/>
                <wp:positionH relativeFrom="column">
                  <wp:posOffset>-1270</wp:posOffset>
                </wp:positionH>
                <wp:positionV relativeFrom="paragraph">
                  <wp:posOffset>4868</wp:posOffset>
                </wp:positionV>
                <wp:extent cx="1303655" cy="1015663"/>
                <wp:effectExtent l="0" t="0" r="4445" b="3810"/>
                <wp:wrapNone/>
                <wp:docPr id="1988527544" name="TextBox 2"/>
                <wp:cNvGraphicFramePr/>
                <a:graphic xmlns:a="http://schemas.openxmlformats.org/drawingml/2006/main">
                  <a:graphicData uri="http://schemas.microsoft.com/office/word/2010/wordprocessingShape">
                    <wps:wsp>
                      <wps:cNvSpPr txBox="1"/>
                      <wps:spPr>
                        <a:xfrm>
                          <a:off x="0" y="0"/>
                          <a:ext cx="1303655" cy="1015663"/>
                        </a:xfrm>
                        <a:prstGeom prst="rect">
                          <a:avLst/>
                        </a:prstGeom>
                        <a:solidFill>
                          <a:schemeClr val="accent5">
                            <a:lumMod val="20000"/>
                            <a:lumOff val="80000"/>
                          </a:schemeClr>
                        </a:solidFill>
                        <a:ln w="19050"/>
                      </wps:spPr>
                      <wps:txbx>
                        <w:txbxContent>
                          <w:p w14:paraId="5DA8C1D8"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Unit of Account (UA)</w:t>
                            </w:r>
                          </w:p>
                          <w:p w14:paraId="2E21693D"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 Trade pricing</w:t>
                            </w:r>
                          </w:p>
                          <w:p w14:paraId="52CF26F8"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 Invoicing networks</w:t>
                            </w:r>
                          </w:p>
                          <w:p w14:paraId="7016E1D1"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High substitutability</w:t>
                            </w:r>
                          </w:p>
                        </w:txbxContent>
                      </wps:txbx>
                      <wps:bodyPr wrap="square">
                        <a:spAutoFit/>
                      </wps:bodyPr>
                    </wps:wsp>
                  </a:graphicData>
                </a:graphic>
                <wp14:sizeRelH relativeFrom="margin">
                  <wp14:pctWidth>0</wp14:pctWidth>
                </wp14:sizeRelH>
              </wp:anchor>
            </w:drawing>
          </mc:Choice>
          <mc:Fallback>
            <w:pict>
              <v:shapetype w14:anchorId="51D17841" id="_x0000_t202" coordsize="21600,21600" o:spt="202" path="m,l,21600r21600,l21600,xe">
                <v:stroke joinstyle="miter"/>
                <v:path gradientshapeok="t" o:connecttype="rect"/>
              </v:shapetype>
              <v:shape id="TextBox 2" o:spid="_x0000_s1026" type="#_x0000_t202" style="position:absolute;margin-left:-.1pt;margin-top:.4pt;width:102.65pt;height:79.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" fillcolor="#daeef3 [664]" stroked="f" strokeweight="1.5pt">
                <v:textbox style="mso-fit-shape-to-text:t">
                  <w:txbxContent>
                    <w:p w14:paraId="5DA8C1D8"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Unit of Account (UA)</w:t>
                      </w:r>
                    </w:p>
                    <w:p w14:paraId="2E21693D"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 Trade pricing</w:t>
                      </w:r>
                    </w:p>
                    <w:p w14:paraId="52CF26F8"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 Invoicing networks</w:t>
                      </w:r>
                    </w:p>
                    <w:p w14:paraId="7016E1D1" w14:textId="77777777" w:rsidR="00D1532C" w:rsidRDefault="00D1532C" w:rsidP="00D1532C">
                      <w:pPr>
                        <w:rPr>
                          <w:rFonts w:ascii="Arial" w:hAnsi="Arial" w:cs="Arial"/>
                          <w:color w:val="000000" w:themeColor="text1"/>
                          <w:kern w:val="24"/>
                        </w:rPr>
                      </w:pPr>
                      <w:r>
                        <w:rPr>
                          <w:rFonts w:ascii="Arial" w:hAnsi="Arial" w:cs="Arial"/>
                          <w:color w:val="000000" w:themeColor="text1"/>
                          <w:kern w:val="24"/>
                        </w:rPr>
                        <w:t>High substitutability</w:t>
                      </w:r>
                    </w:p>
                  </w:txbxContent>
                </v:textbox>
              </v:shape>
            </w:pict>
          </mc:Fallback>
        </mc:AlternateContent>
      </w:r>
      <w:r w:rsidR="00C76EC0" w:rsidRPr="00C76EC0">
        <w:rPr>
          <w:rFonts w:ascii="Arial" w:hAnsi="Arial" w:cs="Arial"/>
          <w:noProof/>
          <w:color w:val="000000"/>
          <w:sz w:val="20"/>
          <w:szCs w:val="20"/>
        </w:rPr>
        <mc:AlternateContent>
          <mc:Choice Requires="wps">
            <w:drawing>
              <wp:anchor distT="0" distB="0" distL="114300" distR="114300" simplePos="0" relativeHeight="251664384" behindDoc="0" locked="0" layoutInCell="1" allowOverlap="1" wp14:anchorId="2F50F271" wp14:editId="0F616118">
                <wp:simplePos x="0" y="0"/>
                <wp:positionH relativeFrom="column">
                  <wp:posOffset>1369906</wp:posOffset>
                </wp:positionH>
                <wp:positionV relativeFrom="paragraph">
                  <wp:posOffset>6985</wp:posOffset>
                </wp:positionV>
                <wp:extent cx="1261533" cy="1015365"/>
                <wp:effectExtent l="0" t="0" r="0" b="0"/>
                <wp:wrapNone/>
                <wp:docPr id="4" name="TextBox 3"/>
                <wp:cNvGraphicFramePr/>
                <a:graphic xmlns:a="http://schemas.openxmlformats.org/drawingml/2006/main">
                  <a:graphicData uri="http://schemas.microsoft.com/office/word/2010/wordprocessingShape">
                    <wps:wsp>
                      <wps:cNvSpPr txBox="1"/>
                      <wps:spPr>
                        <a:xfrm>
                          <a:off x="0" y="0"/>
                          <a:ext cx="1261533" cy="1015365"/>
                        </a:xfrm>
                        <a:prstGeom prst="rect">
                          <a:avLst/>
                        </a:prstGeom>
                        <a:solidFill>
                          <a:srgbClr val="C6EFCE"/>
                        </a:solidFill>
                        <a:ln w="19050"/>
                      </wps:spPr>
                      <wps:txbx>
                        <w:txbxContent>
                          <w:p w14:paraId="219CED34"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Medium of Exchange (MOE)</w:t>
                            </w:r>
                          </w:p>
                          <w:p w14:paraId="1C44B245"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Settlement rails</w:t>
                            </w:r>
                          </w:p>
                          <w:p w14:paraId="1277B465"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Payment systems</w:t>
                            </w:r>
                          </w:p>
                          <w:p w14:paraId="15504A6E"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Medium–high substitutability</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2F50F271" id="TextBox 3" o:spid="_x0000_s1027" type="#_x0000_t202" style="position:absolute;margin-left:107.85pt;margin-top:.55pt;width:99.35pt;height:7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" fillcolor="#c6efce" stroked="f" strokeweight="1.5pt">
                <v:textbox style="mso-fit-shape-to-text:t">
                  <w:txbxContent>
                    <w:p w14:paraId="219CED34"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Medium of Exchange (MOE)</w:t>
                      </w:r>
                    </w:p>
                    <w:p w14:paraId="1C44B245"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Settlement rails</w:t>
                      </w:r>
                    </w:p>
                    <w:p w14:paraId="1277B465"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Payment systems</w:t>
                      </w:r>
                    </w:p>
                    <w:p w14:paraId="15504A6E"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Medium–high substitutability</w:t>
                      </w:r>
                    </w:p>
                  </w:txbxContent>
                </v:textbox>
              </v:shape>
            </w:pict>
          </mc:Fallback>
        </mc:AlternateContent>
      </w:r>
      <w:r w:rsidR="00C76EC0" w:rsidRPr="00C76EC0">
        <w:rPr>
          <w:rFonts w:ascii="Arial" w:hAnsi="Arial" w:cs="Arial"/>
          <w:noProof/>
          <w:color w:val="000000"/>
          <w:sz w:val="20"/>
          <w:szCs w:val="20"/>
        </w:rPr>
        <mc:AlternateContent>
          <mc:Choice Requires="wps">
            <w:drawing>
              <wp:anchor distT="0" distB="0" distL="114300" distR="114300" simplePos="0" relativeHeight="251666432" behindDoc="0" locked="0" layoutInCell="1" allowOverlap="1" wp14:anchorId="219E3621" wp14:editId="0DF185EC">
                <wp:simplePos x="0" y="0"/>
                <wp:positionH relativeFrom="column">
                  <wp:posOffset>2673350</wp:posOffset>
                </wp:positionH>
                <wp:positionV relativeFrom="paragraph">
                  <wp:posOffset>6985</wp:posOffset>
                </wp:positionV>
                <wp:extent cx="1100667" cy="1015365"/>
                <wp:effectExtent l="0" t="0" r="4445" b="3810"/>
                <wp:wrapNone/>
                <wp:docPr id="5" name="TextBox 4"/>
                <wp:cNvGraphicFramePr/>
                <a:graphic xmlns:a="http://schemas.openxmlformats.org/drawingml/2006/main">
                  <a:graphicData uri="http://schemas.microsoft.com/office/word/2010/wordprocessingShape">
                    <wps:wsp>
                      <wps:cNvSpPr txBox="1"/>
                      <wps:spPr>
                        <a:xfrm>
                          <a:off x="0" y="0"/>
                          <a:ext cx="1100667" cy="1015365"/>
                        </a:xfrm>
                        <a:prstGeom prst="rect">
                          <a:avLst/>
                        </a:prstGeom>
                        <a:solidFill>
                          <a:srgbClr val="FFE599"/>
                        </a:solidFill>
                        <a:ln w="19050"/>
                      </wps:spPr>
                      <wps:txbx>
                        <w:txbxContent>
                          <w:p w14:paraId="7021D0AA"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Store of Value (SOV)</w:t>
                            </w:r>
                          </w:p>
                          <w:p w14:paraId="5C4F046A"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Safe assets</w:t>
                            </w:r>
                          </w:p>
                          <w:p w14:paraId="5E694912"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Reserves</w:t>
                            </w:r>
                          </w:p>
                          <w:p w14:paraId="08252D54"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Low substitutability</w:t>
                            </w:r>
                          </w:p>
                        </w:txbxContent>
                      </wps:txbx>
                      <wps:bodyPr wrap="square">
                        <a:spAutoFit/>
                      </wps:bodyPr>
                    </wps:wsp>
                  </a:graphicData>
                </a:graphic>
                <wp14:sizeRelH relativeFrom="margin">
                  <wp14:pctWidth>0</wp14:pctWidth>
                </wp14:sizeRelH>
              </wp:anchor>
            </w:drawing>
          </mc:Choice>
          <mc:Fallback>
            <w:pict>
              <v:shape w14:anchorId="219E3621" id="TextBox 4" o:spid="_x0000_s1028" type="#_x0000_t202" style="position:absolute;margin-left:210.5pt;margin-top:.55pt;width:86.65pt;height:79.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" fillcolor="#ffe599" stroked="f" strokeweight="1.5pt">
                <v:textbox style="mso-fit-shape-to-text:t">
                  <w:txbxContent>
                    <w:p w14:paraId="7021D0AA"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Store of Value (SOV)</w:t>
                      </w:r>
                    </w:p>
                    <w:p w14:paraId="5C4F046A"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Safe assets</w:t>
                      </w:r>
                    </w:p>
                    <w:p w14:paraId="5E694912"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Reserves</w:t>
                      </w:r>
                    </w:p>
                    <w:p w14:paraId="08252D54"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Low substitutability</w:t>
                      </w:r>
                    </w:p>
                  </w:txbxContent>
                </v:textbox>
              </v:shape>
            </w:pict>
          </mc:Fallback>
        </mc:AlternateContent>
      </w:r>
      <w:r w:rsidR="00C76EC0" w:rsidRPr="00C76EC0">
        <w:rPr>
          <w:rFonts w:ascii="Arial" w:hAnsi="Arial" w:cs="Arial"/>
          <w:noProof/>
          <w:color w:val="000000"/>
          <w:sz w:val="20"/>
          <w:szCs w:val="20"/>
        </w:rPr>
        <mc:AlternateContent>
          <mc:Choice Requires="wps">
            <w:drawing>
              <wp:anchor distT="0" distB="0" distL="114300" distR="114300" simplePos="0" relativeHeight="251668480" behindDoc="0" locked="0" layoutInCell="1" allowOverlap="1" wp14:anchorId="79669A3A" wp14:editId="256B8688">
                <wp:simplePos x="0" y="0"/>
                <wp:positionH relativeFrom="column">
                  <wp:posOffset>3833284</wp:posOffset>
                </wp:positionH>
                <wp:positionV relativeFrom="paragraph">
                  <wp:posOffset>6562</wp:posOffset>
                </wp:positionV>
                <wp:extent cx="1388533" cy="1015365"/>
                <wp:effectExtent l="0" t="0" r="0" b="3810"/>
                <wp:wrapNone/>
                <wp:docPr id="6" name="TextBox 5"/>
                <wp:cNvGraphicFramePr/>
                <a:graphic xmlns:a="http://schemas.openxmlformats.org/drawingml/2006/main">
                  <a:graphicData uri="http://schemas.microsoft.com/office/word/2010/wordprocessingShape">
                    <wps:wsp>
                      <wps:cNvSpPr txBox="1"/>
                      <wps:spPr>
                        <a:xfrm>
                          <a:off x="0" y="0"/>
                          <a:ext cx="1388533" cy="1015365"/>
                        </a:xfrm>
                        <a:prstGeom prst="rect">
                          <a:avLst/>
                        </a:prstGeom>
                        <a:solidFill>
                          <a:srgbClr val="F4CCCC"/>
                        </a:solidFill>
                        <a:ln w="19050"/>
                      </wps:spPr>
                      <wps:txbx>
                        <w:txbxContent>
                          <w:p w14:paraId="4EC795E8"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Financial Anchoring (FA)</w:t>
                            </w:r>
                          </w:p>
                          <w:p w14:paraId="59CEBD19"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Debt denomination</w:t>
                            </w:r>
                          </w:p>
                          <w:p w14:paraId="6B393D6C"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Hedging markets</w:t>
                            </w:r>
                          </w:p>
                          <w:p w14:paraId="0DF6542B"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Very low substitutability</w:t>
                            </w:r>
                          </w:p>
                        </w:txbxContent>
                      </wps:txbx>
                      <wps:bodyPr wrap="square">
                        <a:spAutoFit/>
                      </wps:bodyPr>
                    </wps:wsp>
                  </a:graphicData>
                </a:graphic>
                <wp14:sizeRelH relativeFrom="margin">
                  <wp14:pctWidth>0</wp14:pctWidth>
                </wp14:sizeRelH>
              </wp:anchor>
            </w:drawing>
          </mc:Choice>
          <mc:Fallback>
            <w:pict>
              <v:shape w14:anchorId="79669A3A" id="TextBox 5" o:spid="_x0000_s1029" type="#_x0000_t202" style="position:absolute;margin-left:301.85pt;margin-top:.5pt;width:109.35pt;height:79.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" fillcolor="#f4cccc" stroked="f" strokeweight="1.5pt">
                <v:textbox style="mso-fit-shape-to-text:t">
                  <w:txbxContent>
                    <w:p w14:paraId="4EC795E8"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Financial Anchoring (FA)</w:t>
                      </w:r>
                    </w:p>
                    <w:p w14:paraId="59CEBD19"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Debt denomination</w:t>
                      </w:r>
                    </w:p>
                    <w:p w14:paraId="6B393D6C"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 Hedging markets</w:t>
                      </w:r>
                    </w:p>
                    <w:p w14:paraId="0DF6542B" w14:textId="77777777" w:rsidR="00C76EC0" w:rsidRDefault="00C76EC0" w:rsidP="00C76EC0">
                      <w:pPr>
                        <w:rPr>
                          <w:rFonts w:ascii="Arial" w:hAnsi="Arial" w:cs="Arial"/>
                          <w:color w:val="000000" w:themeColor="text1"/>
                          <w:kern w:val="24"/>
                        </w:rPr>
                      </w:pPr>
                      <w:r>
                        <w:rPr>
                          <w:rFonts w:ascii="Arial" w:hAnsi="Arial" w:cs="Arial"/>
                          <w:color w:val="000000" w:themeColor="text1"/>
                          <w:kern w:val="24"/>
                        </w:rPr>
                        <w:t>Very low substitutability</w:t>
                      </w:r>
                    </w:p>
                  </w:txbxContent>
                </v:textbox>
              </v:shape>
            </w:pict>
          </mc:Fallback>
        </mc:AlternateContent>
      </w:r>
      <w:r w:rsidR="008F197D">
        <w:rPr>
          <w:rFonts w:ascii="Arial" w:hAnsi="Arial" w:cs="Arial"/>
          <w:b/>
          <w:bCs/>
          <w:color w:val="000000"/>
          <w:sz w:val="20"/>
          <w:szCs w:val="20"/>
        </w:rPr>
        <w:t xml:space="preserve">  </w:t>
      </w:r>
    </w:p>
    <w:p w14:paraId="17B50363" w14:textId="71F58D25" w:rsidR="004A4ED4" w:rsidRDefault="004A4ED4" w:rsidP="003D3D22">
      <w:pPr>
        <w:pStyle w:val="NormalWeb"/>
        <w:rPr>
          <w:rFonts w:ascii="Arial" w:hAnsi="Arial" w:cs="Arial"/>
          <w:color w:val="000000"/>
          <w:sz w:val="20"/>
          <w:szCs w:val="20"/>
        </w:rPr>
      </w:pPr>
    </w:p>
    <w:p w14:paraId="7BFDDA9F" w14:textId="15ACFAB4" w:rsidR="00C76EC0" w:rsidRDefault="00C76EC0" w:rsidP="003D3D22">
      <w:pPr>
        <w:pStyle w:val="NormalWeb"/>
        <w:rPr>
          <w:rFonts w:ascii="Arial" w:hAnsi="Arial" w:cs="Arial"/>
          <w:color w:val="000000"/>
          <w:sz w:val="20"/>
          <w:szCs w:val="20"/>
        </w:rPr>
      </w:pPr>
    </w:p>
    <w:p w14:paraId="7DE6D24B" w14:textId="4CC90095" w:rsidR="009A248F" w:rsidRPr="009A248F" w:rsidRDefault="009A248F" w:rsidP="009A248F">
      <w:pPr>
        <w:pStyle w:val="NormalWeb"/>
        <w:rPr>
          <w:rStyle w:val="Strong"/>
          <w:rFonts w:ascii="Arial" w:eastAsiaTheme="majorEastAsia" w:hAnsi="Arial" w:cs="Arial"/>
          <w:color w:val="000000" w:themeColor="text1"/>
          <w:sz w:val="22"/>
          <w:szCs w:val="22"/>
        </w:rPr>
      </w:pPr>
      <w:r w:rsidRPr="009A248F">
        <w:rPr>
          <w:rStyle w:val="Strong"/>
          <w:rFonts w:ascii="Arial" w:eastAsiaTheme="majorEastAsia" w:hAnsi="Arial" w:cs="Arial"/>
          <w:color w:val="000000" w:themeColor="text1"/>
          <w:sz w:val="22"/>
          <w:szCs w:val="22"/>
        </w:rPr>
        <w:t>1.2. Literature Review</w:t>
      </w:r>
    </w:p>
    <w:p w14:paraId="14C4671F" w14:textId="08C15810" w:rsidR="00AE6EED" w:rsidRPr="00AE6EED" w:rsidRDefault="00AE6EED" w:rsidP="00AE6EED">
      <w:pPr>
        <w:pStyle w:val="NormalWeb"/>
        <w:rPr>
          <w:rFonts w:ascii="Arial" w:hAnsi="Arial" w:cs="Arial"/>
          <w:color w:val="000000"/>
          <w:sz w:val="20"/>
          <w:szCs w:val="20"/>
        </w:rPr>
      </w:pPr>
      <w:r w:rsidRPr="00AE6EED">
        <w:rPr>
          <w:rFonts w:ascii="Arial" w:hAnsi="Arial" w:cs="Arial"/>
          <w:color w:val="000000"/>
          <w:sz w:val="20"/>
          <w:szCs w:val="20"/>
        </w:rPr>
        <w:t xml:space="preserve">The literature on dollar dominance and de-dollarization spans international macroeconomics, international political economy (IPE), and international law, yet remains fragmented in its </w:t>
      </w:r>
      <w:r w:rsidRPr="00AE6EED">
        <w:rPr>
          <w:rFonts w:ascii="Arial" w:hAnsi="Arial" w:cs="Arial"/>
          <w:color w:val="000000"/>
          <w:sz w:val="20"/>
          <w:szCs w:val="20"/>
        </w:rPr>
        <w:lastRenderedPageBreak/>
        <w:t>treatment of functional heterogeneity across monetary roles. Existing work provides valuable insights into the persistence of the US dollar and recent diversification trends, but it lacks a unified framework capable of explaining why de-dollarization advances in some domains while remaining constrained in others—particularly in the Global South.</w:t>
      </w:r>
    </w:p>
    <w:p w14:paraId="4DB4DB0A" w14:textId="39BF78DD" w:rsidR="00AE6EED" w:rsidRPr="00AE6EED" w:rsidRDefault="00AE6EED" w:rsidP="00AE6EED">
      <w:pPr>
        <w:pStyle w:val="NormalWeb"/>
        <w:rPr>
          <w:rFonts w:ascii="Arial" w:hAnsi="Arial" w:cs="Arial"/>
          <w:color w:val="000000"/>
          <w:sz w:val="20"/>
          <w:szCs w:val="20"/>
        </w:rPr>
      </w:pPr>
      <w:r w:rsidRPr="00AE6EED">
        <w:rPr>
          <w:rFonts w:ascii="Arial" w:hAnsi="Arial" w:cs="Arial"/>
          <w:color w:val="000000"/>
          <w:sz w:val="20"/>
          <w:szCs w:val="20"/>
        </w:rPr>
        <w:t>A foundational strand examines why certain currencies achieve and retain international status. Early contributions emphasize network externalities and vehicle-currency dynamics in trade and payments (Krugman, 1980; Kindleberger, 1973). Subsequent studies highlight market depth, liquidity, and credibility as the structural foundations of currency leadership (Cohen, 1998; Eichengreen, 2011). More recent theoretical models formalize dollar dominance as a hierarchical equilibrium in which the issuer of the dominant currency supplies liquidity and insurance to the rest of the world (Gourinchas</w:t>
      </w:r>
      <w:r w:rsidR="0090416F">
        <w:rPr>
          <w:rFonts w:ascii="Arial" w:hAnsi="Arial" w:cs="Arial"/>
          <w:color w:val="000000"/>
          <w:sz w:val="20"/>
          <w:szCs w:val="20"/>
        </w:rPr>
        <w:t xml:space="preserve"> </w:t>
      </w:r>
      <w:r w:rsidR="0090416F" w:rsidRPr="0090416F">
        <w:rPr>
          <w:rFonts w:ascii="Arial" w:hAnsi="Arial" w:cs="Arial"/>
          <w:i/>
          <w:iCs/>
          <w:color w:val="000000"/>
          <w:sz w:val="20"/>
          <w:szCs w:val="20"/>
        </w:rPr>
        <w:t>et al</w:t>
      </w:r>
      <w:r w:rsidR="0090416F">
        <w:rPr>
          <w:rFonts w:ascii="Arial" w:hAnsi="Arial" w:cs="Arial"/>
          <w:color w:val="000000"/>
          <w:sz w:val="20"/>
          <w:szCs w:val="20"/>
        </w:rPr>
        <w:t>.</w:t>
      </w:r>
      <w:r w:rsidRPr="00AE6EED">
        <w:rPr>
          <w:rFonts w:ascii="Arial" w:hAnsi="Arial" w:cs="Arial"/>
          <w:color w:val="000000"/>
          <w:sz w:val="20"/>
          <w:szCs w:val="20"/>
        </w:rPr>
        <w:t>, 2017). Building on this line of work, Yoshimori (2024) emphasizes the institutional and infrastructural foundations of dollar dominance, arguing that its persistence reflects not merely inertia or network effects, but the dollar’s central role in supplying global monetary stability and deep financial infrastructure. While these contributions explain why the dollar remains dominant, they continue to treat dominance largely as an aggregate or scalar outcome, rather than as a configuration of distinct monetary functions.</w:t>
      </w:r>
    </w:p>
    <w:p w14:paraId="2E43F31D" w14:textId="3357AD9F" w:rsidR="00AE6EED" w:rsidRPr="00AE6EED" w:rsidRDefault="00AE6EED" w:rsidP="00AE6EED">
      <w:pPr>
        <w:pStyle w:val="NormalWeb"/>
        <w:rPr>
          <w:rFonts w:ascii="Arial" w:hAnsi="Arial" w:cs="Arial"/>
          <w:color w:val="000000"/>
          <w:sz w:val="20"/>
          <w:szCs w:val="20"/>
        </w:rPr>
      </w:pPr>
      <w:r w:rsidRPr="00AE6EED">
        <w:rPr>
          <w:rFonts w:ascii="Arial" w:hAnsi="Arial" w:cs="Arial"/>
          <w:color w:val="000000"/>
          <w:sz w:val="20"/>
          <w:szCs w:val="20"/>
        </w:rPr>
        <w:t xml:space="preserve">A second literature measures de-dollarization empirically through changes in the dollar’s share of foreign-exchange reserves, trade invoicing, or cross-border payments. This work documents gradual diversification toward the euro and, more recently, the renminbi, while noting that the dollar remains the dominant international currency (Chinn </w:t>
      </w:r>
      <w:r>
        <w:rPr>
          <w:rFonts w:ascii="Arial" w:hAnsi="Arial" w:cs="Arial"/>
          <w:color w:val="000000"/>
          <w:sz w:val="20"/>
          <w:szCs w:val="20"/>
        </w:rPr>
        <w:t>and</w:t>
      </w:r>
      <w:r w:rsidRPr="00AE6EED">
        <w:rPr>
          <w:rFonts w:ascii="Arial" w:hAnsi="Arial" w:cs="Arial"/>
          <w:color w:val="000000"/>
          <w:sz w:val="20"/>
          <w:szCs w:val="20"/>
        </w:rPr>
        <w:t xml:space="preserve"> Frankel, 2007; Eichengreen </w:t>
      </w:r>
      <w:r w:rsidR="0090416F" w:rsidRPr="0090416F">
        <w:rPr>
          <w:rFonts w:ascii="Arial" w:hAnsi="Arial" w:cs="Arial"/>
          <w:i/>
          <w:iCs/>
          <w:color w:val="000000"/>
          <w:sz w:val="20"/>
          <w:szCs w:val="20"/>
        </w:rPr>
        <w:t>et al</w:t>
      </w:r>
      <w:r w:rsidR="0090416F">
        <w:rPr>
          <w:rFonts w:ascii="Arial" w:hAnsi="Arial" w:cs="Arial"/>
          <w:color w:val="000000"/>
          <w:sz w:val="20"/>
          <w:szCs w:val="20"/>
        </w:rPr>
        <w:t>.</w:t>
      </w:r>
      <w:r w:rsidRPr="00AE6EED">
        <w:rPr>
          <w:rFonts w:ascii="Arial" w:hAnsi="Arial" w:cs="Arial"/>
          <w:color w:val="000000"/>
          <w:sz w:val="20"/>
          <w:szCs w:val="20"/>
        </w:rPr>
        <w:t xml:space="preserve">, 2019; Arslanalp </w:t>
      </w:r>
      <w:r w:rsidRPr="004B2CE2">
        <w:rPr>
          <w:rFonts w:ascii="Arial" w:hAnsi="Arial" w:cs="Arial"/>
          <w:i/>
          <w:iCs/>
          <w:color w:val="000000"/>
          <w:sz w:val="20"/>
          <w:szCs w:val="20"/>
        </w:rPr>
        <w:t>et al</w:t>
      </w:r>
      <w:r w:rsidRPr="00AE6EED">
        <w:rPr>
          <w:rFonts w:ascii="Arial" w:hAnsi="Arial" w:cs="Arial"/>
          <w:color w:val="000000"/>
          <w:sz w:val="20"/>
          <w:szCs w:val="20"/>
        </w:rPr>
        <w:t>., 2022). Recent policy analyses similarly emphasize the resilience of dollar dominance despite geopolitical tensions and active diversification efforts by BRICS economies (JPMorgan Global Research, 2025). However, these approaches implicitly assume that substitution is uniform across uses, making it difficult to explain why de-dollarization progresses in pricing and settlement but stalls in safe-asset holdings and debt denomination.</w:t>
      </w:r>
    </w:p>
    <w:p w14:paraId="7FD26943" w14:textId="3FD7EA4F" w:rsidR="00AE6EED" w:rsidRPr="00AE6EED" w:rsidRDefault="00AE6EED" w:rsidP="00AE6EED">
      <w:pPr>
        <w:pStyle w:val="NormalWeb"/>
        <w:rPr>
          <w:rFonts w:ascii="Arial" w:hAnsi="Arial" w:cs="Arial"/>
          <w:color w:val="000000"/>
          <w:sz w:val="20"/>
          <w:szCs w:val="20"/>
        </w:rPr>
      </w:pPr>
      <w:r w:rsidRPr="00AE6EED">
        <w:rPr>
          <w:rFonts w:ascii="Arial" w:hAnsi="Arial" w:cs="Arial"/>
          <w:color w:val="000000"/>
          <w:sz w:val="20"/>
          <w:szCs w:val="20"/>
        </w:rPr>
        <w:t>A third strand focuses on macro-financial stability in emerging markets. Research on sudden stops and currency mismatch shows that foreign-currency liabilities amplify output losses during global shocks (Calvo</w:t>
      </w:r>
      <w:r w:rsidR="0090416F">
        <w:rPr>
          <w:rFonts w:ascii="Arial" w:hAnsi="Arial" w:cs="Arial"/>
          <w:color w:val="000000"/>
          <w:sz w:val="20"/>
          <w:szCs w:val="20"/>
        </w:rPr>
        <w:t xml:space="preserve"> </w:t>
      </w:r>
      <w:r w:rsidR="0090416F" w:rsidRPr="0090416F">
        <w:rPr>
          <w:rFonts w:ascii="Arial" w:hAnsi="Arial" w:cs="Arial"/>
          <w:i/>
          <w:iCs/>
          <w:color w:val="000000"/>
          <w:sz w:val="20"/>
          <w:szCs w:val="20"/>
        </w:rPr>
        <w:t>et al</w:t>
      </w:r>
      <w:r w:rsidR="0090416F">
        <w:rPr>
          <w:rFonts w:ascii="Arial" w:hAnsi="Arial" w:cs="Arial"/>
          <w:color w:val="000000"/>
          <w:sz w:val="20"/>
          <w:szCs w:val="20"/>
        </w:rPr>
        <w:t>.</w:t>
      </w:r>
      <w:r w:rsidRPr="00AE6EED">
        <w:rPr>
          <w:rFonts w:ascii="Arial" w:hAnsi="Arial" w:cs="Arial"/>
          <w:color w:val="000000"/>
          <w:sz w:val="20"/>
          <w:szCs w:val="20"/>
        </w:rPr>
        <w:t xml:space="preserve">, 2008; Mendoza, 2010; Bénétrix </w:t>
      </w:r>
      <w:r w:rsidR="0090416F" w:rsidRPr="0090416F">
        <w:rPr>
          <w:rFonts w:ascii="Arial" w:hAnsi="Arial" w:cs="Arial"/>
          <w:i/>
          <w:iCs/>
          <w:color w:val="000000"/>
          <w:sz w:val="20"/>
          <w:szCs w:val="20"/>
        </w:rPr>
        <w:t>et al</w:t>
      </w:r>
      <w:r w:rsidR="0090416F">
        <w:rPr>
          <w:rFonts w:ascii="Arial" w:hAnsi="Arial" w:cs="Arial"/>
          <w:color w:val="000000"/>
          <w:sz w:val="20"/>
          <w:szCs w:val="20"/>
        </w:rPr>
        <w:t>.</w:t>
      </w:r>
      <w:r w:rsidRPr="00AE6EED">
        <w:rPr>
          <w:rFonts w:ascii="Arial" w:hAnsi="Arial" w:cs="Arial"/>
          <w:color w:val="000000"/>
          <w:sz w:val="20"/>
          <w:szCs w:val="20"/>
        </w:rPr>
        <w:t xml:space="preserve">, 2015). Complementary work on global safe-asset scarcity explains persistent demand for </w:t>
      </w:r>
      <w:r>
        <w:rPr>
          <w:rFonts w:ascii="Arial" w:hAnsi="Arial" w:cs="Arial"/>
          <w:color w:val="000000"/>
          <w:sz w:val="20"/>
          <w:szCs w:val="20"/>
        </w:rPr>
        <w:t>US</w:t>
      </w:r>
      <w:r w:rsidRPr="00AE6EED">
        <w:rPr>
          <w:rFonts w:ascii="Arial" w:hAnsi="Arial" w:cs="Arial"/>
          <w:color w:val="000000"/>
          <w:sz w:val="20"/>
          <w:szCs w:val="20"/>
        </w:rPr>
        <w:t xml:space="preserve"> Treasuries and other dollar assets (Caballero</w:t>
      </w:r>
      <w:r w:rsidR="0090416F">
        <w:rPr>
          <w:rFonts w:ascii="Arial" w:hAnsi="Arial" w:cs="Arial"/>
          <w:color w:val="000000"/>
          <w:sz w:val="20"/>
          <w:szCs w:val="20"/>
        </w:rPr>
        <w:t xml:space="preserve"> </w:t>
      </w:r>
      <w:r w:rsidR="0090416F" w:rsidRPr="0090416F">
        <w:rPr>
          <w:rFonts w:ascii="Arial" w:hAnsi="Arial" w:cs="Arial"/>
          <w:i/>
          <w:iCs/>
          <w:color w:val="000000"/>
          <w:sz w:val="20"/>
          <w:szCs w:val="20"/>
        </w:rPr>
        <w:t>et al</w:t>
      </w:r>
      <w:r w:rsidR="0090416F">
        <w:rPr>
          <w:rFonts w:ascii="Arial" w:hAnsi="Arial" w:cs="Arial"/>
          <w:color w:val="000000"/>
          <w:sz w:val="20"/>
          <w:szCs w:val="20"/>
        </w:rPr>
        <w:t>.</w:t>
      </w:r>
      <w:r w:rsidRPr="00AE6EED">
        <w:rPr>
          <w:rFonts w:ascii="Arial" w:hAnsi="Arial" w:cs="Arial"/>
          <w:color w:val="000000"/>
          <w:sz w:val="20"/>
          <w:szCs w:val="20"/>
        </w:rPr>
        <w:t>, 2017). While these studies clarify why dollar dependence can be stabilizing, they do not explicitly link financial fragility to the feasibility limits of de-dollarization across different monetary functions.</w:t>
      </w:r>
    </w:p>
    <w:p w14:paraId="461D255A" w14:textId="77777777" w:rsidR="00AE6EED" w:rsidRDefault="00AE6EED" w:rsidP="00AE6EED">
      <w:pPr>
        <w:pStyle w:val="NormalWeb"/>
        <w:rPr>
          <w:rFonts w:ascii="Arial" w:hAnsi="Arial" w:cs="Arial"/>
          <w:color w:val="000000"/>
          <w:sz w:val="20"/>
          <w:szCs w:val="20"/>
        </w:rPr>
      </w:pPr>
      <w:r w:rsidRPr="00AE6EED">
        <w:rPr>
          <w:rFonts w:ascii="Arial" w:hAnsi="Arial" w:cs="Arial"/>
          <w:color w:val="000000"/>
          <w:sz w:val="20"/>
          <w:szCs w:val="20"/>
        </w:rPr>
        <w:t>Finally, IPE scholarship emphasizes monetary power, hegemony, and coercion. Classic accounts highlight the political foundations of currency hierarchy (Cohen, 2015; Helleiner, 2008), while more recent work underscores the role of financial sanctions and legal jurisdiction in motivating de-dollarization initiatives (McDowell, 2019). Legal scholars further argue that dollar dominance is embedded in international legal and institutional arrangements shaping global monetary governance (Quintana, 2025). Related political-economy analyses of BRICS initiatives stress geopolitical motivations but acknowledge that concrete outcomes remain limited (Saaida, 2024; Zein, 2025). These perspectives, however, tend to overemphasize agency and intent, underplaying the infrastructural constraints that limit viable alternatives.</w:t>
      </w:r>
    </w:p>
    <w:p w14:paraId="05808E5C" w14:textId="47011C8F" w:rsidR="00A87FD8" w:rsidRPr="00AE6EED" w:rsidRDefault="00A87FD8" w:rsidP="00AE6EED">
      <w:pPr>
        <w:pStyle w:val="NormalWeb"/>
        <w:rPr>
          <w:rFonts w:ascii="Arial" w:hAnsi="Arial" w:cs="Arial"/>
          <w:color w:val="000000"/>
          <w:sz w:val="20"/>
          <w:szCs w:val="20"/>
        </w:rPr>
      </w:pPr>
      <w:r w:rsidRPr="00A87FD8">
        <w:rPr>
          <w:rFonts w:ascii="Arial" w:hAnsi="Arial" w:cs="Arial"/>
          <w:color w:val="000000"/>
          <w:sz w:val="20"/>
          <w:szCs w:val="20"/>
        </w:rPr>
        <w:t>Unlike the dominant currency paradigm (DCP), which emphasizes pricing externalities and aggregate dominance, this paper models substitutability across four distinct monetary functions—unit of account, medium of exchange, store of value, and financial anchoring—</w:t>
      </w:r>
      <w:r w:rsidRPr="00A87FD8">
        <w:rPr>
          <w:rFonts w:ascii="Arial" w:hAnsi="Arial" w:cs="Arial"/>
          <w:color w:val="000000"/>
          <w:sz w:val="20"/>
          <w:szCs w:val="20"/>
        </w:rPr>
        <w:lastRenderedPageBreak/>
        <w:t>each subject to function-specific feasibility bounds. Unlike the safe-asset scarcity literature, which explains persistent demand for dollar assets, this framework explicitly links scarcity to limits on de-dollarization in store-of-value and financial-anchoring functions. Finally, unlike IPE accounts that emphasize coercion, hierarchy, or strategic intent, the analysis centers on balance-sheet feasibility and the difficulty of replicating monetary infrastructure at scale.</w:t>
      </w:r>
    </w:p>
    <w:p w14:paraId="6695C477" w14:textId="36F03685" w:rsidR="00790ADA" w:rsidRPr="00AE6EED" w:rsidRDefault="00AE6EED" w:rsidP="00AE6EED">
      <w:pPr>
        <w:pStyle w:val="NormalWeb"/>
        <w:rPr>
          <w:rFonts w:ascii="Arial" w:hAnsi="Arial" w:cs="Arial"/>
          <w:color w:val="000000"/>
          <w:sz w:val="20"/>
          <w:szCs w:val="20"/>
        </w:rPr>
      </w:pPr>
      <w:r w:rsidRPr="00AE6EED">
        <w:rPr>
          <w:rFonts w:ascii="Arial" w:hAnsi="Arial" w:cs="Arial"/>
          <w:color w:val="000000"/>
          <w:sz w:val="20"/>
          <w:szCs w:val="20"/>
        </w:rPr>
        <w:t>This paper bridges these literatures by reconceptualizing dollar dominance as functional infrastructure rather than aggregate usage. It defines de-dollarization as functional bypass, shows that substitutability is asymmetric across monetary functions, and demonstrates why partial de-dollarization can be welfare-enhancing while comprehensive or forced exit generates nonlinear instability in financially shallow economies. In doing so, the paper offers a unified theoretical explanation for the persistence, fragmentation, and uneven geography of de-dollarization in the contemporary international monetary system.</w:t>
      </w:r>
    </w:p>
    <w:p w14:paraId="6FBB8629" w14:textId="22E4E082" w:rsidR="00A2278D" w:rsidRPr="00180480" w:rsidRDefault="00A2278D" w:rsidP="00A2278D">
      <w:pPr>
        <w:pStyle w:val="Heading1"/>
        <w:rPr>
          <w:rFonts w:cs="Arial"/>
          <w:color w:val="000000"/>
          <w:sz w:val="22"/>
          <w:szCs w:val="22"/>
        </w:rPr>
      </w:pPr>
      <w:r w:rsidRPr="00180480">
        <w:rPr>
          <w:rFonts w:cs="Arial"/>
          <w:color w:val="000000"/>
          <w:sz w:val="22"/>
          <w:szCs w:val="22"/>
        </w:rPr>
        <w:t xml:space="preserve">2. </w:t>
      </w:r>
      <w:r w:rsidR="005D0D91" w:rsidRPr="005D0D91">
        <w:rPr>
          <w:rFonts w:cs="Arial"/>
          <w:bCs/>
          <w:color w:val="000000"/>
          <w:sz w:val="22"/>
          <w:szCs w:val="22"/>
        </w:rPr>
        <w:t>Material and methods</w:t>
      </w:r>
    </w:p>
    <w:p w14:paraId="1DBB5776" w14:textId="4B4FD94D" w:rsidR="00D352A2" w:rsidRPr="00D352A2" w:rsidRDefault="00A2278D" w:rsidP="00D352A2">
      <w:pPr>
        <w:pStyle w:val="Heading2"/>
        <w:rPr>
          <w:rFonts w:ascii="Arial" w:hAnsi="Arial" w:cs="Arial"/>
          <w:b/>
          <w:bCs/>
          <w:color w:val="000000"/>
          <w:sz w:val="20"/>
          <w:szCs w:val="20"/>
        </w:rPr>
      </w:pPr>
      <w:r w:rsidRPr="00EB042D">
        <w:rPr>
          <w:rFonts w:ascii="Arial" w:hAnsi="Arial" w:cs="Arial"/>
          <w:b/>
          <w:bCs/>
          <w:color w:val="000000"/>
          <w:sz w:val="20"/>
          <w:szCs w:val="20"/>
        </w:rPr>
        <w:t>2.1 Functional Dollarization as Infrastructure Power, Not Portfolio Choice</w:t>
      </w:r>
    </w:p>
    <w:p w14:paraId="0D557372" w14:textId="580EEDE1"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Standard measures of de-dollarization track changes in the US dollar’s share of foreign-exchange reserves, trade invoicing, or cross-border financial assets. While informative, these metrics implicitly treat currency power as homogeneous across uses and interpret persistent dollar dominance as a consequence of preference, inertia, or coercion. For much of the Global South, this premise is misleading. The dollar functions less as a discretionary portfolio choice and more as macroeconomic infrastructure.</w:t>
      </w:r>
    </w:p>
    <w:p w14:paraId="223A9849" w14:textId="0F9011A4"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Specifically, the dollar supplies four distinct services to the international monetary system:</w:t>
      </w:r>
      <w:r>
        <w:rPr>
          <w:rFonts w:ascii="Arial" w:hAnsi="Arial" w:cs="Arial"/>
          <w:color w:val="000000"/>
          <w:lang w:eastAsia="ja-JP"/>
        </w:rPr>
        <w:t xml:space="preserve"> 1</w:t>
      </w:r>
      <w:r w:rsidRPr="00D352A2">
        <w:rPr>
          <w:rFonts w:ascii="Arial" w:hAnsi="Arial" w:cs="Arial"/>
          <w:color w:val="000000"/>
          <w:lang w:eastAsia="ja-JP"/>
        </w:rPr>
        <w:t>) a unit of account for tradables pricing,</w:t>
      </w:r>
      <w:r>
        <w:rPr>
          <w:rFonts w:ascii="Arial" w:hAnsi="Arial" w:cs="Arial"/>
          <w:color w:val="000000"/>
          <w:lang w:eastAsia="ja-JP"/>
        </w:rPr>
        <w:t xml:space="preserve"> 2</w:t>
      </w:r>
      <w:r w:rsidRPr="00D352A2">
        <w:rPr>
          <w:rFonts w:ascii="Arial" w:hAnsi="Arial" w:cs="Arial"/>
          <w:color w:val="000000"/>
          <w:lang w:eastAsia="ja-JP"/>
        </w:rPr>
        <w:t>) settlement rails embedded in correspondent banking networks, legal jurisdiction, and compliance regimes,</w:t>
      </w:r>
      <w:r>
        <w:rPr>
          <w:rFonts w:ascii="Arial" w:hAnsi="Arial" w:cs="Arial"/>
          <w:color w:val="000000"/>
          <w:lang w:eastAsia="ja-JP"/>
        </w:rPr>
        <w:t xml:space="preserve"> 3</w:t>
      </w:r>
      <w:r w:rsidRPr="00D352A2">
        <w:rPr>
          <w:rFonts w:ascii="Arial" w:hAnsi="Arial" w:cs="Arial"/>
          <w:color w:val="000000"/>
          <w:lang w:eastAsia="ja-JP"/>
        </w:rPr>
        <w:t>) scalable safe-asset capacity for private savings and official reserves, and</w:t>
      </w:r>
      <w:r>
        <w:rPr>
          <w:rFonts w:ascii="Arial" w:hAnsi="Arial" w:cs="Arial"/>
          <w:color w:val="000000"/>
          <w:lang w:eastAsia="ja-JP"/>
        </w:rPr>
        <w:t xml:space="preserve"> 4</w:t>
      </w:r>
      <w:r w:rsidRPr="00D352A2">
        <w:rPr>
          <w:rFonts w:ascii="Arial" w:hAnsi="Arial" w:cs="Arial"/>
          <w:color w:val="000000"/>
          <w:lang w:eastAsia="ja-JP"/>
        </w:rPr>
        <w:t>) deep balance-sheet and hedging markets that anchor external finance.</w:t>
      </w:r>
    </w:p>
    <w:p w14:paraId="3CF0E104"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In international political economy terms, the dollar’s advantage is therefore not reducible to hegemonic command. Rather, it reflects infrastructure power: the capacity to define and provide the operating system for contracts, clearing, collateral, and risk management at global scale.</w:t>
      </w:r>
    </w:p>
    <w:p w14:paraId="7FF52EA4"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Let international monetary functions be indexed by</w:t>
      </w:r>
    </w:p>
    <w:p w14:paraId="7C0B41C2" w14:textId="21E32B87" w:rsidR="00D352A2" w:rsidRPr="00D352A2" w:rsidRDefault="00D352A2" w:rsidP="00D352A2">
      <w:pPr>
        <w:rPr>
          <w:rFonts w:ascii="Arial" w:hAnsi="Arial" w:cs="Arial"/>
          <w:lang w:eastAsia="ja-JP"/>
        </w:rPr>
      </w:pPr>
      <m:oMathPara>
        <m:oMath>
          <m:r>
            <w:rPr>
              <w:rFonts w:ascii="Cambria Math" w:hAnsi="Cambria Math" w:cs="Arial"/>
              <w:lang w:eastAsia="ja-JP"/>
            </w:rPr>
            <m:t>f∈{</m:t>
          </m:r>
          <m:r>
            <m:rPr>
              <m:nor/>
            </m:rPr>
            <w:rPr>
              <w:rFonts w:ascii="Arial" w:hAnsi="Arial" w:cs="Arial"/>
              <w:i/>
              <w:iCs/>
              <w:lang w:eastAsia="ja-JP"/>
            </w:rPr>
            <m:t>UA</m:t>
          </m:r>
          <m:r>
            <w:rPr>
              <w:rFonts w:ascii="Cambria Math" w:hAnsi="Cambria Math" w:cs="Arial"/>
              <w:lang w:eastAsia="ja-JP"/>
            </w:rPr>
            <m:t>,</m:t>
          </m:r>
          <m:r>
            <m:rPr>
              <m:nor/>
            </m:rPr>
            <w:rPr>
              <w:rFonts w:ascii="Arial" w:hAnsi="Arial" w:cs="Arial"/>
              <w:i/>
              <w:iCs/>
              <w:lang w:eastAsia="ja-JP"/>
            </w:rPr>
            <m:t>MOE</m:t>
          </m:r>
          <m:r>
            <w:rPr>
              <w:rFonts w:ascii="Cambria Math" w:hAnsi="Cambria Math" w:cs="Arial"/>
              <w:lang w:eastAsia="ja-JP"/>
            </w:rPr>
            <m:t>,</m:t>
          </m:r>
          <m:r>
            <m:rPr>
              <m:nor/>
            </m:rPr>
            <w:rPr>
              <w:rFonts w:ascii="Arial" w:hAnsi="Arial" w:cs="Arial"/>
              <w:i/>
              <w:iCs/>
              <w:lang w:eastAsia="ja-JP"/>
            </w:rPr>
            <m:t>SOV</m:t>
          </m:r>
          <m:r>
            <w:rPr>
              <w:rFonts w:ascii="Cambria Math" w:hAnsi="Cambria Math" w:cs="Arial"/>
              <w:lang w:eastAsia="ja-JP"/>
            </w:rPr>
            <m:t>,</m:t>
          </m:r>
          <m:r>
            <m:rPr>
              <m:nor/>
            </m:rPr>
            <w:rPr>
              <w:rFonts w:ascii="Arial" w:hAnsi="Arial" w:cs="Arial"/>
              <w:i/>
              <w:iCs/>
              <w:lang w:eastAsia="ja-JP"/>
            </w:rPr>
            <m:t>FA</m:t>
          </m:r>
          <m:r>
            <w:rPr>
              <w:rFonts w:ascii="Cambria Math" w:hAnsi="Cambria Math" w:cs="Arial"/>
              <w:lang w:eastAsia="ja-JP"/>
            </w:rPr>
            <m:t>}</m:t>
          </m:r>
          <m:r>
            <m:rPr>
              <m:sty m:val="p"/>
            </m:rPr>
            <w:rPr>
              <w:rFonts w:ascii="Arial" w:hAnsi="Arial" w:cs="Arial"/>
              <w:lang w:eastAsia="ja-JP"/>
            </w:rPr>
            <w:br/>
          </m:r>
        </m:oMath>
      </m:oMathPara>
    </w:p>
    <w:p w14:paraId="56E6BD2A"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corresponding to unit of account, medium of exchange, store of value, and financial anchoring. In country </w:t>
      </w:r>
      <m:oMath>
        <m:r>
          <w:rPr>
            <w:rFonts w:ascii="Cambria Math" w:hAnsi="Cambria Math" w:cs="Arial"/>
            <w:lang w:eastAsia="ja-JP"/>
          </w:rPr>
          <m:t>i</m:t>
        </m:r>
      </m:oMath>
      <w:r w:rsidRPr="00D352A2">
        <w:rPr>
          <w:rFonts w:ascii="Arial" w:hAnsi="Arial" w:cs="Arial"/>
          <w:color w:val="000000"/>
          <w:lang w:eastAsia="ja-JP"/>
        </w:rPr>
        <w:t> at time </w:t>
      </w:r>
      <m:oMath>
        <m:r>
          <w:rPr>
            <w:rFonts w:ascii="Cambria Math" w:hAnsi="Cambria Math" w:cs="Arial"/>
            <w:lang w:eastAsia="ja-JP"/>
          </w:rPr>
          <m:t>t</m:t>
        </m:r>
      </m:oMath>
      <w:r w:rsidRPr="00D352A2">
        <w:rPr>
          <w:rFonts w:ascii="Arial" w:hAnsi="Arial" w:cs="Arial"/>
          <w:color w:val="000000"/>
          <w:lang w:eastAsia="ja-JP"/>
        </w:rPr>
        <w:t>, economic agents choose a currency–technology bundle </w:t>
      </w:r>
      <m:oMath>
        <m:r>
          <w:rPr>
            <w:rFonts w:ascii="Cambria Math" w:hAnsi="Cambria Math" w:cs="Arial"/>
            <w:lang w:eastAsia="ja-JP"/>
          </w:rPr>
          <m:t>c</m:t>
        </m:r>
      </m:oMath>
      <w:r w:rsidRPr="00D352A2">
        <w:rPr>
          <w:rFonts w:ascii="Arial" w:hAnsi="Arial" w:cs="Arial"/>
          <w:color w:val="000000"/>
          <w:lang w:eastAsia="ja-JP"/>
        </w:rPr>
        <w:t> for each function </w:t>
      </w:r>
      <m:oMath>
        <m:r>
          <w:rPr>
            <w:rFonts w:ascii="Cambria Math" w:hAnsi="Cambria Math" w:cs="Arial"/>
            <w:lang w:eastAsia="ja-JP"/>
          </w:rPr>
          <m:t>f</m:t>
        </m:r>
      </m:oMath>
      <w:r w:rsidRPr="00D352A2">
        <w:rPr>
          <w:rFonts w:ascii="Arial" w:hAnsi="Arial" w:cs="Arial"/>
          <w:color w:val="000000"/>
          <w:lang w:eastAsia="ja-JP"/>
        </w:rPr>
        <w:t> to maximize net functional surplus:</w:t>
      </w:r>
    </w:p>
    <w:p w14:paraId="6CF3E0AD" w14:textId="3B1E1FF9" w:rsidR="00D352A2" w:rsidRPr="00D352A2" w:rsidRDefault="00C96DFF" w:rsidP="00D352A2">
      <w:pPr>
        <w:rPr>
          <w:rFonts w:ascii="Arial" w:hAnsi="Arial" w:cs="Arial"/>
          <w:lang w:eastAsia="ja-JP"/>
        </w:rPr>
      </w:pPr>
      <m:oMathPara>
        <m:oMath>
          <m:sSub>
            <m:sSubPr>
              <m:ctrlPr>
                <w:rPr>
                  <w:rFonts w:ascii="Cambria Math" w:hAnsi="Cambria Math" w:cs="Arial"/>
                  <w:lang w:eastAsia="ja-JP"/>
                </w:rPr>
              </m:ctrlPr>
            </m:sSubPr>
            <m:e>
              <m:r>
                <m:rPr>
                  <m:sty m:val="p"/>
                </m:rPr>
                <w:rPr>
                  <w:rFonts w:ascii="Cambria Math" w:hAnsi="Cambria Math" w:cs="Arial"/>
                  <w:lang w:eastAsia="ja-JP"/>
                </w:rPr>
                <m:t>Π</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θ</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r>
            <m:rPr>
              <m:nor/>
            </m:rPr>
            <w:rPr>
              <w:rFonts w:ascii="Arial" w:hAnsi="Arial" w:cs="Arial"/>
              <w:lang w:eastAsia="ja-JP"/>
            </w:rPr>
            <m:t> </m:t>
          </m:r>
          <m:sSub>
            <m:sSubPr>
              <m:ctrlPr>
                <w:rPr>
                  <w:rFonts w:ascii="Cambria Math" w:hAnsi="Cambria Math" w:cs="Arial"/>
                  <w:lang w:eastAsia="ja-JP"/>
                </w:rPr>
              </m:ctrlPr>
            </m:sSub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κ</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ρ</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r>
            <m:rPr>
              <m:sty m:val="p"/>
            </m:rPr>
            <w:rPr>
              <w:rFonts w:ascii="Arial" w:hAnsi="Arial" w:cs="Arial"/>
              <w:lang w:eastAsia="ja-JP"/>
            </w:rPr>
            <w:br/>
          </m:r>
        </m:oMath>
      </m:oMathPara>
    </w:p>
    <w:p w14:paraId="0D71F320" w14:textId="55A3FC2E" w:rsidR="00BF545E" w:rsidRDefault="00BF545E" w:rsidP="00D352A2">
      <w:pPr>
        <w:spacing w:before="100" w:beforeAutospacing="1" w:after="100" w:afterAutospacing="1"/>
        <w:rPr>
          <w:rFonts w:ascii="Arial" w:hAnsi="Arial" w:cs="Arial"/>
          <w:color w:val="000000"/>
          <w:lang w:eastAsia="ja-JP"/>
        </w:rPr>
      </w:pPr>
      <w:r w:rsidRPr="00BF545E">
        <w:rPr>
          <w:rFonts w:ascii="Arial" w:hAnsi="Arial" w:cs="Arial"/>
          <w:color w:val="000000"/>
          <w:lang w:eastAsia="ja-JP"/>
        </w:rPr>
        <w:t xml:space="preserve">This formulation applies the logic of Akerlof (1970), in which agents choose among imperfect substitutes under quality uncertainty and asymmetric information. In this setting, currencies and monetary technologies differ not only in observable transactional characteristics but also </w:t>
      </w:r>
      <w:r w:rsidRPr="00BF545E">
        <w:rPr>
          <w:rFonts w:ascii="Arial" w:hAnsi="Arial" w:cs="Arial"/>
          <w:color w:val="000000"/>
          <w:lang w:eastAsia="ja-JP"/>
        </w:rPr>
        <w:lastRenderedPageBreak/>
        <w:t>in latent institutional quality and risk, giving rise to endogenous selection across monetary functions.</w:t>
      </w:r>
    </w:p>
    <w:p w14:paraId="62FF46AE" w14:textId="0CE377A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Here, </w:t>
      </w:r>
      <m:oMath>
        <m:sSub>
          <m:sSubPr>
            <m:ctrlPr>
              <w:rPr>
                <w:rFonts w:ascii="Cambria Math" w:hAnsi="Cambria Math" w:cs="Arial"/>
                <w:lang w:eastAsia="ja-JP"/>
              </w:rPr>
            </m:ctrlPr>
          </m:sSubPr>
          <m:e>
            <m:r>
              <w:rPr>
                <w:rFonts w:ascii="Cambria Math" w:hAnsi="Cambria Math" w:cs="Arial"/>
                <w:lang w:eastAsia="ja-JP"/>
              </w:rPr>
              <m:t>θ</m:t>
            </m:r>
          </m:e>
          <m:sub>
            <m:r>
              <w:rPr>
                <w:rFonts w:ascii="Cambria Math" w:hAnsi="Cambria Math" w:cs="Arial"/>
                <w:lang w:eastAsia="ja-JP"/>
              </w:rPr>
              <m:t>i,t</m:t>
            </m:r>
          </m:sub>
        </m:sSub>
        <m:r>
          <w:rPr>
            <w:rFonts w:ascii="Cambria Math" w:hAnsi="Cambria Math" w:cs="Arial"/>
            <w:lang w:eastAsia="ja-JP"/>
          </w:rPr>
          <m:t>(f)</m:t>
        </m:r>
      </m:oMath>
      <w:r w:rsidRPr="00D352A2">
        <w:rPr>
          <w:rFonts w:ascii="Arial" w:hAnsi="Arial" w:cs="Arial"/>
          <w:color w:val="000000"/>
          <w:lang w:eastAsia="ja-JP"/>
        </w:rPr>
        <w:t> captures the macroeconomic importance of function </w:t>
      </w:r>
      <m:oMath>
        <m:r>
          <w:rPr>
            <w:rFonts w:ascii="Cambria Math" w:hAnsi="Cambria Math" w:cs="Arial"/>
            <w:lang w:eastAsia="ja-JP"/>
          </w:rPr>
          <m:t>f</m:t>
        </m:r>
      </m:oMath>
      <w:r w:rsidRPr="00D352A2">
        <w:rPr>
          <w:rFonts w:ascii="Arial" w:hAnsi="Arial" w:cs="Arial"/>
          <w:color w:val="000000"/>
          <w:lang w:eastAsia="ja-JP"/>
        </w:rPr>
        <w:t>. The term </w:t>
      </w:r>
      <m:oMath>
        <m:sSub>
          <m:sSubPr>
            <m:ctrlPr>
              <w:rPr>
                <w:rFonts w:ascii="Cambria Math" w:hAnsi="Cambria Math" w:cs="Arial"/>
                <w:lang w:eastAsia="ja-JP"/>
              </w:rPr>
            </m:ctrlPr>
          </m:sSubPr>
          <m:e>
            <m:r>
              <w:rPr>
                <w:rFonts w:ascii="Cambria Math" w:hAnsi="Cambria Math" w:cs="Arial"/>
                <w:lang w:eastAsia="ja-JP"/>
              </w:rPr>
              <m:t>I</m:t>
            </m:r>
          </m:e>
          <m:sub>
            <m:r>
              <w:rPr>
                <w:rFonts w:ascii="Cambria Math" w:hAnsi="Cambria Math" w:cs="Arial"/>
                <w:lang w:eastAsia="ja-JP"/>
              </w:rPr>
              <m:t>i,t</m:t>
            </m:r>
          </m:sub>
        </m:sSub>
        <m:r>
          <w:rPr>
            <w:rFonts w:ascii="Cambria Math" w:hAnsi="Cambria Math" w:cs="Arial"/>
            <w:lang w:eastAsia="ja-JP"/>
          </w:rPr>
          <m:t>(c,f)</m:t>
        </m:r>
      </m:oMath>
      <w:r w:rsidRPr="00D352A2">
        <w:rPr>
          <w:rFonts w:ascii="Arial" w:hAnsi="Arial" w:cs="Arial"/>
          <w:color w:val="000000"/>
          <w:lang w:eastAsia="ja-JP"/>
        </w:rPr>
        <w:t> measures compatibility with the monetary infrastructure required to perform function </w:t>
      </w:r>
      <m:oMath>
        <m:r>
          <w:rPr>
            <w:rFonts w:ascii="Cambria Math" w:hAnsi="Cambria Math" w:cs="Arial"/>
            <w:lang w:eastAsia="ja-JP"/>
          </w:rPr>
          <m:t>f</m:t>
        </m:r>
      </m:oMath>
      <w:r w:rsidRPr="00D352A2">
        <w:rPr>
          <w:rFonts w:ascii="Arial" w:hAnsi="Arial" w:cs="Arial"/>
          <w:color w:val="000000"/>
          <w:lang w:eastAsia="ja-JP"/>
        </w:rPr>
        <w:t>, encompassing settlement reliability, legal enforceability, market depth, collateral eligibility, and the availability of hedging instruments. The term </w:t>
      </w:r>
      <m:oMath>
        <m:sSub>
          <m:sSubPr>
            <m:ctrlPr>
              <w:rPr>
                <w:rFonts w:ascii="Cambria Math" w:hAnsi="Cambria Math" w:cs="Arial"/>
                <w:lang w:eastAsia="ja-JP"/>
              </w:rPr>
            </m:ctrlPr>
          </m:sSubPr>
          <m:e>
            <m:r>
              <w:rPr>
                <w:rFonts w:ascii="Cambria Math" w:hAnsi="Cambria Math" w:cs="Arial"/>
                <w:lang w:eastAsia="ja-JP"/>
              </w:rPr>
              <m:t>κ</m:t>
            </m:r>
          </m:e>
          <m:sub>
            <m:r>
              <w:rPr>
                <w:rFonts w:ascii="Cambria Math" w:hAnsi="Cambria Math" w:cs="Arial"/>
                <w:lang w:eastAsia="ja-JP"/>
              </w:rPr>
              <m:t>i,t</m:t>
            </m:r>
          </m:sub>
        </m:sSub>
        <m:r>
          <w:rPr>
            <w:rFonts w:ascii="Cambria Math" w:hAnsi="Cambria Math" w:cs="Arial"/>
            <w:lang w:eastAsia="ja-JP"/>
          </w:rPr>
          <m:t>(c,f)</m:t>
        </m:r>
      </m:oMath>
      <w:r w:rsidRPr="00D352A2">
        <w:rPr>
          <w:rFonts w:ascii="Arial" w:hAnsi="Arial" w:cs="Arial"/>
          <w:color w:val="000000"/>
          <w:lang w:eastAsia="ja-JP"/>
        </w:rPr>
        <w:t>reflects transaction costs, credibility premia, operational frictions, and jurisdictional or sanctions exposure, while </w:t>
      </w:r>
      <m:oMath>
        <m:sSub>
          <m:sSubPr>
            <m:ctrlPr>
              <w:rPr>
                <w:rFonts w:ascii="Cambria Math" w:hAnsi="Cambria Math" w:cs="Arial"/>
                <w:lang w:eastAsia="ja-JP"/>
              </w:rPr>
            </m:ctrlPr>
          </m:sSubPr>
          <m:e>
            <m:r>
              <w:rPr>
                <w:rFonts w:ascii="Cambria Math" w:hAnsi="Cambria Math" w:cs="Arial"/>
                <w:lang w:eastAsia="ja-JP"/>
              </w:rPr>
              <m:t>ρ</m:t>
            </m:r>
          </m:e>
          <m:sub>
            <m:r>
              <w:rPr>
                <w:rFonts w:ascii="Cambria Math" w:hAnsi="Cambria Math" w:cs="Arial"/>
                <w:lang w:eastAsia="ja-JP"/>
              </w:rPr>
              <m:t>i,t</m:t>
            </m:r>
          </m:sub>
        </m:sSub>
        <m:r>
          <w:rPr>
            <w:rFonts w:ascii="Cambria Math" w:hAnsi="Cambria Math" w:cs="Arial"/>
            <w:lang w:eastAsia="ja-JP"/>
          </w:rPr>
          <m:t>(c,f)</m:t>
        </m:r>
      </m:oMath>
      <w:r w:rsidRPr="00D352A2">
        <w:rPr>
          <w:rFonts w:ascii="Arial" w:hAnsi="Arial" w:cs="Arial"/>
          <w:color w:val="000000"/>
          <w:lang w:eastAsia="ja-JP"/>
        </w:rPr>
        <w:t> captures technology-specific risks, including convertibility, regulatory, custody, and operational risks. This latter term is particularly relevant for digital instruments such as stablecoins.</w:t>
      </w:r>
    </w:p>
    <w:p w14:paraId="76476862"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To sharpen the theoretical content of the infrastructure term, it is useful to distinguish between two conceptually distinct components embedded in </w:t>
      </w:r>
      <m:oMath>
        <m:sSub>
          <m:sSubPr>
            <m:ctrlPr>
              <w:rPr>
                <w:rFonts w:ascii="Cambria Math" w:hAnsi="Cambria Math" w:cs="Arial"/>
                <w:lang w:eastAsia="ja-JP"/>
              </w:rPr>
            </m:ctrlPr>
          </m:sSubPr>
          <m:e>
            <m:r>
              <w:rPr>
                <w:rFonts w:ascii="Cambria Math" w:hAnsi="Cambria Math" w:cs="Arial"/>
                <w:lang w:eastAsia="ja-JP"/>
              </w:rPr>
              <m:t>I</m:t>
            </m:r>
          </m:e>
          <m:sub>
            <m:r>
              <w:rPr>
                <w:rFonts w:ascii="Cambria Math" w:hAnsi="Cambria Math" w:cs="Arial"/>
                <w:lang w:eastAsia="ja-JP"/>
              </w:rPr>
              <m:t>i,t</m:t>
            </m:r>
          </m:sub>
        </m:sSub>
        <m:r>
          <w:rPr>
            <w:rFonts w:ascii="Cambria Math" w:hAnsi="Cambria Math" w:cs="Arial"/>
            <w:lang w:eastAsia="ja-JP"/>
          </w:rPr>
          <m:t>(c,f)</m:t>
        </m:r>
      </m:oMath>
      <w:r w:rsidRPr="00D352A2">
        <w:rPr>
          <w:rFonts w:ascii="Arial" w:hAnsi="Arial" w:cs="Arial"/>
          <w:color w:val="000000"/>
          <w:lang w:eastAsia="ja-JP"/>
        </w:rPr>
        <w:t>, aligned with the functional classification of international money:</w:t>
      </w:r>
    </w:p>
    <w:p w14:paraId="2C7C7C60" w14:textId="541A674A" w:rsidR="00D352A2" w:rsidRPr="00D352A2" w:rsidRDefault="00C96DFF" w:rsidP="00D352A2">
      <w:pPr>
        <w:rPr>
          <w:rFonts w:ascii="Arial" w:hAnsi="Arial" w:cs="Arial"/>
          <w:i/>
          <w:lang w:eastAsia="ja-JP"/>
        </w:rPr>
      </w:pPr>
      <m:oMathPara>
        <m:oMath>
          <m:sSub>
            <m:sSubPr>
              <m:ctrlPr>
                <w:rPr>
                  <w:rFonts w:ascii="Cambria Math" w:hAnsi="Cambria Math" w:cs="Arial"/>
                  <w:i/>
                  <w:lang w:eastAsia="ja-JP"/>
                </w:rPr>
              </m:ctrlPr>
            </m:sSub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d>
            <m:dPr>
              <m:begChr m:val="{"/>
              <m:endChr m:val=""/>
              <m:ctrlPr>
                <w:rPr>
                  <w:rFonts w:ascii="Cambria Math" w:hAnsi="Cambria Math" w:cs="Arial"/>
                  <w:i/>
                  <w:lang w:eastAsia="ja-JP"/>
                </w:rPr>
              </m:ctrlPr>
            </m:dPr>
            <m:e>
              <m:m>
                <m:mPr>
                  <m:plcHide m:val="1"/>
                  <m:mcs>
                    <m:mc>
                      <m:mcPr>
                        <m:count m:val="2"/>
                        <m:mcJc m:val="center"/>
                      </m:mcPr>
                    </m:mc>
                  </m:mcs>
                  <m:ctrlPr>
                    <w:rPr>
                      <w:rFonts w:ascii="Cambria Math" w:hAnsi="Cambria Math" w:cs="Arial"/>
                      <w:i/>
                      <w:lang w:eastAsia="ja-JP"/>
                    </w:rPr>
                  </m:ctrlPr>
                </m:mPr>
                <m:mr>
                  <m:e>
                    <m:sSubSup>
                      <m:sSubSupPr>
                        <m:ctrlPr>
                          <w:rPr>
                            <w:rFonts w:ascii="Cambria Math" w:hAnsi="Cambria Math" w:cs="Arial"/>
                            <w:i/>
                            <w:lang w:eastAsia="ja-JP"/>
                          </w:rPr>
                        </m:ctrlPr>
                      </m:sSubSup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m:rPr>
                            <m:nor/>
                          </m:rPr>
                          <w:rPr>
                            <w:rFonts w:ascii="Arial" w:hAnsi="Arial" w:cs="Arial"/>
                            <w:i/>
                            <w:lang w:eastAsia="ja-JP"/>
                          </w:rPr>
                          <m:t>pay</m:t>
                        </m:r>
                      </m:sup>
                    </m:sSubSup>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e>
                  <m:e>
                    <m:r>
                      <m:rPr>
                        <m:nor/>
                      </m:rPr>
                      <w:rPr>
                        <w:rFonts w:ascii="Arial" w:hAnsi="Arial" w:cs="Arial"/>
                        <w:i/>
                        <w:lang w:eastAsia="ja-JP"/>
                      </w:rPr>
                      <m:t xml:space="preserve">for </m:t>
                    </m:r>
                    <m:r>
                      <w:rPr>
                        <w:rFonts w:ascii="Cambria Math" w:hAnsi="Cambria Math" w:cs="Arial"/>
                        <w:lang w:eastAsia="ja-JP"/>
                      </w:rPr>
                      <m:t>f</m:t>
                    </m:r>
                    <m:r>
                      <w:rPr>
                        <w:rFonts w:ascii="Cambria Math" w:hAnsi="Cambria Math" w:cs="Arial"/>
                        <w:lang w:eastAsia="ja-JP"/>
                      </w:rPr>
                      <m:t>∈{</m:t>
                    </m:r>
                    <m:r>
                      <m:rPr>
                        <m:nor/>
                      </m:rPr>
                      <w:rPr>
                        <w:rFonts w:ascii="Arial" w:hAnsi="Arial" w:cs="Arial"/>
                        <w:i/>
                        <w:lang w:eastAsia="ja-JP"/>
                      </w:rPr>
                      <m:t>UA</m:t>
                    </m:r>
                    <m:r>
                      <w:rPr>
                        <w:rFonts w:ascii="Cambria Math" w:hAnsi="Cambria Math" w:cs="Arial"/>
                        <w:lang w:eastAsia="ja-JP"/>
                      </w:rPr>
                      <m:t>,</m:t>
                    </m:r>
                    <m:r>
                      <m:rPr>
                        <m:nor/>
                      </m:rPr>
                      <w:rPr>
                        <w:rFonts w:ascii="Arial" w:hAnsi="Arial" w:cs="Arial"/>
                        <w:i/>
                        <w:lang w:eastAsia="ja-JP"/>
                      </w:rPr>
                      <m:t>MOE</m:t>
                    </m:r>
                    <m:r>
                      <w:rPr>
                        <w:rFonts w:ascii="Cambria Math" w:hAnsi="Cambria Math" w:cs="Arial"/>
                        <w:lang w:eastAsia="ja-JP"/>
                      </w:rPr>
                      <m:t>}</m:t>
                    </m:r>
                  </m:e>
                </m:mr>
                <m:mr>
                  <m:e>
                    <m:sSubSup>
                      <m:sSubSupPr>
                        <m:ctrlPr>
                          <w:rPr>
                            <w:rFonts w:ascii="Cambria Math" w:hAnsi="Cambria Math" w:cs="Arial"/>
                            <w:i/>
                            <w:lang w:eastAsia="ja-JP"/>
                          </w:rPr>
                        </m:ctrlPr>
                      </m:sSubSup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m:rPr>
                            <m:nor/>
                          </m:rPr>
                          <w:rPr>
                            <w:rFonts w:ascii="Arial" w:hAnsi="Arial" w:cs="Arial"/>
                            <w:i/>
                            <w:lang w:eastAsia="ja-JP"/>
                          </w:rPr>
                          <m:t>ins</m:t>
                        </m:r>
                      </m:sup>
                    </m:sSubSup>
                    <m:r>
                      <w:rPr>
                        <w:rFonts w:ascii="Cambria Math" w:hAnsi="Cambria Math" w:cs="Arial"/>
                        <w:lang w:eastAsia="ja-JP"/>
                      </w:rPr>
                      <m:t>(</m:t>
                    </m:r>
                    <m:r>
                      <w:rPr>
                        <w:rFonts w:ascii="Cambria Math" w:hAnsi="Cambria Math" w:cs="Arial"/>
                        <w:lang w:eastAsia="ja-JP"/>
                      </w:rPr>
                      <m:t>c</m:t>
                    </m:r>
                    <m:r>
                      <w:rPr>
                        <w:rFonts w:ascii="Cambria Math" w:hAnsi="Cambria Math" w:cs="Arial"/>
                        <w:lang w:eastAsia="ja-JP"/>
                      </w:rPr>
                      <m:t>),</m:t>
                    </m:r>
                  </m:e>
                  <m:e>
                    <m:r>
                      <m:rPr>
                        <m:nor/>
                      </m:rPr>
                      <w:rPr>
                        <w:rFonts w:ascii="Arial" w:hAnsi="Arial" w:cs="Arial"/>
                        <w:i/>
                        <w:lang w:eastAsia="ja-JP"/>
                      </w:rPr>
                      <m:t xml:space="preserve">for </m:t>
                    </m:r>
                    <m:r>
                      <w:rPr>
                        <w:rFonts w:ascii="Cambria Math" w:hAnsi="Cambria Math" w:cs="Arial"/>
                        <w:lang w:eastAsia="ja-JP"/>
                      </w:rPr>
                      <m:t>f</m:t>
                    </m:r>
                    <m:r>
                      <w:rPr>
                        <w:rFonts w:ascii="Cambria Math" w:hAnsi="Cambria Math" w:cs="Arial"/>
                        <w:lang w:eastAsia="ja-JP"/>
                      </w:rPr>
                      <m:t>∈{</m:t>
                    </m:r>
                    <m:r>
                      <m:rPr>
                        <m:nor/>
                      </m:rPr>
                      <w:rPr>
                        <w:rFonts w:ascii="Arial" w:hAnsi="Arial" w:cs="Arial"/>
                        <w:i/>
                        <w:lang w:eastAsia="ja-JP"/>
                      </w:rPr>
                      <m:t>SOV</m:t>
                    </m:r>
                    <m:r>
                      <w:rPr>
                        <w:rFonts w:ascii="Cambria Math" w:hAnsi="Cambria Math" w:cs="Arial"/>
                        <w:lang w:eastAsia="ja-JP"/>
                      </w:rPr>
                      <m:t>,</m:t>
                    </m:r>
                    <m:r>
                      <m:rPr>
                        <m:nor/>
                      </m:rPr>
                      <w:rPr>
                        <w:rFonts w:ascii="Arial" w:hAnsi="Arial" w:cs="Arial"/>
                        <w:i/>
                        <w:lang w:eastAsia="ja-JP"/>
                      </w:rPr>
                      <m:t>FA</m:t>
                    </m:r>
                    <m:r>
                      <w:rPr>
                        <w:rFonts w:ascii="Cambria Math" w:hAnsi="Cambria Math" w:cs="Arial"/>
                        <w:lang w:eastAsia="ja-JP"/>
                      </w:rPr>
                      <m:t>}</m:t>
                    </m:r>
                  </m:e>
                </m:mr>
              </m:m>
            </m:e>
          </m:d>
          <m:r>
            <m:rPr>
              <m:sty m:val="p"/>
            </m:rPr>
            <w:rPr>
              <w:rFonts w:ascii="Arial" w:hAnsi="Arial" w:cs="Arial"/>
              <w:lang w:eastAsia="ja-JP"/>
            </w:rPr>
            <w:br/>
          </m:r>
        </m:oMath>
      </m:oMathPara>
    </w:p>
    <w:p w14:paraId="3EBC439F"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The component </w:t>
      </w:r>
      <m:oMath>
        <m:sSup>
          <m:sSupPr>
            <m:ctrlPr>
              <w:rPr>
                <w:rFonts w:ascii="Cambria Math" w:hAnsi="Cambria Math" w:cs="Arial"/>
                <w:lang w:eastAsia="ja-JP"/>
              </w:rPr>
            </m:ctrlPr>
          </m:sSupPr>
          <m:e>
            <m:r>
              <w:rPr>
                <w:rFonts w:ascii="Cambria Math" w:hAnsi="Cambria Math" w:cs="Arial"/>
                <w:lang w:eastAsia="ja-JP"/>
              </w:rPr>
              <m:t>I</m:t>
            </m:r>
          </m:e>
          <m:sup>
            <m:r>
              <m:rPr>
                <m:nor/>
              </m:rPr>
              <w:rPr>
                <w:rFonts w:ascii="Arial" w:hAnsi="Arial" w:cs="Arial"/>
                <w:lang w:eastAsia="ja-JP"/>
              </w:rPr>
              <m:t>pay</m:t>
            </m:r>
          </m:sup>
        </m:sSup>
      </m:oMath>
      <w:r w:rsidRPr="00D352A2">
        <w:rPr>
          <w:rFonts w:ascii="Arial" w:hAnsi="Arial" w:cs="Arial"/>
          <w:color w:val="000000"/>
          <w:lang w:eastAsia="ja-JP"/>
        </w:rPr>
        <w:t> captures </w:t>
      </w:r>
      <w:r w:rsidRPr="00D352A2">
        <w:rPr>
          <w:rFonts w:ascii="Arial" w:hAnsi="Arial" w:cs="Arial"/>
          <w:b/>
          <w:bCs/>
          <w:color w:val="000000"/>
          <w:lang w:eastAsia="ja-JP"/>
        </w:rPr>
        <w:t>t</w:t>
      </w:r>
      <w:r w:rsidRPr="00D352A2">
        <w:rPr>
          <w:rFonts w:ascii="Arial" w:hAnsi="Arial" w:cs="Arial"/>
          <w:color w:val="000000"/>
          <w:lang w:eastAsia="ja-JP"/>
        </w:rPr>
        <w:t>ransactional interoperability—settlement speed, network connectivity, regulatory compliance, and compatibility with existing payment rails. These characteristics primarily govern unit-of-account and medium-of-exchange functions and can often be expanded through coordination, technological innovation, or regional payment arrangements.</w:t>
      </w:r>
    </w:p>
    <w:p w14:paraId="577AEEF2"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By contrast, </w:t>
      </w:r>
      <m:oMath>
        <m:sSup>
          <m:sSupPr>
            <m:ctrlPr>
              <w:rPr>
                <w:rFonts w:ascii="Cambria Math" w:hAnsi="Cambria Math" w:cs="Arial"/>
                <w:lang w:eastAsia="ja-JP"/>
              </w:rPr>
            </m:ctrlPr>
          </m:sSupPr>
          <m:e>
            <m:r>
              <w:rPr>
                <w:rFonts w:ascii="Cambria Math" w:hAnsi="Cambria Math" w:cs="Arial"/>
                <w:lang w:eastAsia="ja-JP"/>
              </w:rPr>
              <m:t>I</m:t>
            </m:r>
          </m:e>
          <m:sup>
            <m:r>
              <m:rPr>
                <m:nor/>
              </m:rPr>
              <w:rPr>
                <w:rFonts w:ascii="Arial" w:hAnsi="Arial" w:cs="Arial"/>
                <w:lang w:eastAsia="ja-JP"/>
              </w:rPr>
              <m:t>ins</m:t>
            </m:r>
          </m:sup>
        </m:sSup>
      </m:oMath>
      <w:r w:rsidRPr="00D352A2">
        <w:rPr>
          <w:rFonts w:ascii="Arial" w:hAnsi="Arial" w:cs="Arial"/>
          <w:color w:val="000000"/>
          <w:lang w:eastAsia="ja-JP"/>
        </w:rPr>
        <w:t> captures state-contingent insurance capacity—the ability of a currency to preserve value, provide liquidity, serve as high-quality collateral, and support deep and reliable hedging markets in periods of stress. These characteristics underpin store-of-value and financial-anchoring functions and depend on safe-asset supply, legal certainty, and market depth.</w:t>
      </w:r>
    </w:p>
    <w:p w14:paraId="222D9EFF"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This decomposition implies that substitutability across monetary functions differs endogenously, even when agents share identical preferences over monetary sovereignty. In particular, transactional functions rely on infrastructure that is comparatively easier to replicate, while safety- and finance-critical functions depend on scarce and slow-moving institutional capacity.</w:t>
      </w:r>
    </w:p>
    <w:p w14:paraId="4B395163"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A central implication is a corner-solution result. When infrastructure differentials dominate preferences,</w:t>
      </w:r>
    </w:p>
    <w:p w14:paraId="70F41801" w14:textId="4EDFFF3C" w:rsidR="00D352A2" w:rsidRPr="00D352A2" w:rsidRDefault="00C96DFF" w:rsidP="00D352A2">
      <w:pPr>
        <w:rPr>
          <w:rFonts w:ascii="Arial" w:hAnsi="Arial" w:cs="Arial"/>
          <w:color w:val="000000"/>
          <w:lang w:eastAsia="ja-JP"/>
        </w:rPr>
      </w:pPr>
      <m:oMathPara>
        <m:oMath>
          <m:sSub>
            <m:sSubPr>
              <m:ctrlPr>
                <w:rPr>
                  <w:rFonts w:ascii="Cambria Math" w:hAnsi="Cambria Math" w:cs="Arial"/>
                  <w:lang w:eastAsia="ja-JP"/>
                </w:rPr>
              </m:ctrlPr>
            </m:sSub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m:rPr>
              <m:nor/>
            </m:rPr>
            <w:rPr>
              <w:rFonts w:ascii="Arial" w:hAnsi="Arial" w:cs="Arial"/>
              <w:i/>
              <w:iCs/>
              <w:lang w:eastAsia="ja-JP"/>
            </w:rPr>
            <m:t>USD</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sSub>
            <m:sSubPr>
              <m:ctrlPr>
                <w:rPr>
                  <w:rFonts w:ascii="Cambria Math" w:hAnsi="Cambria Math" w:cs="Arial"/>
                  <w:i/>
                  <w:iCs/>
                  <w:lang w:eastAsia="ja-JP"/>
                </w:rPr>
              </m:ctrlPr>
            </m:sSubPr>
            <m:e>
              <m:r>
                <w:rPr>
                  <w:rFonts w:ascii="Cambria Math" w:hAnsi="Cambria Math" w:cs="Arial"/>
                  <w:lang w:eastAsia="ja-JP"/>
                </w:rPr>
                <m:t>I</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m:rPr>
              <m:nor/>
            </m:rPr>
            <w:rPr>
              <w:rFonts w:ascii="Arial" w:hAnsi="Arial" w:cs="Arial"/>
              <w:i/>
              <w:iCs/>
              <w:lang w:eastAsia="ja-JP"/>
            </w:rPr>
            <m:t>LC</m:t>
          </m:r>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m:t>
          </m:r>
          <m:r>
            <m:rPr>
              <m:nor/>
            </m:rPr>
            <w:rPr>
              <w:rFonts w:ascii="Arial" w:hAnsi="Arial" w:cs="Arial"/>
              <w:i/>
              <w:iCs/>
              <w:lang w:eastAsia="ja-JP"/>
            </w:rPr>
            <m:t xml:space="preserve">for </m:t>
          </m:r>
          <m:r>
            <w:rPr>
              <w:rFonts w:ascii="Cambria Math" w:hAnsi="Cambria Math" w:cs="Arial"/>
              <w:lang w:eastAsia="ja-JP"/>
            </w:rPr>
            <m:t>f</m:t>
          </m:r>
          <m:r>
            <w:rPr>
              <w:rFonts w:ascii="Cambria Math" w:hAnsi="Cambria Math" w:cs="Arial"/>
              <w:lang w:eastAsia="ja-JP"/>
            </w:rPr>
            <m:t>∈{</m:t>
          </m:r>
          <m:r>
            <m:rPr>
              <m:nor/>
            </m:rPr>
            <w:rPr>
              <w:rFonts w:ascii="Arial" w:hAnsi="Arial" w:cs="Arial"/>
              <w:i/>
              <w:iCs/>
              <w:lang w:eastAsia="ja-JP"/>
            </w:rPr>
            <m:t>MOE</m:t>
          </m:r>
          <m:r>
            <w:rPr>
              <w:rFonts w:ascii="Cambria Math" w:hAnsi="Cambria Math" w:cs="Arial"/>
              <w:lang w:eastAsia="ja-JP"/>
            </w:rPr>
            <m:t>,</m:t>
          </m:r>
          <m:r>
            <m:rPr>
              <m:nor/>
            </m:rPr>
            <w:rPr>
              <w:rFonts w:ascii="Arial" w:hAnsi="Arial" w:cs="Arial"/>
              <w:i/>
              <w:iCs/>
              <w:lang w:eastAsia="ja-JP"/>
            </w:rPr>
            <m:t>SOV</m:t>
          </m:r>
          <m:r>
            <w:rPr>
              <w:rFonts w:ascii="Cambria Math" w:hAnsi="Cambria Math" w:cs="Arial"/>
              <w:lang w:eastAsia="ja-JP"/>
            </w:rPr>
            <m:t>,</m:t>
          </m:r>
          <m:r>
            <m:rPr>
              <m:nor/>
            </m:rPr>
            <w:rPr>
              <w:rFonts w:ascii="Arial" w:hAnsi="Arial" w:cs="Arial"/>
              <w:i/>
              <w:iCs/>
              <w:lang w:eastAsia="ja-JP"/>
            </w:rPr>
            <m:t>FA</m:t>
          </m:r>
          <m:r>
            <w:rPr>
              <w:rFonts w:ascii="Cambria Math" w:hAnsi="Cambria Math" w:cs="Arial"/>
              <w:lang w:eastAsia="ja-JP"/>
            </w:rPr>
            <m:t>}</m:t>
          </m:r>
          <m:r>
            <m:rPr>
              <m:sty m:val="p"/>
            </m:rPr>
            <w:rPr>
              <w:rFonts w:ascii="Arial" w:hAnsi="Arial" w:cs="Arial"/>
              <w:color w:val="000000"/>
              <w:lang w:eastAsia="ja-JP"/>
            </w:rPr>
            <w:br/>
          </m:r>
        </m:oMath>
      </m:oMathPara>
    </w:p>
    <w:p w14:paraId="5F49E4C8"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economic agents rationally select the dollar even when they value monetary autonomy. Domestic or regional currencies do not replicate the full infrastructure bundle required for reliable settlement, credible value storage, and balance-sheet anchoring. Persistent dollarization in these functions is therefore not ideological; it is an equilibrium response to missing institutional and market capacity.</w:t>
      </w:r>
    </w:p>
    <w:p w14:paraId="698FCFE2" w14:textId="70EF310D"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lastRenderedPageBreak/>
        <w:t>Stablecoins fit naturally into this framework as rail-level technologies, not as independent sources of monetary infrastructure. USD-backed stablecoins may raise </w:t>
      </w:r>
      <m:oMath>
        <m:sSub>
          <m:sSubPr>
            <m:ctrlPr>
              <w:rPr>
                <w:rFonts w:ascii="Cambria Math" w:hAnsi="Cambria Math" w:cs="Arial"/>
                <w:lang w:eastAsia="ja-JP"/>
              </w:rPr>
            </m:ctrlPr>
          </m:sSubPr>
          <m:e>
            <m:r>
              <w:rPr>
                <w:rFonts w:ascii="Cambria Math" w:hAnsi="Cambria Math" w:cs="Arial"/>
                <w:lang w:eastAsia="ja-JP"/>
              </w:rPr>
              <m:t>I</m:t>
            </m:r>
          </m:e>
          <m:sub>
            <m:r>
              <w:rPr>
                <w:rFonts w:ascii="Cambria Math" w:hAnsi="Cambria Math" w:cs="Arial"/>
                <w:lang w:eastAsia="ja-JP"/>
              </w:rPr>
              <m:t>i,t</m:t>
            </m:r>
          </m:sub>
        </m:sSub>
        <m:r>
          <w:rPr>
            <w:rFonts w:ascii="Cambria Math" w:hAnsi="Cambria Math" w:cs="Arial"/>
            <w:lang w:eastAsia="ja-JP"/>
          </w:rPr>
          <m:t>(c,</m:t>
        </m:r>
        <m:r>
          <m:rPr>
            <m:nor/>
          </m:rPr>
          <w:rPr>
            <w:rFonts w:ascii="Arial" w:hAnsi="Arial" w:cs="Arial"/>
            <w:i/>
            <w:iCs/>
            <w:lang w:eastAsia="ja-JP"/>
          </w:rPr>
          <m:t>MOE</m:t>
        </m:r>
        <m:r>
          <w:rPr>
            <w:rFonts w:ascii="Cambria Math" w:hAnsi="Cambria Math" w:cs="Arial"/>
            <w:lang w:eastAsia="ja-JP"/>
          </w:rPr>
          <m:t>)</m:t>
        </m:r>
      </m:oMath>
      <w:r w:rsidRPr="00D352A2">
        <w:rPr>
          <w:rFonts w:ascii="Arial" w:hAnsi="Arial" w:cs="Arial"/>
          <w:color w:val="000000"/>
          <w:lang w:eastAsia="ja-JP"/>
        </w:rPr>
        <w:t> by lowering settlement frictions and bypassing correspondent banking, but they inherit their asset backing, legal exposure, and credibility from the dollar system itself. As a result, they may change </w:t>
      </w:r>
      <w:r w:rsidRPr="00D352A2">
        <w:rPr>
          <w:rFonts w:ascii="Arial" w:hAnsi="Arial" w:cs="Arial"/>
          <w:i/>
          <w:iCs/>
          <w:color w:val="000000"/>
          <w:lang w:eastAsia="ja-JP"/>
        </w:rPr>
        <w:t>how</w:t>
      </w:r>
      <w:r w:rsidRPr="00D352A2">
        <w:rPr>
          <w:rFonts w:ascii="Arial" w:hAnsi="Arial" w:cs="Arial"/>
          <w:color w:val="000000"/>
          <w:lang w:eastAsia="ja-JP"/>
        </w:rPr>
        <w:t> the dollar is used without altering </w:t>
      </w:r>
      <w:r w:rsidRPr="00D352A2">
        <w:rPr>
          <w:rFonts w:ascii="Arial" w:hAnsi="Arial" w:cs="Arial"/>
          <w:i/>
          <w:iCs/>
          <w:color w:val="000000"/>
          <w:lang w:eastAsia="ja-JP"/>
        </w:rPr>
        <w:t>which currency</w:t>
      </w:r>
      <w:r w:rsidRPr="00D352A2">
        <w:rPr>
          <w:rFonts w:ascii="Arial" w:hAnsi="Arial" w:cs="Arial"/>
          <w:color w:val="000000"/>
          <w:lang w:eastAsia="ja-JP"/>
        </w:rPr>
        <w:t> ultimately anchors safety and finance.</w:t>
      </w:r>
    </w:p>
    <w:p w14:paraId="09626B8D" w14:textId="6E6D1371" w:rsidR="00110BB9" w:rsidRDefault="00110BB9" w:rsidP="00A2278D">
      <w:pPr>
        <w:pStyle w:val="NormalWeb"/>
        <w:rPr>
          <w:rFonts w:ascii="Arial" w:hAnsi="Arial" w:cs="Arial"/>
          <w:color w:val="000000"/>
          <w:sz w:val="20"/>
          <w:szCs w:val="20"/>
        </w:rPr>
      </w:pPr>
      <w:r w:rsidRPr="00110BB9">
        <w:rPr>
          <w:rFonts w:ascii="Arial" w:hAnsi="Arial" w:cs="Arial"/>
          <w:color w:val="000000"/>
          <w:sz w:val="20"/>
          <w:szCs w:val="20"/>
        </w:rPr>
        <w:t>Table 1 summarizes the four-core international monetary functions, the infrastructures that sustain them, and the binding constraints that govern the feasibility of substitution away from the US dollar.</w:t>
      </w:r>
    </w:p>
    <w:p w14:paraId="75407DB3" w14:textId="38FE25D6" w:rsidR="0082001A" w:rsidRPr="0082001A" w:rsidRDefault="0082001A" w:rsidP="00A2278D">
      <w:pPr>
        <w:pStyle w:val="NormalWeb"/>
        <w:rPr>
          <w:rFonts w:ascii="Arial" w:hAnsi="Arial" w:cs="Arial"/>
          <w:b/>
          <w:bCs/>
          <w:color w:val="000000"/>
          <w:sz w:val="20"/>
          <w:szCs w:val="20"/>
        </w:rPr>
      </w:pPr>
      <w:r w:rsidRPr="0082001A">
        <w:rPr>
          <w:rFonts w:ascii="Arial" w:hAnsi="Arial" w:cs="Arial"/>
          <w:b/>
          <w:bCs/>
          <w:color w:val="000000"/>
          <w:sz w:val="20"/>
          <w:szCs w:val="20"/>
        </w:rPr>
        <w:t>Table 1. Functional Decomposition of Dollar Dominance and Substitution Constraints</w:t>
      </w:r>
    </w:p>
    <w:tbl>
      <w:tblPr>
        <w:tblW w:w="8117" w:type="dxa"/>
        <w:tblInd w:w="-5" w:type="dxa"/>
        <w:tblLook w:val="04A0" w:firstRow="1" w:lastRow="0" w:firstColumn="1" w:lastColumn="0" w:noHBand="0" w:noVBand="1"/>
      </w:tblPr>
      <w:tblGrid>
        <w:gridCol w:w="1326"/>
        <w:gridCol w:w="1644"/>
        <w:gridCol w:w="2162"/>
        <w:gridCol w:w="1379"/>
        <w:gridCol w:w="1606"/>
      </w:tblGrid>
      <w:tr w:rsidR="0082001A" w:rsidRPr="0082001A" w14:paraId="12F8120C" w14:textId="77777777" w:rsidTr="008F197D">
        <w:trPr>
          <w:trHeight w:val="252"/>
        </w:trPr>
        <w:tc>
          <w:tcPr>
            <w:tcW w:w="1326"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0B8B60B7"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Monetary Function</w:t>
            </w:r>
          </w:p>
        </w:tc>
        <w:tc>
          <w:tcPr>
            <w:tcW w:w="1644" w:type="dxa"/>
            <w:tcBorders>
              <w:top w:val="single" w:sz="4" w:space="0" w:color="auto"/>
              <w:left w:val="nil"/>
              <w:bottom w:val="single" w:sz="4" w:space="0" w:color="auto"/>
              <w:right w:val="single" w:sz="4" w:space="0" w:color="auto"/>
            </w:tcBorders>
            <w:shd w:val="clear" w:color="000000" w:fill="538DD5"/>
            <w:noWrap/>
            <w:vAlign w:val="bottom"/>
            <w:hideMark/>
          </w:tcPr>
          <w:p w14:paraId="7D0A0858"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Role in International System</w:t>
            </w:r>
          </w:p>
        </w:tc>
        <w:tc>
          <w:tcPr>
            <w:tcW w:w="2162" w:type="dxa"/>
            <w:tcBorders>
              <w:top w:val="single" w:sz="4" w:space="0" w:color="auto"/>
              <w:left w:val="nil"/>
              <w:bottom w:val="single" w:sz="4" w:space="0" w:color="auto"/>
              <w:right w:val="single" w:sz="4" w:space="0" w:color="auto"/>
            </w:tcBorders>
            <w:shd w:val="clear" w:color="000000" w:fill="538DD5"/>
            <w:noWrap/>
            <w:vAlign w:val="bottom"/>
            <w:hideMark/>
          </w:tcPr>
          <w:p w14:paraId="04EF1D32"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Key Infrastructure Required</w:t>
            </w:r>
          </w:p>
        </w:tc>
        <w:tc>
          <w:tcPr>
            <w:tcW w:w="1379" w:type="dxa"/>
            <w:tcBorders>
              <w:top w:val="single" w:sz="4" w:space="0" w:color="auto"/>
              <w:left w:val="nil"/>
              <w:bottom w:val="single" w:sz="4" w:space="0" w:color="auto"/>
              <w:right w:val="single" w:sz="4" w:space="0" w:color="auto"/>
            </w:tcBorders>
            <w:shd w:val="clear" w:color="000000" w:fill="538DD5"/>
            <w:noWrap/>
            <w:vAlign w:val="bottom"/>
            <w:hideMark/>
          </w:tcPr>
          <w:p w14:paraId="643FB8FD"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Feasibility of Substitution</w:t>
            </w:r>
          </w:p>
        </w:tc>
        <w:tc>
          <w:tcPr>
            <w:tcW w:w="1606" w:type="dxa"/>
            <w:tcBorders>
              <w:top w:val="single" w:sz="4" w:space="0" w:color="auto"/>
              <w:left w:val="nil"/>
              <w:bottom w:val="single" w:sz="4" w:space="0" w:color="auto"/>
              <w:right w:val="single" w:sz="4" w:space="0" w:color="auto"/>
            </w:tcBorders>
            <w:shd w:val="clear" w:color="000000" w:fill="538DD5"/>
            <w:noWrap/>
            <w:vAlign w:val="bottom"/>
            <w:hideMark/>
          </w:tcPr>
          <w:p w14:paraId="7BA8BA18"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Binding Constraint</w:t>
            </w:r>
          </w:p>
        </w:tc>
      </w:tr>
      <w:tr w:rsidR="0082001A" w:rsidRPr="0082001A" w14:paraId="2F0808EC" w14:textId="77777777" w:rsidTr="008F197D">
        <w:trPr>
          <w:trHeight w:val="252"/>
        </w:trPr>
        <w:tc>
          <w:tcPr>
            <w:tcW w:w="1326" w:type="dxa"/>
            <w:tcBorders>
              <w:top w:val="nil"/>
              <w:left w:val="single" w:sz="4" w:space="0" w:color="auto"/>
              <w:bottom w:val="single" w:sz="4" w:space="0" w:color="auto"/>
              <w:right w:val="single" w:sz="4" w:space="0" w:color="auto"/>
            </w:tcBorders>
            <w:shd w:val="clear" w:color="000000" w:fill="C5D9F1"/>
            <w:noWrap/>
            <w:vAlign w:val="bottom"/>
            <w:hideMark/>
          </w:tcPr>
          <w:p w14:paraId="51D91C6B"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Unit of Account (UA)</w:t>
            </w:r>
          </w:p>
        </w:tc>
        <w:tc>
          <w:tcPr>
            <w:tcW w:w="1644" w:type="dxa"/>
            <w:tcBorders>
              <w:top w:val="nil"/>
              <w:left w:val="nil"/>
              <w:bottom w:val="single" w:sz="4" w:space="0" w:color="auto"/>
              <w:right w:val="single" w:sz="4" w:space="0" w:color="auto"/>
            </w:tcBorders>
            <w:shd w:val="clear" w:color="000000" w:fill="C5D9F1"/>
            <w:noWrap/>
            <w:vAlign w:val="bottom"/>
            <w:hideMark/>
          </w:tcPr>
          <w:p w14:paraId="11240858"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Trade pricing and invoicing</w:t>
            </w:r>
          </w:p>
        </w:tc>
        <w:tc>
          <w:tcPr>
            <w:tcW w:w="2162" w:type="dxa"/>
            <w:tcBorders>
              <w:top w:val="nil"/>
              <w:left w:val="nil"/>
              <w:bottom w:val="single" w:sz="4" w:space="0" w:color="auto"/>
              <w:right w:val="single" w:sz="4" w:space="0" w:color="auto"/>
            </w:tcBorders>
            <w:shd w:val="clear" w:color="000000" w:fill="C5D9F1"/>
            <w:noWrap/>
            <w:vAlign w:val="bottom"/>
            <w:hideMark/>
          </w:tcPr>
          <w:p w14:paraId="2E60D8C8"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Pricing networks, coordination standards</w:t>
            </w:r>
          </w:p>
        </w:tc>
        <w:tc>
          <w:tcPr>
            <w:tcW w:w="1379" w:type="dxa"/>
            <w:tcBorders>
              <w:top w:val="nil"/>
              <w:left w:val="nil"/>
              <w:bottom w:val="single" w:sz="4" w:space="0" w:color="auto"/>
              <w:right w:val="single" w:sz="4" w:space="0" w:color="auto"/>
            </w:tcBorders>
            <w:shd w:val="clear" w:color="000000" w:fill="C5D9F1"/>
            <w:noWrap/>
            <w:vAlign w:val="bottom"/>
            <w:hideMark/>
          </w:tcPr>
          <w:p w14:paraId="54694F11"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High</w:t>
            </w:r>
          </w:p>
        </w:tc>
        <w:tc>
          <w:tcPr>
            <w:tcW w:w="1606" w:type="dxa"/>
            <w:tcBorders>
              <w:top w:val="nil"/>
              <w:left w:val="nil"/>
              <w:bottom w:val="single" w:sz="4" w:space="0" w:color="auto"/>
              <w:right w:val="single" w:sz="4" w:space="0" w:color="auto"/>
            </w:tcBorders>
            <w:shd w:val="clear" w:color="000000" w:fill="C5D9F1"/>
            <w:noWrap/>
            <w:vAlign w:val="bottom"/>
            <w:hideMark/>
          </w:tcPr>
          <w:p w14:paraId="670B13EB"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Coordination and network effects</w:t>
            </w:r>
          </w:p>
        </w:tc>
      </w:tr>
      <w:tr w:rsidR="0082001A" w:rsidRPr="0082001A" w14:paraId="5EB0D1B9" w14:textId="77777777" w:rsidTr="008F197D">
        <w:trPr>
          <w:trHeight w:val="252"/>
        </w:trPr>
        <w:tc>
          <w:tcPr>
            <w:tcW w:w="1326" w:type="dxa"/>
            <w:tcBorders>
              <w:top w:val="nil"/>
              <w:left w:val="single" w:sz="4" w:space="0" w:color="auto"/>
              <w:bottom w:val="single" w:sz="4" w:space="0" w:color="auto"/>
              <w:right w:val="single" w:sz="4" w:space="0" w:color="auto"/>
            </w:tcBorders>
            <w:shd w:val="clear" w:color="000000" w:fill="DAEEF3"/>
            <w:noWrap/>
            <w:vAlign w:val="bottom"/>
            <w:hideMark/>
          </w:tcPr>
          <w:p w14:paraId="624B0473"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Medium of Exchange (MOE)</w:t>
            </w:r>
          </w:p>
        </w:tc>
        <w:tc>
          <w:tcPr>
            <w:tcW w:w="1644" w:type="dxa"/>
            <w:tcBorders>
              <w:top w:val="nil"/>
              <w:left w:val="nil"/>
              <w:bottom w:val="single" w:sz="4" w:space="0" w:color="auto"/>
              <w:right w:val="single" w:sz="4" w:space="0" w:color="auto"/>
            </w:tcBorders>
            <w:shd w:val="clear" w:color="000000" w:fill="DAEEF3"/>
            <w:noWrap/>
            <w:vAlign w:val="bottom"/>
            <w:hideMark/>
          </w:tcPr>
          <w:p w14:paraId="72F68AE3"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Cross-border settlement</w:t>
            </w:r>
          </w:p>
        </w:tc>
        <w:tc>
          <w:tcPr>
            <w:tcW w:w="2162" w:type="dxa"/>
            <w:tcBorders>
              <w:top w:val="nil"/>
              <w:left w:val="nil"/>
              <w:bottom w:val="single" w:sz="4" w:space="0" w:color="auto"/>
              <w:right w:val="single" w:sz="4" w:space="0" w:color="auto"/>
            </w:tcBorders>
            <w:shd w:val="clear" w:color="000000" w:fill="DAEEF3"/>
            <w:noWrap/>
            <w:vAlign w:val="bottom"/>
            <w:hideMark/>
          </w:tcPr>
          <w:p w14:paraId="773B21DE"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Payment rails, correspondent banking, interoperability</w:t>
            </w:r>
          </w:p>
        </w:tc>
        <w:tc>
          <w:tcPr>
            <w:tcW w:w="1379" w:type="dxa"/>
            <w:tcBorders>
              <w:top w:val="nil"/>
              <w:left w:val="nil"/>
              <w:bottom w:val="single" w:sz="4" w:space="0" w:color="auto"/>
              <w:right w:val="single" w:sz="4" w:space="0" w:color="auto"/>
            </w:tcBorders>
            <w:shd w:val="clear" w:color="000000" w:fill="DAEEF3"/>
            <w:noWrap/>
            <w:vAlign w:val="bottom"/>
            <w:hideMark/>
          </w:tcPr>
          <w:p w14:paraId="328F4825"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Medium–High</w:t>
            </w:r>
          </w:p>
        </w:tc>
        <w:tc>
          <w:tcPr>
            <w:tcW w:w="1606" w:type="dxa"/>
            <w:tcBorders>
              <w:top w:val="nil"/>
              <w:left w:val="nil"/>
              <w:bottom w:val="single" w:sz="4" w:space="0" w:color="auto"/>
              <w:right w:val="single" w:sz="4" w:space="0" w:color="auto"/>
            </w:tcBorders>
            <w:shd w:val="clear" w:color="000000" w:fill="DAEEF3"/>
            <w:noWrap/>
            <w:vAlign w:val="bottom"/>
            <w:hideMark/>
          </w:tcPr>
          <w:p w14:paraId="3DCF8F14"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Interoperability and regulatory frictions</w:t>
            </w:r>
          </w:p>
        </w:tc>
      </w:tr>
      <w:tr w:rsidR="0082001A" w:rsidRPr="0082001A" w14:paraId="2E083278" w14:textId="77777777" w:rsidTr="008F197D">
        <w:trPr>
          <w:trHeight w:val="252"/>
        </w:trPr>
        <w:tc>
          <w:tcPr>
            <w:tcW w:w="1326" w:type="dxa"/>
            <w:tcBorders>
              <w:top w:val="nil"/>
              <w:left w:val="single" w:sz="4" w:space="0" w:color="auto"/>
              <w:bottom w:val="single" w:sz="4" w:space="0" w:color="auto"/>
              <w:right w:val="single" w:sz="4" w:space="0" w:color="auto"/>
            </w:tcBorders>
            <w:shd w:val="clear" w:color="000000" w:fill="C5D9F1"/>
            <w:noWrap/>
            <w:vAlign w:val="bottom"/>
            <w:hideMark/>
          </w:tcPr>
          <w:p w14:paraId="406A8FC8"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Store of Value (SOV)</w:t>
            </w:r>
          </w:p>
        </w:tc>
        <w:tc>
          <w:tcPr>
            <w:tcW w:w="1644" w:type="dxa"/>
            <w:tcBorders>
              <w:top w:val="nil"/>
              <w:left w:val="nil"/>
              <w:bottom w:val="single" w:sz="4" w:space="0" w:color="auto"/>
              <w:right w:val="single" w:sz="4" w:space="0" w:color="auto"/>
            </w:tcBorders>
            <w:shd w:val="clear" w:color="000000" w:fill="C5D9F1"/>
            <w:noWrap/>
            <w:vAlign w:val="bottom"/>
            <w:hideMark/>
          </w:tcPr>
          <w:p w14:paraId="531AC2DF"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Savings and official reserves</w:t>
            </w:r>
          </w:p>
        </w:tc>
        <w:tc>
          <w:tcPr>
            <w:tcW w:w="2162" w:type="dxa"/>
            <w:tcBorders>
              <w:top w:val="nil"/>
              <w:left w:val="nil"/>
              <w:bottom w:val="single" w:sz="4" w:space="0" w:color="auto"/>
              <w:right w:val="single" w:sz="4" w:space="0" w:color="auto"/>
            </w:tcBorders>
            <w:shd w:val="clear" w:color="000000" w:fill="C5D9F1"/>
            <w:noWrap/>
            <w:vAlign w:val="bottom"/>
            <w:hideMark/>
          </w:tcPr>
          <w:p w14:paraId="44B2CF56"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Safe assets, credibility, liquidity</w:t>
            </w:r>
          </w:p>
        </w:tc>
        <w:tc>
          <w:tcPr>
            <w:tcW w:w="1379" w:type="dxa"/>
            <w:tcBorders>
              <w:top w:val="nil"/>
              <w:left w:val="nil"/>
              <w:bottom w:val="single" w:sz="4" w:space="0" w:color="auto"/>
              <w:right w:val="single" w:sz="4" w:space="0" w:color="auto"/>
            </w:tcBorders>
            <w:shd w:val="clear" w:color="000000" w:fill="C5D9F1"/>
            <w:noWrap/>
            <w:vAlign w:val="bottom"/>
            <w:hideMark/>
          </w:tcPr>
          <w:p w14:paraId="1AC8E66B"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Low</w:t>
            </w:r>
          </w:p>
        </w:tc>
        <w:tc>
          <w:tcPr>
            <w:tcW w:w="1606" w:type="dxa"/>
            <w:tcBorders>
              <w:top w:val="nil"/>
              <w:left w:val="nil"/>
              <w:bottom w:val="single" w:sz="4" w:space="0" w:color="auto"/>
              <w:right w:val="single" w:sz="4" w:space="0" w:color="auto"/>
            </w:tcBorders>
            <w:shd w:val="clear" w:color="000000" w:fill="C5D9F1"/>
            <w:noWrap/>
            <w:vAlign w:val="bottom"/>
            <w:hideMark/>
          </w:tcPr>
          <w:p w14:paraId="283C57FC"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Safe-asset scarcity</w:t>
            </w:r>
          </w:p>
        </w:tc>
      </w:tr>
      <w:tr w:rsidR="0082001A" w:rsidRPr="0082001A" w14:paraId="0C78ADCA" w14:textId="77777777" w:rsidTr="008F197D">
        <w:trPr>
          <w:trHeight w:val="252"/>
        </w:trPr>
        <w:tc>
          <w:tcPr>
            <w:tcW w:w="1326" w:type="dxa"/>
            <w:tcBorders>
              <w:top w:val="nil"/>
              <w:left w:val="single" w:sz="4" w:space="0" w:color="auto"/>
              <w:bottom w:val="single" w:sz="4" w:space="0" w:color="auto"/>
              <w:right w:val="single" w:sz="4" w:space="0" w:color="auto"/>
            </w:tcBorders>
            <w:shd w:val="clear" w:color="000000" w:fill="DAEEF3"/>
            <w:noWrap/>
            <w:vAlign w:val="bottom"/>
            <w:hideMark/>
          </w:tcPr>
          <w:p w14:paraId="0B84E9DB"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Financial Anchoring (FA)</w:t>
            </w:r>
          </w:p>
        </w:tc>
        <w:tc>
          <w:tcPr>
            <w:tcW w:w="1644" w:type="dxa"/>
            <w:tcBorders>
              <w:top w:val="nil"/>
              <w:left w:val="nil"/>
              <w:bottom w:val="single" w:sz="4" w:space="0" w:color="auto"/>
              <w:right w:val="single" w:sz="4" w:space="0" w:color="auto"/>
            </w:tcBorders>
            <w:shd w:val="clear" w:color="000000" w:fill="DAEEF3"/>
            <w:noWrap/>
            <w:vAlign w:val="bottom"/>
            <w:hideMark/>
          </w:tcPr>
          <w:p w14:paraId="050C3C3F"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Debt denomination and hedging</w:t>
            </w:r>
          </w:p>
        </w:tc>
        <w:tc>
          <w:tcPr>
            <w:tcW w:w="2162" w:type="dxa"/>
            <w:tcBorders>
              <w:top w:val="nil"/>
              <w:left w:val="nil"/>
              <w:bottom w:val="single" w:sz="4" w:space="0" w:color="auto"/>
              <w:right w:val="single" w:sz="4" w:space="0" w:color="auto"/>
            </w:tcBorders>
            <w:shd w:val="clear" w:color="000000" w:fill="DAEEF3"/>
            <w:noWrap/>
            <w:vAlign w:val="bottom"/>
            <w:hideMark/>
          </w:tcPr>
          <w:p w14:paraId="416FED84"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Deep bond markets, derivatives, legal enforceability</w:t>
            </w:r>
          </w:p>
        </w:tc>
        <w:tc>
          <w:tcPr>
            <w:tcW w:w="1379" w:type="dxa"/>
            <w:tcBorders>
              <w:top w:val="nil"/>
              <w:left w:val="nil"/>
              <w:bottom w:val="single" w:sz="4" w:space="0" w:color="auto"/>
              <w:right w:val="single" w:sz="4" w:space="0" w:color="auto"/>
            </w:tcBorders>
            <w:shd w:val="clear" w:color="000000" w:fill="DAEEF3"/>
            <w:noWrap/>
            <w:vAlign w:val="bottom"/>
            <w:hideMark/>
          </w:tcPr>
          <w:p w14:paraId="7DF7B65E"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Very Low</w:t>
            </w:r>
          </w:p>
        </w:tc>
        <w:tc>
          <w:tcPr>
            <w:tcW w:w="1606" w:type="dxa"/>
            <w:tcBorders>
              <w:top w:val="nil"/>
              <w:left w:val="nil"/>
              <w:bottom w:val="single" w:sz="4" w:space="0" w:color="auto"/>
              <w:right w:val="single" w:sz="4" w:space="0" w:color="auto"/>
            </w:tcBorders>
            <w:shd w:val="clear" w:color="000000" w:fill="DAEEF3"/>
            <w:noWrap/>
            <w:vAlign w:val="bottom"/>
            <w:hideMark/>
          </w:tcPr>
          <w:p w14:paraId="231C370D" w14:textId="77777777" w:rsidR="0082001A" w:rsidRPr="0082001A" w:rsidRDefault="0082001A" w:rsidP="006A1FAB">
            <w:pPr>
              <w:jc w:val="center"/>
              <w:rPr>
                <w:rFonts w:ascii="Arial" w:eastAsia="MS PGothic" w:hAnsi="Arial" w:cs="Arial"/>
                <w:color w:val="000000"/>
                <w:lang w:eastAsia="ja-JP"/>
              </w:rPr>
            </w:pPr>
            <w:r w:rsidRPr="0082001A">
              <w:rPr>
                <w:rFonts w:ascii="Arial" w:eastAsia="MS PGothic" w:hAnsi="Arial" w:cs="Arial"/>
                <w:color w:val="000000"/>
                <w:lang w:eastAsia="ja-JP"/>
              </w:rPr>
              <w:t>Market depth and hedging incompleteness</w:t>
            </w:r>
          </w:p>
        </w:tc>
      </w:tr>
    </w:tbl>
    <w:p w14:paraId="2836C65A" w14:textId="2F154669" w:rsidR="00A2278D" w:rsidRPr="00180480" w:rsidRDefault="00A2278D" w:rsidP="0082001A">
      <w:pPr>
        <w:jc w:val="center"/>
        <w:rPr>
          <w:rFonts w:ascii="Arial" w:hAnsi="Arial" w:cs="Arial"/>
        </w:rPr>
      </w:pPr>
    </w:p>
    <w:p w14:paraId="58643699" w14:textId="77777777" w:rsidR="00A2278D" w:rsidRPr="00EB042D" w:rsidRDefault="00A2278D" w:rsidP="00A2278D">
      <w:pPr>
        <w:pStyle w:val="Heading2"/>
        <w:rPr>
          <w:rFonts w:ascii="Arial" w:hAnsi="Arial" w:cs="Arial"/>
          <w:b/>
          <w:bCs/>
          <w:color w:val="000000"/>
          <w:sz w:val="20"/>
          <w:szCs w:val="20"/>
        </w:rPr>
      </w:pPr>
      <w:r w:rsidRPr="00EB042D">
        <w:rPr>
          <w:rFonts w:ascii="Arial" w:hAnsi="Arial" w:cs="Arial"/>
          <w:b/>
          <w:bCs/>
          <w:color w:val="000000"/>
          <w:sz w:val="20"/>
          <w:szCs w:val="20"/>
        </w:rPr>
        <w:t>2.2 Functional Bypass and Constraints on Substitution</w:t>
      </w:r>
    </w:p>
    <w:p w14:paraId="6C1A6F7B"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Let total activity in monetary function </w:t>
      </w:r>
      <m:oMath>
        <m:r>
          <w:rPr>
            <w:rFonts w:ascii="Cambria Math" w:hAnsi="Cambria Math" w:cs="Arial"/>
            <w:lang w:eastAsia="ja-JP"/>
          </w:rPr>
          <m:t>f</m:t>
        </m:r>
      </m:oMath>
      <w:r w:rsidRPr="00D352A2">
        <w:rPr>
          <w:rFonts w:ascii="Arial" w:hAnsi="Arial" w:cs="Arial"/>
          <w:color w:val="000000"/>
          <w:lang w:eastAsia="ja-JP"/>
        </w:rPr>
        <w:t> be denoted by </w:t>
      </w:r>
      <m:oMath>
        <m:sSub>
          <m:sSubPr>
            <m:ctrlPr>
              <w:rPr>
                <w:rFonts w:ascii="Cambria Math" w:hAnsi="Cambria Math" w:cs="Arial"/>
                <w:lang w:eastAsia="ja-JP"/>
              </w:rPr>
            </m:ctrlPr>
          </m:sSubPr>
          <m:e>
            <m:r>
              <w:rPr>
                <w:rFonts w:ascii="Cambria Math" w:hAnsi="Cambria Math" w:cs="Arial"/>
                <w:lang w:eastAsia="ja-JP"/>
              </w:rPr>
              <m:t>A</m:t>
            </m:r>
          </m:e>
          <m:sub>
            <m:r>
              <w:rPr>
                <w:rFonts w:ascii="Cambria Math" w:hAnsi="Cambria Math" w:cs="Arial"/>
                <w:lang w:eastAsia="ja-JP"/>
              </w:rPr>
              <m:t>i,t</m:t>
            </m:r>
          </m:sub>
        </m:sSub>
        <m:r>
          <w:rPr>
            <w:rFonts w:ascii="Cambria Math" w:hAnsi="Cambria Math" w:cs="Arial"/>
            <w:lang w:eastAsia="ja-JP"/>
          </w:rPr>
          <m:t>(f)</m:t>
        </m:r>
      </m:oMath>
      <w:r w:rsidRPr="00D352A2">
        <w:rPr>
          <w:rFonts w:ascii="Arial" w:hAnsi="Arial" w:cs="Arial"/>
          <w:color w:val="000000"/>
          <w:lang w:eastAsia="ja-JP"/>
        </w:rPr>
        <w:t>, and let dollar-based activity—whether intermediated through banks or digital rails—be denoted by </w:t>
      </w:r>
      <m:oMath>
        <m:sSub>
          <m:sSubPr>
            <m:ctrlPr>
              <w:rPr>
                <w:rFonts w:ascii="Cambria Math" w:hAnsi="Cambria Math" w:cs="Arial"/>
                <w:lang w:eastAsia="ja-JP"/>
              </w:rPr>
            </m:ctrlPr>
          </m:sSubPr>
          <m:e>
            <m:r>
              <w:rPr>
                <w:rFonts w:ascii="Cambria Math" w:hAnsi="Cambria Math" w:cs="Arial"/>
                <w:lang w:eastAsia="ja-JP"/>
              </w:rPr>
              <m:t>D</m:t>
            </m:r>
          </m:e>
          <m:sub>
            <m:r>
              <w:rPr>
                <w:rFonts w:ascii="Cambria Math" w:hAnsi="Cambria Math" w:cs="Arial"/>
                <w:lang w:eastAsia="ja-JP"/>
              </w:rPr>
              <m:t>i,t</m:t>
            </m:r>
          </m:sub>
        </m:sSub>
        <m:r>
          <w:rPr>
            <w:rFonts w:ascii="Cambria Math" w:hAnsi="Cambria Math" w:cs="Arial"/>
            <w:lang w:eastAsia="ja-JP"/>
          </w:rPr>
          <m:t>(f)</m:t>
        </m:r>
      </m:oMath>
      <w:r w:rsidRPr="00D352A2">
        <w:rPr>
          <w:rFonts w:ascii="Arial" w:hAnsi="Arial" w:cs="Arial"/>
          <w:color w:val="000000"/>
          <w:lang w:eastAsia="ja-JP"/>
        </w:rPr>
        <w:t>. Define functional bypass as:</w:t>
      </w:r>
    </w:p>
    <w:p w14:paraId="4D33B599" w14:textId="463FC72E" w:rsidR="00D352A2" w:rsidRPr="00D352A2" w:rsidRDefault="00C96DFF" w:rsidP="00D352A2">
      <w:pPr>
        <w:rPr>
          <w:rFonts w:ascii="Arial" w:hAnsi="Arial" w:cs="Arial"/>
          <w:lang w:eastAsia="ja-JP"/>
        </w:rPr>
      </w:pPr>
      <m:oMathPara>
        <m:oMath>
          <m:sSub>
            <m:sSubPr>
              <m:ctrlPr>
                <w:rPr>
                  <w:rFonts w:ascii="Cambria Math" w:hAnsi="Cambria Math" w:cs="Arial"/>
                  <w:lang w:eastAsia="ja-JP"/>
                </w:rPr>
              </m:ctrlPr>
            </m:sSubPr>
            <m:e>
              <m:r>
                <w:rPr>
                  <w:rFonts w:ascii="Cambria Math" w:hAnsi="Cambria Math" w:cs="Arial"/>
                  <w:lang w:eastAsia="ja-JP"/>
                </w:rPr>
                <m:t>B</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w:rPr>
              <w:rFonts w:ascii="Cambria Math" w:hAnsi="Cambria Math" w:cs="Arial"/>
              <w:lang w:eastAsia="ja-JP"/>
            </w:rPr>
            <m:t>f</m:t>
          </m:r>
          <m:r>
            <w:rPr>
              <w:rFonts w:ascii="Cambria Math" w:hAnsi="Cambria Math" w:cs="Arial"/>
              <w:lang w:eastAsia="ja-JP"/>
            </w:rPr>
            <m:t>)≡1-</m:t>
          </m:r>
          <m:f>
            <m:fPr>
              <m:ctrlPr>
                <w:rPr>
                  <w:rFonts w:ascii="Cambria Math" w:hAnsi="Cambria Math" w:cs="Arial"/>
                  <w:lang w:eastAsia="ja-JP"/>
                </w:rPr>
              </m:ctrlPr>
            </m:fPr>
            <m:num>
              <m:sSub>
                <m:sSubPr>
                  <m:ctrlPr>
                    <w:rPr>
                      <w:rFonts w:ascii="Cambria Math" w:hAnsi="Cambria Math" w:cs="Arial"/>
                      <w:lang w:eastAsia="ja-JP"/>
                    </w:rPr>
                  </m:ctrlPr>
                </m:sSubPr>
                <m:e>
                  <m:r>
                    <w:rPr>
                      <w:rFonts w:ascii="Cambria Math" w:hAnsi="Cambria Math" w:cs="Arial"/>
                      <w:lang w:eastAsia="ja-JP"/>
                    </w:rPr>
                    <m:t>D</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d>
                <m:dPr>
                  <m:ctrlPr>
                    <w:rPr>
                      <w:rFonts w:ascii="Cambria Math" w:hAnsi="Cambria Math" w:cs="Arial"/>
                      <w:i/>
                      <w:lang w:eastAsia="ja-JP"/>
                    </w:rPr>
                  </m:ctrlPr>
                </m:dPr>
                <m:e>
                  <m:r>
                    <w:rPr>
                      <w:rFonts w:ascii="Cambria Math" w:hAnsi="Cambria Math" w:cs="Arial"/>
                      <w:lang w:eastAsia="ja-JP"/>
                    </w:rPr>
                    <m:t>f</m:t>
                  </m:r>
                </m:e>
              </m:d>
            </m:num>
            <m:den>
              <m:sSub>
                <m:sSubPr>
                  <m:ctrlPr>
                    <w:rPr>
                      <w:rFonts w:ascii="Cambria Math" w:hAnsi="Cambria Math" w:cs="Arial"/>
                      <w:lang w:eastAsia="ja-JP"/>
                    </w:rPr>
                  </m:ctrlPr>
                </m:sSubPr>
                <m:e>
                  <m:r>
                    <w:rPr>
                      <w:rFonts w:ascii="Cambria Math" w:hAnsi="Cambria Math" w:cs="Arial"/>
                      <w:lang w:eastAsia="ja-JP"/>
                    </w:rPr>
                    <m:t>A</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d>
                <m:dPr>
                  <m:ctrlPr>
                    <w:rPr>
                      <w:rFonts w:ascii="Cambria Math" w:hAnsi="Cambria Math" w:cs="Arial"/>
                      <w:i/>
                      <w:lang w:eastAsia="ja-JP"/>
                    </w:rPr>
                  </m:ctrlPr>
                </m:dPr>
                <m:e>
                  <m:r>
                    <w:rPr>
                      <w:rFonts w:ascii="Cambria Math" w:hAnsi="Cambria Math" w:cs="Arial"/>
                      <w:lang w:eastAsia="ja-JP"/>
                    </w:rPr>
                    <m:t>f</m:t>
                  </m:r>
                </m:e>
              </m:d>
            </m:den>
          </m:f>
          <m:r>
            <w:rPr>
              <w:rFonts w:ascii="Cambria Math" w:hAnsi="Cambria Math" w:cs="Arial"/>
              <w:lang w:eastAsia="ja-JP"/>
            </w:rPr>
            <m:t>∈[0, 1]</m:t>
          </m:r>
          <m:r>
            <m:rPr>
              <m:sty m:val="p"/>
            </m:rPr>
            <w:rPr>
              <w:rFonts w:ascii="Arial" w:hAnsi="Arial" w:cs="Arial"/>
              <w:lang w:eastAsia="ja-JP"/>
            </w:rPr>
            <w:br/>
          </m:r>
        </m:oMath>
      </m:oMathPara>
    </w:p>
    <w:p w14:paraId="53CA886C"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This measure captures exit from the dollar in functional space rather than marginal portfolio diversification. Crucially, substitutability is asymmetric across functions. In many developing economies, bypass in unit-of-account and medium-of-exchange functions can rise through bilateral invoicing arrangements, regional payment systems, or digital settlement technologies. By contrast, bypass in store-of-value and financial-anchoring functions is constrained by safe-asset scarcity and hedging incompleteness.</w:t>
      </w:r>
    </w:p>
    <w:p w14:paraId="1BE068E9"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These constraints arise endogenously from balance-sheet and market-capacity considerations. Consider first the store-of-value function. Let </w:t>
      </w:r>
      <m:oMath>
        <m:sSub>
          <m:sSubPr>
            <m:ctrlPr>
              <w:rPr>
                <w:rFonts w:ascii="Cambria Math" w:hAnsi="Cambria Math" w:cs="Arial"/>
                <w:lang w:eastAsia="ja-JP"/>
              </w:rPr>
            </m:ctrlPr>
          </m:sSubPr>
          <m:e>
            <m:r>
              <w:rPr>
                <w:rFonts w:ascii="Cambria Math" w:hAnsi="Cambria Math" w:cs="Arial"/>
                <w:lang w:eastAsia="ja-JP"/>
              </w:rPr>
              <m:t>D</m:t>
            </m:r>
          </m:e>
          <m:sub>
            <m:r>
              <w:rPr>
                <w:rFonts w:ascii="Cambria Math" w:hAnsi="Cambria Math" w:cs="Arial"/>
                <w:lang w:eastAsia="ja-JP"/>
              </w:rPr>
              <m:t>i,t</m:t>
            </m:r>
          </m:sub>
        </m:sSub>
      </m:oMath>
      <w:r w:rsidRPr="00D352A2">
        <w:rPr>
          <w:rFonts w:ascii="Arial" w:hAnsi="Arial" w:cs="Arial"/>
          <w:color w:val="000000"/>
          <w:lang w:eastAsia="ja-JP"/>
        </w:rPr>
        <w:t xml:space="preserve"> denote total demand for value storage, including private savings and official reserves. By definition, this demand must be met by assets that preserve liquidity and credibility under stress—that is, by eligible </w:t>
      </w:r>
      <w:r w:rsidRPr="00D352A2">
        <w:rPr>
          <w:rFonts w:ascii="Arial" w:hAnsi="Arial" w:cs="Arial"/>
          <w:color w:val="000000"/>
          <w:lang w:eastAsia="ja-JP"/>
        </w:rPr>
        <w:lastRenderedPageBreak/>
        <w:t>safe assets. Let </w:t>
      </w:r>
      <m:oMath>
        <m:sSubSup>
          <m:sSubSupPr>
            <m:ctrlPr>
              <w:rPr>
                <w:rFonts w:ascii="Cambria Math" w:hAnsi="Cambria Math" w:cs="Arial"/>
                <w:lang w:eastAsia="ja-JP"/>
              </w:rPr>
            </m:ctrlPr>
          </m:sSubSupPr>
          <m:e>
            <m:r>
              <w:rPr>
                <w:rFonts w:ascii="Cambria Math" w:hAnsi="Cambria Math" w:cs="Arial"/>
                <w:lang w:eastAsia="ja-JP"/>
              </w:rPr>
              <m:t>S</m:t>
            </m:r>
          </m:e>
          <m:sub>
            <m:r>
              <w:rPr>
                <w:rFonts w:ascii="Cambria Math" w:hAnsi="Cambria Math" w:cs="Arial"/>
                <w:lang w:eastAsia="ja-JP"/>
              </w:rPr>
              <m:t>i,t</m:t>
            </m:r>
          </m:sub>
          <m:sup>
            <m:r>
              <w:rPr>
                <w:rFonts w:ascii="Cambria Math" w:hAnsi="Cambria Math" w:cs="Arial"/>
                <w:lang w:eastAsia="ja-JP"/>
              </w:rPr>
              <m:t>ND</m:t>
            </m:r>
          </m:sup>
        </m:sSubSup>
      </m:oMath>
      <w:r w:rsidRPr="00D352A2">
        <w:rPr>
          <w:rFonts w:ascii="Arial" w:hAnsi="Arial" w:cs="Arial"/>
          <w:color w:val="000000"/>
          <w:lang w:eastAsia="ja-JP"/>
        </w:rPr>
        <w:t> denote the supply of non-dollar-denominated safe assets accessible to country </w:t>
      </w:r>
      <m:oMath>
        <m:r>
          <w:rPr>
            <w:rFonts w:ascii="Cambria Math" w:hAnsi="Cambria Math" w:cs="Arial"/>
            <w:lang w:eastAsia="ja-JP"/>
          </w:rPr>
          <m:t>i</m:t>
        </m:r>
      </m:oMath>
      <w:r w:rsidRPr="00D352A2">
        <w:rPr>
          <w:rFonts w:ascii="Arial" w:hAnsi="Arial" w:cs="Arial"/>
          <w:color w:val="000000"/>
          <w:lang w:eastAsia="ja-JP"/>
        </w:rPr>
        <w:t>. Regardless of preferences or policy intentions, the maximum share of value storage that can be sustained outside the dollar system is mechanically bounded by the ratio </w:t>
      </w:r>
      <m:oMath>
        <m:sSubSup>
          <m:sSubSupPr>
            <m:ctrlPr>
              <w:rPr>
                <w:rFonts w:ascii="Cambria Math" w:hAnsi="Cambria Math" w:cs="Arial"/>
                <w:lang w:eastAsia="ja-JP"/>
              </w:rPr>
            </m:ctrlPr>
          </m:sSubSupPr>
          <m:e>
            <m:r>
              <w:rPr>
                <w:rFonts w:ascii="Cambria Math" w:hAnsi="Cambria Math" w:cs="Arial"/>
                <w:lang w:eastAsia="ja-JP"/>
              </w:rPr>
              <m:t>S</m:t>
            </m:r>
          </m:e>
          <m:sub>
            <m:r>
              <w:rPr>
                <w:rFonts w:ascii="Cambria Math" w:hAnsi="Cambria Math" w:cs="Arial"/>
                <w:lang w:eastAsia="ja-JP"/>
              </w:rPr>
              <m:t>i,t</m:t>
            </m:r>
          </m:sub>
          <m:sup>
            <m:r>
              <w:rPr>
                <w:rFonts w:ascii="Cambria Math" w:hAnsi="Cambria Math" w:cs="Arial"/>
                <w:lang w:eastAsia="ja-JP"/>
              </w:rPr>
              <m:t>ND</m:t>
            </m:r>
          </m:sup>
        </m:sSubSup>
        <m:r>
          <m:rPr>
            <m:sty m:val="p"/>
          </m:rP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D</m:t>
            </m:r>
          </m:e>
          <m:sub>
            <m:r>
              <w:rPr>
                <w:rFonts w:ascii="Cambria Math" w:hAnsi="Cambria Math" w:cs="Arial"/>
                <w:lang w:eastAsia="ja-JP"/>
              </w:rPr>
              <m:t>i,t</m:t>
            </m:r>
          </m:sub>
        </m:sSub>
      </m:oMath>
      <w:r w:rsidRPr="00D352A2">
        <w:rPr>
          <w:rFonts w:ascii="Arial" w:hAnsi="Arial" w:cs="Arial"/>
          <w:color w:val="000000"/>
          <w:lang w:eastAsia="ja-JP"/>
        </w:rPr>
        <w:t>. The feasibility condition for store-of-value bypass is therefore:</w:t>
      </w:r>
    </w:p>
    <w:p w14:paraId="0B2565AD" w14:textId="2338B4A3" w:rsidR="00D352A2" w:rsidRPr="00D352A2" w:rsidRDefault="00C96DFF" w:rsidP="00D352A2">
      <w:pPr>
        <w:rPr>
          <w:rFonts w:ascii="Arial" w:hAnsi="Arial" w:cs="Arial"/>
          <w:lang w:eastAsia="ja-JP"/>
        </w:rPr>
      </w:pPr>
      <m:oMathPara>
        <m:oMath>
          <m:sSub>
            <m:sSubPr>
              <m:ctrlPr>
                <w:rPr>
                  <w:rFonts w:ascii="Cambria Math" w:hAnsi="Cambria Math" w:cs="Arial"/>
                  <w:lang w:eastAsia="ja-JP"/>
                </w:rPr>
              </m:ctrlPr>
            </m:sSubPr>
            <m:e>
              <m:r>
                <w:rPr>
                  <w:rFonts w:ascii="Cambria Math" w:hAnsi="Cambria Math" w:cs="Arial"/>
                  <w:lang w:eastAsia="ja-JP"/>
                </w:rPr>
                <m:t>B</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m:rPr>
              <m:nor/>
            </m:rPr>
            <w:rPr>
              <w:rFonts w:ascii="Arial" w:hAnsi="Arial" w:cs="Arial"/>
              <w:lang w:eastAsia="ja-JP"/>
            </w:rPr>
            <m:t>SOV</m:t>
          </m:r>
          <m:r>
            <w:rPr>
              <w:rFonts w:ascii="Cambria Math" w:hAnsi="Cambria Math" w:cs="Arial"/>
              <w:lang w:eastAsia="ja-JP"/>
            </w:rPr>
            <m:t>)≤</m:t>
          </m:r>
          <m:sSubSup>
            <m:sSubSupPr>
              <m:ctrlPr>
                <w:rPr>
                  <w:rFonts w:ascii="Cambria Math" w:hAnsi="Cambria Math" w:cs="Arial"/>
                  <w:lang w:eastAsia="ja-JP"/>
                </w:rPr>
              </m:ctrlPr>
            </m:sSubSupPr>
            <m:e>
              <m:acc>
                <m:accPr>
                  <m:chr m:val="ˉ"/>
                  <m:ctrlPr>
                    <w:rPr>
                      <w:rFonts w:ascii="Cambria Math" w:hAnsi="Cambria Math" w:cs="Arial"/>
                      <w:lang w:eastAsia="ja-JP"/>
                    </w:rPr>
                  </m:ctrlPr>
                </m:accPr>
                <m:e>
                  <m:r>
                    <w:rPr>
                      <w:rFonts w:ascii="Cambria Math" w:hAnsi="Cambria Math" w:cs="Arial"/>
                      <w:lang w:eastAsia="ja-JP"/>
                    </w:rPr>
                    <m:t>B</m:t>
                  </m:r>
                </m:e>
              </m:acc>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m:rPr>
                  <m:nor/>
                </m:rPr>
                <w:rPr>
                  <w:rFonts w:ascii="Arial" w:hAnsi="Arial" w:cs="Arial"/>
                  <w:lang w:eastAsia="ja-JP"/>
                </w:rPr>
                <m:t>SOV</m:t>
              </m:r>
            </m:sup>
          </m:sSubSup>
          <m:r>
            <w:rPr>
              <w:rFonts w:ascii="Cambria Math" w:hAnsi="Cambria Math" w:cs="Arial"/>
              <w:lang w:eastAsia="ja-JP"/>
            </w:rPr>
            <m:t>≡</m:t>
          </m:r>
          <m:r>
            <m:rPr>
              <m:sty m:val="p"/>
            </m:rPr>
            <w:rPr>
              <w:rFonts w:ascii="Cambria Math" w:hAnsi="Cambria Math" w:cs="Arial"/>
              <w:lang w:eastAsia="ja-JP"/>
            </w:rPr>
            <m:t>min</m:t>
          </m:r>
          <m:r>
            <w:rPr>
              <w:rFonts w:ascii="Cambria Math" w:hAnsi="Cambria Math" w:cs="Arial"/>
              <w:lang w:eastAsia="ja-JP"/>
            </w:rPr>
            <m:t>⁡</m:t>
          </m:r>
          <m:d>
            <m:dPr>
              <m:begChr m:val="{"/>
              <m:sepChr m:val=","/>
              <m:endChr m:val="}"/>
              <m:ctrlPr>
                <w:rPr>
                  <w:rFonts w:ascii="Cambria Math" w:hAnsi="Cambria Math" w:cs="Arial"/>
                  <w:lang w:eastAsia="ja-JP"/>
                </w:rPr>
              </m:ctrlPr>
            </m:dPr>
            <m:e>
              <m:r>
                <w:rPr>
                  <w:rFonts w:ascii="Cambria Math" w:hAnsi="Cambria Math" w:cs="Arial"/>
                  <w:lang w:eastAsia="ja-JP"/>
                </w:rPr>
                <m:t>1</m:t>
              </m:r>
            </m:e>
            <m:e>
              <m:r>
                <w:rPr>
                  <w:rFonts w:ascii="Cambria Math" w:hAnsi="Cambria Math" w:cs="Arial"/>
                  <w:lang w:eastAsia="ja-JP"/>
                </w:rPr>
                <m:t xml:space="preserve"> </m:t>
              </m:r>
              <m:f>
                <m:fPr>
                  <m:ctrlPr>
                    <w:rPr>
                      <w:rFonts w:ascii="Cambria Math" w:hAnsi="Cambria Math" w:cs="Arial"/>
                      <w:lang w:eastAsia="ja-JP"/>
                    </w:rPr>
                  </m:ctrlPr>
                </m:fPr>
                <m:num>
                  <m:sSubSup>
                    <m:sSubSupPr>
                      <m:ctrlPr>
                        <w:rPr>
                          <w:rFonts w:ascii="Cambria Math" w:hAnsi="Cambria Math" w:cs="Arial"/>
                          <w:lang w:eastAsia="ja-JP"/>
                        </w:rPr>
                      </m:ctrlPr>
                    </m:sSubSupPr>
                    <m:e>
                      <m:r>
                        <w:rPr>
                          <w:rFonts w:ascii="Cambria Math" w:hAnsi="Cambria Math" w:cs="Arial"/>
                          <w:lang w:eastAsia="ja-JP"/>
                        </w:rPr>
                        <m:t>S</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w:rPr>
                          <w:rFonts w:ascii="Cambria Math" w:hAnsi="Cambria Math" w:cs="Arial"/>
                          <w:lang w:eastAsia="ja-JP"/>
                        </w:rPr>
                        <m:t>ND</m:t>
                      </m:r>
                    </m:sup>
                  </m:sSubSup>
                </m:num>
                <m:den>
                  <m:sSub>
                    <m:sSubPr>
                      <m:ctrlPr>
                        <w:rPr>
                          <w:rFonts w:ascii="Cambria Math" w:hAnsi="Cambria Math" w:cs="Arial"/>
                          <w:lang w:eastAsia="ja-JP"/>
                        </w:rPr>
                      </m:ctrlPr>
                    </m:sSubPr>
                    <m:e>
                      <m:r>
                        <w:rPr>
                          <w:rFonts w:ascii="Cambria Math" w:hAnsi="Cambria Math" w:cs="Arial"/>
                          <w:lang w:eastAsia="ja-JP"/>
                        </w:rPr>
                        <m:t>D</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den>
              </m:f>
            </m:e>
          </m:d>
          <m:r>
            <m:rPr>
              <m:sty m:val="p"/>
            </m:rPr>
            <w:rPr>
              <w:rFonts w:ascii="Cambria Math" w:hAnsi="Cambria Math" w:cs="Arial"/>
              <w:lang w:eastAsia="ja-JP"/>
            </w:rPr>
            <m:t>.</m:t>
          </m:r>
          <m:r>
            <m:rPr>
              <m:sty m:val="p"/>
            </m:rPr>
            <w:rPr>
              <w:rFonts w:ascii="Arial" w:hAnsi="Arial" w:cs="Arial"/>
              <w:lang w:eastAsia="ja-JP"/>
            </w:rPr>
            <w:br/>
          </m:r>
        </m:oMath>
      </m:oMathPara>
    </w:p>
    <w:p w14:paraId="34BA45B6"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An analogous logic applies to financial anchoring. Let </w:t>
      </w:r>
      <m:oMath>
        <m:sSub>
          <m:sSubPr>
            <m:ctrlPr>
              <w:rPr>
                <w:rFonts w:ascii="Cambria Math" w:hAnsi="Cambria Math" w:cs="Arial"/>
                <w:lang w:eastAsia="ja-JP"/>
              </w:rPr>
            </m:ctrlPr>
          </m:sSubPr>
          <m:e>
            <m:r>
              <w:rPr>
                <w:rFonts w:ascii="Cambria Math" w:hAnsi="Cambria Math" w:cs="Arial"/>
                <w:lang w:eastAsia="ja-JP"/>
              </w:rPr>
              <m:t>H</m:t>
            </m:r>
          </m:e>
          <m:sub>
            <m:r>
              <w:rPr>
                <w:rFonts w:ascii="Cambria Math" w:hAnsi="Cambria Math" w:cs="Arial"/>
                <w:lang w:eastAsia="ja-JP"/>
              </w:rPr>
              <m:t>i,t</m:t>
            </m:r>
          </m:sub>
        </m:sSub>
      </m:oMath>
      <w:r w:rsidRPr="00D352A2">
        <w:rPr>
          <w:rFonts w:ascii="Arial" w:hAnsi="Arial" w:cs="Arial"/>
          <w:color w:val="000000"/>
          <w:lang w:eastAsia="ja-JP"/>
        </w:rPr>
        <w:t> denote total hedging requirements implied by external liabilities, tradables pricing, and currency mismatch exposure. Let </w:t>
      </w:r>
      <m:oMath>
        <m:sSubSup>
          <m:sSubSupPr>
            <m:ctrlPr>
              <w:rPr>
                <w:rFonts w:ascii="Cambria Math" w:hAnsi="Cambria Math" w:cs="Arial"/>
                <w:lang w:eastAsia="ja-JP"/>
              </w:rPr>
            </m:ctrlPr>
          </m:sSubSupPr>
          <m:e>
            <m:r>
              <w:rPr>
                <w:rFonts w:ascii="Cambria Math" w:hAnsi="Cambria Math" w:cs="Arial"/>
                <w:lang w:eastAsia="ja-JP"/>
              </w:rPr>
              <m:t>H</m:t>
            </m:r>
          </m:e>
          <m:sub>
            <m:r>
              <w:rPr>
                <w:rFonts w:ascii="Cambria Math" w:hAnsi="Cambria Math" w:cs="Arial"/>
                <w:lang w:eastAsia="ja-JP"/>
              </w:rPr>
              <m:t>i,t</m:t>
            </m:r>
          </m:sub>
          <m:sup>
            <m:r>
              <w:rPr>
                <w:rFonts w:ascii="Cambria Math" w:hAnsi="Cambria Math" w:cs="Arial"/>
                <w:lang w:eastAsia="ja-JP"/>
              </w:rPr>
              <m:t>ND</m:t>
            </m:r>
          </m:sup>
        </m:sSubSup>
      </m:oMath>
      <w:r w:rsidRPr="00D352A2">
        <w:rPr>
          <w:rFonts w:ascii="Arial" w:hAnsi="Arial" w:cs="Arial"/>
          <w:color w:val="000000"/>
          <w:lang w:eastAsia="ja-JP"/>
        </w:rPr>
        <w:t> represent the depth of non-dollar hedging markets available to country </w:t>
      </w:r>
      <m:oMath>
        <m:r>
          <w:rPr>
            <w:rFonts w:ascii="Cambria Math" w:hAnsi="Cambria Math" w:cs="Arial"/>
            <w:lang w:eastAsia="ja-JP"/>
          </w:rPr>
          <m:t>i</m:t>
        </m:r>
      </m:oMath>
      <w:r w:rsidRPr="00D352A2">
        <w:rPr>
          <w:rFonts w:ascii="Arial" w:hAnsi="Arial" w:cs="Arial"/>
          <w:color w:val="000000"/>
          <w:lang w:eastAsia="ja-JP"/>
        </w:rPr>
        <w:t>. Full substitution away from the dollar as a financial anchor would require </w:t>
      </w:r>
      <m:oMath>
        <m:sSubSup>
          <m:sSubSupPr>
            <m:ctrlPr>
              <w:rPr>
                <w:rFonts w:ascii="Cambria Math" w:hAnsi="Cambria Math" w:cs="Arial"/>
                <w:lang w:eastAsia="ja-JP"/>
              </w:rPr>
            </m:ctrlPr>
          </m:sSubSupPr>
          <m:e>
            <m:r>
              <w:rPr>
                <w:rFonts w:ascii="Cambria Math" w:hAnsi="Cambria Math" w:cs="Arial"/>
                <w:lang w:eastAsia="ja-JP"/>
              </w:rPr>
              <m:t>H</m:t>
            </m:r>
          </m:e>
          <m:sub>
            <m:r>
              <w:rPr>
                <w:rFonts w:ascii="Cambria Math" w:hAnsi="Cambria Math" w:cs="Arial"/>
                <w:lang w:eastAsia="ja-JP"/>
              </w:rPr>
              <m:t>i,t</m:t>
            </m:r>
          </m:sub>
          <m:sup>
            <m:r>
              <w:rPr>
                <w:rFonts w:ascii="Cambria Math" w:hAnsi="Cambria Math" w:cs="Arial"/>
                <w:lang w:eastAsia="ja-JP"/>
              </w:rPr>
              <m:t>ND</m:t>
            </m:r>
          </m:sup>
        </m:sSubSup>
        <m: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H</m:t>
            </m:r>
          </m:e>
          <m:sub>
            <m:r>
              <w:rPr>
                <w:rFonts w:ascii="Cambria Math" w:hAnsi="Cambria Math" w:cs="Arial"/>
                <w:lang w:eastAsia="ja-JP"/>
              </w:rPr>
              <m:t>i,t</m:t>
            </m:r>
          </m:sub>
        </m:sSub>
      </m:oMath>
      <w:r w:rsidRPr="00D352A2">
        <w:rPr>
          <w:rFonts w:ascii="Arial" w:hAnsi="Arial" w:cs="Arial"/>
          <w:color w:val="000000"/>
          <w:lang w:eastAsia="ja-JP"/>
        </w:rPr>
        <w:t>. When this condition fails—as it does in most financially shallow economies—financial-anchoring bypass is capped by:</w:t>
      </w:r>
    </w:p>
    <w:p w14:paraId="691122DE" w14:textId="2DD5C3DB" w:rsidR="00D352A2" w:rsidRPr="00D352A2" w:rsidRDefault="00C96DFF" w:rsidP="00D352A2">
      <w:pPr>
        <w:rPr>
          <w:rFonts w:ascii="Arial" w:hAnsi="Arial" w:cs="Arial"/>
          <w:lang w:eastAsia="ja-JP"/>
        </w:rPr>
      </w:pPr>
      <m:oMathPara>
        <m:oMath>
          <m:sSub>
            <m:sSubPr>
              <m:ctrlPr>
                <w:rPr>
                  <w:rFonts w:ascii="Cambria Math" w:hAnsi="Cambria Math" w:cs="Arial"/>
                  <w:lang w:eastAsia="ja-JP"/>
                </w:rPr>
              </m:ctrlPr>
            </m:sSubPr>
            <m:e>
              <m:r>
                <w:rPr>
                  <w:rFonts w:ascii="Cambria Math" w:hAnsi="Cambria Math" w:cs="Arial"/>
                  <w:lang w:eastAsia="ja-JP"/>
                </w:rPr>
                <m:t>B</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r>
            <w:rPr>
              <w:rFonts w:ascii="Cambria Math" w:hAnsi="Cambria Math" w:cs="Arial"/>
              <w:lang w:eastAsia="ja-JP"/>
            </w:rPr>
            <m:t>(</m:t>
          </m:r>
          <m:r>
            <m:rPr>
              <m:nor/>
            </m:rPr>
            <w:rPr>
              <w:rFonts w:ascii="Arial" w:hAnsi="Arial" w:cs="Arial"/>
              <w:lang w:eastAsia="ja-JP"/>
            </w:rPr>
            <m:t>FA</m:t>
          </m:r>
          <m:r>
            <w:rPr>
              <w:rFonts w:ascii="Cambria Math" w:hAnsi="Cambria Math" w:cs="Arial"/>
              <w:lang w:eastAsia="ja-JP"/>
            </w:rPr>
            <m:t>)≤</m:t>
          </m:r>
          <m:sSubSup>
            <m:sSubSupPr>
              <m:ctrlPr>
                <w:rPr>
                  <w:rFonts w:ascii="Cambria Math" w:hAnsi="Cambria Math" w:cs="Arial"/>
                  <w:lang w:eastAsia="ja-JP"/>
                </w:rPr>
              </m:ctrlPr>
            </m:sSubSupPr>
            <m:e>
              <m:acc>
                <m:accPr>
                  <m:chr m:val="ˉ"/>
                  <m:ctrlPr>
                    <w:rPr>
                      <w:rFonts w:ascii="Cambria Math" w:hAnsi="Cambria Math" w:cs="Arial"/>
                      <w:lang w:eastAsia="ja-JP"/>
                    </w:rPr>
                  </m:ctrlPr>
                </m:accPr>
                <m:e>
                  <m:r>
                    <w:rPr>
                      <w:rFonts w:ascii="Cambria Math" w:hAnsi="Cambria Math" w:cs="Arial"/>
                      <w:lang w:eastAsia="ja-JP"/>
                    </w:rPr>
                    <m:t>B</m:t>
                  </m:r>
                </m:e>
              </m:acc>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m:rPr>
                  <m:nor/>
                </m:rPr>
                <w:rPr>
                  <w:rFonts w:ascii="Arial" w:hAnsi="Arial" w:cs="Arial"/>
                  <w:lang w:eastAsia="ja-JP"/>
                </w:rPr>
                <m:t>FA</m:t>
              </m:r>
            </m:sup>
          </m:sSubSup>
          <m:r>
            <w:rPr>
              <w:rFonts w:ascii="Cambria Math" w:hAnsi="Cambria Math" w:cs="Arial"/>
              <w:lang w:eastAsia="ja-JP"/>
            </w:rPr>
            <m:t>≡</m:t>
          </m:r>
          <m:r>
            <m:rPr>
              <m:sty m:val="p"/>
            </m:rPr>
            <w:rPr>
              <w:rFonts w:ascii="Cambria Math" w:hAnsi="Cambria Math" w:cs="Arial"/>
              <w:lang w:eastAsia="ja-JP"/>
            </w:rPr>
            <m:t>min</m:t>
          </m:r>
          <m:r>
            <w:rPr>
              <w:rFonts w:ascii="Cambria Math" w:hAnsi="Cambria Math" w:cs="Arial"/>
              <w:lang w:eastAsia="ja-JP"/>
            </w:rPr>
            <m:t>⁡</m:t>
          </m:r>
          <m:d>
            <m:dPr>
              <m:begChr m:val="{"/>
              <m:sepChr m:val=","/>
              <m:endChr m:val="}"/>
              <m:ctrlPr>
                <w:rPr>
                  <w:rFonts w:ascii="Cambria Math" w:hAnsi="Cambria Math" w:cs="Arial"/>
                  <w:lang w:eastAsia="ja-JP"/>
                </w:rPr>
              </m:ctrlPr>
            </m:dPr>
            <m:e>
              <m:r>
                <w:rPr>
                  <w:rFonts w:ascii="Cambria Math" w:hAnsi="Cambria Math" w:cs="Arial"/>
                  <w:lang w:eastAsia="ja-JP"/>
                </w:rPr>
                <m:t>1</m:t>
              </m:r>
            </m:e>
            <m:e>
              <m:r>
                <w:rPr>
                  <w:rFonts w:ascii="Cambria Math" w:hAnsi="Cambria Math" w:cs="Arial"/>
                  <w:lang w:eastAsia="ja-JP"/>
                </w:rPr>
                <m:t xml:space="preserve"> </m:t>
              </m:r>
              <m:f>
                <m:fPr>
                  <m:ctrlPr>
                    <w:rPr>
                      <w:rFonts w:ascii="Cambria Math" w:hAnsi="Cambria Math" w:cs="Arial"/>
                      <w:lang w:eastAsia="ja-JP"/>
                    </w:rPr>
                  </m:ctrlPr>
                </m:fPr>
                <m:num>
                  <m:sSubSup>
                    <m:sSubSupPr>
                      <m:ctrlPr>
                        <w:rPr>
                          <w:rFonts w:ascii="Cambria Math" w:hAnsi="Cambria Math" w:cs="Arial"/>
                          <w:lang w:eastAsia="ja-JP"/>
                        </w:rPr>
                      </m:ctrlPr>
                    </m:sSubSupPr>
                    <m:e>
                      <m:r>
                        <w:rPr>
                          <w:rFonts w:ascii="Cambria Math" w:hAnsi="Cambria Math" w:cs="Arial"/>
                          <w:lang w:eastAsia="ja-JP"/>
                        </w:rPr>
                        <m:t>H</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up>
                      <m:r>
                        <w:rPr>
                          <w:rFonts w:ascii="Cambria Math" w:hAnsi="Cambria Math" w:cs="Arial"/>
                          <w:lang w:eastAsia="ja-JP"/>
                        </w:rPr>
                        <m:t>ND</m:t>
                      </m:r>
                    </m:sup>
                  </m:sSubSup>
                </m:num>
                <m:den>
                  <m:sSub>
                    <m:sSubPr>
                      <m:ctrlPr>
                        <w:rPr>
                          <w:rFonts w:ascii="Cambria Math" w:hAnsi="Cambria Math" w:cs="Arial"/>
                          <w:lang w:eastAsia="ja-JP"/>
                        </w:rPr>
                      </m:ctrlPr>
                    </m:sSubPr>
                    <m:e>
                      <m:r>
                        <w:rPr>
                          <w:rFonts w:ascii="Cambria Math" w:hAnsi="Cambria Math" w:cs="Arial"/>
                          <w:lang w:eastAsia="ja-JP"/>
                        </w:rPr>
                        <m:t>H</m:t>
                      </m:r>
                    </m:e>
                    <m:sub>
                      <m:r>
                        <w:rPr>
                          <w:rFonts w:ascii="Cambria Math" w:hAnsi="Cambria Math" w:cs="Arial"/>
                          <w:lang w:eastAsia="ja-JP"/>
                        </w:rPr>
                        <m:t>i</m:t>
                      </m:r>
                      <m:r>
                        <w:rPr>
                          <w:rFonts w:ascii="Cambria Math" w:hAnsi="Cambria Math" w:cs="Arial"/>
                          <w:lang w:eastAsia="ja-JP"/>
                        </w:rPr>
                        <m:t>,</m:t>
                      </m:r>
                      <m:r>
                        <w:rPr>
                          <w:rFonts w:ascii="Cambria Math" w:hAnsi="Cambria Math" w:cs="Arial"/>
                          <w:lang w:eastAsia="ja-JP"/>
                        </w:rPr>
                        <m:t>t</m:t>
                      </m:r>
                    </m:sub>
                  </m:sSub>
                </m:den>
              </m:f>
            </m:e>
          </m:d>
          <m:r>
            <m:rPr>
              <m:sty m:val="p"/>
            </m:rPr>
            <w:rPr>
              <w:rFonts w:ascii="Arial" w:hAnsi="Arial" w:cs="Arial"/>
              <w:lang w:eastAsia="ja-JP"/>
            </w:rPr>
            <w:br/>
          </m:r>
        </m:oMath>
      </m:oMathPara>
    </w:p>
    <w:p w14:paraId="517390FD" w14:textId="77777777" w:rsidR="00D352A2" w:rsidRPr="00D352A2" w:rsidRDefault="00D352A2" w:rsidP="00D352A2">
      <w:pPr>
        <w:spacing w:before="100" w:beforeAutospacing="1" w:after="100" w:afterAutospacing="1"/>
        <w:rPr>
          <w:rFonts w:ascii="Arial" w:hAnsi="Arial" w:cs="Arial"/>
          <w:color w:val="000000"/>
          <w:lang w:eastAsia="ja-JP"/>
        </w:rPr>
      </w:pPr>
      <w:r w:rsidRPr="00D352A2">
        <w:rPr>
          <w:rFonts w:ascii="Arial" w:hAnsi="Arial" w:cs="Arial"/>
          <w:color w:val="000000"/>
          <w:lang w:eastAsia="ja-JP"/>
        </w:rPr>
        <w:t>Stablecoins do not relax these feasibility constraints. USD-backed stablecoins do not expand non-dollar safe-asset supply, nor do they generate deep derivative markets required for financial anchoring. As a result, even rapid digital substitution in payments leaves </w:t>
      </w:r>
      <m:oMath>
        <m:sSubSup>
          <m:sSubSupPr>
            <m:ctrlPr>
              <w:rPr>
                <w:rFonts w:ascii="Cambria Math" w:hAnsi="Cambria Math" w:cs="Arial"/>
                <w:lang w:eastAsia="ja-JP"/>
              </w:rPr>
            </m:ctrlPr>
          </m:sSubSupPr>
          <m:e>
            <m:acc>
              <m:accPr>
                <m:chr m:val="ˉ"/>
                <m:ctrlPr>
                  <w:rPr>
                    <w:rFonts w:ascii="Cambria Math" w:hAnsi="Cambria Math" w:cs="Arial"/>
                    <w:lang w:eastAsia="ja-JP"/>
                  </w:rPr>
                </m:ctrlPr>
              </m:accPr>
              <m:e>
                <m:r>
                  <w:rPr>
                    <w:rFonts w:ascii="Cambria Math" w:hAnsi="Cambria Math" w:cs="Arial"/>
                    <w:lang w:eastAsia="ja-JP"/>
                  </w:rPr>
                  <m:t>B</m:t>
                </m:r>
              </m:e>
            </m:acc>
          </m:e>
          <m:sub>
            <m:r>
              <w:rPr>
                <w:rFonts w:ascii="Cambria Math" w:hAnsi="Cambria Math" w:cs="Arial"/>
                <w:lang w:eastAsia="ja-JP"/>
              </w:rPr>
              <m:t>i,t</m:t>
            </m:r>
          </m:sub>
          <m:sup>
            <m:r>
              <m:rPr>
                <m:nor/>
              </m:rPr>
              <w:rPr>
                <w:rFonts w:ascii="Arial" w:hAnsi="Arial" w:cs="Arial"/>
                <w:lang w:eastAsia="ja-JP"/>
              </w:rPr>
              <m:t>SOV</m:t>
            </m:r>
          </m:sup>
        </m:sSubSup>
      </m:oMath>
      <w:r w:rsidRPr="00D352A2">
        <w:rPr>
          <w:rFonts w:ascii="Arial" w:hAnsi="Arial" w:cs="Arial"/>
          <w:color w:val="000000"/>
          <w:lang w:eastAsia="ja-JP"/>
        </w:rPr>
        <w:t> and </w:t>
      </w:r>
      <m:oMath>
        <m:sSubSup>
          <m:sSubSupPr>
            <m:ctrlPr>
              <w:rPr>
                <w:rFonts w:ascii="Cambria Math" w:hAnsi="Cambria Math" w:cs="Arial"/>
                <w:lang w:eastAsia="ja-JP"/>
              </w:rPr>
            </m:ctrlPr>
          </m:sSubSupPr>
          <m:e>
            <m:acc>
              <m:accPr>
                <m:chr m:val="ˉ"/>
                <m:ctrlPr>
                  <w:rPr>
                    <w:rFonts w:ascii="Cambria Math" w:hAnsi="Cambria Math" w:cs="Arial"/>
                    <w:lang w:eastAsia="ja-JP"/>
                  </w:rPr>
                </m:ctrlPr>
              </m:accPr>
              <m:e>
                <m:r>
                  <w:rPr>
                    <w:rFonts w:ascii="Cambria Math" w:hAnsi="Cambria Math" w:cs="Arial"/>
                    <w:lang w:eastAsia="ja-JP"/>
                  </w:rPr>
                  <m:t>B</m:t>
                </m:r>
              </m:e>
            </m:acc>
          </m:e>
          <m:sub>
            <m:r>
              <w:rPr>
                <w:rFonts w:ascii="Cambria Math" w:hAnsi="Cambria Math" w:cs="Arial"/>
                <w:lang w:eastAsia="ja-JP"/>
              </w:rPr>
              <m:t>i,t</m:t>
            </m:r>
          </m:sub>
          <m:sup>
            <m:r>
              <m:rPr>
                <m:nor/>
              </m:rPr>
              <w:rPr>
                <w:rFonts w:ascii="Arial" w:hAnsi="Arial" w:cs="Arial"/>
                <w:lang w:eastAsia="ja-JP"/>
              </w:rPr>
              <m:t>FA</m:t>
            </m:r>
          </m:sup>
        </m:sSubSup>
      </m:oMath>
      <w:r w:rsidRPr="00D352A2">
        <w:rPr>
          <w:rFonts w:ascii="Arial" w:hAnsi="Arial" w:cs="Arial"/>
          <w:color w:val="000000"/>
          <w:lang w:eastAsia="ja-JP"/>
        </w:rPr>
        <w:t> largely unchanged.</w:t>
      </w:r>
    </w:p>
    <w:p w14:paraId="0D1793EF" w14:textId="2D18C14E" w:rsidR="00494350" w:rsidRDefault="00494350" w:rsidP="00A2278D">
      <w:pPr>
        <w:pStyle w:val="NormalWeb"/>
        <w:rPr>
          <w:rFonts w:ascii="Arial" w:hAnsi="Arial" w:cs="Arial"/>
          <w:color w:val="000000"/>
          <w:sz w:val="20"/>
          <w:szCs w:val="20"/>
        </w:rPr>
      </w:pPr>
      <w:r w:rsidRPr="00494350">
        <w:rPr>
          <w:rFonts w:ascii="Arial" w:hAnsi="Arial" w:cs="Arial"/>
          <w:color w:val="000000"/>
          <w:sz w:val="20"/>
          <w:szCs w:val="20"/>
        </w:rPr>
        <w:t xml:space="preserve">This asymmetric substitutability implies that de-dollarization is not uniformly constrained but functionally priced through nonlinear macro-financial risk. </w:t>
      </w:r>
      <w:r w:rsidR="00084A08" w:rsidRPr="00084A08">
        <w:rPr>
          <w:rFonts w:ascii="Arial" w:hAnsi="Arial" w:cs="Arial"/>
          <w:color w:val="000000"/>
          <w:sz w:val="20"/>
          <w:szCs w:val="20"/>
        </w:rPr>
        <w:t>Figure 2 illustrates how stability costs vary with the availability of non-dollar monetary infrastructure. The horizontal axis measures </w:t>
      </w:r>
      <m:oMath>
        <m:sSub>
          <m:sSubPr>
            <m:ctrlPr>
              <w:rPr>
                <w:rFonts w:ascii="Cambria Math" w:hAnsi="Cambria Math" w:cs="Arial"/>
                <w:color w:val="000000"/>
                <w:sz w:val="20"/>
                <w:szCs w:val="20"/>
              </w:rPr>
            </m:ctrlPr>
          </m:sSubPr>
          <m:e>
            <m:r>
              <w:rPr>
                <w:rFonts w:ascii="Cambria Math" w:hAnsi="Cambria Math" w:cs="Arial"/>
                <w:color w:val="000000"/>
                <w:sz w:val="20"/>
                <w:szCs w:val="20"/>
              </w:rPr>
              <m:t>B</m:t>
            </m:r>
          </m:e>
          <m:sub>
            <m:r>
              <w:rPr>
                <w:rFonts w:ascii="Cambria Math" w:hAnsi="Cambria Math" w:cs="Arial"/>
                <w:color w:val="000000"/>
                <w:sz w:val="20"/>
                <w:szCs w:val="20"/>
              </w:rPr>
              <m:t>i,t</m:t>
            </m:r>
          </m:sub>
        </m:sSub>
        <m:r>
          <w:rPr>
            <w:rFonts w:ascii="Cambria Math" w:hAnsi="Cambria Math" w:cs="Arial"/>
            <w:color w:val="000000"/>
            <w:sz w:val="20"/>
            <w:szCs w:val="20"/>
          </w:rPr>
          <m:t>(f)</m:t>
        </m:r>
      </m:oMath>
      <w:r w:rsidR="00084A08" w:rsidRPr="00084A08">
        <w:rPr>
          <w:rFonts w:ascii="Arial" w:hAnsi="Arial" w:cs="Arial"/>
          <w:color w:val="000000"/>
          <w:sz w:val="20"/>
          <w:szCs w:val="20"/>
        </w:rPr>
        <w:t>, the feasible infrastructure capacity supporting function </w:t>
      </w:r>
      <m:oMath>
        <m:r>
          <w:rPr>
            <w:rFonts w:ascii="Cambria Math" w:hAnsi="Cambria Math" w:cs="Arial"/>
            <w:color w:val="000000"/>
            <w:sz w:val="20"/>
            <w:szCs w:val="20"/>
          </w:rPr>
          <m:t>f</m:t>
        </m:r>
      </m:oMath>
      <w:r w:rsidR="00084A08" w:rsidRPr="00084A08">
        <w:rPr>
          <w:rFonts w:ascii="Arial" w:hAnsi="Arial" w:cs="Arial"/>
          <w:color w:val="000000"/>
          <w:sz w:val="20"/>
          <w:szCs w:val="20"/>
        </w:rPr>
        <w:t>, while the vertical axis plots the stability cost of substituting away from the dollar. Stability costs are relatively small and increase gradually for unit-of-account (UA) and medium-of-exchange (MOE) functions, reflecting the low infrastructure intensity of transactional substitution enabled by policy coordination, payment-system interoperability, and contractual standardization. By contrast, the cost schedule is sharply convex for store-of-value (SOV) and financial-anchoring (FA) functions, capturing safe-asset scarcity, incomplete hedging markets, and balance-sheet exposure. Once feasibility bounds are approached, marginal de-dollarization in these functions ceases to be stabilizing and instead becomes destabilizing, generating rapidly increasing losses in output, financing conditions, and settlement efficiency. This asymmetry underpins the partial and stratified nature of de-dollarization.</w:t>
      </w:r>
    </w:p>
    <w:p w14:paraId="416B5235" w14:textId="5976DDDE" w:rsidR="00110BB9" w:rsidRPr="00110BB9" w:rsidRDefault="00110BB9" w:rsidP="00A2278D">
      <w:pPr>
        <w:pStyle w:val="NormalWeb"/>
        <w:rPr>
          <w:rFonts w:ascii="Arial" w:hAnsi="Arial" w:cs="Arial"/>
          <w:b/>
          <w:bCs/>
          <w:color w:val="000000"/>
          <w:sz w:val="20"/>
          <w:szCs w:val="20"/>
        </w:rPr>
      </w:pPr>
      <w:r w:rsidRPr="00110BB9">
        <w:rPr>
          <w:rFonts w:ascii="Arial" w:hAnsi="Arial" w:cs="Arial"/>
          <w:b/>
          <w:bCs/>
          <w:color w:val="000000"/>
          <w:sz w:val="20"/>
          <w:szCs w:val="20"/>
        </w:rPr>
        <w:t>Figure 2. Nonlinear Feasibility and Instability of Functional De-Dollarization</w:t>
      </w:r>
    </w:p>
    <w:p w14:paraId="0CA7F842" w14:textId="2EABAA90" w:rsidR="00494350" w:rsidRPr="00180480" w:rsidRDefault="00110BB9" w:rsidP="00A2278D">
      <w:pPr>
        <w:pStyle w:val="NormalWeb"/>
        <w:rPr>
          <w:rFonts w:ascii="Arial" w:hAnsi="Arial" w:cs="Arial"/>
          <w:color w:val="000000"/>
          <w:sz w:val="20"/>
          <w:szCs w:val="20"/>
        </w:rPr>
      </w:pPr>
      <w:r w:rsidRPr="00110BB9">
        <w:rPr>
          <w:rFonts w:ascii="Arial" w:hAnsi="Arial" w:cs="Arial"/>
          <w:noProof/>
          <w:color w:val="000000"/>
          <w:sz w:val="20"/>
          <w:szCs w:val="20"/>
        </w:rPr>
        <w:lastRenderedPageBreak/>
        <w:drawing>
          <wp:inline distT="0" distB="0" distL="0" distR="0" wp14:anchorId="0ABB3447" wp14:editId="737E8CF7">
            <wp:extent cx="5212080" cy="3127375"/>
            <wp:effectExtent l="0" t="0" r="0" b="0"/>
            <wp:docPr id="1951453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53391" name=""/>
                    <pic:cNvPicPr/>
                  </pic:nvPicPr>
                  <pic:blipFill>
                    <a:blip r:embed="rId14"/>
                    <a:stretch>
                      <a:fillRect/>
                    </a:stretch>
                  </pic:blipFill>
                  <pic:spPr>
                    <a:xfrm>
                      <a:off x="0" y="0"/>
                      <a:ext cx="5212080" cy="3127375"/>
                    </a:xfrm>
                    <a:prstGeom prst="rect">
                      <a:avLst/>
                    </a:prstGeom>
                  </pic:spPr>
                </pic:pic>
              </a:graphicData>
            </a:graphic>
          </wp:inline>
        </w:drawing>
      </w:r>
    </w:p>
    <w:p w14:paraId="2BB59325" w14:textId="77777777" w:rsidR="00A2278D" w:rsidRPr="00180480" w:rsidRDefault="00A2278D" w:rsidP="00A2278D">
      <w:pPr>
        <w:pStyle w:val="NormalWeb"/>
        <w:rPr>
          <w:rFonts w:ascii="Arial" w:hAnsi="Arial" w:cs="Arial"/>
          <w:color w:val="000000"/>
          <w:sz w:val="20"/>
          <w:szCs w:val="20"/>
        </w:rPr>
      </w:pPr>
      <w:r w:rsidRPr="00180480">
        <w:rPr>
          <w:rFonts w:ascii="Arial" w:hAnsi="Arial" w:cs="Arial"/>
          <w:color w:val="000000"/>
          <w:sz w:val="20"/>
          <w:szCs w:val="20"/>
        </w:rPr>
        <w:t>Define the</w:t>
      </w:r>
      <w:r w:rsidRPr="00180480">
        <w:rPr>
          <w:rStyle w:val="apple-converted-space"/>
          <w:rFonts w:ascii="Arial" w:hAnsi="Arial" w:cs="Arial"/>
          <w:color w:val="000000"/>
          <w:sz w:val="20"/>
          <w:szCs w:val="20"/>
        </w:rPr>
        <w:t> </w:t>
      </w:r>
      <w:r w:rsidRPr="00180480">
        <w:rPr>
          <w:rStyle w:val="Strong"/>
          <w:rFonts w:ascii="Arial" w:hAnsi="Arial" w:cs="Arial"/>
          <w:b w:val="0"/>
          <w:bCs w:val="0"/>
          <w:color w:val="000000"/>
          <w:sz w:val="20"/>
          <w:szCs w:val="20"/>
        </w:rPr>
        <w:t>Functional De-Dollarization Index (FDI)</w:t>
      </w:r>
      <w:r w:rsidRPr="00180480">
        <w:rPr>
          <w:rStyle w:val="apple-converted-space"/>
          <w:rFonts w:ascii="Arial" w:hAnsi="Arial" w:cs="Arial"/>
          <w:color w:val="000000"/>
          <w:sz w:val="20"/>
          <w:szCs w:val="20"/>
        </w:rPr>
        <w:t> </w:t>
      </w:r>
      <w:r w:rsidRPr="00180480">
        <w:rPr>
          <w:rFonts w:ascii="Arial" w:hAnsi="Arial" w:cs="Arial"/>
          <w:color w:val="000000"/>
          <w:sz w:val="20"/>
          <w:szCs w:val="20"/>
        </w:rPr>
        <w:t>as:</w:t>
      </w:r>
    </w:p>
    <w:p w14:paraId="6FDAC6E2" w14:textId="30068D95" w:rsidR="00A2278D" w:rsidRPr="00180480" w:rsidRDefault="00A2278D" w:rsidP="00A2278D">
      <w:pPr>
        <w:rPr>
          <w:rFonts w:ascii="Arial" w:hAnsi="Arial" w:cs="Arial"/>
        </w:rPr>
      </w:pPr>
      <m:oMathPara>
        <m:oMath>
          <m:r>
            <w:rPr>
              <w:rFonts w:ascii="Cambria Math" w:hAnsi="Cambria Math" w:cs="Arial"/>
            </w:rPr>
            <m:t>FD</m:t>
          </m:r>
          <m:sSub>
            <m:sSubPr>
              <m:ctrlPr>
                <w:rPr>
                  <w:rFonts w:ascii="Cambria Math" w:hAnsi="Cambria Math" w:cs="Arial"/>
                </w:rPr>
              </m:ctrlPr>
            </m:sSubPr>
            <m:e>
              <m:r>
                <w:rPr>
                  <w:rFonts w:ascii="Cambria Math" w:hAnsi="Cambria Math" w:cs="Arial"/>
                </w:rPr>
                <m:t>I</m:t>
              </m:r>
            </m:e>
            <m:sub>
              <m:r>
                <w:rPr>
                  <w:rFonts w:ascii="Cambria Math" w:hAnsi="Cambria Math" w:cs="Arial"/>
                </w:rPr>
                <m:t>i,t</m:t>
              </m:r>
            </m:sub>
          </m:sSub>
          <m:r>
            <w:rPr>
              <w:rFonts w:ascii="Cambria Math" w:hAnsi="Cambria Math" w:cs="Arial"/>
            </w:rPr>
            <m:t>=</m:t>
          </m:r>
          <m:nary>
            <m:naryPr>
              <m:chr m:val="∑"/>
              <m:limLoc m:val="undOvr"/>
              <m:grow m:val="1"/>
              <m:supHide m:val="1"/>
              <m:ctrlPr>
                <w:rPr>
                  <w:rFonts w:ascii="Cambria Math" w:hAnsi="Cambria Math" w:cs="Arial"/>
                </w:rPr>
              </m:ctrlPr>
            </m:naryPr>
            <m:sub>
              <m:r>
                <w:rPr>
                  <w:rFonts w:ascii="Cambria Math" w:hAnsi="Cambria Math" w:cs="Arial"/>
                </w:rPr>
                <m:t>f∈{UA,MOE,SOV,FA}</m:t>
              </m:r>
            </m:sub>
            <m:sup/>
            <m:e>
              <m:sSub>
                <m:sSubPr>
                  <m:ctrlPr>
                    <w:rPr>
                      <w:rFonts w:ascii="Cambria Math" w:hAnsi="Cambria Math" w:cs="Arial"/>
                    </w:rPr>
                  </m:ctrlPr>
                </m:sSubPr>
                <m:e>
                  <m:r>
                    <w:rPr>
                      <w:rFonts w:ascii="Cambria Math" w:hAnsi="Cambria Math" w:cs="Arial"/>
                    </w:rPr>
                    <m:t>w</m:t>
                  </m:r>
                </m:e>
                <m:sub>
                  <m:r>
                    <w:rPr>
                      <w:rFonts w:ascii="Cambria Math" w:hAnsi="Cambria Math" w:cs="Arial"/>
                    </w:rPr>
                    <m:t>f</m:t>
                  </m:r>
                </m:sub>
              </m:sSub>
            </m:e>
          </m:nary>
          <m:r>
            <m:rPr>
              <m:nor/>
            </m:rPr>
            <w:rPr>
              <w:rFonts w:ascii="Arial" w:hAnsi="Arial" w:cs="Arial"/>
            </w:rPr>
            <m:t> </m:t>
          </m:r>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m:t>
          </m:r>
          <m:nary>
            <m:naryPr>
              <m:chr m:val="∑"/>
              <m:limLoc m:val="undOvr"/>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w</m:t>
                  </m:r>
                </m:e>
                <m:sub>
                  <m:r>
                    <w:rPr>
                      <w:rFonts w:ascii="Cambria Math" w:hAnsi="Cambria Math" w:cs="Arial"/>
                    </w:rPr>
                    <m:t>f</m:t>
                  </m:r>
                </m:sub>
              </m:sSub>
            </m:e>
          </m:nary>
          <m:r>
            <w:rPr>
              <w:rFonts w:ascii="Cambria Math" w:hAnsi="Cambria Math" w:cs="Arial"/>
            </w:rPr>
            <m:t>=1</m:t>
          </m:r>
          <m:r>
            <m:rPr>
              <m:sty m:val="p"/>
            </m:rPr>
            <w:rPr>
              <w:rFonts w:ascii="Arial" w:hAnsi="Arial" w:cs="Arial"/>
            </w:rPr>
            <w:br/>
          </m:r>
        </m:oMath>
      </m:oMathPara>
    </w:p>
    <w:p w14:paraId="7F5A5146" w14:textId="5F468D34" w:rsidR="00A2278D" w:rsidRPr="00180480" w:rsidRDefault="00A2278D" w:rsidP="00180480">
      <w:pPr>
        <w:pStyle w:val="NormalWeb"/>
        <w:rPr>
          <w:rFonts w:ascii="Arial" w:hAnsi="Arial" w:cs="Arial"/>
          <w:color w:val="000000"/>
          <w:sz w:val="20"/>
          <w:szCs w:val="20"/>
        </w:rPr>
      </w:pPr>
      <w:r w:rsidRPr="00180480">
        <w:rPr>
          <w:rFonts w:ascii="Arial" w:hAnsi="Arial" w:cs="Arial"/>
          <w:color w:val="000000"/>
          <w:sz w:val="20"/>
          <w:szCs w:val="20"/>
        </w:rPr>
        <w:t>The substantive theoretical point is that identical increases in FDI can be driven by fundamentally different margins. UA- and MOE-driven bypass is institutionally light, while SOV- and FA-driven bypass is institutionally heavy and tightly constrained. Stablecoins disproportionately affect the former margin.</w:t>
      </w:r>
    </w:p>
    <w:p w14:paraId="46ECEA68" w14:textId="77777777" w:rsidR="00A2278D" w:rsidRPr="00180480" w:rsidRDefault="00A2278D" w:rsidP="00A2278D">
      <w:pPr>
        <w:pStyle w:val="Heading2"/>
        <w:rPr>
          <w:rFonts w:ascii="Arial" w:hAnsi="Arial" w:cs="Arial"/>
          <w:b/>
          <w:bCs/>
          <w:color w:val="000000"/>
          <w:sz w:val="20"/>
          <w:szCs w:val="20"/>
        </w:rPr>
      </w:pPr>
      <w:r w:rsidRPr="00180480">
        <w:rPr>
          <w:rFonts w:ascii="Arial" w:hAnsi="Arial" w:cs="Arial"/>
          <w:b/>
          <w:bCs/>
          <w:color w:val="000000"/>
          <w:sz w:val="20"/>
          <w:szCs w:val="20"/>
        </w:rPr>
        <w:t>2.3 FDI as “Effective Sovereignty”: De-Dollarization Is Priced, Not Blocked</w:t>
      </w:r>
    </w:p>
    <w:p w14:paraId="17AAD680" w14:textId="77777777" w:rsidR="001B6246" w:rsidRPr="001B6246" w:rsidRDefault="001B6246" w:rsidP="001B6246">
      <w:pPr>
        <w:pStyle w:val="NormalWeb"/>
        <w:rPr>
          <w:rFonts w:ascii="Arial" w:hAnsi="Arial" w:cs="Arial"/>
          <w:color w:val="000000"/>
          <w:sz w:val="20"/>
          <w:szCs w:val="20"/>
        </w:rPr>
      </w:pPr>
      <w:r w:rsidRPr="001B6246">
        <w:rPr>
          <w:rFonts w:ascii="Arial" w:hAnsi="Arial" w:cs="Arial"/>
          <w:color w:val="000000"/>
          <w:sz w:val="20"/>
          <w:szCs w:val="20"/>
        </w:rPr>
        <w:t>Define the Functional De-Dollarization Index (FDI) as a weighted aggregation of functional bypass across monetary roles:</w:t>
      </w:r>
    </w:p>
    <w:p w14:paraId="0FF3A84C" w14:textId="3E292AC3" w:rsidR="001B6246" w:rsidRPr="001B6246" w:rsidRDefault="001B6246" w:rsidP="001B6246">
      <w:pPr>
        <w:pStyle w:val="NormalWeb"/>
        <w:rPr>
          <w:rFonts w:ascii="Arial" w:hAnsi="Arial" w:cs="Arial"/>
          <w:color w:val="000000"/>
          <w:sz w:val="20"/>
          <w:szCs w:val="20"/>
        </w:rPr>
      </w:pPr>
      <m:oMathPara>
        <m:oMath>
          <m:r>
            <w:rPr>
              <w:rFonts w:ascii="Cambria Math" w:hAnsi="Cambria Math" w:cs="Arial"/>
              <w:color w:val="000000"/>
              <w:sz w:val="20"/>
              <w:szCs w:val="20"/>
            </w:rPr>
            <m:t>FD</m:t>
          </m:r>
          <m:sSub>
            <m:sSubPr>
              <m:ctrlPr>
                <w:rPr>
                  <w:rFonts w:ascii="Cambria Math" w:hAnsi="Cambria Math" w:cs="Arial"/>
                  <w:color w:val="000000"/>
                  <w:sz w:val="20"/>
                  <w:szCs w:val="20"/>
                </w:rPr>
              </m:ctrlPr>
            </m:sSubPr>
            <m:e>
              <m:r>
                <w:rPr>
                  <w:rFonts w:ascii="Cambria Math" w:hAnsi="Cambria Math" w:cs="Arial"/>
                  <w:color w:val="000000"/>
                  <w:sz w:val="20"/>
                  <w:szCs w:val="20"/>
                </w:rPr>
                <m:t>I</m:t>
              </m:r>
            </m:e>
            <m:sub>
              <m:r>
                <w:rPr>
                  <w:rFonts w:ascii="Cambria Math" w:hAnsi="Cambria Math" w:cs="Arial"/>
                  <w:color w:val="000000"/>
                  <w:sz w:val="20"/>
                  <w:szCs w:val="20"/>
                </w:rPr>
                <m:t>i,t</m:t>
              </m:r>
            </m:sub>
          </m:sSub>
          <m:r>
            <w:rPr>
              <w:rFonts w:ascii="Cambria Math" w:hAnsi="Cambria Math" w:cs="Arial"/>
              <w:color w:val="000000"/>
              <w:sz w:val="20"/>
              <w:szCs w:val="20"/>
            </w:rPr>
            <m:t>=</m:t>
          </m:r>
          <m:nary>
            <m:naryPr>
              <m:chr m:val="∑"/>
              <m:limLoc m:val="undOvr"/>
              <m:grow m:val="1"/>
              <m:supHide m:val="1"/>
              <m:ctrlPr>
                <w:rPr>
                  <w:rFonts w:ascii="Cambria Math" w:hAnsi="Cambria Math" w:cs="Arial"/>
                  <w:color w:val="000000"/>
                  <w:sz w:val="20"/>
                  <w:szCs w:val="20"/>
                </w:rPr>
              </m:ctrlPr>
            </m:naryPr>
            <m:sub>
              <m:r>
                <w:rPr>
                  <w:rFonts w:ascii="Cambria Math" w:hAnsi="Cambria Math" w:cs="Arial"/>
                  <w:color w:val="000000"/>
                  <w:sz w:val="20"/>
                  <w:szCs w:val="20"/>
                </w:rPr>
                <m:t>f∈{UA,MOE,SOV,FA}</m:t>
              </m:r>
            </m:sub>
            <m:sup/>
            <m:e>
              <m:sSub>
                <m:sSubPr>
                  <m:ctrlPr>
                    <w:rPr>
                      <w:rFonts w:ascii="Cambria Math" w:hAnsi="Cambria Math" w:cs="Arial"/>
                      <w:color w:val="000000"/>
                      <w:sz w:val="20"/>
                      <w:szCs w:val="20"/>
                    </w:rPr>
                  </m:ctrlPr>
                </m:sSubPr>
                <m:e>
                  <m:r>
                    <w:rPr>
                      <w:rFonts w:ascii="Cambria Math" w:hAnsi="Cambria Math" w:cs="Arial"/>
                      <w:color w:val="000000"/>
                      <w:sz w:val="20"/>
                      <w:szCs w:val="20"/>
                    </w:rPr>
                    <m:t>w</m:t>
                  </m:r>
                </m:e>
                <m:sub>
                  <m:r>
                    <w:rPr>
                      <w:rFonts w:ascii="Cambria Math" w:hAnsi="Cambria Math" w:cs="Arial"/>
                      <w:color w:val="000000"/>
                      <w:sz w:val="20"/>
                      <w:szCs w:val="20"/>
                    </w:rPr>
                    <m:t>f</m:t>
                  </m:r>
                </m:sub>
              </m:sSub>
            </m:e>
          </m:nary>
          <m:sSub>
            <m:sSubPr>
              <m:ctrlPr>
                <w:rPr>
                  <w:rFonts w:ascii="Cambria Math" w:hAnsi="Cambria Math" w:cs="Arial"/>
                  <w:color w:val="000000"/>
                  <w:sz w:val="20"/>
                  <w:szCs w:val="20"/>
                </w:rPr>
              </m:ctrlPr>
            </m:sSubPr>
            <m:e>
              <m:r>
                <w:rPr>
                  <w:rFonts w:ascii="Cambria Math" w:hAnsi="Cambria Math" w:cs="Arial"/>
                  <w:color w:val="000000"/>
                  <w:sz w:val="20"/>
                  <w:szCs w:val="20"/>
                </w:rPr>
                <m:t>B</m:t>
              </m:r>
            </m:e>
            <m:sub>
              <m:r>
                <w:rPr>
                  <w:rFonts w:ascii="Cambria Math" w:hAnsi="Cambria Math" w:cs="Arial"/>
                  <w:color w:val="000000"/>
                  <w:sz w:val="20"/>
                  <w:szCs w:val="20"/>
                </w:rPr>
                <m:t>i,t</m:t>
              </m:r>
            </m:sub>
          </m:sSub>
          <m:r>
            <w:rPr>
              <w:rFonts w:ascii="Cambria Math" w:hAnsi="Cambria Math" w:cs="Arial"/>
              <w:color w:val="000000"/>
              <w:sz w:val="20"/>
              <w:szCs w:val="20"/>
            </w:rPr>
            <m:t>(f),</m:t>
          </m:r>
          <m:nary>
            <m:naryPr>
              <m:chr m:val="∑"/>
              <m:limLoc m:val="undOvr"/>
              <m:grow m:val="1"/>
              <m:supHide m:val="1"/>
              <m:ctrlPr>
                <w:rPr>
                  <w:rFonts w:ascii="Cambria Math" w:hAnsi="Cambria Math" w:cs="Arial"/>
                  <w:color w:val="000000"/>
                  <w:sz w:val="20"/>
                  <w:szCs w:val="20"/>
                </w:rPr>
              </m:ctrlPr>
            </m:naryPr>
            <m:sub>
              <m:r>
                <w:rPr>
                  <w:rFonts w:ascii="Cambria Math" w:hAnsi="Cambria Math" w:cs="Arial"/>
                  <w:color w:val="000000"/>
                  <w:sz w:val="20"/>
                  <w:szCs w:val="20"/>
                </w:rPr>
                <m:t>f</m:t>
              </m:r>
            </m:sub>
            <m:sup/>
            <m:e>
              <m:sSub>
                <m:sSubPr>
                  <m:ctrlPr>
                    <w:rPr>
                      <w:rFonts w:ascii="Cambria Math" w:hAnsi="Cambria Math" w:cs="Arial"/>
                      <w:color w:val="000000"/>
                      <w:sz w:val="20"/>
                      <w:szCs w:val="20"/>
                    </w:rPr>
                  </m:ctrlPr>
                </m:sSubPr>
                <m:e>
                  <m:r>
                    <w:rPr>
                      <w:rFonts w:ascii="Cambria Math" w:hAnsi="Cambria Math" w:cs="Arial"/>
                      <w:color w:val="000000"/>
                      <w:sz w:val="20"/>
                      <w:szCs w:val="20"/>
                    </w:rPr>
                    <m:t>w</m:t>
                  </m:r>
                </m:e>
                <m:sub>
                  <m:r>
                    <w:rPr>
                      <w:rFonts w:ascii="Cambria Math" w:hAnsi="Cambria Math" w:cs="Arial"/>
                      <w:color w:val="000000"/>
                      <w:sz w:val="20"/>
                      <w:szCs w:val="20"/>
                    </w:rPr>
                    <m:t>f</m:t>
                  </m:r>
                </m:sub>
              </m:sSub>
            </m:e>
          </m:nary>
          <m:r>
            <w:rPr>
              <w:rFonts w:ascii="Cambria Math" w:hAnsi="Cambria Math" w:cs="Arial"/>
              <w:color w:val="000000"/>
              <w:sz w:val="20"/>
              <w:szCs w:val="20"/>
            </w:rPr>
            <m:t>=1</m:t>
          </m:r>
          <m:r>
            <m:rPr>
              <m:sty m:val="p"/>
            </m:rPr>
            <w:rPr>
              <w:rFonts w:ascii="Arial" w:hAnsi="Arial" w:cs="Arial"/>
              <w:color w:val="000000"/>
              <w:sz w:val="20"/>
              <w:szCs w:val="20"/>
            </w:rPr>
            <w:br/>
          </m:r>
        </m:oMath>
      </m:oMathPara>
    </w:p>
    <w:p w14:paraId="118C1D24" w14:textId="77777777" w:rsidR="001B6246" w:rsidRPr="001B6246" w:rsidRDefault="001B6246" w:rsidP="001B6246">
      <w:pPr>
        <w:pStyle w:val="NormalWeb"/>
        <w:rPr>
          <w:rFonts w:ascii="Arial" w:hAnsi="Arial" w:cs="Arial"/>
          <w:color w:val="000000"/>
          <w:sz w:val="20"/>
          <w:szCs w:val="20"/>
        </w:rPr>
      </w:pPr>
      <w:r w:rsidRPr="001B6246">
        <w:rPr>
          <w:rFonts w:ascii="Arial" w:hAnsi="Arial" w:cs="Arial"/>
          <w:color w:val="000000"/>
          <w:sz w:val="20"/>
          <w:szCs w:val="20"/>
        </w:rPr>
        <w:t>The substantive theoretical point is that identical increases in FDI can be driven by fundamentally different margins. Increases driven by unit-of-account (UA) or medium-of-exchange (MOE) bypass are institutionally light, reflecting changes in invoicing conventions, settlement coordination, or payment technologies. By contrast, increases driven by store-of-value (SOV) or financial-anchoring (FA) bypass are institutionally heavy and tightly constrained by safe-asset availability, hedging depth, and balance-sheet capacity. Digital payment technologies and stablecoins therefore disproportionately affect transactional margins, potentially raising measured de-dollarization without relaxing the underlying constraints that govern monetary safety and external finance.</w:t>
      </w:r>
    </w:p>
    <w:p w14:paraId="4746A407" w14:textId="77777777" w:rsidR="001B6246" w:rsidRPr="001B6246" w:rsidRDefault="001B6246" w:rsidP="001B6246">
      <w:pPr>
        <w:pStyle w:val="NormalWeb"/>
        <w:rPr>
          <w:rFonts w:ascii="Arial" w:hAnsi="Arial" w:cs="Arial"/>
          <w:color w:val="000000"/>
          <w:sz w:val="20"/>
          <w:szCs w:val="20"/>
        </w:rPr>
      </w:pPr>
      <w:r w:rsidRPr="001B6246">
        <w:rPr>
          <w:rFonts w:ascii="Arial" w:hAnsi="Arial" w:cs="Arial"/>
          <w:color w:val="000000"/>
          <w:sz w:val="20"/>
          <w:szCs w:val="20"/>
        </w:rPr>
        <w:lastRenderedPageBreak/>
        <w:t>FDI is not, by construction, a welfare function. Rather, it is an accounting index summarizing the extent and composition of functional bypass. To give the index policy and welfare interpretation, it is mapped into the concept of effective sovereignty—defined as monetary autonomy net of the macro-financial costs required to sustain it. De-dollarization is not mechanically blocked by the international monetary system; instead, it is priced. Functional substitution increases effective sovereignty when viable substitutes exist, but becomes destabilizing when attempted in safety- or finance-critical roles before supporting infrastructure is in place.</w:t>
      </w:r>
    </w:p>
    <w:p w14:paraId="57B391F4" w14:textId="76FBB1AA" w:rsidR="001B6246" w:rsidRDefault="001B6246" w:rsidP="003B7BB9">
      <w:pPr>
        <w:pStyle w:val="NormalWeb"/>
        <w:rPr>
          <w:rFonts w:ascii="Arial" w:hAnsi="Arial" w:cs="Arial"/>
          <w:color w:val="000000"/>
          <w:sz w:val="20"/>
          <w:szCs w:val="20"/>
        </w:rPr>
      </w:pPr>
      <w:r w:rsidRPr="001B6246">
        <w:rPr>
          <w:rFonts w:ascii="Arial" w:hAnsi="Arial" w:cs="Arial"/>
          <w:color w:val="000000"/>
          <w:sz w:val="20"/>
          <w:szCs w:val="20"/>
        </w:rPr>
        <w:t>The weights </w:t>
      </w:r>
      <m:oMath>
        <m:sSub>
          <m:sSubPr>
            <m:ctrlPr>
              <w:rPr>
                <w:rFonts w:ascii="Cambria Math" w:hAnsi="Cambria Math" w:cs="Arial"/>
                <w:color w:val="000000"/>
                <w:sz w:val="20"/>
                <w:szCs w:val="20"/>
              </w:rPr>
            </m:ctrlPr>
          </m:sSubPr>
          <m:e>
            <m:r>
              <w:rPr>
                <w:rFonts w:ascii="Cambria Math" w:hAnsi="Cambria Math" w:cs="Arial"/>
                <w:color w:val="000000"/>
                <w:sz w:val="20"/>
                <w:szCs w:val="20"/>
              </w:rPr>
              <m:t>w</m:t>
            </m:r>
          </m:e>
          <m:sub>
            <m:r>
              <w:rPr>
                <w:rFonts w:ascii="Cambria Math" w:hAnsi="Cambria Math" w:cs="Arial"/>
                <w:color w:val="000000"/>
                <w:sz w:val="20"/>
                <w:szCs w:val="20"/>
              </w:rPr>
              <m:t>f</m:t>
            </m:r>
          </m:sub>
        </m:sSub>
      </m:oMath>
      <w:r w:rsidRPr="001B6246">
        <w:rPr>
          <w:rFonts w:ascii="Arial" w:hAnsi="Arial" w:cs="Arial"/>
          <w:color w:val="000000"/>
          <w:sz w:val="20"/>
          <w:szCs w:val="20"/>
        </w:rPr>
        <w:t> capture the contribution of each monetary function to effective sovereignty. As a neutral benchmark, the baseline specification assigns equal weights </w:t>
      </w:r>
      <m:oMath>
        <m:sSub>
          <m:sSubPr>
            <m:ctrlPr>
              <w:rPr>
                <w:rFonts w:ascii="Cambria Math" w:hAnsi="Cambria Math" w:cs="Arial"/>
                <w:color w:val="000000"/>
                <w:sz w:val="20"/>
                <w:szCs w:val="20"/>
              </w:rPr>
            </m:ctrlPr>
          </m:sSubPr>
          <m:e>
            <m:r>
              <w:rPr>
                <w:rFonts w:ascii="Cambria Math" w:hAnsi="Cambria Math" w:cs="Arial"/>
                <w:color w:val="000000"/>
                <w:sz w:val="20"/>
                <w:szCs w:val="20"/>
              </w:rPr>
              <m:t>w</m:t>
            </m:r>
          </m:e>
          <m:sub>
            <m:r>
              <w:rPr>
                <w:rFonts w:ascii="Cambria Math" w:hAnsi="Cambria Math" w:cs="Arial"/>
                <w:color w:val="000000"/>
                <w:sz w:val="20"/>
                <w:szCs w:val="20"/>
              </w:rPr>
              <m:t>f</m:t>
            </m:r>
          </m:sub>
        </m:sSub>
        <m:r>
          <w:rPr>
            <w:rFonts w:ascii="Cambria Math" w:hAnsi="Cambria Math" w:cs="Arial"/>
            <w:color w:val="000000"/>
            <w:sz w:val="20"/>
            <w:szCs w:val="20"/>
          </w:rPr>
          <m:t>=0.25</m:t>
        </m:r>
      </m:oMath>
      <w:r w:rsidRPr="001B6246">
        <w:rPr>
          <w:rFonts w:ascii="Arial" w:hAnsi="Arial" w:cs="Arial"/>
          <w:color w:val="000000"/>
          <w:sz w:val="20"/>
          <w:szCs w:val="20"/>
        </w:rPr>
        <w:t>, treating all functions symmetrically and avoiding a priori normative judgments about their relative importance. This benchmark highlights that the paper’s central results depend on which functions drive de-dollarization, rather than on the precise weighting scheme. For welfare analysis, alternative risk-based weighting schemes can be considered, in which weights increase with crisis-loss sensitivity and are inversely related to domestic financial depth. Under such schemes, bypass in store-of-value and financial-anchoring functions receives greater weight in financially shallow economies, while transactional functions receive lower weight.</w:t>
      </w:r>
    </w:p>
    <w:p w14:paraId="23A6CC08" w14:textId="639B4BB0" w:rsidR="003B7BB9" w:rsidRDefault="003B7BB9" w:rsidP="003B7BB9">
      <w:pPr>
        <w:pStyle w:val="NormalWeb"/>
        <w:rPr>
          <w:rFonts w:ascii="Arial" w:hAnsi="Arial" w:cs="Arial"/>
          <w:color w:val="000000"/>
          <w:sz w:val="20"/>
          <w:szCs w:val="20"/>
        </w:rPr>
      </w:pPr>
      <w:r w:rsidRPr="003B7BB9">
        <w:rPr>
          <w:rFonts w:ascii="Arial" w:hAnsi="Arial" w:cs="Arial"/>
          <w:color w:val="000000"/>
          <w:sz w:val="20"/>
          <w:szCs w:val="20"/>
        </w:rPr>
        <w:t>Interpreting FDI requires an explicit welfare mapping. Let </w:t>
      </w:r>
      <m:oMath>
        <m:sSub>
          <m:sSubPr>
            <m:ctrlPr>
              <w:rPr>
                <w:rFonts w:ascii="Cambria Math" w:hAnsi="Cambria Math" w:cs="Arial"/>
                <w:color w:val="000000"/>
                <w:sz w:val="20"/>
                <w:szCs w:val="20"/>
              </w:rPr>
            </m:ctrlPr>
          </m:sSubPr>
          <m:e>
            <m:r>
              <w:rPr>
                <w:rFonts w:ascii="Cambria Math" w:hAnsi="Cambria Math" w:cs="Arial"/>
                <w:color w:val="000000"/>
                <w:sz w:val="20"/>
                <w:szCs w:val="20"/>
              </w:rPr>
              <m:t>W</m:t>
            </m:r>
          </m:e>
          <m:sub>
            <m:r>
              <w:rPr>
                <w:rFonts w:ascii="Cambria Math" w:hAnsi="Cambria Math" w:cs="Arial"/>
                <w:color w:val="000000"/>
                <w:sz w:val="20"/>
                <w:szCs w:val="20"/>
              </w:rPr>
              <m:t>i,t</m:t>
            </m:r>
          </m:sub>
        </m:sSub>
      </m:oMath>
      <w:r w:rsidRPr="003B7BB9">
        <w:rPr>
          <w:rFonts w:ascii="Arial" w:hAnsi="Arial" w:cs="Arial"/>
          <w:color w:val="000000"/>
          <w:sz w:val="20"/>
          <w:szCs w:val="20"/>
        </w:rPr>
        <w:t> denote country welfare. A marginal increase in functional bypass yields autonomy gains—greater policy space, insulation from foreign jurisdiction, and strategic flexibility—but also generates stability losses through increased balance-sheet risk, liquidity exposure, and rollover vulnerability. A local welfare change from marginal bypass can therefore be written as</w:t>
      </w:r>
    </w:p>
    <w:p w14:paraId="50EE1ABC" w14:textId="32E81778" w:rsidR="003B7BB9" w:rsidRPr="003B7BB9" w:rsidRDefault="003B7BB9" w:rsidP="003B7BB9">
      <w:pPr>
        <w:rPr>
          <w:rFonts w:ascii="Arial" w:hAnsi="Arial" w:cs="Arial"/>
        </w:rPr>
      </w:pPr>
      <m:oMathPara>
        <m:oMath>
          <m:r>
            <m:rPr>
              <m:sty m:val="p"/>
            </m:rPr>
            <w:rPr>
              <w:rFonts w:ascii="Cambria Math" w:hAnsi="Cambria Math" w:cs="Arial"/>
            </w:rPr>
            <m:t>Δ</m:t>
          </m:r>
          <m:sSub>
            <m:sSubPr>
              <m:ctrlPr>
                <w:rPr>
                  <w:rFonts w:ascii="Cambria Math" w:hAnsi="Cambria Math" w:cs="Arial"/>
                </w:rPr>
              </m:ctrlPr>
            </m:sSubPr>
            <m:e>
              <m:r>
                <w:rPr>
                  <w:rFonts w:ascii="Cambria Math" w:hAnsi="Cambria Math" w:cs="Arial"/>
                </w:rPr>
                <m:t>W</m:t>
              </m:r>
            </m:e>
            <m:sub>
              <m:r>
                <w:rPr>
                  <w:rFonts w:ascii="Cambria Math" w:hAnsi="Cambria Math" w:cs="Arial"/>
                </w:rPr>
                <m:t>i,t</m:t>
              </m:r>
            </m:sub>
          </m:sSub>
          <m:r>
            <w:rPr>
              <w:rFonts w:ascii="Cambria Math" w:hAnsi="Cambria Math" w:cs="Arial"/>
            </w:rPr>
            <m:t>=</m:t>
          </m:r>
          <m:limLow>
            <m:limLowPr>
              <m:ctrlPr>
                <w:rPr>
                  <w:rFonts w:ascii="Cambria Math" w:hAnsi="Cambria Math" w:cs="Arial"/>
                </w:rPr>
              </m:ctrlPr>
            </m:limLowPr>
            <m:e>
              <m:limLow>
                <m:limLowPr>
                  <m:ctrlPr>
                    <w:rPr>
                      <w:rFonts w:ascii="Cambria Math" w:hAnsi="Cambria Math" w:cs="Arial"/>
                    </w:rPr>
                  </m:ctrlPr>
                </m:limLowPr>
                <m:e>
                  <m:nary>
                    <m:naryPr>
                      <m:chr m:val="∑"/>
                      <m:limLoc m:val="undOvr"/>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μ</m:t>
                          </m:r>
                        </m:e>
                        <m:sub>
                          <m:r>
                            <w:rPr>
                              <w:rFonts w:ascii="Cambria Math" w:hAnsi="Cambria Math" w:cs="Arial"/>
                            </w:rPr>
                            <m:t>f</m:t>
                          </m:r>
                        </m:sub>
                      </m:sSub>
                    </m:e>
                  </m:nary>
                  <m:r>
                    <m:rPr>
                      <m:nor/>
                    </m:rPr>
                    <w:rPr>
                      <w:rFonts w:ascii="Arial" w:hAnsi="Arial" w:cs="Arial"/>
                    </w:rPr>
                    <m:t> </m:t>
                  </m:r>
                  <m:r>
                    <m:rPr>
                      <m:sty m:val="p"/>
                    </m:rPr>
                    <w:rPr>
                      <w:rFonts w:ascii="Cambria Math" w:hAnsi="Cambria Math" w:cs="Arial"/>
                    </w:rPr>
                    <m:t>Δ</m:t>
                  </m:r>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m:t>
                  </m:r>
                </m:e>
                <m:lim>
                  <m:r>
                    <w:rPr>
                      <w:rFonts w:ascii="Cambria Math" w:hAnsi="Cambria Math" w:cs="Arial"/>
                    </w:rPr>
                    <m:t>⏟</m:t>
                  </m:r>
                </m:lim>
              </m:limLow>
            </m:e>
            <m:lim>
              <m:r>
                <m:rPr>
                  <m:nor/>
                </m:rPr>
                <w:rPr>
                  <w:rFonts w:ascii="Arial" w:hAnsi="Arial" w:cs="Arial"/>
                </w:rPr>
                <m:t>sovereignty gain</m:t>
              </m:r>
            </m:lim>
          </m:limLow>
          <m:r>
            <w:rPr>
              <w:rFonts w:ascii="Cambria Math" w:hAnsi="Cambria Math" w:cs="Arial"/>
            </w:rPr>
            <m:t>-</m:t>
          </m:r>
          <m:limLow>
            <m:limLowPr>
              <m:ctrlPr>
                <w:rPr>
                  <w:rFonts w:ascii="Cambria Math" w:hAnsi="Cambria Math" w:cs="Arial"/>
                </w:rPr>
              </m:ctrlPr>
            </m:limLowPr>
            <m:e>
              <m:limLow>
                <m:limLowPr>
                  <m:ctrlPr>
                    <w:rPr>
                      <w:rFonts w:ascii="Cambria Math" w:hAnsi="Cambria Math" w:cs="Arial"/>
                    </w:rPr>
                  </m:ctrlPr>
                </m:limLowPr>
                <m:e>
                  <m:nary>
                    <m:naryPr>
                      <m:chr m:val="∑"/>
                      <m:limLoc m:val="undOvr"/>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ν</m:t>
                          </m:r>
                        </m:e>
                        <m:sub>
                          <m:r>
                            <w:rPr>
                              <w:rFonts w:ascii="Cambria Math" w:hAnsi="Cambria Math" w:cs="Arial"/>
                            </w:rPr>
                            <m:t>i,t</m:t>
                          </m:r>
                        </m:sub>
                      </m:sSub>
                    </m:e>
                  </m:nary>
                  <m:r>
                    <w:rPr>
                      <w:rFonts w:ascii="Cambria Math" w:hAnsi="Cambria Math" w:cs="Arial"/>
                    </w:rPr>
                    <m:t>(f)</m:t>
                  </m:r>
                  <m:r>
                    <m:rPr>
                      <m:nor/>
                    </m:rPr>
                    <w:rPr>
                      <w:rFonts w:ascii="Arial" w:hAnsi="Arial" w:cs="Arial"/>
                    </w:rPr>
                    <m:t> </m:t>
                  </m:r>
                  <m:r>
                    <m:rPr>
                      <m:sty m:val="p"/>
                    </m:rPr>
                    <w:rPr>
                      <w:rFonts w:ascii="Cambria Math" w:hAnsi="Cambria Math" w:cs="Arial"/>
                    </w:rPr>
                    <m:t>Δ</m:t>
                  </m:r>
                  <m:r>
                    <w:rPr>
                      <w:rFonts w:ascii="Cambria Math" w:hAnsi="Cambria Math" w:cs="Arial"/>
                    </w:rPr>
                    <m:t>Ris</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(f)</m:t>
                  </m:r>
                </m:e>
                <m:lim>
                  <m:r>
                    <w:rPr>
                      <w:rFonts w:ascii="Cambria Math" w:hAnsi="Cambria Math" w:cs="Arial"/>
                    </w:rPr>
                    <m:t>⏟</m:t>
                  </m:r>
                </m:lim>
              </m:limLow>
            </m:e>
            <m:lim>
              <m:r>
                <m:rPr>
                  <m:nor/>
                </m:rPr>
                <w:rPr>
                  <w:rFonts w:ascii="Arial" w:hAnsi="Arial" w:cs="Arial"/>
                </w:rPr>
                <m:t>stability loss</m:t>
              </m:r>
            </m:lim>
          </m:limLow>
          <m:r>
            <m:rPr>
              <m:sty m:val="p"/>
            </m:rPr>
            <w:rPr>
              <w:rFonts w:ascii="Arial" w:hAnsi="Arial" w:cs="Arial"/>
              <w:color w:val="000000"/>
              <w:lang w:eastAsia="ja-JP"/>
            </w:rPr>
            <w:br/>
          </m:r>
        </m:oMath>
      </m:oMathPara>
    </w:p>
    <w:p w14:paraId="5984713E" w14:textId="58A796C8" w:rsidR="003B7BB9" w:rsidRPr="003B7BB9" w:rsidRDefault="003B7BB9" w:rsidP="003B7BB9">
      <w:pPr>
        <w:pStyle w:val="NormalWeb"/>
        <w:rPr>
          <w:rFonts w:ascii="Arial" w:hAnsi="Arial" w:cs="Arial"/>
          <w:color w:val="000000"/>
          <w:sz w:val="20"/>
          <w:szCs w:val="20"/>
        </w:rPr>
      </w:pPr>
      <w:r w:rsidRPr="003B7BB9">
        <w:rPr>
          <w:rFonts w:ascii="Arial" w:hAnsi="Arial" w:cs="Arial"/>
          <w:color w:val="000000"/>
          <w:sz w:val="20"/>
          <w:szCs w:val="20"/>
        </w:rPr>
        <w:t>where </w:t>
      </w:r>
      <m:oMath>
        <m:sSub>
          <m:sSubPr>
            <m:ctrlPr>
              <w:rPr>
                <w:rFonts w:ascii="Cambria Math" w:hAnsi="Cambria Math" w:cs="Arial"/>
                <w:color w:val="000000"/>
                <w:sz w:val="20"/>
                <w:szCs w:val="20"/>
              </w:rPr>
            </m:ctrlPr>
          </m:sSubPr>
          <m:e>
            <m:r>
              <w:rPr>
                <w:rFonts w:ascii="Cambria Math" w:hAnsi="Cambria Math" w:cs="Arial"/>
                <w:color w:val="000000"/>
                <w:sz w:val="20"/>
                <w:szCs w:val="20"/>
              </w:rPr>
              <m:t>μ</m:t>
            </m:r>
          </m:e>
          <m:sub>
            <m:r>
              <w:rPr>
                <w:rFonts w:ascii="Cambria Math" w:hAnsi="Cambria Math" w:cs="Arial"/>
                <w:color w:val="000000"/>
                <w:sz w:val="20"/>
                <w:szCs w:val="20"/>
              </w:rPr>
              <m:t>f</m:t>
            </m:r>
          </m:sub>
        </m:sSub>
        <m:r>
          <w:rPr>
            <w:rFonts w:ascii="Cambria Math" w:hAnsi="Cambria Math" w:cs="Arial"/>
            <w:color w:val="000000"/>
            <w:sz w:val="20"/>
            <w:szCs w:val="20"/>
          </w:rPr>
          <m:t>≥0</m:t>
        </m:r>
      </m:oMath>
      <w:r w:rsidRPr="003B7BB9">
        <w:rPr>
          <w:rFonts w:ascii="Arial" w:hAnsi="Arial" w:cs="Arial"/>
          <w:color w:val="000000"/>
          <w:sz w:val="20"/>
          <w:szCs w:val="20"/>
        </w:rPr>
        <w:t> maps bypass into autonomy gains and </w:t>
      </w:r>
      <m:oMath>
        <m:sSub>
          <m:sSubPr>
            <m:ctrlPr>
              <w:rPr>
                <w:rFonts w:ascii="Cambria Math" w:hAnsi="Cambria Math" w:cs="Arial"/>
                <w:color w:val="000000"/>
                <w:sz w:val="20"/>
                <w:szCs w:val="20"/>
              </w:rPr>
            </m:ctrlPr>
          </m:sSubPr>
          <m:e>
            <m:r>
              <w:rPr>
                <w:rFonts w:ascii="Cambria Math" w:hAnsi="Cambria Math" w:cs="Arial"/>
                <w:color w:val="000000"/>
                <w:sz w:val="20"/>
                <w:szCs w:val="20"/>
              </w:rPr>
              <m:t>ν</m:t>
            </m:r>
          </m:e>
          <m:sub>
            <m:r>
              <w:rPr>
                <w:rFonts w:ascii="Cambria Math" w:hAnsi="Cambria Math" w:cs="Arial"/>
                <w:color w:val="000000"/>
                <w:sz w:val="20"/>
                <w:szCs w:val="20"/>
              </w:rPr>
              <m:t>i,t</m:t>
            </m:r>
          </m:sub>
        </m:sSub>
        <m:r>
          <w:rPr>
            <w:rFonts w:ascii="Cambria Math" w:hAnsi="Cambria Math" w:cs="Arial"/>
            <w:color w:val="000000"/>
            <w:sz w:val="20"/>
            <w:szCs w:val="20"/>
          </w:rPr>
          <m:t>(f)≥0</m:t>
        </m:r>
      </m:oMath>
      <w:r w:rsidRPr="003B7BB9">
        <w:rPr>
          <w:rFonts w:ascii="Arial" w:hAnsi="Arial" w:cs="Arial"/>
          <w:color w:val="000000"/>
          <w:sz w:val="20"/>
          <w:szCs w:val="20"/>
        </w:rPr>
        <w:t> weights the stability costs associated with bypass in function </w:t>
      </w:r>
      <m:oMath>
        <m:r>
          <w:rPr>
            <w:rFonts w:ascii="Cambria Math" w:hAnsi="Cambria Math" w:cs="Arial"/>
            <w:color w:val="000000"/>
            <w:sz w:val="20"/>
            <w:szCs w:val="20"/>
          </w:rPr>
          <m:t>f</m:t>
        </m:r>
      </m:oMath>
      <w:r w:rsidRPr="003B7BB9">
        <w:rPr>
          <w:rFonts w:ascii="Arial" w:hAnsi="Arial" w:cs="Arial"/>
          <w:color w:val="000000"/>
          <w:sz w:val="20"/>
          <w:szCs w:val="20"/>
        </w:rPr>
        <w:t>. These costs depend on domestic financial depth and external conditions. In financially shallow economies, the stability penalties associated with store-of-value and financial-anchoring bypass are high, reflecting safe-asset scarcity, incomplete hedging markets, and currency mismatch, while the penalties associated with unit-of-account and medium-of-exchange bypass are comparatively low. A reduced-form representation consistent with this logic treats stability costs in safety- and finance-critical functions as inversely proportional to financial depth.</w:t>
      </w:r>
    </w:p>
    <w:p w14:paraId="48F93449" w14:textId="77777777" w:rsidR="003B7BB9" w:rsidRPr="003B7BB9" w:rsidRDefault="003B7BB9" w:rsidP="003B7BB9">
      <w:pPr>
        <w:pStyle w:val="NormalWeb"/>
        <w:rPr>
          <w:rFonts w:ascii="Arial" w:hAnsi="Arial" w:cs="Arial"/>
          <w:color w:val="000000"/>
          <w:sz w:val="20"/>
          <w:szCs w:val="20"/>
        </w:rPr>
      </w:pPr>
      <w:r w:rsidRPr="003B7BB9">
        <w:rPr>
          <w:rFonts w:ascii="Arial" w:hAnsi="Arial" w:cs="Arial"/>
          <w:color w:val="000000"/>
          <w:sz w:val="20"/>
          <w:szCs w:val="20"/>
        </w:rPr>
        <w:t>This formulation clarifies the meaning of effective sovereignty. Effective sovereignty rises with functional bypass when viable substitutes exist and required infrastructure is in place. When such substitutes are absent, however, additional bypass increases fragility and reduces policy space rather than expanding it. FDI therefore measures sovereignty net of the macro-financial costs required to sustain it, not simply the extent of dollar avoidance.</w:t>
      </w:r>
    </w:p>
    <w:p w14:paraId="1B57A96A" w14:textId="61ED7A76" w:rsidR="003B7BB9" w:rsidRPr="003B7BB9" w:rsidRDefault="003B7BB9" w:rsidP="003B7BB9">
      <w:pPr>
        <w:pStyle w:val="NormalWeb"/>
        <w:rPr>
          <w:rFonts w:ascii="Arial" w:hAnsi="Arial" w:cs="Arial"/>
          <w:color w:val="000000"/>
          <w:sz w:val="20"/>
          <w:szCs w:val="20"/>
        </w:rPr>
      </w:pPr>
      <w:r w:rsidRPr="003B7BB9">
        <w:rPr>
          <w:rFonts w:ascii="Arial" w:hAnsi="Arial" w:cs="Arial"/>
          <w:color w:val="000000"/>
          <w:sz w:val="20"/>
          <w:szCs w:val="20"/>
        </w:rPr>
        <w:t>Operationalizing FDI requires empirical proxies for total functional activity </w:t>
      </w:r>
      <m:oMath>
        <m:sSub>
          <m:sSubPr>
            <m:ctrlPr>
              <w:rPr>
                <w:rFonts w:ascii="Cambria Math" w:hAnsi="Cambria Math" w:cs="Arial"/>
                <w:color w:val="000000"/>
                <w:sz w:val="20"/>
                <w:szCs w:val="20"/>
              </w:rPr>
            </m:ctrlPr>
          </m:sSubPr>
          <m:e>
            <m:r>
              <w:rPr>
                <w:rFonts w:ascii="Cambria Math" w:hAnsi="Cambria Math" w:cs="Arial"/>
                <w:color w:val="000000"/>
                <w:sz w:val="20"/>
                <w:szCs w:val="20"/>
              </w:rPr>
              <m:t>A</m:t>
            </m:r>
          </m:e>
          <m:sub>
            <m:r>
              <w:rPr>
                <w:rFonts w:ascii="Cambria Math" w:hAnsi="Cambria Math" w:cs="Arial"/>
                <w:color w:val="000000"/>
                <w:sz w:val="20"/>
                <w:szCs w:val="20"/>
              </w:rPr>
              <m:t>i,t</m:t>
            </m:r>
          </m:sub>
        </m:sSub>
        <m:r>
          <w:rPr>
            <w:rFonts w:ascii="Cambria Math" w:hAnsi="Cambria Math" w:cs="Arial"/>
            <w:color w:val="000000"/>
            <w:sz w:val="20"/>
            <w:szCs w:val="20"/>
          </w:rPr>
          <m:t>(f)</m:t>
        </m:r>
      </m:oMath>
      <w:r w:rsidRPr="003B7BB9">
        <w:rPr>
          <w:rFonts w:ascii="Arial" w:hAnsi="Arial" w:cs="Arial"/>
          <w:color w:val="000000"/>
          <w:sz w:val="20"/>
          <w:szCs w:val="20"/>
        </w:rPr>
        <w:t> and dollar-referenced activity </w:t>
      </w:r>
      <m:oMath>
        <m:sSub>
          <m:sSubPr>
            <m:ctrlPr>
              <w:rPr>
                <w:rFonts w:ascii="Cambria Math" w:hAnsi="Cambria Math" w:cs="Arial"/>
                <w:color w:val="000000"/>
                <w:sz w:val="20"/>
                <w:szCs w:val="20"/>
              </w:rPr>
            </m:ctrlPr>
          </m:sSubPr>
          <m:e>
            <m:r>
              <w:rPr>
                <w:rFonts w:ascii="Cambria Math" w:hAnsi="Cambria Math" w:cs="Arial"/>
                <w:color w:val="000000"/>
                <w:sz w:val="20"/>
                <w:szCs w:val="20"/>
              </w:rPr>
              <m:t>D</m:t>
            </m:r>
          </m:e>
          <m:sub>
            <m:r>
              <w:rPr>
                <w:rFonts w:ascii="Cambria Math" w:hAnsi="Cambria Math" w:cs="Arial"/>
                <w:color w:val="000000"/>
                <w:sz w:val="20"/>
                <w:szCs w:val="20"/>
              </w:rPr>
              <m:t>i,t</m:t>
            </m:r>
          </m:sub>
        </m:sSub>
        <m:r>
          <w:rPr>
            <w:rFonts w:ascii="Cambria Math" w:hAnsi="Cambria Math" w:cs="Arial"/>
            <w:color w:val="000000"/>
            <w:sz w:val="20"/>
            <w:szCs w:val="20"/>
          </w:rPr>
          <m:t>(f)</m:t>
        </m:r>
      </m:oMath>
      <w:r w:rsidRPr="003B7BB9">
        <w:rPr>
          <w:rFonts w:ascii="Arial" w:hAnsi="Arial" w:cs="Arial"/>
          <w:color w:val="000000"/>
          <w:sz w:val="20"/>
          <w:szCs w:val="20"/>
        </w:rPr>
        <w:t xml:space="preserve">. In practice, these are necessarily imperfect. For unit-of-account functions, total activity can be proxied by trade flows, with dollar activity measured by the share of exports and imports invoiced in USD. For medium-of-exchange functions, total </w:t>
      </w:r>
      <w:r w:rsidRPr="003B7BB9">
        <w:rPr>
          <w:rFonts w:ascii="Arial" w:hAnsi="Arial" w:cs="Arial"/>
          <w:color w:val="000000"/>
          <w:sz w:val="20"/>
          <w:szCs w:val="20"/>
        </w:rPr>
        <w:lastRenderedPageBreak/>
        <w:t>activity corresponds to cross-border payment volumes, with dollar activity captured by the USD share of SWIFT payments or correspondent banking flows. For store-of-value functions, total activity includes private savings and official reserves, with dollar activity measured by the USD share of reserves and domestic dollar deposits. For financial-anchoring functions, total activity reflects external debt and hedging demand, with dollar activity proxied by the share of external debt denominated in USD and turnover in USD-based derivatives markets. Data limitations—particularly for offshore dollar use and derivative exposures—imply that empirical FDI measures should be interpreted as lower bounds on functional dollar dependence.</w:t>
      </w:r>
    </w:p>
    <w:p w14:paraId="0D0B19A2" w14:textId="77777777" w:rsidR="003B7BB9" w:rsidRPr="003B7BB9" w:rsidRDefault="003B7BB9" w:rsidP="003B7BB9">
      <w:pPr>
        <w:pStyle w:val="NormalWeb"/>
        <w:rPr>
          <w:rFonts w:ascii="Arial" w:hAnsi="Arial" w:cs="Arial"/>
          <w:color w:val="000000"/>
          <w:sz w:val="20"/>
          <w:szCs w:val="20"/>
        </w:rPr>
      </w:pPr>
      <w:r w:rsidRPr="003B7BB9">
        <w:rPr>
          <w:rFonts w:ascii="Arial" w:hAnsi="Arial" w:cs="Arial"/>
          <w:color w:val="000000"/>
          <w:sz w:val="20"/>
          <w:szCs w:val="20"/>
        </w:rPr>
        <w:t>Under this framework, FDI does not measure “less dollar usage” per se. It measures the extent to which a country has achieved effective monetary sovereignty without incurring destabilizing macro-financial costs. Transactional substitution can raise FDI mechanically by reducing reliance on the dollar in pricing or payments, while leaving underlying safety and financial dependence unchanged. In this sense, digital payment technologies and USD-backed stablecoins may increase measured bypass in transactional functions while leaving the pricing of sovereignty—set by safe-asset availability and hedging depth—largely unaffected.</w:t>
      </w:r>
    </w:p>
    <w:p w14:paraId="2083EED1" w14:textId="06FF6AA5" w:rsidR="00A2278D" w:rsidRPr="00180480" w:rsidRDefault="00A2278D" w:rsidP="00A2278D">
      <w:pPr>
        <w:pStyle w:val="Heading2"/>
        <w:rPr>
          <w:rFonts w:ascii="Arial" w:hAnsi="Arial" w:cs="Arial"/>
          <w:b/>
          <w:bCs/>
          <w:color w:val="000000"/>
          <w:sz w:val="20"/>
          <w:szCs w:val="20"/>
        </w:rPr>
      </w:pPr>
      <w:r w:rsidRPr="00180480">
        <w:rPr>
          <w:rFonts w:ascii="Arial" w:hAnsi="Arial" w:cs="Arial"/>
          <w:b/>
          <w:bCs/>
          <w:color w:val="000000"/>
          <w:sz w:val="20"/>
          <w:szCs w:val="20"/>
        </w:rPr>
        <w:t xml:space="preserve">2.4 Systemic Stability: Balance-Sheet and Settlement Nonlinearities </w:t>
      </w:r>
    </w:p>
    <w:p w14:paraId="6EF0E099"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Why does comprehensive or forced de-dollarization generate nonlinear instability in the Global South? The mechanism is that bypass in financial anchoring and settlement amplifies macroeconomic volatility through balance-sheet mismatch, state-contingent financing elasticities, and settlement efficiency.</w:t>
      </w:r>
    </w:p>
    <w:p w14:paraId="29E546E5" w14:textId="77777777" w:rsidR="000A151B" w:rsidRPr="000A151B" w:rsidRDefault="000A151B" w:rsidP="000A151B">
      <w:pPr>
        <w:pStyle w:val="Heading4"/>
        <w:rPr>
          <w:rFonts w:ascii="Arial" w:hAnsi="Arial" w:cs="Arial"/>
          <w:b/>
          <w:bCs/>
          <w:i w:val="0"/>
          <w:iCs w:val="0"/>
          <w:color w:val="000000"/>
        </w:rPr>
      </w:pPr>
      <w:r w:rsidRPr="000A151B">
        <w:rPr>
          <w:rFonts w:ascii="Arial" w:hAnsi="Arial" w:cs="Arial"/>
          <w:b/>
          <w:bCs/>
          <w:i w:val="0"/>
          <w:iCs w:val="0"/>
          <w:color w:val="000000"/>
        </w:rPr>
        <w:t>Balance-sheet channel</w:t>
      </w:r>
    </w:p>
    <w:p w14:paraId="5BDD75AA"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Let currency-mismatch risk increase with bypass in financial anchoring:</w:t>
      </w:r>
    </w:p>
    <w:p w14:paraId="59F7D69E" w14:textId="5B5407CC" w:rsidR="000A151B" w:rsidRPr="000A151B" w:rsidRDefault="000A151B" w:rsidP="000A151B">
      <w:pPr>
        <w:rPr>
          <w:rFonts w:ascii="Arial" w:hAnsi="Arial" w:cs="Arial"/>
        </w:rPr>
      </w:pPr>
      <m:oMathPara>
        <m:oMath>
          <m:r>
            <w:rPr>
              <w:rFonts w:ascii="Cambria Math" w:hAnsi="Cambria Math" w:cs="Arial"/>
            </w:rPr>
            <m:t>FXRis</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f>
            <m:fPr>
              <m:ctrlPr>
                <w:rPr>
                  <w:rFonts w:ascii="Cambria Math" w:hAnsi="Cambria Math" w:cs="Arial"/>
                </w:rPr>
              </m:ctrlPr>
            </m:fPr>
            <m:num>
              <m:r>
                <m:rPr>
                  <m:sty m:val="p"/>
                </m:rPr>
                <w:rPr>
                  <w:rFonts w:ascii="Cambria Math" w:hAnsi="Cambria Math" w:cs="Arial"/>
                </w:rPr>
                <m:t>∂Var</m:t>
              </m:r>
              <m:r>
                <w:rPr>
                  <w:rFonts w:ascii="Cambria Math" w:hAnsi="Cambria Math" w:cs="Arial"/>
                </w:rPr>
                <m:t>(N</m:t>
              </m:r>
              <m:sSub>
                <m:sSubPr>
                  <m:ctrlPr>
                    <w:rPr>
                      <w:rFonts w:ascii="Cambria Math" w:hAnsi="Cambria Math" w:cs="Arial"/>
                    </w:rPr>
                  </m:ctrlPr>
                </m:sSubPr>
                <m:e>
                  <m:r>
                    <w:rPr>
                      <w:rFonts w:ascii="Cambria Math" w:hAnsi="Cambria Math" w:cs="Arial"/>
                    </w:rPr>
                    <m:t>W</m:t>
                  </m:r>
                </m:e>
                <m:sub>
                  <m:r>
                    <w:rPr>
                      <w:rFonts w:ascii="Cambria Math" w:hAnsi="Cambria Math" w:cs="Arial"/>
                    </w:rPr>
                    <m:t>i,t</m:t>
                  </m:r>
                </m:sub>
              </m:sSub>
              <m:r>
                <w:rPr>
                  <w:rFonts w:ascii="Cambria Math" w:hAnsi="Cambria Math" w:cs="Arial"/>
                </w:rPr>
                <m:t>)</m:t>
              </m:r>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den>
          </m:f>
          <m:r>
            <w:rPr>
              <w:rFonts w:ascii="Cambria Math" w:hAnsi="Cambria Math" w:cs="Arial"/>
            </w:rPr>
            <m:t>&gt;0</m:t>
          </m:r>
          <m:r>
            <m:rPr>
              <m:sty m:val="p"/>
            </m:rPr>
            <w:rPr>
              <w:rFonts w:ascii="Arial" w:hAnsi="Arial" w:cs="Arial"/>
            </w:rPr>
            <w:br/>
          </m:r>
        </m:oMath>
      </m:oMathPara>
    </w:p>
    <w:p w14:paraId="13F15FC4"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where</w:t>
      </w:r>
      <w:r w:rsidRPr="000A151B">
        <w:rPr>
          <w:rStyle w:val="apple-converted-space"/>
          <w:rFonts w:ascii="Arial" w:hAnsi="Arial" w:cs="Arial"/>
          <w:color w:val="000000"/>
          <w:sz w:val="20"/>
          <w:szCs w:val="20"/>
        </w:rPr>
        <w:t> </w:t>
      </w:r>
      <m:oMath>
        <m:r>
          <w:rPr>
            <w:rFonts w:ascii="Cambria Math" w:hAnsi="Cambria Math" w:cs="Arial"/>
            <w:sz w:val="20"/>
            <w:szCs w:val="20"/>
          </w:rPr>
          <m:t>N</m:t>
        </m:r>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i,t</m:t>
            </m:r>
          </m:sub>
        </m:sSub>
      </m:oMath>
      <w:r w:rsidRPr="000A151B">
        <w:rPr>
          <w:rStyle w:val="apple-converted-space"/>
          <w:rFonts w:ascii="Arial" w:hAnsi="Arial" w:cs="Arial"/>
          <w:color w:val="000000"/>
          <w:sz w:val="20"/>
          <w:szCs w:val="20"/>
        </w:rPr>
        <w:t> </w:t>
      </w:r>
      <w:r w:rsidRPr="000A151B">
        <w:rPr>
          <w:rFonts w:ascii="Arial" w:hAnsi="Arial" w:cs="Arial"/>
          <w:color w:val="000000"/>
          <w:sz w:val="20"/>
          <w:szCs w:val="20"/>
        </w:rPr>
        <w:t>denotes net worth and</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η</m:t>
            </m:r>
          </m:e>
          <m:sub>
            <m:r>
              <w:rPr>
                <w:rFonts w:ascii="Cambria Math" w:hAnsi="Cambria Math" w:cs="Arial"/>
                <w:sz w:val="20"/>
                <w:szCs w:val="20"/>
              </w:rPr>
              <m:t>i</m:t>
            </m:r>
          </m:sub>
        </m:sSub>
      </m:oMath>
      <w:r w:rsidRPr="000A151B">
        <w:rPr>
          <w:rStyle w:val="apple-converted-space"/>
          <w:rFonts w:ascii="Arial" w:hAnsi="Arial" w:cs="Arial"/>
          <w:color w:val="000000"/>
          <w:sz w:val="20"/>
          <w:szCs w:val="20"/>
        </w:rPr>
        <w:t> </w:t>
      </w:r>
      <w:r w:rsidRPr="000A151B">
        <w:rPr>
          <w:rFonts w:ascii="Arial" w:hAnsi="Arial" w:cs="Arial"/>
          <w:color w:val="000000"/>
          <w:sz w:val="20"/>
          <w:szCs w:val="20"/>
        </w:rPr>
        <w:t>is larger when hedging markets are thin. External financing inflows depend on global risk aversion</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σ</m:t>
            </m:r>
          </m:e>
          <m:sub>
            <m:r>
              <w:rPr>
                <w:rFonts w:ascii="Cambria Math" w:hAnsi="Cambria Math" w:cs="Arial"/>
                <w:sz w:val="20"/>
                <w:szCs w:val="20"/>
              </w:rPr>
              <m:t>t</m:t>
            </m:r>
          </m:sub>
        </m:sSub>
      </m:oMath>
      <w:r w:rsidRPr="000A151B">
        <w:rPr>
          <w:rStyle w:val="apple-converted-space"/>
          <w:rFonts w:ascii="Arial" w:hAnsi="Arial" w:cs="Arial"/>
          <w:color w:val="000000"/>
          <w:sz w:val="20"/>
          <w:szCs w:val="20"/>
        </w:rPr>
        <w:t> </w:t>
      </w:r>
      <w:r w:rsidRPr="000A151B">
        <w:rPr>
          <w:rFonts w:ascii="Arial" w:hAnsi="Arial" w:cs="Arial"/>
          <w:color w:val="000000"/>
          <w:sz w:val="20"/>
          <w:szCs w:val="20"/>
        </w:rPr>
        <w:t>and local mismatch:</w:t>
      </w:r>
    </w:p>
    <w:p w14:paraId="2DF3990D" w14:textId="5EFA4B3E" w:rsidR="000A151B" w:rsidRPr="000A151B" w:rsidRDefault="00C96DFF" w:rsidP="000A151B">
      <w:pPr>
        <w:rPr>
          <w:rFonts w:ascii="Arial" w:hAnsi="Arial" w:cs="Arial"/>
        </w:rPr>
      </w:pPr>
      <m:oMathPara>
        <m:oMath>
          <m:sSub>
            <m:sSubPr>
              <m:ctrlPr>
                <w:rPr>
                  <w:rFonts w:ascii="Cambria Math" w:hAnsi="Cambria Math" w:cs="Arial"/>
                </w:rPr>
              </m:ctrlPr>
            </m:sSubPr>
            <m:e>
              <m:r>
                <w:rPr>
                  <w:rFonts w:ascii="Cambria Math" w:hAnsi="Cambria Math" w:cs="Arial"/>
                </w:rPr>
                <m:t>F</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sSub>
            <m:sSubPr>
              <m:ctrlPr>
                <w:rPr>
                  <w:rFonts w:ascii="Cambria Math" w:hAnsi="Cambria Math" w:cs="Arial"/>
                </w:rPr>
              </m:ctrlPr>
            </m:sSubPr>
            <m:e>
              <m:acc>
                <m:accPr>
                  <m:chr m:val="ˉ"/>
                  <m:ctrlPr>
                    <w:rPr>
                      <w:rFonts w:ascii="Cambria Math" w:hAnsi="Cambria Math" w:cs="Arial"/>
                    </w:rPr>
                  </m:ctrlPr>
                </m:accPr>
                <m:e>
                  <m:r>
                    <w:rPr>
                      <w:rFonts w:ascii="Cambria Math" w:hAnsi="Cambria Math" w:cs="Arial"/>
                    </w:rPr>
                    <m:t>F</m:t>
                  </m:r>
                </m:e>
              </m:acc>
            </m:e>
            <m:sub>
              <m:r>
                <w:rPr>
                  <w:rFonts w:ascii="Cambria Math" w:hAnsi="Cambria Math" w:cs="Arial"/>
                </w:rPr>
                <m:t>i</m:t>
              </m:r>
            </m:sub>
          </m:sSub>
          <m:r>
            <w:rPr>
              <w:rFonts w:ascii="Cambria Math" w:hAnsi="Cambria Math" w:cs="Arial"/>
            </w:rPr>
            <m:t>-</m:t>
          </m:r>
          <m:r>
            <w:rPr>
              <w:rFonts w:ascii="Cambria Math" w:hAnsi="Cambria Math" w:cs="Arial"/>
            </w:rPr>
            <m:t>ψ</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r>
            <w:rPr>
              <w:rFonts w:ascii="Cambria Math" w:hAnsi="Cambria Math" w:cs="Arial"/>
            </w:rPr>
            <m:t>-</m:t>
          </m:r>
          <m:r>
            <w:rPr>
              <w:rFonts w:ascii="Cambria Math" w:hAnsi="Cambria Math" w:cs="Arial"/>
            </w:rPr>
            <m:t>χFXRis</m:t>
          </m:r>
          <m:sSub>
            <m:sSubPr>
              <m:ctrlPr>
                <w:rPr>
                  <w:rFonts w:ascii="Cambria Math" w:hAnsi="Cambria Math" w:cs="Arial"/>
                </w:rPr>
              </m:ctrlPr>
            </m:sSubPr>
            <m:e>
              <m:r>
                <w:rPr>
                  <w:rFonts w:ascii="Cambria Math" w:hAnsi="Cambria Math" w:cs="Arial"/>
                </w:rPr>
                <m:t>k</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sSub>
            <m:sSubPr>
              <m:ctrlPr>
                <w:rPr>
                  <w:rFonts w:ascii="Cambria Math" w:hAnsi="Cambria Math" w:cs="Arial"/>
                </w:rPr>
              </m:ctrlPr>
            </m:sSubPr>
            <m:e>
              <m:acc>
                <m:accPr>
                  <m:chr m:val="ˉ"/>
                  <m:ctrlPr>
                    <w:rPr>
                      <w:rFonts w:ascii="Cambria Math" w:hAnsi="Cambria Math" w:cs="Arial"/>
                    </w:rPr>
                  </m:ctrlPr>
                </m:accPr>
                <m:e>
                  <m:r>
                    <w:rPr>
                      <w:rFonts w:ascii="Cambria Math" w:hAnsi="Cambria Math" w:cs="Arial"/>
                    </w:rPr>
                    <m:t>F</m:t>
                  </m:r>
                </m:e>
              </m:acc>
            </m:e>
            <m:sub>
              <m:r>
                <w:rPr>
                  <w:rFonts w:ascii="Cambria Math" w:hAnsi="Cambria Math" w:cs="Arial"/>
                </w:rPr>
                <m:t>i</m:t>
              </m:r>
            </m:sub>
          </m:sSub>
          <m:r>
            <w:rPr>
              <w:rFonts w:ascii="Cambria Math" w:hAnsi="Cambria Math" w:cs="Arial"/>
            </w:rPr>
            <m:t>-</m:t>
          </m:r>
          <m:r>
            <w:rPr>
              <w:rFonts w:ascii="Cambria Math" w:hAnsi="Cambria Math" w:cs="Arial"/>
            </w:rPr>
            <m:t>ψ</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r>
            <w:rPr>
              <w:rFonts w:ascii="Cambria Math" w:hAnsi="Cambria Math" w:cs="Arial"/>
            </w:rPr>
            <m:t>-</m:t>
          </m:r>
          <m:r>
            <w:rPr>
              <w:rFonts w:ascii="Cambria Math" w:hAnsi="Cambria Math" w:cs="Arial"/>
            </w:rPr>
            <m:t>χ</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r>
            <m:rPr>
              <m:sty m:val="p"/>
            </m:rPr>
            <w:rPr>
              <w:rFonts w:ascii="Arial" w:hAnsi="Arial" w:cs="Arial"/>
            </w:rPr>
            <w:br/>
          </m:r>
        </m:oMath>
      </m:oMathPara>
    </w:p>
    <w:p w14:paraId="7543600F"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It follows that</w:t>
      </w:r>
    </w:p>
    <w:p w14:paraId="34C92592" w14:textId="3EA36FA7" w:rsidR="000A151B" w:rsidRPr="000A151B" w:rsidRDefault="00C96DFF" w:rsidP="000A151B">
      <w:pPr>
        <w:rPr>
          <w:rFonts w:ascii="Arial" w:hAnsi="Arial" w:cs="Arial"/>
        </w:rPr>
      </w:pPr>
      <m:oMathPara>
        <m:oMath>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den>
          </m:f>
          <m:r>
            <w:rPr>
              <w:rFonts w:ascii="Cambria Math" w:hAnsi="Cambria Math" w:cs="Arial"/>
            </w:rPr>
            <m:t>=-</m:t>
          </m:r>
          <m:r>
            <w:rPr>
              <w:rFonts w:ascii="Cambria Math" w:hAnsi="Cambria Math" w:cs="Arial"/>
            </w:rPr>
            <m:t>χ</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r>
            <w:rPr>
              <w:rFonts w:ascii="Cambria Math" w:hAnsi="Cambria Math" w:cs="Arial"/>
            </w:rPr>
            <m:t xml:space="preserve">&lt;0, </m:t>
          </m:r>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sSub>
                <m:sSubPr>
                  <m:ctrlPr>
                    <w:rPr>
                      <w:rFonts w:ascii="Cambria Math" w:hAnsi="Cambria Math" w:cs="Arial"/>
                    </w:rPr>
                  </m:ctrlPr>
                </m:sSubPr>
                <m:e>
                  <m:r>
                    <w:rPr>
                      <w:rFonts w:ascii="Cambria Math" w:hAnsi="Cambria Math" w:cs="Arial"/>
                    </w:rPr>
                    <m:t>F</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r>
                <m:rPr>
                  <m:nor/>
                </m:rPr>
                <w:rPr>
                  <w:rFonts w:ascii="Arial" w:hAnsi="Arial" w:cs="Arial"/>
                </w:rPr>
                <m:t> </m:t>
              </m:r>
              <m:r>
                <m:rPr>
                  <m:sty m:val="p"/>
                </m:rPr>
                <w:rPr>
                  <w:rFonts w:ascii="Cambria Math" w:hAnsi="Cambria Math" w:cs="Arial"/>
                </w:rPr>
                <m:t>∂</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den>
          </m:f>
          <m:r>
            <w:rPr>
              <w:rFonts w:ascii="Cambria Math" w:hAnsi="Cambria Math" w:cs="Arial"/>
            </w:rPr>
            <m:t>&lt;0</m:t>
          </m:r>
          <m:r>
            <m:rPr>
              <m:sty m:val="p"/>
            </m:rPr>
            <w:rPr>
              <w:rFonts w:ascii="Arial" w:hAnsi="Arial" w:cs="Arial"/>
            </w:rPr>
            <w:br/>
          </m:r>
        </m:oMath>
      </m:oMathPara>
    </w:p>
    <w:p w14:paraId="23B33120"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The negative cross-partial derivative captures the central nonlinearity: bypass in financial anchoring is most destabilizing precisely when global risk aversion spikes.</w:t>
      </w:r>
    </w:p>
    <w:p w14:paraId="2C705F5C"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lastRenderedPageBreak/>
        <w:t>With investment</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i,t</m:t>
            </m:r>
          </m:sub>
        </m:sSub>
        <m:r>
          <w:rPr>
            <w:rFonts w:ascii="Cambria Math" w:hAnsi="Cambria Math" w:cs="Arial"/>
            <w:sz w:val="20"/>
            <w:szCs w:val="20"/>
          </w:rPr>
          <m:t>=ϕ</m:t>
        </m:r>
        <m:sSub>
          <m:sSubPr>
            <m:ctrlPr>
              <w:rPr>
                <w:rFonts w:ascii="Cambria Math" w:hAnsi="Cambria Math" w:cs="Arial"/>
                <w:sz w:val="20"/>
                <w:szCs w:val="20"/>
              </w:rPr>
            </m:ctrlPr>
          </m:sSubPr>
          <m:e>
            <m:r>
              <w:rPr>
                <w:rFonts w:ascii="Cambria Math" w:hAnsi="Cambria Math" w:cs="Arial"/>
                <w:sz w:val="20"/>
                <w:szCs w:val="20"/>
              </w:rPr>
              <m:t>F</m:t>
            </m:r>
          </m:e>
          <m:sub>
            <m:r>
              <w:rPr>
                <w:rFonts w:ascii="Cambria Math" w:hAnsi="Cambria Math" w:cs="Arial"/>
                <w:sz w:val="20"/>
                <w:szCs w:val="20"/>
              </w:rPr>
              <m:t>i,t</m:t>
            </m:r>
          </m:sub>
        </m:sSub>
      </m:oMath>
      <w:r w:rsidRPr="000A151B">
        <w:rPr>
          <w:rFonts w:ascii="Arial" w:hAnsi="Arial" w:cs="Arial"/>
          <w:color w:val="000000"/>
          <w:sz w:val="20"/>
          <w:szCs w:val="20"/>
        </w:rPr>
        <w:t>, capital accumulation</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acc>
              <m:accPr>
                <m:chr m:val="̇"/>
                <m:ctrlPr>
                  <w:rPr>
                    <w:rFonts w:ascii="Cambria Math" w:hAnsi="Cambria Math" w:cs="Arial"/>
                    <w:sz w:val="20"/>
                    <w:szCs w:val="20"/>
                  </w:rPr>
                </m:ctrlPr>
              </m:accPr>
              <m:e>
                <m:r>
                  <w:rPr>
                    <w:rFonts w:ascii="Cambria Math" w:hAnsi="Cambria Math" w:cs="Arial"/>
                    <w:sz w:val="20"/>
                    <w:szCs w:val="20"/>
                  </w:rPr>
                  <m:t>K</m:t>
                </m:r>
              </m:e>
            </m:acc>
          </m:e>
          <m:sub>
            <m:r>
              <w:rPr>
                <w:rFonts w:ascii="Cambria Math" w:hAnsi="Cambria Math" w:cs="Arial"/>
                <w:sz w:val="20"/>
                <w:szCs w:val="20"/>
              </w:rPr>
              <m:t>i,t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i,t</m:t>
            </m:r>
          </m:sub>
        </m:sSub>
        <m:r>
          <w:rPr>
            <w:rFonts w:ascii="Cambria Math" w:hAnsi="Cambria Math" w:cs="Arial"/>
            <w:sz w:val="20"/>
            <w:szCs w:val="20"/>
          </w:rPr>
          <m:t>-δ</m:t>
        </m:r>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i,t</m:t>
            </m:r>
          </m:sub>
        </m:sSub>
      </m:oMath>
      <w:r w:rsidRPr="000A151B">
        <w:rPr>
          <w:rFonts w:ascii="Arial" w:hAnsi="Arial" w:cs="Arial"/>
          <w:color w:val="000000"/>
          <w:sz w:val="20"/>
          <w:szCs w:val="20"/>
        </w:rPr>
        <w:t>, and output</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i,t</m:t>
            </m:r>
          </m:sub>
        </m:sSub>
        <m:sSubSup>
          <m:sSubSupPr>
            <m:ctrlPr>
              <w:rPr>
                <w:rFonts w:ascii="Cambria Math" w:hAnsi="Cambria Math" w:cs="Arial"/>
                <w:sz w:val="20"/>
                <w:szCs w:val="20"/>
              </w:rPr>
            </m:ctrlPr>
          </m:sSubSupPr>
          <m:e>
            <m:r>
              <w:rPr>
                <w:rFonts w:ascii="Cambria Math" w:hAnsi="Cambria Math" w:cs="Arial"/>
                <w:sz w:val="20"/>
                <w:szCs w:val="20"/>
              </w:rPr>
              <m:t>K</m:t>
            </m:r>
          </m:e>
          <m:sub>
            <m:r>
              <w:rPr>
                <w:rFonts w:ascii="Cambria Math" w:hAnsi="Cambria Math" w:cs="Arial"/>
                <w:sz w:val="20"/>
                <w:szCs w:val="20"/>
              </w:rPr>
              <m:t>i,t</m:t>
            </m:r>
          </m:sub>
          <m:sup>
            <m:r>
              <w:rPr>
                <w:rFonts w:ascii="Cambria Math" w:hAnsi="Cambria Math" w:cs="Arial"/>
                <w:sz w:val="20"/>
                <w:szCs w:val="20"/>
              </w:rPr>
              <m:t>α</m:t>
            </m:r>
          </m:sup>
        </m:sSubSup>
        <m:sSubSup>
          <m:sSubSupPr>
            <m:ctrlPr>
              <w:rPr>
                <w:rFonts w:ascii="Cambria Math" w:hAnsi="Cambria Math" w:cs="Arial"/>
                <w:sz w:val="20"/>
                <w:szCs w:val="20"/>
              </w:rPr>
            </m:ctrlPr>
          </m:sSubSupPr>
          <m:e>
            <m:r>
              <w:rPr>
                <w:rFonts w:ascii="Cambria Math" w:hAnsi="Cambria Math" w:cs="Arial"/>
                <w:sz w:val="20"/>
                <w:szCs w:val="20"/>
              </w:rPr>
              <m:t>L</m:t>
            </m:r>
          </m:e>
          <m:sub>
            <m:r>
              <w:rPr>
                <w:rFonts w:ascii="Cambria Math" w:hAnsi="Cambria Math" w:cs="Arial"/>
                <w:sz w:val="20"/>
                <w:szCs w:val="20"/>
              </w:rPr>
              <m:t>i,t</m:t>
            </m:r>
          </m:sub>
          <m:sup>
            <m:r>
              <w:rPr>
                <w:rFonts w:ascii="Cambria Math" w:hAnsi="Cambria Math" w:cs="Arial"/>
                <w:sz w:val="20"/>
                <w:szCs w:val="20"/>
              </w:rPr>
              <m:t>1-α</m:t>
            </m:r>
          </m:sup>
        </m:sSubSup>
      </m:oMath>
      <w:r w:rsidRPr="000A151B">
        <w:rPr>
          <w:rFonts w:ascii="Arial" w:hAnsi="Arial" w:cs="Arial"/>
          <w:color w:val="000000"/>
          <w:sz w:val="20"/>
          <w:szCs w:val="20"/>
        </w:rPr>
        <w:t>, bypass in FA tightens financing conditions in bad states. Losses are therefore convex: limited bypass may be absorbed in tranquil periods, but once</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B</m:t>
            </m:r>
          </m:e>
          <m:sub>
            <m:r>
              <w:rPr>
                <w:rFonts w:ascii="Cambria Math" w:hAnsi="Cambria Math" w:cs="Arial"/>
                <w:sz w:val="20"/>
                <w:szCs w:val="20"/>
              </w:rPr>
              <m:t>i,t</m:t>
            </m:r>
          </m:sub>
        </m:sSub>
        <m:r>
          <w:rPr>
            <w:rFonts w:ascii="Cambria Math" w:hAnsi="Cambria Math" w:cs="Arial"/>
            <w:sz w:val="20"/>
            <w:szCs w:val="20"/>
          </w:rPr>
          <m:t>(FA)</m:t>
        </m:r>
      </m:oMath>
      <w:r w:rsidRPr="000A151B">
        <w:rPr>
          <w:rStyle w:val="apple-converted-space"/>
          <w:rFonts w:ascii="Arial" w:hAnsi="Arial" w:cs="Arial"/>
          <w:color w:val="000000"/>
          <w:sz w:val="20"/>
          <w:szCs w:val="20"/>
        </w:rPr>
        <w:t> </w:t>
      </w:r>
      <w:r w:rsidRPr="000A151B">
        <w:rPr>
          <w:rFonts w:ascii="Arial" w:hAnsi="Arial" w:cs="Arial"/>
          <w:color w:val="000000"/>
          <w:sz w:val="20"/>
          <w:szCs w:val="20"/>
        </w:rPr>
        <w:t>approaches its feasibility bound</w:t>
      </w:r>
      <w:r w:rsidRPr="000A151B">
        <w:rPr>
          <w:rStyle w:val="apple-converted-space"/>
          <w:rFonts w:ascii="Arial" w:hAnsi="Arial" w:cs="Arial"/>
          <w:color w:val="000000"/>
          <w:sz w:val="20"/>
          <w:szCs w:val="20"/>
        </w:rPr>
        <w:t> </w:t>
      </w:r>
      <m:oMath>
        <m:sSubSup>
          <m:sSubSupPr>
            <m:ctrlPr>
              <w:rPr>
                <w:rFonts w:ascii="Cambria Math" w:hAnsi="Cambria Math" w:cs="Arial"/>
                <w:sz w:val="20"/>
                <w:szCs w:val="20"/>
              </w:rPr>
            </m:ctrlPr>
          </m:sSubSupPr>
          <m:e>
            <m:acc>
              <m:accPr>
                <m:chr m:val="ˉ"/>
                <m:ctrlPr>
                  <w:rPr>
                    <w:rFonts w:ascii="Cambria Math" w:hAnsi="Cambria Math" w:cs="Arial"/>
                    <w:sz w:val="20"/>
                    <w:szCs w:val="20"/>
                  </w:rPr>
                </m:ctrlPr>
              </m:accPr>
              <m:e>
                <m:r>
                  <w:rPr>
                    <w:rFonts w:ascii="Cambria Math" w:hAnsi="Cambria Math" w:cs="Arial"/>
                    <w:sz w:val="20"/>
                    <w:szCs w:val="20"/>
                  </w:rPr>
                  <m:t>B</m:t>
                </m:r>
              </m:e>
            </m:acc>
          </m:e>
          <m:sub>
            <m:r>
              <w:rPr>
                <w:rFonts w:ascii="Cambria Math" w:hAnsi="Cambria Math" w:cs="Arial"/>
                <w:sz w:val="20"/>
                <w:szCs w:val="20"/>
              </w:rPr>
              <m:t>i,t</m:t>
            </m:r>
          </m:sub>
          <m:sup>
            <m:r>
              <w:rPr>
                <w:rFonts w:ascii="Cambria Math" w:hAnsi="Cambria Math" w:cs="Arial"/>
                <w:sz w:val="20"/>
                <w:szCs w:val="20"/>
              </w:rPr>
              <m:t>FA</m:t>
            </m:r>
          </m:sup>
        </m:sSubSup>
      </m:oMath>
      <w:r w:rsidRPr="000A151B">
        <w:rPr>
          <w:rFonts w:ascii="Arial" w:hAnsi="Arial" w:cs="Arial"/>
          <w:color w:val="000000"/>
          <w:sz w:val="20"/>
          <w:szCs w:val="20"/>
        </w:rPr>
        <w:t>, output contracts sharply.</w:t>
      </w:r>
    </w:p>
    <w:p w14:paraId="6E0711E1"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Digital instruments introduce an additional nonlinearity. When households and firms hold stablecoins as quasi-liquid wealth, regulatory freezes, de-pegging events, or on-ramp failures can generate abrupt contractions in effective liquidity, amplifying balance-sheet stress even in the absence of direct currency mismatch.</w:t>
      </w:r>
    </w:p>
    <w:p w14:paraId="2045CD31" w14:textId="77777777" w:rsidR="000A151B" w:rsidRPr="000A151B" w:rsidRDefault="000A151B" w:rsidP="000A151B">
      <w:pPr>
        <w:pStyle w:val="Heading4"/>
        <w:rPr>
          <w:rFonts w:ascii="Arial" w:hAnsi="Arial" w:cs="Arial"/>
          <w:b/>
          <w:bCs/>
          <w:i w:val="0"/>
          <w:iCs w:val="0"/>
          <w:color w:val="000000"/>
        </w:rPr>
      </w:pPr>
      <w:r w:rsidRPr="000A151B">
        <w:rPr>
          <w:rFonts w:ascii="Arial" w:hAnsi="Arial" w:cs="Arial"/>
          <w:b/>
          <w:bCs/>
          <w:i w:val="0"/>
          <w:iCs w:val="0"/>
          <w:color w:val="000000"/>
        </w:rPr>
        <w:t>Settlement channel</w:t>
      </w:r>
    </w:p>
    <w:p w14:paraId="30DD8C38"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Define settlement efficiency as</w:t>
      </w:r>
    </w:p>
    <w:p w14:paraId="3E591BC2" w14:textId="04C67E46" w:rsidR="000A151B" w:rsidRPr="000A151B" w:rsidRDefault="00C96DFF" w:rsidP="000A151B">
      <w:pPr>
        <w:rPr>
          <w:rFonts w:ascii="Arial" w:hAnsi="Arial" w:cs="Arial"/>
        </w:rPr>
      </w:pPr>
      <m:oMathPara>
        <m:oMath>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nary>
            <m:naryPr>
              <m:chr m:val="∑"/>
              <m:limLoc m:val="undOvr"/>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ω</m:t>
                  </m:r>
                </m:e>
                <m:sub>
                  <m:r>
                    <w:rPr>
                      <w:rFonts w:ascii="Cambria Math" w:hAnsi="Cambria Math" w:cs="Arial"/>
                    </w:rPr>
                    <m:t>f</m:t>
                  </m:r>
                </m:sub>
              </m:sSub>
            </m:e>
          </m:nary>
          <m:sSub>
            <m:sSubPr>
              <m:ctrlPr>
                <w:rPr>
                  <w:rFonts w:ascii="Cambria Math" w:hAnsi="Cambria Math" w:cs="Arial"/>
                </w:rPr>
              </m:ctrlPr>
            </m:sSubPr>
            <m:e>
              <m:r>
                <w:rPr>
                  <w:rFonts w:ascii="Cambria Math" w:hAnsi="Cambria Math" w:cs="Arial"/>
                </w:rPr>
                <m:t>I</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f</m:t>
              </m:r>
            </m:sub>
          </m:sSub>
          <m:r>
            <w:rPr>
              <w:rFonts w:ascii="Cambria Math" w:hAnsi="Cambria Math" w:cs="Arial"/>
            </w:rPr>
            <m:t>,</m:t>
          </m:r>
          <m:r>
            <w:rPr>
              <w:rFonts w:ascii="Cambria Math" w:hAnsi="Cambria Math" w:cs="Arial"/>
            </w:rPr>
            <m:t>f</m:t>
          </m:r>
          <m:r>
            <w:rPr>
              <w:rFonts w:ascii="Cambria Math" w:hAnsi="Cambria Math" w:cs="Arial"/>
            </w:rPr>
            <m:t>)</m:t>
          </m:r>
          <m:r>
            <m:rPr>
              <m:sty m:val="p"/>
            </m:rPr>
            <w:rPr>
              <w:rFonts w:ascii="Arial" w:hAnsi="Arial" w:cs="Arial"/>
            </w:rPr>
            <w:br/>
          </m:r>
        </m:oMath>
      </m:oMathPara>
    </w:p>
    <w:p w14:paraId="7B8AAC07"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where</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f</m:t>
            </m:r>
          </m:sub>
        </m:sSub>
      </m:oMath>
      <w:r w:rsidRPr="000A151B">
        <w:rPr>
          <w:rStyle w:val="apple-converted-space"/>
          <w:rFonts w:ascii="Arial" w:hAnsi="Arial" w:cs="Arial"/>
          <w:color w:val="000000"/>
          <w:sz w:val="20"/>
          <w:szCs w:val="20"/>
        </w:rPr>
        <w:t> </w:t>
      </w:r>
      <w:r w:rsidRPr="000A151B">
        <w:rPr>
          <w:rFonts w:ascii="Arial" w:hAnsi="Arial" w:cs="Arial"/>
          <w:color w:val="000000"/>
          <w:sz w:val="20"/>
          <w:szCs w:val="20"/>
        </w:rPr>
        <w:t>denotes the currency or instrument used for function</w:t>
      </w:r>
      <w:r w:rsidRPr="000A151B">
        <w:rPr>
          <w:rStyle w:val="apple-converted-space"/>
          <w:rFonts w:ascii="Arial" w:hAnsi="Arial" w:cs="Arial"/>
          <w:color w:val="000000"/>
          <w:sz w:val="20"/>
          <w:szCs w:val="20"/>
        </w:rPr>
        <w:t> </w:t>
      </w:r>
      <m:oMath>
        <m:r>
          <w:rPr>
            <w:rFonts w:ascii="Cambria Math" w:hAnsi="Cambria Math" w:cs="Arial"/>
            <w:sz w:val="20"/>
            <w:szCs w:val="20"/>
          </w:rPr>
          <m:t>f</m:t>
        </m:r>
      </m:oMath>
      <w:r w:rsidRPr="000A151B">
        <w:rPr>
          <w:rFonts w:ascii="Arial" w:hAnsi="Arial" w:cs="Arial"/>
          <w:color w:val="000000"/>
          <w:sz w:val="20"/>
          <w:szCs w:val="20"/>
        </w:rPr>
        <w:t>. Rapid increases in bypass in medium-of-exchange functions without contemporaneous investment in local infrastructure reduce</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m:rPr>
                <m:sty m:val="p"/>
              </m:rPr>
              <w:rPr>
                <w:rFonts w:ascii="Cambria Math" w:hAnsi="Cambria Math" w:cs="Arial"/>
                <w:sz w:val="20"/>
                <w:szCs w:val="20"/>
              </w:rPr>
              <m:t>Φ</m:t>
            </m:r>
          </m:e>
          <m:sub>
            <m:r>
              <w:rPr>
                <w:rFonts w:ascii="Cambria Math" w:hAnsi="Cambria Math" w:cs="Arial"/>
                <w:sz w:val="20"/>
                <w:szCs w:val="20"/>
              </w:rPr>
              <m:t>i,t</m:t>
            </m:r>
          </m:sub>
        </m:sSub>
      </m:oMath>
      <w:r w:rsidRPr="000A151B">
        <w:rPr>
          <w:rFonts w:ascii="Arial" w:hAnsi="Arial" w:cs="Arial"/>
          <w:color w:val="000000"/>
          <w:sz w:val="20"/>
          <w:szCs w:val="20"/>
        </w:rPr>
        <w:t>, increasing liquidity fragmentation and price dispersion. A reduced-form implication is stagflationary pressure:</w:t>
      </w:r>
    </w:p>
    <w:p w14:paraId="11F67E7C" w14:textId="1BF76A3E" w:rsidR="000A151B" w:rsidRPr="000A151B" w:rsidRDefault="00C96DFF" w:rsidP="000A151B">
      <w:pPr>
        <w:rPr>
          <w:rFonts w:ascii="Arial" w:hAnsi="Arial" w:cs="Arial"/>
        </w:rPr>
      </w:pPr>
      <m:oMathPara>
        <m:oMath>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MOE</m:t>
              </m:r>
              <m:r>
                <w:rPr>
                  <w:rFonts w:ascii="Cambria Math" w:hAnsi="Cambria Math" w:cs="Arial"/>
                </w:rPr>
                <m:t>)</m:t>
              </m:r>
            </m:den>
          </m:f>
          <m:r>
            <w:rPr>
              <w:rFonts w:ascii="Cambria Math" w:hAnsi="Cambria Math" w:cs="Arial"/>
            </w:rPr>
            <m:t>&gt;0,</m:t>
          </m:r>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MOE</m:t>
              </m:r>
              <m:r>
                <w:rPr>
                  <w:rFonts w:ascii="Cambria Math" w:hAnsi="Cambria Math" w:cs="Arial"/>
                </w:rPr>
                <m:t>)</m:t>
              </m:r>
            </m:den>
          </m:f>
          <m:r>
            <w:rPr>
              <w:rFonts w:ascii="Cambria Math" w:hAnsi="Cambria Math" w:cs="Arial"/>
            </w:rPr>
            <m:t xml:space="preserve">&lt;0,  </m:t>
          </m:r>
          <m:r>
            <m:rPr>
              <m:nor/>
            </m:rPr>
            <w:rPr>
              <w:rFonts w:ascii="Arial" w:hAnsi="Arial" w:cs="Arial"/>
            </w:rPr>
            <m:t xml:space="preserve">when </m:t>
          </m:r>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I</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LC</m:t>
              </m:r>
              <m:r>
                <w:rPr>
                  <w:rFonts w:ascii="Cambria Math" w:hAnsi="Cambria Math" w:cs="Arial"/>
                </w:rPr>
                <m:t>,</m:t>
              </m:r>
              <m:r>
                <w:rPr>
                  <w:rFonts w:ascii="Cambria Math" w:hAnsi="Cambria Math" w:cs="Arial"/>
                </w:rPr>
                <m:t>MOE</m:t>
              </m:r>
              <m:r>
                <w:rPr>
                  <w:rFonts w:ascii="Cambria Math" w:hAnsi="Cambria Math" w:cs="Arial"/>
                </w:rPr>
                <m:t>)</m:t>
              </m:r>
            </m:num>
            <m:den>
              <m:r>
                <m:rPr>
                  <m:sty m:val="p"/>
                </m:rPr>
                <w:rPr>
                  <w:rFonts w:ascii="Cambria Math" w:hAnsi="Cambria Math" w:cs="Arial"/>
                </w:rPr>
                <m:t>∂</m:t>
              </m:r>
              <m:r>
                <w:rPr>
                  <w:rFonts w:ascii="Cambria Math" w:hAnsi="Cambria Math" w:cs="Arial"/>
                </w:rPr>
                <m:t>t</m:t>
              </m:r>
            </m:den>
          </m:f>
          <m:r>
            <w:rPr>
              <w:rFonts w:ascii="Cambria Math" w:hAnsi="Cambria Math" w:cs="Arial"/>
            </w:rPr>
            <m:t>≈0</m:t>
          </m:r>
          <m:r>
            <m:rPr>
              <m:sty m:val="p"/>
            </m:rPr>
            <w:rPr>
              <w:rFonts w:ascii="Arial" w:hAnsi="Arial" w:cs="Arial"/>
            </w:rPr>
            <w:br/>
          </m:r>
        </m:oMath>
      </m:oMathPara>
    </w:p>
    <w:p w14:paraId="385F0AC7"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Stablecoins can temporarily raise settlement efficiency by lowering transactional frictions, but reliance on digital rails introduces cliff risks when regulatory or technological shocks occur, producing abrupt declines in</w:t>
      </w:r>
      <w:r w:rsidRPr="000A151B">
        <w:rPr>
          <w:rStyle w:val="apple-converted-space"/>
          <w:rFonts w:ascii="Arial" w:hAnsi="Arial" w:cs="Arial"/>
          <w:color w:val="000000"/>
          <w:sz w:val="20"/>
          <w:szCs w:val="20"/>
        </w:rPr>
        <w:t> </w:t>
      </w:r>
      <m:oMath>
        <m:sSub>
          <m:sSubPr>
            <m:ctrlPr>
              <w:rPr>
                <w:rFonts w:ascii="Cambria Math" w:hAnsi="Cambria Math" w:cs="Arial"/>
                <w:sz w:val="20"/>
                <w:szCs w:val="20"/>
              </w:rPr>
            </m:ctrlPr>
          </m:sSubPr>
          <m:e>
            <m:r>
              <m:rPr>
                <m:sty m:val="p"/>
              </m:rPr>
              <w:rPr>
                <w:rFonts w:ascii="Cambria Math" w:hAnsi="Cambria Math" w:cs="Arial"/>
                <w:sz w:val="20"/>
                <w:szCs w:val="20"/>
              </w:rPr>
              <m:t>Φ</m:t>
            </m:r>
          </m:e>
          <m:sub>
            <m:r>
              <w:rPr>
                <w:rFonts w:ascii="Cambria Math" w:hAnsi="Cambria Math" w:cs="Arial"/>
                <w:sz w:val="20"/>
                <w:szCs w:val="20"/>
              </w:rPr>
              <m:t>i,t</m:t>
            </m:r>
          </m:sub>
        </m:sSub>
      </m:oMath>
      <w:r w:rsidRPr="000A151B">
        <w:rPr>
          <w:rFonts w:ascii="Arial" w:hAnsi="Arial" w:cs="Arial"/>
          <w:color w:val="000000"/>
          <w:sz w:val="20"/>
          <w:szCs w:val="20"/>
        </w:rPr>
        <w:t>.</w:t>
      </w:r>
    </w:p>
    <w:p w14:paraId="312D42D2" w14:textId="77777777" w:rsidR="000A151B" w:rsidRPr="000A151B" w:rsidRDefault="000A151B" w:rsidP="000A151B">
      <w:pPr>
        <w:pStyle w:val="Heading4"/>
        <w:rPr>
          <w:rFonts w:ascii="Arial" w:hAnsi="Arial" w:cs="Arial"/>
          <w:b/>
          <w:bCs/>
          <w:i w:val="0"/>
          <w:iCs w:val="0"/>
          <w:color w:val="000000"/>
        </w:rPr>
      </w:pPr>
      <w:r w:rsidRPr="000A151B">
        <w:rPr>
          <w:rFonts w:ascii="Arial" w:hAnsi="Arial" w:cs="Arial"/>
          <w:b/>
          <w:bCs/>
          <w:i w:val="0"/>
          <w:iCs w:val="0"/>
          <w:color w:val="000000"/>
        </w:rPr>
        <w:t>Credibility and inflation channel</w:t>
      </w:r>
    </w:p>
    <w:p w14:paraId="3069338E"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In a simple open-economy New Keynesian relation,</w:t>
      </w:r>
    </w:p>
    <w:p w14:paraId="4EEB8A14" w14:textId="280587A3" w:rsidR="000A151B" w:rsidRPr="000A151B" w:rsidRDefault="00C96DFF" w:rsidP="000A151B">
      <w:pPr>
        <w:rPr>
          <w:rFonts w:ascii="Arial" w:hAnsi="Arial" w:cs="Arial"/>
        </w:rPr>
      </w:pPr>
      <m:oMathPara>
        <m:oMath>
          <m:sSub>
            <m:sSubPr>
              <m:ctrlPr>
                <w:rPr>
                  <w:rFonts w:ascii="Cambria Math" w:hAnsi="Cambria Math" w:cs="Arial"/>
                </w:rPr>
              </m:ctrlPr>
            </m:sSubPr>
            <m:e>
              <m:r>
                <w:rPr>
                  <w:rFonts w:ascii="Cambria Math" w:hAnsi="Cambria Math" w:cs="Arial"/>
                </w:rPr>
                <m:t>π</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β</m:t>
          </m:r>
          <m:sSub>
            <m:sSubPr>
              <m:ctrlPr>
                <w:rPr>
                  <w:rFonts w:ascii="Cambria Math" w:hAnsi="Cambria Math" w:cs="Arial"/>
                </w:rPr>
              </m:ctrlPr>
            </m:sSubPr>
            <m:e>
              <m:r>
                <w:rPr>
                  <w:rFonts w:ascii="Cambria Math" w:hAnsi="Cambria Math" w:cs="Arial"/>
                </w:rPr>
                <m:t>E</m:t>
              </m:r>
            </m:e>
            <m:sub>
              <m:r>
                <w:rPr>
                  <w:rFonts w:ascii="Cambria Math" w:hAnsi="Cambria Math" w:cs="Arial"/>
                </w:rPr>
                <m:t>t</m:t>
              </m:r>
            </m:sub>
          </m:sSub>
          <m:sSub>
            <m:sSubPr>
              <m:ctrlPr>
                <w:rPr>
                  <w:rFonts w:ascii="Cambria Math" w:hAnsi="Cambria Math" w:cs="Arial"/>
                </w:rPr>
              </m:ctrlPr>
            </m:sSubPr>
            <m:e>
              <m:r>
                <w:rPr>
                  <w:rFonts w:ascii="Cambria Math" w:hAnsi="Cambria Math" w:cs="Arial"/>
                </w:rPr>
                <m:t>π</m:t>
              </m:r>
            </m:e>
            <m:sub>
              <m:r>
                <w:rPr>
                  <w:rFonts w:ascii="Cambria Math" w:hAnsi="Cambria Math" w:cs="Arial"/>
                </w:rPr>
                <m:t>i</m:t>
              </m:r>
              <m:r>
                <w:rPr>
                  <w:rFonts w:ascii="Cambria Math" w:hAnsi="Cambria Math" w:cs="Arial"/>
                </w:rPr>
                <m:t>,</m:t>
              </m:r>
              <m:r>
                <w:rPr>
                  <w:rFonts w:ascii="Cambria Math" w:hAnsi="Cambria Math" w:cs="Arial"/>
                </w:rPr>
                <m:t>t</m:t>
              </m:r>
              <m:r>
                <w:rPr>
                  <w:rFonts w:ascii="Cambria Math" w:hAnsi="Cambria Math" w:cs="Arial"/>
                </w:rPr>
                <m:t>+1</m:t>
              </m:r>
            </m:sub>
          </m:sSub>
          <m:r>
            <w:rPr>
              <w:rFonts w:ascii="Cambria Math" w:hAnsi="Cambria Math" w:cs="Arial"/>
            </w:rPr>
            <m:t>+</m:t>
          </m:r>
          <m:r>
            <w:rPr>
              <w:rFonts w:ascii="Cambria Math" w:hAnsi="Cambria Math" w:cs="Arial"/>
            </w:rPr>
            <m:t>κ</m:t>
          </m:r>
          <m:sSub>
            <m:sSubPr>
              <m:ctrlPr>
                <w:rPr>
                  <w:rFonts w:ascii="Cambria Math" w:hAnsi="Cambria Math" w:cs="Arial"/>
                </w:rPr>
              </m:ctrlPr>
            </m:sSubPr>
            <m:e>
              <m:r>
                <w:rPr>
                  <w:rFonts w:ascii="Cambria Math" w:hAnsi="Cambria Math" w:cs="Arial"/>
                </w:rPr>
                <m:t>x</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γ</m:t>
          </m:r>
          <m:r>
            <m:rPr>
              <m:sty m:val="p"/>
            </m:rPr>
            <w:rPr>
              <w:rFonts w:ascii="Cambria Math" w:hAnsi="Cambria Math" w:cs="Arial"/>
            </w:rPr>
            <m:t>Δ</m:t>
          </m:r>
          <m:sSub>
            <m:sSubPr>
              <m:ctrlPr>
                <w:rPr>
                  <w:rFonts w:ascii="Cambria Math" w:hAnsi="Cambria Math" w:cs="Arial"/>
                </w:rPr>
              </m:ctrlPr>
            </m:sSubPr>
            <m:e>
              <m:r>
                <w:rPr>
                  <w:rFonts w:ascii="Cambria Math" w:hAnsi="Cambria Math" w:cs="Arial"/>
                </w:rPr>
                <m:t>e</m:t>
              </m:r>
            </m:e>
            <m:sub>
              <m:r>
                <w:rPr>
                  <w:rFonts w:ascii="Cambria Math" w:hAnsi="Cambria Math" w:cs="Arial"/>
                </w:rPr>
                <m:t>i</m:t>
              </m:r>
              <m:r>
                <w:rPr>
                  <w:rFonts w:ascii="Cambria Math" w:hAnsi="Cambria Math" w:cs="Arial"/>
                </w:rPr>
                <m:t>,</m:t>
              </m:r>
              <m:r>
                <w:rPr>
                  <w:rFonts w:ascii="Cambria Math" w:hAnsi="Cambria Math" w:cs="Arial"/>
                </w:rPr>
                <m:t>t</m:t>
              </m:r>
            </m:sub>
          </m:sSub>
          <m:r>
            <m:rPr>
              <m:sty m:val="p"/>
            </m:rPr>
            <w:rPr>
              <w:rFonts w:ascii="Arial" w:hAnsi="Arial" w:cs="Arial"/>
            </w:rPr>
            <w:br/>
          </m:r>
        </m:oMath>
      </m:oMathPara>
    </w:p>
    <w:p w14:paraId="3D1D03A6"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premature bypass increases depreciation volatility and weakens expectations anchoring:</w:t>
      </w:r>
    </w:p>
    <w:p w14:paraId="1D21BDBD" w14:textId="6AD6359D" w:rsidR="000A151B" w:rsidRPr="000A151B" w:rsidRDefault="00C96DFF" w:rsidP="000A151B">
      <w:pPr>
        <w:rPr>
          <w:rFonts w:ascii="Arial" w:hAnsi="Arial" w:cs="Arial"/>
        </w:rPr>
      </w:pPr>
      <m:oMathPara>
        <m:oMath>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t</m:t>
                  </m:r>
                </m:sub>
              </m:sSub>
              <m:sSub>
                <m:sSubPr>
                  <m:ctrlPr>
                    <w:rPr>
                      <w:rFonts w:ascii="Cambria Math" w:hAnsi="Cambria Math" w:cs="Arial"/>
                    </w:rPr>
                  </m:ctrlPr>
                </m:sSubPr>
                <m:e>
                  <m:r>
                    <w:rPr>
                      <w:rFonts w:ascii="Cambria Math" w:hAnsi="Cambria Math" w:cs="Arial"/>
                    </w:rPr>
                    <m:t>π</m:t>
                  </m:r>
                </m:e>
                <m:sub>
                  <m:r>
                    <w:rPr>
                      <w:rFonts w:ascii="Cambria Math" w:hAnsi="Cambria Math" w:cs="Arial"/>
                    </w:rPr>
                    <m:t>i</m:t>
                  </m:r>
                  <m:r>
                    <w:rPr>
                      <w:rFonts w:ascii="Cambria Math" w:hAnsi="Cambria Math" w:cs="Arial"/>
                    </w:rPr>
                    <m:t>,</m:t>
                  </m:r>
                  <m:r>
                    <w:rPr>
                      <w:rFonts w:ascii="Cambria Math" w:hAnsi="Cambria Math" w:cs="Arial"/>
                    </w:rPr>
                    <m:t>t</m:t>
                  </m:r>
                  <m:r>
                    <w:rPr>
                      <w:rFonts w:ascii="Cambria Math" w:hAnsi="Cambria Math" w:cs="Arial"/>
                    </w:rPr>
                    <m:t>+1</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MOE</m:t>
              </m:r>
              <m:r>
                <w:rPr>
                  <w:rFonts w:ascii="Cambria Math" w:hAnsi="Cambria Math" w:cs="Arial"/>
                </w:rPr>
                <m:t>)</m:t>
              </m:r>
            </m:den>
          </m:f>
          <m:r>
            <w:rPr>
              <w:rFonts w:ascii="Cambria Math" w:hAnsi="Cambria Math" w:cs="Arial"/>
            </w:rPr>
            <m:t>&gt;0,</m:t>
          </m:r>
          <m:f>
            <m:fPr>
              <m:ctrlPr>
                <w:rPr>
                  <w:rFonts w:ascii="Cambria Math" w:hAnsi="Cambria Math" w:cs="Arial"/>
                </w:rPr>
              </m:ctrlPr>
            </m:fPr>
            <m:num>
              <m:r>
                <m:rPr>
                  <m:sty m:val="p"/>
                </m:rPr>
                <w:rPr>
                  <w:rFonts w:ascii="Cambria Math" w:hAnsi="Cambria Math" w:cs="Arial"/>
                </w:rPr>
                <m:t>∂Δ</m:t>
              </m:r>
              <m:sSub>
                <m:sSubPr>
                  <m:ctrlPr>
                    <w:rPr>
                      <w:rFonts w:ascii="Cambria Math" w:hAnsi="Cambria Math" w:cs="Arial"/>
                    </w:rPr>
                  </m:ctrlPr>
                </m:sSubPr>
                <m:e>
                  <m:r>
                    <w:rPr>
                      <w:rFonts w:ascii="Cambria Math" w:hAnsi="Cambria Math" w:cs="Arial"/>
                    </w:rPr>
                    <m:t>e</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den>
          </m:f>
          <m:r>
            <w:rPr>
              <w:rFonts w:ascii="Cambria Math" w:hAnsi="Cambria Math" w:cs="Arial"/>
            </w:rPr>
            <m:t>&gt;0</m:t>
          </m:r>
          <m:r>
            <m:rPr>
              <m:sty m:val="p"/>
            </m:rPr>
            <w:rPr>
              <w:rFonts w:ascii="Arial" w:hAnsi="Arial" w:cs="Arial"/>
            </w:rPr>
            <w:br/>
          </m:r>
        </m:oMath>
      </m:oMathPara>
    </w:p>
    <w:p w14:paraId="3278CB9C" w14:textId="77777777" w:rsidR="000A151B" w:rsidRPr="000A151B" w:rsidRDefault="000A151B" w:rsidP="000A151B">
      <w:pPr>
        <w:pStyle w:val="NormalWeb"/>
        <w:rPr>
          <w:rFonts w:ascii="Arial" w:hAnsi="Arial" w:cs="Arial"/>
          <w:color w:val="000000"/>
          <w:sz w:val="20"/>
          <w:szCs w:val="20"/>
        </w:rPr>
      </w:pPr>
      <w:r w:rsidRPr="000A151B">
        <w:rPr>
          <w:rFonts w:ascii="Arial" w:hAnsi="Arial" w:cs="Arial"/>
          <w:color w:val="000000"/>
          <w:sz w:val="20"/>
          <w:szCs w:val="20"/>
        </w:rPr>
        <w:t>In this sense, continued dollar use in store-of-value and financial-anchoring functions acts as a second-best commitment device when domestic credibility, hedging markets, and legal enforcement remain incomplete.</w:t>
      </w:r>
    </w:p>
    <w:p w14:paraId="1499F01B" w14:textId="36ADCA6B" w:rsidR="00902823" w:rsidRPr="00537EDA" w:rsidRDefault="00000F8F" w:rsidP="00441B6F">
      <w:pPr>
        <w:pStyle w:val="Head1"/>
        <w:spacing w:after="0"/>
        <w:jc w:val="both"/>
        <w:rPr>
          <w:rFonts w:ascii="Arial" w:hAnsi="Arial" w:cs="Arial"/>
          <w:sz w:val="20"/>
        </w:rPr>
      </w:pPr>
      <w:r w:rsidRPr="00537EDA">
        <w:rPr>
          <w:rFonts w:ascii="Arial" w:hAnsi="Arial" w:cs="Arial"/>
          <w:sz w:val="20"/>
        </w:rPr>
        <w:lastRenderedPageBreak/>
        <w:t>3</w:t>
      </w:r>
      <w:r w:rsidR="00902823" w:rsidRPr="00537EDA">
        <w:rPr>
          <w:rFonts w:ascii="Arial" w:hAnsi="Arial" w:cs="Arial"/>
          <w:sz w:val="20"/>
        </w:rPr>
        <w:t xml:space="preserve">. </w:t>
      </w:r>
      <w:r w:rsidRPr="00537EDA">
        <w:rPr>
          <w:rFonts w:ascii="Arial" w:hAnsi="Arial" w:cs="Arial"/>
          <w:sz w:val="20"/>
        </w:rPr>
        <w:t xml:space="preserve">results </w:t>
      </w:r>
      <w:r w:rsidR="005D0D91">
        <w:rPr>
          <w:rFonts w:ascii="Arial" w:hAnsi="Arial" w:cs="Arial"/>
          <w:sz w:val="20"/>
        </w:rPr>
        <w:t>&amp;</w:t>
      </w:r>
      <w:r w:rsidRPr="00537EDA">
        <w:rPr>
          <w:rFonts w:ascii="Arial" w:hAnsi="Arial" w:cs="Arial"/>
          <w:sz w:val="20"/>
        </w:rPr>
        <w:t xml:space="preserve"> discussion</w:t>
      </w:r>
    </w:p>
    <w:p w14:paraId="24616CFC" w14:textId="225A8AB4" w:rsidR="00537EDA" w:rsidRDefault="00537EDA" w:rsidP="00537EDA">
      <w:pPr>
        <w:pStyle w:val="NormalWeb"/>
        <w:rPr>
          <w:rFonts w:ascii="Arial" w:hAnsi="Arial" w:cs="Arial"/>
          <w:color w:val="000000"/>
          <w:sz w:val="20"/>
          <w:szCs w:val="20"/>
        </w:rPr>
      </w:pPr>
      <w:r w:rsidRPr="00537EDA">
        <w:rPr>
          <w:rFonts w:ascii="Arial" w:hAnsi="Arial" w:cs="Arial"/>
          <w:color w:val="000000"/>
          <w:sz w:val="20"/>
          <w:szCs w:val="20"/>
        </w:rPr>
        <w:t>De-dollarization does not represent the collapse of monetary hierarchy, but a selective reallocation of monetary functions governed by infrastructure constraints and macro-financial risk.</w:t>
      </w:r>
    </w:p>
    <w:p w14:paraId="29C90FB4" w14:textId="615210F5" w:rsidR="00180480" w:rsidRPr="00537EDA" w:rsidRDefault="00180480" w:rsidP="00537EDA">
      <w:pPr>
        <w:pStyle w:val="NormalWeb"/>
        <w:rPr>
          <w:rFonts w:ascii="Arial" w:hAnsi="Arial" w:cs="Arial"/>
          <w:color w:val="000000"/>
          <w:sz w:val="20"/>
          <w:szCs w:val="20"/>
        </w:rPr>
      </w:pPr>
      <w:r w:rsidRPr="00537EDA">
        <w:rPr>
          <w:rFonts w:ascii="Arial" w:hAnsi="Arial" w:cs="Arial"/>
          <w:color w:val="000000"/>
          <w:sz w:val="20"/>
          <w:szCs w:val="20"/>
        </w:rPr>
        <w:t>The model yields a set of results that clarify both the mechanics and the limits of contemporary de-dollarization by deriving them as equilibrium outcomes of function-specific infrastructure constraints. Rather than treating currency competition as a uniform or gradual process, the framework shows that de-dollarization is</w:t>
      </w:r>
      <w:r w:rsidRPr="00537EDA">
        <w:rPr>
          <w:rStyle w:val="apple-converted-space"/>
          <w:rFonts w:ascii="Arial" w:hAnsi="Arial" w:cs="Arial"/>
          <w:color w:val="000000"/>
          <w:sz w:val="20"/>
          <w:szCs w:val="20"/>
        </w:rPr>
        <w:t> </w:t>
      </w:r>
      <w:r w:rsidRPr="00537EDA">
        <w:rPr>
          <w:rStyle w:val="Strong"/>
          <w:rFonts w:ascii="Arial" w:hAnsi="Arial" w:cs="Arial"/>
          <w:b w:val="0"/>
          <w:bCs w:val="0"/>
          <w:color w:val="000000"/>
          <w:sz w:val="20"/>
          <w:szCs w:val="20"/>
        </w:rPr>
        <w:t>endogenously asymmetric across monetary functions</w:t>
      </w:r>
      <w:r w:rsidRPr="00537EDA">
        <w:rPr>
          <w:rFonts w:ascii="Arial" w:hAnsi="Arial" w:cs="Arial"/>
          <w:b/>
          <w:bCs/>
          <w:color w:val="000000"/>
          <w:sz w:val="20"/>
          <w:szCs w:val="20"/>
        </w:rPr>
        <w:t>,</w:t>
      </w:r>
      <w:r w:rsidRPr="00537EDA">
        <w:rPr>
          <w:rStyle w:val="apple-converted-space"/>
          <w:rFonts w:ascii="Arial" w:hAnsi="Arial" w:cs="Arial"/>
          <w:b/>
          <w:bCs/>
          <w:color w:val="000000"/>
          <w:sz w:val="20"/>
          <w:szCs w:val="20"/>
        </w:rPr>
        <w:t> </w:t>
      </w:r>
      <w:r w:rsidRPr="00537EDA">
        <w:rPr>
          <w:rStyle w:val="Strong"/>
          <w:rFonts w:ascii="Arial" w:hAnsi="Arial" w:cs="Arial"/>
          <w:b w:val="0"/>
          <w:bCs w:val="0"/>
          <w:color w:val="000000"/>
          <w:sz w:val="20"/>
          <w:szCs w:val="20"/>
        </w:rPr>
        <w:t>priced through convex macro-financial risk</w:t>
      </w:r>
      <w:r w:rsidRPr="00537EDA">
        <w:rPr>
          <w:rFonts w:ascii="Arial" w:hAnsi="Arial" w:cs="Arial"/>
          <w:color w:val="000000"/>
          <w:sz w:val="20"/>
          <w:szCs w:val="20"/>
        </w:rPr>
        <w:t>, and</w:t>
      </w:r>
      <w:r w:rsidRPr="00537EDA">
        <w:rPr>
          <w:rStyle w:val="apple-converted-space"/>
          <w:rFonts w:ascii="Arial" w:hAnsi="Arial" w:cs="Arial"/>
          <w:b/>
          <w:bCs/>
          <w:color w:val="000000"/>
          <w:sz w:val="20"/>
          <w:szCs w:val="20"/>
        </w:rPr>
        <w:t> </w:t>
      </w:r>
      <w:r w:rsidRPr="00537EDA">
        <w:rPr>
          <w:rStyle w:val="Strong"/>
          <w:rFonts w:ascii="Arial" w:hAnsi="Arial" w:cs="Arial"/>
          <w:b w:val="0"/>
          <w:bCs w:val="0"/>
          <w:color w:val="000000"/>
          <w:sz w:val="20"/>
          <w:szCs w:val="20"/>
        </w:rPr>
        <w:t>reshaped—but not overturned—by digital settlement technologies</w:t>
      </w:r>
      <w:r w:rsidRPr="00537EDA">
        <w:rPr>
          <w:rFonts w:ascii="Arial" w:hAnsi="Arial" w:cs="Arial"/>
          <w:color w:val="000000"/>
          <w:sz w:val="20"/>
          <w:szCs w:val="20"/>
        </w:rPr>
        <w:t>. These results emerge directly from the interaction between functional surplus maximization, feasibility constraints, and nonlinear balance-sheet and settlement dynamics.</w:t>
      </w:r>
    </w:p>
    <w:p w14:paraId="216C2CFB"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The first result is that de-dollarization is structurally asymmetric across monetary functions by construction, not by policy choice. In the model, functional bypass</w:t>
      </w:r>
    </w:p>
    <w:p w14:paraId="4E0662B0" w14:textId="77777777" w:rsidR="00180480" w:rsidRPr="00537EDA" w:rsidRDefault="00C96DFF" w:rsidP="00180480">
      <w:pPr>
        <w:rPr>
          <w:rFonts w:ascii="Arial" w:hAnsi="Arial" w:cs="Arial"/>
        </w:rPr>
      </w:pPr>
      <m:oMathPara>
        <m:oMath>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)=1-</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D</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num>
            <m:den>
              <m:sSub>
                <m:sSubPr>
                  <m:ctrlPr>
                    <w:rPr>
                      <w:rFonts w:ascii="Cambria Math" w:hAnsi="Cambria Math" w:cs="Arial"/>
                    </w:rPr>
                  </m:ctrlPr>
                </m:sSubPr>
                <m:e>
                  <m:r>
                    <w:rPr>
                      <w:rFonts w:ascii="Cambria Math" w:hAnsi="Cambria Math" w:cs="Arial"/>
                    </w:rPr>
                    <m:t>A</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den>
          </m:f>
          <m:r>
            <m:rPr>
              <m:sty m:val="p"/>
            </m:rPr>
            <w:rPr>
              <w:rFonts w:ascii="Arial" w:hAnsi="Arial" w:cs="Arial"/>
            </w:rPr>
            <w:br/>
          </m:r>
        </m:oMath>
      </m:oMathPara>
    </w:p>
    <w:p w14:paraId="6604DB0B"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is subject to binding feasibility constraints in store-of-value and financial-anchoring functions:</w:t>
      </w:r>
    </w:p>
    <w:p w14:paraId="63541E6B" w14:textId="11EF40EF" w:rsidR="00180480" w:rsidRPr="00537EDA" w:rsidRDefault="00C96DFF" w:rsidP="00180480">
      <w:pPr>
        <w:rPr>
          <w:rFonts w:ascii="Arial" w:hAnsi="Arial" w:cs="Arial"/>
        </w:rPr>
      </w:pPr>
      <m:oMathPara>
        <m:oMath>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SOV</m:t>
          </m:r>
          <m:r>
            <w:rPr>
              <w:rFonts w:ascii="Cambria Math" w:hAnsi="Cambria Math" w:cs="Arial"/>
            </w:rPr>
            <m:t>)≤</m:t>
          </m:r>
          <m:r>
            <m:rPr>
              <m:sty m:val="p"/>
            </m:rPr>
            <w:rPr>
              <w:rFonts w:ascii="Cambria Math" w:hAnsi="Cambria Math" w:cs="Arial"/>
            </w:rPr>
            <m:t>min</m:t>
          </m:r>
          <m:d>
            <m:dPr>
              <m:begChr m:val="{"/>
              <m:endChr m:val="}"/>
              <m:ctrlPr>
                <w:rPr>
                  <w:rFonts w:ascii="Cambria Math" w:hAnsi="Cambria Math" w:cs="Arial"/>
                </w:rPr>
              </m:ctrlPr>
            </m:dPr>
            <m:e>
              <m:r>
                <w:rPr>
                  <w:rFonts w:ascii="Cambria Math" w:hAnsi="Cambria Math" w:cs="Arial"/>
                </w:rPr>
                <m:t xml:space="preserve">1, </m:t>
              </m:r>
              <m:f>
                <m:fPr>
                  <m:ctrlPr>
                    <w:rPr>
                      <w:rFonts w:ascii="Cambria Math" w:hAnsi="Cambria Math" w:cs="Arial"/>
                    </w:rPr>
                  </m:ctrlPr>
                </m:fPr>
                <m:num>
                  <m:sSubSup>
                    <m:sSubSupPr>
                      <m:ctrlPr>
                        <w:rPr>
                          <w:rFonts w:ascii="Cambria Math" w:hAnsi="Cambria Math" w:cs="Arial"/>
                        </w:rPr>
                      </m:ctrlPr>
                    </m:sSubSupPr>
                    <m:e>
                      <m:r>
                        <w:rPr>
                          <w:rFonts w:ascii="Cambria Math" w:hAnsi="Cambria Math" w:cs="Arial"/>
                        </w:rPr>
                        <m:t>S</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ND</m:t>
                      </m:r>
                    </m:sup>
                  </m:sSubSup>
                </m:num>
                <m:den>
                  <m:sSub>
                    <m:sSubPr>
                      <m:ctrlPr>
                        <w:rPr>
                          <w:rFonts w:ascii="Cambria Math" w:hAnsi="Cambria Math" w:cs="Arial"/>
                        </w:rPr>
                      </m:ctrlPr>
                    </m:sSubPr>
                    <m:e>
                      <m:r>
                        <w:rPr>
                          <w:rFonts w:ascii="Cambria Math" w:hAnsi="Cambria Math" w:cs="Arial"/>
                        </w:rPr>
                        <m:t>D</m:t>
                      </m:r>
                    </m:e>
                    <m:sub>
                      <m:r>
                        <w:rPr>
                          <w:rFonts w:ascii="Cambria Math" w:hAnsi="Cambria Math" w:cs="Arial"/>
                        </w:rPr>
                        <m:t>i</m:t>
                      </m:r>
                      <m:r>
                        <w:rPr>
                          <w:rFonts w:ascii="Cambria Math" w:hAnsi="Cambria Math" w:cs="Arial"/>
                        </w:rPr>
                        <m:t>,</m:t>
                      </m:r>
                      <m:r>
                        <w:rPr>
                          <w:rFonts w:ascii="Cambria Math" w:hAnsi="Cambria Math" w:cs="Arial"/>
                        </w:rPr>
                        <m:t>t</m:t>
                      </m:r>
                    </m:sub>
                  </m:sSub>
                </m:den>
              </m:f>
              <m:r>
                <w:rPr>
                  <w:rFonts w:ascii="Cambria Math" w:hAnsi="Cambria Math" w:cs="Arial"/>
                </w:rPr>
                <m:t xml:space="preserve">  </m:t>
              </m:r>
            </m:e>
          </m:d>
          <m: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r>
            <m:rPr>
              <m:sty m:val="p"/>
            </m:rPr>
            <w:rPr>
              <w:rFonts w:ascii="Cambria Math" w:hAnsi="Cambria Math" w:cs="Arial"/>
            </w:rPr>
            <m:t>min</m:t>
          </m:r>
          <m:d>
            <m:dPr>
              <m:begChr m:val="{"/>
              <m:endChr m:val="}"/>
              <m:ctrlPr>
                <w:rPr>
                  <w:rFonts w:ascii="Cambria Math" w:hAnsi="Cambria Math" w:cs="Arial"/>
                </w:rPr>
              </m:ctrlPr>
            </m:dPr>
            <m:e>
              <m:r>
                <w:rPr>
                  <w:rFonts w:ascii="Cambria Math" w:hAnsi="Cambria Math" w:cs="Arial"/>
                </w:rPr>
                <m:t xml:space="preserve">1, </m:t>
              </m:r>
              <m:f>
                <m:fPr>
                  <m:ctrlPr>
                    <w:rPr>
                      <w:rFonts w:ascii="Cambria Math" w:hAnsi="Cambria Math" w:cs="Arial"/>
                    </w:rPr>
                  </m:ctrlPr>
                </m:fPr>
                <m:num>
                  <m:sSubSup>
                    <m:sSubSupPr>
                      <m:ctrlPr>
                        <w:rPr>
                          <w:rFonts w:ascii="Cambria Math" w:hAnsi="Cambria Math" w:cs="Arial"/>
                        </w:rPr>
                      </m:ctrlPr>
                    </m:sSubSupPr>
                    <m:e>
                      <m:r>
                        <w:rPr>
                          <w:rFonts w:ascii="Cambria Math" w:hAnsi="Cambria Math" w:cs="Arial"/>
                        </w:rPr>
                        <m:t>H</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ND</m:t>
                      </m:r>
                    </m:sup>
                  </m:sSubSup>
                </m:num>
                <m:den>
                  <m:sSub>
                    <m:sSubPr>
                      <m:ctrlPr>
                        <w:rPr>
                          <w:rFonts w:ascii="Cambria Math" w:hAnsi="Cambria Math" w:cs="Arial"/>
                        </w:rPr>
                      </m:ctrlPr>
                    </m:sSubPr>
                    <m:e>
                      <m:r>
                        <w:rPr>
                          <w:rFonts w:ascii="Cambria Math" w:hAnsi="Cambria Math" w:cs="Arial"/>
                        </w:rPr>
                        <m:t>H</m:t>
                      </m:r>
                    </m:e>
                    <m:sub>
                      <m:r>
                        <w:rPr>
                          <w:rFonts w:ascii="Cambria Math" w:hAnsi="Cambria Math" w:cs="Arial"/>
                        </w:rPr>
                        <m:t>i</m:t>
                      </m:r>
                      <m:r>
                        <w:rPr>
                          <w:rFonts w:ascii="Cambria Math" w:hAnsi="Cambria Math" w:cs="Arial"/>
                        </w:rPr>
                        <m:t>,</m:t>
                      </m:r>
                      <m:r>
                        <w:rPr>
                          <w:rFonts w:ascii="Cambria Math" w:hAnsi="Cambria Math" w:cs="Arial"/>
                        </w:rPr>
                        <m:t>t</m:t>
                      </m:r>
                    </m:sub>
                  </m:sSub>
                </m:den>
              </m:f>
              <m:r>
                <w:rPr>
                  <w:rFonts w:ascii="Cambria Math" w:hAnsi="Cambria Math" w:cs="Arial"/>
                </w:rPr>
                <m:t xml:space="preserve">  </m:t>
              </m:r>
            </m:e>
          </m:d>
          <m:r>
            <m:rPr>
              <m:sty m:val="p"/>
            </m:rPr>
            <w:rPr>
              <w:rFonts w:ascii="Arial" w:hAnsi="Arial" w:cs="Arial"/>
            </w:rPr>
            <w:br/>
          </m:r>
        </m:oMath>
      </m:oMathPara>
    </w:p>
    <w:p w14:paraId="2D1FDE84"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Because non-dollar safe-asset supply</w:t>
      </w:r>
      <w:r w:rsidRPr="00537EDA">
        <w:rPr>
          <w:rStyle w:val="apple-converted-space"/>
          <w:rFonts w:ascii="Arial" w:hAnsi="Arial" w:cs="Arial"/>
          <w:color w:val="000000"/>
          <w:sz w:val="20"/>
          <w:szCs w:val="20"/>
        </w:rPr>
        <w:t> </w:t>
      </w:r>
      <m:oMath>
        <m:sSubSup>
          <m:sSubSupPr>
            <m:ctrlPr>
              <w:rPr>
                <w:rFonts w:ascii="Cambria Math" w:hAnsi="Cambria Math" w:cs="Arial"/>
                <w:sz w:val="20"/>
                <w:szCs w:val="20"/>
              </w:rPr>
            </m:ctrlPr>
          </m:sSubSupPr>
          <m:e>
            <m:r>
              <w:rPr>
                <w:rFonts w:ascii="Cambria Math" w:hAnsi="Cambria Math" w:cs="Arial"/>
                <w:sz w:val="20"/>
                <w:szCs w:val="20"/>
              </w:rPr>
              <m:t>S</m:t>
            </m:r>
          </m:e>
          <m:sub>
            <m:r>
              <w:rPr>
                <w:rFonts w:ascii="Cambria Math" w:hAnsi="Cambria Math" w:cs="Arial"/>
                <w:sz w:val="20"/>
                <w:szCs w:val="20"/>
              </w:rPr>
              <m:t>i,t</m:t>
            </m:r>
          </m:sub>
          <m:sup>
            <m:r>
              <w:rPr>
                <w:rFonts w:ascii="Cambria Math" w:hAnsi="Cambria Math" w:cs="Arial"/>
                <w:sz w:val="20"/>
                <w:szCs w:val="20"/>
              </w:rPr>
              <m:t>ND</m:t>
            </m:r>
          </m:sup>
        </m:sSubSup>
      </m:oMath>
      <w:r w:rsidRPr="00537EDA">
        <w:rPr>
          <w:rStyle w:val="apple-converted-space"/>
          <w:rFonts w:ascii="Arial" w:hAnsi="Arial" w:cs="Arial"/>
          <w:color w:val="000000"/>
          <w:sz w:val="20"/>
          <w:szCs w:val="20"/>
        </w:rPr>
        <w:t> </w:t>
      </w:r>
      <w:r w:rsidRPr="00537EDA">
        <w:rPr>
          <w:rFonts w:ascii="Arial" w:hAnsi="Arial" w:cs="Arial"/>
          <w:color w:val="000000"/>
          <w:sz w:val="20"/>
          <w:szCs w:val="20"/>
        </w:rPr>
        <w:t>and hedging depth</w:t>
      </w:r>
      <w:r w:rsidRPr="00537EDA">
        <w:rPr>
          <w:rStyle w:val="apple-converted-space"/>
          <w:rFonts w:ascii="Arial" w:hAnsi="Arial" w:cs="Arial"/>
          <w:color w:val="000000"/>
          <w:sz w:val="20"/>
          <w:szCs w:val="20"/>
        </w:rPr>
        <w:t> </w:t>
      </w:r>
      <m:oMath>
        <m:sSubSup>
          <m:sSubSupPr>
            <m:ctrlPr>
              <w:rPr>
                <w:rFonts w:ascii="Cambria Math" w:hAnsi="Cambria Math" w:cs="Arial"/>
                <w:sz w:val="20"/>
                <w:szCs w:val="20"/>
              </w:rPr>
            </m:ctrlPr>
          </m:sSubSupPr>
          <m:e>
            <m:r>
              <w:rPr>
                <w:rFonts w:ascii="Cambria Math" w:hAnsi="Cambria Math" w:cs="Arial"/>
                <w:sz w:val="20"/>
                <w:szCs w:val="20"/>
              </w:rPr>
              <m:t>H</m:t>
            </m:r>
          </m:e>
          <m:sub>
            <m:r>
              <w:rPr>
                <w:rFonts w:ascii="Cambria Math" w:hAnsi="Cambria Math" w:cs="Arial"/>
                <w:sz w:val="20"/>
                <w:szCs w:val="20"/>
              </w:rPr>
              <m:t>i,t</m:t>
            </m:r>
          </m:sub>
          <m:sup>
            <m:r>
              <w:rPr>
                <w:rFonts w:ascii="Cambria Math" w:hAnsi="Cambria Math" w:cs="Arial"/>
                <w:sz w:val="20"/>
                <w:szCs w:val="20"/>
              </w:rPr>
              <m:t>ND</m:t>
            </m:r>
          </m:sup>
        </m:sSubSup>
      </m:oMath>
      <w:r w:rsidRPr="00537EDA">
        <w:rPr>
          <w:rStyle w:val="apple-converted-space"/>
          <w:rFonts w:ascii="Arial" w:hAnsi="Arial" w:cs="Arial"/>
          <w:color w:val="000000"/>
          <w:sz w:val="20"/>
          <w:szCs w:val="20"/>
        </w:rPr>
        <w:t> </w:t>
      </w:r>
      <w:r w:rsidRPr="00537EDA">
        <w:rPr>
          <w:rFonts w:ascii="Arial" w:hAnsi="Arial" w:cs="Arial"/>
          <w:color w:val="000000"/>
          <w:sz w:val="20"/>
          <w:szCs w:val="20"/>
        </w:rPr>
        <w:t>are slow-moving and scarce in most Global South economies, substitution away from the dollar in these functions is sharply constrained. By contrast, bypass in unit-of-account and medium-of-exchange functions does not face analogous feasibility bounds and can proceed incrementally through invoicing arrangements, payment system coordination, or settlement technologies.</w:t>
      </w:r>
    </w:p>
    <w:p w14:paraId="3AA83A28"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This result explains why observed de-dollarization typically concentrates in transactional margins while leaving reserve composition and external balance-sheet denomination largely unchanged. Importantly, it shows that comprehensive de-dollarization is not an interior equilibrium outcome for most economies, even in the absence of political resistance.</w:t>
      </w:r>
    </w:p>
    <w:p w14:paraId="425B8229" w14:textId="56B98852"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 xml:space="preserve">Unlike existing work that treats de-dollarization as a scalar process, </w:t>
      </w:r>
      <w:r w:rsidR="009157B4" w:rsidRPr="009157B4">
        <w:rPr>
          <w:rFonts w:ascii="Arial" w:hAnsi="Arial" w:cs="Arial"/>
          <w:color w:val="000000"/>
          <w:sz w:val="20"/>
          <w:szCs w:val="20"/>
        </w:rPr>
        <w:t>the framework implies</w:t>
      </w:r>
      <w:r w:rsidR="009157B4">
        <w:rPr>
          <w:rFonts w:ascii="Arial" w:hAnsi="Arial" w:cs="Arial"/>
          <w:color w:val="000000"/>
          <w:sz w:val="20"/>
          <w:szCs w:val="20"/>
        </w:rPr>
        <w:t xml:space="preserve"> </w:t>
      </w:r>
      <w:r w:rsidRPr="00537EDA">
        <w:rPr>
          <w:rFonts w:ascii="Arial" w:hAnsi="Arial" w:cs="Arial"/>
          <w:color w:val="000000"/>
          <w:sz w:val="20"/>
          <w:szCs w:val="20"/>
        </w:rPr>
        <w:t>that substitution is</w:t>
      </w:r>
      <w:r w:rsidRPr="00537EDA">
        <w:rPr>
          <w:rStyle w:val="apple-converted-space"/>
          <w:rFonts w:ascii="Arial" w:hAnsi="Arial" w:cs="Arial"/>
          <w:color w:val="000000"/>
          <w:sz w:val="20"/>
          <w:szCs w:val="20"/>
        </w:rPr>
        <w:t> </w:t>
      </w:r>
      <w:r w:rsidRPr="00537EDA">
        <w:rPr>
          <w:rStyle w:val="Strong"/>
          <w:rFonts w:ascii="Arial" w:hAnsi="Arial" w:cs="Arial"/>
          <w:b w:val="0"/>
          <w:bCs w:val="0"/>
          <w:color w:val="000000"/>
          <w:sz w:val="20"/>
          <w:szCs w:val="20"/>
        </w:rPr>
        <w:t>function-specific and discontinuous</w:t>
      </w:r>
      <w:r w:rsidRPr="00537EDA">
        <w:rPr>
          <w:rFonts w:ascii="Arial" w:hAnsi="Arial" w:cs="Arial"/>
          <w:color w:val="000000"/>
          <w:sz w:val="20"/>
          <w:szCs w:val="20"/>
        </w:rPr>
        <w:t>, governed by infrastructure scarcity rather than preferences or network inertia.</w:t>
      </w:r>
    </w:p>
    <w:p w14:paraId="69207B45"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The second result is that dollarization in financial anchoring performs a stabilizing insurance function. In the model, bypass in financial anchoring raises currency mismatch risk:</w:t>
      </w:r>
    </w:p>
    <w:p w14:paraId="1E25EEF8" w14:textId="5DFE8DA8" w:rsidR="00180480" w:rsidRPr="00537EDA" w:rsidRDefault="00180480" w:rsidP="00180480">
      <w:pPr>
        <w:rPr>
          <w:rFonts w:ascii="Arial" w:hAnsi="Arial" w:cs="Arial"/>
        </w:rPr>
      </w:pPr>
      <m:oMathPara>
        <m:oMath>
          <m:r>
            <w:rPr>
              <w:rFonts w:ascii="Cambria Math" w:hAnsi="Cambria Math" w:cs="Arial"/>
            </w:rPr>
            <m:t>FXRis</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r>
            <m:rPr>
              <m:sty m:val="p"/>
            </m:rPr>
            <w:rPr>
              <w:rFonts w:ascii="Arial" w:hAnsi="Arial" w:cs="Arial"/>
            </w:rPr>
            <w:br/>
          </m:r>
        </m:oMath>
      </m:oMathPara>
    </w:p>
    <w:p w14:paraId="304D5EF6"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which tightens external financing conditions:</w:t>
      </w:r>
    </w:p>
    <w:p w14:paraId="2340C60E" w14:textId="2B5BD5D1" w:rsidR="00180480" w:rsidRPr="00537EDA" w:rsidRDefault="00C96DFF" w:rsidP="00180480">
      <w:pPr>
        <w:rPr>
          <w:rFonts w:ascii="Arial" w:hAnsi="Arial" w:cs="Arial"/>
        </w:rPr>
      </w:pPr>
      <m:oMathPara>
        <m:oMath>
          <m:sSub>
            <m:sSubPr>
              <m:ctrlPr>
                <w:rPr>
                  <w:rFonts w:ascii="Cambria Math" w:hAnsi="Cambria Math" w:cs="Arial"/>
                </w:rPr>
              </m:ctrlPr>
            </m:sSubPr>
            <m:e>
              <m:r>
                <w:rPr>
                  <w:rFonts w:ascii="Cambria Math" w:hAnsi="Cambria Math" w:cs="Arial"/>
                </w:rPr>
                <m:t>F</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sSub>
            <m:sSubPr>
              <m:ctrlPr>
                <w:rPr>
                  <w:rFonts w:ascii="Cambria Math" w:hAnsi="Cambria Math" w:cs="Arial"/>
                </w:rPr>
              </m:ctrlPr>
            </m:sSubPr>
            <m:e>
              <m:acc>
                <m:accPr>
                  <m:chr m:val="ˉ"/>
                  <m:ctrlPr>
                    <w:rPr>
                      <w:rFonts w:ascii="Cambria Math" w:hAnsi="Cambria Math" w:cs="Arial"/>
                    </w:rPr>
                  </m:ctrlPr>
                </m:accPr>
                <m:e>
                  <m:r>
                    <w:rPr>
                      <w:rFonts w:ascii="Cambria Math" w:hAnsi="Cambria Math" w:cs="Arial"/>
                    </w:rPr>
                    <m:t>F</m:t>
                  </m:r>
                </m:e>
              </m:acc>
            </m:e>
            <m:sub>
              <m:r>
                <w:rPr>
                  <w:rFonts w:ascii="Cambria Math" w:hAnsi="Cambria Math" w:cs="Arial"/>
                </w:rPr>
                <m:t>i</m:t>
              </m:r>
            </m:sub>
          </m:sSub>
          <m:r>
            <w:rPr>
              <w:rFonts w:ascii="Cambria Math" w:hAnsi="Cambria Math" w:cs="Arial"/>
            </w:rPr>
            <m:t>-</m:t>
          </m:r>
          <m:r>
            <w:rPr>
              <w:rFonts w:ascii="Cambria Math" w:hAnsi="Cambria Math" w:cs="Arial"/>
            </w:rPr>
            <m:t>ψ</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r>
            <w:rPr>
              <w:rFonts w:ascii="Cambria Math" w:hAnsi="Cambria Math" w:cs="Arial"/>
            </w:rPr>
            <m:t>-</m:t>
          </m:r>
          <m:r>
            <w:rPr>
              <w:rFonts w:ascii="Cambria Math" w:hAnsi="Cambria Math" w:cs="Arial"/>
            </w:rPr>
            <m:t>χ</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r>
            <m:rPr>
              <m:sty m:val="p"/>
            </m:rPr>
            <w:rPr>
              <w:rFonts w:ascii="Arial" w:hAnsi="Arial" w:cs="Arial"/>
            </w:rPr>
            <w:br/>
          </m:r>
        </m:oMath>
      </m:oMathPara>
    </w:p>
    <w:p w14:paraId="06FAD3E4"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Because global risk aversion</w:t>
      </w:r>
      <w:r w:rsidRPr="00537EDA">
        <w:rPr>
          <w:rStyle w:val="apple-converted-space"/>
          <w:rFonts w:ascii="Arial" w:hAnsi="Arial" w:cs="Arial"/>
          <w:color w:val="000000"/>
          <w:sz w:val="20"/>
          <w:szCs w:val="20"/>
        </w:rPr>
        <w:t> </w:t>
      </w:r>
      <m:oMath>
        <m:sSub>
          <m:sSubPr>
            <m:ctrlPr>
              <w:rPr>
                <w:rFonts w:ascii="Cambria Math" w:hAnsi="Cambria Math" w:cs="Arial"/>
                <w:sz w:val="20"/>
                <w:szCs w:val="20"/>
              </w:rPr>
            </m:ctrlPr>
          </m:sSubPr>
          <m:e>
            <m:r>
              <w:rPr>
                <w:rFonts w:ascii="Cambria Math" w:hAnsi="Cambria Math" w:cs="Arial"/>
                <w:sz w:val="20"/>
                <w:szCs w:val="20"/>
              </w:rPr>
              <m:t>σ</m:t>
            </m:r>
          </m:e>
          <m:sub>
            <m:r>
              <w:rPr>
                <w:rFonts w:ascii="Cambria Math" w:hAnsi="Cambria Math" w:cs="Arial"/>
                <w:sz w:val="20"/>
                <w:szCs w:val="20"/>
              </w:rPr>
              <m:t>t</m:t>
            </m:r>
          </m:sub>
        </m:sSub>
      </m:oMath>
      <w:r w:rsidRPr="00537EDA">
        <w:rPr>
          <w:rStyle w:val="apple-converted-space"/>
          <w:rFonts w:ascii="Arial" w:hAnsi="Arial" w:cs="Arial"/>
          <w:color w:val="000000"/>
          <w:sz w:val="20"/>
          <w:szCs w:val="20"/>
        </w:rPr>
        <w:t> </w:t>
      </w:r>
      <w:r w:rsidRPr="00537EDA">
        <w:rPr>
          <w:rFonts w:ascii="Arial" w:hAnsi="Arial" w:cs="Arial"/>
          <w:color w:val="000000"/>
          <w:sz w:val="20"/>
          <w:szCs w:val="20"/>
        </w:rPr>
        <w:t>is state-dependent, the marginal impact of bypass is amplified in adverse global conditions:</w:t>
      </w:r>
    </w:p>
    <w:p w14:paraId="5F9F8C45" w14:textId="01CC491A" w:rsidR="00180480" w:rsidRPr="00537EDA" w:rsidRDefault="00C96DFF" w:rsidP="00180480">
      <w:pPr>
        <w:rPr>
          <w:rFonts w:ascii="Arial" w:hAnsi="Arial" w:cs="Arial"/>
        </w:rPr>
      </w:pPr>
      <m:oMathPara>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sSub>
                <m:sSubPr>
                  <m:ctrlPr>
                    <w:rPr>
                      <w:rFonts w:ascii="Cambria Math" w:hAnsi="Cambria Math" w:cs="Arial"/>
                    </w:rPr>
                  </m:ctrlPr>
                </m:sSubPr>
                <m:e>
                  <m:r>
                    <w:rPr>
                      <w:rFonts w:ascii="Cambria Math" w:hAnsi="Cambria Math" w:cs="Arial"/>
                    </w:rPr>
                    <m:t>F</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FA</m:t>
              </m:r>
              <m:r>
                <w:rPr>
                  <w:rFonts w:ascii="Cambria Math" w:hAnsi="Cambria Math" w:cs="Arial"/>
                </w:rPr>
                <m:t>)</m:t>
              </m:r>
              <m:r>
                <m:rPr>
                  <m:nor/>
                </m:rPr>
                <w:rPr>
                  <w:rFonts w:ascii="Arial" w:hAnsi="Arial" w:cs="Arial"/>
                </w:rPr>
                <m:t> </m:t>
              </m:r>
              <m:r>
                <m:rPr>
                  <m:sty m:val="p"/>
                </m:rPr>
                <w:rPr>
                  <w:rFonts w:ascii="Cambria Math" w:hAnsi="Cambria Math" w:cs="Arial"/>
                </w:rPr>
                <m:t>∂</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den>
          </m:f>
          <m:r>
            <w:rPr>
              <w:rFonts w:ascii="Cambria Math" w:hAnsi="Cambria Math" w:cs="Arial"/>
            </w:rPr>
            <m:t>&lt;0</m:t>
          </m:r>
          <m:r>
            <m:rPr>
              <m:sty m:val="p"/>
            </m:rPr>
            <w:rPr>
              <w:rFonts w:ascii="Arial" w:hAnsi="Arial" w:cs="Arial"/>
            </w:rPr>
            <w:br/>
          </m:r>
        </m:oMath>
      </m:oMathPara>
    </w:p>
    <w:p w14:paraId="06D526FC"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As a result, reducing dollar use in financial anchoring weakens access to external finance precisely when it is most valuable. Investment, capital accumulation, and output therefore contract nonlinearly as bypass approaches its feasibility bound. This mechanism explains why premature exit from dollar-based financial anchoring often reduces, rather than enhances, macroeconomic autonomy.</w:t>
      </w:r>
    </w:p>
    <w:p w14:paraId="0E72E8FC" w14:textId="5B9DF1C0"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Dollar usage in external finance is not merely a legacy of dominance; it is an equilibrium response to the insurance embedded in deep dollar funding and hedging markets.</w:t>
      </w:r>
    </w:p>
    <w:p w14:paraId="4019F484"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The third result concerns the role of stablecoins. By construction, dollar activity is defined as:</w:t>
      </w:r>
    </w:p>
    <w:p w14:paraId="3EC63B3A" w14:textId="155BCC6C" w:rsidR="00180480" w:rsidRPr="00537EDA" w:rsidRDefault="00C96DFF" w:rsidP="00180480">
      <w:pPr>
        <w:rPr>
          <w:rFonts w:ascii="Arial" w:hAnsi="Arial" w:cs="Arial"/>
        </w:rPr>
      </w:pPr>
      <m:oMathPara>
        <m:oMath>
          <m:sSub>
            <m:sSubPr>
              <m:ctrlPr>
                <w:rPr>
                  <w:rFonts w:ascii="Cambria Math" w:hAnsi="Cambria Math" w:cs="Arial"/>
                </w:rPr>
              </m:ctrlPr>
            </m:sSubPr>
            <m:e>
              <m:r>
                <w:rPr>
                  <w:rFonts w:ascii="Cambria Math" w:hAnsi="Cambria Math" w:cs="Arial"/>
                </w:rPr>
                <m:t>D</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sSubSup>
            <m:sSubSupPr>
              <m:ctrlPr>
                <w:rPr>
                  <w:rFonts w:ascii="Cambria Math" w:hAnsi="Cambria Math" w:cs="Arial"/>
                </w:rPr>
              </m:ctrlPr>
            </m:sSubSupPr>
            <m:e>
              <m:r>
                <w:rPr>
                  <w:rFonts w:ascii="Cambria Math" w:hAnsi="Cambria Math" w:cs="Arial"/>
                </w:rPr>
                <m:t>D</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bank</m:t>
              </m:r>
            </m:sup>
          </m:sSubSup>
          <m:r>
            <w:rPr>
              <w:rFonts w:ascii="Cambria Math" w:hAnsi="Cambria Math" w:cs="Arial"/>
            </w:rPr>
            <m:t>(</m:t>
          </m:r>
          <m:r>
            <w:rPr>
              <w:rFonts w:ascii="Cambria Math" w:hAnsi="Cambria Math" w:cs="Arial"/>
            </w:rPr>
            <m:t>f</m:t>
          </m:r>
          <m:r>
            <w:rPr>
              <w:rFonts w:ascii="Cambria Math" w:hAnsi="Cambria Math" w:cs="Arial"/>
            </w:rPr>
            <m:t>)+</m:t>
          </m:r>
          <m:sSubSup>
            <m:sSubSupPr>
              <m:ctrlPr>
                <w:rPr>
                  <w:rFonts w:ascii="Cambria Math" w:hAnsi="Cambria Math" w:cs="Arial"/>
                </w:rPr>
              </m:ctrlPr>
            </m:sSubSupPr>
            <m:e>
              <m:r>
                <w:rPr>
                  <w:rFonts w:ascii="Cambria Math" w:hAnsi="Cambria Math" w:cs="Arial"/>
                </w:rPr>
                <m:t>D</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sc</m:t>
              </m:r>
            </m:sup>
          </m:sSubSup>
          <m:r>
            <w:rPr>
              <w:rFonts w:ascii="Cambria Math" w:hAnsi="Cambria Math" w:cs="Arial"/>
            </w:rPr>
            <m:t>(</m:t>
          </m:r>
          <m:r>
            <w:rPr>
              <w:rFonts w:ascii="Cambria Math" w:hAnsi="Cambria Math" w:cs="Arial"/>
            </w:rPr>
            <m:t>f</m:t>
          </m:r>
          <m:r>
            <w:rPr>
              <w:rFonts w:ascii="Cambria Math" w:hAnsi="Cambria Math" w:cs="Arial"/>
            </w:rPr>
            <m:t>)</m:t>
          </m:r>
          <m:r>
            <m:rPr>
              <m:sty m:val="p"/>
            </m:rPr>
            <w:rPr>
              <w:rFonts w:ascii="Arial" w:hAnsi="Arial" w:cs="Arial"/>
            </w:rPr>
            <w:br/>
          </m:r>
        </m:oMath>
      </m:oMathPara>
    </w:p>
    <w:p w14:paraId="55DB00A7" w14:textId="77777777" w:rsidR="00180480" w:rsidRPr="00537EDA" w:rsidRDefault="00180480" w:rsidP="00180480">
      <w:pPr>
        <w:pStyle w:val="NormalWeb"/>
        <w:rPr>
          <w:rFonts w:ascii="Arial" w:hAnsi="Arial" w:cs="Arial"/>
          <w:color w:val="000000"/>
          <w:sz w:val="20"/>
          <w:szCs w:val="20"/>
        </w:rPr>
      </w:pPr>
      <w:proofErr w:type="gramStart"/>
      <w:r w:rsidRPr="00537EDA">
        <w:rPr>
          <w:rFonts w:ascii="Arial" w:hAnsi="Arial" w:cs="Arial"/>
          <w:color w:val="000000"/>
          <w:sz w:val="20"/>
          <w:szCs w:val="20"/>
        </w:rPr>
        <w:t>so</w:t>
      </w:r>
      <w:proofErr w:type="gramEnd"/>
      <w:r w:rsidRPr="00537EDA">
        <w:rPr>
          <w:rFonts w:ascii="Arial" w:hAnsi="Arial" w:cs="Arial"/>
          <w:color w:val="000000"/>
          <w:sz w:val="20"/>
          <w:szCs w:val="20"/>
        </w:rPr>
        <w:t xml:space="preserve"> USD-backed stablecoins are treated as dollar usage rather than de-dollarization.</w:t>
      </w:r>
    </w:p>
    <w:p w14:paraId="4DB4E5AD"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Stablecoins raise settlement compatibility in medium-of-exchange functions,</w:t>
      </w:r>
    </w:p>
    <w:p w14:paraId="2FDC03FA" w14:textId="127F04CE" w:rsidR="00180480" w:rsidRPr="00537EDA" w:rsidRDefault="00C96DFF" w:rsidP="00180480">
      <w:pPr>
        <w:rPr>
          <w:rFonts w:ascii="Arial" w:hAnsi="Arial" w:cs="Arial"/>
        </w:rPr>
      </w:pPr>
      <m:oMathPara>
        <m:oMath>
          <m:sSub>
            <m:sSubPr>
              <m:ctrlPr>
                <w:rPr>
                  <w:rFonts w:ascii="Cambria Math" w:hAnsi="Cambria Math" w:cs="Arial"/>
                </w:rPr>
              </m:ctrlPr>
            </m:sSubPr>
            <m:e>
              <m:r>
                <w:rPr>
                  <w:rFonts w:ascii="Cambria Math" w:hAnsi="Cambria Math" w:cs="Arial"/>
                </w:rPr>
                <m:t>I</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SC</m:t>
          </m:r>
          <m:r>
            <w:rPr>
              <w:rFonts w:ascii="Cambria Math" w:hAnsi="Cambria Math" w:cs="Arial"/>
            </w:rPr>
            <m:t>,</m:t>
          </m:r>
          <m:r>
            <w:rPr>
              <w:rFonts w:ascii="Cambria Math" w:hAnsi="Cambria Math" w:cs="Arial"/>
            </w:rPr>
            <m:t>MOE</m:t>
          </m:r>
          <m:r>
            <w:rPr>
              <w:rFonts w:ascii="Cambria Math" w:hAnsi="Cambria Math" w:cs="Arial"/>
            </w:rPr>
            <m:t>)↑</m:t>
          </m:r>
          <m:r>
            <m:rPr>
              <m:sty m:val="p"/>
            </m:rPr>
            <w:rPr>
              <w:rFonts w:ascii="Arial" w:hAnsi="Arial" w:cs="Arial"/>
            </w:rPr>
            <w:br/>
          </m:r>
        </m:oMath>
      </m:oMathPara>
    </w:p>
    <w:p w14:paraId="26915767"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but do not relax the binding constraints on non-dollar safe-asset supply or hedging depth. Consequently, stablecoin adoption can reduce reliance on correspondent banking without increasing functional bypass:</w:t>
      </w:r>
    </w:p>
    <w:p w14:paraId="30D2CC22" w14:textId="0E845549" w:rsidR="00180480" w:rsidRPr="00537EDA" w:rsidRDefault="00180480" w:rsidP="00180480">
      <w:pPr>
        <w:rPr>
          <w:rFonts w:ascii="Arial" w:hAnsi="Arial" w:cs="Arial"/>
        </w:rPr>
      </w:pPr>
      <m:oMathPara>
        <m:oMath>
          <m:r>
            <m:rPr>
              <m:sty m:val="p"/>
            </m:rPr>
            <w:rPr>
              <w:rFonts w:ascii="Cambria Math" w:hAnsi="Cambria Math" w:cs="Arial"/>
            </w:rPr>
            <m:t>Δ</m:t>
          </m:r>
          <m:sSubSup>
            <m:sSubSupPr>
              <m:ctrlPr>
                <w:rPr>
                  <w:rFonts w:ascii="Cambria Math" w:hAnsi="Cambria Math" w:cs="Arial"/>
                </w:rPr>
              </m:ctrlPr>
            </m:sSubSupPr>
            <m:e>
              <m:r>
                <w:rPr>
                  <w:rFonts w:ascii="Cambria Math" w:hAnsi="Cambria Math" w:cs="Arial"/>
                </w:rPr>
                <m:t>D</m:t>
              </m:r>
            </m:e>
            <m:sub>
              <m:r>
                <w:rPr>
                  <w:rFonts w:ascii="Cambria Math" w:hAnsi="Cambria Math" w:cs="Arial"/>
                </w:rPr>
                <m:t>i,t</m:t>
              </m:r>
            </m:sub>
            <m:sup>
              <m:r>
                <w:rPr>
                  <w:rFonts w:ascii="Cambria Math" w:hAnsi="Cambria Math" w:cs="Arial"/>
                </w:rPr>
                <m:t>bank</m:t>
              </m:r>
            </m:sup>
          </m:sSubSup>
          <m:r>
            <w:rPr>
              <w:rFonts w:ascii="Cambria Math" w:hAnsi="Cambria Math" w:cs="Arial"/>
            </w:rPr>
            <m:t>(MOE)&lt;0,</m:t>
          </m:r>
          <m:r>
            <m:rPr>
              <m:sty m:val="p"/>
            </m:rPr>
            <w:rPr>
              <w:rFonts w:ascii="Cambria Math" w:hAnsi="Cambria Math" w:cs="Arial"/>
            </w:rPr>
            <m:t>Δ</m:t>
          </m:r>
          <m:sSubSup>
            <m:sSubSupPr>
              <m:ctrlPr>
                <w:rPr>
                  <w:rFonts w:ascii="Cambria Math" w:hAnsi="Cambria Math" w:cs="Arial"/>
                </w:rPr>
              </m:ctrlPr>
            </m:sSubSupPr>
            <m:e>
              <m:r>
                <w:rPr>
                  <w:rFonts w:ascii="Cambria Math" w:hAnsi="Cambria Math" w:cs="Arial"/>
                </w:rPr>
                <m:t>D</m:t>
              </m:r>
            </m:e>
            <m:sub>
              <m:r>
                <w:rPr>
                  <w:rFonts w:ascii="Cambria Math" w:hAnsi="Cambria Math" w:cs="Arial"/>
                </w:rPr>
                <m:t>i,t</m:t>
              </m:r>
            </m:sub>
            <m:sup>
              <m:r>
                <w:rPr>
                  <w:rFonts w:ascii="Cambria Math" w:hAnsi="Cambria Math" w:cs="Arial"/>
                </w:rPr>
                <m:t>sc</m:t>
              </m:r>
            </m:sup>
          </m:sSubSup>
          <m:r>
            <w:rPr>
              <w:rFonts w:ascii="Cambria Math" w:hAnsi="Cambria Math" w:cs="Arial"/>
            </w:rPr>
            <m:t>(MOE)&gt;0,</m:t>
          </m:r>
          <m:r>
            <m:rPr>
              <m:sty m:val="p"/>
            </m:rPr>
            <w:rPr>
              <w:rFonts w:ascii="Cambria Math" w:hAnsi="Cambria Math" w:cs="Arial"/>
            </w:rPr>
            <m:t>Δ</m:t>
          </m:r>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(MOE)≈0</m:t>
          </m:r>
          <m:r>
            <m:rPr>
              <m:sty m:val="p"/>
            </m:rPr>
            <w:rPr>
              <w:rFonts w:ascii="Arial" w:hAnsi="Arial" w:cs="Arial"/>
            </w:rPr>
            <w:br/>
          </m:r>
        </m:oMath>
      </m:oMathPara>
    </w:p>
    <w:p w14:paraId="21EDF34B"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This generates</w:t>
      </w:r>
      <w:r w:rsidRPr="00537EDA">
        <w:rPr>
          <w:rStyle w:val="apple-converted-space"/>
          <w:rFonts w:ascii="Arial" w:hAnsi="Arial" w:cs="Arial"/>
          <w:color w:val="000000"/>
          <w:sz w:val="20"/>
          <w:szCs w:val="20"/>
        </w:rPr>
        <w:t> </w:t>
      </w:r>
      <w:r w:rsidRPr="00537EDA">
        <w:rPr>
          <w:rStyle w:val="Strong"/>
          <w:rFonts w:ascii="Arial" w:hAnsi="Arial" w:cs="Arial"/>
          <w:b w:val="0"/>
          <w:bCs w:val="0"/>
          <w:color w:val="000000"/>
          <w:sz w:val="20"/>
          <w:szCs w:val="20"/>
        </w:rPr>
        <w:t>synthetic dollarization</w:t>
      </w:r>
      <w:r w:rsidRPr="00537EDA">
        <w:rPr>
          <w:rFonts w:ascii="Arial" w:hAnsi="Arial" w:cs="Arial"/>
          <w:b/>
          <w:bCs/>
          <w:color w:val="000000"/>
          <w:sz w:val="20"/>
          <w:szCs w:val="20"/>
        </w:rPr>
        <w:t>:</w:t>
      </w:r>
      <w:r w:rsidRPr="00537EDA">
        <w:rPr>
          <w:rFonts w:ascii="Arial" w:hAnsi="Arial" w:cs="Arial"/>
          <w:color w:val="000000"/>
          <w:sz w:val="20"/>
          <w:szCs w:val="20"/>
        </w:rPr>
        <w:t xml:space="preserve"> de-intermediation without currency exit. Economies appear to “de-dollarize” operationally while remaining fully exposed to dollar-based balance-sheet, legal, and liquidity risks.</w:t>
      </w:r>
    </w:p>
    <w:p w14:paraId="21085F9A" w14:textId="2EE50FCA"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The model separates</w:t>
      </w:r>
      <w:r w:rsidRPr="00537EDA">
        <w:rPr>
          <w:rStyle w:val="apple-converted-space"/>
          <w:rFonts w:ascii="Arial" w:hAnsi="Arial" w:cs="Arial"/>
          <w:color w:val="000000"/>
          <w:sz w:val="20"/>
          <w:szCs w:val="20"/>
        </w:rPr>
        <w:t> </w:t>
      </w:r>
      <w:r w:rsidRPr="00537EDA">
        <w:rPr>
          <w:rStyle w:val="Emphasis"/>
          <w:rFonts w:ascii="Arial" w:hAnsi="Arial" w:cs="Arial"/>
          <w:i w:val="0"/>
          <w:iCs w:val="0"/>
          <w:color w:val="000000"/>
          <w:sz w:val="20"/>
          <w:szCs w:val="20"/>
        </w:rPr>
        <w:t>rail substitution</w:t>
      </w:r>
      <w:r w:rsidRPr="00E4486A">
        <w:rPr>
          <w:rStyle w:val="apple-converted-space"/>
          <w:rFonts w:ascii="Arial" w:hAnsi="Arial" w:cs="Arial"/>
          <w:color w:val="000000"/>
          <w:sz w:val="20"/>
          <w:szCs w:val="20"/>
        </w:rPr>
        <w:t> </w:t>
      </w:r>
      <w:r w:rsidRPr="00E4486A">
        <w:rPr>
          <w:rFonts w:ascii="Arial" w:hAnsi="Arial" w:cs="Arial"/>
          <w:color w:val="000000"/>
          <w:sz w:val="20"/>
          <w:szCs w:val="20"/>
        </w:rPr>
        <w:t>from</w:t>
      </w:r>
      <w:r w:rsidRPr="00537EDA">
        <w:rPr>
          <w:rStyle w:val="apple-converted-space"/>
          <w:rFonts w:ascii="Arial" w:hAnsi="Arial" w:cs="Arial"/>
          <w:i/>
          <w:iCs/>
          <w:color w:val="000000"/>
          <w:sz w:val="20"/>
          <w:szCs w:val="20"/>
        </w:rPr>
        <w:t> </w:t>
      </w:r>
      <w:r w:rsidRPr="00537EDA">
        <w:rPr>
          <w:rStyle w:val="Emphasis"/>
          <w:rFonts w:ascii="Arial" w:hAnsi="Arial" w:cs="Arial"/>
          <w:i w:val="0"/>
          <w:iCs w:val="0"/>
          <w:color w:val="000000"/>
          <w:sz w:val="20"/>
          <w:szCs w:val="20"/>
        </w:rPr>
        <w:t>currency substitution</w:t>
      </w:r>
      <w:r w:rsidRPr="00537EDA">
        <w:rPr>
          <w:rFonts w:ascii="Arial" w:hAnsi="Arial" w:cs="Arial"/>
          <w:color w:val="000000"/>
          <w:sz w:val="20"/>
          <w:szCs w:val="20"/>
        </w:rPr>
        <w:t>, showing why digital money does not overturn dollar dominance in stability-critical functions.</w:t>
      </w:r>
    </w:p>
    <w:p w14:paraId="4675963B"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The fourth result is that forced or accelerated de-dollarization generates nonlinear instability. When bypass in financial anchoring or settlement exceeds institutional absorptive capacity, both balance-sheet volatility and settlement inefficiency rise sharply.</w:t>
      </w:r>
    </w:p>
    <w:p w14:paraId="281140F5"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lastRenderedPageBreak/>
        <w:t>Settlement efficiency,</w:t>
      </w:r>
    </w:p>
    <w:p w14:paraId="38F5C395" w14:textId="7D629210" w:rsidR="00180480" w:rsidRPr="00537EDA" w:rsidRDefault="00C96DFF" w:rsidP="00180480">
      <w:pPr>
        <w:rPr>
          <w:rFonts w:ascii="Arial" w:hAnsi="Arial" w:cs="Arial"/>
        </w:rPr>
      </w:pPr>
      <m:oMathPara>
        <m:oMath>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nary>
            <m:naryPr>
              <m:chr m:val="∑"/>
              <m:limLoc m:val="undOvr"/>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ω</m:t>
                  </m:r>
                </m:e>
                <m:sub>
                  <m:r>
                    <w:rPr>
                      <w:rFonts w:ascii="Cambria Math" w:hAnsi="Cambria Math" w:cs="Arial"/>
                    </w:rPr>
                    <m:t>f</m:t>
                  </m:r>
                </m:sub>
              </m:sSub>
            </m:e>
          </m:nary>
          <m:sSub>
            <m:sSubPr>
              <m:ctrlPr>
                <w:rPr>
                  <w:rFonts w:ascii="Cambria Math" w:hAnsi="Cambria Math" w:cs="Arial"/>
                </w:rPr>
              </m:ctrlPr>
            </m:sSubPr>
            <m:e>
              <m:r>
                <w:rPr>
                  <w:rFonts w:ascii="Cambria Math" w:hAnsi="Cambria Math" w:cs="Arial"/>
                </w:rPr>
                <m:t>I</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f</m:t>
              </m:r>
            </m:sub>
          </m:sSub>
          <m:r>
            <w:rPr>
              <w:rFonts w:ascii="Cambria Math" w:hAnsi="Cambria Math" w:cs="Arial"/>
            </w:rPr>
            <m:t>,</m:t>
          </m:r>
          <m:r>
            <w:rPr>
              <w:rFonts w:ascii="Cambria Math" w:hAnsi="Cambria Math" w:cs="Arial"/>
            </w:rPr>
            <m:t>f</m:t>
          </m:r>
          <m:r>
            <w:rPr>
              <w:rFonts w:ascii="Cambria Math" w:hAnsi="Cambria Math" w:cs="Arial"/>
            </w:rPr>
            <m:t>)</m:t>
          </m:r>
          <m:r>
            <m:rPr>
              <m:sty m:val="p"/>
            </m:rPr>
            <w:rPr>
              <w:rFonts w:ascii="Arial" w:hAnsi="Arial" w:cs="Arial"/>
            </w:rPr>
            <w:br/>
          </m:r>
        </m:oMath>
      </m:oMathPara>
    </w:p>
    <w:p w14:paraId="475CF708"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declines when medium-of-exchange bypass rises faster than local infrastructure investment, producing stagflationary pressure:</w:t>
      </w:r>
    </w:p>
    <w:p w14:paraId="547DC7D2" w14:textId="113B192F" w:rsidR="00180480" w:rsidRPr="00537EDA" w:rsidRDefault="00C96DFF" w:rsidP="00180480">
      <w:pPr>
        <w:rPr>
          <w:rFonts w:ascii="Arial" w:hAnsi="Arial" w:cs="Arial"/>
        </w:rPr>
      </w:pPr>
      <m:oMathPara>
        <m:oMath>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MOE</m:t>
              </m:r>
              <m:r>
                <w:rPr>
                  <w:rFonts w:ascii="Cambria Math" w:hAnsi="Cambria Math" w:cs="Arial"/>
                </w:rPr>
                <m:t>)</m:t>
              </m:r>
            </m:den>
          </m:f>
          <m:r>
            <w:rPr>
              <w:rFonts w:ascii="Cambria Math" w:hAnsi="Cambria Math" w:cs="Arial"/>
            </w:rPr>
            <m:t>&gt;0,</m:t>
          </m:r>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MOE</m:t>
              </m:r>
              <m:r>
                <w:rPr>
                  <w:rFonts w:ascii="Cambria Math" w:hAnsi="Cambria Math" w:cs="Arial"/>
                </w:rPr>
                <m:t>)</m:t>
              </m:r>
            </m:den>
          </m:f>
          <m:r>
            <w:rPr>
              <w:rFonts w:ascii="Cambria Math" w:hAnsi="Cambria Math" w:cs="Arial"/>
            </w:rPr>
            <m:t>&lt;0</m:t>
          </m:r>
          <m:r>
            <m:rPr>
              <m:sty m:val="p"/>
            </m:rPr>
            <w:rPr>
              <w:rFonts w:ascii="Arial" w:hAnsi="Arial" w:cs="Arial"/>
            </w:rPr>
            <w:br/>
          </m:r>
        </m:oMath>
      </m:oMathPara>
    </w:p>
    <w:p w14:paraId="78679BED"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Stablecoins intensify this nonlinearity. While they improve settlement efficiency in normal states, regulatory freezes, de-pegs, or on-ramp failures introduce cliff risks that can abruptly collapse</w:t>
      </w:r>
      <w:r w:rsidRPr="00537EDA">
        <w:rPr>
          <w:rStyle w:val="apple-converted-space"/>
          <w:rFonts w:ascii="Arial" w:hAnsi="Arial" w:cs="Arial"/>
          <w:color w:val="000000"/>
          <w:sz w:val="20"/>
          <w:szCs w:val="20"/>
        </w:rPr>
        <w:t> </w:t>
      </w:r>
      <m:oMath>
        <m:sSub>
          <m:sSubPr>
            <m:ctrlPr>
              <w:rPr>
                <w:rFonts w:ascii="Cambria Math" w:hAnsi="Cambria Math" w:cs="Arial"/>
                <w:sz w:val="20"/>
                <w:szCs w:val="20"/>
              </w:rPr>
            </m:ctrlPr>
          </m:sSubPr>
          <m:e>
            <m:r>
              <m:rPr>
                <m:sty m:val="p"/>
              </m:rPr>
              <w:rPr>
                <w:rFonts w:ascii="Cambria Math" w:hAnsi="Cambria Math" w:cs="Arial"/>
                <w:sz w:val="20"/>
                <w:szCs w:val="20"/>
              </w:rPr>
              <m:t>Φ</m:t>
            </m:r>
          </m:e>
          <m:sub>
            <m:r>
              <w:rPr>
                <w:rFonts w:ascii="Cambria Math" w:hAnsi="Cambria Math" w:cs="Arial"/>
                <w:sz w:val="20"/>
                <w:szCs w:val="20"/>
              </w:rPr>
              <m:t>i,t</m:t>
            </m:r>
          </m:sub>
        </m:sSub>
      </m:oMath>
      <w:r w:rsidRPr="00537EDA">
        <w:rPr>
          <w:rStyle w:val="apple-converted-space"/>
          <w:rFonts w:ascii="Arial" w:hAnsi="Arial" w:cs="Arial"/>
          <w:color w:val="000000"/>
          <w:sz w:val="20"/>
          <w:szCs w:val="20"/>
        </w:rPr>
        <w:t> </w:t>
      </w:r>
      <w:r w:rsidRPr="00537EDA">
        <w:rPr>
          <w:rFonts w:ascii="Arial" w:hAnsi="Arial" w:cs="Arial"/>
          <w:color w:val="000000"/>
          <w:sz w:val="20"/>
          <w:szCs w:val="20"/>
        </w:rPr>
        <w:t>and liquid net worth. The result is a higher-speed but more fragile monetary system.</w:t>
      </w:r>
    </w:p>
    <w:p w14:paraId="5A68AA88" w14:textId="740C8389"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De-dollarization policies that focus on administrative substitution rather than infrastructure replication are prone to crisis dynamics.</w:t>
      </w:r>
    </w:p>
    <w:p w14:paraId="7FB667BB" w14:textId="77777777"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From a global social planner perspective, the model implies that partial dollarization in the Global South enhances systemic stability. Dollar-based infrastructure internalizes cross-border externalities in payments, collateral provision, and safe-asset supply that individual economies cannot replicate unilaterally. A uniform retreat from the dollar would raise global transaction costs, increase risk premia, and amplify financial fragmentation.</w:t>
      </w:r>
    </w:p>
    <w:p w14:paraId="5A780DF1" w14:textId="5C034BD6" w:rsidR="00180480" w:rsidRPr="00537EDA" w:rsidRDefault="00180480" w:rsidP="00180480">
      <w:pPr>
        <w:pStyle w:val="NormalWeb"/>
        <w:rPr>
          <w:rFonts w:ascii="Arial" w:hAnsi="Arial" w:cs="Arial"/>
          <w:color w:val="000000"/>
          <w:sz w:val="20"/>
          <w:szCs w:val="20"/>
        </w:rPr>
      </w:pPr>
      <w:r w:rsidRPr="00537EDA">
        <w:rPr>
          <w:rFonts w:ascii="Arial" w:hAnsi="Arial" w:cs="Arial"/>
          <w:color w:val="000000"/>
          <w:sz w:val="20"/>
          <w:szCs w:val="20"/>
        </w:rPr>
        <w:t>The welfare-maximizing configuration instead features</w:t>
      </w:r>
      <w:r w:rsidRPr="00537EDA">
        <w:rPr>
          <w:rStyle w:val="apple-converted-space"/>
          <w:rFonts w:ascii="Arial" w:hAnsi="Arial" w:cs="Arial"/>
          <w:color w:val="000000"/>
          <w:sz w:val="20"/>
          <w:szCs w:val="20"/>
        </w:rPr>
        <w:t> </w:t>
      </w:r>
      <w:r w:rsidRPr="00537EDA">
        <w:rPr>
          <w:rStyle w:val="Strong"/>
          <w:rFonts w:ascii="Arial" w:hAnsi="Arial" w:cs="Arial"/>
          <w:b w:val="0"/>
          <w:bCs w:val="0"/>
          <w:color w:val="000000"/>
          <w:sz w:val="20"/>
          <w:szCs w:val="20"/>
        </w:rPr>
        <w:t>functional stratification</w:t>
      </w:r>
      <w:r w:rsidRPr="00537EDA">
        <w:rPr>
          <w:rFonts w:ascii="Arial" w:hAnsi="Arial" w:cs="Arial"/>
          <w:color w:val="000000"/>
          <w:sz w:val="20"/>
          <w:szCs w:val="20"/>
        </w:rPr>
        <w:t>: non-dollar substitution where feasibility constraints are slack, and continued dollar reliance where credibility, liquidity, and balance-sheet coherence remain indispensable.</w:t>
      </w:r>
    </w:p>
    <w:p w14:paraId="62093C72" w14:textId="79A5D952" w:rsidR="0061126F" w:rsidRDefault="00180480" w:rsidP="00EB042D">
      <w:pPr>
        <w:pStyle w:val="NormalWeb"/>
        <w:rPr>
          <w:rFonts w:ascii="Arial" w:hAnsi="Arial" w:cs="Arial"/>
          <w:color w:val="000000"/>
          <w:sz w:val="20"/>
          <w:szCs w:val="20"/>
        </w:rPr>
      </w:pPr>
      <w:r w:rsidRPr="00537EDA">
        <w:rPr>
          <w:rFonts w:ascii="Arial" w:hAnsi="Arial" w:cs="Arial"/>
          <w:color w:val="000000"/>
          <w:sz w:val="20"/>
          <w:szCs w:val="20"/>
        </w:rPr>
        <w:t>Taken together, these results resolve the apparent tension between persistent dollar dominance and the proliferation of de-dollarization initiatives. What is changing is not the dollar’s central role, but the</w:t>
      </w:r>
      <w:r w:rsidRPr="00537EDA">
        <w:rPr>
          <w:rStyle w:val="apple-converted-space"/>
          <w:rFonts w:ascii="Arial" w:hAnsi="Arial" w:cs="Arial"/>
          <w:color w:val="000000"/>
          <w:sz w:val="20"/>
          <w:szCs w:val="20"/>
        </w:rPr>
        <w:t> </w:t>
      </w:r>
      <w:r w:rsidRPr="00537EDA">
        <w:rPr>
          <w:rStyle w:val="Strong"/>
          <w:rFonts w:ascii="Arial" w:hAnsi="Arial" w:cs="Arial"/>
          <w:b w:val="0"/>
          <w:bCs w:val="0"/>
          <w:color w:val="000000"/>
          <w:sz w:val="20"/>
          <w:szCs w:val="20"/>
        </w:rPr>
        <w:t>functional allocation of monetary tasks across currencies and technologies</w:t>
      </w:r>
      <w:r w:rsidRPr="00537EDA">
        <w:rPr>
          <w:rFonts w:ascii="Arial" w:hAnsi="Arial" w:cs="Arial"/>
          <w:b/>
          <w:bCs/>
          <w:color w:val="000000"/>
          <w:sz w:val="20"/>
          <w:szCs w:val="20"/>
        </w:rPr>
        <w:t xml:space="preserve">. </w:t>
      </w:r>
      <w:r w:rsidRPr="00537EDA">
        <w:rPr>
          <w:rFonts w:ascii="Arial" w:hAnsi="Arial" w:cs="Arial"/>
          <w:color w:val="000000"/>
          <w:sz w:val="20"/>
          <w:szCs w:val="20"/>
        </w:rPr>
        <w:t>De-dollarization proceeds as a selective reconfiguration rather than a generalized displacement—an outcome governed by infrastructure scarcity, convex stability costs, and the limits of digital substitution.</w:t>
      </w:r>
    </w:p>
    <w:p w14:paraId="2C0335EF" w14:textId="3E919EF4" w:rsidR="00A019B5" w:rsidRPr="00A019B5" w:rsidRDefault="00A019B5" w:rsidP="00A019B5">
      <w:pPr>
        <w:pStyle w:val="NormalWeb"/>
        <w:rPr>
          <w:rFonts w:ascii="Arial" w:hAnsi="Arial" w:cs="Arial"/>
          <w:color w:val="000000"/>
          <w:sz w:val="20"/>
          <w:szCs w:val="20"/>
        </w:rPr>
      </w:pPr>
      <w:r w:rsidRPr="00A019B5">
        <w:rPr>
          <w:rFonts w:ascii="Arial" w:hAnsi="Arial" w:cs="Arial"/>
          <w:color w:val="000000"/>
          <w:sz w:val="20"/>
          <w:szCs w:val="20"/>
        </w:rPr>
        <w:t>The central claim of this paper is that de-dollarization operates as function-specific bypass constrained by safe-asset scarcity, hedging-market depth, and sudden-stop dynamics, yielding a stratified equilibrium: substitution is relatively feasible in unit-of-account and settlement functions, but sharply limited in store-of-value and financial-anchoring roles. If, however, the empirical record were to show broad-based substitution away from the dollar in store-of-value and financial anchoring without commensurate macro-financial instability, the interpretation of the framework would require revision along three dimensions.</w:t>
      </w:r>
    </w:p>
    <w:p w14:paraId="1238D02B" w14:textId="77777777" w:rsidR="00A019B5" w:rsidRPr="00A019B5" w:rsidRDefault="00A019B5" w:rsidP="00A019B5">
      <w:pPr>
        <w:pStyle w:val="NormalWeb"/>
        <w:rPr>
          <w:rFonts w:ascii="Arial" w:hAnsi="Arial" w:cs="Arial"/>
          <w:color w:val="000000"/>
          <w:sz w:val="20"/>
          <w:szCs w:val="20"/>
        </w:rPr>
      </w:pPr>
      <w:r w:rsidRPr="00A019B5">
        <w:rPr>
          <w:rFonts w:ascii="Arial" w:hAnsi="Arial" w:cs="Arial"/>
          <w:color w:val="000000"/>
          <w:sz w:val="20"/>
          <w:szCs w:val="20"/>
        </w:rPr>
        <w:t xml:space="preserve">First, the feasibility constraints emphasized in the model may be less binding than theorized because non-dollar “insurance capacity” is being supplied through channels not captured by standard proxies. Such channels include synthetic safe assets created via collateral transformation or official backstops, expanded public liquidity provision through swap </w:t>
      </w:r>
      <w:r w:rsidRPr="00A019B5">
        <w:rPr>
          <w:rFonts w:ascii="Arial" w:hAnsi="Arial" w:cs="Arial"/>
          <w:color w:val="000000"/>
          <w:sz w:val="20"/>
          <w:szCs w:val="20"/>
        </w:rPr>
        <w:lastRenderedPageBreak/>
        <w:t>networks or regional stabilization mechanisms, and institutional upgrading—credible fiscal frameworks, stronger legal enforceability, and deeper domestic yield curves—that expands effective safe-asset supply more rapidly than conventional measures suggest. In this case, what matters is not the outstanding stock of non-dollar assets per se, but their state-contingent liquidity and collateral usability under stress, implying misspecification of the model’s constraint terms.</w:t>
      </w:r>
    </w:p>
    <w:p w14:paraId="2896B9E5" w14:textId="77777777" w:rsidR="00A019B5" w:rsidRPr="00A019B5" w:rsidRDefault="00A019B5" w:rsidP="00A019B5">
      <w:pPr>
        <w:pStyle w:val="NormalWeb"/>
        <w:rPr>
          <w:rFonts w:ascii="Arial" w:hAnsi="Arial" w:cs="Arial"/>
          <w:color w:val="000000"/>
          <w:sz w:val="20"/>
          <w:szCs w:val="20"/>
        </w:rPr>
      </w:pPr>
      <w:r w:rsidRPr="00A019B5">
        <w:rPr>
          <w:rFonts w:ascii="Arial" w:hAnsi="Arial" w:cs="Arial"/>
          <w:color w:val="000000"/>
          <w:sz w:val="20"/>
          <w:szCs w:val="20"/>
        </w:rPr>
        <w:t>Second, the framework may overstate the instability associated with functional bypass if its core risk mechanism—currency mismatch interacting with global risk spikes—is mitigated by structural balance-sheet adjustment. If firms and sovereigns reduce foreign-currency liabilities, lengthen maturities, or adopt more complete hedging strategies (including offshore or nontraditional instruments), bypass in financial anchoring need not generate the convex contraction dynamics emphasized here. De-dollarization would then be priced primarily through a gradual trade-off between financing costs and autonomy, rather than through sudden-stop amplification.</w:t>
      </w:r>
    </w:p>
    <w:p w14:paraId="3966497A" w14:textId="77777777" w:rsidR="00A019B5" w:rsidRPr="00A019B5" w:rsidRDefault="00A019B5" w:rsidP="00A019B5">
      <w:pPr>
        <w:pStyle w:val="NormalWeb"/>
        <w:rPr>
          <w:rFonts w:ascii="Arial" w:hAnsi="Arial" w:cs="Arial"/>
          <w:color w:val="000000"/>
          <w:sz w:val="20"/>
          <w:szCs w:val="20"/>
        </w:rPr>
      </w:pPr>
      <w:r w:rsidRPr="00A019B5">
        <w:rPr>
          <w:rFonts w:ascii="Arial" w:hAnsi="Arial" w:cs="Arial"/>
          <w:color w:val="000000"/>
          <w:sz w:val="20"/>
          <w:szCs w:val="20"/>
        </w:rPr>
        <w:t>Third, apparent non-confirmation may reflect measurement rather than mechanism. Observed “de-dollarization” in reserves, deposits, or debt denomination may represent relabeling of exposures rather than genuine exit from dollar infrastructure. If portfolio shifts remain operationally or legally tethered to the dollar system—for example, via intermediated claims ultimately cleared or collateralized in dollars—then conventional indicators overstate functional bypass. This possibility reinforces the paper’s core motivation: distinguishing currency-label substitution from true infrastructure substitution.</w:t>
      </w:r>
    </w:p>
    <w:p w14:paraId="241DAB82" w14:textId="77777777" w:rsidR="00A019B5" w:rsidRPr="00A019B5" w:rsidRDefault="00A019B5" w:rsidP="00A019B5">
      <w:pPr>
        <w:pStyle w:val="NormalWeb"/>
        <w:rPr>
          <w:rFonts w:ascii="Arial" w:hAnsi="Arial" w:cs="Arial"/>
          <w:color w:val="000000"/>
          <w:sz w:val="20"/>
          <w:szCs w:val="20"/>
        </w:rPr>
      </w:pPr>
      <w:r w:rsidRPr="00A019B5">
        <w:rPr>
          <w:rFonts w:ascii="Arial" w:hAnsi="Arial" w:cs="Arial"/>
          <w:color w:val="000000"/>
          <w:sz w:val="20"/>
          <w:szCs w:val="20"/>
        </w:rPr>
        <w:t>More broadly, if function-by-function stratification is not observed, dollar dominance may be governed by mechanisms operating at a different level than the paper’s infrastructure constraints. These include unified network coordination across all monetary functions, geopolitical segmentation into currency blocs rather than functional layers, or policy-regime credibility as the binding margin—suggesting that functional feasibility should be modeled as endogenous to institutional credibility rather than largely fixed.</w:t>
      </w:r>
    </w:p>
    <w:p w14:paraId="50B5BDAE" w14:textId="566BE7F4" w:rsidR="00A019B5" w:rsidRPr="00A019B5" w:rsidRDefault="00A019B5" w:rsidP="00EB042D">
      <w:pPr>
        <w:pStyle w:val="NormalWeb"/>
        <w:rPr>
          <w:rFonts w:ascii="Arial" w:hAnsi="Arial" w:cs="Arial"/>
          <w:color w:val="000000"/>
          <w:sz w:val="20"/>
          <w:szCs w:val="20"/>
        </w:rPr>
      </w:pPr>
      <w:r w:rsidRPr="00A019B5">
        <w:rPr>
          <w:rFonts w:ascii="Arial" w:hAnsi="Arial" w:cs="Arial"/>
          <w:color w:val="000000"/>
          <w:sz w:val="20"/>
          <w:szCs w:val="20"/>
        </w:rPr>
        <w:t>A decisive falsification of the framework would require evidence of sustained, crisis-resilient bypass in safety- and finance-critical domains: a persistent decline in dollar shares of reserves and savings during global risk-off episodes; a durable reduction in USD-denominated external debt without rising spreads or rollover risk; and stable settlement efficiency under rapid substitution away from dollar rails. If such patterns were observed, the insurance capacity attributed to dollar infrastructure would either be replicated elsewhere or less essential than assumed.</w:t>
      </w:r>
    </w:p>
    <w:p w14:paraId="46E2882D" w14:textId="1C7AAC61"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AAA26D" w14:textId="62270922" w:rsidR="00CD6EE9" w:rsidRPr="00CD6EE9" w:rsidRDefault="00CD6EE9" w:rsidP="00CD6EE9">
      <w:pPr>
        <w:pStyle w:val="Body"/>
        <w:spacing w:after="0"/>
        <w:rPr>
          <w:rFonts w:ascii="Arial" w:hAnsi="Arial" w:cs="Arial"/>
          <w:b/>
          <w:bCs/>
        </w:rPr>
      </w:pPr>
    </w:p>
    <w:p w14:paraId="70A08D9F" w14:textId="77777777" w:rsidR="001508D0" w:rsidRPr="001508D0" w:rsidRDefault="001508D0" w:rsidP="001508D0">
      <w:pPr>
        <w:pStyle w:val="Body"/>
        <w:spacing w:after="0"/>
        <w:rPr>
          <w:rFonts w:ascii="Arial" w:hAnsi="Arial" w:cs="Arial"/>
        </w:rPr>
      </w:pPr>
      <w:r w:rsidRPr="001508D0">
        <w:rPr>
          <w:rFonts w:ascii="Arial" w:hAnsi="Arial" w:cs="Arial"/>
        </w:rPr>
        <w:t>This paper argues that prevailing debates on de-dollarization rest on an analytically incomplete framing. The relevant question is not whether the dollar’s aggregate global share is rising or falling, but how distinct monetary functions are reallocated across currencies when institutional capacity, financial depth, and geopolitical constraints bind. Once international money is treated as a vector of function-specific roles rather than a scalar outcome, de-dollarization emerges as neither linear nor symmetric. It is inherently partial, state-contingent, and bounded by feasibility conditions that differ systematically across functions and countries.</w:t>
      </w:r>
    </w:p>
    <w:p w14:paraId="5A66120F" w14:textId="5E5E5C3A" w:rsidR="001508D0" w:rsidRPr="001508D0" w:rsidRDefault="001508D0" w:rsidP="001508D0">
      <w:pPr>
        <w:pStyle w:val="Body"/>
        <w:spacing w:after="0"/>
        <w:rPr>
          <w:rFonts w:ascii="Arial" w:hAnsi="Arial" w:cs="Arial"/>
        </w:rPr>
      </w:pPr>
      <w:r w:rsidRPr="001508D0">
        <w:rPr>
          <w:rFonts w:ascii="Arial" w:hAnsi="Arial" w:cs="Arial"/>
        </w:rPr>
        <w:t xml:space="preserve">By conceptualizing international money as layered infrastructure rather than a portfolio allocation problem, the framework resolves a central empirical puzzle: the coexistence of persistent dollar dominance during episodes of financial and geopolitical stress with the simultaneous expansion of non-dollar arrangements in trade invoicing, settlement systems, </w:t>
      </w:r>
      <w:r w:rsidRPr="001508D0">
        <w:rPr>
          <w:rFonts w:ascii="Arial" w:hAnsi="Arial" w:cs="Arial"/>
        </w:rPr>
        <w:lastRenderedPageBreak/>
        <w:t xml:space="preserve">and regional liquidity provision. Constraint asymmetries imply that substitution is relatively feasible in transaction-intensive </w:t>
      </w:r>
      <w:r w:rsidR="00766F50" w:rsidRPr="001508D0">
        <w:rPr>
          <w:rFonts w:ascii="Arial" w:hAnsi="Arial" w:cs="Arial"/>
        </w:rPr>
        <w:t>functions but</w:t>
      </w:r>
      <w:r w:rsidRPr="001508D0">
        <w:rPr>
          <w:rFonts w:ascii="Arial" w:hAnsi="Arial" w:cs="Arial"/>
        </w:rPr>
        <w:t xml:space="preserve"> sharply limited in safety-critical and finance-critical roles. Beyond these limits, attempted bypass is no longer marginally costly but destabilizing, as it amplifies balance-sheet risk and tightens macro-financial trade-offs.</w:t>
      </w:r>
    </w:p>
    <w:p w14:paraId="18CFA8B0" w14:textId="77777777" w:rsidR="001508D0" w:rsidRPr="001508D0" w:rsidRDefault="001508D0" w:rsidP="001508D0">
      <w:pPr>
        <w:pStyle w:val="Body"/>
        <w:spacing w:after="0"/>
        <w:rPr>
          <w:rFonts w:ascii="Arial" w:hAnsi="Arial" w:cs="Arial"/>
        </w:rPr>
      </w:pPr>
      <w:r w:rsidRPr="001508D0">
        <w:rPr>
          <w:rFonts w:ascii="Arial" w:hAnsi="Arial" w:cs="Arial"/>
        </w:rPr>
        <w:t>For the Global South, this logic yields a clear policy implication. Dollar usage is not primarily the result of inertia or coercion, but an equilibrium response to missing domestic monetary infrastructure. Where financial markets are shallow and hedging capacity incomplete, dollar-based pricing, settlement, and financial anchoring compress balance-sheet risk and stabilize real activity. Forcing exit from dollar use in store-of-value or financial-anchoring functions without first expanding domestic monetary and financial infrastructure does not enhance sovereignty; it reduces policy space and increases macro-financial fragility.</w:t>
      </w:r>
    </w:p>
    <w:p w14:paraId="5C451BD7" w14:textId="77777777" w:rsidR="001508D0" w:rsidRDefault="001508D0" w:rsidP="001508D0">
      <w:pPr>
        <w:pStyle w:val="Body"/>
        <w:spacing w:after="0"/>
        <w:rPr>
          <w:rFonts w:ascii="Arial" w:hAnsi="Arial" w:cs="Arial"/>
          <w:b/>
          <w:bCs/>
        </w:rPr>
      </w:pPr>
    </w:p>
    <w:p w14:paraId="666D2C1A" w14:textId="77777777" w:rsidR="001508D0" w:rsidRPr="001508D0" w:rsidRDefault="001508D0" w:rsidP="001508D0">
      <w:pPr>
        <w:pStyle w:val="Body"/>
        <w:spacing w:after="0"/>
        <w:rPr>
          <w:rFonts w:ascii="Arial" w:hAnsi="Arial" w:cs="Arial"/>
        </w:rPr>
      </w:pPr>
      <w:r w:rsidRPr="001508D0">
        <w:rPr>
          <w:rFonts w:ascii="Arial" w:hAnsi="Arial" w:cs="Arial"/>
        </w:rPr>
        <w:t>The framework implies neither the imminent erosion nor the indefinite monopoly of the dollar. Instead, it predicts a functionally stratified equilibrium in which the dollar remains central to safety- and finance-critical roles, while non-dollar currencies and digital payment systems expand selectively in transactional domains. Observed declines in dollar shares therefore reflect reallocation across functions rather than systemic exit, making narratives of either hegemonic collapse or complete stasis analytically misleading.</w:t>
      </w:r>
    </w:p>
    <w:p w14:paraId="7D31D02B" w14:textId="77777777" w:rsidR="001508D0" w:rsidRDefault="001508D0" w:rsidP="001508D0">
      <w:pPr>
        <w:pStyle w:val="Body"/>
        <w:spacing w:after="0"/>
        <w:rPr>
          <w:rFonts w:ascii="Arial" w:hAnsi="Arial" w:cs="Arial"/>
          <w:b/>
          <w:bCs/>
        </w:rPr>
      </w:pPr>
    </w:p>
    <w:p w14:paraId="480AD68D" w14:textId="3FAD7A18" w:rsidR="001508D0" w:rsidRDefault="001508D0" w:rsidP="001508D0">
      <w:pPr>
        <w:pStyle w:val="Body"/>
        <w:spacing w:after="0"/>
        <w:rPr>
          <w:rFonts w:ascii="Arial" w:hAnsi="Arial" w:cs="Arial"/>
        </w:rPr>
      </w:pPr>
      <w:r w:rsidRPr="001508D0">
        <w:rPr>
          <w:rFonts w:ascii="Arial" w:hAnsi="Arial" w:cs="Arial"/>
        </w:rPr>
        <w:t>The analysis abstracts from the endogenous formation of monetary infrastructure, treating safe-asset supply, hedging depth, and monetary credibility as slow-moving. A natural extension is to endogenize infrastructure investment and credibility accumulation, allowing policy choices and institutional reforms to shift feasibility bounds over time. Empirically, the functional decomposition motivates the construction of new measures of functional de-dollarization that distinguish benign substitution from destabilizing exit and enable threshold-based tests linking financial depth to feasible bypass. Finally, while the treatment of digital money is intentionally conservative, future work should examine scenarios involving central bank digital currencies or multilateral reserve-backed assets that could relax some binding constraints, while confronting the scale, liquidity, and governance challenges such instruments face.</w:t>
      </w:r>
    </w:p>
    <w:p w14:paraId="20BFFCCC" w14:textId="77777777" w:rsidR="00766F50" w:rsidRPr="001508D0" w:rsidRDefault="00766F50" w:rsidP="001508D0">
      <w:pPr>
        <w:pStyle w:val="Body"/>
        <w:spacing w:after="0"/>
        <w:rPr>
          <w:rFonts w:ascii="Arial" w:hAnsi="Arial" w:cs="Arial"/>
        </w:rPr>
      </w:pPr>
    </w:p>
    <w:p w14:paraId="62D5B3AA" w14:textId="77777777" w:rsidR="001508D0" w:rsidRPr="001508D0" w:rsidRDefault="001508D0" w:rsidP="001508D0">
      <w:pPr>
        <w:pStyle w:val="Body"/>
        <w:spacing w:after="0"/>
        <w:rPr>
          <w:rFonts w:ascii="Arial" w:hAnsi="Arial" w:cs="Arial"/>
        </w:rPr>
      </w:pPr>
      <w:r w:rsidRPr="001508D0">
        <w:rPr>
          <w:rFonts w:ascii="Arial" w:hAnsi="Arial" w:cs="Arial"/>
        </w:rPr>
        <w:t>Overall, this paper reframes de-dollarization not as hegemonic decline, but as a function-specific reallocation of monetary roles constrained by infrastructure scarcity and priced by macro-financial risk. The central source of international monetary power is not share dominance per se, but the capacity to supply stability-critical monetary infrastructure under stress.</w:t>
      </w:r>
    </w:p>
    <w:p w14:paraId="717EBBCB" w14:textId="098E72E7" w:rsidR="00315186" w:rsidRDefault="00CE261A" w:rsidP="00441B6F">
      <w:pPr>
        <w:rPr>
          <w:rFonts w:ascii="Arial" w:hAnsi="Arial" w:cs="Arial"/>
        </w:rPr>
      </w:pPr>
      <w:r w:rsidRPr="00CE261A">
        <w:rPr>
          <w:rFonts w:ascii="Arial" w:hAnsi="Arial" w:cs="Arial"/>
        </w:rPr>
        <w:tab/>
      </w:r>
    </w:p>
    <w:p w14:paraId="62C6FE4F" w14:textId="77777777" w:rsidR="006A0719" w:rsidRDefault="006A0719" w:rsidP="006A0719">
      <w:pPr>
        <w:pStyle w:val="ReferHead"/>
        <w:spacing w:after="0"/>
        <w:jc w:val="both"/>
        <w:rPr>
          <w:rFonts w:ascii="Arial" w:hAnsi="Arial" w:cs="Arial"/>
          <w:b w:val="0"/>
          <w:caps w:val="0"/>
          <w:sz w:val="20"/>
        </w:rPr>
      </w:pPr>
      <w:bookmarkStart w:id="1" w:name="_GoBack"/>
      <w:bookmarkEnd w:id="1"/>
    </w:p>
    <w:p w14:paraId="0716F784" w14:textId="77777777" w:rsidR="006A0719" w:rsidRDefault="006A0719" w:rsidP="006A0719">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7223C20" w14:textId="77777777" w:rsidR="006A0719" w:rsidRDefault="006A0719" w:rsidP="006A0719">
      <w:pPr>
        <w:pStyle w:val="ReferHead"/>
        <w:spacing w:after="0"/>
        <w:jc w:val="both"/>
        <w:rPr>
          <w:rFonts w:ascii="Arial" w:hAnsi="Arial" w:cs="Arial"/>
          <w:bCs/>
        </w:rPr>
      </w:pPr>
    </w:p>
    <w:p w14:paraId="176961CF" w14:textId="77777777" w:rsidR="006A0719" w:rsidRDefault="006A0719" w:rsidP="006A0719">
      <w:pPr>
        <w:pStyle w:val="ReferHead"/>
        <w:spacing w:after="0"/>
        <w:jc w:val="both"/>
        <w:rPr>
          <w:rFonts w:ascii="Arial" w:hAnsi="Arial" w:cs="Arial"/>
          <w:b w:val="0"/>
          <w:caps w:val="0"/>
          <w:sz w:val="20"/>
        </w:rPr>
      </w:pPr>
      <w:r w:rsidRPr="00556ED6">
        <w:rPr>
          <w:rFonts w:ascii="Arial" w:hAnsi="Arial" w:cs="Arial"/>
          <w:b w:val="0"/>
          <w:caps w:val="0"/>
          <w:sz w:val="20"/>
        </w:rPr>
        <w:t>Not applicable. This study does not involve human participants, patient data, or case reports requiring informed consent.</w:t>
      </w:r>
    </w:p>
    <w:p w14:paraId="40D9EEEF" w14:textId="77777777" w:rsidR="006A0719" w:rsidRDefault="006A0719" w:rsidP="006A0719">
      <w:pPr>
        <w:pStyle w:val="ReferHead"/>
        <w:spacing w:after="0"/>
        <w:jc w:val="both"/>
        <w:rPr>
          <w:rFonts w:ascii="Arial" w:hAnsi="Arial" w:cs="Arial"/>
          <w:b w:val="0"/>
          <w:caps w:val="0"/>
          <w:sz w:val="20"/>
        </w:rPr>
      </w:pPr>
    </w:p>
    <w:p w14:paraId="03B00B2A" w14:textId="77777777" w:rsidR="006A0719" w:rsidRDefault="006A0719" w:rsidP="006A0719">
      <w:pPr>
        <w:pStyle w:val="ReferHead"/>
        <w:spacing w:after="0"/>
        <w:jc w:val="both"/>
        <w:rPr>
          <w:rFonts w:ascii="Arial" w:hAnsi="Arial" w:cs="Arial"/>
          <w:bCs/>
        </w:rPr>
      </w:pPr>
      <w:r>
        <w:rPr>
          <w:rFonts w:ascii="Arial" w:hAnsi="Arial" w:cs="Arial"/>
          <w:bCs/>
        </w:rPr>
        <w:t xml:space="preserve">Ethical approval </w:t>
      </w:r>
    </w:p>
    <w:p w14:paraId="13A8F08D" w14:textId="77777777" w:rsidR="006A0719" w:rsidRPr="002B685A" w:rsidRDefault="006A0719" w:rsidP="006A0719">
      <w:pPr>
        <w:pStyle w:val="ReferHead"/>
        <w:spacing w:after="0"/>
        <w:jc w:val="both"/>
        <w:rPr>
          <w:rFonts w:ascii="Arial" w:hAnsi="Arial" w:cs="Arial"/>
          <w:bCs/>
        </w:rPr>
      </w:pPr>
    </w:p>
    <w:p w14:paraId="5320FDBB" w14:textId="77777777" w:rsidR="006A0719" w:rsidRDefault="006A0719" w:rsidP="006A0719">
      <w:pPr>
        <w:pStyle w:val="ReferHead"/>
        <w:spacing w:after="0"/>
        <w:jc w:val="both"/>
        <w:rPr>
          <w:rFonts w:ascii="Arial" w:hAnsi="Arial" w:cs="Arial"/>
          <w:b w:val="0"/>
          <w:caps w:val="0"/>
          <w:sz w:val="20"/>
        </w:rPr>
      </w:pPr>
      <w:r w:rsidRPr="00556ED6">
        <w:rPr>
          <w:rFonts w:ascii="Arial" w:hAnsi="Arial" w:cs="Arial"/>
          <w:b w:val="0"/>
          <w:caps w:val="0"/>
          <w:sz w:val="20"/>
        </w:rPr>
        <w:t>Not applicable. This study does not involve human subjects, animal experiments, or any procedures requiring ethical approval from an Institutional Review Board or Ethics Committee. The research is based on theoretical analysis and publicly available information.</w:t>
      </w:r>
    </w:p>
    <w:p w14:paraId="33B2C4BA" w14:textId="77777777" w:rsidR="006A0719" w:rsidRDefault="006A0719" w:rsidP="006A0719">
      <w:pPr>
        <w:pStyle w:val="ReferHead"/>
        <w:spacing w:after="0"/>
        <w:jc w:val="both"/>
        <w:rPr>
          <w:rFonts w:ascii="Arial" w:hAnsi="Arial" w:cs="Arial"/>
        </w:rPr>
      </w:pPr>
    </w:p>
    <w:p w14:paraId="6C31EC95" w14:textId="77777777" w:rsidR="006A0719" w:rsidRDefault="006A0719" w:rsidP="006A0719">
      <w:pPr>
        <w:pStyle w:val="ReferHead"/>
        <w:spacing w:after="0"/>
        <w:jc w:val="both"/>
        <w:rPr>
          <w:rFonts w:ascii="Arial" w:hAnsi="Arial" w:cs="Arial"/>
        </w:rPr>
      </w:pPr>
      <w:r w:rsidRPr="00FB3A86">
        <w:rPr>
          <w:rFonts w:ascii="Arial" w:hAnsi="Arial" w:cs="Arial"/>
        </w:rPr>
        <w:t>References</w:t>
      </w:r>
    </w:p>
    <w:p w14:paraId="58367688" w14:textId="77777777" w:rsidR="00BF545E" w:rsidRPr="00BF545E" w:rsidRDefault="00BF545E" w:rsidP="00AE6EED">
      <w:pPr>
        <w:spacing w:before="100" w:beforeAutospacing="1" w:after="100" w:afterAutospacing="1"/>
        <w:contextualSpacing/>
        <w:outlineLvl w:val="1"/>
        <w:rPr>
          <w:rFonts w:ascii="Arial" w:hAnsi="Arial" w:cs="Arial"/>
        </w:rPr>
      </w:pPr>
      <w:r w:rsidRPr="00BF545E">
        <w:rPr>
          <w:rFonts w:ascii="Arial" w:hAnsi="Arial" w:cs="Arial"/>
          <w:color w:val="000000"/>
        </w:rPr>
        <w:t>Akerlof, G. A. (1970).</w:t>
      </w:r>
      <w:r w:rsidRPr="00BF545E">
        <w:rPr>
          <w:rStyle w:val="apple-converted-space"/>
          <w:rFonts w:ascii="Arial" w:hAnsi="Arial" w:cs="Arial"/>
          <w:color w:val="000000"/>
        </w:rPr>
        <w:t> </w:t>
      </w:r>
      <w:r w:rsidRPr="00BF545E">
        <w:rPr>
          <w:rStyle w:val="Emphasis"/>
          <w:rFonts w:ascii="Arial" w:hAnsi="Arial" w:cs="Arial"/>
          <w:color w:val="000000"/>
        </w:rPr>
        <w:t>The market for “lemons”: Quality uncertainty and the market mechanism</w:t>
      </w:r>
      <w:r w:rsidRPr="00BF545E">
        <w:rPr>
          <w:rFonts w:ascii="Arial" w:hAnsi="Arial" w:cs="Arial"/>
          <w:color w:val="000000"/>
        </w:rPr>
        <w:t>.</w:t>
      </w:r>
      <w:r w:rsidRPr="00BF545E">
        <w:rPr>
          <w:rStyle w:val="apple-converted-space"/>
          <w:rFonts w:ascii="Arial" w:hAnsi="Arial" w:cs="Arial"/>
          <w:color w:val="000000"/>
        </w:rPr>
        <w:t> </w:t>
      </w:r>
      <w:r w:rsidRPr="00BF545E">
        <w:rPr>
          <w:rStyle w:val="Strong"/>
          <w:rFonts w:ascii="Arial" w:hAnsi="Arial" w:cs="Arial"/>
          <w:b w:val="0"/>
          <w:bCs w:val="0"/>
          <w:color w:val="000000"/>
        </w:rPr>
        <w:t>Quarterly Journal of Economics, 84</w:t>
      </w:r>
      <w:r w:rsidRPr="00BF545E">
        <w:rPr>
          <w:rFonts w:ascii="Arial" w:hAnsi="Arial" w:cs="Arial"/>
          <w:color w:val="000000"/>
        </w:rPr>
        <w:t>(3), 488–500.</w:t>
      </w:r>
      <w:r w:rsidRPr="00BF545E">
        <w:rPr>
          <w:rFonts w:ascii="Arial" w:hAnsi="Arial" w:cs="Arial"/>
          <w:color w:val="000000"/>
        </w:rPr>
        <w:br/>
      </w:r>
      <w:hyperlink r:id="rId15" w:tgtFrame="_new" w:history="1">
        <w:r w:rsidRPr="00BF545E">
          <w:rPr>
            <w:rStyle w:val="Hyperlink"/>
            <w:rFonts w:ascii="Arial" w:hAnsi="Arial" w:cs="Arial"/>
          </w:rPr>
          <w:t>https://doi.org/10.2307/1879431</w:t>
        </w:r>
      </w:hyperlink>
    </w:p>
    <w:p w14:paraId="069279F9" w14:textId="51482814" w:rsidR="00823A42"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 xml:space="preserve">Arslanalp, S., Eichengreen, B., &amp; Simpson-Bell, C. (2022). </w:t>
      </w:r>
      <w:r w:rsidRPr="002F4C35">
        <w:rPr>
          <w:rFonts w:ascii="Arial" w:hAnsi="Arial" w:cs="Arial"/>
          <w:i/>
          <w:iCs/>
          <w:color w:val="000000"/>
        </w:rPr>
        <w:t>The stealth erosion of dollar dominance and the rise of nontraditional reserve currencies</w:t>
      </w:r>
      <w:r w:rsidRPr="00AE6EED">
        <w:rPr>
          <w:rFonts w:ascii="Arial" w:hAnsi="Arial" w:cs="Arial"/>
          <w:color w:val="000000"/>
        </w:rPr>
        <w:t>. </w:t>
      </w:r>
      <w:r w:rsidRPr="002F4C35">
        <w:rPr>
          <w:rFonts w:ascii="Arial" w:hAnsi="Arial" w:cs="Arial"/>
          <w:color w:val="000000"/>
        </w:rPr>
        <w:t>Journal of International Money and Finance</w:t>
      </w:r>
      <w:r w:rsidRPr="00AE6EED">
        <w:rPr>
          <w:rFonts w:ascii="Arial" w:hAnsi="Arial" w:cs="Arial"/>
          <w:i/>
          <w:iCs/>
          <w:color w:val="000000"/>
        </w:rPr>
        <w:t>, 121</w:t>
      </w:r>
      <w:r w:rsidRPr="00AE6EED">
        <w:rPr>
          <w:rFonts w:ascii="Arial" w:hAnsi="Arial" w:cs="Arial"/>
          <w:color w:val="000000"/>
        </w:rPr>
        <w:t xml:space="preserve">, 102630. </w:t>
      </w:r>
      <w:hyperlink r:id="rId16" w:history="1">
        <w:r w:rsidRPr="00AE6EED">
          <w:rPr>
            <w:rStyle w:val="Hyperlink"/>
            <w:rFonts w:ascii="Arial" w:hAnsi="Arial" w:cs="Arial"/>
          </w:rPr>
          <w:t>https://www.imf.org/en/publications/wp/issues/2022/03/24/the-stealth-erosion-of-dollar-dominance-active-diversifiers-and-the-rise-of-nontraditional-515150</w:t>
        </w:r>
      </w:hyperlink>
      <w:r w:rsidRPr="00AE6EED">
        <w:rPr>
          <w:rFonts w:ascii="Arial" w:hAnsi="Arial" w:cs="Arial"/>
          <w:color w:val="000000"/>
        </w:rPr>
        <w:t xml:space="preserve"> </w:t>
      </w:r>
      <w:r w:rsidRPr="00AE6EED">
        <w:rPr>
          <w:rFonts w:ascii="Arial" w:hAnsi="Arial" w:cs="Arial"/>
          <w:color w:val="000000"/>
        </w:rPr>
        <w:br/>
      </w:r>
      <w:r w:rsidR="00823A42" w:rsidRPr="00823A42">
        <w:rPr>
          <w:rFonts w:ascii="Arial" w:hAnsi="Arial" w:cs="Arial"/>
          <w:color w:val="000000"/>
        </w:rPr>
        <w:t>Bank for International Settlements. (2022). </w:t>
      </w:r>
      <w:r w:rsidR="00823A42" w:rsidRPr="00823A42">
        <w:rPr>
          <w:rFonts w:ascii="Arial" w:hAnsi="Arial" w:cs="Arial"/>
          <w:i/>
          <w:iCs/>
          <w:color w:val="000000"/>
        </w:rPr>
        <w:t>Annual Economic Report 2022: The future monetary system</w:t>
      </w:r>
      <w:r w:rsidR="00823A42" w:rsidRPr="00823A42">
        <w:rPr>
          <w:rFonts w:ascii="Arial" w:hAnsi="Arial" w:cs="Arial"/>
          <w:color w:val="000000"/>
        </w:rPr>
        <w:t> (Chapter III). Bank for International</w:t>
      </w:r>
      <w:r w:rsidR="00823A42">
        <w:rPr>
          <w:rFonts w:ascii="Arial" w:hAnsi="Arial" w:cs="Arial"/>
          <w:color w:val="000000"/>
        </w:rPr>
        <w:t xml:space="preserve"> </w:t>
      </w:r>
      <w:r w:rsidR="00823A42" w:rsidRPr="00823A42">
        <w:rPr>
          <w:rFonts w:ascii="Arial" w:hAnsi="Arial" w:cs="Arial"/>
          <w:color w:val="000000"/>
        </w:rPr>
        <w:t>Settlements.</w:t>
      </w:r>
    </w:p>
    <w:p w14:paraId="62775101" w14:textId="7F40D371" w:rsidR="00823A42" w:rsidRDefault="00C96DFF" w:rsidP="00AE6EED">
      <w:pPr>
        <w:spacing w:before="100" w:beforeAutospacing="1" w:after="100" w:afterAutospacing="1"/>
        <w:contextualSpacing/>
        <w:outlineLvl w:val="1"/>
        <w:rPr>
          <w:rFonts w:ascii="Arial" w:hAnsi="Arial" w:cs="Arial"/>
          <w:color w:val="000000"/>
        </w:rPr>
      </w:pPr>
      <w:hyperlink r:id="rId17" w:history="1">
        <w:r w:rsidR="00823A42" w:rsidRPr="00EE556F">
          <w:rPr>
            <w:rStyle w:val="Hyperlink"/>
            <w:rFonts w:ascii="Arial" w:hAnsi="Arial" w:cs="Arial"/>
          </w:rPr>
          <w:t>https://www.bis.org/publ/arpdf/ar2022e.pdf</w:t>
        </w:r>
      </w:hyperlink>
    </w:p>
    <w:p w14:paraId="7E646404" w14:textId="0513C4F3"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 xml:space="preserve">Bénétrix, A. S., Lane, P. R., &amp; Shambaugh, J. C. (2015). </w:t>
      </w:r>
      <w:r w:rsidRPr="002F4C35">
        <w:rPr>
          <w:rFonts w:ascii="Arial" w:hAnsi="Arial" w:cs="Arial"/>
          <w:i/>
          <w:iCs/>
          <w:color w:val="000000"/>
        </w:rPr>
        <w:t>International currency exposures, valuation effects, and the global financial crisis</w:t>
      </w:r>
      <w:r w:rsidRPr="00AE6EED">
        <w:rPr>
          <w:rFonts w:ascii="Arial" w:hAnsi="Arial" w:cs="Arial"/>
          <w:color w:val="000000"/>
        </w:rPr>
        <w:t>. </w:t>
      </w:r>
      <w:r w:rsidRPr="002F4C35">
        <w:rPr>
          <w:rFonts w:ascii="Arial" w:hAnsi="Arial" w:cs="Arial"/>
          <w:color w:val="000000"/>
        </w:rPr>
        <w:t>Journal of International Economics</w:t>
      </w:r>
      <w:r w:rsidRPr="00AE6EED">
        <w:rPr>
          <w:rFonts w:ascii="Arial" w:hAnsi="Arial" w:cs="Arial"/>
          <w:i/>
          <w:iCs/>
          <w:color w:val="000000"/>
        </w:rPr>
        <w:t>, 96</w:t>
      </w:r>
      <w:r w:rsidRPr="00AE6EED">
        <w:rPr>
          <w:rFonts w:ascii="Arial" w:hAnsi="Arial" w:cs="Arial"/>
          <w:color w:val="000000"/>
        </w:rPr>
        <w:t>(S1), S98–S109.</w:t>
      </w:r>
      <w:r w:rsidRPr="00AE6EED">
        <w:rPr>
          <w:rFonts w:ascii="Arial" w:hAnsi="Arial" w:cs="Arial"/>
          <w:color w:val="000000"/>
        </w:rPr>
        <w:br/>
      </w:r>
      <w:hyperlink r:id="rId18" w:history="1">
        <w:r w:rsidRPr="00AE6EED">
          <w:rPr>
            <w:rStyle w:val="Hyperlink"/>
            <w:rFonts w:ascii="Arial" w:hAnsi="Arial" w:cs="Arial"/>
          </w:rPr>
          <w:t>https://doi.org/10.1016/j.jinteco.2014.11.004</w:t>
        </w:r>
      </w:hyperlink>
      <w:r w:rsidRPr="00AE6EED">
        <w:rPr>
          <w:rFonts w:ascii="Arial" w:hAnsi="Arial" w:cs="Arial"/>
          <w:color w:val="000000"/>
        </w:rPr>
        <w:t xml:space="preserve"> </w:t>
      </w:r>
    </w:p>
    <w:p w14:paraId="6C5DDB38"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 xml:space="preserve">Caballero, R. J., Farhi, E., &amp; Gourinchas, P.-O. (2017). </w:t>
      </w:r>
      <w:r w:rsidRPr="002F4C35">
        <w:rPr>
          <w:rFonts w:ascii="Arial" w:hAnsi="Arial" w:cs="Arial"/>
          <w:i/>
          <w:iCs/>
          <w:color w:val="000000"/>
        </w:rPr>
        <w:t>The safe assets shortage conundrum</w:t>
      </w:r>
      <w:r w:rsidRPr="00AE6EED">
        <w:rPr>
          <w:rFonts w:ascii="Arial" w:hAnsi="Arial" w:cs="Arial"/>
          <w:color w:val="000000"/>
        </w:rPr>
        <w:t>. </w:t>
      </w:r>
      <w:r w:rsidRPr="002F4C35">
        <w:rPr>
          <w:rFonts w:ascii="Arial" w:hAnsi="Arial" w:cs="Arial"/>
          <w:color w:val="000000"/>
        </w:rPr>
        <w:t>Journal of Economic Perspectives</w:t>
      </w:r>
      <w:r w:rsidRPr="00AE6EED">
        <w:rPr>
          <w:rFonts w:ascii="Arial" w:hAnsi="Arial" w:cs="Arial"/>
          <w:i/>
          <w:iCs/>
          <w:color w:val="000000"/>
        </w:rPr>
        <w:t>, 31</w:t>
      </w:r>
      <w:r w:rsidRPr="00AE6EED">
        <w:rPr>
          <w:rFonts w:ascii="Arial" w:hAnsi="Arial" w:cs="Arial"/>
          <w:color w:val="000000"/>
        </w:rPr>
        <w:t>(3), 29–46.</w:t>
      </w:r>
      <w:r w:rsidRPr="00AE6EED">
        <w:rPr>
          <w:rFonts w:ascii="Arial" w:hAnsi="Arial" w:cs="Arial"/>
          <w:color w:val="000000"/>
        </w:rPr>
        <w:br/>
      </w:r>
      <w:hyperlink r:id="rId19" w:history="1">
        <w:r w:rsidRPr="00AE6EED">
          <w:rPr>
            <w:rStyle w:val="Hyperlink"/>
            <w:rFonts w:ascii="Arial" w:hAnsi="Arial" w:cs="Arial"/>
          </w:rPr>
          <w:t>https://doi.org/10.1257/jep.31.3.29</w:t>
        </w:r>
      </w:hyperlink>
      <w:r w:rsidRPr="00AE6EED">
        <w:rPr>
          <w:rFonts w:ascii="Arial" w:hAnsi="Arial" w:cs="Arial"/>
          <w:color w:val="000000"/>
        </w:rPr>
        <w:t xml:space="preserve"> </w:t>
      </w:r>
    </w:p>
    <w:p w14:paraId="67AFF797"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Calvo, G. A., Izquierdo, A., &amp; Mejía, L.-F. (2008). </w:t>
      </w:r>
      <w:r w:rsidRPr="002F4C35">
        <w:rPr>
          <w:rFonts w:ascii="Arial" w:hAnsi="Arial" w:cs="Arial"/>
          <w:i/>
          <w:iCs/>
          <w:color w:val="000000"/>
        </w:rPr>
        <w:t>Systemic sudden stops: The relevance of balance-sheet effects and financial integration</w:t>
      </w:r>
      <w:r w:rsidRPr="00AE6EED">
        <w:rPr>
          <w:rFonts w:ascii="Arial" w:hAnsi="Arial" w:cs="Arial"/>
          <w:color w:val="000000"/>
        </w:rPr>
        <w:t xml:space="preserve"> (NBER Working Paper No. 14026). </w:t>
      </w:r>
      <w:r w:rsidRPr="002F4C35">
        <w:rPr>
          <w:rFonts w:ascii="Arial" w:hAnsi="Arial" w:cs="Arial"/>
          <w:color w:val="000000"/>
        </w:rPr>
        <w:t>National Bureau of Economic Research</w:t>
      </w:r>
      <w:r w:rsidRPr="00AE6EED">
        <w:rPr>
          <w:rFonts w:ascii="Arial" w:hAnsi="Arial" w:cs="Arial"/>
          <w:color w:val="000000"/>
        </w:rPr>
        <w:t>. </w:t>
      </w:r>
      <w:hyperlink r:id="rId20" w:tgtFrame="_new" w:history="1">
        <w:r w:rsidRPr="00AE6EED">
          <w:rPr>
            <w:rStyle w:val="Hyperlink"/>
            <w:rFonts w:ascii="Arial" w:hAnsi="Arial" w:cs="Arial"/>
          </w:rPr>
          <w:t>https://www.nber.org/papers/w14026</w:t>
        </w:r>
      </w:hyperlink>
      <w:r w:rsidRPr="00AE6EED">
        <w:rPr>
          <w:rFonts w:ascii="Arial" w:hAnsi="Arial" w:cs="Arial"/>
          <w:color w:val="000000"/>
        </w:rPr>
        <w:br/>
        <w:t xml:space="preserve">Chinn, M. D., &amp; Frankel, J. A. (2007). </w:t>
      </w:r>
      <w:r w:rsidRPr="002F4C35">
        <w:rPr>
          <w:rFonts w:ascii="Arial" w:hAnsi="Arial" w:cs="Arial"/>
          <w:i/>
          <w:iCs/>
          <w:color w:val="000000"/>
        </w:rPr>
        <w:t>Will the euro eventually surpass the dollar as leading international reserve currency?</w:t>
      </w:r>
      <w:r w:rsidRPr="00AE6EED">
        <w:rPr>
          <w:rFonts w:ascii="Arial" w:hAnsi="Arial" w:cs="Arial"/>
          <w:color w:val="000000"/>
        </w:rPr>
        <w:t xml:space="preserve"> </w:t>
      </w:r>
      <w:r w:rsidRPr="002F4C35">
        <w:rPr>
          <w:rFonts w:ascii="Arial" w:hAnsi="Arial" w:cs="Arial"/>
          <w:i/>
          <w:iCs/>
          <w:color w:val="000000"/>
        </w:rPr>
        <w:t>In R. Clarida (Ed.), G7 current account imbalances</w:t>
      </w:r>
      <w:r w:rsidRPr="00AE6EED">
        <w:rPr>
          <w:rFonts w:ascii="Arial" w:hAnsi="Arial" w:cs="Arial"/>
          <w:color w:val="000000"/>
        </w:rPr>
        <w:t> (pp. 283–338). University of Chicago Press.</w:t>
      </w:r>
      <w:r w:rsidRPr="00AE6EED">
        <w:rPr>
          <w:rFonts w:ascii="Arial" w:hAnsi="Arial" w:cs="Arial"/>
          <w:color w:val="000000"/>
        </w:rPr>
        <w:br/>
      </w:r>
      <w:hyperlink r:id="rId21" w:tgtFrame="_new" w:history="1">
        <w:r w:rsidRPr="00AE6EED">
          <w:rPr>
            <w:rStyle w:val="Hyperlink"/>
            <w:rFonts w:ascii="Arial" w:hAnsi="Arial" w:cs="Arial"/>
          </w:rPr>
          <w:t>https://www.nber.org/papers/w11510</w:t>
        </w:r>
      </w:hyperlink>
    </w:p>
    <w:p w14:paraId="64BA4C9F"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Cohen, B. J. (1998). </w:t>
      </w:r>
      <w:r w:rsidRPr="00AE6EED">
        <w:rPr>
          <w:rFonts w:ascii="Arial" w:hAnsi="Arial" w:cs="Arial"/>
          <w:i/>
          <w:iCs/>
          <w:color w:val="000000"/>
        </w:rPr>
        <w:t>The geography of money</w:t>
      </w:r>
      <w:r w:rsidRPr="00AE6EED">
        <w:rPr>
          <w:rFonts w:ascii="Arial" w:hAnsi="Arial" w:cs="Arial"/>
          <w:color w:val="000000"/>
        </w:rPr>
        <w:t>. Cornell University Press.</w:t>
      </w:r>
    </w:p>
    <w:p w14:paraId="5A1A57C3"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Cohen, B. J. (2015). </w:t>
      </w:r>
      <w:r w:rsidRPr="00AE6EED">
        <w:rPr>
          <w:rFonts w:ascii="Arial" w:hAnsi="Arial" w:cs="Arial"/>
          <w:i/>
          <w:iCs/>
          <w:color w:val="000000"/>
        </w:rPr>
        <w:t>Currency power: Understanding monetary rivalry</w:t>
      </w:r>
      <w:r w:rsidRPr="00AE6EED">
        <w:rPr>
          <w:rFonts w:ascii="Arial" w:hAnsi="Arial" w:cs="Arial"/>
          <w:color w:val="000000"/>
        </w:rPr>
        <w:t>. Princeton University Press.</w:t>
      </w:r>
    </w:p>
    <w:p w14:paraId="3FA5B22D"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Eichengreen, B. (2011). </w:t>
      </w:r>
      <w:r w:rsidRPr="00AE6EED">
        <w:rPr>
          <w:rFonts w:ascii="Arial" w:hAnsi="Arial" w:cs="Arial"/>
          <w:i/>
          <w:iCs/>
          <w:color w:val="000000"/>
        </w:rPr>
        <w:t>Exorbitant privilege: The rise and fall of the dollar</w:t>
      </w:r>
      <w:r w:rsidRPr="00AE6EED">
        <w:rPr>
          <w:rFonts w:ascii="Arial" w:hAnsi="Arial" w:cs="Arial"/>
          <w:color w:val="000000"/>
        </w:rPr>
        <w:t>. Oxford University Press.</w:t>
      </w:r>
    </w:p>
    <w:p w14:paraId="52B1361F"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Eichengreen, B., Mehl, A., &amp; Chiţu, L. (2019). </w:t>
      </w:r>
      <w:r w:rsidRPr="00AE6EED">
        <w:rPr>
          <w:rFonts w:ascii="Arial" w:hAnsi="Arial" w:cs="Arial"/>
          <w:i/>
          <w:iCs/>
          <w:color w:val="000000"/>
        </w:rPr>
        <w:t>How global currencies work: Past, present, and future</w:t>
      </w:r>
      <w:r w:rsidRPr="00AE6EED">
        <w:rPr>
          <w:rFonts w:ascii="Arial" w:hAnsi="Arial" w:cs="Arial"/>
          <w:color w:val="000000"/>
        </w:rPr>
        <w:t>. Princeton University Press.</w:t>
      </w:r>
    </w:p>
    <w:p w14:paraId="18665C2B" w14:textId="4A848E5F"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Farhi, E., &amp; Maggiori, M. (2018). A model of the international monetary system. </w:t>
      </w:r>
      <w:r w:rsidRPr="00AE6EED">
        <w:rPr>
          <w:rFonts w:ascii="Arial" w:hAnsi="Arial" w:cs="Arial"/>
          <w:i/>
          <w:iCs/>
          <w:color w:val="000000"/>
        </w:rPr>
        <w:t>Quarterly Journal of Economics, 133</w:t>
      </w:r>
      <w:r w:rsidRPr="00AE6EED">
        <w:rPr>
          <w:rFonts w:ascii="Arial" w:hAnsi="Arial" w:cs="Arial"/>
          <w:color w:val="000000"/>
        </w:rPr>
        <w:t>(1), 295–355.</w:t>
      </w:r>
      <w:r w:rsidRPr="00AE6EED">
        <w:rPr>
          <w:rFonts w:ascii="Arial" w:hAnsi="Arial" w:cs="Arial"/>
          <w:color w:val="000000"/>
        </w:rPr>
        <w:br/>
      </w:r>
      <w:hyperlink r:id="rId22" w:history="1">
        <w:r w:rsidRPr="00AE6EED">
          <w:rPr>
            <w:rStyle w:val="Hyperlink"/>
            <w:rFonts w:ascii="Arial" w:hAnsi="Arial" w:cs="Arial"/>
          </w:rPr>
          <w:t>https://doi.org/10.1093/qje/qjx031</w:t>
        </w:r>
      </w:hyperlink>
      <w:r w:rsidRPr="00AE6EED">
        <w:rPr>
          <w:rFonts w:ascii="Arial" w:hAnsi="Arial" w:cs="Arial"/>
          <w:color w:val="000000"/>
        </w:rPr>
        <w:t xml:space="preserve"> </w:t>
      </w:r>
      <w:r w:rsidR="007559B5" w:rsidRPr="00AE6EED">
        <w:rPr>
          <w:rFonts w:ascii="Arial" w:hAnsi="Arial" w:cs="Arial"/>
          <w:color w:val="000000"/>
        </w:rPr>
        <w:t xml:space="preserve"> </w:t>
      </w:r>
    </w:p>
    <w:p w14:paraId="29EA95E5"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 xml:space="preserve">Gopinath, G., &amp; Stein, J. C. (2018). </w:t>
      </w:r>
      <w:r w:rsidRPr="002F4C35">
        <w:rPr>
          <w:rFonts w:ascii="Arial" w:hAnsi="Arial" w:cs="Arial"/>
          <w:i/>
          <w:iCs/>
          <w:color w:val="000000"/>
        </w:rPr>
        <w:t>Banking, trade, and the making of a dominant currency</w:t>
      </w:r>
      <w:r w:rsidRPr="00AE6EED">
        <w:rPr>
          <w:rFonts w:ascii="Arial" w:hAnsi="Arial" w:cs="Arial"/>
          <w:color w:val="000000"/>
        </w:rPr>
        <w:t>. </w:t>
      </w:r>
      <w:r w:rsidRPr="002F4C35">
        <w:rPr>
          <w:rFonts w:ascii="Arial" w:hAnsi="Arial" w:cs="Arial"/>
          <w:color w:val="000000"/>
        </w:rPr>
        <w:t>NBER Working Paper</w:t>
      </w:r>
      <w:r w:rsidRPr="00AE6EED">
        <w:rPr>
          <w:rFonts w:ascii="Arial" w:hAnsi="Arial" w:cs="Arial"/>
          <w:i/>
          <w:iCs/>
          <w:color w:val="000000"/>
        </w:rPr>
        <w:t xml:space="preserve"> No. 24485</w:t>
      </w:r>
      <w:r w:rsidRPr="00AE6EED">
        <w:rPr>
          <w:rFonts w:ascii="Arial" w:hAnsi="Arial" w:cs="Arial"/>
          <w:color w:val="000000"/>
        </w:rPr>
        <w:t>.</w:t>
      </w:r>
      <w:r w:rsidRPr="00AE6EED">
        <w:rPr>
          <w:rFonts w:ascii="Arial" w:hAnsi="Arial" w:cs="Arial"/>
          <w:color w:val="000000"/>
        </w:rPr>
        <w:br/>
      </w:r>
      <w:hyperlink r:id="rId23" w:tgtFrame="_new" w:history="1">
        <w:r w:rsidRPr="00AE6EED">
          <w:rPr>
            <w:rStyle w:val="Hyperlink"/>
            <w:rFonts w:ascii="Arial" w:hAnsi="Arial" w:cs="Arial"/>
          </w:rPr>
          <w:t>https://www.nber.org/papers/w24485</w:t>
        </w:r>
      </w:hyperlink>
    </w:p>
    <w:p w14:paraId="2785357B"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lastRenderedPageBreak/>
        <w:t xml:space="preserve">Gopinath, G., Boz, E., Casas, C., Díez, F., Gourinchas, P.-O., &amp; Plagborg-Møller, M. (2020). </w:t>
      </w:r>
      <w:r w:rsidRPr="002F4C35">
        <w:rPr>
          <w:rFonts w:ascii="Arial" w:hAnsi="Arial" w:cs="Arial"/>
          <w:i/>
          <w:iCs/>
          <w:color w:val="000000"/>
        </w:rPr>
        <w:t>Dominant currency paradigm</w:t>
      </w:r>
      <w:r w:rsidRPr="00AE6EED">
        <w:rPr>
          <w:rFonts w:ascii="Arial" w:hAnsi="Arial" w:cs="Arial"/>
          <w:color w:val="000000"/>
        </w:rPr>
        <w:t>. </w:t>
      </w:r>
      <w:r w:rsidRPr="002F4C35">
        <w:rPr>
          <w:rFonts w:ascii="Arial" w:hAnsi="Arial" w:cs="Arial"/>
          <w:color w:val="000000"/>
        </w:rPr>
        <w:t>American Economic Review</w:t>
      </w:r>
      <w:r w:rsidRPr="00AE6EED">
        <w:rPr>
          <w:rFonts w:ascii="Arial" w:hAnsi="Arial" w:cs="Arial"/>
          <w:i/>
          <w:iCs/>
          <w:color w:val="000000"/>
        </w:rPr>
        <w:t>, 110</w:t>
      </w:r>
      <w:r w:rsidRPr="00AE6EED">
        <w:rPr>
          <w:rFonts w:ascii="Arial" w:hAnsi="Arial" w:cs="Arial"/>
          <w:color w:val="000000"/>
        </w:rPr>
        <w:t>(3), 677–719.</w:t>
      </w:r>
      <w:r w:rsidRPr="00AE6EED">
        <w:rPr>
          <w:rFonts w:ascii="Arial" w:hAnsi="Arial" w:cs="Arial"/>
          <w:color w:val="000000"/>
        </w:rPr>
        <w:br/>
      </w:r>
      <w:hyperlink r:id="rId24" w:history="1">
        <w:r w:rsidRPr="00AE6EED">
          <w:rPr>
            <w:rStyle w:val="Hyperlink"/>
            <w:rFonts w:ascii="Arial" w:hAnsi="Arial" w:cs="Arial"/>
          </w:rPr>
          <w:t>https://doi.org/10.1257/aer.20171201</w:t>
        </w:r>
      </w:hyperlink>
      <w:r w:rsidRPr="00AE6EED">
        <w:rPr>
          <w:rFonts w:ascii="Arial" w:hAnsi="Arial" w:cs="Arial"/>
          <w:color w:val="000000"/>
        </w:rPr>
        <w:t xml:space="preserve"> </w:t>
      </w:r>
    </w:p>
    <w:p w14:paraId="7FCCA610"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 xml:space="preserve">Gourinchas, P.-O., Rey, H., &amp; Govillot, N. (2017). </w:t>
      </w:r>
      <w:r w:rsidRPr="002F4C35">
        <w:rPr>
          <w:rFonts w:ascii="Arial" w:hAnsi="Arial" w:cs="Arial"/>
          <w:i/>
          <w:iCs/>
          <w:color w:val="000000"/>
        </w:rPr>
        <w:t>Exorbitant privilege and exorbitant duty</w:t>
      </w:r>
      <w:r w:rsidRPr="00AE6EED">
        <w:rPr>
          <w:rFonts w:ascii="Arial" w:hAnsi="Arial" w:cs="Arial"/>
          <w:color w:val="000000"/>
        </w:rPr>
        <w:t>. </w:t>
      </w:r>
      <w:r w:rsidRPr="002F4C35">
        <w:rPr>
          <w:rFonts w:ascii="Arial" w:hAnsi="Arial" w:cs="Arial"/>
          <w:color w:val="000000"/>
        </w:rPr>
        <w:t>IMF Economic Review</w:t>
      </w:r>
      <w:r w:rsidRPr="00AE6EED">
        <w:rPr>
          <w:rFonts w:ascii="Arial" w:hAnsi="Arial" w:cs="Arial"/>
          <w:i/>
          <w:iCs/>
          <w:color w:val="000000"/>
        </w:rPr>
        <w:t>, 65</w:t>
      </w:r>
      <w:r w:rsidRPr="00AE6EED">
        <w:rPr>
          <w:rFonts w:ascii="Arial" w:hAnsi="Arial" w:cs="Arial"/>
          <w:color w:val="000000"/>
        </w:rPr>
        <w:t xml:space="preserve">(3), 575–631.  </w:t>
      </w:r>
      <w:hyperlink r:id="rId25" w:history="1">
        <w:r w:rsidRPr="00AE6EED">
          <w:rPr>
            <w:rStyle w:val="Hyperlink"/>
            <w:rFonts w:ascii="Arial" w:hAnsi="Arial" w:cs="Arial"/>
          </w:rPr>
          <w:t>http://helenerey.eu/content/_documents/duty_23_10_2017.pdf</w:t>
        </w:r>
      </w:hyperlink>
      <w:r w:rsidRPr="00AE6EED">
        <w:rPr>
          <w:rFonts w:ascii="Arial" w:hAnsi="Arial" w:cs="Arial"/>
          <w:color w:val="000000"/>
        </w:rPr>
        <w:t xml:space="preserve"> </w:t>
      </w:r>
      <w:r w:rsidRPr="00AE6EED">
        <w:rPr>
          <w:rFonts w:ascii="Arial" w:hAnsi="Arial" w:cs="Arial"/>
          <w:color w:val="000000"/>
        </w:rPr>
        <w:br/>
        <w:t xml:space="preserve">Helleiner, E. (2008). </w:t>
      </w:r>
      <w:r w:rsidRPr="002F4C35">
        <w:rPr>
          <w:rFonts w:ascii="Arial" w:hAnsi="Arial" w:cs="Arial"/>
          <w:i/>
          <w:iCs/>
          <w:color w:val="000000"/>
        </w:rPr>
        <w:t>Political determinants of international currencies</w:t>
      </w:r>
      <w:r w:rsidRPr="00AE6EED">
        <w:rPr>
          <w:rFonts w:ascii="Arial" w:hAnsi="Arial" w:cs="Arial"/>
          <w:color w:val="000000"/>
        </w:rPr>
        <w:t>. </w:t>
      </w:r>
      <w:r w:rsidRPr="002F4C35">
        <w:rPr>
          <w:rFonts w:ascii="Arial" w:hAnsi="Arial" w:cs="Arial"/>
          <w:color w:val="000000"/>
        </w:rPr>
        <w:t>Review of International Political Economy</w:t>
      </w:r>
      <w:r w:rsidRPr="00AE6EED">
        <w:rPr>
          <w:rFonts w:ascii="Arial" w:hAnsi="Arial" w:cs="Arial"/>
          <w:i/>
          <w:iCs/>
          <w:color w:val="000000"/>
        </w:rPr>
        <w:t>, 15</w:t>
      </w:r>
      <w:r w:rsidRPr="00AE6EED">
        <w:rPr>
          <w:rFonts w:ascii="Arial" w:hAnsi="Arial" w:cs="Arial"/>
          <w:color w:val="000000"/>
        </w:rPr>
        <w:t xml:space="preserve">(3), 354–378. </w:t>
      </w:r>
      <w:hyperlink r:id="rId26" w:history="1">
        <w:r w:rsidRPr="00AE6EED">
          <w:rPr>
            <w:rStyle w:val="Hyperlink"/>
            <w:rFonts w:ascii="Arial" w:hAnsi="Arial" w:cs="Arial"/>
          </w:rPr>
          <w:t>https://www.tandfonline.com/doi/abs/10.1080/09692290801928731</w:t>
        </w:r>
      </w:hyperlink>
      <w:r w:rsidRPr="00AE6EED">
        <w:rPr>
          <w:rFonts w:ascii="Arial" w:hAnsi="Arial" w:cs="Arial"/>
          <w:color w:val="000000"/>
        </w:rPr>
        <w:t xml:space="preserve"> </w:t>
      </w:r>
      <w:r w:rsidRPr="00AE6EED">
        <w:rPr>
          <w:rFonts w:ascii="Arial" w:hAnsi="Arial" w:cs="Arial"/>
          <w:color w:val="000000"/>
        </w:rPr>
        <w:br/>
        <w:t>JPMorgan Global Research. (2025). </w:t>
      </w:r>
      <w:r w:rsidRPr="00AE6EED">
        <w:rPr>
          <w:rFonts w:ascii="Arial" w:hAnsi="Arial" w:cs="Arial"/>
          <w:i/>
          <w:iCs/>
          <w:color w:val="000000"/>
        </w:rPr>
        <w:t>De-dollarization: The end of dollar dominance?</w:t>
      </w:r>
      <w:r w:rsidRPr="00AE6EED">
        <w:rPr>
          <w:rFonts w:ascii="Arial" w:hAnsi="Arial" w:cs="Arial"/>
          <w:color w:val="000000"/>
        </w:rPr>
        <w:t> JPMorgan Chase.</w:t>
      </w:r>
      <w:r w:rsidRPr="00AE6EED">
        <w:rPr>
          <w:rFonts w:ascii="Arial" w:hAnsi="Arial" w:cs="Arial"/>
          <w:color w:val="000000"/>
        </w:rPr>
        <w:br/>
      </w:r>
      <w:hyperlink r:id="rId27" w:tgtFrame="_new" w:history="1">
        <w:r w:rsidRPr="00AE6EED">
          <w:rPr>
            <w:rStyle w:val="Hyperlink"/>
            <w:rFonts w:ascii="Arial" w:hAnsi="Arial" w:cs="Arial"/>
          </w:rPr>
          <w:t>https://www.jpmorgan.com/insights/global-research/currencies/de-dollarization</w:t>
        </w:r>
      </w:hyperlink>
    </w:p>
    <w:p w14:paraId="690BAAB9"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Kindleberger, C. P. (1973). </w:t>
      </w:r>
      <w:r w:rsidRPr="00AE6EED">
        <w:rPr>
          <w:rFonts w:ascii="Arial" w:hAnsi="Arial" w:cs="Arial"/>
          <w:i/>
          <w:iCs/>
          <w:color w:val="000000"/>
        </w:rPr>
        <w:t>The world in depression, 1929–1939</w:t>
      </w:r>
      <w:r w:rsidRPr="00AE6EED">
        <w:rPr>
          <w:rFonts w:ascii="Arial" w:hAnsi="Arial" w:cs="Arial"/>
          <w:color w:val="000000"/>
        </w:rPr>
        <w:t>. University of California Press.</w:t>
      </w:r>
    </w:p>
    <w:p w14:paraId="6CCF6D71" w14:textId="77777777" w:rsidR="00AE6EED" w:rsidRPr="00AE6EED" w:rsidRDefault="00AE6EED" w:rsidP="00AE6EED">
      <w:pPr>
        <w:spacing w:before="100" w:beforeAutospacing="1" w:after="100" w:afterAutospacing="1"/>
        <w:contextualSpacing/>
        <w:rPr>
          <w:rFonts w:ascii="Arial" w:hAnsi="Arial" w:cs="Arial"/>
          <w:color w:val="000000"/>
        </w:rPr>
      </w:pPr>
      <w:r w:rsidRPr="00AE6EED">
        <w:rPr>
          <w:rFonts w:ascii="Arial" w:hAnsi="Arial" w:cs="Arial"/>
          <w:color w:val="000000"/>
        </w:rPr>
        <w:t xml:space="preserve">Krugman, P. (1980). </w:t>
      </w:r>
      <w:r w:rsidRPr="002F4C35">
        <w:rPr>
          <w:rFonts w:ascii="Arial" w:hAnsi="Arial" w:cs="Arial"/>
          <w:i/>
          <w:iCs/>
          <w:color w:val="000000"/>
        </w:rPr>
        <w:t>Vehicle currencies and the structure of international exchange</w:t>
      </w:r>
      <w:r w:rsidRPr="00AE6EED">
        <w:rPr>
          <w:rFonts w:ascii="Arial" w:hAnsi="Arial" w:cs="Arial"/>
          <w:color w:val="000000"/>
        </w:rPr>
        <w:t>. </w:t>
      </w:r>
      <w:r w:rsidRPr="002F4C35">
        <w:rPr>
          <w:rFonts w:ascii="Arial" w:hAnsi="Arial" w:cs="Arial"/>
          <w:color w:val="000000"/>
        </w:rPr>
        <w:t>Journal of Money, Credit and Banking</w:t>
      </w:r>
      <w:r w:rsidRPr="00AE6EED">
        <w:rPr>
          <w:rFonts w:ascii="Arial" w:hAnsi="Arial" w:cs="Arial"/>
          <w:i/>
          <w:iCs/>
          <w:color w:val="000000"/>
        </w:rPr>
        <w:t>, 12</w:t>
      </w:r>
      <w:r w:rsidRPr="00AE6EED">
        <w:rPr>
          <w:rFonts w:ascii="Arial" w:hAnsi="Arial" w:cs="Arial"/>
          <w:color w:val="000000"/>
        </w:rPr>
        <w:t>(3), 513–526.</w:t>
      </w:r>
      <w:r w:rsidRPr="00AE6EED">
        <w:rPr>
          <w:rFonts w:ascii="Arial" w:hAnsi="Arial" w:cs="Arial"/>
          <w:color w:val="000000"/>
        </w:rPr>
        <w:br/>
      </w:r>
      <w:hyperlink r:id="rId28" w:history="1">
        <w:r w:rsidRPr="00AE6EED">
          <w:rPr>
            <w:rStyle w:val="Hyperlink"/>
            <w:rFonts w:ascii="Arial" w:hAnsi="Arial" w:cs="Arial"/>
          </w:rPr>
          <w:t>https://doi.org/10.2307/1991410</w:t>
        </w:r>
      </w:hyperlink>
      <w:r w:rsidRPr="00AE6EED">
        <w:rPr>
          <w:rFonts w:ascii="Arial" w:hAnsi="Arial" w:cs="Arial"/>
          <w:color w:val="000000"/>
        </w:rPr>
        <w:t xml:space="preserve"> </w:t>
      </w:r>
    </w:p>
    <w:p w14:paraId="6CA6706C"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McDowell, D. (2019). </w:t>
      </w:r>
      <w:r w:rsidRPr="00AE6EED">
        <w:rPr>
          <w:rFonts w:ascii="Arial" w:hAnsi="Arial" w:cs="Arial"/>
          <w:i/>
          <w:iCs/>
          <w:color w:val="000000"/>
        </w:rPr>
        <w:t>Bucking the buck: US financial sanctions and the international backlash against the dollar</w:t>
      </w:r>
      <w:r w:rsidRPr="00AE6EED">
        <w:rPr>
          <w:rFonts w:ascii="Arial" w:hAnsi="Arial" w:cs="Arial"/>
          <w:color w:val="000000"/>
        </w:rPr>
        <w:t>. Oxford University Press.</w:t>
      </w:r>
    </w:p>
    <w:p w14:paraId="4833E07C"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 xml:space="preserve">Mendoza, E. G. (2010). </w:t>
      </w:r>
      <w:r w:rsidRPr="002F4C35">
        <w:rPr>
          <w:rFonts w:ascii="Arial" w:hAnsi="Arial" w:cs="Arial"/>
          <w:i/>
          <w:iCs/>
          <w:color w:val="000000"/>
        </w:rPr>
        <w:t>Sudden stops, financial crises, and leverage</w:t>
      </w:r>
      <w:r w:rsidRPr="00AE6EED">
        <w:rPr>
          <w:rFonts w:ascii="Arial" w:hAnsi="Arial" w:cs="Arial"/>
          <w:color w:val="000000"/>
        </w:rPr>
        <w:t>. </w:t>
      </w:r>
      <w:r w:rsidRPr="002F4C35">
        <w:rPr>
          <w:rFonts w:ascii="Arial" w:hAnsi="Arial" w:cs="Arial"/>
          <w:color w:val="000000"/>
        </w:rPr>
        <w:t>American Economic Review</w:t>
      </w:r>
      <w:r w:rsidRPr="00AE6EED">
        <w:rPr>
          <w:rFonts w:ascii="Arial" w:hAnsi="Arial" w:cs="Arial"/>
          <w:i/>
          <w:iCs/>
          <w:color w:val="000000"/>
        </w:rPr>
        <w:t>, 100</w:t>
      </w:r>
      <w:r w:rsidRPr="00AE6EED">
        <w:rPr>
          <w:rFonts w:ascii="Arial" w:hAnsi="Arial" w:cs="Arial"/>
          <w:color w:val="000000"/>
        </w:rPr>
        <w:t>(5), 1941–1966.</w:t>
      </w:r>
      <w:r w:rsidRPr="00AE6EED">
        <w:rPr>
          <w:rFonts w:ascii="Arial" w:hAnsi="Arial" w:cs="Arial"/>
          <w:color w:val="000000"/>
        </w:rPr>
        <w:br/>
      </w:r>
      <w:hyperlink r:id="rId29" w:history="1">
        <w:r w:rsidRPr="00AE6EED">
          <w:rPr>
            <w:rStyle w:val="Hyperlink"/>
            <w:rFonts w:ascii="Arial" w:hAnsi="Arial" w:cs="Arial"/>
          </w:rPr>
          <w:t>https://doi.org/10.1257/aer.100.5.1941</w:t>
        </w:r>
      </w:hyperlink>
      <w:r w:rsidRPr="00AE6EED">
        <w:rPr>
          <w:rFonts w:ascii="Arial" w:hAnsi="Arial" w:cs="Arial"/>
          <w:color w:val="000000"/>
        </w:rPr>
        <w:t xml:space="preserve"> </w:t>
      </w:r>
    </w:p>
    <w:p w14:paraId="0937DBA1"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 xml:space="preserve">Quintana, F. J. (2025). </w:t>
      </w:r>
      <w:r w:rsidRPr="002F4C35">
        <w:rPr>
          <w:rFonts w:ascii="Arial" w:hAnsi="Arial" w:cs="Arial"/>
          <w:i/>
          <w:iCs/>
          <w:color w:val="000000"/>
        </w:rPr>
        <w:t>Dollar dominance, de-dollarization, and international law</w:t>
      </w:r>
      <w:r w:rsidRPr="00AE6EED">
        <w:rPr>
          <w:rFonts w:ascii="Arial" w:hAnsi="Arial" w:cs="Arial"/>
          <w:color w:val="000000"/>
        </w:rPr>
        <w:t>. </w:t>
      </w:r>
      <w:r w:rsidRPr="002F4C35">
        <w:rPr>
          <w:rFonts w:ascii="Arial" w:hAnsi="Arial" w:cs="Arial"/>
          <w:color w:val="000000"/>
        </w:rPr>
        <w:t>Journal of International Economic Law</w:t>
      </w:r>
      <w:r w:rsidRPr="00AE6EED">
        <w:rPr>
          <w:rFonts w:ascii="Arial" w:hAnsi="Arial" w:cs="Arial"/>
          <w:i/>
          <w:iCs/>
          <w:color w:val="000000"/>
        </w:rPr>
        <w:t>, 28</w:t>
      </w:r>
      <w:r w:rsidRPr="00AE6EED">
        <w:rPr>
          <w:rFonts w:ascii="Arial" w:hAnsi="Arial" w:cs="Arial"/>
          <w:color w:val="000000"/>
        </w:rPr>
        <w:t xml:space="preserve">(3), 359–382. </w:t>
      </w:r>
      <w:hyperlink r:id="rId30" w:history="1">
        <w:r w:rsidRPr="00AE6EED">
          <w:rPr>
            <w:rStyle w:val="Hyperlink"/>
            <w:rFonts w:ascii="Arial" w:hAnsi="Arial" w:cs="Arial"/>
          </w:rPr>
          <w:t>https://papers.ssrn.com/sol3/papers.cfm?abstract_id=5576391</w:t>
        </w:r>
      </w:hyperlink>
      <w:r w:rsidRPr="00AE6EED">
        <w:rPr>
          <w:rFonts w:ascii="Arial" w:hAnsi="Arial" w:cs="Arial"/>
          <w:color w:val="000000"/>
        </w:rPr>
        <w:t xml:space="preserve"> </w:t>
      </w:r>
      <w:r w:rsidRPr="00AE6EED">
        <w:rPr>
          <w:rFonts w:ascii="Arial" w:hAnsi="Arial" w:cs="Arial"/>
          <w:color w:val="000000"/>
        </w:rPr>
        <w:br/>
        <w:t>Saaida, M. (2024). BRICS Plus: De-dollarization and global power shifts. </w:t>
      </w:r>
      <w:r w:rsidRPr="00AE6EED">
        <w:rPr>
          <w:rFonts w:ascii="Arial" w:hAnsi="Arial" w:cs="Arial"/>
          <w:i/>
          <w:iCs/>
          <w:color w:val="000000"/>
        </w:rPr>
        <w:t>BRICS Economic Journal, 5</w:t>
      </w:r>
      <w:r w:rsidRPr="00AE6EED">
        <w:rPr>
          <w:rFonts w:ascii="Arial" w:hAnsi="Arial" w:cs="Arial"/>
          <w:color w:val="000000"/>
        </w:rPr>
        <w:t xml:space="preserve">(1), 1–18. </w:t>
      </w:r>
      <w:hyperlink r:id="rId31" w:history="1">
        <w:r w:rsidRPr="00AE6EED">
          <w:rPr>
            <w:rStyle w:val="Hyperlink"/>
            <w:rFonts w:ascii="Arial" w:hAnsi="Arial" w:cs="Arial"/>
          </w:rPr>
          <w:t>https://brics-econ.arphahub.com/article/117828/</w:t>
        </w:r>
      </w:hyperlink>
      <w:r w:rsidRPr="00AE6EED">
        <w:rPr>
          <w:rFonts w:ascii="Arial" w:hAnsi="Arial" w:cs="Arial"/>
          <w:color w:val="000000"/>
        </w:rPr>
        <w:t xml:space="preserve"> </w:t>
      </w:r>
      <w:r w:rsidRPr="00AE6EED">
        <w:rPr>
          <w:rFonts w:ascii="Arial" w:hAnsi="Arial" w:cs="Arial"/>
          <w:color w:val="000000"/>
        </w:rPr>
        <w:br/>
        <w:t>Tooze, A. (2018). </w:t>
      </w:r>
      <w:r w:rsidRPr="00AE6EED">
        <w:rPr>
          <w:rFonts w:ascii="Arial" w:hAnsi="Arial" w:cs="Arial"/>
          <w:i/>
          <w:iCs/>
          <w:color w:val="000000"/>
        </w:rPr>
        <w:t>Crashed: How a decade of financial crises changed the world</w:t>
      </w:r>
      <w:r w:rsidRPr="00AE6EED">
        <w:rPr>
          <w:rFonts w:ascii="Arial" w:hAnsi="Arial" w:cs="Arial"/>
          <w:color w:val="000000"/>
        </w:rPr>
        <w:t>. Viking.</w:t>
      </w:r>
    </w:p>
    <w:p w14:paraId="3EF15627" w14:textId="77777777"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Yoshimori, M. (2024).</w:t>
      </w:r>
      <w:r w:rsidRPr="00AE6EED">
        <w:rPr>
          <w:rStyle w:val="apple-converted-space"/>
          <w:rFonts w:ascii="Arial" w:hAnsi="Arial" w:cs="Arial"/>
          <w:color w:val="000000"/>
        </w:rPr>
        <w:t> </w:t>
      </w:r>
      <w:r w:rsidRPr="00AE6EED">
        <w:rPr>
          <w:rStyle w:val="Emphasis"/>
          <w:rFonts w:ascii="Arial" w:hAnsi="Arial" w:cs="Arial"/>
          <w:color w:val="000000"/>
        </w:rPr>
        <w:t>Rising tides lift all boats: The sustained dominance and global impact of the U.S. dollar as the reserve currency</w:t>
      </w:r>
      <w:r w:rsidRPr="00AE6EED">
        <w:rPr>
          <w:rFonts w:ascii="Arial" w:hAnsi="Arial" w:cs="Arial"/>
          <w:color w:val="000000"/>
        </w:rPr>
        <w:t>.</w:t>
      </w:r>
      <w:r w:rsidRPr="00AE6EED">
        <w:rPr>
          <w:rStyle w:val="apple-converted-space"/>
          <w:rFonts w:ascii="Arial" w:hAnsi="Arial" w:cs="Arial"/>
          <w:color w:val="000000"/>
        </w:rPr>
        <w:t> </w:t>
      </w:r>
      <w:r w:rsidRPr="00AE6EED">
        <w:rPr>
          <w:rStyle w:val="Emphasis"/>
          <w:rFonts w:ascii="Arial" w:hAnsi="Arial" w:cs="Arial"/>
          <w:color w:val="000000"/>
        </w:rPr>
        <w:t>Socioeconomic Challenges, 8</w:t>
      </w:r>
      <w:r w:rsidRPr="00AE6EED">
        <w:rPr>
          <w:rFonts w:ascii="Arial" w:hAnsi="Arial" w:cs="Arial"/>
          <w:color w:val="000000"/>
        </w:rPr>
        <w:t>(3), 77–92.</w:t>
      </w:r>
      <w:r w:rsidRPr="00AE6EED">
        <w:rPr>
          <w:rStyle w:val="apple-converted-space"/>
          <w:rFonts w:ascii="Arial" w:hAnsi="Arial" w:cs="Arial"/>
          <w:color w:val="000000"/>
        </w:rPr>
        <w:t> </w:t>
      </w:r>
      <w:hyperlink r:id="rId32" w:tgtFrame="_new" w:history="1">
        <w:r w:rsidRPr="00AE6EED">
          <w:rPr>
            <w:rStyle w:val="Hyperlink"/>
            <w:rFonts w:ascii="Arial" w:hAnsi="Arial" w:cs="Arial"/>
          </w:rPr>
          <w:t>https://doi.org/10.61093/sec.8(3).77-92.2024</w:t>
        </w:r>
      </w:hyperlink>
    </w:p>
    <w:p w14:paraId="73C117CD" w14:textId="0161BCF8" w:rsidR="00AE6EED" w:rsidRP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Yoshimori, M. (</w:t>
      </w:r>
      <w:r w:rsidR="004B2CE2">
        <w:rPr>
          <w:rFonts w:ascii="Arial" w:hAnsi="Arial" w:cs="Arial"/>
          <w:color w:val="000000"/>
        </w:rPr>
        <w:t>2025, a</w:t>
      </w:r>
      <w:r w:rsidRPr="00AE6EED">
        <w:rPr>
          <w:rFonts w:ascii="Arial" w:hAnsi="Arial" w:cs="Arial"/>
          <w:color w:val="000000"/>
        </w:rPr>
        <w:t>).</w:t>
      </w:r>
      <w:r w:rsidRPr="00AE6EED">
        <w:rPr>
          <w:rStyle w:val="apple-converted-space"/>
          <w:rFonts w:ascii="Arial" w:hAnsi="Arial" w:cs="Arial"/>
          <w:color w:val="000000"/>
        </w:rPr>
        <w:t> </w:t>
      </w:r>
      <w:r w:rsidRPr="00AE6EED">
        <w:rPr>
          <w:rStyle w:val="Emphasis"/>
          <w:rFonts w:ascii="Arial" w:hAnsi="Arial" w:cs="Arial"/>
          <w:color w:val="000000"/>
        </w:rPr>
        <w:t>The dollar at a crossroads: Trade wars, tariffs and stress on the world’s safe-haven currency</w:t>
      </w:r>
      <w:r w:rsidRPr="00AE6EED">
        <w:rPr>
          <w:rFonts w:ascii="Arial" w:hAnsi="Arial" w:cs="Arial"/>
          <w:color w:val="000000"/>
        </w:rPr>
        <w:t>. Fair Observer.</w:t>
      </w:r>
      <w:r w:rsidRPr="00AE6EED">
        <w:rPr>
          <w:rFonts w:ascii="Arial" w:hAnsi="Arial" w:cs="Arial"/>
          <w:color w:val="000000"/>
        </w:rPr>
        <w:br/>
      </w:r>
      <w:hyperlink r:id="rId33" w:tgtFrame="_new" w:history="1">
        <w:r w:rsidRPr="00AE6EED">
          <w:rPr>
            <w:rStyle w:val="Hyperlink"/>
            <w:rFonts w:ascii="Arial" w:hAnsi="Arial" w:cs="Arial"/>
          </w:rPr>
          <w:t>https://www.fairobserver.com/economics/the-dollar-at-a-crossroads-trade-wars-tariffs-and-stress-on-the-worlds-safe-haven-currency/</w:t>
        </w:r>
      </w:hyperlink>
      <w:r w:rsidRPr="00AE6EED">
        <w:rPr>
          <w:rFonts w:ascii="Arial" w:hAnsi="Arial" w:cs="Arial"/>
          <w:color w:val="000000"/>
        </w:rPr>
        <w:br/>
        <w:t>Yoshimori, M. (</w:t>
      </w:r>
      <w:r w:rsidR="004B2CE2">
        <w:rPr>
          <w:rFonts w:ascii="Arial" w:hAnsi="Arial" w:cs="Arial"/>
          <w:color w:val="000000"/>
        </w:rPr>
        <w:t>2025, b</w:t>
      </w:r>
      <w:r w:rsidRPr="00AE6EED">
        <w:rPr>
          <w:rFonts w:ascii="Arial" w:hAnsi="Arial" w:cs="Arial"/>
          <w:color w:val="000000"/>
        </w:rPr>
        <w:t>).</w:t>
      </w:r>
      <w:r w:rsidRPr="00AE6EED">
        <w:rPr>
          <w:rStyle w:val="apple-converted-space"/>
          <w:rFonts w:ascii="Arial" w:hAnsi="Arial" w:cs="Arial"/>
          <w:color w:val="000000"/>
        </w:rPr>
        <w:t> </w:t>
      </w:r>
      <w:r w:rsidRPr="00AE6EED">
        <w:rPr>
          <w:rStyle w:val="Emphasis"/>
          <w:rFonts w:ascii="Arial" w:hAnsi="Arial" w:cs="Arial"/>
          <w:color w:val="000000"/>
        </w:rPr>
        <w:t>The long-term dangers of China’s expanding swap line strategy: Financial dependence and geopolitical influence</w:t>
      </w:r>
      <w:r w:rsidRPr="00AE6EED">
        <w:rPr>
          <w:rFonts w:ascii="Arial" w:hAnsi="Arial" w:cs="Arial"/>
          <w:color w:val="000000"/>
        </w:rPr>
        <w:t>. Fair Observer.</w:t>
      </w:r>
      <w:r w:rsidRPr="00AE6EED">
        <w:rPr>
          <w:rFonts w:ascii="Arial" w:hAnsi="Arial" w:cs="Arial"/>
          <w:color w:val="000000"/>
        </w:rPr>
        <w:br/>
      </w:r>
      <w:hyperlink r:id="rId34" w:tgtFrame="_new" w:history="1">
        <w:r w:rsidRPr="00AE6EED">
          <w:rPr>
            <w:rStyle w:val="Hyperlink"/>
            <w:rFonts w:ascii="Arial" w:hAnsi="Arial" w:cs="Arial"/>
          </w:rPr>
          <w:t>https://www.fairobserver.com/economics/the-long-term-dangers-of-chinas-expanding-swap-line-strategy-financial-dependence-and-geopolitical-influence/</w:t>
        </w:r>
      </w:hyperlink>
    </w:p>
    <w:p w14:paraId="00CA6D9E" w14:textId="7ED415CC" w:rsidR="00AE6EED" w:rsidRDefault="00AE6EED" w:rsidP="00AE6EED">
      <w:pPr>
        <w:spacing w:before="100" w:beforeAutospacing="1" w:after="100" w:afterAutospacing="1"/>
        <w:contextualSpacing/>
        <w:outlineLvl w:val="1"/>
        <w:rPr>
          <w:rFonts w:ascii="Arial" w:hAnsi="Arial" w:cs="Arial"/>
          <w:color w:val="000000"/>
        </w:rPr>
      </w:pPr>
      <w:r w:rsidRPr="00AE6EED">
        <w:rPr>
          <w:rFonts w:ascii="Arial" w:hAnsi="Arial" w:cs="Arial"/>
          <w:color w:val="000000"/>
        </w:rPr>
        <w:t>Yoshimori, M. (</w:t>
      </w:r>
      <w:r w:rsidR="004B2CE2">
        <w:rPr>
          <w:rFonts w:ascii="Arial" w:hAnsi="Arial" w:cs="Arial"/>
          <w:color w:val="000000"/>
        </w:rPr>
        <w:t>2025, c</w:t>
      </w:r>
      <w:r w:rsidRPr="00AE6EED">
        <w:rPr>
          <w:rFonts w:ascii="Arial" w:hAnsi="Arial" w:cs="Arial"/>
          <w:color w:val="000000"/>
        </w:rPr>
        <w:t>).</w:t>
      </w:r>
      <w:r w:rsidRPr="00AE6EED">
        <w:rPr>
          <w:rStyle w:val="apple-converted-space"/>
          <w:rFonts w:ascii="Arial" w:hAnsi="Arial" w:cs="Arial"/>
          <w:color w:val="000000"/>
        </w:rPr>
        <w:t> </w:t>
      </w:r>
      <w:r w:rsidRPr="00AE6EED">
        <w:rPr>
          <w:rStyle w:val="Emphasis"/>
          <w:rFonts w:ascii="Arial" w:hAnsi="Arial" w:cs="Arial"/>
          <w:color w:val="000000"/>
        </w:rPr>
        <w:t>The Mar-a-Lago agreement for the relationship between tariffs, U.S. dollar value and inflation</w:t>
      </w:r>
      <w:r w:rsidRPr="00AE6EED">
        <w:rPr>
          <w:rFonts w:ascii="Arial" w:hAnsi="Arial" w:cs="Arial"/>
          <w:color w:val="000000"/>
        </w:rPr>
        <w:t>. Fair Observer.</w:t>
      </w:r>
      <w:r w:rsidRPr="00AE6EED">
        <w:rPr>
          <w:rFonts w:ascii="Arial" w:hAnsi="Arial" w:cs="Arial"/>
          <w:color w:val="000000"/>
        </w:rPr>
        <w:br/>
      </w:r>
      <w:hyperlink r:id="rId35" w:tgtFrame="_new" w:history="1">
        <w:r w:rsidRPr="00AE6EED">
          <w:rPr>
            <w:rStyle w:val="Hyperlink"/>
            <w:rFonts w:ascii="Arial" w:hAnsi="Arial" w:cs="Arial"/>
          </w:rPr>
          <w:t>https://www.fairobserver.com/economics/the-mar-a-lago-agreement-for-the-relationship-between-tariffs-us-dollar-value-and-inflation/</w:t>
        </w:r>
      </w:hyperlink>
    </w:p>
    <w:p w14:paraId="69E7544A" w14:textId="08EB5C27" w:rsidR="006A0719" w:rsidRPr="00F27E7C" w:rsidRDefault="00AE6EED" w:rsidP="00F27E7C">
      <w:pPr>
        <w:spacing w:before="100" w:beforeAutospacing="1" w:after="100" w:afterAutospacing="1"/>
        <w:contextualSpacing/>
        <w:outlineLvl w:val="1"/>
        <w:rPr>
          <w:rFonts w:ascii="Arial" w:hAnsi="Arial" w:cs="Arial"/>
          <w:color w:val="000000"/>
        </w:rPr>
      </w:pPr>
      <w:r w:rsidRPr="00AE6EED">
        <w:rPr>
          <w:rFonts w:ascii="Arial" w:hAnsi="Arial" w:cs="Arial"/>
          <w:color w:val="000000"/>
        </w:rPr>
        <w:t>Zein, S. A. E. (2025).</w:t>
      </w:r>
      <w:r w:rsidRPr="00AE6EED">
        <w:rPr>
          <w:rStyle w:val="apple-converted-space"/>
          <w:rFonts w:ascii="Arial" w:hAnsi="Arial" w:cs="Arial"/>
          <w:color w:val="000000"/>
        </w:rPr>
        <w:t> </w:t>
      </w:r>
      <w:r w:rsidRPr="00AE6EED">
        <w:rPr>
          <w:rStyle w:val="Emphasis"/>
          <w:rFonts w:ascii="Arial" w:hAnsi="Arial" w:cs="Arial"/>
          <w:color w:val="000000"/>
        </w:rPr>
        <w:t>Understanding de-dollarization among BRICS nations</w:t>
      </w:r>
      <w:r w:rsidRPr="00AE6EED">
        <w:rPr>
          <w:rFonts w:ascii="Arial" w:hAnsi="Arial" w:cs="Arial"/>
          <w:color w:val="000000"/>
        </w:rPr>
        <w:t>.</w:t>
      </w:r>
      <w:r w:rsidRPr="00AE6EED">
        <w:rPr>
          <w:rStyle w:val="apple-converted-space"/>
          <w:rFonts w:ascii="Arial" w:hAnsi="Arial" w:cs="Arial"/>
          <w:color w:val="000000"/>
        </w:rPr>
        <w:t> </w:t>
      </w:r>
      <w:r w:rsidRPr="002F4C35">
        <w:rPr>
          <w:rStyle w:val="Emphasis"/>
          <w:rFonts w:ascii="Arial" w:hAnsi="Arial" w:cs="Arial"/>
          <w:i w:val="0"/>
          <w:iCs w:val="0"/>
          <w:color w:val="000000"/>
        </w:rPr>
        <w:t>Revista de Administração Contemporânea</w:t>
      </w:r>
      <w:r w:rsidRPr="00AE6EED">
        <w:rPr>
          <w:rFonts w:ascii="Arial" w:hAnsi="Arial" w:cs="Arial"/>
          <w:color w:val="000000"/>
        </w:rPr>
        <w:t>.</w:t>
      </w:r>
      <w:r w:rsidRPr="00AE6EED">
        <w:rPr>
          <w:rFonts w:ascii="Arial" w:hAnsi="Arial" w:cs="Arial"/>
        </w:rPr>
        <w:t xml:space="preserve"> </w:t>
      </w:r>
      <w:hyperlink r:id="rId36" w:history="1">
        <w:r w:rsidRPr="00AE6EED">
          <w:rPr>
            <w:rStyle w:val="Hyperlink"/>
            <w:rFonts w:ascii="Arial" w:hAnsi="Arial" w:cs="Arial"/>
          </w:rPr>
          <w:t>https://www.scielo.br/j/rac/a/pQPSp8k3hzgFfhT8hnyrZTq/?format=html&amp;lang=en</w:t>
        </w:r>
      </w:hyperlink>
      <w:r w:rsidRPr="00AE6EED">
        <w:rPr>
          <w:rFonts w:ascii="Arial" w:hAnsi="Arial" w:cs="Arial"/>
          <w:color w:val="000000"/>
        </w:rPr>
        <w:t xml:space="preserve"> </w:t>
      </w:r>
    </w:p>
    <w:p w14:paraId="6A998940" w14:textId="15986917" w:rsidR="006A0719" w:rsidRPr="0061126F" w:rsidRDefault="006A0719" w:rsidP="006A0719">
      <w:pPr>
        <w:pStyle w:val="Appendix"/>
        <w:spacing w:after="0"/>
        <w:jc w:val="both"/>
        <w:rPr>
          <w:rFonts w:ascii="Arial" w:hAnsi="Arial" w:cs="Arial"/>
          <w:bCs/>
        </w:rPr>
      </w:pPr>
      <w:r w:rsidRPr="00FB3A86">
        <w:rPr>
          <w:rFonts w:ascii="Arial" w:hAnsi="Arial" w:cs="Arial"/>
        </w:rPr>
        <w:t>APPENDIX</w:t>
      </w:r>
      <w:r w:rsidRPr="0061126F">
        <w:rPr>
          <w:rFonts w:ascii="Times New Roman" w:hAnsi="Times New Roman"/>
          <w:b w:val="0"/>
          <w:bCs/>
          <w:color w:val="000000"/>
          <w:sz w:val="24"/>
          <w:szCs w:val="24"/>
          <w:lang w:eastAsia="ja-JP"/>
        </w:rPr>
        <w:t xml:space="preserve"> </w:t>
      </w:r>
      <w:r w:rsidRPr="0061126F">
        <w:rPr>
          <w:rFonts w:ascii="Arial" w:hAnsi="Arial" w:cs="Arial"/>
          <w:bCs/>
        </w:rPr>
        <w:t xml:space="preserve">A. Formal Propositions and Proof Sketches </w:t>
      </w:r>
    </w:p>
    <w:p w14:paraId="1F334B72" w14:textId="77777777" w:rsidR="006A0719" w:rsidRPr="008F5BCF" w:rsidRDefault="006A0719" w:rsidP="006A0719">
      <w:pPr>
        <w:spacing w:before="100" w:beforeAutospacing="1" w:after="100" w:afterAutospacing="1"/>
        <w:outlineLvl w:val="2"/>
        <w:rPr>
          <w:rFonts w:ascii="Arial" w:hAnsi="Arial" w:cs="Arial"/>
          <w:b/>
          <w:bCs/>
          <w:color w:val="000000"/>
        </w:rPr>
      </w:pPr>
      <w:r w:rsidRPr="008F5BCF">
        <w:rPr>
          <w:rFonts w:ascii="Arial" w:hAnsi="Arial" w:cs="Arial"/>
          <w:b/>
          <w:bCs/>
          <w:color w:val="000000"/>
        </w:rPr>
        <w:t>Proposition 1 (Functional Stratification Equilibrium)</w:t>
      </w:r>
    </w:p>
    <w:p w14:paraId="0DE21D2C"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b/>
          <w:bCs/>
          <w:color w:val="000000"/>
        </w:rPr>
        <w:t>Claim.</w:t>
      </w:r>
      <w:r w:rsidRPr="008F5BCF">
        <w:rPr>
          <w:rFonts w:ascii="Arial" w:hAnsi="Arial" w:cs="Arial"/>
          <w:color w:val="000000"/>
        </w:rPr>
        <w:t> For financially shallow economies (Global South), there exists an equilibrium in which functional bypass is high for </w:t>
      </w:r>
      <m:oMath>
        <m:d>
          <m:dPr>
            <m:begChr m:val="{"/>
            <m:sepChr m:val=","/>
            <m:endChr m:val="}"/>
            <m:ctrlPr>
              <w:rPr>
                <w:rFonts w:ascii="Cambria Math" w:hAnsi="Cambria Math" w:cs="Arial"/>
              </w:rPr>
            </m:ctrlPr>
          </m:dPr>
          <m:e>
            <m:r>
              <w:rPr>
                <w:rFonts w:ascii="Cambria Math" w:hAnsi="Cambria Math" w:cs="Arial"/>
              </w:rPr>
              <m:t>UA</m:t>
            </m:r>
          </m:e>
          <m:e>
            <m:r>
              <w:rPr>
                <w:rFonts w:ascii="Cambria Math" w:hAnsi="Cambria Math" w:cs="Arial"/>
              </w:rPr>
              <m:t>MOE</m:t>
            </m:r>
          </m:e>
        </m:d>
      </m:oMath>
      <w:r w:rsidRPr="008F5BCF">
        <w:rPr>
          <w:rFonts w:ascii="Arial" w:hAnsi="Arial" w:cs="Arial"/>
          <w:color w:val="000000"/>
        </w:rPr>
        <w:t> but low for </w:t>
      </w:r>
      <m:oMath>
        <m:d>
          <m:dPr>
            <m:begChr m:val="{"/>
            <m:sepChr m:val=","/>
            <m:endChr m:val="}"/>
            <m:ctrlPr>
              <w:rPr>
                <w:rFonts w:ascii="Cambria Math" w:hAnsi="Cambria Math" w:cs="Arial"/>
              </w:rPr>
            </m:ctrlPr>
          </m:dPr>
          <m:e>
            <m:r>
              <w:rPr>
                <w:rFonts w:ascii="Cambria Math" w:hAnsi="Cambria Math" w:cs="Arial"/>
              </w:rPr>
              <m:t>SOV</m:t>
            </m:r>
          </m:e>
          <m:e>
            <m:r>
              <w:rPr>
                <w:rFonts w:ascii="Cambria Math" w:hAnsi="Cambria Math" w:cs="Arial"/>
              </w:rPr>
              <m:t>FA</m:t>
            </m:r>
          </m:e>
        </m:d>
      </m:oMath>
      <w:r w:rsidRPr="008F5BCF">
        <w:rPr>
          <w:rFonts w:ascii="Arial" w:hAnsi="Arial" w:cs="Arial"/>
          <w:color w:val="000000"/>
        </w:rPr>
        <w:t>:</w:t>
      </w:r>
    </w:p>
    <w:p w14:paraId="3685E2C6" w14:textId="77777777" w:rsidR="006A0719" w:rsidRPr="008F5BCF" w:rsidRDefault="00C96DFF" w:rsidP="006A0719">
      <w:pPr>
        <w:rPr>
          <w:rFonts w:ascii="Arial" w:hAnsi="Arial" w:cs="Arial"/>
        </w:rPr>
      </w:pPr>
      <m:oMathPara>
        <m:oMath>
          <m:sSubSup>
            <m:sSubSupPr>
              <m:ctrlPr>
                <w:rPr>
                  <w:rFonts w:ascii="Cambria Math" w:hAnsi="Cambria Math" w:cs="Arial"/>
                </w:rPr>
              </m:ctrlPr>
            </m:sSubSup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m:t>
              </m:r>
            </m:sup>
          </m:sSubSup>
          <m:r>
            <w:rPr>
              <w:rFonts w:ascii="Cambria Math" w:hAnsi="Cambria Math" w:cs="Arial"/>
            </w:rPr>
            <m:t>(</m:t>
          </m:r>
          <m:r>
            <w:rPr>
              <w:rFonts w:ascii="Cambria Math" w:hAnsi="Cambria Math" w:cs="Arial"/>
            </w:rPr>
            <m:t>UA</m:t>
          </m:r>
          <m:r>
            <w:rPr>
              <w:rFonts w:ascii="Cambria Math" w:hAnsi="Cambria Math" w:cs="Arial"/>
            </w:rPr>
            <m:t>),</m:t>
          </m:r>
          <m:r>
            <m:rPr>
              <m:nor/>
            </m:rPr>
            <w:rPr>
              <w:rFonts w:ascii="Arial" w:hAnsi="Arial" w:cs="Arial"/>
            </w:rPr>
            <m:t> </m:t>
          </m:r>
          <m:sSubSup>
            <m:sSubSupPr>
              <m:ctrlPr>
                <w:rPr>
                  <w:rFonts w:ascii="Cambria Math" w:hAnsi="Cambria Math" w:cs="Arial"/>
                </w:rPr>
              </m:ctrlPr>
            </m:sSubSup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m:t>
              </m:r>
            </m:sup>
          </m:sSubSup>
          <m:r>
            <w:rPr>
              <w:rFonts w:ascii="Cambria Math" w:hAnsi="Cambria Math" w:cs="Arial"/>
            </w:rPr>
            <m:t>(</m:t>
          </m:r>
          <m:r>
            <w:rPr>
              <w:rFonts w:ascii="Cambria Math" w:hAnsi="Cambria Math" w:cs="Arial"/>
            </w:rPr>
            <m:t>MOE</m:t>
          </m:r>
          <m:r>
            <w:rPr>
              <w:rFonts w:ascii="Cambria Math" w:hAnsi="Cambria Math" w:cs="Arial"/>
            </w:rPr>
            <m:t>)</m:t>
          </m:r>
          <m:r>
            <m:rPr>
              <m:nor/>
            </m:rPr>
            <w:rPr>
              <w:rFonts w:ascii="Arial" w:hAnsi="Arial" w:cs="Arial"/>
            </w:rPr>
            <m:t xml:space="preserve"> can rise, while </m:t>
          </m:r>
          <m:sSubSup>
            <m:sSubSupPr>
              <m:ctrlPr>
                <w:rPr>
                  <w:rFonts w:ascii="Cambria Math" w:hAnsi="Cambria Math" w:cs="Arial"/>
                </w:rPr>
              </m:ctrlPr>
            </m:sSubSup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m:t>
              </m:r>
            </m:sup>
          </m:sSubSup>
          <m:r>
            <w:rPr>
              <w:rFonts w:ascii="Cambria Math" w:hAnsi="Cambria Math" w:cs="Arial"/>
            </w:rPr>
            <m:t>(</m:t>
          </m:r>
          <m:r>
            <w:rPr>
              <w:rFonts w:ascii="Cambria Math" w:hAnsi="Cambria Math" w:cs="Arial"/>
            </w:rPr>
            <m:t>SOV</m:t>
          </m:r>
          <m:r>
            <w:rPr>
              <w:rFonts w:ascii="Cambria Math" w:hAnsi="Cambria Math" w:cs="Arial"/>
            </w:rPr>
            <m:t>)≤</m:t>
          </m:r>
          <m:sSubSup>
            <m:sSubSupPr>
              <m:ctrlPr>
                <w:rPr>
                  <w:rFonts w:ascii="Cambria Math" w:hAnsi="Cambria Math" w:cs="Arial"/>
                </w:rPr>
              </m:ctrlPr>
            </m:sSubSupPr>
            <m:e>
              <m:acc>
                <m:accPr>
                  <m:chr m:val="ˉ"/>
                  <m:ctrlPr>
                    <w:rPr>
                      <w:rFonts w:ascii="Cambria Math" w:hAnsi="Cambria Math" w:cs="Arial"/>
                    </w:rPr>
                  </m:ctrlPr>
                </m:accPr>
                <m:e>
                  <m:r>
                    <w:rPr>
                      <w:rFonts w:ascii="Cambria Math" w:hAnsi="Cambria Math" w:cs="Arial"/>
                    </w:rPr>
                    <m:t>B</m:t>
                  </m:r>
                </m:e>
              </m:acc>
            </m:e>
            <m:sub>
              <m:r>
                <w:rPr>
                  <w:rFonts w:ascii="Cambria Math" w:hAnsi="Cambria Math" w:cs="Arial"/>
                </w:rPr>
                <m:t>i</m:t>
              </m:r>
            </m:sub>
            <m:sup>
              <m:r>
                <w:rPr>
                  <w:rFonts w:ascii="Cambria Math" w:hAnsi="Cambria Math" w:cs="Arial"/>
                </w:rPr>
                <m:t>SOV</m:t>
              </m:r>
              <m:r>
                <w:rPr>
                  <w:rFonts w:ascii="Cambria Math" w:hAnsi="Cambria Math" w:cs="Arial"/>
                </w:rPr>
                <m:t xml:space="preserve"> </m:t>
              </m:r>
            </m:sup>
          </m:sSubSup>
          <m:r>
            <w:rPr>
              <w:rFonts w:ascii="Cambria Math" w:hAnsi="Cambria Math" w:cs="Arial"/>
            </w:rPr>
            <m:t>≪1,</m:t>
          </m:r>
          <m:r>
            <m:rPr>
              <m:nor/>
            </m:rPr>
            <w:rPr>
              <w:rFonts w:ascii="Arial" w:hAnsi="Arial" w:cs="Arial"/>
            </w:rPr>
            <m:t xml:space="preserve"> </m:t>
          </m:r>
          <m:sSubSup>
            <m:sSubSupPr>
              <m:ctrlPr>
                <w:rPr>
                  <w:rFonts w:ascii="Cambria Math" w:hAnsi="Cambria Math" w:cs="Arial"/>
                </w:rPr>
              </m:ctrlPr>
            </m:sSubSup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up>
              <m:r>
                <w:rPr>
                  <w:rFonts w:ascii="Cambria Math" w:hAnsi="Cambria Math" w:cs="Arial"/>
                </w:rPr>
                <m:t>*</m:t>
              </m:r>
            </m:sup>
          </m:sSubSup>
          <m:r>
            <w:rPr>
              <w:rFonts w:ascii="Cambria Math" w:hAnsi="Cambria Math" w:cs="Arial"/>
            </w:rPr>
            <m:t>(</m:t>
          </m:r>
          <m:r>
            <w:rPr>
              <w:rFonts w:ascii="Cambria Math" w:hAnsi="Cambria Math" w:cs="Arial"/>
            </w:rPr>
            <m:t>FA</m:t>
          </m:r>
          <m:r>
            <w:rPr>
              <w:rFonts w:ascii="Cambria Math" w:hAnsi="Cambria Math" w:cs="Arial"/>
            </w:rPr>
            <m:t>)≤</m:t>
          </m:r>
          <m:sSubSup>
            <m:sSubSupPr>
              <m:ctrlPr>
                <w:rPr>
                  <w:rFonts w:ascii="Cambria Math" w:hAnsi="Cambria Math" w:cs="Arial"/>
                </w:rPr>
              </m:ctrlPr>
            </m:sSubSupPr>
            <m:e>
              <m:acc>
                <m:accPr>
                  <m:chr m:val="ˉ"/>
                  <m:ctrlPr>
                    <w:rPr>
                      <w:rFonts w:ascii="Cambria Math" w:hAnsi="Cambria Math" w:cs="Arial"/>
                    </w:rPr>
                  </m:ctrlPr>
                </m:accPr>
                <m:e>
                  <m:r>
                    <w:rPr>
                      <w:rFonts w:ascii="Cambria Math" w:hAnsi="Cambria Math" w:cs="Arial"/>
                    </w:rPr>
                    <m:t>B</m:t>
                  </m:r>
                </m:e>
              </m:acc>
            </m:e>
            <m:sub>
              <m:r>
                <w:rPr>
                  <w:rFonts w:ascii="Cambria Math" w:hAnsi="Cambria Math" w:cs="Arial"/>
                </w:rPr>
                <m:t>i</m:t>
              </m:r>
            </m:sub>
            <m:sup>
              <m:r>
                <w:rPr>
                  <w:rFonts w:ascii="Cambria Math" w:hAnsi="Cambria Math" w:cs="Arial"/>
                </w:rPr>
                <m:t>FA</m:t>
              </m:r>
            </m:sup>
          </m:sSubSup>
          <m:r>
            <w:rPr>
              <w:rFonts w:ascii="Cambria Math" w:hAnsi="Cambria Math" w:cs="Arial"/>
            </w:rPr>
            <m:t>≪1</m:t>
          </m:r>
          <m:r>
            <m:rPr>
              <m:sty m:val="p"/>
            </m:rPr>
            <w:rPr>
              <w:rFonts w:ascii="Cambria Math" w:hAnsi="Cambria Math" w:cs="Arial"/>
            </w:rPr>
            <w:br/>
          </m:r>
        </m:oMath>
      </m:oMathPara>
    </w:p>
    <w:p w14:paraId="253DB4A3" w14:textId="1BE8110A" w:rsidR="001508D0" w:rsidRPr="001508D0" w:rsidRDefault="001508D0" w:rsidP="001508D0">
      <w:pPr>
        <w:rPr>
          <w:rFonts w:ascii="Arial" w:hAnsi="Arial" w:cs="Arial"/>
          <w:color w:val="000000"/>
        </w:rPr>
      </w:pPr>
      <w:r w:rsidRPr="001508D0">
        <w:rPr>
          <w:rFonts w:ascii="Arial" w:hAnsi="Arial" w:cs="Arial"/>
          <w:b/>
          <w:bCs/>
          <w:color w:val="000000"/>
        </w:rPr>
        <w:t>Intuition</w:t>
      </w:r>
      <w:r w:rsidR="006A0719" w:rsidRPr="008F5BCF">
        <w:rPr>
          <w:rFonts w:ascii="Arial" w:hAnsi="Arial" w:cs="Arial"/>
          <w:b/>
          <w:bCs/>
          <w:color w:val="000000"/>
        </w:rPr>
        <w:t>.</w:t>
      </w:r>
      <w:r w:rsidR="006A0719" w:rsidRPr="008F5BCF">
        <w:rPr>
          <w:rFonts w:ascii="Arial" w:hAnsi="Arial" w:cs="Arial"/>
          <w:color w:val="000000"/>
        </w:rPr>
        <w:t> </w:t>
      </w:r>
      <w:r w:rsidRPr="001508D0">
        <w:rPr>
          <w:rFonts w:ascii="Arial" w:hAnsi="Arial" w:cs="Arial"/>
          <w:color w:val="000000"/>
        </w:rPr>
        <w:t>By construction, agents choose currency </w:t>
      </w:r>
      <m:oMath>
        <m:r>
          <w:rPr>
            <w:rFonts w:ascii="Cambria Math" w:hAnsi="Cambria Math" w:cs="Arial"/>
            <w:color w:val="000000"/>
          </w:rPr>
          <m:t>c</m:t>
        </m:r>
      </m:oMath>
      <w:r w:rsidRPr="001508D0">
        <w:rPr>
          <w:rFonts w:ascii="Arial" w:hAnsi="Arial" w:cs="Arial"/>
          <w:color w:val="000000"/>
        </w:rPr>
        <w:t> for each function </w:t>
      </w:r>
      <m:oMath>
        <m:r>
          <w:rPr>
            <w:rFonts w:ascii="Cambria Math" w:hAnsi="Cambria Math" w:cs="Arial"/>
            <w:color w:val="000000"/>
          </w:rPr>
          <m:t>f</m:t>
        </m:r>
      </m:oMath>
      <w:r w:rsidRPr="001508D0">
        <w:rPr>
          <w:rFonts w:ascii="Arial" w:hAnsi="Arial" w:cs="Arial"/>
          <w:color w:val="000000"/>
        </w:rPr>
        <w:t> to maximize</w:t>
      </w:r>
      <w:r w:rsidRPr="001508D0">
        <w:rPr>
          <w:rFonts w:ascii="Arial" w:hAnsi="Arial" w:cs="Arial"/>
          <w:color w:val="000000"/>
        </w:rPr>
        <w:br/>
      </w:r>
      <m:oMath>
        <m:sSub>
          <m:sSubPr>
            <m:ctrlPr>
              <w:rPr>
                <w:rFonts w:ascii="Cambria Math" w:hAnsi="Cambria Math" w:cs="Arial"/>
                <w:color w:val="000000"/>
              </w:rPr>
            </m:ctrlPr>
          </m:sSubPr>
          <m:e>
            <m:r>
              <m:rPr>
                <m:sty m:val="p"/>
              </m:rPr>
              <w:rPr>
                <w:rFonts w:ascii="Cambria Math" w:hAnsi="Cambria Math" w:cs="Arial"/>
                <w:color w:val="000000"/>
              </w:rPr>
              <m:t>Π</m:t>
            </m:r>
          </m:e>
          <m:sub>
            <m:r>
              <w:rPr>
                <w:rFonts w:ascii="Cambria Math" w:hAnsi="Cambria Math" w:cs="Arial"/>
                <w:color w:val="000000"/>
              </w:rPr>
              <m:t>i,t</m:t>
            </m:r>
          </m:sub>
        </m:sSub>
        <m:r>
          <w:rPr>
            <w:rFonts w:ascii="Cambria Math" w:hAnsi="Cambria Math" w:cs="Arial"/>
            <w:color w:val="000000"/>
          </w:rPr>
          <m:t>(c,f)=</m:t>
        </m:r>
        <m:sSub>
          <m:sSubPr>
            <m:ctrlPr>
              <w:rPr>
                <w:rFonts w:ascii="Cambria Math" w:hAnsi="Cambria Math" w:cs="Arial"/>
                <w:color w:val="000000"/>
              </w:rPr>
            </m:ctrlPr>
          </m:sSubPr>
          <m:e>
            <m:r>
              <w:rPr>
                <w:rFonts w:ascii="Cambria Math" w:hAnsi="Cambria Math" w:cs="Arial"/>
                <w:color w:val="000000"/>
              </w:rPr>
              <m:t>θ</m:t>
            </m:r>
          </m:e>
          <m:sub>
            <m:r>
              <w:rPr>
                <w:rFonts w:ascii="Cambria Math" w:hAnsi="Cambria Math" w:cs="Arial"/>
                <w:color w:val="000000"/>
              </w:rPr>
              <m:t>i,t</m:t>
            </m:r>
          </m:sub>
        </m:sSub>
        <m:r>
          <w:rPr>
            <w:rFonts w:ascii="Cambria Math" w:hAnsi="Cambria Math" w:cs="Arial"/>
            <w:color w:val="000000"/>
          </w:rPr>
          <m:t>(f)</m:t>
        </m:r>
        <m:sSub>
          <m:sSubPr>
            <m:ctrlPr>
              <w:rPr>
                <w:rFonts w:ascii="Cambria Math" w:hAnsi="Cambria Math" w:cs="Arial"/>
                <w:color w:val="000000"/>
              </w:rPr>
            </m:ctrlPr>
          </m:sSubPr>
          <m:e>
            <m:r>
              <w:rPr>
                <w:rFonts w:ascii="Cambria Math" w:hAnsi="Cambria Math" w:cs="Arial"/>
                <w:color w:val="000000"/>
              </w:rPr>
              <m:t>I</m:t>
            </m:r>
          </m:e>
          <m:sub>
            <m:r>
              <w:rPr>
                <w:rFonts w:ascii="Cambria Math" w:hAnsi="Cambria Math" w:cs="Arial"/>
                <w:color w:val="000000"/>
              </w:rPr>
              <m:t>i,t</m:t>
            </m:r>
          </m:sub>
        </m:sSub>
        <m:r>
          <w:rPr>
            <w:rFonts w:ascii="Cambria Math" w:hAnsi="Cambria Math" w:cs="Arial"/>
            <w:color w:val="000000"/>
          </w:rPr>
          <m:t>(c,f)-</m:t>
        </m:r>
        <m:sSub>
          <m:sSubPr>
            <m:ctrlPr>
              <w:rPr>
                <w:rFonts w:ascii="Cambria Math" w:hAnsi="Cambria Math" w:cs="Arial"/>
                <w:color w:val="000000"/>
              </w:rPr>
            </m:ctrlPr>
          </m:sSubPr>
          <m:e>
            <m:r>
              <w:rPr>
                <w:rFonts w:ascii="Cambria Math" w:hAnsi="Cambria Math" w:cs="Arial"/>
                <w:color w:val="000000"/>
              </w:rPr>
              <m:t>κ</m:t>
            </m:r>
          </m:e>
          <m:sub>
            <m:r>
              <w:rPr>
                <w:rFonts w:ascii="Cambria Math" w:hAnsi="Cambria Math" w:cs="Arial"/>
                <w:color w:val="000000"/>
              </w:rPr>
              <m:t>i,t</m:t>
            </m:r>
          </m:sub>
        </m:sSub>
        <m:r>
          <w:rPr>
            <w:rFonts w:ascii="Cambria Math" w:hAnsi="Cambria Math" w:cs="Arial"/>
            <w:color w:val="000000"/>
          </w:rPr>
          <m:t>(c,f)</m:t>
        </m:r>
      </m:oMath>
      <w:r w:rsidRPr="001508D0">
        <w:rPr>
          <w:rFonts w:ascii="Arial" w:hAnsi="Arial" w:cs="Arial"/>
          <w:color w:val="000000"/>
        </w:rPr>
        <w:t>. For </w:t>
      </w:r>
      <m:oMath>
        <m:r>
          <w:rPr>
            <w:rFonts w:ascii="Cambria Math" w:hAnsi="Cambria Math" w:cs="Arial"/>
            <w:color w:val="000000"/>
          </w:rPr>
          <m:t>f∈{</m:t>
        </m:r>
        <m:r>
          <m:rPr>
            <m:nor/>
          </m:rPr>
          <w:rPr>
            <w:rFonts w:ascii="Arial" w:hAnsi="Arial" w:cs="Arial"/>
            <w:i/>
            <w:iCs/>
            <w:color w:val="000000"/>
          </w:rPr>
          <m:t>SOV</m:t>
        </m:r>
        <m:r>
          <w:rPr>
            <w:rFonts w:ascii="Cambria Math" w:hAnsi="Cambria Math" w:cs="Arial"/>
            <w:color w:val="000000"/>
          </w:rPr>
          <m:t>,</m:t>
        </m:r>
        <m:r>
          <m:rPr>
            <m:nor/>
          </m:rPr>
          <w:rPr>
            <w:rFonts w:ascii="Arial" w:hAnsi="Arial" w:cs="Arial"/>
            <w:i/>
            <w:iCs/>
            <w:color w:val="000000"/>
          </w:rPr>
          <m:t>FA</m:t>
        </m:r>
        <m:r>
          <w:rPr>
            <w:rFonts w:ascii="Cambria Math" w:hAnsi="Cambria Math" w:cs="Arial"/>
            <w:color w:val="000000"/>
          </w:rPr>
          <m:t>}</m:t>
        </m:r>
      </m:oMath>
      <w:r w:rsidRPr="001508D0">
        <w:rPr>
          <w:rFonts w:ascii="Arial" w:hAnsi="Arial" w:cs="Arial"/>
          <w:color w:val="000000"/>
        </w:rPr>
        <w:t>, the feasibility of non-dollar infrastructure is tightly constrained by safe-asset capacity and hedging depth, summarized by </w:t>
      </w:r>
      <m:oMath>
        <m:sSubSup>
          <m:sSubSupPr>
            <m:ctrlPr>
              <w:rPr>
                <w:rFonts w:ascii="Cambria Math" w:hAnsi="Cambria Math" w:cs="Arial"/>
                <w:color w:val="000000"/>
              </w:rPr>
            </m:ctrlPr>
          </m:sSubSupPr>
          <m:e>
            <m:acc>
              <m:accPr>
                <m:chr m:val="ˉ"/>
                <m:ctrlPr>
                  <w:rPr>
                    <w:rFonts w:ascii="Cambria Math" w:hAnsi="Cambria Math" w:cs="Arial"/>
                    <w:color w:val="000000"/>
                  </w:rPr>
                </m:ctrlPr>
              </m:accPr>
              <m:e>
                <m:r>
                  <w:rPr>
                    <w:rFonts w:ascii="Cambria Math" w:hAnsi="Cambria Math" w:cs="Arial"/>
                    <w:color w:val="000000"/>
                  </w:rPr>
                  <m:t>B</m:t>
                </m:r>
              </m:e>
            </m:acc>
          </m:e>
          <m:sub>
            <m:r>
              <w:rPr>
                <w:rFonts w:ascii="Cambria Math" w:hAnsi="Cambria Math" w:cs="Arial"/>
                <w:color w:val="000000"/>
              </w:rPr>
              <m:t>i</m:t>
            </m:r>
          </m:sub>
          <m:sup>
            <m:r>
              <m:rPr>
                <m:nor/>
              </m:rPr>
              <w:rPr>
                <w:rFonts w:ascii="Arial" w:hAnsi="Arial" w:cs="Arial"/>
                <w:color w:val="000000"/>
              </w:rPr>
              <m:t>SOV</m:t>
            </m:r>
          </m:sup>
        </m:sSubSup>
      </m:oMath>
      <w:r w:rsidRPr="001508D0">
        <w:rPr>
          <w:rFonts w:ascii="Arial" w:hAnsi="Arial" w:cs="Arial"/>
          <w:color w:val="000000"/>
        </w:rPr>
        <w:t> and </w:t>
      </w:r>
      <m:oMath>
        <m:sSubSup>
          <m:sSubSupPr>
            <m:ctrlPr>
              <w:rPr>
                <w:rFonts w:ascii="Cambria Math" w:hAnsi="Cambria Math" w:cs="Arial"/>
                <w:color w:val="000000"/>
              </w:rPr>
            </m:ctrlPr>
          </m:sSubSupPr>
          <m:e>
            <m:acc>
              <m:accPr>
                <m:chr m:val="ˉ"/>
                <m:ctrlPr>
                  <w:rPr>
                    <w:rFonts w:ascii="Cambria Math" w:hAnsi="Cambria Math" w:cs="Arial"/>
                    <w:color w:val="000000"/>
                  </w:rPr>
                </m:ctrlPr>
              </m:accPr>
              <m:e>
                <m:r>
                  <w:rPr>
                    <w:rFonts w:ascii="Cambria Math" w:hAnsi="Cambria Math" w:cs="Arial"/>
                    <w:color w:val="000000"/>
                  </w:rPr>
                  <m:t>B</m:t>
                </m:r>
              </m:e>
            </m:acc>
          </m:e>
          <m:sub>
            <m:r>
              <w:rPr>
                <w:rFonts w:ascii="Cambria Math" w:hAnsi="Cambria Math" w:cs="Arial"/>
                <w:color w:val="000000"/>
              </w:rPr>
              <m:t>i</m:t>
            </m:r>
          </m:sub>
          <m:sup>
            <m:r>
              <m:rPr>
                <m:nor/>
              </m:rPr>
              <w:rPr>
                <w:rFonts w:ascii="Arial" w:hAnsi="Arial" w:cs="Arial"/>
                <w:color w:val="000000"/>
              </w:rPr>
              <m:t>FA</m:t>
            </m:r>
          </m:sup>
        </m:sSubSup>
      </m:oMath>
      <w:r w:rsidRPr="001508D0">
        <w:rPr>
          <w:rFonts w:ascii="Arial" w:hAnsi="Arial" w:cs="Arial"/>
          <w:color w:val="000000"/>
        </w:rPr>
        <w:t>. When these bounds bind and infrastructure gaps remain large, the USD tends to dominate these functions: its institutional depth implies </w:t>
      </w:r>
      <m:oMath>
        <m:sSub>
          <m:sSubPr>
            <m:ctrlPr>
              <w:rPr>
                <w:rFonts w:ascii="Cambria Math" w:hAnsi="Cambria Math" w:cs="Arial"/>
                <w:color w:val="000000"/>
              </w:rPr>
            </m:ctrlPr>
          </m:sSubPr>
          <m:e>
            <m:r>
              <w:rPr>
                <w:rFonts w:ascii="Cambria Math" w:hAnsi="Cambria Math" w:cs="Arial"/>
                <w:color w:val="000000"/>
              </w:rPr>
              <m:t>I</m:t>
            </m:r>
          </m:e>
          <m:sub>
            <m:r>
              <w:rPr>
                <w:rFonts w:ascii="Cambria Math" w:hAnsi="Cambria Math" w:cs="Arial"/>
                <w:color w:val="000000"/>
              </w:rPr>
              <m:t>i,t</m:t>
            </m:r>
          </m:sub>
        </m:sSub>
        <m:r>
          <w:rPr>
            <w:rFonts w:ascii="Cambria Math" w:hAnsi="Cambria Math" w:cs="Arial"/>
            <w:color w:val="000000"/>
          </w:rPr>
          <m:t>(</m:t>
        </m:r>
        <m:r>
          <m:rPr>
            <m:nor/>
          </m:rPr>
          <w:rPr>
            <w:rFonts w:ascii="Arial" w:hAnsi="Arial" w:cs="Arial"/>
            <w:i/>
            <w:iCs/>
            <w:color w:val="000000"/>
          </w:rPr>
          <m:t>USD</m:t>
        </m:r>
        <m:r>
          <w:rPr>
            <w:rFonts w:ascii="Cambria Math" w:hAnsi="Cambria Math" w:cs="Arial"/>
            <w:color w:val="000000"/>
          </w:rPr>
          <m:t>,f)≫</m:t>
        </m:r>
        <m:sSub>
          <m:sSubPr>
            <m:ctrlPr>
              <w:rPr>
                <w:rFonts w:ascii="Cambria Math" w:hAnsi="Cambria Math" w:cs="Arial"/>
                <w:color w:val="000000"/>
              </w:rPr>
            </m:ctrlPr>
          </m:sSubPr>
          <m:e>
            <m:r>
              <w:rPr>
                <w:rFonts w:ascii="Cambria Math" w:hAnsi="Cambria Math" w:cs="Arial"/>
                <w:color w:val="000000"/>
              </w:rPr>
              <m:t>I</m:t>
            </m:r>
          </m:e>
          <m:sub>
            <m:r>
              <w:rPr>
                <w:rFonts w:ascii="Cambria Math" w:hAnsi="Cambria Math" w:cs="Arial"/>
                <w:color w:val="000000"/>
              </w:rPr>
              <m:t>i,t</m:t>
            </m:r>
          </m:sub>
        </m:sSub>
        <m:r>
          <w:rPr>
            <w:rFonts w:ascii="Cambria Math" w:hAnsi="Cambria Math" w:cs="Arial"/>
            <w:color w:val="000000"/>
          </w:rPr>
          <m:t>(</m:t>
        </m:r>
        <m:r>
          <m:rPr>
            <m:nor/>
          </m:rPr>
          <w:rPr>
            <w:rFonts w:ascii="Arial" w:hAnsi="Arial" w:cs="Arial"/>
            <w:i/>
            <w:iCs/>
            <w:color w:val="000000"/>
          </w:rPr>
          <m:t>ND</m:t>
        </m:r>
        <m:r>
          <w:rPr>
            <w:rFonts w:ascii="Cambria Math" w:hAnsi="Cambria Math" w:cs="Arial"/>
            <w:color w:val="000000"/>
          </w:rPr>
          <m:t>,f)</m:t>
        </m:r>
      </m:oMath>
      <w:r w:rsidRPr="001508D0">
        <w:rPr>
          <w:rFonts w:ascii="Arial" w:hAnsi="Arial" w:cs="Arial"/>
          <w:color w:val="000000"/>
        </w:rPr>
        <w:t>, while non-dollar options embed sizable credibility and rollover premia in </w:t>
      </w:r>
      <m:oMath>
        <m:sSub>
          <m:sSubPr>
            <m:ctrlPr>
              <w:rPr>
                <w:rFonts w:ascii="Cambria Math" w:hAnsi="Cambria Math" w:cs="Arial"/>
                <w:color w:val="000000"/>
              </w:rPr>
            </m:ctrlPr>
          </m:sSubPr>
          <m:e>
            <m:r>
              <w:rPr>
                <w:rFonts w:ascii="Cambria Math" w:hAnsi="Cambria Math" w:cs="Arial"/>
                <w:color w:val="000000"/>
              </w:rPr>
              <m:t>κ</m:t>
            </m:r>
          </m:e>
          <m:sub>
            <m:r>
              <w:rPr>
                <w:rFonts w:ascii="Cambria Math" w:hAnsi="Cambria Math" w:cs="Arial"/>
                <w:color w:val="000000"/>
              </w:rPr>
              <m:t>i,t</m:t>
            </m:r>
          </m:sub>
        </m:sSub>
        <m:r>
          <w:rPr>
            <w:rFonts w:ascii="Cambria Math" w:hAnsi="Cambria Math" w:cs="Arial"/>
            <w:color w:val="000000"/>
          </w:rPr>
          <m:t>(</m:t>
        </m:r>
        <m:r>
          <m:rPr>
            <m:nor/>
          </m:rPr>
          <w:rPr>
            <w:rFonts w:ascii="Arial" w:hAnsi="Arial" w:cs="Arial"/>
            <w:i/>
            <w:iCs/>
            <w:color w:val="000000"/>
          </w:rPr>
          <m:t>ND</m:t>
        </m:r>
        <m:r>
          <w:rPr>
            <w:rFonts w:ascii="Cambria Math" w:hAnsi="Cambria Math" w:cs="Arial"/>
            <w:color w:val="000000"/>
          </w:rPr>
          <m:t>,f)</m:t>
        </m:r>
      </m:oMath>
      <w:r w:rsidRPr="001508D0">
        <w:rPr>
          <w:rFonts w:ascii="Arial" w:hAnsi="Arial" w:cs="Arial"/>
          <w:color w:val="000000"/>
        </w:rPr>
        <w:t>.</w:t>
      </w:r>
    </w:p>
    <w:p w14:paraId="4B47927A" w14:textId="2FFD5924" w:rsidR="001508D0" w:rsidRPr="001508D0" w:rsidRDefault="001508D0" w:rsidP="001508D0">
      <w:pPr>
        <w:spacing w:before="100" w:beforeAutospacing="1" w:after="100" w:afterAutospacing="1"/>
        <w:rPr>
          <w:rFonts w:ascii="Arial" w:hAnsi="Arial" w:cs="Arial"/>
          <w:color w:val="000000"/>
        </w:rPr>
      </w:pPr>
      <w:r w:rsidRPr="001508D0">
        <w:rPr>
          <w:rFonts w:ascii="Arial" w:hAnsi="Arial" w:cs="Arial"/>
          <w:color w:val="000000"/>
        </w:rPr>
        <w:t>By contrast, for </w:t>
      </w:r>
      <m:oMath>
        <m:r>
          <w:rPr>
            <w:rFonts w:ascii="Cambria Math" w:hAnsi="Cambria Math" w:cs="Arial"/>
            <w:color w:val="000000"/>
          </w:rPr>
          <m:t>f∈{</m:t>
        </m:r>
        <m:r>
          <m:rPr>
            <m:nor/>
          </m:rPr>
          <w:rPr>
            <w:rFonts w:ascii="Arial" w:hAnsi="Arial" w:cs="Arial"/>
            <w:i/>
            <w:iCs/>
            <w:color w:val="000000"/>
          </w:rPr>
          <m:t>UA</m:t>
        </m:r>
        <m:r>
          <w:rPr>
            <w:rFonts w:ascii="Cambria Math" w:hAnsi="Cambria Math" w:cs="Arial"/>
            <w:color w:val="000000"/>
          </w:rPr>
          <m:t>,</m:t>
        </m:r>
        <m:r>
          <m:rPr>
            <m:nor/>
          </m:rPr>
          <w:rPr>
            <w:rFonts w:ascii="Arial" w:hAnsi="Arial" w:cs="Arial"/>
            <w:i/>
            <w:iCs/>
            <w:color w:val="000000"/>
          </w:rPr>
          <m:t>MOE</m:t>
        </m:r>
        <m:r>
          <w:rPr>
            <w:rFonts w:ascii="Cambria Math" w:hAnsi="Cambria Math" w:cs="Arial"/>
            <w:color w:val="000000"/>
          </w:rPr>
          <m:t>}</m:t>
        </m:r>
      </m:oMath>
      <w:r w:rsidRPr="001508D0">
        <w:rPr>
          <w:rFonts w:ascii="Arial" w:hAnsi="Arial" w:cs="Arial"/>
          <w:color w:val="000000"/>
        </w:rPr>
        <w:t>, feasibility constraints are looser and infrastructure can be expanded through policy coordination and bilateral arrangements. These mechanisms raise </w:t>
      </w:r>
      <m:oMath>
        <m:sSub>
          <m:sSubPr>
            <m:ctrlPr>
              <w:rPr>
                <w:rFonts w:ascii="Cambria Math" w:hAnsi="Cambria Math" w:cs="Arial"/>
                <w:color w:val="000000"/>
              </w:rPr>
            </m:ctrlPr>
          </m:sSubPr>
          <m:e>
            <m:r>
              <w:rPr>
                <w:rFonts w:ascii="Cambria Math" w:hAnsi="Cambria Math" w:cs="Arial"/>
                <w:color w:val="000000"/>
              </w:rPr>
              <m:t>I</m:t>
            </m:r>
          </m:e>
          <m:sub>
            <m:r>
              <w:rPr>
                <w:rFonts w:ascii="Cambria Math" w:hAnsi="Cambria Math" w:cs="Arial"/>
                <w:color w:val="000000"/>
              </w:rPr>
              <m:t>i,t</m:t>
            </m:r>
          </m:sub>
        </m:sSub>
        <m:r>
          <w:rPr>
            <w:rFonts w:ascii="Cambria Math" w:hAnsi="Cambria Math" w:cs="Arial"/>
            <w:color w:val="000000"/>
          </w:rPr>
          <m:t>(</m:t>
        </m:r>
        <m:r>
          <m:rPr>
            <m:nor/>
          </m:rPr>
          <w:rPr>
            <w:rFonts w:ascii="Arial" w:hAnsi="Arial" w:cs="Arial"/>
            <w:i/>
            <w:iCs/>
            <w:color w:val="000000"/>
          </w:rPr>
          <m:t>ND</m:t>
        </m:r>
        <m:r>
          <w:rPr>
            <w:rFonts w:ascii="Cambria Math" w:hAnsi="Cambria Math" w:cs="Arial"/>
            <w:color w:val="000000"/>
          </w:rPr>
          <m:t>,f)</m:t>
        </m:r>
      </m:oMath>
      <w:r w:rsidRPr="001508D0">
        <w:rPr>
          <w:rFonts w:ascii="Arial" w:hAnsi="Arial" w:cs="Arial"/>
          <w:color w:val="000000"/>
        </w:rPr>
        <w:t> at relatively low fixed cost, permitting partial substitution away from the dollar. As a result, the optimal bypass vector is stratified by function rather than uniform across uses.</w:t>
      </w:r>
    </w:p>
    <w:p w14:paraId="0B567CA4"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b/>
          <w:bCs/>
          <w:color w:val="000000"/>
        </w:rPr>
        <w:t>IPE alignment.</w:t>
      </w:r>
      <w:r w:rsidRPr="008F5BCF">
        <w:rPr>
          <w:rFonts w:ascii="Arial" w:hAnsi="Arial" w:cs="Arial"/>
          <w:color w:val="000000"/>
        </w:rPr>
        <w:t> This is infrastructure power: dominance persists where substitutability is technologically/institutionally constrained, not necessarily where coercion is maximal.</w:t>
      </w:r>
    </w:p>
    <w:p w14:paraId="0FF868A3" w14:textId="77777777" w:rsidR="006A0719" w:rsidRPr="008F5BCF" w:rsidRDefault="006A0719" w:rsidP="006A0719">
      <w:pPr>
        <w:spacing w:before="100" w:beforeAutospacing="1" w:after="100" w:afterAutospacing="1"/>
        <w:outlineLvl w:val="2"/>
        <w:rPr>
          <w:rFonts w:ascii="Arial" w:hAnsi="Arial" w:cs="Arial"/>
          <w:b/>
          <w:bCs/>
          <w:color w:val="000000"/>
        </w:rPr>
      </w:pPr>
      <w:r w:rsidRPr="008F5BCF">
        <w:rPr>
          <w:rFonts w:ascii="Arial" w:hAnsi="Arial" w:cs="Arial"/>
          <w:b/>
          <w:bCs/>
          <w:color w:val="000000"/>
        </w:rPr>
        <w:t>Proposition 2 (Nonlinear Exit Cost Under Sudden Stops)</w:t>
      </w:r>
    </w:p>
    <w:p w14:paraId="47D2EC83"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b/>
          <w:bCs/>
          <w:color w:val="000000"/>
        </w:rPr>
        <w:t>Claim.</w:t>
      </w:r>
      <w:r w:rsidRPr="008F5BCF">
        <w:rPr>
          <w:rFonts w:ascii="Arial" w:hAnsi="Arial" w:cs="Arial"/>
          <w:color w:val="000000"/>
        </w:rPr>
        <w:t> Holding fundamentals constant, increasing </w:t>
      </w:r>
      <m:oMath>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oMath>
      <w:r w:rsidRPr="008F5BCF">
        <w:rPr>
          <w:rFonts w:ascii="Arial" w:hAnsi="Arial" w:cs="Arial"/>
          <w:color w:val="000000"/>
        </w:rPr>
        <w:t> raises the probability and severity of sudden-stop output losses in financially shallow economies.</w:t>
      </w:r>
    </w:p>
    <w:p w14:paraId="01C83962" w14:textId="6E188DD1" w:rsidR="006A0719" w:rsidRPr="008F5BCF" w:rsidRDefault="00D352A2" w:rsidP="006A0719">
      <w:pPr>
        <w:spacing w:before="100" w:beforeAutospacing="1" w:after="100" w:afterAutospacing="1"/>
        <w:rPr>
          <w:rFonts w:ascii="Arial" w:hAnsi="Arial" w:cs="Arial"/>
          <w:color w:val="000000"/>
        </w:rPr>
      </w:pPr>
      <w:r>
        <w:rPr>
          <w:rFonts w:ascii="Arial" w:hAnsi="Arial" w:cs="Arial"/>
          <w:b/>
          <w:bCs/>
          <w:color w:val="000000"/>
        </w:rPr>
        <w:t>I</w:t>
      </w:r>
      <w:r w:rsidRPr="001508D0">
        <w:rPr>
          <w:rFonts w:ascii="Arial" w:hAnsi="Arial" w:cs="Arial"/>
          <w:b/>
          <w:bCs/>
          <w:color w:val="000000"/>
        </w:rPr>
        <w:t>ntuition</w:t>
      </w:r>
      <w:r w:rsidRPr="008F5BCF">
        <w:rPr>
          <w:rFonts w:ascii="Arial" w:hAnsi="Arial" w:cs="Arial"/>
          <w:b/>
          <w:bCs/>
          <w:color w:val="000000"/>
        </w:rPr>
        <w:t>.</w:t>
      </w:r>
      <w:r w:rsidRPr="008F5BCF">
        <w:rPr>
          <w:rFonts w:ascii="Arial" w:hAnsi="Arial" w:cs="Arial"/>
          <w:color w:val="000000"/>
        </w:rPr>
        <w:t xml:space="preserve"> </w:t>
      </w:r>
      <w:r w:rsidR="006A0719" w:rsidRPr="008F5BCF">
        <w:rPr>
          <w:rFonts w:ascii="Arial" w:hAnsi="Arial" w:cs="Arial"/>
          <w:color w:val="000000"/>
        </w:rPr>
        <w:t>From </w:t>
      </w:r>
      <m:oMath>
        <m:r>
          <w:rPr>
            <w:rFonts w:ascii="Cambria Math" w:hAnsi="Cambria Math" w:cs="Arial"/>
          </w:rPr>
          <m:t>FXRis</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oMath>
      <w:r w:rsidR="006A0719" w:rsidRPr="008F5BCF">
        <w:rPr>
          <w:rFonts w:ascii="Arial" w:hAnsi="Arial" w:cs="Arial"/>
          <w:color w:val="000000"/>
        </w:rPr>
        <w:t> and </w:t>
      </w:r>
      <m:oMath>
        <m:sSub>
          <m:sSubPr>
            <m:ctrlPr>
              <w:rPr>
                <w:rFonts w:ascii="Cambria Math" w:hAnsi="Cambria Math" w:cs="Arial"/>
              </w:rPr>
            </m:ctrlPr>
          </m:sSubPr>
          <m:e>
            <m:r>
              <w:rPr>
                <w:rFonts w:ascii="Cambria Math" w:hAnsi="Cambria Math" w:cs="Arial"/>
              </w:rPr>
              <m:t>F</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acc>
              <m:accPr>
                <m:chr m:val="ˉ"/>
                <m:ctrlPr>
                  <w:rPr>
                    <w:rFonts w:ascii="Cambria Math" w:hAnsi="Cambria Math" w:cs="Arial"/>
                  </w:rPr>
                </m:ctrlPr>
              </m:accPr>
              <m:e>
                <m:r>
                  <w:rPr>
                    <w:rFonts w:ascii="Cambria Math" w:hAnsi="Cambria Math" w:cs="Arial"/>
                  </w:rPr>
                  <m:t>F</m:t>
                </m:r>
              </m:e>
            </m:acc>
          </m:e>
          <m:sub>
            <m:r>
              <w:rPr>
                <w:rFonts w:ascii="Cambria Math" w:hAnsi="Cambria Math" w:cs="Arial"/>
              </w:rPr>
              <m:t>i</m:t>
            </m:r>
          </m:sub>
        </m:sSub>
        <m:r>
          <w:rPr>
            <w:rFonts w:ascii="Cambria Math" w:hAnsi="Cambria Math" w:cs="Arial"/>
          </w:rPr>
          <m:t>-ψ</m:t>
        </m:r>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r>
          <w:rPr>
            <w:rFonts w:ascii="Cambria Math" w:hAnsi="Cambria Math" w:cs="Arial"/>
          </w:rPr>
          <m:t>-χFXRis</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oMath>
      <w:r w:rsidR="006A0719" w:rsidRPr="008F5BCF">
        <w:rPr>
          <w:rFonts w:ascii="Arial" w:hAnsi="Arial" w:cs="Arial"/>
          <w:color w:val="000000"/>
        </w:rPr>
        <w:t>, we have </w:t>
      </w:r>
      <m:oMath>
        <m:r>
          <m:rPr>
            <m:sty m:val="p"/>
          </m:rP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i,t</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(FA)=-χ</m:t>
        </m:r>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r>
          <w:rPr>
            <w:rFonts w:ascii="Cambria Math" w:hAnsi="Cambria Math" w:cs="Arial"/>
          </w:rPr>
          <m:t>&lt;0</m:t>
        </m:r>
      </m:oMath>
      <w:r w:rsidR="006A0719" w:rsidRPr="008F5BCF">
        <w:rPr>
          <w:rFonts w:ascii="Arial" w:hAnsi="Arial" w:cs="Arial"/>
          <w:color w:val="000000"/>
        </w:rPr>
        <w:t>. With </w:t>
      </w:r>
      <m:oMath>
        <m:sSub>
          <m:sSubPr>
            <m:ctrlPr>
              <w:rPr>
                <w:rFonts w:ascii="Cambria Math" w:hAnsi="Cambria Math" w:cs="Arial"/>
              </w:rPr>
            </m:ctrlPr>
          </m:sSubPr>
          <m:e>
            <m:r>
              <w:rPr>
                <w:rFonts w:ascii="Cambria Math" w:hAnsi="Cambria Math" w:cs="Arial"/>
              </w:rPr>
              <m:t>I</m:t>
            </m:r>
          </m:e>
          <m:sub>
            <m:r>
              <w:rPr>
                <w:rFonts w:ascii="Cambria Math" w:hAnsi="Cambria Math" w:cs="Arial"/>
              </w:rPr>
              <m:t>i,t</m:t>
            </m:r>
          </m:sub>
        </m:sSub>
        <m:r>
          <w:rPr>
            <w:rFonts w:ascii="Cambria Math" w:hAnsi="Cambria Math" w:cs="Arial"/>
          </w:rPr>
          <m:t>=φ</m:t>
        </m:r>
        <m:sSub>
          <m:sSubPr>
            <m:ctrlPr>
              <w:rPr>
                <w:rFonts w:ascii="Cambria Math" w:hAnsi="Cambria Math" w:cs="Arial"/>
              </w:rPr>
            </m:ctrlPr>
          </m:sSubPr>
          <m:e>
            <m:r>
              <w:rPr>
                <w:rFonts w:ascii="Cambria Math" w:hAnsi="Cambria Math" w:cs="Arial"/>
              </w:rPr>
              <m:t>F</m:t>
            </m:r>
          </m:e>
          <m:sub>
            <m:r>
              <w:rPr>
                <w:rFonts w:ascii="Cambria Math" w:hAnsi="Cambria Math" w:cs="Arial"/>
              </w:rPr>
              <m:t>i,t</m:t>
            </m:r>
          </m:sub>
        </m:sSub>
      </m:oMath>
      <w:r w:rsidR="006A0719" w:rsidRPr="008F5BCF">
        <w:rPr>
          <w:rFonts w:ascii="Arial" w:hAnsi="Arial" w:cs="Arial"/>
          <w:color w:val="000000"/>
        </w:rPr>
        <w:t> and </w:t>
      </w:r>
      <m:oMath>
        <m:sSub>
          <m:sSubPr>
            <m:ctrlPr>
              <w:rPr>
                <w:rFonts w:ascii="Cambria Math" w:hAnsi="Cambria Math" w:cs="Arial"/>
              </w:rPr>
            </m:ctrlPr>
          </m:sSubPr>
          <m:e>
            <m:acc>
              <m:accPr>
                <m:chr m:val="̇"/>
                <m:ctrlPr>
                  <w:rPr>
                    <w:rFonts w:ascii="Cambria Math" w:hAnsi="Cambria Math" w:cs="Arial"/>
                  </w:rPr>
                </m:ctrlPr>
              </m:accPr>
              <m:e>
                <m:r>
                  <w:rPr>
                    <w:rFonts w:ascii="Cambria Math" w:hAnsi="Cambria Math" w:cs="Arial"/>
                  </w:rPr>
                  <m:t>K</m:t>
                </m:r>
              </m:e>
            </m:acc>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I</m:t>
            </m:r>
          </m:e>
          <m:sub>
            <m:r>
              <w:rPr>
                <w:rFonts w:ascii="Cambria Math" w:hAnsi="Cambria Math" w:cs="Arial"/>
              </w:rPr>
              <m:t>i,t</m:t>
            </m:r>
          </m:sub>
        </m:sSub>
        <m:r>
          <w:rPr>
            <w:rFonts w:ascii="Cambria Math" w:hAnsi="Cambria Math" w:cs="Arial"/>
          </w:rPr>
          <m:t>-δ</m:t>
        </m:r>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oMath>
      <w:r w:rsidR="006A0719" w:rsidRPr="008F5BCF">
        <w:rPr>
          <w:rFonts w:ascii="Arial" w:hAnsi="Arial" w:cs="Arial"/>
          <w:color w:val="000000"/>
        </w:rPr>
        <w:t>, a reduction in </w:t>
      </w:r>
      <m:oMath>
        <m:sSub>
          <m:sSubPr>
            <m:ctrlPr>
              <w:rPr>
                <w:rFonts w:ascii="Cambria Math" w:hAnsi="Cambria Math" w:cs="Arial"/>
              </w:rPr>
            </m:ctrlPr>
          </m:sSubPr>
          <m:e>
            <m:r>
              <w:rPr>
                <w:rFonts w:ascii="Cambria Math" w:hAnsi="Cambria Math" w:cs="Arial"/>
              </w:rPr>
              <m:t>F</m:t>
            </m:r>
          </m:e>
          <m:sub>
            <m:r>
              <w:rPr>
                <w:rFonts w:ascii="Cambria Math" w:hAnsi="Cambria Math" w:cs="Arial"/>
              </w:rPr>
              <m:t>i,t</m:t>
            </m:r>
          </m:sub>
        </m:sSub>
      </m:oMath>
      <w:r w:rsidR="006A0719" w:rsidRPr="008F5BCF">
        <w:rPr>
          <w:rFonts w:ascii="Arial" w:hAnsi="Arial" w:cs="Arial"/>
          <w:color w:val="000000"/>
        </w:rPr>
        <w:t> lowers </w:t>
      </w:r>
      <m:oMath>
        <m:sSub>
          <m:sSubPr>
            <m:ctrlPr>
              <w:rPr>
                <w:rFonts w:ascii="Cambria Math" w:hAnsi="Cambria Math" w:cs="Arial"/>
              </w:rPr>
            </m:ctrlPr>
          </m:sSubPr>
          <m:e>
            <m:r>
              <w:rPr>
                <w:rFonts w:ascii="Cambria Math" w:hAnsi="Cambria Math" w:cs="Arial"/>
              </w:rPr>
              <m:t>I</m:t>
            </m:r>
          </m:e>
          <m:sub>
            <m:r>
              <w:rPr>
                <w:rFonts w:ascii="Cambria Math" w:hAnsi="Cambria Math" w:cs="Arial"/>
              </w:rPr>
              <m:t>i,t</m:t>
            </m:r>
          </m:sub>
        </m:sSub>
      </m:oMath>
      <w:r w:rsidR="006A0719" w:rsidRPr="008F5BCF">
        <w:rPr>
          <w:rFonts w:ascii="Arial" w:hAnsi="Arial" w:cs="Arial"/>
          <w:color w:val="000000"/>
        </w:rPr>
        <w:t>, hence </w:t>
      </w:r>
      <m:oMath>
        <m:sSub>
          <m:sSubPr>
            <m:ctrlPr>
              <w:rPr>
                <w:rFonts w:ascii="Cambria Math" w:hAnsi="Cambria Math" w:cs="Arial"/>
              </w:rPr>
            </m:ctrlPr>
          </m:sSubPr>
          <m:e>
            <m:r>
              <w:rPr>
                <w:rFonts w:ascii="Cambria Math" w:hAnsi="Cambria Math" w:cs="Arial"/>
              </w:rPr>
              <m:t>K</m:t>
            </m:r>
          </m:e>
          <m:sub>
            <m:r>
              <w:rPr>
                <w:rFonts w:ascii="Cambria Math" w:hAnsi="Cambria Math" w:cs="Arial"/>
              </w:rPr>
              <m:t>i,t</m:t>
            </m:r>
          </m:sub>
        </m:sSub>
      </m:oMath>
      <w:r w:rsidR="006A0719" w:rsidRPr="008F5BCF">
        <w:rPr>
          <w:rFonts w:ascii="Arial" w:hAnsi="Arial" w:cs="Arial"/>
          <w:color w:val="000000"/>
        </w:rPr>
        <w:t> and </w:t>
      </w:r>
      <m:oMath>
        <m:sSub>
          <m:sSubPr>
            <m:ctrlPr>
              <w:rPr>
                <w:rFonts w:ascii="Cambria Math" w:hAnsi="Cambria Math" w:cs="Arial"/>
              </w:rPr>
            </m:ctrlPr>
          </m:sSubPr>
          <m:e>
            <m:r>
              <w:rPr>
                <w:rFonts w:ascii="Cambria Math" w:hAnsi="Cambria Math" w:cs="Arial"/>
              </w:rPr>
              <m:t>Y</m:t>
            </m:r>
          </m:e>
          <m:sub>
            <m:r>
              <w:rPr>
                <w:rFonts w:ascii="Cambria Math" w:hAnsi="Cambria Math" w:cs="Arial"/>
              </w:rPr>
              <m:t>i,t</m:t>
            </m:r>
          </m:sub>
        </m:sSub>
      </m:oMath>
      <w:r w:rsidR="006A0719" w:rsidRPr="008F5BCF">
        <w:rPr>
          <w:rFonts w:ascii="Arial" w:hAnsi="Arial" w:cs="Arial"/>
          <w:color w:val="000000"/>
        </w:rPr>
        <w:t>. Nonlinearity arises because </w:t>
      </w:r>
      <m:oMath>
        <m:sSub>
          <m:sSubPr>
            <m:ctrlPr>
              <w:rPr>
                <w:rFonts w:ascii="Cambria Math" w:hAnsi="Cambria Math" w:cs="Arial"/>
              </w:rPr>
            </m:ctrlPr>
          </m:sSubPr>
          <m:e>
            <m:r>
              <w:rPr>
                <w:rFonts w:ascii="Cambria Math" w:hAnsi="Cambria Math" w:cs="Arial"/>
              </w:rPr>
              <m:t>η</m:t>
            </m:r>
          </m:e>
          <m:sub>
            <m:r>
              <w:rPr>
                <w:rFonts w:ascii="Cambria Math" w:hAnsi="Cambria Math" w:cs="Arial"/>
              </w:rPr>
              <m:t>i</m:t>
            </m:r>
          </m:sub>
        </m:sSub>
      </m:oMath>
      <w:r w:rsidR="006A0719" w:rsidRPr="008F5BCF">
        <w:rPr>
          <w:rFonts w:ascii="Arial" w:hAnsi="Arial" w:cs="Arial"/>
          <w:color w:val="000000"/>
        </w:rPr>
        <w:t> is higher when markets are shallow and hedging is incomplete, and because risk aversion </w:t>
      </w:r>
      <m:oMath>
        <m:sSub>
          <m:sSubPr>
            <m:ctrlPr>
              <w:rPr>
                <w:rFonts w:ascii="Cambria Math" w:hAnsi="Cambria Math" w:cs="Arial"/>
              </w:rPr>
            </m:ctrlPr>
          </m:sSubPr>
          <m:e>
            <m:r>
              <w:rPr>
                <w:rFonts w:ascii="Cambria Math" w:hAnsi="Cambria Math" w:cs="Arial"/>
              </w:rPr>
              <m:t>σ</m:t>
            </m:r>
          </m:e>
          <m:sub>
            <m:r>
              <w:rPr>
                <w:rFonts w:ascii="Cambria Math" w:hAnsi="Cambria Math" w:cs="Arial"/>
              </w:rPr>
              <m:t>t</m:t>
            </m:r>
          </m:sub>
        </m:sSub>
      </m:oMath>
      <w:r w:rsidR="006A0719" w:rsidRPr="008F5BCF">
        <w:rPr>
          <w:rFonts w:ascii="Arial" w:hAnsi="Arial" w:cs="Arial"/>
          <w:color w:val="000000"/>
        </w:rPr>
        <w:t> spikes in crises, making the marginal effect of </w:t>
      </w:r>
      <m:oMath>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(FA)</m:t>
        </m:r>
      </m:oMath>
      <w:r w:rsidR="006A0719" w:rsidRPr="008F5BCF">
        <w:rPr>
          <w:rFonts w:ascii="Arial" w:hAnsi="Arial" w:cs="Arial"/>
          <w:color w:val="000000"/>
        </w:rPr>
        <w:t> largest exactly in bad states. </w:t>
      </w:r>
    </w:p>
    <w:p w14:paraId="794E0544"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b/>
          <w:bCs/>
          <w:color w:val="000000"/>
        </w:rPr>
        <w:t>IPE alignment.</w:t>
      </w:r>
      <w:r w:rsidRPr="008F5BCF">
        <w:rPr>
          <w:rFonts w:ascii="Arial" w:hAnsi="Arial" w:cs="Arial"/>
          <w:color w:val="000000"/>
        </w:rPr>
        <w:t> This shows why “monetary sovereignty” via rapid exit can reduce sovereignty in practice by increasing exposure to global financial cycles—again an infrastructure constraint.</w:t>
      </w:r>
    </w:p>
    <w:p w14:paraId="412D0967" w14:textId="77777777" w:rsidR="006A0719" w:rsidRPr="008F5BCF" w:rsidRDefault="006A0719" w:rsidP="006A0719">
      <w:pPr>
        <w:spacing w:before="100" w:beforeAutospacing="1" w:after="100" w:afterAutospacing="1"/>
        <w:outlineLvl w:val="2"/>
        <w:rPr>
          <w:rFonts w:ascii="Arial" w:hAnsi="Arial" w:cs="Arial"/>
          <w:b/>
          <w:bCs/>
          <w:color w:val="000000"/>
        </w:rPr>
      </w:pPr>
      <w:r w:rsidRPr="008F5BCF">
        <w:rPr>
          <w:rFonts w:ascii="Arial" w:hAnsi="Arial" w:cs="Arial"/>
          <w:b/>
          <w:bCs/>
          <w:color w:val="000000"/>
        </w:rPr>
        <w:t>Proposition 3 (Global Welfare and the Planner’s Interior Solution)</w:t>
      </w:r>
    </w:p>
    <w:p w14:paraId="77CE7D05"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b/>
          <w:bCs/>
          <w:color w:val="000000"/>
        </w:rPr>
        <w:t>Claim.</w:t>
      </w:r>
      <w:r w:rsidRPr="008F5BCF">
        <w:rPr>
          <w:rFonts w:ascii="Arial" w:hAnsi="Arial" w:cs="Arial"/>
          <w:color w:val="000000"/>
        </w:rPr>
        <w:t> In a world with cross-border spillovers from currency fragmentation, a global planner chooses an interior allocation with low bypass in </w:t>
      </w:r>
      <m:oMath>
        <m:d>
          <m:dPr>
            <m:begChr m:val="{"/>
            <m:sepChr m:val=","/>
            <m:endChr m:val="}"/>
            <m:ctrlPr>
              <w:rPr>
                <w:rFonts w:ascii="Cambria Math" w:hAnsi="Cambria Math" w:cs="Arial"/>
              </w:rPr>
            </m:ctrlPr>
          </m:dPr>
          <m:e>
            <m:r>
              <w:rPr>
                <w:rFonts w:ascii="Cambria Math" w:hAnsi="Cambria Math" w:cs="Arial"/>
              </w:rPr>
              <m:t>SOV</m:t>
            </m:r>
          </m:e>
          <m:e>
            <m:r>
              <w:rPr>
                <w:rFonts w:ascii="Cambria Math" w:hAnsi="Cambria Math" w:cs="Arial"/>
              </w:rPr>
              <m:t>FA</m:t>
            </m:r>
          </m:e>
        </m:d>
      </m:oMath>
      <w:r w:rsidRPr="008F5BCF">
        <w:rPr>
          <w:rFonts w:ascii="Arial" w:hAnsi="Arial" w:cs="Arial"/>
          <w:color w:val="000000"/>
        </w:rPr>
        <w:t> for most Global South economies but allows higher bypass in </w:t>
      </w:r>
      <m:oMath>
        <m:d>
          <m:dPr>
            <m:begChr m:val="{"/>
            <m:sepChr m:val=","/>
            <m:endChr m:val="}"/>
            <m:ctrlPr>
              <w:rPr>
                <w:rFonts w:ascii="Cambria Math" w:hAnsi="Cambria Math" w:cs="Arial"/>
              </w:rPr>
            </m:ctrlPr>
          </m:dPr>
          <m:e>
            <m:r>
              <w:rPr>
                <w:rFonts w:ascii="Cambria Math" w:hAnsi="Cambria Math" w:cs="Arial"/>
              </w:rPr>
              <m:t>UA</m:t>
            </m:r>
          </m:e>
          <m:e>
            <m:r>
              <w:rPr>
                <w:rFonts w:ascii="Cambria Math" w:hAnsi="Cambria Math" w:cs="Arial"/>
              </w:rPr>
              <m:t>MOE</m:t>
            </m:r>
          </m:e>
        </m:d>
      </m:oMath>
      <w:r w:rsidRPr="008F5BCF">
        <w:rPr>
          <w:rFonts w:ascii="Arial" w:hAnsi="Arial" w:cs="Arial"/>
          <w:color w:val="000000"/>
        </w:rPr>
        <w:t>.</w:t>
      </w:r>
    </w:p>
    <w:p w14:paraId="479F2965" w14:textId="6AF65BA6" w:rsidR="006A0719" w:rsidRPr="008F5BCF" w:rsidRDefault="00D352A2" w:rsidP="006A0719">
      <w:pPr>
        <w:spacing w:before="100" w:beforeAutospacing="1" w:after="100" w:afterAutospacing="1"/>
        <w:rPr>
          <w:rFonts w:ascii="Arial" w:hAnsi="Arial" w:cs="Arial"/>
          <w:color w:val="000000"/>
        </w:rPr>
      </w:pPr>
      <w:r>
        <w:rPr>
          <w:rFonts w:ascii="Arial" w:hAnsi="Arial" w:cs="Arial"/>
          <w:b/>
          <w:bCs/>
          <w:color w:val="000000"/>
        </w:rPr>
        <w:t>I</w:t>
      </w:r>
      <w:r w:rsidRPr="001508D0">
        <w:rPr>
          <w:rFonts w:ascii="Arial" w:hAnsi="Arial" w:cs="Arial"/>
          <w:b/>
          <w:bCs/>
          <w:color w:val="000000"/>
        </w:rPr>
        <w:t>ntuition</w:t>
      </w:r>
      <w:r w:rsidRPr="008F5BCF">
        <w:rPr>
          <w:rFonts w:ascii="Arial" w:hAnsi="Arial" w:cs="Arial"/>
          <w:b/>
          <w:bCs/>
          <w:color w:val="000000"/>
        </w:rPr>
        <w:t>.</w:t>
      </w:r>
      <w:r w:rsidRPr="008F5BCF">
        <w:rPr>
          <w:rFonts w:ascii="Arial" w:hAnsi="Arial" w:cs="Arial"/>
          <w:color w:val="000000"/>
        </w:rPr>
        <w:t xml:space="preserve"> </w:t>
      </w:r>
      <w:r w:rsidR="006A0719" w:rsidRPr="008F5BCF">
        <w:rPr>
          <w:rFonts w:ascii="Arial" w:hAnsi="Arial" w:cs="Arial"/>
          <w:color w:val="000000"/>
        </w:rPr>
        <w:t>Let global welfare be </w:t>
      </w:r>
      <m:oMath>
        <m:sSub>
          <m:sSubPr>
            <m:ctrlPr>
              <w:rPr>
                <w:rFonts w:ascii="Cambria Math" w:hAnsi="Cambria Math" w:cs="Arial"/>
              </w:rPr>
            </m:ctrlPr>
          </m:sSubPr>
          <m:e>
            <m:r>
              <w:rPr>
                <w:rFonts w:ascii="Cambria Math" w:hAnsi="Cambria Math" w:cs="Arial"/>
              </w:rPr>
              <m:t>W</m:t>
            </m:r>
          </m:e>
          <m:sub>
            <m:r>
              <w:rPr>
                <w:rFonts w:ascii="Cambria Math" w:hAnsi="Cambria Math" w:cs="Arial"/>
              </w:rPr>
              <m:t>t</m:t>
            </m:r>
          </m:sub>
        </m:sSub>
        <m:r>
          <w:rPr>
            <w:rFonts w:ascii="Cambria Math" w:hAnsi="Cambria Math" w:cs="Arial"/>
          </w:rPr>
          <m:t>=</m:t>
        </m:r>
        <m:nary>
          <m:naryPr>
            <m:chr m:val="∑"/>
            <m:limLoc m:val="subSup"/>
            <m:grow m:val="1"/>
            <m:supHide m:val="1"/>
            <m:ctrlPr>
              <w:rPr>
                <w:rFonts w:ascii="Cambria Math" w:hAnsi="Cambria Math" w:cs="Arial"/>
              </w:rPr>
            </m:ctrlPr>
          </m:naryPr>
          <m:sub>
            <m:r>
              <w:rPr>
                <w:rFonts w:ascii="Cambria Math" w:hAnsi="Cambria Math" w:cs="Arial"/>
              </w:rPr>
              <m:t>i</m:t>
            </m:r>
          </m:sub>
          <m:sup/>
          <m:e>
            <m:sSub>
              <m:sSubPr>
                <m:ctrlPr>
                  <w:rPr>
                    <w:rFonts w:ascii="Cambria Math" w:hAnsi="Cambria Math" w:cs="Arial"/>
                  </w:rPr>
                </m:ctrlPr>
              </m:sSubPr>
              <m:e>
                <m:r>
                  <w:rPr>
                    <w:rFonts w:ascii="Cambria Math" w:hAnsi="Cambria Math" w:cs="Arial"/>
                  </w:rPr>
                  <m:t>λ</m:t>
                </m:r>
              </m:e>
              <m:sub>
                <m:r>
                  <w:rPr>
                    <w:rFonts w:ascii="Cambria Math" w:hAnsi="Cambria Math" w:cs="Arial"/>
                  </w:rPr>
                  <m:t>i</m:t>
                </m:r>
              </m:sub>
            </m:sSub>
          </m:e>
        </m:nary>
        <m:sSub>
          <m:sSubPr>
            <m:ctrlPr>
              <w:rPr>
                <w:rFonts w:ascii="Cambria Math" w:hAnsi="Cambria Math" w:cs="Arial"/>
              </w:rPr>
            </m:ctrlPr>
          </m:sSubPr>
          <m:e>
            <m:r>
              <w:rPr>
                <w:rFonts w:ascii="Cambria Math" w:hAnsi="Cambria Math" w:cs="Arial"/>
              </w:rPr>
              <m:t>U</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i,t</m:t>
            </m:r>
          </m:sub>
        </m:sSub>
        <m:r>
          <w:rPr>
            <w:rFonts w:ascii="Cambria Math" w:hAnsi="Cambria Math" w:cs="Arial"/>
          </w:rPr>
          <m:t>,</m:t>
        </m:r>
        <m:r>
          <m:rPr>
            <m:sty m:val="p"/>
          </m:rPr>
          <w:rPr>
            <w:rFonts w:ascii="Cambria Math" w:hAnsi="Cambria Math" w:cs="Arial"/>
          </w:rPr>
          <m:t>Var</m:t>
        </m:r>
        <m:r>
          <w:rPr>
            <w:rFonts w:ascii="Cambria Math" w:hAnsi="Cambria Math" w:cs="Arial"/>
          </w:rPr>
          <m:t>(N</m:t>
        </m:r>
        <m:sSub>
          <m:sSubPr>
            <m:ctrlPr>
              <w:rPr>
                <w:rFonts w:ascii="Cambria Math" w:hAnsi="Cambria Math" w:cs="Arial"/>
              </w:rPr>
            </m:ctrlPr>
          </m:sSubPr>
          <m:e>
            <m:r>
              <w:rPr>
                <w:rFonts w:ascii="Cambria Math" w:hAnsi="Cambria Math" w:cs="Arial"/>
              </w:rPr>
              <m:t>W</m:t>
            </m:r>
          </m:e>
          <m:sub>
            <m:r>
              <w:rPr>
                <w:rFonts w:ascii="Cambria Math" w:hAnsi="Cambria Math" w:cs="Arial"/>
              </w:rPr>
              <m:t>i,t</m:t>
            </m:r>
          </m:sub>
        </m:sSub>
        <m:r>
          <w:rPr>
            <w:rFonts w:ascii="Cambria Math" w:hAnsi="Cambria Math" w:cs="Arial"/>
          </w:rPr>
          <m:t>))</m:t>
        </m:r>
      </m:oMath>
      <w:r w:rsidR="006A0719" w:rsidRPr="008F5BCF">
        <w:rPr>
          <w:rFonts w:ascii="Arial" w:hAnsi="Arial" w:cs="Arial"/>
          <w:color w:val="000000"/>
        </w:rPr>
        <w:t> with </w:t>
      </w:r>
      <m:oMath>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i,t</m:t>
            </m:r>
          </m:sub>
        </m:sSub>
        <m:r>
          <w:rPr>
            <w:rFonts w:ascii="Cambria Math" w:hAnsi="Cambria Math" w:cs="Arial"/>
          </w:rPr>
          <m:t>=</m:t>
        </m:r>
        <m:nary>
          <m:naryPr>
            <m:chr m:val="∑"/>
            <m:limLoc m:val="subSup"/>
            <m:grow m:val="1"/>
            <m:supHide m:val="1"/>
            <m:ctrlPr>
              <w:rPr>
                <w:rFonts w:ascii="Cambria Math" w:hAnsi="Cambria Math" w:cs="Arial"/>
              </w:rPr>
            </m:ctrlPr>
          </m:naryPr>
          <m:sub>
            <m:r>
              <w:rPr>
                <w:rFonts w:ascii="Cambria Math" w:hAnsi="Cambria Math" w:cs="Arial"/>
              </w:rPr>
              <m:t>f</m:t>
            </m:r>
          </m:sub>
          <m:sup/>
          <m:e>
            <m:sSub>
              <m:sSubPr>
                <m:ctrlPr>
                  <w:rPr>
                    <w:rFonts w:ascii="Cambria Math" w:hAnsi="Cambria Math" w:cs="Arial"/>
                  </w:rPr>
                </m:ctrlPr>
              </m:sSubPr>
              <m:e>
                <m:r>
                  <w:rPr>
                    <w:rFonts w:ascii="Cambria Math" w:hAnsi="Cambria Math" w:cs="Arial"/>
                  </w:rPr>
                  <m:t>ω</m:t>
                </m:r>
              </m:e>
              <m:sub>
                <m:r>
                  <w:rPr>
                    <w:rFonts w:ascii="Cambria Math" w:hAnsi="Cambria Math" w:cs="Arial"/>
                  </w:rPr>
                  <m:t>f</m:t>
                </m:r>
              </m:sub>
            </m:sSub>
          </m:e>
        </m:nary>
        <m:sSub>
          <m:sSubPr>
            <m:ctrlPr>
              <w:rPr>
                <w:rFonts w:ascii="Cambria Math" w:hAnsi="Cambria Math" w:cs="Arial"/>
              </w:rPr>
            </m:ctrlPr>
          </m:sSubPr>
          <m:e>
            <m:r>
              <w:rPr>
                <w:rFonts w:ascii="Cambria Math" w:hAnsi="Cambria Math" w:cs="Arial"/>
              </w:rPr>
              <m:t>I</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f</m:t>
            </m:r>
          </m:sub>
        </m:sSub>
        <m:r>
          <w:rPr>
            <w:rFonts w:ascii="Cambria Math" w:hAnsi="Cambria Math" w:cs="Arial"/>
          </w:rPr>
          <m:t>,f)</m:t>
        </m:r>
      </m:oMath>
      <w:r w:rsidR="006A0719" w:rsidRPr="008F5BCF">
        <w:rPr>
          <w:rFonts w:ascii="Arial" w:hAnsi="Arial" w:cs="Arial"/>
          <w:color w:val="000000"/>
        </w:rPr>
        <w:t>. The FOC w.r.t. </w:t>
      </w:r>
      <m:oMath>
        <m:sSub>
          <m:sSubPr>
            <m:ctrlPr>
              <w:rPr>
                <w:rFonts w:ascii="Cambria Math" w:hAnsi="Cambria Math" w:cs="Arial"/>
              </w:rPr>
            </m:ctrlPr>
          </m:sSubPr>
          <m:e>
            <m:r>
              <w:rPr>
                <w:rFonts w:ascii="Cambria Math" w:hAnsi="Cambria Math" w:cs="Arial"/>
              </w:rPr>
              <m:t>B</m:t>
            </m:r>
          </m:e>
          <m:sub>
            <m:r>
              <w:rPr>
                <w:rFonts w:ascii="Cambria Math" w:hAnsi="Cambria Math" w:cs="Arial"/>
              </w:rPr>
              <m:t>i,t</m:t>
            </m:r>
          </m:sub>
        </m:sSub>
        <m:r>
          <w:rPr>
            <w:rFonts w:ascii="Cambria Math" w:hAnsi="Cambria Math" w:cs="Arial"/>
          </w:rPr>
          <m:t>(f)</m:t>
        </m:r>
      </m:oMath>
      <w:r w:rsidR="006A0719" w:rsidRPr="008F5BCF">
        <w:rPr>
          <w:rFonts w:ascii="Arial" w:hAnsi="Arial" w:cs="Arial"/>
          <w:color w:val="000000"/>
        </w:rPr>
        <w:t> is:</w:t>
      </w:r>
    </w:p>
    <w:p w14:paraId="4003D5D8" w14:textId="77777777" w:rsidR="006A0719" w:rsidRPr="008F5BCF" w:rsidRDefault="00C96DFF" w:rsidP="006A0719">
      <w:pPr>
        <w:rPr>
          <w:rFonts w:ascii="Arial" w:hAnsi="Arial" w:cs="Arial"/>
        </w:rPr>
      </w:pPr>
      <m:oMathPara>
        <m:oMath>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den>
          </m:f>
          <m:r>
            <w:rPr>
              <w:rFonts w:ascii="Cambria Math" w:hAnsi="Cambria Math" w:cs="Arial"/>
            </w:rPr>
            <m:t>=</m:t>
          </m:r>
          <m:sSub>
            <m:sSubPr>
              <m:ctrlPr>
                <w:rPr>
                  <w:rFonts w:ascii="Cambria Math" w:hAnsi="Cambria Math" w:cs="Arial"/>
                </w:rPr>
              </m:ctrlPr>
            </m:sSubPr>
            <m:e>
              <m:r>
                <w:rPr>
                  <w:rFonts w:ascii="Cambria Math" w:hAnsi="Cambria Math" w:cs="Arial"/>
                </w:rPr>
                <m:t>λ</m:t>
              </m:r>
            </m:e>
            <m:sub>
              <m:r>
                <w:rPr>
                  <w:rFonts w:ascii="Cambria Math" w:hAnsi="Cambria Math" w:cs="Arial"/>
                </w:rPr>
                <m:t>i</m:t>
              </m:r>
            </m:sub>
          </m:sSub>
          <m:r>
            <w:rPr>
              <w:rFonts w:ascii="Cambria Math" w:hAnsi="Cambria Math" w:cs="Arial"/>
            </w:rPr>
            <m:t>(</m:t>
          </m:r>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i</m:t>
                  </m:r>
                </m:sub>
              </m:sSub>
            </m:num>
            <m:den>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m:t>
                  </m:r>
                  <m:r>
                    <w:rPr>
                      <w:rFonts w:ascii="Cambria Math" w:hAnsi="Cambria Math" w:cs="Arial"/>
                    </w:rPr>
                    <m:t>,</m:t>
                  </m:r>
                  <m:r>
                    <w:rPr>
                      <w:rFonts w:ascii="Cambria Math" w:hAnsi="Cambria Math" w:cs="Arial"/>
                    </w:rPr>
                    <m:t>t</m:t>
                  </m:r>
                </m:sub>
              </m:sSub>
            </m:den>
          </m:f>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Φ</m:t>
                  </m:r>
                </m:e>
                <m:sub>
                  <m:r>
                    <w:rPr>
                      <w:rFonts w:ascii="Cambria Math" w:hAnsi="Cambria Math" w:cs="Arial"/>
                    </w:rPr>
                    <m:t>i</m:t>
                  </m:r>
                  <m:r>
                    <w:rPr>
                      <w:rFonts w:ascii="Cambria Math" w:hAnsi="Cambria Math" w:cs="Arial"/>
                    </w:rPr>
                    <m:t>,</m:t>
                  </m:r>
                  <m:r>
                    <w:rPr>
                      <w:rFonts w:ascii="Cambria Math" w:hAnsi="Cambria Math" w:cs="Arial"/>
                    </w:rPr>
                    <m:t>t</m:t>
                  </m:r>
                </m:sub>
              </m:sSub>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den>
          </m:f>
          <m:r>
            <w:rPr>
              <w:rFonts w:ascii="Cambria Math" w:hAnsi="Cambria Math" w:cs="Arial"/>
            </w:rPr>
            <m:t>+</m:t>
          </m:r>
          <m:f>
            <m:fPr>
              <m:ctrlPr>
                <w:rPr>
                  <w:rFonts w:ascii="Cambria Math" w:hAnsi="Cambria Math" w:cs="Arial"/>
                </w:rPr>
              </m:ctrlPr>
            </m:fPr>
            <m:num>
              <m:r>
                <m:rPr>
                  <m:sty m:val="p"/>
                </m:rP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i</m:t>
                  </m:r>
                </m:sub>
              </m:sSub>
            </m:num>
            <m:den>
              <m:r>
                <m:rPr>
                  <m:sty m:val="p"/>
                </m:rPr>
                <w:rPr>
                  <w:rFonts w:ascii="Cambria Math" w:hAnsi="Cambria Math" w:cs="Arial"/>
                </w:rPr>
                <m:t>∂Var</m:t>
              </m:r>
              <m:r>
                <w:rPr>
                  <w:rFonts w:ascii="Cambria Math" w:hAnsi="Cambria Math" w:cs="Arial"/>
                </w:rPr>
                <m:t>(</m:t>
              </m:r>
              <m:r>
                <w:rPr>
                  <w:rFonts w:ascii="Cambria Math" w:hAnsi="Cambria Math" w:cs="Arial"/>
                </w:rPr>
                <m:t>N</m:t>
              </m:r>
              <m:sSub>
                <m:sSubPr>
                  <m:ctrlPr>
                    <w:rPr>
                      <w:rFonts w:ascii="Cambria Math" w:hAnsi="Cambria Math" w:cs="Arial"/>
                    </w:rPr>
                  </m:ctrlPr>
                </m:sSubPr>
                <m:e>
                  <m:r>
                    <w:rPr>
                      <w:rFonts w:ascii="Cambria Math" w:hAnsi="Cambria Math" w:cs="Arial"/>
                    </w:rPr>
                    <m:t>W</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den>
          </m:f>
          <m:f>
            <m:fPr>
              <m:ctrlPr>
                <w:rPr>
                  <w:rFonts w:ascii="Cambria Math" w:hAnsi="Cambria Math" w:cs="Arial"/>
                </w:rPr>
              </m:ctrlPr>
            </m:fPr>
            <m:num>
              <m:r>
                <m:rPr>
                  <m:sty m:val="p"/>
                </m:rPr>
                <w:rPr>
                  <w:rFonts w:ascii="Cambria Math" w:hAnsi="Cambria Math" w:cs="Arial"/>
                </w:rPr>
                <m:t>∂Var</m:t>
              </m:r>
              <m:r>
                <w:rPr>
                  <w:rFonts w:ascii="Cambria Math" w:hAnsi="Cambria Math" w:cs="Arial"/>
                </w:rPr>
                <m:t>(</m:t>
              </m:r>
              <m:r>
                <w:rPr>
                  <w:rFonts w:ascii="Cambria Math" w:hAnsi="Cambria Math" w:cs="Arial"/>
                </w:rPr>
                <m:t>N</m:t>
              </m:r>
              <m:sSub>
                <m:sSubPr>
                  <m:ctrlPr>
                    <w:rPr>
                      <w:rFonts w:ascii="Cambria Math" w:hAnsi="Cambria Math" w:cs="Arial"/>
                    </w:rPr>
                  </m:ctrlPr>
                </m:sSubPr>
                <m:e>
                  <m:r>
                    <w:rPr>
                      <w:rFonts w:ascii="Cambria Math" w:hAnsi="Cambria Math" w:cs="Arial"/>
                    </w:rPr>
                    <m:t>W</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num>
            <m:den>
              <m:r>
                <m:rPr>
                  <m:sty m:val="p"/>
                </m:rP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r>
                    <w:rPr>
                      <w:rFonts w:ascii="Cambria Math" w:hAnsi="Cambria Math" w:cs="Arial"/>
                    </w:rPr>
                    <m:t>,</m:t>
                  </m:r>
                  <m:r>
                    <w:rPr>
                      <w:rFonts w:ascii="Cambria Math" w:hAnsi="Cambria Math" w:cs="Arial"/>
                    </w:rPr>
                    <m:t>t</m:t>
                  </m:r>
                </m:sub>
              </m:sSub>
              <m:r>
                <w:rPr>
                  <w:rFonts w:ascii="Cambria Math" w:hAnsi="Cambria Math" w:cs="Arial"/>
                </w:rPr>
                <m:t>(</m:t>
              </m:r>
              <m:r>
                <w:rPr>
                  <w:rFonts w:ascii="Cambria Math" w:hAnsi="Cambria Math" w:cs="Arial"/>
                </w:rPr>
                <m:t>f</m:t>
              </m:r>
              <m:r>
                <w:rPr>
                  <w:rFonts w:ascii="Cambria Math" w:hAnsi="Cambria Math" w:cs="Arial"/>
                </w:rPr>
                <m:t>)</m:t>
              </m:r>
            </m:den>
          </m:f>
          <m:r>
            <w:rPr>
              <w:rFonts w:ascii="Cambria Math" w:hAnsi="Cambria Math" w:cs="Arial"/>
            </w:rPr>
            <m:t>)</m:t>
          </m:r>
          <m:r>
            <m:rPr>
              <m:sty m:val="p"/>
            </m:rPr>
            <w:rPr>
              <w:rFonts w:ascii="Cambria Math" w:hAnsi="Cambria Math" w:cs="Arial"/>
            </w:rPr>
            <w:br/>
          </m:r>
        </m:oMath>
      </m:oMathPara>
    </w:p>
    <w:p w14:paraId="6E2F8440" w14:textId="77777777" w:rsidR="006A0719" w:rsidRPr="008F5BCF" w:rsidRDefault="006A0719" w:rsidP="006A0719">
      <w:pPr>
        <w:spacing w:before="100" w:beforeAutospacing="1" w:after="100" w:afterAutospacing="1"/>
        <w:rPr>
          <w:rFonts w:ascii="Arial" w:hAnsi="Arial" w:cs="Arial"/>
          <w:color w:val="000000"/>
        </w:rPr>
      </w:pPr>
      <w:r w:rsidRPr="008F5BCF">
        <w:rPr>
          <w:rFonts w:ascii="Arial" w:hAnsi="Arial" w:cs="Arial"/>
          <w:color w:val="000000"/>
        </w:rPr>
        <w:t>For </w:t>
      </w:r>
      <m:oMath>
        <m:r>
          <w:rPr>
            <w:rFonts w:ascii="Cambria Math" w:hAnsi="Cambria Math" w:cs="Arial"/>
          </w:rPr>
          <m:t>f∈{SOV,FA}</m:t>
        </m:r>
      </m:oMath>
      <w:r w:rsidRPr="008F5BCF">
        <w:rPr>
          <w:rFonts w:ascii="Arial" w:hAnsi="Arial" w:cs="Arial"/>
          <w:color w:val="000000"/>
        </w:rPr>
        <w:t> in shallow markets, </w:t>
      </w:r>
      <m:oMath>
        <m:r>
          <m:rPr>
            <m:sty m:val="p"/>
          </m:rPr>
          <w:rPr>
            <w:rFonts w:ascii="Cambria Math" w:hAnsi="Cambria Math" w:cs="Arial"/>
          </w:rPr>
          <m:t>∂Var</m:t>
        </m:r>
        <m:r>
          <w:rPr>
            <w:rFonts w:ascii="Cambria Math" w:hAnsi="Cambria Math" w:cs="Arial"/>
          </w:rPr>
          <m:t>(NW)</m:t>
        </m:r>
        <m:r>
          <m:rPr>
            <m:sty m:val="p"/>
          </m:rPr>
          <w:rPr>
            <w:rFonts w:ascii="Cambria Math" w:hAnsi="Cambria Math" w:cs="Arial"/>
          </w:rPr>
          <m:t>/∂</m:t>
        </m:r>
        <m:r>
          <w:rPr>
            <w:rFonts w:ascii="Cambria Math" w:hAnsi="Cambria Math" w:cs="Arial"/>
          </w:rPr>
          <m:t>B</m:t>
        </m:r>
      </m:oMath>
      <w:r w:rsidRPr="008F5BCF">
        <w:rPr>
          <w:rFonts w:ascii="Arial" w:hAnsi="Arial" w:cs="Arial"/>
          <w:color w:val="000000"/>
        </w:rPr>
        <w:t> is large and positive, while </w:t>
      </w:r>
      <m:oMath>
        <m:r>
          <m:rPr>
            <m:sty m:val="p"/>
          </m:rPr>
          <w:rPr>
            <w:rFonts w:ascii="Cambria Math" w:hAnsi="Cambria Math" w:cs="Arial"/>
          </w:rPr>
          <m:t>∂Φ/∂</m:t>
        </m:r>
        <m:r>
          <w:rPr>
            <w:rFonts w:ascii="Cambria Math" w:hAnsi="Cambria Math" w:cs="Arial"/>
          </w:rPr>
          <m:t>B</m:t>
        </m:r>
      </m:oMath>
      <w:r w:rsidRPr="008F5BCF">
        <w:rPr>
          <w:rFonts w:ascii="Arial" w:hAnsi="Arial" w:cs="Arial"/>
          <w:color w:val="000000"/>
        </w:rPr>
        <w:t xml:space="preserve"> is weakly positive unless infrastructure is replaced. Hence the second term dominates and the </w:t>
      </w:r>
      <w:r w:rsidRPr="008F5BCF">
        <w:rPr>
          <w:rFonts w:ascii="Arial" w:hAnsi="Arial" w:cs="Arial"/>
          <w:color w:val="000000"/>
        </w:rPr>
        <w:lastRenderedPageBreak/>
        <w:t>optimum sets low bypass. For </w:t>
      </w:r>
      <m:oMath>
        <m:r>
          <w:rPr>
            <w:rFonts w:ascii="Cambria Math" w:hAnsi="Cambria Math" w:cs="Arial"/>
          </w:rPr>
          <m:t>f∈{UA,MOE}</m:t>
        </m:r>
      </m:oMath>
      <w:r w:rsidRPr="008F5BCF">
        <w:rPr>
          <w:rFonts w:ascii="Arial" w:hAnsi="Arial" w:cs="Arial"/>
          <w:color w:val="000000"/>
        </w:rPr>
        <w:t>, </w:t>
      </w:r>
      <m:oMath>
        <m:r>
          <m:rPr>
            <m:sty m:val="p"/>
          </m:rPr>
          <w:rPr>
            <w:rFonts w:ascii="Cambria Math" w:hAnsi="Cambria Math" w:cs="Arial"/>
          </w:rPr>
          <m:t>∂Var</m:t>
        </m:r>
        <m:r>
          <w:rPr>
            <w:rFonts w:ascii="Cambria Math" w:hAnsi="Cambria Math" w:cs="Arial"/>
          </w:rPr>
          <m:t>(NW)</m:t>
        </m:r>
        <m:r>
          <m:rPr>
            <m:sty m:val="p"/>
          </m:rPr>
          <w:rPr>
            <w:rFonts w:ascii="Cambria Math" w:hAnsi="Cambria Math" w:cs="Arial"/>
          </w:rPr>
          <m:t>/∂</m:t>
        </m:r>
        <m:r>
          <w:rPr>
            <w:rFonts w:ascii="Cambria Math" w:hAnsi="Cambria Math" w:cs="Arial"/>
          </w:rPr>
          <m:t>B</m:t>
        </m:r>
      </m:oMath>
      <w:r w:rsidRPr="008F5BCF">
        <w:rPr>
          <w:rFonts w:ascii="Arial" w:hAnsi="Arial" w:cs="Arial"/>
          <w:color w:val="000000"/>
        </w:rPr>
        <w:t> is smaller and </w:t>
      </w:r>
      <m:oMath>
        <m:r>
          <m:rPr>
            <m:sty m:val="p"/>
          </m:rPr>
          <w:rPr>
            <w:rFonts w:ascii="Cambria Math" w:hAnsi="Cambria Math" w:cs="Arial"/>
          </w:rPr>
          <m:t>∂Φ/∂</m:t>
        </m:r>
        <m:r>
          <w:rPr>
            <w:rFonts w:ascii="Cambria Math" w:hAnsi="Cambria Math" w:cs="Arial"/>
          </w:rPr>
          <m:t>B</m:t>
        </m:r>
      </m:oMath>
      <w:r w:rsidRPr="008F5BCF">
        <w:rPr>
          <w:rFonts w:ascii="Arial" w:hAnsi="Arial" w:cs="Arial"/>
          <w:color w:val="000000"/>
        </w:rPr>
        <w:t> can be positive if regional rails reduce costs, so higher bypass can be optimal. </w:t>
      </w:r>
    </w:p>
    <w:p w14:paraId="5F0A03B3" w14:textId="24858DFC" w:rsidR="006A0719" w:rsidRPr="008F5BCF" w:rsidRDefault="006A0719" w:rsidP="00D97B3C">
      <w:pPr>
        <w:spacing w:before="100" w:beforeAutospacing="1" w:after="100" w:afterAutospacing="1"/>
        <w:rPr>
          <w:rFonts w:ascii="Arial" w:hAnsi="Arial" w:cs="Arial"/>
          <w:color w:val="000000"/>
        </w:rPr>
        <w:sectPr w:rsidR="006A0719" w:rsidRPr="008F5BCF" w:rsidSect="00BF68CD">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r w:rsidRPr="008F5BCF">
        <w:rPr>
          <w:rFonts w:ascii="Arial" w:hAnsi="Arial" w:cs="Arial"/>
          <w:b/>
          <w:bCs/>
          <w:color w:val="000000"/>
        </w:rPr>
        <w:t>IPE alignment.</w:t>
      </w:r>
      <w:r w:rsidRPr="008F5BCF">
        <w:rPr>
          <w:rFonts w:ascii="Arial" w:hAnsi="Arial" w:cs="Arial"/>
          <w:color w:val="000000"/>
        </w:rPr>
        <w:t> This formally links hegemony vs infrastructure power: even without coercion, the planner preserves dollar infrastructure in functions where fragmentation creates systemic risk.</w:t>
      </w:r>
    </w:p>
    <w:p w14:paraId="77E94E56" w14:textId="77777777" w:rsidR="006A0719" w:rsidRPr="008F5BCF" w:rsidRDefault="006A0719" w:rsidP="00441B6F">
      <w:pPr>
        <w:rPr>
          <w:rFonts w:ascii="Arial" w:hAnsi="Arial" w:cs="Arial"/>
        </w:rPr>
      </w:pPr>
    </w:p>
    <w:sectPr w:rsidR="006A0719" w:rsidRPr="008F5BCF" w:rsidSect="00BF68C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4A44D" w14:textId="77777777" w:rsidR="00C96DFF" w:rsidRDefault="00C96DFF" w:rsidP="00C37E61">
      <w:r>
        <w:separator/>
      </w:r>
    </w:p>
  </w:endnote>
  <w:endnote w:type="continuationSeparator" w:id="0">
    <w:p w14:paraId="714E3C0A" w14:textId="77777777" w:rsidR="00C96DFF" w:rsidRDefault="00C96D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0390093"/>
      <w:docPartObj>
        <w:docPartGallery w:val="Page Numbers (Bottom of Page)"/>
        <w:docPartUnique/>
      </w:docPartObj>
    </w:sdtPr>
    <w:sdtEndPr>
      <w:rPr>
        <w:rStyle w:val="PageNumber"/>
      </w:rPr>
    </w:sdtEndPr>
    <w:sdtContent>
      <w:p w14:paraId="1C5DC101" w14:textId="54B415EE" w:rsidR="00630788" w:rsidRDefault="00630788" w:rsidP="00A84D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572F7" w14:textId="77777777" w:rsidR="00BF121F" w:rsidRDefault="00BF121F" w:rsidP="006307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7D46" w14:textId="77777777" w:rsidR="002019A0" w:rsidRDefault="00201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AB84" w14:textId="42B518AF" w:rsidR="00754C9A" w:rsidRPr="00BF68CD" w:rsidRDefault="00754C9A" w:rsidP="00BF68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6920386"/>
      <w:docPartObj>
        <w:docPartGallery w:val="Page Numbers (Bottom of Page)"/>
        <w:docPartUnique/>
      </w:docPartObj>
    </w:sdtPr>
    <w:sdtEndPr>
      <w:rPr>
        <w:rStyle w:val="PageNumber"/>
      </w:rPr>
    </w:sdtEndPr>
    <w:sdtContent>
      <w:p w14:paraId="0D136E26" w14:textId="2E5CBD44" w:rsidR="00630788" w:rsidRDefault="00630788" w:rsidP="00A84D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1CF94466" w14:textId="77777777" w:rsidR="006A0719" w:rsidRPr="00C37E61" w:rsidRDefault="006A0719" w:rsidP="006307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6B94A" w14:textId="77777777" w:rsidR="00C96DFF" w:rsidRDefault="00C96DFF" w:rsidP="00C37E61">
      <w:r>
        <w:separator/>
      </w:r>
    </w:p>
  </w:footnote>
  <w:footnote w:type="continuationSeparator" w:id="0">
    <w:p w14:paraId="4783B656" w14:textId="77777777" w:rsidR="00C96DFF" w:rsidRDefault="00C96D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9AB5" w14:textId="613720D4" w:rsidR="002019A0" w:rsidRDefault="002019A0">
    <w:pPr>
      <w:pStyle w:val="Header"/>
    </w:pPr>
    <w:r>
      <w:rPr>
        <w:noProof/>
      </w:rPr>
      <w:pict w14:anchorId="2728B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532FA" w14:textId="1ADFE445" w:rsidR="002019A0" w:rsidRDefault="002019A0">
    <w:pPr>
      <w:pStyle w:val="Header"/>
    </w:pPr>
    <w:r>
      <w:rPr>
        <w:noProof/>
      </w:rPr>
      <w:pict w14:anchorId="06F25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CF310" w14:textId="4015E587" w:rsidR="00296529" w:rsidRPr="00296529" w:rsidRDefault="002019A0" w:rsidP="00296529">
    <w:pPr>
      <w:ind w:left="2160"/>
      <w:jc w:val="center"/>
      <w:rPr>
        <w:rFonts w:ascii="Times New Roman" w:eastAsia="Calibri" w:hAnsi="Times New Roman"/>
        <w:i/>
        <w:sz w:val="18"/>
        <w:szCs w:val="22"/>
      </w:rPr>
    </w:pPr>
    <w:r>
      <w:rPr>
        <w:noProof/>
      </w:rPr>
      <w:pict w14:anchorId="6C4F7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F570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DD2D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1979C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6258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D80B5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37D9A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4BAE1" w14:textId="2762B698" w:rsidR="002019A0" w:rsidRDefault="002019A0">
    <w:pPr>
      <w:pStyle w:val="Header"/>
    </w:pPr>
    <w:r>
      <w:rPr>
        <w:noProof/>
      </w:rPr>
      <w:pict w14:anchorId="5C864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AF18" w14:textId="2EC44E37" w:rsidR="002019A0" w:rsidRDefault="002019A0">
    <w:pPr>
      <w:pStyle w:val="Header"/>
    </w:pPr>
    <w:r>
      <w:rPr>
        <w:noProof/>
      </w:rPr>
      <w:pict w14:anchorId="22584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D34D" w14:textId="7A51AAEB" w:rsidR="002019A0" w:rsidRDefault="002019A0">
    <w:pPr>
      <w:pStyle w:val="Header"/>
    </w:pPr>
    <w:r>
      <w:rPr>
        <w:noProof/>
      </w:rPr>
      <w:pict w14:anchorId="0773A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82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916"/>
    <w:rsid w:val="00000F8F"/>
    <w:rsid w:val="00030174"/>
    <w:rsid w:val="0004579C"/>
    <w:rsid w:val="0005727D"/>
    <w:rsid w:val="00084A08"/>
    <w:rsid w:val="0009557F"/>
    <w:rsid w:val="000A151B"/>
    <w:rsid w:val="000A47FA"/>
    <w:rsid w:val="000A65D3"/>
    <w:rsid w:val="000B1E33"/>
    <w:rsid w:val="000C0057"/>
    <w:rsid w:val="000D689F"/>
    <w:rsid w:val="000E7B7B"/>
    <w:rsid w:val="000E7D62"/>
    <w:rsid w:val="000F27FD"/>
    <w:rsid w:val="00103357"/>
    <w:rsid w:val="00110BB9"/>
    <w:rsid w:val="00123C9F"/>
    <w:rsid w:val="00126190"/>
    <w:rsid w:val="001265C8"/>
    <w:rsid w:val="00130F17"/>
    <w:rsid w:val="001320BF"/>
    <w:rsid w:val="00133060"/>
    <w:rsid w:val="00137DB2"/>
    <w:rsid w:val="001508D0"/>
    <w:rsid w:val="00163BC4"/>
    <w:rsid w:val="00180480"/>
    <w:rsid w:val="001844A3"/>
    <w:rsid w:val="00190177"/>
    <w:rsid w:val="00191062"/>
    <w:rsid w:val="00192B72"/>
    <w:rsid w:val="001A29D8"/>
    <w:rsid w:val="001A53F6"/>
    <w:rsid w:val="001A5CAA"/>
    <w:rsid w:val="001B0427"/>
    <w:rsid w:val="001B6246"/>
    <w:rsid w:val="001C48A6"/>
    <w:rsid w:val="001D3A51"/>
    <w:rsid w:val="001E10D2"/>
    <w:rsid w:val="001E25B4"/>
    <w:rsid w:val="001E44FE"/>
    <w:rsid w:val="00200595"/>
    <w:rsid w:val="002019A0"/>
    <w:rsid w:val="00204835"/>
    <w:rsid w:val="00231920"/>
    <w:rsid w:val="0023195C"/>
    <w:rsid w:val="0024282C"/>
    <w:rsid w:val="002460DC"/>
    <w:rsid w:val="00250985"/>
    <w:rsid w:val="002556F6"/>
    <w:rsid w:val="00283105"/>
    <w:rsid w:val="00284C4C"/>
    <w:rsid w:val="00287E68"/>
    <w:rsid w:val="00291E7F"/>
    <w:rsid w:val="00296529"/>
    <w:rsid w:val="002B27FB"/>
    <w:rsid w:val="002B685A"/>
    <w:rsid w:val="002C57D2"/>
    <w:rsid w:val="002E0D56"/>
    <w:rsid w:val="002F4C35"/>
    <w:rsid w:val="00315186"/>
    <w:rsid w:val="00315D57"/>
    <w:rsid w:val="0033343E"/>
    <w:rsid w:val="00342000"/>
    <w:rsid w:val="00347A80"/>
    <w:rsid w:val="003512C2"/>
    <w:rsid w:val="00370BDB"/>
    <w:rsid w:val="00371FB6"/>
    <w:rsid w:val="003763C1"/>
    <w:rsid w:val="00376BBE"/>
    <w:rsid w:val="0039224F"/>
    <w:rsid w:val="003A43A4"/>
    <w:rsid w:val="003A7E18"/>
    <w:rsid w:val="003B7BB9"/>
    <w:rsid w:val="003C4C86"/>
    <w:rsid w:val="003C6258"/>
    <w:rsid w:val="003D3D22"/>
    <w:rsid w:val="003D6D27"/>
    <w:rsid w:val="003E2904"/>
    <w:rsid w:val="00401927"/>
    <w:rsid w:val="00403F5C"/>
    <w:rsid w:val="0041027F"/>
    <w:rsid w:val="00412475"/>
    <w:rsid w:val="00423789"/>
    <w:rsid w:val="00440F43"/>
    <w:rsid w:val="00441B6F"/>
    <w:rsid w:val="00446221"/>
    <w:rsid w:val="00450E62"/>
    <w:rsid w:val="004539DB"/>
    <w:rsid w:val="00465465"/>
    <w:rsid w:val="00471A80"/>
    <w:rsid w:val="00471B6A"/>
    <w:rsid w:val="0047329B"/>
    <w:rsid w:val="004924DA"/>
    <w:rsid w:val="00494350"/>
    <w:rsid w:val="004A4ED4"/>
    <w:rsid w:val="004B2CE2"/>
    <w:rsid w:val="004D305E"/>
    <w:rsid w:val="004D4277"/>
    <w:rsid w:val="00502516"/>
    <w:rsid w:val="00505F06"/>
    <w:rsid w:val="00506828"/>
    <w:rsid w:val="0053056E"/>
    <w:rsid w:val="00533B59"/>
    <w:rsid w:val="00537EDA"/>
    <w:rsid w:val="00554FDA"/>
    <w:rsid w:val="00556C84"/>
    <w:rsid w:val="00556ED6"/>
    <w:rsid w:val="005B33F6"/>
    <w:rsid w:val="005C784C"/>
    <w:rsid w:val="005D03AF"/>
    <w:rsid w:val="005D0D91"/>
    <w:rsid w:val="005D17F6"/>
    <w:rsid w:val="005E5539"/>
    <w:rsid w:val="00602BF5"/>
    <w:rsid w:val="0061126F"/>
    <w:rsid w:val="00617FDD"/>
    <w:rsid w:val="00630788"/>
    <w:rsid w:val="00633614"/>
    <w:rsid w:val="00633F68"/>
    <w:rsid w:val="00636EB2"/>
    <w:rsid w:val="006375B8"/>
    <w:rsid w:val="00653246"/>
    <w:rsid w:val="0066510A"/>
    <w:rsid w:val="00673239"/>
    <w:rsid w:val="00673F9F"/>
    <w:rsid w:val="00677487"/>
    <w:rsid w:val="00686953"/>
    <w:rsid w:val="00687DEA"/>
    <w:rsid w:val="00687E67"/>
    <w:rsid w:val="006967F7"/>
    <w:rsid w:val="006A0719"/>
    <w:rsid w:val="006A250C"/>
    <w:rsid w:val="006B21D3"/>
    <w:rsid w:val="006B57D0"/>
    <w:rsid w:val="006D30FF"/>
    <w:rsid w:val="006D6940"/>
    <w:rsid w:val="006F11EC"/>
    <w:rsid w:val="0070082C"/>
    <w:rsid w:val="0073329E"/>
    <w:rsid w:val="007369E6"/>
    <w:rsid w:val="00746E59"/>
    <w:rsid w:val="00754C9A"/>
    <w:rsid w:val="0075599A"/>
    <w:rsid w:val="007559B5"/>
    <w:rsid w:val="00761D52"/>
    <w:rsid w:val="00766F50"/>
    <w:rsid w:val="00776C1C"/>
    <w:rsid w:val="0077749E"/>
    <w:rsid w:val="00790ADA"/>
    <w:rsid w:val="007D2288"/>
    <w:rsid w:val="007D6989"/>
    <w:rsid w:val="007E088F"/>
    <w:rsid w:val="007E520C"/>
    <w:rsid w:val="007F3828"/>
    <w:rsid w:val="007F7B32"/>
    <w:rsid w:val="00804BC2"/>
    <w:rsid w:val="008073A0"/>
    <w:rsid w:val="0081431A"/>
    <w:rsid w:val="0082001A"/>
    <w:rsid w:val="00823A42"/>
    <w:rsid w:val="0083216F"/>
    <w:rsid w:val="00860000"/>
    <w:rsid w:val="00863BD3"/>
    <w:rsid w:val="008641ED"/>
    <w:rsid w:val="00866D66"/>
    <w:rsid w:val="008671C6"/>
    <w:rsid w:val="00875803"/>
    <w:rsid w:val="008812F6"/>
    <w:rsid w:val="00881E09"/>
    <w:rsid w:val="008944AC"/>
    <w:rsid w:val="008B459E"/>
    <w:rsid w:val="008D08A4"/>
    <w:rsid w:val="008E13AE"/>
    <w:rsid w:val="008E1506"/>
    <w:rsid w:val="008E710C"/>
    <w:rsid w:val="008F197D"/>
    <w:rsid w:val="008F5BCF"/>
    <w:rsid w:val="008F69D6"/>
    <w:rsid w:val="00902823"/>
    <w:rsid w:val="0090416F"/>
    <w:rsid w:val="0091516C"/>
    <w:rsid w:val="009157B4"/>
    <w:rsid w:val="00915CA6"/>
    <w:rsid w:val="00927834"/>
    <w:rsid w:val="00936912"/>
    <w:rsid w:val="009500A6"/>
    <w:rsid w:val="00957C18"/>
    <w:rsid w:val="009659BA"/>
    <w:rsid w:val="00983040"/>
    <w:rsid w:val="009863CB"/>
    <w:rsid w:val="00994233"/>
    <w:rsid w:val="009A248F"/>
    <w:rsid w:val="009B3FB9"/>
    <w:rsid w:val="009B601C"/>
    <w:rsid w:val="009B7E57"/>
    <w:rsid w:val="009C2465"/>
    <w:rsid w:val="009D35A0"/>
    <w:rsid w:val="009D7EB7"/>
    <w:rsid w:val="009E048A"/>
    <w:rsid w:val="009E08E9"/>
    <w:rsid w:val="009E3DB9"/>
    <w:rsid w:val="009E6E35"/>
    <w:rsid w:val="009F0EDA"/>
    <w:rsid w:val="00A019B5"/>
    <w:rsid w:val="00A03B96"/>
    <w:rsid w:val="00A05B19"/>
    <w:rsid w:val="00A1134E"/>
    <w:rsid w:val="00A2278D"/>
    <w:rsid w:val="00A24E7E"/>
    <w:rsid w:val="00A258C3"/>
    <w:rsid w:val="00A347C0"/>
    <w:rsid w:val="00A51431"/>
    <w:rsid w:val="00A539AD"/>
    <w:rsid w:val="00A67738"/>
    <w:rsid w:val="00A87FD8"/>
    <w:rsid w:val="00A94063"/>
    <w:rsid w:val="00A9596B"/>
    <w:rsid w:val="00AA2288"/>
    <w:rsid w:val="00AA6219"/>
    <w:rsid w:val="00AA74E0"/>
    <w:rsid w:val="00AB703F"/>
    <w:rsid w:val="00AC6BB8"/>
    <w:rsid w:val="00AE008F"/>
    <w:rsid w:val="00AE6EED"/>
    <w:rsid w:val="00B01FCD"/>
    <w:rsid w:val="00B1776C"/>
    <w:rsid w:val="00B354FE"/>
    <w:rsid w:val="00B4676C"/>
    <w:rsid w:val="00B52583"/>
    <w:rsid w:val="00B52896"/>
    <w:rsid w:val="00B73085"/>
    <w:rsid w:val="00B95236"/>
    <w:rsid w:val="00B96BD9"/>
    <w:rsid w:val="00BA1B01"/>
    <w:rsid w:val="00BA2641"/>
    <w:rsid w:val="00BB37AA"/>
    <w:rsid w:val="00BC53A0"/>
    <w:rsid w:val="00BD15C1"/>
    <w:rsid w:val="00BE62AD"/>
    <w:rsid w:val="00BF09F3"/>
    <w:rsid w:val="00BF121F"/>
    <w:rsid w:val="00BF1F80"/>
    <w:rsid w:val="00BF545E"/>
    <w:rsid w:val="00BF68CD"/>
    <w:rsid w:val="00C155E5"/>
    <w:rsid w:val="00C166EF"/>
    <w:rsid w:val="00C17EB0"/>
    <w:rsid w:val="00C27F5F"/>
    <w:rsid w:val="00C30A0F"/>
    <w:rsid w:val="00C37E61"/>
    <w:rsid w:val="00C64169"/>
    <w:rsid w:val="00C70F1B"/>
    <w:rsid w:val="00C71A47"/>
    <w:rsid w:val="00C7464C"/>
    <w:rsid w:val="00C76EC0"/>
    <w:rsid w:val="00C811EE"/>
    <w:rsid w:val="00C85588"/>
    <w:rsid w:val="00C96DFF"/>
    <w:rsid w:val="00CD6755"/>
    <w:rsid w:val="00CD6856"/>
    <w:rsid w:val="00CD6EE9"/>
    <w:rsid w:val="00CE0089"/>
    <w:rsid w:val="00CE261A"/>
    <w:rsid w:val="00CE793C"/>
    <w:rsid w:val="00CF193C"/>
    <w:rsid w:val="00D1532C"/>
    <w:rsid w:val="00D173F1"/>
    <w:rsid w:val="00D352A2"/>
    <w:rsid w:val="00D5312E"/>
    <w:rsid w:val="00D74CB0"/>
    <w:rsid w:val="00D8295D"/>
    <w:rsid w:val="00D854EA"/>
    <w:rsid w:val="00D92173"/>
    <w:rsid w:val="00D97B3C"/>
    <w:rsid w:val="00DC2A65"/>
    <w:rsid w:val="00DE15F0"/>
    <w:rsid w:val="00DE5663"/>
    <w:rsid w:val="00DE78AA"/>
    <w:rsid w:val="00E053D0"/>
    <w:rsid w:val="00E15994"/>
    <w:rsid w:val="00E3114E"/>
    <w:rsid w:val="00E31A70"/>
    <w:rsid w:val="00E35B02"/>
    <w:rsid w:val="00E4486A"/>
    <w:rsid w:val="00E66496"/>
    <w:rsid w:val="00E66B35"/>
    <w:rsid w:val="00E66E10"/>
    <w:rsid w:val="00E769F6"/>
    <w:rsid w:val="00E8407C"/>
    <w:rsid w:val="00E84F3C"/>
    <w:rsid w:val="00EA012C"/>
    <w:rsid w:val="00EB042D"/>
    <w:rsid w:val="00EC6A55"/>
    <w:rsid w:val="00ED0288"/>
    <w:rsid w:val="00EE52CB"/>
    <w:rsid w:val="00EF581D"/>
    <w:rsid w:val="00EF7FD8"/>
    <w:rsid w:val="00F06F59"/>
    <w:rsid w:val="00F17988"/>
    <w:rsid w:val="00F249C1"/>
    <w:rsid w:val="00F27E7C"/>
    <w:rsid w:val="00F469F0"/>
    <w:rsid w:val="00F53273"/>
    <w:rsid w:val="00F55BFB"/>
    <w:rsid w:val="00F57042"/>
    <w:rsid w:val="00F755E4"/>
    <w:rsid w:val="00F77528"/>
    <w:rsid w:val="00F77D02"/>
    <w:rsid w:val="00FB3A86"/>
    <w:rsid w:val="00FB46A7"/>
    <w:rsid w:val="00FD36C8"/>
    <w:rsid w:val="00FF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93AE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A227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2278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A15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D3D22"/>
    <w:pPr>
      <w:spacing w:before="100" w:beforeAutospacing="1" w:after="100" w:afterAutospacing="1"/>
    </w:pPr>
    <w:rPr>
      <w:rFonts w:ascii="Times New Roman" w:hAnsi="Times New Roman"/>
      <w:sz w:val="24"/>
      <w:szCs w:val="24"/>
      <w:lang w:eastAsia="ja-JP"/>
    </w:rPr>
  </w:style>
  <w:style w:type="character" w:customStyle="1" w:styleId="apple-converted-space">
    <w:name w:val="apple-converted-space"/>
    <w:basedOn w:val="DefaultParagraphFont"/>
    <w:rsid w:val="003D3D22"/>
  </w:style>
  <w:style w:type="character" w:styleId="Strong">
    <w:name w:val="Strong"/>
    <w:basedOn w:val="DefaultParagraphFont"/>
    <w:uiPriority w:val="22"/>
    <w:qFormat/>
    <w:rsid w:val="009A248F"/>
    <w:rPr>
      <w:b/>
      <w:bCs/>
    </w:rPr>
  </w:style>
  <w:style w:type="character" w:customStyle="1" w:styleId="Heading2Char">
    <w:name w:val="Heading 2 Char"/>
    <w:basedOn w:val="DefaultParagraphFont"/>
    <w:link w:val="Heading2"/>
    <w:rsid w:val="00A227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2278D"/>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537EDA"/>
    <w:rPr>
      <w:color w:val="666666"/>
    </w:rPr>
  </w:style>
  <w:style w:type="paragraph" w:styleId="FootnoteText">
    <w:name w:val="footnote text"/>
    <w:basedOn w:val="Normal"/>
    <w:link w:val="FootnoteTextChar"/>
    <w:semiHidden/>
    <w:unhideWhenUsed/>
    <w:rsid w:val="001A53F6"/>
  </w:style>
  <w:style w:type="character" w:customStyle="1" w:styleId="FootnoteTextChar">
    <w:name w:val="Footnote Text Char"/>
    <w:basedOn w:val="DefaultParagraphFont"/>
    <w:link w:val="FootnoteText"/>
    <w:semiHidden/>
    <w:rsid w:val="001A53F6"/>
    <w:rPr>
      <w:rFonts w:ascii="Helvetica" w:hAnsi="Helvetica"/>
    </w:rPr>
  </w:style>
  <w:style w:type="character" w:styleId="FootnoteReference">
    <w:name w:val="footnote reference"/>
    <w:basedOn w:val="DefaultParagraphFont"/>
    <w:semiHidden/>
    <w:unhideWhenUsed/>
    <w:rsid w:val="001A53F6"/>
    <w:rPr>
      <w:vertAlign w:val="superscript"/>
    </w:rPr>
  </w:style>
  <w:style w:type="character" w:styleId="PageNumber">
    <w:name w:val="page number"/>
    <w:basedOn w:val="DefaultParagraphFont"/>
    <w:semiHidden/>
    <w:unhideWhenUsed/>
    <w:rsid w:val="00630788"/>
  </w:style>
  <w:style w:type="character" w:customStyle="1" w:styleId="Heading4Char">
    <w:name w:val="Heading 4 Char"/>
    <w:basedOn w:val="DefaultParagraphFont"/>
    <w:link w:val="Heading4"/>
    <w:semiHidden/>
    <w:rsid w:val="000A151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inteco.2014.11.004" TargetMode="External"/><Relationship Id="rId26" Type="http://schemas.openxmlformats.org/officeDocument/2006/relationships/hyperlink" Target="https://www.tandfonline.com/doi/abs/10.1080/09692290801928731" TargetMode="External"/><Relationship Id="rId39" Type="http://schemas.openxmlformats.org/officeDocument/2006/relationships/footer" Target="footer4.xml"/><Relationship Id="rId21" Type="http://schemas.openxmlformats.org/officeDocument/2006/relationships/hyperlink" Target="https://www.nber.org/papers/w11510" TargetMode="External"/><Relationship Id="rId34" Type="http://schemas.openxmlformats.org/officeDocument/2006/relationships/hyperlink" Target="https://www.fairobserver.com/economics/the-long-term-dangers-of-chinas-expanding-swap-line-strategy-financial-dependence-and-geopolitical-influence/?utm_source=chatgpt.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mf.org/en/publications/wp/issues/2022/03/24/the-stealth-erosion-of-dollar-dominance-active-diversifiers-and-the-rise-of-nontraditional-515150" TargetMode="External"/><Relationship Id="rId20" Type="http://schemas.openxmlformats.org/officeDocument/2006/relationships/hyperlink" Target="https://www.nber.org/papers/w14026" TargetMode="External"/><Relationship Id="rId29" Type="http://schemas.openxmlformats.org/officeDocument/2006/relationships/hyperlink" Target="https://doi.org/10.1257/aer.100.5.194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257/aer.20171201" TargetMode="External"/><Relationship Id="rId32" Type="http://schemas.openxmlformats.org/officeDocument/2006/relationships/hyperlink" Target="https://doi.org/10.61093/sec.8(3).77-92.2024"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2307/1879431" TargetMode="External"/><Relationship Id="rId23" Type="http://schemas.openxmlformats.org/officeDocument/2006/relationships/hyperlink" Target="https://www.nber.org/papers/w24485" TargetMode="External"/><Relationship Id="rId28" Type="http://schemas.openxmlformats.org/officeDocument/2006/relationships/hyperlink" Target="https://doi.org/10.2307/1991410" TargetMode="External"/><Relationship Id="rId36" Type="http://schemas.openxmlformats.org/officeDocument/2006/relationships/hyperlink" Target="https://www.scielo.br/j/rac/a/pQPSp8k3hzgFfhT8hnyrZTq/?format=html&amp;lang=en" TargetMode="External"/><Relationship Id="rId10" Type="http://schemas.openxmlformats.org/officeDocument/2006/relationships/footer" Target="footer1.xml"/><Relationship Id="rId19" Type="http://schemas.openxmlformats.org/officeDocument/2006/relationships/hyperlink" Target="https://doi.org/10.1257/jep.31.3.29" TargetMode="External"/><Relationship Id="rId31" Type="http://schemas.openxmlformats.org/officeDocument/2006/relationships/hyperlink" Target="https://brics-econ.arphahub.com/article/11782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1093/qje/qjx031" TargetMode="External"/><Relationship Id="rId27" Type="http://schemas.openxmlformats.org/officeDocument/2006/relationships/hyperlink" Target="https://www.jpmorgan.com/insights/global-research/currencies/de-dollarization?utm_source=chatgpt.com" TargetMode="External"/><Relationship Id="rId30" Type="http://schemas.openxmlformats.org/officeDocument/2006/relationships/hyperlink" Target="https://papers.ssrn.com/sol3/papers.cfm?abstract_id=5576391" TargetMode="External"/><Relationship Id="rId35" Type="http://schemas.openxmlformats.org/officeDocument/2006/relationships/hyperlink" Target="https://www.fairobserver.com/economics/the-mar-a-lago-agreement-for-the-relationship-between-tariffs-us-dollar-value-and-inflation/?utm_source=chatgpt.com"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bis.org/publ/arpdf/ar2022e.pdf" TargetMode="External"/><Relationship Id="rId25" Type="http://schemas.openxmlformats.org/officeDocument/2006/relationships/hyperlink" Target="http://helenerey.eu/content/_documents/duty_23_10_2017.pdf" TargetMode="External"/><Relationship Id="rId33" Type="http://schemas.openxmlformats.org/officeDocument/2006/relationships/hyperlink" Target="https://www.fairobserver.com/economics/the-dollar-at-a-crossroads-trade-wars-tariffs-and-stress-on-the-worlds-safe-haven-currency/?utm_source=chatgpt.com"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E5D1C-2ECC-4A2A-9063-F6A74EFC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TotalTime>
  <Pages>20</Pages>
  <Words>8506</Words>
  <Characters>48488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56881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2025-12-30T14:01:00Z</cp:lastPrinted>
  <dcterms:created xsi:type="dcterms:W3CDTF">2025-12-30T14:01:00Z</dcterms:created>
  <dcterms:modified xsi:type="dcterms:W3CDTF">2026-01-14T12:28:00Z</dcterms:modified>
</cp:coreProperties>
</file>