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F79" w:rsidRDefault="007D361F" w:rsidP="00CD0F79">
      <w:pPr>
        <w:pStyle w:val="Heading1"/>
        <w:spacing w:before="0"/>
        <w:jc w:val="center"/>
        <w:rPr>
          <w:rStyle w:val="title-text"/>
          <w:rFonts w:ascii="Times New Roman" w:hAnsi="Times New Roman" w:cs="Times New Roman"/>
          <w:color w:val="auto"/>
          <w:sz w:val="24"/>
          <w:szCs w:val="24"/>
        </w:rPr>
      </w:pPr>
      <w:r w:rsidRPr="00CD0F79">
        <w:rPr>
          <w:rStyle w:val="title-text"/>
          <w:rFonts w:ascii="Times New Roman" w:hAnsi="Times New Roman" w:cs="Times New Roman"/>
          <w:color w:val="auto"/>
          <w:sz w:val="24"/>
          <w:szCs w:val="24"/>
        </w:rPr>
        <w:t>Savings and Credit Uptake in Kenya: A Granger Causality Analysis</w:t>
      </w:r>
    </w:p>
    <w:p w:rsidR="007D361F" w:rsidRDefault="007D361F" w:rsidP="007D361F"/>
    <w:p w:rsidR="007D361F" w:rsidRPr="007D361F" w:rsidRDefault="007D361F" w:rsidP="007D361F">
      <w:bookmarkStart w:id="0" w:name="_GoBack"/>
      <w:bookmarkEnd w:id="0"/>
    </w:p>
    <w:p w:rsidR="00380A53" w:rsidRPr="007D301A" w:rsidRDefault="007D361F" w:rsidP="00596177">
      <w:pPr>
        <w:spacing w:before="100" w:beforeAutospacing="1" w:after="0" w:line="360" w:lineRule="auto"/>
        <w:jc w:val="both"/>
        <w:outlineLvl w:val="1"/>
        <w:rPr>
          <w:rFonts w:eastAsia="Times New Roman" w:cs="Times New Roman"/>
          <w:b/>
          <w:bCs/>
          <w:szCs w:val="24"/>
          <w:lang w:eastAsia="en-GB"/>
        </w:rPr>
      </w:pPr>
      <w:r w:rsidRPr="007D301A">
        <w:rPr>
          <w:rFonts w:eastAsia="Times New Roman" w:cs="Times New Roman"/>
          <w:b/>
          <w:bCs/>
          <w:szCs w:val="24"/>
          <w:lang w:eastAsia="en-GB"/>
        </w:rPr>
        <w:t xml:space="preserve">Abstract </w:t>
      </w:r>
    </w:p>
    <w:p w:rsidR="00EB1783" w:rsidRPr="007D301A" w:rsidRDefault="007D361F" w:rsidP="00596177">
      <w:pPr>
        <w:spacing w:after="0" w:line="360" w:lineRule="auto"/>
        <w:jc w:val="both"/>
        <w:rPr>
          <w:rFonts w:eastAsia="Times New Roman" w:cs="Times New Roman"/>
          <w:szCs w:val="24"/>
          <w:lang w:eastAsia="en-GB"/>
        </w:rPr>
      </w:pPr>
      <w:r w:rsidRPr="007D301A">
        <w:rPr>
          <w:rFonts w:eastAsia="Times New Roman" w:cs="Times New Roman"/>
          <w:szCs w:val="24"/>
          <w:lang w:eastAsia="en-GB"/>
        </w:rPr>
        <w:t>In Kenya, causality between credit uptake</w:t>
      </w:r>
      <w:r w:rsidR="00B1020A" w:rsidRPr="007D301A">
        <w:rPr>
          <w:rFonts w:eastAsia="Times New Roman" w:cs="Times New Roman"/>
          <w:szCs w:val="24"/>
          <w:lang w:eastAsia="en-GB"/>
        </w:rPr>
        <w:t xml:space="preserve"> (borrowing)</w:t>
      </w:r>
      <w:r w:rsidRPr="007D301A">
        <w:rPr>
          <w:rFonts w:eastAsia="Times New Roman" w:cs="Times New Roman"/>
          <w:szCs w:val="24"/>
          <w:lang w:eastAsia="en-GB"/>
        </w:rPr>
        <w:t xml:space="preserve"> and savings is complex. This study explores the relationship between credit uptake, measured by domestic credit to the private sector as a percentage of GDP, and saving rates, measured by gross domestic savings as a percentage of GDP, in Kenya. Employing Granger causality and vector </w:t>
      </w:r>
      <w:r w:rsidR="00091A5C" w:rsidRPr="007D301A">
        <w:rPr>
          <w:rFonts w:eastAsia="Times New Roman" w:cs="Times New Roman"/>
          <w:szCs w:val="24"/>
          <w:lang w:eastAsia="en-GB"/>
        </w:rPr>
        <w:t>autoregression</w:t>
      </w:r>
      <w:r w:rsidRPr="007D301A">
        <w:rPr>
          <w:rFonts w:eastAsia="Times New Roman" w:cs="Times New Roman"/>
          <w:szCs w:val="24"/>
          <w:lang w:eastAsia="en-GB"/>
        </w:rPr>
        <w:t xml:space="preserve"> (VAR) methodologies, the findings indicate bidirectional Granger causality between credit </w:t>
      </w:r>
      <w:r w:rsidR="00DC080E">
        <w:rPr>
          <w:rFonts w:eastAsia="Times New Roman" w:cs="Times New Roman"/>
          <w:szCs w:val="24"/>
          <w:lang w:eastAsia="en-GB"/>
        </w:rPr>
        <w:t>supply</w:t>
      </w:r>
      <w:r w:rsidRPr="007D301A">
        <w:rPr>
          <w:rFonts w:eastAsia="Times New Roman" w:cs="Times New Roman"/>
          <w:szCs w:val="24"/>
          <w:lang w:eastAsia="en-GB"/>
        </w:rPr>
        <w:t xml:space="preserve"> and saving rates. This near convergence implies that many Kenyan households are actively engaged in both borrowing and saving activities. Such bidirectional causality challenges simpler economic theories, such as the traditional notion that savings must precede investment or credit. It suggests the simultaneous existence of both supply-leading dynamics (where credit stimulates growth, thereby increasing savings) and demand-following dynamics (where growth leads to a heightened demand for credit and savings). Consequently, </w:t>
      </w:r>
      <w:r w:rsidRPr="00506637">
        <w:rPr>
          <w:rFonts w:eastAsia="Times New Roman" w:cs="Times New Roman"/>
          <w:szCs w:val="24"/>
          <w:lang w:eastAsia="en-GB"/>
        </w:rPr>
        <w:t>monetary authorities should formulate policies that address both variables concurrently, as</w:t>
      </w:r>
      <w:r w:rsidRPr="007D301A">
        <w:rPr>
          <w:rFonts w:eastAsia="Times New Roman" w:cs="Times New Roman"/>
          <w:szCs w:val="24"/>
          <w:lang w:eastAsia="en-GB"/>
        </w:rPr>
        <w:t xml:space="preserve"> interventions aimed at one will inevitably impact the other.</w:t>
      </w:r>
    </w:p>
    <w:p w:rsidR="00BB6C89" w:rsidRPr="007D301A" w:rsidRDefault="007D361F" w:rsidP="00596177">
      <w:pPr>
        <w:spacing w:before="100" w:beforeAutospacing="1" w:after="100" w:afterAutospacing="1" w:line="360" w:lineRule="auto"/>
        <w:jc w:val="both"/>
        <w:outlineLvl w:val="1"/>
        <w:rPr>
          <w:rFonts w:eastAsia="Times New Roman" w:cs="Times New Roman"/>
          <w:bCs/>
          <w:szCs w:val="24"/>
          <w:lang w:eastAsia="en-GB"/>
        </w:rPr>
      </w:pPr>
      <w:r w:rsidRPr="007D301A">
        <w:rPr>
          <w:rFonts w:eastAsia="Times New Roman" w:cs="Times New Roman"/>
          <w:bCs/>
          <w:szCs w:val="24"/>
          <w:lang w:eastAsia="en-GB"/>
        </w:rPr>
        <w:t>Keywords</w:t>
      </w:r>
      <w:r w:rsidR="00E6767E" w:rsidRPr="007D301A">
        <w:rPr>
          <w:rFonts w:eastAsia="Times New Roman" w:cs="Times New Roman"/>
          <w:bCs/>
          <w:szCs w:val="24"/>
          <w:lang w:eastAsia="en-GB"/>
        </w:rPr>
        <w:t xml:space="preserve">: </w:t>
      </w:r>
      <w:r w:rsidR="00BA7C80">
        <w:rPr>
          <w:rFonts w:eastAsia="Times New Roman" w:cs="Times New Roman"/>
          <w:bCs/>
          <w:szCs w:val="24"/>
          <w:lang w:eastAsia="en-GB"/>
        </w:rPr>
        <w:t xml:space="preserve">Saving, credit uptake, borrowing, </w:t>
      </w:r>
      <w:r w:rsidR="00E6767E" w:rsidRPr="007D301A">
        <w:rPr>
          <w:rFonts w:eastAsia="Times New Roman" w:cs="Times New Roman"/>
          <w:bCs/>
          <w:szCs w:val="24"/>
          <w:lang w:eastAsia="en-GB"/>
        </w:rPr>
        <w:t>Causality</w:t>
      </w:r>
    </w:p>
    <w:p w:rsidR="00540F64" w:rsidRPr="00540F64" w:rsidRDefault="007D361F" w:rsidP="00596177">
      <w:pPr>
        <w:jc w:val="both"/>
        <w:rPr>
          <w:rFonts w:eastAsia="Times New Roman" w:cs="Times New Roman"/>
          <w:szCs w:val="24"/>
          <w:lang w:eastAsia="en-GB"/>
        </w:rPr>
      </w:pPr>
      <w:r w:rsidRPr="00506637">
        <w:rPr>
          <w:rFonts w:cs="Times New Roman"/>
          <w:szCs w:val="24"/>
          <w:lang w:eastAsia="en-GB"/>
        </w:rPr>
        <w:t>JEL classification:</w:t>
      </w:r>
      <w:r w:rsidR="00506637" w:rsidRPr="00506637">
        <w:rPr>
          <w:rFonts w:cs="Times New Roman"/>
          <w:szCs w:val="24"/>
          <w:lang w:eastAsia="en-GB"/>
        </w:rPr>
        <w:t xml:space="preserve"> D15, </w:t>
      </w:r>
      <w:r w:rsidR="00506637" w:rsidRPr="00047866">
        <w:rPr>
          <w:rFonts w:cs="Times New Roman"/>
          <w:color w:val="FF0000"/>
          <w:szCs w:val="24"/>
          <w:lang w:eastAsia="en-GB"/>
        </w:rPr>
        <w:t>E21</w:t>
      </w:r>
      <w:r w:rsidR="00506637" w:rsidRPr="00506637">
        <w:rPr>
          <w:rFonts w:cs="Times New Roman"/>
          <w:szCs w:val="24"/>
          <w:lang w:eastAsia="en-GB"/>
        </w:rPr>
        <w:t>, G</w:t>
      </w:r>
      <w:r w:rsidRPr="00506637">
        <w:rPr>
          <w:rFonts w:cs="Times New Roman"/>
          <w:szCs w:val="24"/>
          <w:lang w:eastAsia="en-GB"/>
        </w:rPr>
        <w:t>5</w:t>
      </w:r>
      <w:r w:rsidR="00047866">
        <w:rPr>
          <w:rFonts w:cs="Times New Roman"/>
          <w:szCs w:val="24"/>
          <w:lang w:eastAsia="en-GB"/>
        </w:rPr>
        <w:t>1,</w:t>
      </w:r>
      <w:r>
        <w:rPr>
          <w:rFonts w:eastAsia="Times New Roman" w:cs="Times New Roman"/>
          <w:szCs w:val="24"/>
          <w:lang w:eastAsia="en-GB"/>
        </w:rPr>
        <w:t xml:space="preserve"> </w:t>
      </w:r>
      <w:r w:rsidRPr="00540F64">
        <w:rPr>
          <w:rFonts w:eastAsia="Times New Roman" w:cs="Times New Roman"/>
          <w:szCs w:val="24"/>
          <w:lang w:eastAsia="en-GB"/>
        </w:rPr>
        <w:t>O16</w:t>
      </w:r>
    </w:p>
    <w:p w:rsidR="00BB6C89" w:rsidRPr="007D301A" w:rsidRDefault="00BB6C89" w:rsidP="00596177">
      <w:pPr>
        <w:spacing w:line="360" w:lineRule="auto"/>
        <w:jc w:val="both"/>
        <w:rPr>
          <w:rFonts w:cs="Times New Roman"/>
          <w:szCs w:val="24"/>
          <w:lang w:eastAsia="en-GB"/>
        </w:rPr>
      </w:pPr>
    </w:p>
    <w:p w:rsidR="00DF33BA" w:rsidRPr="00AB3119" w:rsidRDefault="007D361F" w:rsidP="00596177">
      <w:pPr>
        <w:spacing w:line="360" w:lineRule="auto"/>
        <w:jc w:val="both"/>
        <w:rPr>
          <w:b/>
          <w:bCs/>
          <w:lang w:val="en-US"/>
        </w:rPr>
      </w:pPr>
      <w:r>
        <w:rPr>
          <w:b/>
          <w:bCs/>
          <w:lang w:val="en-US"/>
        </w:rPr>
        <w:t>Introduction</w:t>
      </w:r>
    </w:p>
    <w:p w:rsidR="00DF33BA" w:rsidRDefault="007D361F" w:rsidP="00596177">
      <w:pPr>
        <w:spacing w:line="360" w:lineRule="auto"/>
        <w:jc w:val="both"/>
        <w:rPr>
          <w:bCs/>
          <w:lang w:val="en-US"/>
        </w:rPr>
      </w:pPr>
      <w:r w:rsidRPr="00AB3119">
        <w:rPr>
          <w:bCs/>
          <w:lang w:val="en-US"/>
        </w:rPr>
        <w:t xml:space="preserve">Savings and credit are </w:t>
      </w:r>
      <w:r>
        <w:rPr>
          <w:bCs/>
          <w:lang w:val="en-US"/>
        </w:rPr>
        <w:t>key variables</w:t>
      </w:r>
      <w:r w:rsidR="00047866">
        <w:rPr>
          <w:bCs/>
          <w:lang w:val="en-US"/>
        </w:rPr>
        <w:t xml:space="preserve"> </w:t>
      </w:r>
      <w:r>
        <w:rPr>
          <w:bCs/>
          <w:lang w:val="en-US"/>
        </w:rPr>
        <w:t>that defin</w:t>
      </w:r>
      <w:r w:rsidR="00047866">
        <w:rPr>
          <w:bCs/>
          <w:lang w:val="en-US"/>
        </w:rPr>
        <w:t xml:space="preserve">e </w:t>
      </w:r>
      <w:r>
        <w:rPr>
          <w:bCs/>
          <w:lang w:val="en-US"/>
        </w:rPr>
        <w:t xml:space="preserve">household financial behavior and </w:t>
      </w:r>
      <w:r w:rsidRPr="00AB3119">
        <w:rPr>
          <w:bCs/>
          <w:lang w:val="en-US"/>
        </w:rPr>
        <w:t>financial intermediation</w:t>
      </w:r>
      <w:r w:rsidR="000168AE">
        <w:rPr>
          <w:bCs/>
          <w:lang w:val="en-US"/>
        </w:rPr>
        <w:t xml:space="preserve"> in Kenya</w:t>
      </w:r>
      <w:r w:rsidRPr="00AB3119">
        <w:rPr>
          <w:bCs/>
          <w:lang w:val="en-US"/>
        </w:rPr>
        <w:t xml:space="preserve">. Savings </w:t>
      </w:r>
      <w:r>
        <w:rPr>
          <w:bCs/>
          <w:lang w:val="en-US"/>
        </w:rPr>
        <w:t>offer</w:t>
      </w:r>
      <w:r w:rsidRPr="00AB3119">
        <w:rPr>
          <w:bCs/>
          <w:lang w:val="en-US"/>
        </w:rPr>
        <w:t xml:space="preserve"> a buffer against</w:t>
      </w:r>
      <w:r>
        <w:rPr>
          <w:bCs/>
          <w:lang w:val="en-US"/>
        </w:rPr>
        <w:t xml:space="preserve"> issues such as</w:t>
      </w:r>
      <w:r w:rsidRPr="00AB3119">
        <w:rPr>
          <w:bCs/>
          <w:lang w:val="en-US"/>
        </w:rPr>
        <w:t xml:space="preserve"> income shocks, enable investment</w:t>
      </w:r>
      <w:r>
        <w:rPr>
          <w:bCs/>
          <w:lang w:val="en-US"/>
        </w:rPr>
        <w:t>s</w:t>
      </w:r>
      <w:r w:rsidRPr="00AB3119">
        <w:rPr>
          <w:bCs/>
          <w:lang w:val="en-US"/>
        </w:rPr>
        <w:t>, and support the long-term welfare</w:t>
      </w:r>
      <w:r>
        <w:rPr>
          <w:bCs/>
          <w:lang w:val="en-US"/>
        </w:rPr>
        <w:t xml:space="preserve"> of economic agents. On the other hand, </w:t>
      </w:r>
      <w:r w:rsidRPr="00AB3119">
        <w:rPr>
          <w:bCs/>
          <w:lang w:val="en-US"/>
        </w:rPr>
        <w:t xml:space="preserve">credit enables </w:t>
      </w:r>
      <w:r>
        <w:rPr>
          <w:bCs/>
          <w:lang w:val="en-US"/>
        </w:rPr>
        <w:t xml:space="preserve">economic agents, such as </w:t>
      </w:r>
      <w:r w:rsidRPr="00AB3119">
        <w:rPr>
          <w:bCs/>
          <w:lang w:val="en-US"/>
        </w:rPr>
        <w:t>households and firms, to smooth</w:t>
      </w:r>
      <w:r w:rsidR="00433FB9">
        <w:rPr>
          <w:bCs/>
          <w:lang w:val="en-US"/>
        </w:rPr>
        <w:t xml:space="preserve"> </w:t>
      </w:r>
      <w:r>
        <w:rPr>
          <w:bCs/>
          <w:lang w:val="en-US"/>
        </w:rPr>
        <w:t xml:space="preserve">their </w:t>
      </w:r>
      <w:r w:rsidRPr="00AB3119">
        <w:rPr>
          <w:bCs/>
          <w:lang w:val="en-US"/>
        </w:rPr>
        <w:t>consumption</w:t>
      </w:r>
      <w:r>
        <w:rPr>
          <w:bCs/>
          <w:lang w:val="en-US"/>
        </w:rPr>
        <w:t xml:space="preserve"> patterns</w:t>
      </w:r>
      <w:r w:rsidRPr="00AB3119">
        <w:rPr>
          <w:bCs/>
          <w:lang w:val="en-US"/>
        </w:rPr>
        <w:t xml:space="preserve">, invest in productive </w:t>
      </w:r>
      <w:r>
        <w:rPr>
          <w:bCs/>
          <w:lang w:val="en-US"/>
        </w:rPr>
        <w:t xml:space="preserve">economic </w:t>
      </w:r>
      <w:r w:rsidRPr="00AB3119">
        <w:rPr>
          <w:bCs/>
          <w:lang w:val="en-US"/>
        </w:rPr>
        <w:t xml:space="preserve">activities, and overcome liquidity </w:t>
      </w:r>
      <w:r>
        <w:rPr>
          <w:bCs/>
          <w:lang w:val="en-US"/>
        </w:rPr>
        <w:t>challenges</w:t>
      </w:r>
      <w:r w:rsidRPr="00AB3119">
        <w:rPr>
          <w:bCs/>
          <w:lang w:val="en-US"/>
        </w:rPr>
        <w:t xml:space="preserve"> (Deaton, 1991; Levine, 2005). Traditionally, </w:t>
      </w:r>
      <w:r>
        <w:rPr>
          <w:bCs/>
          <w:lang w:val="en-US"/>
        </w:rPr>
        <w:t xml:space="preserve">economists perceived credit and </w:t>
      </w:r>
      <w:r w:rsidRPr="00AB3119">
        <w:rPr>
          <w:bCs/>
          <w:lang w:val="en-US"/>
        </w:rPr>
        <w:t>savings</w:t>
      </w:r>
      <w:r w:rsidR="00433FB9">
        <w:rPr>
          <w:bCs/>
          <w:lang w:val="en-US"/>
        </w:rPr>
        <w:t xml:space="preserve"> </w:t>
      </w:r>
      <w:r w:rsidRPr="00AB3119">
        <w:rPr>
          <w:bCs/>
          <w:lang w:val="en-US"/>
        </w:rPr>
        <w:t>as substitutes</w:t>
      </w:r>
      <w:r>
        <w:rPr>
          <w:bCs/>
          <w:lang w:val="en-US"/>
        </w:rPr>
        <w:t xml:space="preserve">; that is, </w:t>
      </w:r>
      <w:r w:rsidRPr="00AB3119">
        <w:rPr>
          <w:bCs/>
          <w:lang w:val="en-US"/>
        </w:rPr>
        <w:t xml:space="preserve">households either </w:t>
      </w:r>
      <w:r w:rsidRPr="0013169F">
        <w:rPr>
          <w:bCs/>
          <w:lang w:val="en-US"/>
        </w:rPr>
        <w:t xml:space="preserve">borrowed to meet current </w:t>
      </w:r>
      <w:r>
        <w:rPr>
          <w:bCs/>
          <w:lang w:val="en-US"/>
        </w:rPr>
        <w:t xml:space="preserve">consumption needs or </w:t>
      </w:r>
      <w:r w:rsidRPr="00AB3119">
        <w:rPr>
          <w:bCs/>
          <w:lang w:val="en-US"/>
        </w:rPr>
        <w:t>saved to finance future consumption</w:t>
      </w:r>
      <w:r>
        <w:rPr>
          <w:bCs/>
          <w:lang w:val="en-US"/>
        </w:rPr>
        <w:t xml:space="preserve"> needs. </w:t>
      </w:r>
      <w:r w:rsidRPr="00AB3119">
        <w:rPr>
          <w:bCs/>
          <w:lang w:val="en-US"/>
        </w:rPr>
        <w:t xml:space="preserve">However, contemporary empirical </w:t>
      </w:r>
      <w:r>
        <w:rPr>
          <w:bCs/>
          <w:lang w:val="en-US"/>
        </w:rPr>
        <w:t xml:space="preserve">and </w:t>
      </w:r>
      <w:r w:rsidRPr="0013169F">
        <w:rPr>
          <w:bCs/>
          <w:lang w:val="en-US"/>
        </w:rPr>
        <w:t xml:space="preserve">theoretical </w:t>
      </w:r>
      <w:r w:rsidRPr="00AB3119">
        <w:rPr>
          <w:bCs/>
          <w:lang w:val="en-US"/>
        </w:rPr>
        <w:t>literature</w:t>
      </w:r>
      <w:r>
        <w:rPr>
          <w:bCs/>
          <w:lang w:val="en-US"/>
        </w:rPr>
        <w:t xml:space="preserve"> establishes </w:t>
      </w:r>
      <w:r w:rsidRPr="00AB3119">
        <w:rPr>
          <w:bCs/>
          <w:lang w:val="en-US"/>
        </w:rPr>
        <w:t xml:space="preserve">a more complex and bidirectional relationship between credit uptake and savings </w:t>
      </w:r>
      <w:proofErr w:type="spellStart"/>
      <w:r w:rsidRPr="00AB3119">
        <w:rPr>
          <w:bCs/>
          <w:lang w:val="en-US"/>
        </w:rPr>
        <w:t>behavio</w:t>
      </w:r>
      <w:r>
        <w:rPr>
          <w:bCs/>
          <w:lang w:val="en-US"/>
        </w:rPr>
        <w:t>u</w:t>
      </w:r>
      <w:r w:rsidRPr="00AB3119">
        <w:rPr>
          <w:bCs/>
          <w:lang w:val="en-US"/>
        </w:rPr>
        <w:t>r</w:t>
      </w:r>
      <w:proofErr w:type="spellEnd"/>
      <w:r w:rsidRPr="00AB3119">
        <w:rPr>
          <w:bCs/>
          <w:lang w:val="en-US"/>
        </w:rPr>
        <w:t>.</w:t>
      </w:r>
    </w:p>
    <w:p w:rsidR="00DF33BA" w:rsidRDefault="007D361F" w:rsidP="00596177">
      <w:pPr>
        <w:spacing w:line="360" w:lineRule="auto"/>
        <w:jc w:val="both"/>
        <w:rPr>
          <w:bCs/>
          <w:lang w:val="en-US"/>
        </w:rPr>
      </w:pPr>
      <w:r w:rsidRPr="00AB3119">
        <w:rPr>
          <w:bCs/>
          <w:lang w:val="en-US"/>
        </w:rPr>
        <w:lastRenderedPageBreak/>
        <w:t xml:space="preserve">In many </w:t>
      </w:r>
      <w:r>
        <w:rPr>
          <w:bCs/>
          <w:lang w:val="en-US"/>
        </w:rPr>
        <w:t>least developed countries (LDCs)</w:t>
      </w:r>
      <w:r w:rsidR="0071651F">
        <w:rPr>
          <w:bCs/>
          <w:lang w:val="en-US"/>
        </w:rPr>
        <w:t>, such as Kenya</w:t>
      </w:r>
      <w:r w:rsidRPr="00AB3119">
        <w:rPr>
          <w:bCs/>
          <w:lang w:val="en-US"/>
        </w:rPr>
        <w:t>,</w:t>
      </w:r>
      <w:r w:rsidR="00433FB9">
        <w:rPr>
          <w:bCs/>
          <w:lang w:val="en-US"/>
        </w:rPr>
        <w:t xml:space="preserve"> </w:t>
      </w:r>
      <w:r w:rsidRPr="00117DB5">
        <w:rPr>
          <w:bCs/>
          <w:lang w:val="en-US"/>
        </w:rPr>
        <w:t>microfinance expansion</w:t>
      </w:r>
      <w:r>
        <w:rPr>
          <w:bCs/>
          <w:lang w:val="en-US"/>
        </w:rPr>
        <w:t xml:space="preserve">, </w:t>
      </w:r>
      <w:r w:rsidRPr="00AB3119">
        <w:rPr>
          <w:bCs/>
          <w:lang w:val="en-US"/>
        </w:rPr>
        <w:t xml:space="preserve">financial sector reforms, </w:t>
      </w:r>
      <w:r w:rsidRPr="00117DB5">
        <w:rPr>
          <w:bCs/>
          <w:lang w:val="en-US"/>
        </w:rPr>
        <w:t xml:space="preserve">mobile banking, </w:t>
      </w:r>
      <w:r>
        <w:rPr>
          <w:bCs/>
          <w:lang w:val="en-US"/>
        </w:rPr>
        <w:t xml:space="preserve">and </w:t>
      </w:r>
      <w:r w:rsidRPr="00AB3119">
        <w:rPr>
          <w:bCs/>
          <w:lang w:val="en-US"/>
        </w:rPr>
        <w:t>digital lending</w:t>
      </w:r>
      <w:r w:rsidR="00433FB9">
        <w:rPr>
          <w:bCs/>
          <w:lang w:val="en-US"/>
        </w:rPr>
        <w:t xml:space="preserve"> </w:t>
      </w:r>
      <w:r w:rsidRPr="00AB3119">
        <w:rPr>
          <w:bCs/>
          <w:lang w:val="en-US"/>
        </w:rPr>
        <w:t>platforms</w:t>
      </w:r>
      <w:r w:rsidR="00433FB9">
        <w:rPr>
          <w:bCs/>
          <w:lang w:val="en-US"/>
        </w:rPr>
        <w:t xml:space="preserve"> </w:t>
      </w:r>
      <w:r w:rsidRPr="00AB3119">
        <w:rPr>
          <w:bCs/>
          <w:lang w:val="en-US"/>
        </w:rPr>
        <w:t xml:space="preserve">have </w:t>
      </w:r>
      <w:r>
        <w:rPr>
          <w:bCs/>
          <w:lang w:val="en-US"/>
        </w:rPr>
        <w:t>resulted in an increase in</w:t>
      </w:r>
      <w:r w:rsidRPr="00AB3119">
        <w:rPr>
          <w:bCs/>
          <w:lang w:val="en-US"/>
        </w:rPr>
        <w:t xml:space="preserve"> access to credit. At the same time, </w:t>
      </w:r>
      <w:r>
        <w:rPr>
          <w:bCs/>
          <w:lang w:val="en-US"/>
        </w:rPr>
        <w:t xml:space="preserve">both </w:t>
      </w:r>
      <w:r w:rsidRPr="00AB3119">
        <w:rPr>
          <w:bCs/>
          <w:lang w:val="en-US"/>
        </w:rPr>
        <w:t xml:space="preserve">formal and informal savings </w:t>
      </w:r>
      <w:r>
        <w:rPr>
          <w:bCs/>
          <w:lang w:val="en-US"/>
        </w:rPr>
        <w:t xml:space="preserve">techniques, </w:t>
      </w:r>
      <w:r w:rsidRPr="00AB3119">
        <w:rPr>
          <w:bCs/>
          <w:lang w:val="en-US"/>
        </w:rPr>
        <w:t xml:space="preserve">such as savings and credit cooperative organizations (SACCOs), </w:t>
      </w:r>
      <w:r w:rsidRPr="00117DB5">
        <w:rPr>
          <w:bCs/>
          <w:lang w:val="en-US"/>
        </w:rPr>
        <w:t>mobile savings products</w:t>
      </w:r>
      <w:r w:rsidR="00433FB9">
        <w:rPr>
          <w:bCs/>
          <w:lang w:val="en-US"/>
        </w:rPr>
        <w:t xml:space="preserve">, </w:t>
      </w:r>
      <w:r>
        <w:rPr>
          <w:bCs/>
          <w:lang w:val="en-US"/>
        </w:rPr>
        <w:t xml:space="preserve">and </w:t>
      </w:r>
      <w:r w:rsidRPr="00AB3119">
        <w:rPr>
          <w:bCs/>
          <w:lang w:val="en-US"/>
        </w:rPr>
        <w:t>rotating savings and credit associations (ROSCAs)</w:t>
      </w:r>
      <w:r w:rsidR="00433FB9">
        <w:rPr>
          <w:bCs/>
          <w:lang w:val="en-US"/>
        </w:rPr>
        <w:t xml:space="preserve">, </w:t>
      </w:r>
      <w:r w:rsidRPr="00AB3119">
        <w:rPr>
          <w:bCs/>
          <w:lang w:val="en-US"/>
        </w:rPr>
        <w:t xml:space="preserve">continue to play a </w:t>
      </w:r>
      <w:r>
        <w:rPr>
          <w:bCs/>
          <w:lang w:val="en-US"/>
        </w:rPr>
        <w:t>significant</w:t>
      </w:r>
      <w:r w:rsidRPr="00AB3119">
        <w:rPr>
          <w:bCs/>
          <w:lang w:val="en-US"/>
        </w:rPr>
        <w:t xml:space="preserve"> role in mobilizing domestic</w:t>
      </w:r>
      <w:r>
        <w:rPr>
          <w:bCs/>
          <w:lang w:val="en-US"/>
        </w:rPr>
        <w:t xml:space="preserve"> financial</w:t>
      </w:r>
      <w:r w:rsidRPr="00AB3119">
        <w:rPr>
          <w:bCs/>
          <w:lang w:val="en-US"/>
        </w:rPr>
        <w:t xml:space="preserve"> resources. These developments </w:t>
      </w:r>
      <w:r>
        <w:rPr>
          <w:bCs/>
          <w:lang w:val="en-US"/>
        </w:rPr>
        <w:t xml:space="preserve">have intensified </w:t>
      </w:r>
      <w:r w:rsidRPr="00AB3119">
        <w:rPr>
          <w:bCs/>
          <w:lang w:val="en-US"/>
        </w:rPr>
        <w:t xml:space="preserve">interest in </w:t>
      </w:r>
      <w:r>
        <w:rPr>
          <w:bCs/>
          <w:lang w:val="en-US"/>
        </w:rPr>
        <w:t>comprehending</w:t>
      </w:r>
      <w:r w:rsidRPr="00AB3119">
        <w:rPr>
          <w:bCs/>
          <w:lang w:val="en-US"/>
        </w:rPr>
        <w:t xml:space="preserve"> whether</w:t>
      </w:r>
      <w:r w:rsidR="00433FB9">
        <w:rPr>
          <w:bCs/>
          <w:lang w:val="en-US"/>
        </w:rPr>
        <w:t xml:space="preserve"> </w:t>
      </w:r>
      <w:r w:rsidRPr="00AB3119">
        <w:rPr>
          <w:bCs/>
          <w:lang w:val="en-US"/>
        </w:rPr>
        <w:t xml:space="preserve">access to credit </w:t>
      </w:r>
      <w:r w:rsidRPr="00117DB5">
        <w:rPr>
          <w:bCs/>
          <w:lang w:val="en-US"/>
        </w:rPr>
        <w:t>complements savings</w:t>
      </w:r>
      <w:r>
        <w:rPr>
          <w:bCs/>
          <w:lang w:val="en-US"/>
        </w:rPr>
        <w:t xml:space="preserve">, </w:t>
      </w:r>
      <w:r w:rsidRPr="00AB3119">
        <w:rPr>
          <w:bCs/>
          <w:lang w:val="en-US"/>
        </w:rPr>
        <w:t>crowds out savings, or affects the</w:t>
      </w:r>
      <w:r w:rsidR="00433FB9">
        <w:rPr>
          <w:bCs/>
          <w:lang w:val="en-US"/>
        </w:rPr>
        <w:t xml:space="preserve"> </w:t>
      </w:r>
      <w:r w:rsidRPr="00AB3119">
        <w:rPr>
          <w:bCs/>
          <w:lang w:val="en-US"/>
        </w:rPr>
        <w:t>composition and purpose of savings.</w:t>
      </w:r>
    </w:p>
    <w:p w:rsidR="00DF33BA" w:rsidRDefault="007D361F" w:rsidP="00596177">
      <w:pPr>
        <w:spacing w:line="360" w:lineRule="auto"/>
        <w:jc w:val="both"/>
        <w:rPr>
          <w:bCs/>
          <w:lang w:val="en-US"/>
        </w:rPr>
      </w:pPr>
      <w:r w:rsidRPr="00AB3119">
        <w:rPr>
          <w:bCs/>
          <w:lang w:val="en-US"/>
        </w:rPr>
        <w:t xml:space="preserve">Economic theory provides mixed </w:t>
      </w:r>
      <w:r>
        <w:rPr>
          <w:bCs/>
          <w:lang w:val="en-US"/>
        </w:rPr>
        <w:t>forecasts</w:t>
      </w:r>
      <w:r w:rsidRPr="00AB3119">
        <w:rPr>
          <w:bCs/>
          <w:lang w:val="en-US"/>
        </w:rPr>
        <w:t xml:space="preserve">. </w:t>
      </w:r>
      <w:r>
        <w:rPr>
          <w:bCs/>
          <w:lang w:val="en-US"/>
        </w:rPr>
        <w:t xml:space="preserve">For instance, </w:t>
      </w:r>
      <w:r w:rsidRPr="00AB3119">
        <w:rPr>
          <w:bCs/>
          <w:lang w:val="en-US"/>
        </w:rPr>
        <w:t>Life-cycle and permanent income hypotheses suggest that</w:t>
      </w:r>
      <w:r w:rsidR="00640049">
        <w:rPr>
          <w:bCs/>
          <w:lang w:val="en-US"/>
        </w:rPr>
        <w:t xml:space="preserve"> </w:t>
      </w:r>
      <w:r w:rsidRPr="00AB3119">
        <w:rPr>
          <w:bCs/>
          <w:lang w:val="en-US"/>
        </w:rPr>
        <w:t xml:space="preserve">access </w:t>
      </w:r>
      <w:r>
        <w:rPr>
          <w:bCs/>
          <w:lang w:val="en-US"/>
        </w:rPr>
        <w:t xml:space="preserve">to credit is an </w:t>
      </w:r>
      <w:r w:rsidRPr="00AB3119">
        <w:rPr>
          <w:bCs/>
          <w:lang w:val="en-US"/>
        </w:rPr>
        <w:t>enable</w:t>
      </w:r>
      <w:r>
        <w:rPr>
          <w:bCs/>
          <w:lang w:val="en-US"/>
        </w:rPr>
        <w:t xml:space="preserve">r of </w:t>
      </w:r>
      <w:r w:rsidRPr="00AB3119">
        <w:rPr>
          <w:bCs/>
          <w:lang w:val="en-US"/>
        </w:rPr>
        <w:t xml:space="preserve">consumption smoothing and may </w:t>
      </w:r>
      <w:r>
        <w:rPr>
          <w:bCs/>
          <w:lang w:val="en-US"/>
        </w:rPr>
        <w:t xml:space="preserve">result in </w:t>
      </w:r>
      <w:r w:rsidRPr="00AB3119">
        <w:rPr>
          <w:bCs/>
          <w:lang w:val="en-US"/>
        </w:rPr>
        <w:t>a redu</w:t>
      </w:r>
      <w:r>
        <w:rPr>
          <w:bCs/>
          <w:lang w:val="en-US"/>
        </w:rPr>
        <w:t>ction in</w:t>
      </w:r>
      <w:r w:rsidRPr="00AB3119">
        <w:rPr>
          <w:bCs/>
          <w:lang w:val="en-US"/>
        </w:rPr>
        <w:t xml:space="preserve"> precautionary savings (Modigliani &amp; </w:t>
      </w:r>
      <w:proofErr w:type="spellStart"/>
      <w:r w:rsidRPr="00AB3119">
        <w:rPr>
          <w:bCs/>
          <w:lang w:val="en-US"/>
        </w:rPr>
        <w:t>Brumberg</w:t>
      </w:r>
      <w:proofErr w:type="spellEnd"/>
      <w:r w:rsidRPr="00AB3119">
        <w:rPr>
          <w:bCs/>
          <w:lang w:val="en-US"/>
        </w:rPr>
        <w:t xml:space="preserve">, 1954; Friedman, 1957). In contrast, </w:t>
      </w:r>
      <w:r>
        <w:rPr>
          <w:bCs/>
          <w:lang w:val="en-US"/>
        </w:rPr>
        <w:t xml:space="preserve">various </w:t>
      </w:r>
      <w:r w:rsidRPr="00AB3119">
        <w:rPr>
          <w:bCs/>
          <w:lang w:val="en-US"/>
        </w:rPr>
        <w:t xml:space="preserve">financial deepening theories </w:t>
      </w:r>
      <w:r>
        <w:rPr>
          <w:bCs/>
          <w:lang w:val="en-US"/>
        </w:rPr>
        <w:t>opine</w:t>
      </w:r>
      <w:r w:rsidRPr="00AB3119">
        <w:rPr>
          <w:bCs/>
          <w:lang w:val="en-US"/>
        </w:rPr>
        <w:t xml:space="preserve"> that improved access to credit can encourage savings by increasing returns to saving, </w:t>
      </w:r>
      <w:r w:rsidRPr="00565D58">
        <w:rPr>
          <w:bCs/>
          <w:lang w:val="en-US"/>
        </w:rPr>
        <w:t xml:space="preserve">promoting investment opportunities, </w:t>
      </w:r>
      <w:r>
        <w:rPr>
          <w:bCs/>
          <w:lang w:val="en-US"/>
        </w:rPr>
        <w:t xml:space="preserve">and </w:t>
      </w:r>
      <w:r w:rsidRPr="00AB3119">
        <w:rPr>
          <w:bCs/>
          <w:lang w:val="en-US"/>
        </w:rPr>
        <w:t>strengthening financial inclusion</w:t>
      </w:r>
      <w:r w:rsidR="00640049">
        <w:rPr>
          <w:bCs/>
          <w:lang w:val="en-US"/>
        </w:rPr>
        <w:t xml:space="preserve"> </w:t>
      </w:r>
      <w:r w:rsidRPr="00AB3119">
        <w:rPr>
          <w:bCs/>
          <w:lang w:val="en-US"/>
        </w:rPr>
        <w:t xml:space="preserve">(McKinnon, 1973; Shaw, 1973). Empirical evidence </w:t>
      </w:r>
      <w:r>
        <w:rPr>
          <w:bCs/>
          <w:lang w:val="en-US"/>
        </w:rPr>
        <w:t xml:space="preserve">has </w:t>
      </w:r>
      <w:r w:rsidRPr="00AB3119">
        <w:rPr>
          <w:bCs/>
          <w:lang w:val="en-US"/>
        </w:rPr>
        <w:t>reflect</w:t>
      </w:r>
      <w:r>
        <w:rPr>
          <w:bCs/>
          <w:lang w:val="en-US"/>
        </w:rPr>
        <w:t xml:space="preserve">ed </w:t>
      </w:r>
      <w:r w:rsidRPr="00AB3119">
        <w:rPr>
          <w:bCs/>
          <w:lang w:val="en-US"/>
        </w:rPr>
        <w:t xml:space="preserve">this </w:t>
      </w:r>
      <w:r>
        <w:rPr>
          <w:bCs/>
          <w:lang w:val="en-US"/>
        </w:rPr>
        <w:t xml:space="preserve">particular </w:t>
      </w:r>
      <w:r w:rsidRPr="00AB3119">
        <w:rPr>
          <w:bCs/>
          <w:lang w:val="en-US"/>
        </w:rPr>
        <w:t xml:space="preserve">ambiguity, with </w:t>
      </w:r>
      <w:r>
        <w:rPr>
          <w:bCs/>
          <w:lang w:val="en-US"/>
        </w:rPr>
        <w:t>results</w:t>
      </w:r>
      <w:r w:rsidRPr="00AB3119">
        <w:rPr>
          <w:bCs/>
          <w:lang w:val="en-US"/>
        </w:rPr>
        <w:t xml:space="preserve"> varying by </w:t>
      </w:r>
      <w:r w:rsidRPr="00F11AA2">
        <w:rPr>
          <w:bCs/>
          <w:lang w:val="en-US"/>
        </w:rPr>
        <w:t>type of credit</w:t>
      </w:r>
      <w:r>
        <w:rPr>
          <w:bCs/>
          <w:lang w:val="en-US"/>
        </w:rPr>
        <w:t xml:space="preserve">, </w:t>
      </w:r>
      <w:r w:rsidRPr="00AB3119">
        <w:rPr>
          <w:bCs/>
          <w:lang w:val="en-US"/>
        </w:rPr>
        <w:t xml:space="preserve">income level, </w:t>
      </w:r>
      <w:r>
        <w:rPr>
          <w:bCs/>
          <w:lang w:val="en-US"/>
        </w:rPr>
        <w:t xml:space="preserve">and </w:t>
      </w:r>
      <w:r w:rsidRPr="00AB3119">
        <w:rPr>
          <w:bCs/>
          <w:lang w:val="en-US"/>
        </w:rPr>
        <w:t>institutional context.</w:t>
      </w:r>
    </w:p>
    <w:p w:rsidR="00DF33BA" w:rsidRPr="00B351EC" w:rsidRDefault="007D361F" w:rsidP="00B351EC">
      <w:pPr>
        <w:spacing w:after="0" w:line="360" w:lineRule="auto"/>
        <w:jc w:val="both"/>
        <w:rPr>
          <w:rFonts w:eastAsia="Times New Roman" w:cs="Times New Roman"/>
          <w:szCs w:val="24"/>
          <w:lang w:eastAsia="en-GB"/>
        </w:rPr>
      </w:pPr>
      <w:r w:rsidRPr="007D301A">
        <w:rPr>
          <w:rFonts w:eastAsia="Times New Roman" w:cs="Times New Roman"/>
          <w:szCs w:val="24"/>
          <w:lang w:eastAsia="en-GB"/>
        </w:rPr>
        <w:t xml:space="preserve">The Kenya National Financial Inclusion Strategy (2025-2028) from the Central Bank indicates that the uptake of credit and savings among Kenyan households has evolved significantly, as shown in Table 1. </w:t>
      </w:r>
    </w:p>
    <w:p w:rsidR="00DF33BA" w:rsidRPr="007D301A" w:rsidRDefault="007D361F" w:rsidP="00596177">
      <w:pPr>
        <w:spacing w:after="0" w:line="360" w:lineRule="auto"/>
        <w:jc w:val="both"/>
        <w:rPr>
          <w:rFonts w:eastAsia="Times New Roman" w:cs="Times New Roman"/>
          <w:szCs w:val="24"/>
          <w:lang w:eastAsia="en-GB"/>
        </w:rPr>
      </w:pPr>
      <w:r w:rsidRPr="007D301A">
        <w:rPr>
          <w:rFonts w:cs="Times New Roman"/>
          <w:b/>
          <w:bCs/>
          <w:szCs w:val="24"/>
        </w:rPr>
        <w:t xml:space="preserve">Table 1: Savings and credit uptake in Kenya </w:t>
      </w:r>
    </w:p>
    <w:tbl>
      <w:tblPr>
        <w:tblStyle w:val="TableGrid"/>
        <w:tblW w:w="5000" w:type="pct"/>
        <w:tblLook w:val="04A0" w:firstRow="1" w:lastRow="0" w:firstColumn="1" w:lastColumn="0" w:noHBand="0" w:noVBand="1"/>
      </w:tblPr>
      <w:tblGrid>
        <w:gridCol w:w="1365"/>
        <w:gridCol w:w="4402"/>
        <w:gridCol w:w="3475"/>
      </w:tblGrid>
      <w:tr w:rsidR="00857F00" w:rsidTr="00EC1167">
        <w:tc>
          <w:tcPr>
            <w:tcW w:w="738" w:type="pct"/>
          </w:tcPr>
          <w:p w:rsidR="00DF33BA" w:rsidRPr="007D301A" w:rsidRDefault="007D361F" w:rsidP="00596177">
            <w:pPr>
              <w:jc w:val="both"/>
              <w:rPr>
                <w:rFonts w:eastAsia="Times New Roman" w:cs="Times New Roman"/>
                <w:sz w:val="24"/>
                <w:szCs w:val="24"/>
                <w:lang w:eastAsia="en-GB"/>
              </w:rPr>
            </w:pPr>
            <w:r w:rsidRPr="007D301A">
              <w:rPr>
                <w:rFonts w:eastAsia="Times New Roman" w:cs="Times New Roman"/>
                <w:sz w:val="24"/>
                <w:szCs w:val="24"/>
                <w:lang w:eastAsia="en-GB"/>
              </w:rPr>
              <w:t>Year</w:t>
            </w:r>
          </w:p>
        </w:tc>
        <w:tc>
          <w:tcPr>
            <w:tcW w:w="2381" w:type="pct"/>
          </w:tcPr>
          <w:p w:rsidR="00DF33BA" w:rsidRPr="007D301A" w:rsidRDefault="007D361F" w:rsidP="00596177">
            <w:pPr>
              <w:jc w:val="both"/>
              <w:rPr>
                <w:rFonts w:eastAsia="Times New Roman" w:cs="Times New Roman"/>
                <w:sz w:val="24"/>
                <w:szCs w:val="24"/>
                <w:lang w:eastAsia="en-GB"/>
              </w:rPr>
            </w:pPr>
            <w:r w:rsidRPr="007D301A">
              <w:rPr>
                <w:rFonts w:eastAsia="Times New Roman" w:cs="Times New Roman"/>
                <w:sz w:val="24"/>
                <w:szCs w:val="24"/>
                <w:lang w:eastAsia="en-GB"/>
              </w:rPr>
              <w:t>Credit/Loan rate (%)</w:t>
            </w:r>
          </w:p>
        </w:tc>
        <w:tc>
          <w:tcPr>
            <w:tcW w:w="1880" w:type="pct"/>
          </w:tcPr>
          <w:p w:rsidR="00DF33BA" w:rsidRPr="007D301A" w:rsidRDefault="007D361F" w:rsidP="00596177">
            <w:pPr>
              <w:jc w:val="both"/>
              <w:rPr>
                <w:rFonts w:eastAsia="Times New Roman" w:cs="Times New Roman"/>
                <w:sz w:val="24"/>
                <w:szCs w:val="24"/>
                <w:lang w:eastAsia="en-GB"/>
              </w:rPr>
            </w:pPr>
            <w:r w:rsidRPr="007D301A">
              <w:rPr>
                <w:rFonts w:eastAsia="Times New Roman" w:cs="Times New Roman"/>
                <w:sz w:val="24"/>
                <w:szCs w:val="24"/>
                <w:lang w:eastAsia="en-GB"/>
              </w:rPr>
              <w:t>Saving rate (%)</w:t>
            </w:r>
          </w:p>
        </w:tc>
      </w:tr>
      <w:tr w:rsidR="00857F00" w:rsidTr="00EC1167">
        <w:tc>
          <w:tcPr>
            <w:tcW w:w="738" w:type="pct"/>
          </w:tcPr>
          <w:p w:rsidR="00DF33BA" w:rsidRPr="007D301A" w:rsidRDefault="007D361F" w:rsidP="00596177">
            <w:pPr>
              <w:jc w:val="both"/>
              <w:rPr>
                <w:rFonts w:eastAsia="Times New Roman" w:cs="Times New Roman"/>
                <w:sz w:val="24"/>
                <w:szCs w:val="24"/>
                <w:lang w:eastAsia="en-GB"/>
              </w:rPr>
            </w:pPr>
            <w:r w:rsidRPr="007D301A">
              <w:rPr>
                <w:rFonts w:eastAsia="Times New Roman" w:cs="Times New Roman"/>
                <w:sz w:val="24"/>
                <w:szCs w:val="24"/>
                <w:lang w:eastAsia="en-GB"/>
              </w:rPr>
              <w:t>2006</w:t>
            </w:r>
          </w:p>
        </w:tc>
        <w:tc>
          <w:tcPr>
            <w:tcW w:w="2381" w:type="pct"/>
          </w:tcPr>
          <w:p w:rsidR="00DF33BA" w:rsidRPr="007D301A" w:rsidRDefault="007D361F" w:rsidP="00596177">
            <w:pPr>
              <w:jc w:val="both"/>
              <w:rPr>
                <w:rFonts w:eastAsia="Times New Roman" w:cs="Times New Roman"/>
                <w:sz w:val="24"/>
                <w:szCs w:val="24"/>
                <w:lang w:eastAsia="en-GB"/>
              </w:rPr>
            </w:pPr>
            <w:r w:rsidRPr="007D301A">
              <w:rPr>
                <w:rFonts w:eastAsia="Times New Roman" w:cs="Times New Roman"/>
                <w:sz w:val="24"/>
                <w:szCs w:val="24"/>
                <w:lang w:eastAsia="en-GB"/>
              </w:rPr>
              <w:t>35.5</w:t>
            </w:r>
          </w:p>
        </w:tc>
        <w:tc>
          <w:tcPr>
            <w:tcW w:w="1880" w:type="pct"/>
          </w:tcPr>
          <w:p w:rsidR="00DF33BA" w:rsidRPr="007D301A" w:rsidRDefault="007D361F" w:rsidP="00596177">
            <w:pPr>
              <w:jc w:val="both"/>
              <w:rPr>
                <w:rFonts w:eastAsia="Times New Roman" w:cs="Times New Roman"/>
                <w:sz w:val="24"/>
                <w:szCs w:val="24"/>
                <w:lang w:eastAsia="en-GB"/>
              </w:rPr>
            </w:pPr>
            <w:r w:rsidRPr="007D301A">
              <w:rPr>
                <w:rFonts w:eastAsia="Times New Roman" w:cs="Times New Roman"/>
                <w:sz w:val="24"/>
                <w:szCs w:val="24"/>
                <w:lang w:eastAsia="en-GB"/>
              </w:rPr>
              <w:t>51.9</w:t>
            </w:r>
          </w:p>
        </w:tc>
      </w:tr>
      <w:tr w:rsidR="00857F00" w:rsidTr="00EC1167">
        <w:tc>
          <w:tcPr>
            <w:tcW w:w="738" w:type="pct"/>
          </w:tcPr>
          <w:p w:rsidR="00DF33BA" w:rsidRPr="007D301A" w:rsidRDefault="007D361F" w:rsidP="00596177">
            <w:pPr>
              <w:jc w:val="both"/>
              <w:rPr>
                <w:rFonts w:eastAsia="Times New Roman" w:cs="Times New Roman"/>
                <w:sz w:val="24"/>
                <w:szCs w:val="24"/>
                <w:lang w:eastAsia="en-GB"/>
              </w:rPr>
            </w:pPr>
            <w:r w:rsidRPr="007D301A">
              <w:rPr>
                <w:rFonts w:eastAsia="Times New Roman" w:cs="Times New Roman"/>
                <w:sz w:val="24"/>
                <w:szCs w:val="24"/>
                <w:lang w:eastAsia="en-GB"/>
              </w:rPr>
              <w:t>2009</w:t>
            </w:r>
          </w:p>
        </w:tc>
        <w:tc>
          <w:tcPr>
            <w:tcW w:w="2381" w:type="pct"/>
          </w:tcPr>
          <w:p w:rsidR="00DF33BA" w:rsidRPr="007D301A" w:rsidRDefault="007D361F" w:rsidP="00596177">
            <w:pPr>
              <w:jc w:val="both"/>
              <w:rPr>
                <w:rFonts w:eastAsia="Times New Roman" w:cs="Times New Roman"/>
                <w:sz w:val="24"/>
                <w:szCs w:val="24"/>
                <w:lang w:eastAsia="en-GB"/>
              </w:rPr>
            </w:pPr>
            <w:r w:rsidRPr="007D301A">
              <w:rPr>
                <w:rFonts w:eastAsia="Times New Roman" w:cs="Times New Roman"/>
                <w:sz w:val="24"/>
                <w:szCs w:val="24"/>
                <w:lang w:eastAsia="en-GB"/>
              </w:rPr>
              <w:t>37.8</w:t>
            </w:r>
          </w:p>
        </w:tc>
        <w:tc>
          <w:tcPr>
            <w:tcW w:w="1880" w:type="pct"/>
          </w:tcPr>
          <w:p w:rsidR="00DF33BA" w:rsidRPr="007D301A" w:rsidRDefault="007D361F" w:rsidP="00596177">
            <w:pPr>
              <w:jc w:val="both"/>
              <w:rPr>
                <w:rFonts w:eastAsia="Times New Roman" w:cs="Times New Roman"/>
                <w:sz w:val="24"/>
                <w:szCs w:val="24"/>
                <w:lang w:eastAsia="en-GB"/>
              </w:rPr>
            </w:pPr>
            <w:r w:rsidRPr="007D301A">
              <w:rPr>
                <w:rFonts w:eastAsia="Times New Roman" w:cs="Times New Roman"/>
                <w:sz w:val="24"/>
                <w:szCs w:val="24"/>
                <w:lang w:eastAsia="en-GB"/>
              </w:rPr>
              <w:t>51.5</w:t>
            </w:r>
          </w:p>
        </w:tc>
      </w:tr>
      <w:tr w:rsidR="00857F00" w:rsidTr="00EC1167">
        <w:tc>
          <w:tcPr>
            <w:tcW w:w="738" w:type="pct"/>
          </w:tcPr>
          <w:p w:rsidR="00DF33BA" w:rsidRPr="007D301A" w:rsidRDefault="007D361F" w:rsidP="00596177">
            <w:pPr>
              <w:jc w:val="both"/>
              <w:rPr>
                <w:rFonts w:eastAsia="Times New Roman" w:cs="Times New Roman"/>
                <w:sz w:val="24"/>
                <w:szCs w:val="24"/>
                <w:lang w:eastAsia="en-GB"/>
              </w:rPr>
            </w:pPr>
            <w:r w:rsidRPr="007D301A">
              <w:rPr>
                <w:rFonts w:eastAsia="Times New Roman" w:cs="Times New Roman"/>
                <w:sz w:val="24"/>
                <w:szCs w:val="24"/>
                <w:lang w:eastAsia="en-GB"/>
              </w:rPr>
              <w:t>2013</w:t>
            </w:r>
          </w:p>
        </w:tc>
        <w:tc>
          <w:tcPr>
            <w:tcW w:w="2381" w:type="pct"/>
          </w:tcPr>
          <w:p w:rsidR="00DF33BA" w:rsidRPr="007D301A" w:rsidRDefault="007D361F" w:rsidP="00596177">
            <w:pPr>
              <w:jc w:val="both"/>
              <w:rPr>
                <w:rFonts w:eastAsia="Times New Roman" w:cs="Times New Roman"/>
                <w:sz w:val="24"/>
                <w:szCs w:val="24"/>
                <w:lang w:eastAsia="en-GB"/>
              </w:rPr>
            </w:pPr>
            <w:r w:rsidRPr="007D301A">
              <w:rPr>
                <w:rFonts w:eastAsia="Times New Roman" w:cs="Times New Roman"/>
                <w:sz w:val="24"/>
                <w:szCs w:val="24"/>
                <w:lang w:eastAsia="en-GB"/>
              </w:rPr>
              <w:t>28.6</w:t>
            </w:r>
          </w:p>
        </w:tc>
        <w:tc>
          <w:tcPr>
            <w:tcW w:w="1880" w:type="pct"/>
          </w:tcPr>
          <w:p w:rsidR="00DF33BA" w:rsidRPr="007D301A" w:rsidRDefault="007D361F" w:rsidP="00596177">
            <w:pPr>
              <w:jc w:val="both"/>
              <w:rPr>
                <w:rFonts w:eastAsia="Times New Roman" w:cs="Times New Roman"/>
                <w:sz w:val="24"/>
                <w:szCs w:val="24"/>
                <w:lang w:eastAsia="en-GB"/>
              </w:rPr>
            </w:pPr>
            <w:r w:rsidRPr="007D301A">
              <w:rPr>
                <w:rFonts w:eastAsia="Times New Roman" w:cs="Times New Roman"/>
                <w:sz w:val="24"/>
                <w:szCs w:val="24"/>
                <w:lang w:eastAsia="en-GB"/>
              </w:rPr>
              <w:t>58.4</w:t>
            </w:r>
          </w:p>
        </w:tc>
      </w:tr>
      <w:tr w:rsidR="00857F00" w:rsidTr="00EC1167">
        <w:tc>
          <w:tcPr>
            <w:tcW w:w="738" w:type="pct"/>
          </w:tcPr>
          <w:p w:rsidR="00DF33BA" w:rsidRPr="007D301A" w:rsidRDefault="007D361F" w:rsidP="00596177">
            <w:pPr>
              <w:jc w:val="both"/>
              <w:rPr>
                <w:rFonts w:eastAsia="Times New Roman" w:cs="Times New Roman"/>
                <w:sz w:val="24"/>
                <w:szCs w:val="24"/>
                <w:lang w:eastAsia="en-GB"/>
              </w:rPr>
            </w:pPr>
            <w:r w:rsidRPr="007D301A">
              <w:rPr>
                <w:rFonts w:eastAsia="Times New Roman" w:cs="Times New Roman"/>
                <w:sz w:val="24"/>
                <w:szCs w:val="24"/>
                <w:lang w:eastAsia="en-GB"/>
              </w:rPr>
              <w:t>2016</w:t>
            </w:r>
          </w:p>
        </w:tc>
        <w:tc>
          <w:tcPr>
            <w:tcW w:w="2381" w:type="pct"/>
          </w:tcPr>
          <w:p w:rsidR="00DF33BA" w:rsidRPr="007D301A" w:rsidRDefault="007D361F" w:rsidP="00596177">
            <w:pPr>
              <w:jc w:val="both"/>
              <w:rPr>
                <w:rFonts w:eastAsia="Times New Roman" w:cs="Times New Roman"/>
                <w:sz w:val="24"/>
                <w:szCs w:val="24"/>
                <w:lang w:eastAsia="en-GB"/>
              </w:rPr>
            </w:pPr>
            <w:r w:rsidRPr="007D301A">
              <w:rPr>
                <w:rFonts w:eastAsia="Times New Roman" w:cs="Times New Roman"/>
                <w:sz w:val="24"/>
                <w:szCs w:val="24"/>
                <w:lang w:eastAsia="en-GB"/>
              </w:rPr>
              <w:t>34.2</w:t>
            </w:r>
          </w:p>
        </w:tc>
        <w:tc>
          <w:tcPr>
            <w:tcW w:w="1880" w:type="pct"/>
          </w:tcPr>
          <w:p w:rsidR="00DF33BA" w:rsidRPr="007D301A" w:rsidRDefault="007D361F" w:rsidP="00596177">
            <w:pPr>
              <w:jc w:val="both"/>
              <w:rPr>
                <w:rFonts w:eastAsia="Times New Roman" w:cs="Times New Roman"/>
                <w:sz w:val="24"/>
                <w:szCs w:val="24"/>
                <w:lang w:eastAsia="en-GB"/>
              </w:rPr>
            </w:pPr>
            <w:r w:rsidRPr="007D301A">
              <w:rPr>
                <w:rFonts w:eastAsia="Times New Roman" w:cs="Times New Roman"/>
                <w:sz w:val="24"/>
                <w:szCs w:val="24"/>
                <w:lang w:eastAsia="en-GB"/>
              </w:rPr>
              <w:t>66.4</w:t>
            </w:r>
          </w:p>
        </w:tc>
      </w:tr>
      <w:tr w:rsidR="00857F00" w:rsidTr="00EC1167">
        <w:tc>
          <w:tcPr>
            <w:tcW w:w="738" w:type="pct"/>
          </w:tcPr>
          <w:p w:rsidR="00DF33BA" w:rsidRPr="007D301A" w:rsidRDefault="007D361F" w:rsidP="00596177">
            <w:pPr>
              <w:jc w:val="both"/>
              <w:rPr>
                <w:rFonts w:eastAsia="Times New Roman" w:cs="Times New Roman"/>
                <w:sz w:val="24"/>
                <w:szCs w:val="24"/>
                <w:lang w:eastAsia="en-GB"/>
              </w:rPr>
            </w:pPr>
            <w:r w:rsidRPr="007D301A">
              <w:rPr>
                <w:rFonts w:eastAsia="Times New Roman" w:cs="Times New Roman"/>
                <w:sz w:val="24"/>
                <w:szCs w:val="24"/>
                <w:lang w:eastAsia="en-GB"/>
              </w:rPr>
              <w:t>2019</w:t>
            </w:r>
          </w:p>
        </w:tc>
        <w:tc>
          <w:tcPr>
            <w:tcW w:w="2381" w:type="pct"/>
          </w:tcPr>
          <w:p w:rsidR="00DF33BA" w:rsidRPr="007D301A" w:rsidRDefault="007D361F" w:rsidP="00596177">
            <w:pPr>
              <w:jc w:val="both"/>
              <w:rPr>
                <w:rFonts w:eastAsia="Times New Roman" w:cs="Times New Roman"/>
                <w:sz w:val="24"/>
                <w:szCs w:val="24"/>
                <w:lang w:eastAsia="en-GB"/>
              </w:rPr>
            </w:pPr>
            <w:r w:rsidRPr="007D301A">
              <w:rPr>
                <w:rFonts w:eastAsia="Times New Roman" w:cs="Times New Roman"/>
                <w:sz w:val="24"/>
                <w:szCs w:val="24"/>
                <w:lang w:eastAsia="en-GB"/>
              </w:rPr>
              <w:t>50.4</w:t>
            </w:r>
          </w:p>
        </w:tc>
        <w:tc>
          <w:tcPr>
            <w:tcW w:w="1880" w:type="pct"/>
          </w:tcPr>
          <w:p w:rsidR="00DF33BA" w:rsidRPr="007D301A" w:rsidRDefault="007D361F" w:rsidP="00596177">
            <w:pPr>
              <w:jc w:val="both"/>
              <w:rPr>
                <w:rFonts w:eastAsia="Times New Roman" w:cs="Times New Roman"/>
                <w:sz w:val="24"/>
                <w:szCs w:val="24"/>
                <w:lang w:eastAsia="en-GB"/>
              </w:rPr>
            </w:pPr>
            <w:r w:rsidRPr="007D301A">
              <w:rPr>
                <w:rFonts w:eastAsia="Times New Roman" w:cs="Times New Roman"/>
                <w:sz w:val="24"/>
                <w:szCs w:val="24"/>
                <w:lang w:eastAsia="en-GB"/>
              </w:rPr>
              <w:t>69.9</w:t>
            </w:r>
          </w:p>
        </w:tc>
      </w:tr>
      <w:tr w:rsidR="00857F00" w:rsidTr="00EC1167">
        <w:tc>
          <w:tcPr>
            <w:tcW w:w="738" w:type="pct"/>
          </w:tcPr>
          <w:p w:rsidR="00DF33BA" w:rsidRPr="007D301A" w:rsidRDefault="007D361F" w:rsidP="00596177">
            <w:pPr>
              <w:jc w:val="both"/>
              <w:rPr>
                <w:rFonts w:eastAsia="Times New Roman" w:cs="Times New Roman"/>
                <w:sz w:val="24"/>
                <w:szCs w:val="24"/>
                <w:lang w:eastAsia="en-GB"/>
              </w:rPr>
            </w:pPr>
            <w:r w:rsidRPr="007D301A">
              <w:rPr>
                <w:rFonts w:eastAsia="Times New Roman" w:cs="Times New Roman"/>
                <w:sz w:val="24"/>
                <w:szCs w:val="24"/>
                <w:lang w:eastAsia="en-GB"/>
              </w:rPr>
              <w:t>2021</w:t>
            </w:r>
          </w:p>
        </w:tc>
        <w:tc>
          <w:tcPr>
            <w:tcW w:w="2381" w:type="pct"/>
          </w:tcPr>
          <w:p w:rsidR="00DF33BA" w:rsidRPr="007D301A" w:rsidRDefault="007D361F" w:rsidP="00596177">
            <w:pPr>
              <w:jc w:val="both"/>
              <w:rPr>
                <w:rFonts w:eastAsia="Times New Roman" w:cs="Times New Roman"/>
                <w:sz w:val="24"/>
                <w:szCs w:val="24"/>
                <w:lang w:eastAsia="en-GB"/>
              </w:rPr>
            </w:pPr>
            <w:r w:rsidRPr="007D301A">
              <w:rPr>
                <w:rFonts w:eastAsia="Times New Roman" w:cs="Times New Roman"/>
                <w:sz w:val="24"/>
                <w:szCs w:val="24"/>
                <w:lang w:eastAsia="en-GB"/>
              </w:rPr>
              <w:t>60.8</w:t>
            </w:r>
          </w:p>
        </w:tc>
        <w:tc>
          <w:tcPr>
            <w:tcW w:w="1880" w:type="pct"/>
          </w:tcPr>
          <w:p w:rsidR="00DF33BA" w:rsidRPr="007D301A" w:rsidRDefault="007D361F" w:rsidP="00596177">
            <w:pPr>
              <w:jc w:val="both"/>
              <w:rPr>
                <w:rFonts w:eastAsia="Times New Roman" w:cs="Times New Roman"/>
                <w:sz w:val="24"/>
                <w:szCs w:val="24"/>
                <w:lang w:eastAsia="en-GB"/>
              </w:rPr>
            </w:pPr>
            <w:r w:rsidRPr="007D301A">
              <w:rPr>
                <w:rFonts w:eastAsia="Times New Roman" w:cs="Times New Roman"/>
                <w:sz w:val="24"/>
                <w:szCs w:val="24"/>
                <w:lang w:eastAsia="en-GB"/>
              </w:rPr>
              <w:t>74.0</w:t>
            </w:r>
          </w:p>
        </w:tc>
      </w:tr>
      <w:tr w:rsidR="00857F00" w:rsidTr="00EC1167">
        <w:tc>
          <w:tcPr>
            <w:tcW w:w="738" w:type="pct"/>
          </w:tcPr>
          <w:p w:rsidR="00DF33BA" w:rsidRPr="007D301A" w:rsidRDefault="007D361F" w:rsidP="00596177">
            <w:pPr>
              <w:jc w:val="both"/>
              <w:rPr>
                <w:rFonts w:eastAsia="Times New Roman" w:cs="Times New Roman"/>
                <w:sz w:val="24"/>
                <w:szCs w:val="24"/>
                <w:lang w:eastAsia="en-GB"/>
              </w:rPr>
            </w:pPr>
            <w:r w:rsidRPr="007D301A">
              <w:rPr>
                <w:rFonts w:eastAsia="Times New Roman" w:cs="Times New Roman"/>
                <w:sz w:val="24"/>
                <w:szCs w:val="24"/>
                <w:lang w:eastAsia="en-GB"/>
              </w:rPr>
              <w:t>2024</w:t>
            </w:r>
          </w:p>
        </w:tc>
        <w:tc>
          <w:tcPr>
            <w:tcW w:w="2381" w:type="pct"/>
          </w:tcPr>
          <w:p w:rsidR="00DF33BA" w:rsidRPr="007D301A" w:rsidRDefault="007D361F" w:rsidP="00596177">
            <w:pPr>
              <w:jc w:val="both"/>
              <w:rPr>
                <w:rFonts w:eastAsia="Times New Roman" w:cs="Times New Roman"/>
                <w:sz w:val="24"/>
                <w:szCs w:val="24"/>
                <w:lang w:eastAsia="en-GB"/>
              </w:rPr>
            </w:pPr>
            <w:r w:rsidRPr="007D301A">
              <w:rPr>
                <w:rFonts w:eastAsia="Times New Roman" w:cs="Times New Roman"/>
                <w:sz w:val="24"/>
                <w:szCs w:val="24"/>
                <w:lang w:eastAsia="en-GB"/>
              </w:rPr>
              <w:t>64.0</w:t>
            </w:r>
          </w:p>
        </w:tc>
        <w:tc>
          <w:tcPr>
            <w:tcW w:w="1880" w:type="pct"/>
          </w:tcPr>
          <w:p w:rsidR="00DF33BA" w:rsidRPr="007D301A" w:rsidRDefault="007D361F" w:rsidP="00596177">
            <w:pPr>
              <w:jc w:val="both"/>
              <w:rPr>
                <w:rFonts w:eastAsia="Times New Roman" w:cs="Times New Roman"/>
                <w:sz w:val="24"/>
                <w:szCs w:val="24"/>
                <w:lang w:eastAsia="en-GB"/>
              </w:rPr>
            </w:pPr>
            <w:r w:rsidRPr="007D301A">
              <w:rPr>
                <w:rFonts w:eastAsia="Times New Roman" w:cs="Times New Roman"/>
                <w:sz w:val="24"/>
                <w:szCs w:val="24"/>
                <w:lang w:eastAsia="en-GB"/>
              </w:rPr>
              <w:t>68.1</w:t>
            </w:r>
          </w:p>
        </w:tc>
      </w:tr>
    </w:tbl>
    <w:p w:rsidR="00DF33BA" w:rsidRPr="007D301A" w:rsidRDefault="007D361F" w:rsidP="00596177">
      <w:pPr>
        <w:spacing w:after="0" w:line="360" w:lineRule="auto"/>
        <w:jc w:val="both"/>
        <w:rPr>
          <w:rFonts w:eastAsia="Times New Roman" w:cs="Times New Roman"/>
          <w:szCs w:val="24"/>
          <w:lang w:eastAsia="en-GB"/>
        </w:rPr>
      </w:pPr>
      <w:r w:rsidRPr="007D301A">
        <w:rPr>
          <w:rFonts w:eastAsia="Times New Roman" w:cs="Times New Roman"/>
          <w:szCs w:val="24"/>
          <w:lang w:eastAsia="en-GB"/>
        </w:rPr>
        <w:t>Note: Figures represent the percentage of households.</w:t>
      </w:r>
    </w:p>
    <w:p w:rsidR="00DF33BA" w:rsidRPr="007D301A" w:rsidRDefault="007D361F" w:rsidP="00596177">
      <w:pPr>
        <w:spacing w:after="0" w:line="360" w:lineRule="auto"/>
        <w:jc w:val="both"/>
        <w:rPr>
          <w:rFonts w:eastAsia="Times New Roman" w:cs="Times New Roman"/>
          <w:szCs w:val="24"/>
          <w:lang w:eastAsia="en-GB"/>
        </w:rPr>
      </w:pPr>
      <w:r w:rsidRPr="007D301A">
        <w:rPr>
          <w:rFonts w:eastAsia="Times New Roman" w:cs="Times New Roman"/>
          <w:i/>
          <w:szCs w:val="24"/>
          <w:lang w:eastAsia="en-GB"/>
        </w:rPr>
        <w:t>Source</w:t>
      </w:r>
      <w:r w:rsidRPr="007D301A">
        <w:rPr>
          <w:rFonts w:eastAsia="Times New Roman" w:cs="Times New Roman"/>
          <w:szCs w:val="24"/>
          <w:lang w:eastAsia="en-GB"/>
        </w:rPr>
        <w:t>: Central Bank (2025).</w:t>
      </w:r>
      <w:r w:rsidRPr="007D301A">
        <w:rPr>
          <w:rFonts w:eastAsia="Times New Roman" w:cs="Times New Roman"/>
          <w:vanish/>
          <w:szCs w:val="24"/>
          <w:lang w:eastAsia="en-GB"/>
        </w:rPr>
        <w:t>Top of Form</w:t>
      </w:r>
    </w:p>
    <w:p w:rsidR="007C7286" w:rsidRDefault="007D361F" w:rsidP="007C7286">
      <w:pPr>
        <w:spacing w:line="360" w:lineRule="auto"/>
        <w:jc w:val="both"/>
        <w:rPr>
          <w:rFonts w:eastAsia="Times New Roman" w:cs="Times New Roman"/>
          <w:szCs w:val="24"/>
          <w:lang w:eastAsia="en-GB"/>
        </w:rPr>
      </w:pPr>
      <w:r w:rsidRPr="007D301A">
        <w:rPr>
          <w:rFonts w:eastAsia="Times New Roman" w:cs="Times New Roman"/>
          <w:szCs w:val="24"/>
          <w:lang w:eastAsia="en-GB"/>
        </w:rPr>
        <w:t xml:space="preserve">The savings rate increased steadily from 51.9% in 2006 to a peak of 74.0% in 2021, then slightly declined to 68.1% in 2024. This trend reflects a growing culture of financial prudence. In contrast, credit uptake has shown more volatility, starting at 35.5% in 2006 and peaking at 37.8% in 2009, before dropping to a low of 28.6% in 2013. It has since recovered, reaching 64.0% in 2024, likely </w:t>
      </w:r>
      <w:proofErr w:type="spellStart"/>
      <w:r w:rsidRPr="007D301A">
        <w:rPr>
          <w:rFonts w:eastAsia="Times New Roman" w:cs="Times New Roman"/>
          <w:szCs w:val="24"/>
          <w:lang w:eastAsia="en-GB"/>
        </w:rPr>
        <w:t>fueled</w:t>
      </w:r>
      <w:proofErr w:type="spellEnd"/>
      <w:r w:rsidRPr="007D301A">
        <w:rPr>
          <w:rFonts w:eastAsia="Times New Roman" w:cs="Times New Roman"/>
          <w:szCs w:val="24"/>
          <w:lang w:eastAsia="en-GB"/>
        </w:rPr>
        <w:t xml:space="preserve"> by the rise of digital lending services. By 2024, the gap </w:t>
      </w:r>
      <w:r w:rsidRPr="007D301A">
        <w:rPr>
          <w:rFonts w:eastAsia="Times New Roman" w:cs="Times New Roman"/>
          <w:szCs w:val="24"/>
          <w:lang w:eastAsia="en-GB"/>
        </w:rPr>
        <w:lastRenderedPageBreak/>
        <w:t>between savings and credit uptake had narrowed considerably, with savings at 68.1% and credit at 64.0% (Central Bank, 2025). This near convergence suggests that many Kenyan households are actively engaging in both borrowing and saving</w:t>
      </w:r>
      <w:r>
        <w:rPr>
          <w:rFonts w:eastAsia="Times New Roman" w:cs="Times New Roman"/>
          <w:szCs w:val="24"/>
          <w:lang w:eastAsia="en-GB"/>
        </w:rPr>
        <w:t>.</w:t>
      </w:r>
    </w:p>
    <w:p w:rsidR="007C7286" w:rsidRDefault="007D361F" w:rsidP="007C7286">
      <w:pPr>
        <w:spacing w:line="360" w:lineRule="auto"/>
        <w:jc w:val="both"/>
        <w:rPr>
          <w:rFonts w:eastAsia="Times New Roman" w:cs="Times New Roman"/>
          <w:szCs w:val="24"/>
          <w:lang w:eastAsia="en-GB"/>
        </w:rPr>
      </w:pPr>
      <w:r>
        <w:rPr>
          <w:bCs/>
          <w:lang w:val="en-US"/>
        </w:rPr>
        <w:t>Getting to u</w:t>
      </w:r>
      <w:r w:rsidRPr="00AB3119">
        <w:rPr>
          <w:bCs/>
          <w:lang w:val="en-US"/>
        </w:rPr>
        <w:t>nderstand</w:t>
      </w:r>
      <w:r w:rsidR="008F383C">
        <w:rPr>
          <w:bCs/>
          <w:lang w:val="en-US"/>
        </w:rPr>
        <w:t xml:space="preserve"> </w:t>
      </w:r>
      <w:r w:rsidRPr="00AB3119">
        <w:rPr>
          <w:bCs/>
          <w:lang w:val="en-US"/>
        </w:rPr>
        <w:t xml:space="preserve">the interplay between credit uptake and savings is particularly </w:t>
      </w:r>
      <w:r>
        <w:rPr>
          <w:bCs/>
          <w:lang w:val="en-US"/>
        </w:rPr>
        <w:t xml:space="preserve">significant and essential </w:t>
      </w:r>
      <w:r w:rsidRPr="00AB3119">
        <w:rPr>
          <w:bCs/>
          <w:lang w:val="en-US"/>
        </w:rPr>
        <w:t xml:space="preserve">for policy design, </w:t>
      </w:r>
      <w:r>
        <w:rPr>
          <w:bCs/>
          <w:lang w:val="en-US"/>
        </w:rPr>
        <w:t xml:space="preserve">coming up with </w:t>
      </w:r>
      <w:r w:rsidRPr="00AB3119">
        <w:rPr>
          <w:bCs/>
          <w:lang w:val="en-US"/>
        </w:rPr>
        <w:t xml:space="preserve">financial inclusion strategies, and </w:t>
      </w:r>
      <w:r>
        <w:rPr>
          <w:bCs/>
          <w:lang w:val="en-US"/>
        </w:rPr>
        <w:t xml:space="preserve">developing </w:t>
      </w:r>
      <w:r w:rsidRPr="00AB3119">
        <w:rPr>
          <w:bCs/>
          <w:lang w:val="en-US"/>
        </w:rPr>
        <w:t xml:space="preserve">poverty reduction efforts. If </w:t>
      </w:r>
      <w:r>
        <w:rPr>
          <w:bCs/>
          <w:lang w:val="en-US"/>
        </w:rPr>
        <w:t xml:space="preserve">it is found out that indeed </w:t>
      </w:r>
      <w:r w:rsidRPr="00AB3119">
        <w:rPr>
          <w:bCs/>
          <w:lang w:val="en-US"/>
        </w:rPr>
        <w:t xml:space="preserve">credit complements savings, </w:t>
      </w:r>
      <w:r>
        <w:rPr>
          <w:bCs/>
          <w:lang w:val="en-US"/>
        </w:rPr>
        <w:t xml:space="preserve">then </w:t>
      </w:r>
      <w:r w:rsidRPr="00AB3119">
        <w:rPr>
          <w:bCs/>
          <w:lang w:val="en-US"/>
        </w:rPr>
        <w:t xml:space="preserve">policies that </w:t>
      </w:r>
      <w:r>
        <w:rPr>
          <w:bCs/>
          <w:lang w:val="en-US"/>
        </w:rPr>
        <w:t xml:space="preserve">result in </w:t>
      </w:r>
      <w:r w:rsidRPr="00AB3119">
        <w:rPr>
          <w:bCs/>
          <w:lang w:val="en-US"/>
        </w:rPr>
        <w:t>expan</w:t>
      </w:r>
      <w:r>
        <w:rPr>
          <w:bCs/>
          <w:lang w:val="en-US"/>
        </w:rPr>
        <w:t xml:space="preserve">sion of </w:t>
      </w:r>
      <w:r w:rsidRPr="00AB3119">
        <w:rPr>
          <w:bCs/>
          <w:lang w:val="en-US"/>
        </w:rPr>
        <w:t xml:space="preserve">lending may simultaneously strengthen </w:t>
      </w:r>
      <w:r>
        <w:rPr>
          <w:bCs/>
          <w:lang w:val="en-US"/>
        </w:rPr>
        <w:t xml:space="preserve">mobilization of </w:t>
      </w:r>
      <w:r w:rsidRPr="00AB3119">
        <w:rPr>
          <w:bCs/>
          <w:lang w:val="en-US"/>
        </w:rPr>
        <w:t xml:space="preserve">savings. Conversely, if </w:t>
      </w:r>
      <w:r>
        <w:rPr>
          <w:bCs/>
          <w:lang w:val="en-US"/>
        </w:rPr>
        <w:t xml:space="preserve">the results show that </w:t>
      </w:r>
      <w:r w:rsidRPr="00AB3119">
        <w:rPr>
          <w:bCs/>
          <w:lang w:val="en-US"/>
        </w:rPr>
        <w:t xml:space="preserve">credit </w:t>
      </w:r>
      <w:r>
        <w:rPr>
          <w:bCs/>
          <w:lang w:val="en-US"/>
        </w:rPr>
        <w:t xml:space="preserve">is a </w:t>
      </w:r>
      <w:r w:rsidRPr="00AB3119">
        <w:rPr>
          <w:bCs/>
          <w:lang w:val="en-US"/>
        </w:rPr>
        <w:t>substitute for savings,</w:t>
      </w:r>
      <w:r>
        <w:rPr>
          <w:bCs/>
          <w:lang w:val="en-US"/>
        </w:rPr>
        <w:t xml:space="preserve"> then this implies that </w:t>
      </w:r>
      <w:r w:rsidRPr="00AB3119">
        <w:rPr>
          <w:bCs/>
          <w:lang w:val="en-US"/>
        </w:rPr>
        <w:t xml:space="preserve">excessive borrowing </w:t>
      </w:r>
      <w:r>
        <w:rPr>
          <w:bCs/>
          <w:lang w:val="en-US"/>
        </w:rPr>
        <w:t>is likely to</w:t>
      </w:r>
      <w:r w:rsidRPr="00AB3119">
        <w:rPr>
          <w:bCs/>
          <w:lang w:val="en-US"/>
        </w:rPr>
        <w:t xml:space="preserve"> weaken household resilience and long-term financial stability. This </w:t>
      </w:r>
      <w:r>
        <w:rPr>
          <w:bCs/>
          <w:lang w:val="en-US"/>
        </w:rPr>
        <w:t xml:space="preserve">research </w:t>
      </w:r>
      <w:r w:rsidRPr="00AB3119">
        <w:rPr>
          <w:bCs/>
          <w:lang w:val="en-US"/>
        </w:rPr>
        <w:t>study is</w:t>
      </w:r>
      <w:r>
        <w:rPr>
          <w:bCs/>
          <w:lang w:val="en-US"/>
        </w:rPr>
        <w:t xml:space="preserve">, thus, </w:t>
      </w:r>
      <w:r w:rsidRPr="00AB3119">
        <w:rPr>
          <w:bCs/>
          <w:lang w:val="en-US"/>
        </w:rPr>
        <w:t xml:space="preserve">motivated by the </w:t>
      </w:r>
      <w:r>
        <w:rPr>
          <w:bCs/>
          <w:lang w:val="en-US"/>
        </w:rPr>
        <w:t xml:space="preserve">fact that there is a </w:t>
      </w:r>
      <w:r w:rsidRPr="00AB3119">
        <w:rPr>
          <w:bCs/>
          <w:lang w:val="en-US"/>
        </w:rPr>
        <w:t>need to clarify the nature, direction, and determinants of the relationship between credit uptake and savings.</w:t>
      </w:r>
    </w:p>
    <w:p w:rsidR="00DF33BA" w:rsidRPr="007C7286" w:rsidRDefault="007D361F" w:rsidP="007C7286">
      <w:pPr>
        <w:spacing w:after="0" w:line="360" w:lineRule="auto"/>
        <w:jc w:val="both"/>
        <w:rPr>
          <w:rFonts w:eastAsia="Times New Roman" w:cs="Times New Roman"/>
          <w:szCs w:val="24"/>
          <w:lang w:eastAsia="en-GB"/>
        </w:rPr>
      </w:pPr>
      <w:r w:rsidRPr="00AB3119">
        <w:rPr>
          <w:b/>
          <w:bCs/>
          <w:lang w:val="en-US"/>
        </w:rPr>
        <w:t>1.2 Statement of the Problem</w:t>
      </w:r>
    </w:p>
    <w:p w:rsidR="00DF33BA" w:rsidRDefault="007D361F" w:rsidP="00596177">
      <w:pPr>
        <w:spacing w:line="360" w:lineRule="auto"/>
        <w:jc w:val="both"/>
        <w:rPr>
          <w:bCs/>
          <w:lang w:val="en-US"/>
        </w:rPr>
      </w:pPr>
      <w:r w:rsidRPr="00AB3119">
        <w:rPr>
          <w:bCs/>
          <w:lang w:val="en-US"/>
        </w:rPr>
        <w:t>Despite</w:t>
      </w:r>
      <w:r>
        <w:rPr>
          <w:bCs/>
          <w:lang w:val="en-US"/>
        </w:rPr>
        <w:t xml:space="preserve"> various financial sector developments, such as</w:t>
      </w:r>
      <w:r w:rsidRPr="00AB3119">
        <w:rPr>
          <w:bCs/>
          <w:lang w:val="en-US"/>
        </w:rPr>
        <w:t xml:space="preserve"> the rapid expansion of credit access through </w:t>
      </w:r>
      <w:r>
        <w:rPr>
          <w:bCs/>
          <w:lang w:val="en-US"/>
        </w:rPr>
        <w:t>financial institutions that include commercial</w:t>
      </w:r>
      <w:r w:rsidRPr="00AB3119">
        <w:rPr>
          <w:bCs/>
          <w:lang w:val="en-US"/>
        </w:rPr>
        <w:t xml:space="preserve"> banks, microfinance institutions</w:t>
      </w:r>
      <w:r>
        <w:rPr>
          <w:bCs/>
          <w:lang w:val="en-US"/>
        </w:rPr>
        <w:t xml:space="preserve"> (MFIs)</w:t>
      </w:r>
      <w:r w:rsidRPr="00AB3119">
        <w:rPr>
          <w:bCs/>
          <w:lang w:val="en-US"/>
        </w:rPr>
        <w:t xml:space="preserve">, and </w:t>
      </w:r>
      <w:r>
        <w:rPr>
          <w:bCs/>
          <w:lang w:val="en-US"/>
        </w:rPr>
        <w:t xml:space="preserve">mobile </w:t>
      </w:r>
      <w:r w:rsidRPr="00AB3119">
        <w:rPr>
          <w:bCs/>
          <w:lang w:val="en-US"/>
        </w:rPr>
        <w:t xml:space="preserve">digital lenders, savings rates in many </w:t>
      </w:r>
      <w:r>
        <w:rPr>
          <w:bCs/>
          <w:lang w:val="en-US"/>
        </w:rPr>
        <w:t>countries</w:t>
      </w:r>
      <w:r w:rsidRPr="00AB3119">
        <w:rPr>
          <w:bCs/>
          <w:lang w:val="en-US"/>
        </w:rPr>
        <w:t xml:space="preserve"> remain low or volatile. Policymakers and financial institutions often </w:t>
      </w:r>
      <w:proofErr w:type="gramStart"/>
      <w:r>
        <w:rPr>
          <w:bCs/>
          <w:lang w:val="en-US"/>
        </w:rPr>
        <w:t>make an assumption</w:t>
      </w:r>
      <w:proofErr w:type="gramEnd"/>
      <w:r w:rsidRPr="00AB3119">
        <w:rPr>
          <w:bCs/>
          <w:lang w:val="en-US"/>
        </w:rPr>
        <w:t xml:space="preserve"> that expanding </w:t>
      </w:r>
      <w:r>
        <w:rPr>
          <w:bCs/>
          <w:lang w:val="en-US"/>
        </w:rPr>
        <w:t xml:space="preserve">access to </w:t>
      </w:r>
      <w:r w:rsidRPr="00AB3119">
        <w:rPr>
          <w:bCs/>
          <w:lang w:val="en-US"/>
        </w:rPr>
        <w:t xml:space="preserve">credit </w:t>
      </w:r>
      <w:r>
        <w:rPr>
          <w:bCs/>
          <w:lang w:val="en-US"/>
        </w:rPr>
        <w:t xml:space="preserve">services </w:t>
      </w:r>
      <w:r w:rsidRPr="00AB3119">
        <w:rPr>
          <w:bCs/>
          <w:lang w:val="en-US"/>
        </w:rPr>
        <w:t xml:space="preserve">automatically </w:t>
      </w:r>
      <w:r>
        <w:rPr>
          <w:bCs/>
          <w:lang w:val="en-US"/>
        </w:rPr>
        <w:t xml:space="preserve">leads to </w:t>
      </w:r>
      <w:r w:rsidRPr="00AB3119">
        <w:rPr>
          <w:bCs/>
          <w:lang w:val="en-US"/>
        </w:rPr>
        <w:t>the promot</w:t>
      </w:r>
      <w:r>
        <w:rPr>
          <w:bCs/>
          <w:lang w:val="en-US"/>
        </w:rPr>
        <w:t>ion of</w:t>
      </w:r>
      <w:r w:rsidRPr="00AB3119">
        <w:rPr>
          <w:bCs/>
          <w:lang w:val="en-US"/>
        </w:rPr>
        <w:t xml:space="preserve"> financial development and </w:t>
      </w:r>
      <w:r>
        <w:rPr>
          <w:bCs/>
          <w:lang w:val="en-US"/>
        </w:rPr>
        <w:t xml:space="preserve">improved </w:t>
      </w:r>
      <w:r w:rsidRPr="00AB3119">
        <w:rPr>
          <w:bCs/>
          <w:lang w:val="en-US"/>
        </w:rPr>
        <w:t xml:space="preserve">household welfare. However, without a clear understanding of how credit uptake </w:t>
      </w:r>
      <w:r>
        <w:rPr>
          <w:bCs/>
          <w:lang w:val="en-US"/>
        </w:rPr>
        <w:t xml:space="preserve">is likely to </w:t>
      </w:r>
      <w:r w:rsidRPr="00AB3119">
        <w:rPr>
          <w:bCs/>
          <w:lang w:val="en-US"/>
        </w:rPr>
        <w:t xml:space="preserve">affect savings behavior, such </w:t>
      </w:r>
      <w:r>
        <w:rPr>
          <w:bCs/>
          <w:lang w:val="en-US"/>
        </w:rPr>
        <w:t xml:space="preserve">policy </w:t>
      </w:r>
      <w:r w:rsidRPr="00AB3119">
        <w:rPr>
          <w:bCs/>
          <w:lang w:val="en-US"/>
        </w:rPr>
        <w:t xml:space="preserve">interventions may produce unintended </w:t>
      </w:r>
      <w:r>
        <w:rPr>
          <w:bCs/>
          <w:lang w:val="en-US"/>
        </w:rPr>
        <w:t xml:space="preserve">results and outcomes such as </w:t>
      </w:r>
      <w:r w:rsidRPr="00985FEA">
        <w:rPr>
          <w:bCs/>
          <w:lang w:val="en-US"/>
        </w:rPr>
        <w:t>reduced financial resilience</w:t>
      </w:r>
      <w:r w:rsidR="0065644E">
        <w:rPr>
          <w:bCs/>
          <w:lang w:val="en-US"/>
        </w:rPr>
        <w:t xml:space="preserve"> </w:t>
      </w:r>
      <w:r>
        <w:rPr>
          <w:bCs/>
          <w:lang w:val="en-US"/>
        </w:rPr>
        <w:t xml:space="preserve">and </w:t>
      </w:r>
      <w:r w:rsidRPr="00AB3119">
        <w:rPr>
          <w:bCs/>
          <w:lang w:val="en-US"/>
        </w:rPr>
        <w:t>over-indebtedness.</w:t>
      </w:r>
    </w:p>
    <w:p w:rsidR="00DF33BA" w:rsidRDefault="007D361F" w:rsidP="00596177">
      <w:pPr>
        <w:spacing w:line="360" w:lineRule="auto"/>
        <w:jc w:val="both"/>
        <w:rPr>
          <w:bCs/>
          <w:lang w:val="en-US"/>
        </w:rPr>
      </w:pPr>
      <w:r w:rsidRPr="00AB3119">
        <w:rPr>
          <w:bCs/>
          <w:lang w:val="en-US"/>
        </w:rPr>
        <w:t xml:space="preserve">Empirical </w:t>
      </w:r>
      <w:r>
        <w:rPr>
          <w:bCs/>
          <w:lang w:val="en-US"/>
        </w:rPr>
        <w:t xml:space="preserve">research </w:t>
      </w:r>
      <w:r w:rsidRPr="00AB3119">
        <w:rPr>
          <w:bCs/>
          <w:lang w:val="en-US"/>
        </w:rPr>
        <w:t xml:space="preserve">studies on the credit–savings nexus have produced </w:t>
      </w:r>
      <w:r>
        <w:rPr>
          <w:bCs/>
          <w:lang w:val="en-US"/>
        </w:rPr>
        <w:t xml:space="preserve">mixed and </w:t>
      </w:r>
      <w:r w:rsidRPr="00AB3119">
        <w:rPr>
          <w:bCs/>
          <w:lang w:val="en-US"/>
        </w:rPr>
        <w:t xml:space="preserve">inconsistent </w:t>
      </w:r>
      <w:r>
        <w:rPr>
          <w:bCs/>
          <w:lang w:val="en-US"/>
        </w:rPr>
        <w:t>findings</w:t>
      </w:r>
      <w:r w:rsidRPr="00AB3119">
        <w:rPr>
          <w:bCs/>
          <w:lang w:val="en-US"/>
        </w:rPr>
        <w:t xml:space="preserve">. Some studies </w:t>
      </w:r>
      <w:r>
        <w:rPr>
          <w:bCs/>
          <w:lang w:val="en-US"/>
        </w:rPr>
        <w:t>establish</w:t>
      </w:r>
      <w:r w:rsidRPr="00AB3119">
        <w:rPr>
          <w:bCs/>
          <w:lang w:val="en-US"/>
        </w:rPr>
        <w:t xml:space="preserve"> that access to credit </w:t>
      </w:r>
      <w:r>
        <w:rPr>
          <w:bCs/>
          <w:lang w:val="en-US"/>
        </w:rPr>
        <w:t>lowers</w:t>
      </w:r>
      <w:r w:rsidRPr="00AB3119">
        <w:rPr>
          <w:bCs/>
          <w:lang w:val="en-US"/>
        </w:rPr>
        <w:t xml:space="preserve"> household savings by relaxing liquidity constraints, while others </w:t>
      </w:r>
      <w:r>
        <w:rPr>
          <w:bCs/>
          <w:lang w:val="en-US"/>
        </w:rPr>
        <w:t>find</w:t>
      </w:r>
      <w:r w:rsidRPr="00AB3119">
        <w:rPr>
          <w:bCs/>
          <w:lang w:val="en-US"/>
        </w:rPr>
        <w:t xml:space="preserve"> that credit access </w:t>
      </w:r>
      <w:r>
        <w:rPr>
          <w:bCs/>
          <w:lang w:val="en-US"/>
        </w:rPr>
        <w:t>promotes</w:t>
      </w:r>
      <w:r w:rsidRPr="00AB3119">
        <w:rPr>
          <w:bCs/>
          <w:lang w:val="en-US"/>
        </w:rPr>
        <w:t xml:space="preserve"> savings through</w:t>
      </w:r>
      <w:r w:rsidR="0065644E">
        <w:rPr>
          <w:bCs/>
          <w:lang w:val="en-US"/>
        </w:rPr>
        <w:t xml:space="preserve"> </w:t>
      </w:r>
      <w:r w:rsidRPr="00985FEA">
        <w:rPr>
          <w:bCs/>
          <w:lang w:val="en-US"/>
        </w:rPr>
        <w:t>improved financial discipline</w:t>
      </w:r>
      <w:r>
        <w:rPr>
          <w:bCs/>
          <w:lang w:val="en-US"/>
        </w:rPr>
        <w:t xml:space="preserve">, </w:t>
      </w:r>
      <w:r w:rsidRPr="00AB3119">
        <w:rPr>
          <w:bCs/>
          <w:lang w:val="en-US"/>
        </w:rPr>
        <w:t>compulsory savings scheme</w:t>
      </w:r>
      <w:r>
        <w:rPr>
          <w:bCs/>
          <w:lang w:val="en-US"/>
        </w:rPr>
        <w:t>s</w:t>
      </w:r>
      <w:r w:rsidRPr="00AB3119">
        <w:rPr>
          <w:bCs/>
          <w:lang w:val="en-US"/>
        </w:rPr>
        <w:t xml:space="preserve">, or </w:t>
      </w:r>
      <w:r>
        <w:rPr>
          <w:bCs/>
          <w:lang w:val="en-US"/>
        </w:rPr>
        <w:t>improved</w:t>
      </w:r>
      <w:r w:rsidRPr="00AB3119">
        <w:rPr>
          <w:bCs/>
          <w:lang w:val="en-US"/>
        </w:rPr>
        <w:t xml:space="preserve"> income</w:t>
      </w:r>
      <w:r>
        <w:rPr>
          <w:bCs/>
          <w:lang w:val="en-US"/>
        </w:rPr>
        <w:t>s</w:t>
      </w:r>
      <w:r w:rsidRPr="00AB3119">
        <w:rPr>
          <w:bCs/>
          <w:lang w:val="en-US"/>
        </w:rPr>
        <w:t xml:space="preserve"> from productive investments. These mixed findings suggest that the relationship is context-specific and </w:t>
      </w:r>
      <w:r>
        <w:rPr>
          <w:bCs/>
          <w:lang w:val="en-US"/>
        </w:rPr>
        <w:t xml:space="preserve">often </w:t>
      </w:r>
      <w:r w:rsidRPr="00AB3119">
        <w:rPr>
          <w:bCs/>
          <w:lang w:val="en-US"/>
        </w:rPr>
        <w:t xml:space="preserve">influenced by </w:t>
      </w:r>
      <w:r>
        <w:rPr>
          <w:bCs/>
          <w:lang w:val="en-US"/>
        </w:rPr>
        <w:t xml:space="preserve">several </w:t>
      </w:r>
      <w:r w:rsidRPr="00AB3119">
        <w:rPr>
          <w:bCs/>
          <w:lang w:val="en-US"/>
        </w:rPr>
        <w:t>factors such as income</w:t>
      </w:r>
      <w:r>
        <w:rPr>
          <w:bCs/>
          <w:lang w:val="en-US"/>
        </w:rPr>
        <w:t xml:space="preserve"> levels</w:t>
      </w:r>
      <w:r w:rsidRPr="00AB3119">
        <w:rPr>
          <w:bCs/>
          <w:lang w:val="en-US"/>
        </w:rPr>
        <w:t xml:space="preserve">, </w:t>
      </w:r>
      <w:r w:rsidRPr="00985FEA">
        <w:rPr>
          <w:bCs/>
          <w:lang w:val="en-US"/>
        </w:rPr>
        <w:t>institutional arrangements</w:t>
      </w:r>
      <w:r>
        <w:rPr>
          <w:bCs/>
          <w:lang w:val="en-US"/>
        </w:rPr>
        <w:t xml:space="preserve">, </w:t>
      </w:r>
      <w:r w:rsidRPr="00AB3119">
        <w:rPr>
          <w:bCs/>
          <w:lang w:val="en-US"/>
        </w:rPr>
        <w:t xml:space="preserve">financial literacy, </w:t>
      </w:r>
      <w:r>
        <w:rPr>
          <w:bCs/>
          <w:lang w:val="en-US"/>
        </w:rPr>
        <w:t xml:space="preserve">and </w:t>
      </w:r>
      <w:r w:rsidRPr="00AB3119">
        <w:rPr>
          <w:bCs/>
          <w:lang w:val="en-US"/>
        </w:rPr>
        <w:t>interest rates.</w:t>
      </w:r>
    </w:p>
    <w:p w:rsidR="00DF33BA" w:rsidRPr="00AB3119" w:rsidRDefault="007D361F" w:rsidP="00596177">
      <w:pPr>
        <w:spacing w:line="360" w:lineRule="auto"/>
        <w:jc w:val="both"/>
        <w:rPr>
          <w:bCs/>
          <w:lang w:val="en-US"/>
        </w:rPr>
      </w:pPr>
      <w:r w:rsidRPr="00AB3119">
        <w:rPr>
          <w:bCs/>
          <w:lang w:val="en-US"/>
        </w:rPr>
        <w:t xml:space="preserve">The lack of consensus in both </w:t>
      </w:r>
      <w:r w:rsidRPr="00985FEA">
        <w:rPr>
          <w:bCs/>
          <w:lang w:val="en-US"/>
        </w:rPr>
        <w:t xml:space="preserve">empirical </w:t>
      </w:r>
      <w:r>
        <w:rPr>
          <w:bCs/>
          <w:lang w:val="en-US"/>
        </w:rPr>
        <w:t xml:space="preserve">and </w:t>
      </w:r>
      <w:r w:rsidRPr="00AB3119">
        <w:rPr>
          <w:bCs/>
          <w:lang w:val="en-US"/>
        </w:rPr>
        <w:t>theor</w:t>
      </w:r>
      <w:r>
        <w:rPr>
          <w:bCs/>
          <w:lang w:val="en-US"/>
        </w:rPr>
        <w:t xml:space="preserve">etical </w:t>
      </w:r>
      <w:r w:rsidRPr="00AB3119">
        <w:rPr>
          <w:bCs/>
          <w:lang w:val="en-US"/>
        </w:rPr>
        <w:t>evidence creates a</w:t>
      </w:r>
      <w:r>
        <w:rPr>
          <w:bCs/>
          <w:lang w:val="en-US"/>
        </w:rPr>
        <w:t xml:space="preserve"> knowledge</w:t>
      </w:r>
      <w:r w:rsidRPr="00AB3119">
        <w:rPr>
          <w:bCs/>
          <w:lang w:val="en-US"/>
        </w:rPr>
        <w:t xml:space="preserve"> gap</w:t>
      </w:r>
      <w:r w:rsidR="0065644E">
        <w:rPr>
          <w:bCs/>
          <w:lang w:val="en-US"/>
        </w:rPr>
        <w:t xml:space="preserve"> </w:t>
      </w:r>
      <w:r w:rsidRPr="00AB3119">
        <w:rPr>
          <w:bCs/>
          <w:lang w:val="en-US"/>
        </w:rPr>
        <w:t xml:space="preserve">regarding the true nature of the </w:t>
      </w:r>
      <w:r>
        <w:rPr>
          <w:bCs/>
          <w:lang w:val="en-US"/>
        </w:rPr>
        <w:t xml:space="preserve">relationship and </w:t>
      </w:r>
      <w:r w:rsidRPr="00AB3119">
        <w:rPr>
          <w:bCs/>
          <w:lang w:val="en-US"/>
        </w:rPr>
        <w:t xml:space="preserve">interaction between credit uptake and savings. </w:t>
      </w:r>
      <w:r>
        <w:rPr>
          <w:bCs/>
          <w:lang w:val="en-US"/>
        </w:rPr>
        <w:t>Filling</w:t>
      </w:r>
      <w:r w:rsidRPr="00AB3119">
        <w:rPr>
          <w:bCs/>
          <w:lang w:val="en-US"/>
        </w:rPr>
        <w:t xml:space="preserve"> this gap is</w:t>
      </w:r>
      <w:r>
        <w:rPr>
          <w:bCs/>
          <w:lang w:val="en-US"/>
        </w:rPr>
        <w:t xml:space="preserve"> thus </w:t>
      </w:r>
      <w:r w:rsidRPr="00AB3119">
        <w:rPr>
          <w:bCs/>
          <w:lang w:val="en-US"/>
        </w:rPr>
        <w:t xml:space="preserve">essential for </w:t>
      </w:r>
      <w:r>
        <w:rPr>
          <w:bCs/>
          <w:lang w:val="en-US"/>
        </w:rPr>
        <w:t>formulating</w:t>
      </w:r>
      <w:r w:rsidRPr="00AB3119">
        <w:rPr>
          <w:bCs/>
          <w:lang w:val="en-US"/>
        </w:rPr>
        <w:t xml:space="preserve"> balanced </w:t>
      </w:r>
      <w:r>
        <w:rPr>
          <w:bCs/>
          <w:lang w:val="en-US"/>
        </w:rPr>
        <w:t xml:space="preserve">and effective </w:t>
      </w:r>
      <w:r w:rsidRPr="00AB3119">
        <w:rPr>
          <w:bCs/>
          <w:lang w:val="en-US"/>
        </w:rPr>
        <w:t xml:space="preserve">financial policies that </w:t>
      </w:r>
      <w:r>
        <w:rPr>
          <w:bCs/>
          <w:lang w:val="en-US"/>
        </w:rPr>
        <w:t xml:space="preserve">will </w:t>
      </w:r>
      <w:r w:rsidRPr="00AB3119">
        <w:rPr>
          <w:bCs/>
          <w:lang w:val="en-US"/>
        </w:rPr>
        <w:t>promote</w:t>
      </w:r>
      <w:r>
        <w:rPr>
          <w:bCs/>
          <w:lang w:val="en-US"/>
        </w:rPr>
        <w:t xml:space="preserve"> and strengthen</w:t>
      </w:r>
      <w:r w:rsidRPr="00AB3119">
        <w:rPr>
          <w:bCs/>
          <w:lang w:val="en-US"/>
        </w:rPr>
        <w:t xml:space="preserve"> both responsible borrowing and sustainable savings </w:t>
      </w:r>
      <w:proofErr w:type="spellStart"/>
      <w:r w:rsidRPr="00AB3119">
        <w:rPr>
          <w:bCs/>
          <w:lang w:val="en-US"/>
        </w:rPr>
        <w:lastRenderedPageBreak/>
        <w:t>behavio</w:t>
      </w:r>
      <w:r>
        <w:rPr>
          <w:bCs/>
          <w:lang w:val="en-US"/>
        </w:rPr>
        <w:t>u</w:t>
      </w:r>
      <w:r w:rsidRPr="00AB3119">
        <w:rPr>
          <w:bCs/>
          <w:lang w:val="en-US"/>
        </w:rPr>
        <w:t>r</w:t>
      </w:r>
      <w:proofErr w:type="spellEnd"/>
      <w:r w:rsidRPr="00AB3119">
        <w:rPr>
          <w:bCs/>
          <w:lang w:val="en-US"/>
        </w:rPr>
        <w:t>.</w:t>
      </w:r>
      <w:r w:rsidR="0065644E">
        <w:rPr>
          <w:bCs/>
          <w:lang w:val="en-US"/>
        </w:rPr>
        <w:t xml:space="preserve"> </w:t>
      </w:r>
      <w:r w:rsidRPr="00AB3119">
        <w:rPr>
          <w:bCs/>
          <w:lang w:val="en-US"/>
        </w:rPr>
        <w:t>The general objective of this study is to examine the interplay be</w:t>
      </w:r>
      <w:r w:rsidR="0065644E">
        <w:rPr>
          <w:bCs/>
          <w:lang w:val="en-US"/>
        </w:rPr>
        <w:t>tween credit uptake and savings in Kenya.</w:t>
      </w:r>
    </w:p>
    <w:p w:rsidR="00DF33BA" w:rsidRPr="00AB3119" w:rsidRDefault="007D361F" w:rsidP="00596177">
      <w:pPr>
        <w:spacing w:line="360" w:lineRule="auto"/>
        <w:jc w:val="both"/>
        <w:rPr>
          <w:b/>
          <w:bCs/>
          <w:lang w:val="en-US"/>
        </w:rPr>
      </w:pPr>
      <w:r w:rsidRPr="00AB3119">
        <w:rPr>
          <w:b/>
          <w:bCs/>
          <w:lang w:val="en-US"/>
        </w:rPr>
        <w:t>Literature Review</w:t>
      </w:r>
    </w:p>
    <w:p w:rsidR="00DF33BA" w:rsidRDefault="007D361F" w:rsidP="00596177">
      <w:pPr>
        <w:spacing w:line="360" w:lineRule="auto"/>
        <w:jc w:val="both"/>
        <w:rPr>
          <w:bCs/>
          <w:lang w:val="en-US"/>
        </w:rPr>
      </w:pPr>
      <w:r w:rsidRPr="00AB3119">
        <w:rPr>
          <w:bCs/>
          <w:lang w:val="en-US"/>
        </w:rPr>
        <w:t>The</w:t>
      </w:r>
      <w:r w:rsidR="0065644E">
        <w:rPr>
          <w:bCs/>
          <w:lang w:val="en-US"/>
        </w:rPr>
        <w:t xml:space="preserve"> </w:t>
      </w:r>
      <w:r w:rsidRPr="009265DE">
        <w:rPr>
          <w:bCs/>
          <w:lang w:val="en-US"/>
        </w:rPr>
        <w:t>permanent income hypothesis (PIH)</w:t>
      </w:r>
      <w:r w:rsidR="0065644E">
        <w:rPr>
          <w:bCs/>
          <w:lang w:val="en-US"/>
        </w:rPr>
        <w:t xml:space="preserve"> </w:t>
      </w:r>
      <w:r>
        <w:rPr>
          <w:bCs/>
          <w:lang w:val="en-US"/>
        </w:rPr>
        <w:t xml:space="preserve">and </w:t>
      </w:r>
      <w:r w:rsidRPr="00AB3119">
        <w:rPr>
          <w:bCs/>
          <w:lang w:val="en-US"/>
        </w:rPr>
        <w:t>life-cycle hypothesis (LCH) provide</w:t>
      </w:r>
      <w:r>
        <w:rPr>
          <w:bCs/>
          <w:lang w:val="en-US"/>
        </w:rPr>
        <w:t xml:space="preserve"> a </w:t>
      </w:r>
      <w:r w:rsidRPr="00AB3119">
        <w:rPr>
          <w:bCs/>
          <w:lang w:val="en-US"/>
        </w:rPr>
        <w:t xml:space="preserve">foundational framework for </w:t>
      </w:r>
      <w:r>
        <w:rPr>
          <w:bCs/>
          <w:lang w:val="en-US"/>
        </w:rPr>
        <w:t>examining</w:t>
      </w:r>
      <w:r w:rsidRPr="00AB3119">
        <w:rPr>
          <w:bCs/>
          <w:lang w:val="en-US"/>
        </w:rPr>
        <w:t xml:space="preserve"> savings and borrowing </w:t>
      </w:r>
      <w:proofErr w:type="spellStart"/>
      <w:r w:rsidRPr="00AB3119">
        <w:rPr>
          <w:bCs/>
          <w:lang w:val="en-US"/>
        </w:rPr>
        <w:t>behavio</w:t>
      </w:r>
      <w:r>
        <w:rPr>
          <w:bCs/>
          <w:lang w:val="en-US"/>
        </w:rPr>
        <w:t>u</w:t>
      </w:r>
      <w:r w:rsidRPr="00AB3119">
        <w:rPr>
          <w:bCs/>
          <w:lang w:val="en-US"/>
        </w:rPr>
        <w:t>r</w:t>
      </w:r>
      <w:proofErr w:type="spellEnd"/>
      <w:r w:rsidRPr="00AB3119">
        <w:rPr>
          <w:bCs/>
          <w:lang w:val="en-US"/>
        </w:rPr>
        <w:t xml:space="preserve">. According to Modigliani and </w:t>
      </w:r>
      <w:proofErr w:type="spellStart"/>
      <w:r w:rsidRPr="00AB3119">
        <w:rPr>
          <w:bCs/>
          <w:lang w:val="en-US"/>
        </w:rPr>
        <w:t>Brumberg</w:t>
      </w:r>
      <w:proofErr w:type="spellEnd"/>
      <w:r w:rsidRPr="00AB3119">
        <w:rPr>
          <w:bCs/>
          <w:lang w:val="en-US"/>
        </w:rPr>
        <w:t xml:space="preserve"> (1954), individuals borrow during early life</w:t>
      </w:r>
      <w:r>
        <w:rPr>
          <w:bCs/>
          <w:lang w:val="en-US"/>
        </w:rPr>
        <w:t xml:space="preserve"> years</w:t>
      </w:r>
      <w:r w:rsidRPr="00AB3119">
        <w:rPr>
          <w:bCs/>
          <w:lang w:val="en-US"/>
        </w:rPr>
        <w:t xml:space="preserve">, save during </w:t>
      </w:r>
      <w:r>
        <w:rPr>
          <w:bCs/>
          <w:lang w:val="en-US"/>
        </w:rPr>
        <w:t>income</w:t>
      </w:r>
      <w:r w:rsidRPr="00AB3119">
        <w:rPr>
          <w:bCs/>
          <w:lang w:val="en-US"/>
        </w:rPr>
        <w:t xml:space="preserve">-earning years, and dissave </w:t>
      </w:r>
      <w:r>
        <w:rPr>
          <w:bCs/>
          <w:lang w:val="en-US"/>
        </w:rPr>
        <w:t>during</w:t>
      </w:r>
      <w:r w:rsidRPr="00AB3119">
        <w:rPr>
          <w:bCs/>
          <w:lang w:val="en-US"/>
        </w:rPr>
        <w:t xml:space="preserve"> the retirement</w:t>
      </w:r>
      <w:r>
        <w:rPr>
          <w:bCs/>
          <w:lang w:val="en-US"/>
        </w:rPr>
        <w:t xml:space="preserve"> period</w:t>
      </w:r>
      <w:r w:rsidRPr="00AB3119">
        <w:rPr>
          <w:bCs/>
          <w:lang w:val="en-US"/>
        </w:rPr>
        <w:t xml:space="preserve">. Similarly, Friedman (1957) </w:t>
      </w:r>
      <w:r>
        <w:rPr>
          <w:bCs/>
          <w:lang w:val="en-US"/>
        </w:rPr>
        <w:t>opines</w:t>
      </w:r>
      <w:r w:rsidRPr="00AB3119">
        <w:rPr>
          <w:bCs/>
          <w:lang w:val="en-US"/>
        </w:rPr>
        <w:t xml:space="preserve"> that </w:t>
      </w:r>
      <w:r>
        <w:rPr>
          <w:bCs/>
          <w:lang w:val="en-US"/>
        </w:rPr>
        <w:t xml:space="preserve">household </w:t>
      </w:r>
      <w:r w:rsidRPr="00AB3119">
        <w:rPr>
          <w:bCs/>
          <w:lang w:val="en-US"/>
        </w:rPr>
        <w:t xml:space="preserve">consumption is </w:t>
      </w:r>
      <w:r>
        <w:rPr>
          <w:bCs/>
          <w:lang w:val="en-US"/>
        </w:rPr>
        <w:t xml:space="preserve">often </w:t>
      </w:r>
      <w:r w:rsidRPr="00AB3119">
        <w:rPr>
          <w:bCs/>
          <w:lang w:val="en-US"/>
        </w:rPr>
        <w:t>based on permanent income rather than current income</w:t>
      </w:r>
      <w:r>
        <w:rPr>
          <w:bCs/>
          <w:lang w:val="en-US"/>
        </w:rPr>
        <w:t>. This i</w:t>
      </w:r>
      <w:r w:rsidRPr="00AB3119">
        <w:rPr>
          <w:bCs/>
          <w:lang w:val="en-US"/>
        </w:rPr>
        <w:t>mpli</w:t>
      </w:r>
      <w:r>
        <w:rPr>
          <w:bCs/>
          <w:lang w:val="en-US"/>
        </w:rPr>
        <w:t>es</w:t>
      </w:r>
      <w:r w:rsidRPr="00AB3119">
        <w:rPr>
          <w:bCs/>
          <w:lang w:val="en-US"/>
        </w:rPr>
        <w:t xml:space="preserve"> that access to credit </w:t>
      </w:r>
      <w:r>
        <w:rPr>
          <w:bCs/>
          <w:lang w:val="en-US"/>
        </w:rPr>
        <w:t xml:space="preserve">services </w:t>
      </w:r>
      <w:r w:rsidRPr="00AB3119">
        <w:rPr>
          <w:bCs/>
          <w:lang w:val="en-US"/>
        </w:rPr>
        <w:t>reduces the need for precautionary savings</w:t>
      </w:r>
      <w:r>
        <w:rPr>
          <w:bCs/>
          <w:lang w:val="en-US"/>
        </w:rPr>
        <w:t xml:space="preserve"> among households</w:t>
      </w:r>
      <w:r w:rsidRPr="00AB3119">
        <w:rPr>
          <w:bCs/>
          <w:lang w:val="en-US"/>
        </w:rPr>
        <w:t>.</w:t>
      </w:r>
    </w:p>
    <w:p w:rsidR="00DF33BA" w:rsidRPr="00AB3119" w:rsidRDefault="007D361F" w:rsidP="00596177">
      <w:pPr>
        <w:spacing w:line="360" w:lineRule="auto"/>
        <w:jc w:val="both"/>
        <w:rPr>
          <w:bCs/>
          <w:lang w:val="en-US"/>
        </w:rPr>
      </w:pPr>
      <w:r>
        <w:rPr>
          <w:bCs/>
          <w:lang w:val="en-US"/>
        </w:rPr>
        <w:t>Therefore, u</w:t>
      </w:r>
      <w:r w:rsidRPr="00AB3119">
        <w:rPr>
          <w:bCs/>
          <w:lang w:val="en-US"/>
        </w:rPr>
        <w:t xml:space="preserve">nder </w:t>
      </w:r>
      <w:r>
        <w:rPr>
          <w:bCs/>
          <w:lang w:val="en-US"/>
        </w:rPr>
        <w:t>PIH and LCH</w:t>
      </w:r>
      <w:r w:rsidRPr="00AB3119">
        <w:rPr>
          <w:bCs/>
          <w:lang w:val="en-US"/>
        </w:rPr>
        <w:t xml:space="preserve"> frameworks, credit uptake and savings are largely </w:t>
      </w:r>
      <w:proofErr w:type="gramStart"/>
      <w:r w:rsidRPr="00AB3119">
        <w:rPr>
          <w:bCs/>
          <w:lang w:val="en-US"/>
        </w:rPr>
        <w:t>substitutes</w:t>
      </w:r>
      <w:proofErr w:type="gramEnd"/>
      <w:r w:rsidRPr="00AB3119">
        <w:rPr>
          <w:bCs/>
          <w:lang w:val="en-US"/>
        </w:rPr>
        <w:t>.</w:t>
      </w:r>
      <w:r w:rsidR="00A326A6">
        <w:rPr>
          <w:bCs/>
          <w:lang w:val="en-US"/>
        </w:rPr>
        <w:t xml:space="preserve"> </w:t>
      </w:r>
      <w:r w:rsidRPr="00AB3119">
        <w:rPr>
          <w:bCs/>
          <w:lang w:val="en-US"/>
        </w:rPr>
        <w:t xml:space="preserve">Improved access to credit </w:t>
      </w:r>
      <w:r>
        <w:rPr>
          <w:bCs/>
          <w:lang w:val="en-US"/>
        </w:rPr>
        <w:t xml:space="preserve">services </w:t>
      </w:r>
      <w:r w:rsidRPr="00AB3119">
        <w:rPr>
          <w:bCs/>
          <w:lang w:val="en-US"/>
        </w:rPr>
        <w:t xml:space="preserve">allows households to smooth consumption without </w:t>
      </w:r>
      <w:r>
        <w:rPr>
          <w:bCs/>
          <w:lang w:val="en-US"/>
        </w:rPr>
        <w:t xml:space="preserve">the need to </w:t>
      </w:r>
      <w:r w:rsidRPr="00AB3119">
        <w:rPr>
          <w:bCs/>
          <w:lang w:val="en-US"/>
        </w:rPr>
        <w:t>accumulat</w:t>
      </w:r>
      <w:r>
        <w:rPr>
          <w:bCs/>
          <w:lang w:val="en-US"/>
        </w:rPr>
        <w:t xml:space="preserve">e </w:t>
      </w:r>
      <w:r w:rsidRPr="00AB3119">
        <w:rPr>
          <w:bCs/>
          <w:lang w:val="en-US"/>
        </w:rPr>
        <w:t xml:space="preserve">large </w:t>
      </w:r>
      <w:r>
        <w:rPr>
          <w:bCs/>
          <w:lang w:val="en-US"/>
        </w:rPr>
        <w:t xml:space="preserve">amounts of </w:t>
      </w:r>
      <w:r w:rsidRPr="00AB3119">
        <w:rPr>
          <w:bCs/>
          <w:lang w:val="en-US"/>
        </w:rPr>
        <w:t xml:space="preserve">savings balances, potentially leading to </w:t>
      </w:r>
      <w:r>
        <w:rPr>
          <w:bCs/>
          <w:lang w:val="en-US"/>
        </w:rPr>
        <w:t>decreased</w:t>
      </w:r>
      <w:r w:rsidRPr="00AB3119">
        <w:rPr>
          <w:bCs/>
          <w:lang w:val="en-US"/>
        </w:rPr>
        <w:t xml:space="preserve"> savings rates</w:t>
      </w:r>
      <w:r>
        <w:rPr>
          <w:bCs/>
          <w:lang w:val="en-US"/>
        </w:rPr>
        <w:t xml:space="preserve"> among households</w:t>
      </w:r>
      <w:r w:rsidRPr="00AB3119">
        <w:rPr>
          <w:bCs/>
          <w:lang w:val="en-US"/>
        </w:rPr>
        <w:t>.</w:t>
      </w:r>
    </w:p>
    <w:p w:rsidR="00DF33BA" w:rsidRDefault="007D361F" w:rsidP="00596177">
      <w:pPr>
        <w:spacing w:line="360" w:lineRule="auto"/>
        <w:jc w:val="both"/>
        <w:rPr>
          <w:bCs/>
          <w:lang w:val="en-US"/>
        </w:rPr>
      </w:pPr>
      <w:r w:rsidRPr="00AB3119">
        <w:rPr>
          <w:bCs/>
          <w:lang w:val="en-US"/>
        </w:rPr>
        <w:t>Financial liberalization theories</w:t>
      </w:r>
      <w:r>
        <w:rPr>
          <w:bCs/>
          <w:lang w:val="en-US"/>
        </w:rPr>
        <w:t xml:space="preserve"> that were </w:t>
      </w:r>
      <w:r w:rsidRPr="00AB3119">
        <w:rPr>
          <w:bCs/>
          <w:lang w:val="en-US"/>
        </w:rPr>
        <w:t xml:space="preserve">advanced by McKinnon (1973) and Shaw (1973) posit that </w:t>
      </w:r>
      <w:r>
        <w:rPr>
          <w:bCs/>
          <w:lang w:val="en-US"/>
        </w:rPr>
        <w:t>doing away with</w:t>
      </w:r>
      <w:r w:rsidRPr="00AB3119">
        <w:rPr>
          <w:bCs/>
          <w:lang w:val="en-US"/>
        </w:rPr>
        <w:t xml:space="preserve"> financial repression and improving access to financial services enhances both </w:t>
      </w:r>
      <w:r>
        <w:rPr>
          <w:bCs/>
          <w:lang w:val="en-US"/>
        </w:rPr>
        <w:t xml:space="preserve">investment and </w:t>
      </w:r>
      <w:r w:rsidRPr="00AB3119">
        <w:rPr>
          <w:bCs/>
          <w:lang w:val="en-US"/>
        </w:rPr>
        <w:t xml:space="preserve">savings. </w:t>
      </w:r>
      <w:r>
        <w:rPr>
          <w:bCs/>
          <w:lang w:val="en-US"/>
        </w:rPr>
        <w:t>Expansion of access to</w:t>
      </w:r>
      <w:r w:rsidRPr="00B33462">
        <w:rPr>
          <w:bCs/>
          <w:lang w:val="en-US"/>
        </w:rPr>
        <w:t xml:space="preserve"> credit</w:t>
      </w:r>
      <w:r>
        <w:rPr>
          <w:bCs/>
          <w:lang w:val="en-US"/>
        </w:rPr>
        <w:t xml:space="preserve"> and h</w:t>
      </w:r>
      <w:r w:rsidRPr="00AB3119">
        <w:rPr>
          <w:bCs/>
          <w:lang w:val="en-US"/>
        </w:rPr>
        <w:t xml:space="preserve">igher real interest rates </w:t>
      </w:r>
      <w:r>
        <w:rPr>
          <w:bCs/>
          <w:lang w:val="en-US"/>
        </w:rPr>
        <w:t>are likely to result in</w:t>
      </w:r>
      <w:r w:rsidRPr="00AB3119">
        <w:rPr>
          <w:bCs/>
          <w:lang w:val="en-US"/>
        </w:rPr>
        <w:t xml:space="preserve"> increas</w:t>
      </w:r>
      <w:r>
        <w:rPr>
          <w:bCs/>
          <w:lang w:val="en-US"/>
        </w:rPr>
        <w:t xml:space="preserve">ed </w:t>
      </w:r>
      <w:r w:rsidRPr="00AB3119">
        <w:rPr>
          <w:bCs/>
          <w:lang w:val="en-US"/>
        </w:rPr>
        <w:t xml:space="preserve">attractiveness of formal savings while </w:t>
      </w:r>
      <w:r>
        <w:rPr>
          <w:bCs/>
          <w:lang w:val="en-US"/>
        </w:rPr>
        <w:t xml:space="preserve">potentially </w:t>
      </w:r>
      <w:r w:rsidRPr="00AB3119">
        <w:rPr>
          <w:bCs/>
          <w:lang w:val="en-US"/>
        </w:rPr>
        <w:t>supporting productive investment</w:t>
      </w:r>
      <w:r>
        <w:rPr>
          <w:bCs/>
          <w:lang w:val="en-US"/>
        </w:rPr>
        <w:t>s</w:t>
      </w:r>
      <w:r w:rsidRPr="00AB3119">
        <w:rPr>
          <w:bCs/>
          <w:lang w:val="en-US"/>
        </w:rPr>
        <w:t>.</w:t>
      </w:r>
      <w:r w:rsidR="00A326A6">
        <w:rPr>
          <w:bCs/>
          <w:lang w:val="en-US"/>
        </w:rPr>
        <w:t xml:space="preserve"> </w:t>
      </w:r>
      <w:r>
        <w:rPr>
          <w:bCs/>
          <w:lang w:val="en-US"/>
        </w:rPr>
        <w:t>Hence, f</w:t>
      </w:r>
      <w:r w:rsidRPr="00AB3119">
        <w:rPr>
          <w:bCs/>
          <w:lang w:val="en-US"/>
        </w:rPr>
        <w:t xml:space="preserve">rom this perspective, credit and savings are complementary. Access to credit may encourage savings by integrating households into the formal financial </w:t>
      </w:r>
      <w:r>
        <w:rPr>
          <w:bCs/>
          <w:lang w:val="en-US"/>
        </w:rPr>
        <w:t>sector</w:t>
      </w:r>
      <w:r w:rsidRPr="00AB3119">
        <w:rPr>
          <w:bCs/>
          <w:lang w:val="en-US"/>
        </w:rPr>
        <w:t>, increasing returns to saving, and fostering financial discipline.</w:t>
      </w:r>
    </w:p>
    <w:p w:rsidR="00DF33BA" w:rsidRPr="00AB3119" w:rsidRDefault="007D361F" w:rsidP="00596177">
      <w:pPr>
        <w:spacing w:line="360" w:lineRule="auto"/>
        <w:jc w:val="both"/>
        <w:rPr>
          <w:bCs/>
          <w:lang w:val="en-US"/>
        </w:rPr>
      </w:pPr>
      <w:r w:rsidRPr="00AB3119">
        <w:rPr>
          <w:bCs/>
          <w:lang w:val="en-US"/>
        </w:rPr>
        <w:t>The credit market</w:t>
      </w:r>
      <w:r>
        <w:rPr>
          <w:bCs/>
          <w:lang w:val="en-US"/>
        </w:rPr>
        <w:t xml:space="preserve"> is often characterized by </w:t>
      </w:r>
      <w:r w:rsidRPr="00AB3119">
        <w:rPr>
          <w:bCs/>
          <w:lang w:val="en-US"/>
        </w:rPr>
        <w:t>imperfections</w:t>
      </w:r>
      <w:r w:rsidR="00A326A6">
        <w:rPr>
          <w:bCs/>
          <w:lang w:val="en-US"/>
        </w:rPr>
        <w:t xml:space="preserve"> </w:t>
      </w:r>
      <w:r w:rsidRPr="00AB3119">
        <w:rPr>
          <w:bCs/>
          <w:lang w:val="en-US"/>
        </w:rPr>
        <w:t xml:space="preserve">such as </w:t>
      </w:r>
      <w:r w:rsidRPr="00B33462">
        <w:rPr>
          <w:bCs/>
          <w:lang w:val="en-US"/>
        </w:rPr>
        <w:t>collateral requirements</w:t>
      </w:r>
      <w:r>
        <w:rPr>
          <w:bCs/>
          <w:lang w:val="en-US"/>
        </w:rPr>
        <w:t xml:space="preserve">, </w:t>
      </w:r>
      <w:r w:rsidRPr="00AB3119">
        <w:rPr>
          <w:bCs/>
          <w:lang w:val="en-US"/>
        </w:rPr>
        <w:t xml:space="preserve">asymmetric information, </w:t>
      </w:r>
      <w:r>
        <w:rPr>
          <w:bCs/>
          <w:lang w:val="en-US"/>
        </w:rPr>
        <w:t xml:space="preserve">and </w:t>
      </w:r>
      <w:r w:rsidRPr="00AB3119">
        <w:rPr>
          <w:bCs/>
          <w:lang w:val="en-US"/>
        </w:rPr>
        <w:t>limit</w:t>
      </w:r>
      <w:r>
        <w:rPr>
          <w:bCs/>
          <w:lang w:val="en-US"/>
        </w:rPr>
        <w:t>ed</w:t>
      </w:r>
      <w:r w:rsidRPr="00AB3119">
        <w:rPr>
          <w:bCs/>
          <w:lang w:val="en-US"/>
        </w:rPr>
        <w:t xml:space="preserve"> access to </w:t>
      </w:r>
      <w:r>
        <w:rPr>
          <w:bCs/>
          <w:lang w:val="en-US"/>
        </w:rPr>
        <w:t>credit (</w:t>
      </w:r>
      <w:r w:rsidRPr="00AB3119">
        <w:rPr>
          <w:bCs/>
          <w:lang w:val="en-US"/>
        </w:rPr>
        <w:t>borrowing</w:t>
      </w:r>
      <w:r>
        <w:rPr>
          <w:bCs/>
          <w:lang w:val="en-US"/>
        </w:rPr>
        <w:t>)</w:t>
      </w:r>
      <w:r w:rsidR="00A326A6">
        <w:rPr>
          <w:bCs/>
          <w:lang w:val="en-US"/>
        </w:rPr>
        <w:t xml:space="preserve"> </w:t>
      </w:r>
      <w:r>
        <w:rPr>
          <w:bCs/>
          <w:lang w:val="en-US"/>
        </w:rPr>
        <w:t>among</w:t>
      </w:r>
      <w:r w:rsidRPr="00AB3119">
        <w:rPr>
          <w:bCs/>
          <w:lang w:val="en-US"/>
        </w:rPr>
        <w:t xml:space="preserve"> many households. Deaton (1991) and Carroll (1997) argue that in the presence of </w:t>
      </w:r>
      <w:r>
        <w:rPr>
          <w:bCs/>
          <w:lang w:val="en-US"/>
        </w:rPr>
        <w:t>borrowing</w:t>
      </w:r>
      <w:r w:rsidRPr="00AB3119">
        <w:rPr>
          <w:bCs/>
          <w:lang w:val="en-US"/>
        </w:rPr>
        <w:t xml:space="preserve"> constraints, households </w:t>
      </w:r>
      <w:r>
        <w:rPr>
          <w:bCs/>
          <w:lang w:val="en-US"/>
        </w:rPr>
        <w:t xml:space="preserve">are likely to </w:t>
      </w:r>
      <w:r w:rsidRPr="00AB3119">
        <w:rPr>
          <w:bCs/>
          <w:lang w:val="en-US"/>
        </w:rPr>
        <w:t>accumulate precautionary savings</w:t>
      </w:r>
      <w:r>
        <w:rPr>
          <w:bCs/>
          <w:lang w:val="en-US"/>
        </w:rPr>
        <w:t xml:space="preserve">. These precautionary savings will act as </w:t>
      </w:r>
      <w:r w:rsidRPr="00AB3119">
        <w:rPr>
          <w:bCs/>
          <w:lang w:val="en-US"/>
        </w:rPr>
        <w:t>a buffer against income uncertainty.</w:t>
      </w:r>
      <w:r w:rsidR="00A326A6">
        <w:rPr>
          <w:bCs/>
          <w:lang w:val="en-US"/>
        </w:rPr>
        <w:t xml:space="preserve"> </w:t>
      </w:r>
      <w:r w:rsidRPr="00AB3119">
        <w:rPr>
          <w:bCs/>
          <w:lang w:val="en-US"/>
        </w:rPr>
        <w:t xml:space="preserve">When credit constraints are </w:t>
      </w:r>
      <w:r>
        <w:rPr>
          <w:bCs/>
          <w:lang w:val="en-US"/>
        </w:rPr>
        <w:t>minimized</w:t>
      </w:r>
      <w:r w:rsidRPr="00AB3119">
        <w:rPr>
          <w:bCs/>
          <w:lang w:val="en-US"/>
        </w:rPr>
        <w:t xml:space="preserve"> through increased access</w:t>
      </w:r>
      <w:r>
        <w:rPr>
          <w:bCs/>
          <w:lang w:val="en-US"/>
        </w:rPr>
        <w:t xml:space="preserve"> to credit</w:t>
      </w:r>
      <w:r w:rsidRPr="00AB3119">
        <w:rPr>
          <w:bCs/>
          <w:lang w:val="en-US"/>
        </w:rPr>
        <w:t xml:space="preserve">, households may </w:t>
      </w:r>
      <w:r>
        <w:rPr>
          <w:bCs/>
          <w:lang w:val="en-US"/>
        </w:rPr>
        <w:t>lower</w:t>
      </w:r>
      <w:r w:rsidRPr="00AB3119">
        <w:rPr>
          <w:bCs/>
          <w:lang w:val="en-US"/>
        </w:rPr>
        <w:t xml:space="preserve"> precautionary savings. However, if credit is </w:t>
      </w:r>
      <w:r>
        <w:rPr>
          <w:bCs/>
          <w:lang w:val="en-US"/>
        </w:rPr>
        <w:t xml:space="preserve">costly or </w:t>
      </w:r>
      <w:r w:rsidRPr="00AB3119">
        <w:rPr>
          <w:bCs/>
          <w:lang w:val="en-US"/>
        </w:rPr>
        <w:t>uncertain, households may</w:t>
      </w:r>
      <w:r>
        <w:rPr>
          <w:bCs/>
          <w:lang w:val="en-US"/>
        </w:rPr>
        <w:t xml:space="preserve"> prefer to </w:t>
      </w:r>
      <w:r w:rsidRPr="00AB3119">
        <w:rPr>
          <w:bCs/>
          <w:lang w:val="en-US"/>
        </w:rPr>
        <w:t>continue sav</w:t>
      </w:r>
      <w:r>
        <w:rPr>
          <w:bCs/>
          <w:lang w:val="en-US"/>
        </w:rPr>
        <w:t xml:space="preserve">ing </w:t>
      </w:r>
      <w:r w:rsidRPr="00AB3119">
        <w:rPr>
          <w:bCs/>
          <w:lang w:val="en-US"/>
        </w:rPr>
        <w:t>while borrowing, resulting in simultaneous credit uptake and savings accumulation.</w:t>
      </w:r>
    </w:p>
    <w:p w:rsidR="00DF33BA" w:rsidRDefault="007D361F" w:rsidP="00596177">
      <w:pPr>
        <w:spacing w:line="360" w:lineRule="auto"/>
        <w:jc w:val="both"/>
        <w:rPr>
          <w:bCs/>
          <w:lang w:val="en-US"/>
        </w:rPr>
      </w:pPr>
      <w:r w:rsidRPr="00AB3119">
        <w:rPr>
          <w:bCs/>
          <w:lang w:val="en-US"/>
        </w:rPr>
        <w:t xml:space="preserve">Empirical studies on the relationship </w:t>
      </w:r>
      <w:bookmarkStart w:id="1" w:name="_Hlk220692316"/>
      <w:r w:rsidRPr="00AB3119">
        <w:rPr>
          <w:bCs/>
          <w:lang w:val="en-US"/>
        </w:rPr>
        <w:t xml:space="preserve">between credit uptake and savings </w:t>
      </w:r>
      <w:bookmarkEnd w:id="1"/>
      <w:r>
        <w:rPr>
          <w:bCs/>
          <w:lang w:val="en-US"/>
        </w:rPr>
        <w:t>show</w:t>
      </w:r>
      <w:r w:rsidRPr="00AB3119">
        <w:rPr>
          <w:bCs/>
          <w:lang w:val="en-US"/>
        </w:rPr>
        <w:t xml:space="preserve"> mixed evidence. Some studies find a negative relationship</w:t>
      </w:r>
      <w:bookmarkStart w:id="2" w:name="_Hlk220692430"/>
      <w:r w:rsidR="00A326A6">
        <w:rPr>
          <w:bCs/>
          <w:lang w:val="en-US"/>
        </w:rPr>
        <w:t xml:space="preserve"> </w:t>
      </w:r>
      <w:r w:rsidRPr="00B33462">
        <w:rPr>
          <w:bCs/>
          <w:lang w:val="en-US"/>
        </w:rPr>
        <w:t>between credit uptake and savings</w:t>
      </w:r>
      <w:bookmarkEnd w:id="2"/>
      <w:r>
        <w:rPr>
          <w:bCs/>
          <w:lang w:val="en-US"/>
        </w:rPr>
        <w:t xml:space="preserve">. This </w:t>
      </w:r>
      <w:r w:rsidRPr="00AB3119">
        <w:rPr>
          <w:bCs/>
          <w:lang w:val="en-US"/>
        </w:rPr>
        <w:lastRenderedPageBreak/>
        <w:t>suggest</w:t>
      </w:r>
      <w:r>
        <w:rPr>
          <w:bCs/>
          <w:lang w:val="en-US"/>
        </w:rPr>
        <w:t>s</w:t>
      </w:r>
      <w:r w:rsidRPr="00AB3119">
        <w:rPr>
          <w:bCs/>
          <w:lang w:val="en-US"/>
        </w:rPr>
        <w:t xml:space="preserve"> substitution effects</w:t>
      </w:r>
      <w:r>
        <w:rPr>
          <w:bCs/>
          <w:lang w:val="en-US"/>
        </w:rPr>
        <w:t>. O</w:t>
      </w:r>
      <w:r w:rsidRPr="00AB3119">
        <w:rPr>
          <w:bCs/>
          <w:lang w:val="en-US"/>
        </w:rPr>
        <w:t>ther</w:t>
      </w:r>
      <w:r>
        <w:rPr>
          <w:bCs/>
          <w:lang w:val="en-US"/>
        </w:rPr>
        <w:t xml:space="preserve"> studies</w:t>
      </w:r>
      <w:r w:rsidRPr="00AB3119">
        <w:rPr>
          <w:bCs/>
          <w:lang w:val="en-US"/>
        </w:rPr>
        <w:t xml:space="preserve"> find positive or insignificant relationships</w:t>
      </w:r>
      <w:r w:rsidR="00A326A6">
        <w:rPr>
          <w:bCs/>
          <w:lang w:val="en-US"/>
        </w:rPr>
        <w:t xml:space="preserve"> or causality </w:t>
      </w:r>
      <w:r w:rsidRPr="001F6DBD">
        <w:rPr>
          <w:bCs/>
          <w:lang w:val="en-US"/>
        </w:rPr>
        <w:t>between credit uptake and savings</w:t>
      </w:r>
      <w:r w:rsidRPr="00AB3119">
        <w:rPr>
          <w:bCs/>
          <w:lang w:val="en-US"/>
        </w:rPr>
        <w:t>.</w:t>
      </w:r>
      <w:r w:rsidR="00A326A6">
        <w:rPr>
          <w:bCs/>
          <w:lang w:val="en-US"/>
        </w:rPr>
        <w:t xml:space="preserve"> </w:t>
      </w:r>
      <w:r w:rsidRPr="00AB3119">
        <w:rPr>
          <w:bCs/>
          <w:lang w:val="en-US"/>
        </w:rPr>
        <w:t xml:space="preserve">Studies using household-level data in developing countries often show that access to microcredit reduces short-term savings but may increase long-term asset accumulation through income-generating investments (Banerjee et al., 2015). In contrast, </w:t>
      </w:r>
      <w:r w:rsidR="00A326A6">
        <w:rPr>
          <w:bCs/>
          <w:lang w:val="en-US"/>
        </w:rPr>
        <w:t>studies</w:t>
      </w:r>
      <w:r w:rsidR="00A326A6" w:rsidRPr="00AB3119">
        <w:rPr>
          <w:bCs/>
          <w:lang w:val="en-US"/>
        </w:rPr>
        <w:t xml:space="preserve"> on formal banking access indicate</w:t>
      </w:r>
      <w:r w:rsidRPr="00AB3119">
        <w:rPr>
          <w:bCs/>
          <w:lang w:val="en-US"/>
        </w:rPr>
        <w:t xml:space="preserve"> that credit availability can increase savings by </w:t>
      </w:r>
      <w:r w:rsidRPr="001F6DBD">
        <w:rPr>
          <w:bCs/>
          <w:lang w:val="en-US"/>
        </w:rPr>
        <w:t xml:space="preserve">lowering transaction costs </w:t>
      </w:r>
      <w:r>
        <w:rPr>
          <w:bCs/>
          <w:lang w:val="en-US"/>
        </w:rPr>
        <w:t xml:space="preserve">and </w:t>
      </w:r>
      <w:r w:rsidRPr="00AB3119">
        <w:rPr>
          <w:bCs/>
          <w:lang w:val="en-US"/>
        </w:rPr>
        <w:t>promoting financial inclusion</w:t>
      </w:r>
      <w:r w:rsidR="00A326A6">
        <w:rPr>
          <w:bCs/>
          <w:lang w:val="en-US"/>
        </w:rPr>
        <w:t xml:space="preserve"> </w:t>
      </w:r>
      <w:r w:rsidRPr="00AB3119">
        <w:rPr>
          <w:bCs/>
          <w:lang w:val="en-US"/>
        </w:rPr>
        <w:t>(</w:t>
      </w:r>
      <w:proofErr w:type="spellStart"/>
      <w:r w:rsidRPr="00AB3119">
        <w:rPr>
          <w:bCs/>
          <w:lang w:val="en-US"/>
        </w:rPr>
        <w:t>Demirgüç-Kunt</w:t>
      </w:r>
      <w:proofErr w:type="spellEnd"/>
      <w:r w:rsidRPr="00AB3119">
        <w:rPr>
          <w:bCs/>
          <w:lang w:val="en-US"/>
        </w:rPr>
        <w:t xml:space="preserve"> </w:t>
      </w:r>
      <w:r w:rsidRPr="0068360C">
        <w:rPr>
          <w:bCs/>
          <w:i/>
          <w:iCs/>
          <w:lang w:val="en-US"/>
        </w:rPr>
        <w:t>et al</w:t>
      </w:r>
      <w:r w:rsidRPr="00AB3119">
        <w:rPr>
          <w:bCs/>
          <w:lang w:val="en-US"/>
        </w:rPr>
        <w:t>., 2018</w:t>
      </w:r>
      <w:r w:rsidR="00F176CC">
        <w:rPr>
          <w:bCs/>
          <w:lang w:val="en-US"/>
        </w:rPr>
        <w:t xml:space="preserve">; </w:t>
      </w:r>
      <w:proofErr w:type="spellStart"/>
      <w:r w:rsidR="00F176CC">
        <w:rPr>
          <w:bCs/>
          <w:lang w:val="en-US"/>
        </w:rPr>
        <w:t>Thomi</w:t>
      </w:r>
      <w:proofErr w:type="spellEnd"/>
      <w:r w:rsidR="00F176CC">
        <w:rPr>
          <w:bCs/>
          <w:lang w:val="en-US"/>
        </w:rPr>
        <w:t>, 2021</w:t>
      </w:r>
      <w:r w:rsidRPr="00AB3119">
        <w:rPr>
          <w:bCs/>
          <w:lang w:val="en-US"/>
        </w:rPr>
        <w:t>).</w:t>
      </w:r>
    </w:p>
    <w:p w:rsidR="00DF33BA" w:rsidRDefault="007D361F" w:rsidP="00596177">
      <w:pPr>
        <w:spacing w:line="360" w:lineRule="auto"/>
        <w:jc w:val="both"/>
        <w:rPr>
          <w:bCs/>
          <w:lang w:val="en-US"/>
        </w:rPr>
      </w:pPr>
      <w:r w:rsidRPr="00AB3119">
        <w:rPr>
          <w:bCs/>
          <w:lang w:val="en-US"/>
        </w:rPr>
        <w:t xml:space="preserve">Other studies </w:t>
      </w:r>
      <w:r>
        <w:rPr>
          <w:bCs/>
          <w:lang w:val="en-US"/>
        </w:rPr>
        <w:t>outline</w:t>
      </w:r>
      <w:r w:rsidRPr="00AB3119">
        <w:rPr>
          <w:bCs/>
          <w:lang w:val="en-US"/>
        </w:rPr>
        <w:t xml:space="preserve"> the </w:t>
      </w:r>
      <w:r>
        <w:rPr>
          <w:bCs/>
          <w:lang w:val="en-US"/>
        </w:rPr>
        <w:t xml:space="preserve">crucial </w:t>
      </w:r>
      <w:r w:rsidRPr="00AB3119">
        <w:rPr>
          <w:bCs/>
          <w:lang w:val="en-US"/>
        </w:rPr>
        <w:t>role of compulsory savings linked to credit programs, particularly in microfinance institutions</w:t>
      </w:r>
      <w:r>
        <w:rPr>
          <w:bCs/>
          <w:lang w:val="en-US"/>
        </w:rPr>
        <w:t xml:space="preserve"> (MFIs)</w:t>
      </w:r>
      <w:r w:rsidRPr="00AB3119">
        <w:rPr>
          <w:bCs/>
          <w:lang w:val="en-US"/>
        </w:rPr>
        <w:t xml:space="preserve">, which can </w:t>
      </w:r>
      <w:r>
        <w:rPr>
          <w:bCs/>
          <w:lang w:val="en-US"/>
        </w:rPr>
        <w:t>significantly</w:t>
      </w:r>
      <w:r w:rsidRPr="00AB3119">
        <w:rPr>
          <w:bCs/>
          <w:lang w:val="en-US"/>
        </w:rPr>
        <w:t xml:space="preserve"> increase savings alongside borrowing (</w:t>
      </w:r>
      <w:proofErr w:type="spellStart"/>
      <w:r w:rsidRPr="00AB3119">
        <w:rPr>
          <w:bCs/>
          <w:lang w:val="en-US"/>
        </w:rPr>
        <w:t>Armendáriz</w:t>
      </w:r>
      <w:proofErr w:type="spellEnd"/>
      <w:r w:rsidRPr="00AB3119">
        <w:rPr>
          <w:bCs/>
          <w:lang w:val="en-US"/>
        </w:rPr>
        <w:t xml:space="preserve"> &amp; Morduch, 2010). These findings </w:t>
      </w:r>
      <w:r>
        <w:rPr>
          <w:bCs/>
          <w:lang w:val="en-US"/>
        </w:rPr>
        <w:t xml:space="preserve">thus </w:t>
      </w:r>
      <w:r w:rsidRPr="00AB3119">
        <w:rPr>
          <w:bCs/>
          <w:lang w:val="en-US"/>
        </w:rPr>
        <w:t>suggest that institutional design plays a critical role in shaping the credit–savings relationship.</w:t>
      </w:r>
    </w:p>
    <w:p w:rsidR="00DF33BA" w:rsidRPr="00703312" w:rsidRDefault="007D361F" w:rsidP="00596177">
      <w:pPr>
        <w:spacing w:line="360" w:lineRule="auto"/>
        <w:jc w:val="both"/>
        <w:rPr>
          <w:bCs/>
          <w:lang w:val="en-US"/>
        </w:rPr>
      </w:pPr>
      <w:r>
        <w:rPr>
          <w:bCs/>
          <w:lang w:val="en-US"/>
        </w:rPr>
        <w:t>Various</w:t>
      </w:r>
      <w:r w:rsidRPr="00AB3119">
        <w:rPr>
          <w:bCs/>
          <w:lang w:val="en-US"/>
        </w:rPr>
        <w:t xml:space="preserve"> factors </w:t>
      </w:r>
      <w:r>
        <w:rPr>
          <w:bCs/>
          <w:lang w:val="en-US"/>
        </w:rPr>
        <w:t xml:space="preserve">are likely to </w:t>
      </w:r>
      <w:r w:rsidRPr="00AB3119">
        <w:rPr>
          <w:bCs/>
          <w:lang w:val="en-US"/>
        </w:rPr>
        <w:t xml:space="preserve">influence how credit uptake affects savings </w:t>
      </w:r>
      <w:proofErr w:type="spellStart"/>
      <w:r w:rsidRPr="00AB3119">
        <w:rPr>
          <w:bCs/>
          <w:lang w:val="en-US"/>
        </w:rPr>
        <w:t>behavio</w:t>
      </w:r>
      <w:r>
        <w:rPr>
          <w:bCs/>
          <w:lang w:val="en-US"/>
        </w:rPr>
        <w:t>u</w:t>
      </w:r>
      <w:r w:rsidRPr="00AB3119">
        <w:rPr>
          <w:bCs/>
          <w:lang w:val="en-US"/>
        </w:rPr>
        <w:t>r</w:t>
      </w:r>
      <w:proofErr w:type="spellEnd"/>
      <w:r w:rsidRPr="00AB3119">
        <w:rPr>
          <w:bCs/>
          <w:lang w:val="en-US"/>
        </w:rPr>
        <w:t xml:space="preserve">. Income level determines whether credit is used for </w:t>
      </w:r>
      <w:r w:rsidRPr="00720A78">
        <w:rPr>
          <w:bCs/>
          <w:lang w:val="en-US"/>
        </w:rPr>
        <w:t>productive investment</w:t>
      </w:r>
      <w:r w:rsidR="00F176CC">
        <w:rPr>
          <w:bCs/>
          <w:lang w:val="en-US"/>
        </w:rPr>
        <w:t xml:space="preserve"> </w:t>
      </w:r>
      <w:r>
        <w:rPr>
          <w:bCs/>
          <w:lang w:val="en-US"/>
        </w:rPr>
        <w:t xml:space="preserve">or </w:t>
      </w:r>
      <w:r w:rsidRPr="00AB3119">
        <w:rPr>
          <w:bCs/>
          <w:lang w:val="en-US"/>
        </w:rPr>
        <w:t>consumption smoothing.</w:t>
      </w:r>
      <w:r w:rsidR="00F176CC">
        <w:rPr>
          <w:bCs/>
          <w:lang w:val="en-US"/>
        </w:rPr>
        <w:t xml:space="preserve"> </w:t>
      </w:r>
      <w:r w:rsidRPr="00AB3119">
        <w:rPr>
          <w:bCs/>
          <w:lang w:val="en-US"/>
        </w:rPr>
        <w:t>Interest rates</w:t>
      </w:r>
      <w:r>
        <w:rPr>
          <w:bCs/>
          <w:lang w:val="en-US"/>
        </w:rPr>
        <w:t xml:space="preserve"> (the cost of </w:t>
      </w:r>
      <w:r w:rsidRPr="00AB3119">
        <w:rPr>
          <w:bCs/>
          <w:lang w:val="en-US"/>
        </w:rPr>
        <w:t>borrowing</w:t>
      </w:r>
      <w:r>
        <w:rPr>
          <w:bCs/>
          <w:lang w:val="en-US"/>
        </w:rPr>
        <w:t xml:space="preserve">) </w:t>
      </w:r>
      <w:r w:rsidRPr="00AB3119">
        <w:rPr>
          <w:bCs/>
          <w:lang w:val="en-US"/>
        </w:rPr>
        <w:t>affect the relative attractiveness of saving versus borrowing. Financial literacy influences households’ ability to manage debt and savings simultaneously. Institutional factors, including the structure of financial products and regulatory frameworks</w:t>
      </w:r>
      <w:r w:rsidR="00F176CC">
        <w:rPr>
          <w:bCs/>
          <w:lang w:val="en-US"/>
        </w:rPr>
        <w:t xml:space="preserve">, </w:t>
      </w:r>
      <w:r w:rsidRPr="00AB3119">
        <w:rPr>
          <w:bCs/>
          <w:lang w:val="en-US"/>
        </w:rPr>
        <w:t xml:space="preserve">also shape the </w:t>
      </w:r>
      <w:r>
        <w:rPr>
          <w:bCs/>
          <w:lang w:val="en-US"/>
        </w:rPr>
        <w:t>relationship between savings and credit</w:t>
      </w:r>
      <w:r w:rsidR="00F176CC">
        <w:rPr>
          <w:bCs/>
          <w:lang w:val="en-US"/>
        </w:rPr>
        <w:t xml:space="preserve"> (</w:t>
      </w:r>
      <w:proofErr w:type="spellStart"/>
      <w:r w:rsidR="00F176CC">
        <w:rPr>
          <w:bCs/>
          <w:lang w:val="en-US"/>
        </w:rPr>
        <w:t>Thomi</w:t>
      </w:r>
      <w:proofErr w:type="spellEnd"/>
      <w:r w:rsidR="00F176CC">
        <w:rPr>
          <w:bCs/>
          <w:lang w:val="en-US"/>
        </w:rPr>
        <w:t>, 2022).</w:t>
      </w:r>
    </w:p>
    <w:p w:rsidR="00DF33BA" w:rsidRPr="00AB3119" w:rsidRDefault="007D361F" w:rsidP="00596177">
      <w:pPr>
        <w:spacing w:line="360" w:lineRule="auto"/>
        <w:jc w:val="both"/>
        <w:rPr>
          <w:bCs/>
          <w:lang w:val="en-US"/>
        </w:rPr>
      </w:pPr>
      <w:r w:rsidRPr="00AB3119">
        <w:rPr>
          <w:bCs/>
          <w:lang w:val="en-US"/>
        </w:rPr>
        <w:t>The reviewed literature reveals no consensus on the direction or magnitude of the relationship between credit uptake and savings. While theoretical models provide competing predictions, empirical evidence remains context-dependent and sensitive to institutional settings. This lack of uniformity highlights the need for further research</w:t>
      </w:r>
      <w:r>
        <w:rPr>
          <w:bCs/>
          <w:lang w:val="en-US"/>
        </w:rPr>
        <w:t xml:space="preserve"> </w:t>
      </w:r>
      <w:r w:rsidRPr="00AB3119">
        <w:rPr>
          <w:bCs/>
          <w:lang w:val="en-US"/>
        </w:rPr>
        <w:t xml:space="preserve">that </w:t>
      </w:r>
      <w:r>
        <w:rPr>
          <w:bCs/>
          <w:lang w:val="en-US"/>
        </w:rPr>
        <w:t>combines</w:t>
      </w:r>
      <w:r w:rsidRPr="00AB3119">
        <w:rPr>
          <w:bCs/>
          <w:lang w:val="en-US"/>
        </w:rPr>
        <w:t xml:space="preserve"> theory with context-specific empirical analysis to better </w:t>
      </w:r>
      <w:r>
        <w:rPr>
          <w:bCs/>
          <w:lang w:val="en-US"/>
        </w:rPr>
        <w:t>comprehend</w:t>
      </w:r>
      <w:r w:rsidRPr="00AB3119">
        <w:rPr>
          <w:bCs/>
          <w:lang w:val="en-US"/>
        </w:rPr>
        <w:t xml:space="preserve"> the interplay between credit uptake and savings.</w:t>
      </w:r>
    </w:p>
    <w:p w:rsidR="000C1D3C" w:rsidRPr="007D301A" w:rsidRDefault="007D361F" w:rsidP="00596177">
      <w:pPr>
        <w:spacing w:line="360" w:lineRule="auto"/>
        <w:jc w:val="both"/>
        <w:rPr>
          <w:rFonts w:cs="Times New Roman"/>
          <w:b/>
          <w:szCs w:val="24"/>
        </w:rPr>
      </w:pPr>
      <w:r>
        <w:rPr>
          <w:rFonts w:cs="Times New Roman"/>
          <w:b/>
          <w:szCs w:val="24"/>
        </w:rPr>
        <w:t xml:space="preserve">3 </w:t>
      </w:r>
      <w:r w:rsidR="002A182B" w:rsidRPr="007D301A">
        <w:rPr>
          <w:rFonts w:cs="Times New Roman"/>
          <w:b/>
          <w:szCs w:val="24"/>
        </w:rPr>
        <w:t>Methodology</w:t>
      </w:r>
    </w:p>
    <w:p w:rsidR="00803B68" w:rsidRPr="007D301A" w:rsidRDefault="007D361F" w:rsidP="00596177">
      <w:pPr>
        <w:spacing w:line="360" w:lineRule="auto"/>
        <w:jc w:val="both"/>
        <w:rPr>
          <w:rFonts w:eastAsia="Times New Roman" w:cs="Times New Roman"/>
          <w:szCs w:val="24"/>
          <w:lang w:eastAsia="en-GB"/>
        </w:rPr>
      </w:pPr>
      <w:r w:rsidRPr="007D301A">
        <w:rPr>
          <w:rFonts w:cs="Times New Roman"/>
          <w:szCs w:val="24"/>
        </w:rPr>
        <w:t xml:space="preserve">The study applied an explanatory research design </w:t>
      </w:r>
      <w:r w:rsidRPr="007D301A">
        <w:rPr>
          <w:rFonts w:eastAsia="Times New Roman" w:cs="Times New Roman"/>
          <w:iCs/>
          <w:szCs w:val="24"/>
          <w:lang w:eastAsia="en-GB"/>
        </w:rPr>
        <w:t>to</w:t>
      </w:r>
      <w:r w:rsidR="002F2E1F">
        <w:rPr>
          <w:rFonts w:eastAsia="Times New Roman" w:cs="Times New Roman"/>
          <w:iCs/>
          <w:szCs w:val="24"/>
          <w:lang w:eastAsia="en-GB"/>
        </w:rPr>
        <w:t xml:space="preserve"> </w:t>
      </w:r>
      <w:r w:rsidRPr="007D301A">
        <w:rPr>
          <w:rFonts w:eastAsia="Times New Roman" w:cs="Times New Roman"/>
          <w:szCs w:val="24"/>
          <w:lang w:eastAsia="en-GB"/>
        </w:rPr>
        <w:t xml:space="preserve">test new theories and establish cause-and-effect relationships between different </w:t>
      </w:r>
      <w:r w:rsidRPr="007D301A">
        <w:rPr>
          <w:rFonts w:eastAsia="Times New Roman" w:cs="Times New Roman"/>
          <w:iCs/>
          <w:szCs w:val="24"/>
          <w:lang w:eastAsia="en-GB"/>
        </w:rPr>
        <w:t>study</w:t>
      </w:r>
      <w:r w:rsidRPr="007D301A">
        <w:rPr>
          <w:rFonts w:eastAsia="Times New Roman" w:cs="Times New Roman"/>
          <w:szCs w:val="24"/>
          <w:lang w:eastAsia="en-GB"/>
        </w:rPr>
        <w:t xml:space="preserve"> variables. </w:t>
      </w:r>
      <w:r w:rsidRPr="007D301A">
        <w:rPr>
          <w:rFonts w:cs="Times New Roman"/>
          <w:szCs w:val="24"/>
        </w:rPr>
        <w:t xml:space="preserve">This was for the period spanning from 1960 to 2024 using time series data and adopting the </w:t>
      </w:r>
      <w:r w:rsidR="002F2E1F">
        <w:rPr>
          <w:rFonts w:cs="Times New Roman"/>
          <w:szCs w:val="24"/>
        </w:rPr>
        <w:t>G</w:t>
      </w:r>
      <w:r w:rsidR="00EC4A80" w:rsidRPr="007D301A">
        <w:rPr>
          <w:rFonts w:cs="Times New Roman"/>
          <w:szCs w:val="24"/>
        </w:rPr>
        <w:t xml:space="preserve">ranger </w:t>
      </w:r>
      <w:r w:rsidR="00B36900" w:rsidRPr="007D301A">
        <w:rPr>
          <w:rFonts w:cs="Times New Roman"/>
          <w:szCs w:val="24"/>
        </w:rPr>
        <w:t>causality estimation</w:t>
      </w:r>
      <w:r w:rsidRPr="007D301A">
        <w:rPr>
          <w:rFonts w:cs="Times New Roman"/>
          <w:szCs w:val="24"/>
        </w:rPr>
        <w:t xml:space="preserve"> approach. The research was carried out in Kenya, a developing country in sub-Saharan Africa. Kenya is located in the East African region. Kenya</w:t>
      </w:r>
      <w:r w:rsidR="007C7286">
        <w:rPr>
          <w:rFonts w:cs="Times New Roman"/>
          <w:szCs w:val="24"/>
        </w:rPr>
        <w:t>’</w:t>
      </w:r>
      <w:r w:rsidRPr="007D301A">
        <w:rPr>
          <w:rFonts w:cs="Times New Roman"/>
          <w:szCs w:val="24"/>
        </w:rPr>
        <w:t>s latitude and longitude are 0.0236° S and 37.9062</w:t>
      </w:r>
      <w:r w:rsidR="00217FE8">
        <w:rPr>
          <w:rFonts w:cs="Times New Roman"/>
          <w:szCs w:val="24"/>
        </w:rPr>
        <w:t>° E, respectively (</w:t>
      </w:r>
      <w:proofErr w:type="spellStart"/>
      <w:r w:rsidR="00217FE8">
        <w:rPr>
          <w:rFonts w:cs="Times New Roman"/>
          <w:szCs w:val="24"/>
        </w:rPr>
        <w:t>Gisore</w:t>
      </w:r>
      <w:proofErr w:type="spellEnd"/>
      <w:r w:rsidR="00217FE8">
        <w:rPr>
          <w:rFonts w:cs="Times New Roman"/>
          <w:szCs w:val="24"/>
        </w:rPr>
        <w:t>, 2021</w:t>
      </w:r>
      <w:r w:rsidR="00D946AD" w:rsidRPr="007D301A">
        <w:rPr>
          <w:rFonts w:cs="Times New Roman"/>
          <w:szCs w:val="24"/>
        </w:rPr>
        <w:t xml:space="preserve">). </w:t>
      </w:r>
      <w:r w:rsidR="00D946AD" w:rsidRPr="007D301A">
        <w:rPr>
          <w:rFonts w:eastAsia="Times New Roman" w:cs="Times New Roman"/>
          <w:szCs w:val="24"/>
          <w:lang w:eastAsia="en-GB"/>
        </w:rPr>
        <w:t xml:space="preserve">The </w:t>
      </w:r>
      <w:r w:rsidR="00D946AD" w:rsidRPr="007D301A">
        <w:rPr>
          <w:rFonts w:eastAsia="Times New Roman" w:cs="Times New Roman"/>
          <w:iCs/>
          <w:szCs w:val="24"/>
          <w:lang w:eastAsia="en-GB"/>
        </w:rPr>
        <w:t>uptake</w:t>
      </w:r>
      <w:r w:rsidR="00D946AD" w:rsidRPr="007D301A">
        <w:rPr>
          <w:rFonts w:eastAsia="Times New Roman" w:cs="Times New Roman"/>
          <w:szCs w:val="24"/>
          <w:lang w:eastAsia="en-GB"/>
        </w:rPr>
        <w:t xml:space="preserve"> of </w:t>
      </w:r>
      <w:r w:rsidR="00D946AD" w:rsidRPr="007D301A">
        <w:rPr>
          <w:rFonts w:eastAsia="Times New Roman" w:cs="Times New Roman"/>
          <w:iCs/>
          <w:szCs w:val="24"/>
          <w:lang w:eastAsia="en-GB"/>
        </w:rPr>
        <w:t>credit</w:t>
      </w:r>
      <w:r w:rsidR="002F2E1F">
        <w:rPr>
          <w:rFonts w:eastAsia="Times New Roman" w:cs="Times New Roman"/>
          <w:iCs/>
          <w:szCs w:val="24"/>
          <w:lang w:eastAsia="en-GB"/>
        </w:rPr>
        <w:t xml:space="preserve"> </w:t>
      </w:r>
      <w:r w:rsidR="00B36900" w:rsidRPr="007D301A">
        <w:rPr>
          <w:rFonts w:eastAsia="Times New Roman" w:cs="Times New Roman"/>
          <w:szCs w:val="24"/>
          <w:lang w:eastAsia="en-GB"/>
        </w:rPr>
        <w:t xml:space="preserve">(borrowing) </w:t>
      </w:r>
      <w:r w:rsidR="00D946AD" w:rsidRPr="007D301A">
        <w:rPr>
          <w:rFonts w:eastAsia="Times New Roman" w:cs="Times New Roman"/>
          <w:szCs w:val="24"/>
          <w:lang w:eastAsia="en-GB"/>
        </w:rPr>
        <w:t xml:space="preserve">and </w:t>
      </w:r>
      <w:r w:rsidR="00D946AD" w:rsidRPr="007D301A">
        <w:rPr>
          <w:rFonts w:eastAsia="Times New Roman" w:cs="Times New Roman"/>
          <w:iCs/>
          <w:szCs w:val="24"/>
          <w:lang w:eastAsia="en-GB"/>
        </w:rPr>
        <w:t>savings</w:t>
      </w:r>
      <w:r w:rsidR="00D946AD" w:rsidRPr="007D301A">
        <w:rPr>
          <w:rFonts w:eastAsia="Times New Roman" w:cs="Times New Roman"/>
          <w:szCs w:val="24"/>
          <w:lang w:eastAsia="en-GB"/>
        </w:rPr>
        <w:t xml:space="preserve"> rates among </w:t>
      </w:r>
      <w:r w:rsidR="00D946AD" w:rsidRPr="007D301A">
        <w:rPr>
          <w:rFonts w:eastAsia="Times New Roman" w:cs="Times New Roman"/>
          <w:iCs/>
          <w:szCs w:val="24"/>
          <w:lang w:eastAsia="en-GB"/>
        </w:rPr>
        <w:t>Kenyan</w:t>
      </w:r>
      <w:r w:rsidR="00D946AD" w:rsidRPr="007D301A">
        <w:rPr>
          <w:rFonts w:eastAsia="Times New Roman" w:cs="Times New Roman"/>
          <w:szCs w:val="24"/>
          <w:lang w:eastAsia="en-GB"/>
        </w:rPr>
        <w:t xml:space="preserve"> households has shown dynamic </w:t>
      </w:r>
      <w:r w:rsidR="00D946AD" w:rsidRPr="007D301A">
        <w:rPr>
          <w:rFonts w:eastAsia="Times New Roman" w:cs="Times New Roman"/>
          <w:iCs/>
          <w:szCs w:val="24"/>
          <w:lang w:eastAsia="en-GB"/>
        </w:rPr>
        <w:t>trends</w:t>
      </w:r>
      <w:r w:rsidR="00D946AD" w:rsidRPr="007D301A">
        <w:rPr>
          <w:rFonts w:eastAsia="Times New Roman" w:cs="Times New Roman"/>
          <w:szCs w:val="24"/>
          <w:lang w:eastAsia="en-GB"/>
        </w:rPr>
        <w:t xml:space="preserve"> over the years, with </w:t>
      </w:r>
      <w:r w:rsidR="00D946AD" w:rsidRPr="007D301A">
        <w:rPr>
          <w:rFonts w:eastAsia="Times New Roman" w:cs="Times New Roman"/>
          <w:iCs/>
          <w:szCs w:val="24"/>
          <w:lang w:eastAsia="en-GB"/>
        </w:rPr>
        <w:lastRenderedPageBreak/>
        <w:t>savings</w:t>
      </w:r>
      <w:r w:rsidR="00D946AD" w:rsidRPr="007D301A">
        <w:rPr>
          <w:rFonts w:eastAsia="Times New Roman" w:cs="Times New Roman"/>
          <w:szCs w:val="24"/>
          <w:lang w:eastAsia="en-GB"/>
        </w:rPr>
        <w:t xml:space="preserve"> generally outpacing </w:t>
      </w:r>
      <w:r w:rsidR="00D946AD" w:rsidRPr="007D301A">
        <w:rPr>
          <w:rFonts w:eastAsia="Times New Roman" w:cs="Times New Roman"/>
          <w:iCs/>
          <w:szCs w:val="24"/>
          <w:lang w:eastAsia="en-GB"/>
        </w:rPr>
        <w:t>credit</w:t>
      </w:r>
      <w:r w:rsidR="00A34EAE">
        <w:rPr>
          <w:rFonts w:eastAsia="Times New Roman" w:cs="Times New Roman"/>
          <w:szCs w:val="24"/>
          <w:lang w:eastAsia="en-GB"/>
        </w:rPr>
        <w:t> </w:t>
      </w:r>
      <w:r w:rsidR="00D946AD" w:rsidRPr="007D301A">
        <w:rPr>
          <w:rFonts w:eastAsia="Times New Roman" w:cs="Times New Roman"/>
          <w:szCs w:val="24"/>
          <w:lang w:eastAsia="en-GB"/>
        </w:rPr>
        <w:t xml:space="preserve">uptake. </w:t>
      </w:r>
      <w:r w:rsidRPr="007D301A">
        <w:rPr>
          <w:rFonts w:cs="Times New Roman"/>
          <w:szCs w:val="24"/>
        </w:rPr>
        <w:t xml:space="preserve">Figure </w:t>
      </w:r>
      <w:r w:rsidR="00D22E9D" w:rsidRPr="007D301A">
        <w:rPr>
          <w:rFonts w:cs="Times New Roman"/>
          <w:szCs w:val="24"/>
        </w:rPr>
        <w:t xml:space="preserve">1 </w:t>
      </w:r>
      <w:r w:rsidRPr="007D301A">
        <w:rPr>
          <w:rFonts w:cs="Times New Roman"/>
          <w:szCs w:val="24"/>
        </w:rPr>
        <w:t>presents the map of Kenya showing the location of the study area.</w:t>
      </w:r>
    </w:p>
    <w:p w:rsidR="00803B68" w:rsidRPr="007D301A" w:rsidRDefault="007D361F" w:rsidP="00596177">
      <w:pPr>
        <w:spacing w:line="360" w:lineRule="auto"/>
        <w:jc w:val="both"/>
        <w:rPr>
          <w:rFonts w:cs="Times New Roman"/>
          <w:szCs w:val="24"/>
        </w:rPr>
      </w:pPr>
      <w:r w:rsidRPr="007D301A">
        <w:rPr>
          <w:rFonts w:cs="Times New Roman"/>
          <w:noProof/>
          <w:szCs w:val="24"/>
          <w:lang w:eastAsia="en-GB"/>
        </w:rPr>
        <w:drawing>
          <wp:inline distT="0" distB="0" distL="0" distR="0">
            <wp:extent cx="2590800" cy="3305629"/>
            <wp:effectExtent l="19050" t="0" r="0" b="0"/>
            <wp:docPr id="1" name="Picture 7"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591707" cy="3306786"/>
                    </a:xfrm>
                    <a:prstGeom prst="rect">
                      <a:avLst/>
                    </a:prstGeom>
                    <a:noFill/>
                    <a:ln>
                      <a:noFill/>
                    </a:ln>
                  </pic:spPr>
                </pic:pic>
              </a:graphicData>
            </a:graphic>
          </wp:inline>
        </w:drawing>
      </w:r>
    </w:p>
    <w:p w:rsidR="00803B68" w:rsidRPr="007D301A" w:rsidRDefault="007D361F" w:rsidP="00596177">
      <w:pPr>
        <w:spacing w:line="360" w:lineRule="auto"/>
        <w:jc w:val="both"/>
        <w:rPr>
          <w:rFonts w:cs="Times New Roman"/>
          <w:b/>
          <w:szCs w:val="24"/>
        </w:rPr>
      </w:pPr>
      <w:r w:rsidRPr="007D301A">
        <w:rPr>
          <w:rFonts w:cs="Times New Roman"/>
          <w:b/>
          <w:szCs w:val="24"/>
        </w:rPr>
        <w:t>Figure 1: A Map of Kenya showing the location of the study area.</w:t>
      </w:r>
    </w:p>
    <w:p w:rsidR="00803B68" w:rsidRPr="007D301A" w:rsidRDefault="007D361F" w:rsidP="00596177">
      <w:pPr>
        <w:tabs>
          <w:tab w:val="left" w:pos="5643"/>
        </w:tabs>
        <w:spacing w:line="360" w:lineRule="auto"/>
        <w:jc w:val="both"/>
        <w:rPr>
          <w:rFonts w:cs="Times New Roman"/>
          <w:szCs w:val="24"/>
        </w:rPr>
      </w:pPr>
      <w:r>
        <w:rPr>
          <w:rFonts w:cs="Times New Roman"/>
          <w:szCs w:val="24"/>
        </w:rPr>
        <w:t xml:space="preserve">Source:   </w:t>
      </w:r>
      <w:proofErr w:type="spellStart"/>
      <w:r>
        <w:rPr>
          <w:rFonts w:cs="Times New Roman"/>
          <w:szCs w:val="24"/>
        </w:rPr>
        <w:t>Gisore</w:t>
      </w:r>
      <w:proofErr w:type="spellEnd"/>
      <w:r>
        <w:rPr>
          <w:rFonts w:cs="Times New Roman"/>
          <w:szCs w:val="24"/>
        </w:rPr>
        <w:t xml:space="preserve"> (2021</w:t>
      </w:r>
      <w:r w:rsidRPr="007D301A">
        <w:rPr>
          <w:rFonts w:cs="Times New Roman"/>
          <w:szCs w:val="24"/>
        </w:rPr>
        <w:t>).</w:t>
      </w:r>
    </w:p>
    <w:p w:rsidR="00803B68" w:rsidRPr="007D301A" w:rsidRDefault="007D361F" w:rsidP="00596177">
      <w:pPr>
        <w:tabs>
          <w:tab w:val="left" w:pos="5643"/>
        </w:tabs>
        <w:spacing w:after="240" w:line="360" w:lineRule="auto"/>
        <w:jc w:val="both"/>
        <w:rPr>
          <w:rFonts w:cs="Times New Roman"/>
          <w:szCs w:val="24"/>
        </w:rPr>
      </w:pPr>
      <w:r w:rsidRPr="007D301A">
        <w:rPr>
          <w:rFonts w:cs="Times New Roman"/>
          <w:szCs w:val="24"/>
        </w:rPr>
        <w:t xml:space="preserve">This study utilized the Kenyan time series yearly data for 45 years, spanning from 1960 to 2024. The secondary data </w:t>
      </w:r>
      <w:r w:rsidR="00D946AD" w:rsidRPr="007D301A">
        <w:rPr>
          <w:rFonts w:cs="Times New Roman"/>
          <w:szCs w:val="24"/>
        </w:rPr>
        <w:t>was sourced from the World Bank</w:t>
      </w:r>
      <w:r w:rsidR="00242F88" w:rsidRPr="007D301A">
        <w:rPr>
          <w:rFonts w:cs="Times New Roman"/>
          <w:szCs w:val="24"/>
        </w:rPr>
        <w:t>’</w:t>
      </w:r>
      <w:r w:rsidR="00D946AD" w:rsidRPr="007D301A">
        <w:rPr>
          <w:rFonts w:cs="Times New Roman"/>
          <w:szCs w:val="24"/>
        </w:rPr>
        <w:t>s World Development Indicators</w:t>
      </w:r>
      <w:r w:rsidR="00242F88" w:rsidRPr="007D301A">
        <w:rPr>
          <w:rFonts w:cs="Times New Roman"/>
          <w:szCs w:val="24"/>
        </w:rPr>
        <w:t xml:space="preserve"> (WDI)</w:t>
      </w:r>
      <w:r w:rsidR="00D946AD" w:rsidRPr="007D301A">
        <w:rPr>
          <w:rFonts w:cs="Times New Roman"/>
          <w:szCs w:val="24"/>
        </w:rPr>
        <w:t xml:space="preserve">. </w:t>
      </w:r>
      <w:r w:rsidRPr="007D301A">
        <w:rPr>
          <w:rFonts w:cs="Times New Roman"/>
          <w:szCs w:val="24"/>
        </w:rPr>
        <w:t>The description of the stu</w:t>
      </w:r>
      <w:r w:rsidR="00D22E9D" w:rsidRPr="007D301A">
        <w:rPr>
          <w:rFonts w:cs="Times New Roman"/>
          <w:szCs w:val="24"/>
        </w:rPr>
        <w:t>dy variables is given in Table 2</w:t>
      </w:r>
      <w:r w:rsidRPr="007D301A">
        <w:rPr>
          <w:rFonts w:cs="Times New Roman"/>
          <w:szCs w:val="24"/>
        </w:rPr>
        <w:t>.</w:t>
      </w:r>
    </w:p>
    <w:p w:rsidR="00803B68" w:rsidRPr="007D301A" w:rsidRDefault="007D361F" w:rsidP="00596177">
      <w:pPr>
        <w:tabs>
          <w:tab w:val="left" w:pos="5643"/>
        </w:tabs>
        <w:spacing w:after="0" w:line="360" w:lineRule="auto"/>
        <w:jc w:val="both"/>
        <w:rPr>
          <w:rFonts w:cs="Times New Roman"/>
          <w:b/>
          <w:szCs w:val="24"/>
        </w:rPr>
      </w:pPr>
      <w:r w:rsidRPr="007D301A">
        <w:rPr>
          <w:rFonts w:cs="Times New Roman"/>
          <w:b/>
          <w:szCs w:val="24"/>
        </w:rPr>
        <w:t>Table 2</w:t>
      </w:r>
      <w:r w:rsidR="002F2E1F" w:rsidRPr="007D301A">
        <w:rPr>
          <w:rFonts w:cs="Times New Roman"/>
          <w:b/>
          <w:szCs w:val="24"/>
        </w:rPr>
        <w:t>: Variable</w:t>
      </w:r>
      <w:r w:rsidR="00D946AD" w:rsidRPr="007D301A">
        <w:rPr>
          <w:rFonts w:cs="Times New Roman"/>
          <w:b/>
          <w:szCs w:val="24"/>
        </w:rPr>
        <w:t xml:space="preserve"> Description</w:t>
      </w:r>
    </w:p>
    <w:tbl>
      <w:tblPr>
        <w:tblStyle w:val="TableGrid"/>
        <w:tblW w:w="5000" w:type="pct"/>
        <w:tblLook w:val="04A0" w:firstRow="1" w:lastRow="0" w:firstColumn="1" w:lastColumn="0" w:noHBand="0" w:noVBand="1"/>
      </w:tblPr>
      <w:tblGrid>
        <w:gridCol w:w="2647"/>
        <w:gridCol w:w="5488"/>
        <w:gridCol w:w="1107"/>
      </w:tblGrid>
      <w:tr w:rsidR="00857F00" w:rsidTr="00242F88">
        <w:tc>
          <w:tcPr>
            <w:tcW w:w="1432" w:type="pct"/>
          </w:tcPr>
          <w:p w:rsidR="009739B2" w:rsidRPr="007D301A" w:rsidRDefault="007D361F" w:rsidP="00596177">
            <w:pPr>
              <w:jc w:val="both"/>
              <w:rPr>
                <w:rFonts w:cs="Times New Roman"/>
                <w:b/>
                <w:sz w:val="24"/>
                <w:szCs w:val="24"/>
              </w:rPr>
            </w:pPr>
            <w:r w:rsidRPr="007D301A">
              <w:rPr>
                <w:rFonts w:cs="Times New Roman"/>
                <w:b/>
                <w:sz w:val="24"/>
                <w:szCs w:val="24"/>
              </w:rPr>
              <w:t>Variable</w:t>
            </w:r>
          </w:p>
        </w:tc>
        <w:tc>
          <w:tcPr>
            <w:tcW w:w="2969" w:type="pct"/>
          </w:tcPr>
          <w:p w:rsidR="009739B2" w:rsidRPr="007D301A" w:rsidRDefault="007D361F" w:rsidP="00596177">
            <w:pPr>
              <w:jc w:val="both"/>
              <w:rPr>
                <w:rFonts w:cs="Times New Roman"/>
                <w:b/>
                <w:sz w:val="24"/>
                <w:szCs w:val="24"/>
              </w:rPr>
            </w:pPr>
            <w:r w:rsidRPr="007D301A">
              <w:rPr>
                <w:rFonts w:cs="Times New Roman"/>
                <w:b/>
                <w:sz w:val="24"/>
                <w:szCs w:val="24"/>
              </w:rPr>
              <w:t xml:space="preserve">Measurement </w:t>
            </w:r>
          </w:p>
        </w:tc>
        <w:tc>
          <w:tcPr>
            <w:tcW w:w="600" w:type="pct"/>
          </w:tcPr>
          <w:p w:rsidR="009739B2" w:rsidRPr="007D301A" w:rsidRDefault="007D361F" w:rsidP="00596177">
            <w:pPr>
              <w:jc w:val="both"/>
              <w:rPr>
                <w:rFonts w:cs="Times New Roman"/>
                <w:b/>
                <w:sz w:val="24"/>
                <w:szCs w:val="24"/>
              </w:rPr>
            </w:pPr>
            <w:r w:rsidRPr="007D301A">
              <w:rPr>
                <w:rFonts w:cs="Times New Roman"/>
                <w:b/>
                <w:sz w:val="24"/>
                <w:szCs w:val="24"/>
              </w:rPr>
              <w:t>Source</w:t>
            </w:r>
          </w:p>
        </w:tc>
      </w:tr>
      <w:tr w:rsidR="00857F00" w:rsidTr="00242F88">
        <w:tc>
          <w:tcPr>
            <w:tcW w:w="1432" w:type="pct"/>
          </w:tcPr>
          <w:p w:rsidR="009739B2" w:rsidRPr="007D301A" w:rsidRDefault="007D361F" w:rsidP="00596177">
            <w:pPr>
              <w:jc w:val="both"/>
              <w:rPr>
                <w:rFonts w:cs="Times New Roman"/>
                <w:sz w:val="24"/>
                <w:szCs w:val="24"/>
              </w:rPr>
            </w:pPr>
            <w:r w:rsidRPr="007D301A">
              <w:rPr>
                <w:rFonts w:cs="Times New Roman"/>
                <w:sz w:val="24"/>
                <w:szCs w:val="24"/>
              </w:rPr>
              <w:t>Credit uptake (CR</w:t>
            </w:r>
            <w:r w:rsidR="007862D4" w:rsidRPr="007D301A">
              <w:rPr>
                <w:rFonts w:cs="Times New Roman"/>
                <w:sz w:val="24"/>
                <w:szCs w:val="24"/>
              </w:rPr>
              <w:t>E</w:t>
            </w:r>
            <w:r w:rsidRPr="007D301A">
              <w:rPr>
                <w:rFonts w:cs="Times New Roman"/>
                <w:sz w:val="24"/>
                <w:szCs w:val="24"/>
              </w:rPr>
              <w:t>)</w:t>
            </w:r>
          </w:p>
        </w:tc>
        <w:tc>
          <w:tcPr>
            <w:tcW w:w="2969" w:type="pct"/>
          </w:tcPr>
          <w:p w:rsidR="009739B2" w:rsidRPr="007D301A" w:rsidRDefault="007D361F" w:rsidP="00596177">
            <w:pPr>
              <w:jc w:val="both"/>
              <w:rPr>
                <w:rFonts w:cs="Times New Roman"/>
                <w:sz w:val="24"/>
                <w:szCs w:val="24"/>
              </w:rPr>
            </w:pPr>
            <w:r w:rsidRPr="007D301A">
              <w:rPr>
                <w:rFonts w:cs="Times New Roman"/>
                <w:sz w:val="24"/>
                <w:szCs w:val="24"/>
              </w:rPr>
              <w:t>Domestic credit to private sector (% of GDP)</w:t>
            </w:r>
          </w:p>
        </w:tc>
        <w:tc>
          <w:tcPr>
            <w:tcW w:w="600" w:type="pct"/>
          </w:tcPr>
          <w:p w:rsidR="009739B2" w:rsidRPr="007D301A" w:rsidRDefault="007D361F" w:rsidP="00596177">
            <w:pPr>
              <w:jc w:val="both"/>
              <w:rPr>
                <w:rFonts w:cs="Times New Roman"/>
                <w:sz w:val="24"/>
                <w:szCs w:val="24"/>
              </w:rPr>
            </w:pPr>
            <w:r w:rsidRPr="007D301A">
              <w:rPr>
                <w:rFonts w:cs="Times New Roman"/>
                <w:sz w:val="24"/>
                <w:szCs w:val="24"/>
              </w:rPr>
              <w:t>WDI</w:t>
            </w:r>
          </w:p>
        </w:tc>
      </w:tr>
      <w:tr w:rsidR="00857F00" w:rsidTr="00242F88">
        <w:tc>
          <w:tcPr>
            <w:tcW w:w="1432" w:type="pct"/>
          </w:tcPr>
          <w:p w:rsidR="009739B2" w:rsidRPr="007D301A" w:rsidRDefault="007D361F" w:rsidP="00596177">
            <w:pPr>
              <w:jc w:val="both"/>
              <w:rPr>
                <w:rFonts w:cs="Times New Roman"/>
                <w:sz w:val="24"/>
                <w:szCs w:val="24"/>
              </w:rPr>
            </w:pPr>
            <w:r w:rsidRPr="007D301A">
              <w:rPr>
                <w:rFonts w:cs="Times New Roman"/>
                <w:sz w:val="24"/>
                <w:szCs w:val="24"/>
              </w:rPr>
              <w:t>Saving rate (</w:t>
            </w:r>
            <w:r w:rsidR="007862D4" w:rsidRPr="007D301A">
              <w:rPr>
                <w:rFonts w:cs="Times New Roman"/>
                <w:sz w:val="24"/>
                <w:szCs w:val="24"/>
              </w:rPr>
              <w:t>SAV</w:t>
            </w:r>
            <w:r w:rsidRPr="007D301A">
              <w:rPr>
                <w:rFonts w:cs="Times New Roman"/>
                <w:sz w:val="24"/>
                <w:szCs w:val="24"/>
              </w:rPr>
              <w:t>)</w:t>
            </w:r>
          </w:p>
        </w:tc>
        <w:tc>
          <w:tcPr>
            <w:tcW w:w="2969" w:type="pct"/>
          </w:tcPr>
          <w:p w:rsidR="009739B2" w:rsidRPr="007D301A" w:rsidRDefault="007D361F" w:rsidP="00596177">
            <w:pPr>
              <w:jc w:val="both"/>
              <w:rPr>
                <w:rFonts w:cs="Times New Roman"/>
                <w:sz w:val="24"/>
                <w:szCs w:val="24"/>
              </w:rPr>
            </w:pPr>
            <w:r w:rsidRPr="007D301A">
              <w:rPr>
                <w:rFonts w:eastAsia="Times New Roman" w:cs="Times New Roman"/>
                <w:bCs/>
                <w:sz w:val="24"/>
                <w:szCs w:val="24"/>
                <w:lang w:eastAsia="en-GB"/>
              </w:rPr>
              <w:t>Gross domestic savings (% of GDP)</w:t>
            </w:r>
          </w:p>
        </w:tc>
        <w:tc>
          <w:tcPr>
            <w:tcW w:w="600" w:type="pct"/>
          </w:tcPr>
          <w:p w:rsidR="009739B2" w:rsidRPr="007D301A" w:rsidRDefault="007D361F" w:rsidP="00596177">
            <w:pPr>
              <w:jc w:val="both"/>
              <w:rPr>
                <w:rFonts w:cs="Times New Roman"/>
                <w:sz w:val="24"/>
                <w:szCs w:val="24"/>
              </w:rPr>
            </w:pPr>
            <w:r w:rsidRPr="007D301A">
              <w:rPr>
                <w:rFonts w:cs="Times New Roman"/>
                <w:sz w:val="24"/>
                <w:szCs w:val="24"/>
              </w:rPr>
              <w:t>WDI</w:t>
            </w:r>
          </w:p>
        </w:tc>
      </w:tr>
    </w:tbl>
    <w:p w:rsidR="00A34EAE" w:rsidRDefault="00A34EAE" w:rsidP="00596177">
      <w:pPr>
        <w:spacing w:line="360" w:lineRule="auto"/>
        <w:jc w:val="both"/>
        <w:rPr>
          <w:rFonts w:eastAsia="Times New Roman" w:cs="Times New Roman"/>
          <w:szCs w:val="24"/>
          <w:lang w:eastAsia="en-GB"/>
        </w:rPr>
      </w:pPr>
    </w:p>
    <w:p w:rsidR="00350C73" w:rsidRPr="007D301A" w:rsidRDefault="007D361F" w:rsidP="00596177">
      <w:pPr>
        <w:spacing w:line="360" w:lineRule="auto"/>
        <w:jc w:val="both"/>
        <w:rPr>
          <w:rFonts w:cs="Times New Roman"/>
          <w:szCs w:val="24"/>
        </w:rPr>
      </w:pPr>
      <w:r w:rsidRPr="007D301A">
        <w:rPr>
          <w:rFonts w:cs="Times New Roman"/>
          <w:szCs w:val="24"/>
        </w:rPr>
        <w:t>The econometric methodology firstly examines the stationarity properties of the</w:t>
      </w:r>
      <w:r w:rsidR="00217FE8">
        <w:rPr>
          <w:rFonts w:cs="Times New Roman"/>
          <w:szCs w:val="24"/>
        </w:rPr>
        <w:t xml:space="preserve"> </w:t>
      </w:r>
      <w:r w:rsidRPr="007D301A">
        <w:rPr>
          <w:rFonts w:cs="Times New Roman"/>
          <w:szCs w:val="24"/>
        </w:rPr>
        <w:t xml:space="preserve">univariate time series. The present study uses the </w:t>
      </w:r>
      <w:r w:rsidR="00CF77B3" w:rsidRPr="007D301A">
        <w:rPr>
          <w:rFonts w:cs="Times New Roman"/>
          <w:szCs w:val="24"/>
        </w:rPr>
        <w:t>Phillips-</w:t>
      </w:r>
      <w:proofErr w:type="spellStart"/>
      <w:r w:rsidR="00CF77B3" w:rsidRPr="007D301A">
        <w:rPr>
          <w:rFonts w:cs="Times New Roman"/>
          <w:szCs w:val="24"/>
        </w:rPr>
        <w:t>Perron</w:t>
      </w:r>
      <w:proofErr w:type="spellEnd"/>
      <w:r w:rsidR="00CF77B3" w:rsidRPr="007D301A">
        <w:rPr>
          <w:rFonts w:cs="Times New Roman"/>
          <w:szCs w:val="24"/>
        </w:rPr>
        <w:t xml:space="preserve"> (PP) </w:t>
      </w:r>
      <w:r w:rsidR="0087074B" w:rsidRPr="007D301A">
        <w:rPr>
          <w:rFonts w:cs="Times New Roman"/>
          <w:szCs w:val="24"/>
        </w:rPr>
        <w:t xml:space="preserve">(1988) </w:t>
      </w:r>
      <w:r w:rsidRPr="007D301A">
        <w:rPr>
          <w:rFonts w:cs="Times New Roman"/>
          <w:szCs w:val="24"/>
        </w:rPr>
        <w:t>unit root test to examine the stationarity of the data series. The PP test is based on a standard Dickey-Fuller type regression, which can take one of three forms depending on the inclusion of a constant (drift) and a time trend</w:t>
      </w:r>
      <w:r w:rsidR="004548C6" w:rsidRPr="007D301A">
        <w:rPr>
          <w:rFonts w:cs="Times New Roman"/>
          <w:szCs w:val="24"/>
        </w:rPr>
        <w:t xml:space="preserve"> (α)</w:t>
      </w:r>
      <w:r w:rsidRPr="007D301A">
        <w:rPr>
          <w:rFonts w:cs="Times New Roman"/>
          <w:szCs w:val="24"/>
        </w:rPr>
        <w:t xml:space="preserve">. </w:t>
      </w:r>
      <w:r w:rsidR="004548C6" w:rsidRPr="007D301A">
        <w:rPr>
          <w:rFonts w:cs="Times New Roman"/>
          <w:szCs w:val="24"/>
        </w:rPr>
        <w:t>It consists of running a regression of the first difference of the series against the series lagged once (</w:t>
      </w:r>
      <w:proofErr w:type="spellStart"/>
      <w:r w:rsidR="00F529EF" w:rsidRPr="007D301A">
        <w:rPr>
          <w:rFonts w:cs="Times New Roman"/>
          <w:szCs w:val="24"/>
        </w:rPr>
        <w:t>yt</w:t>
      </w:r>
      <w:proofErr w:type="spellEnd"/>
      <w:r w:rsidR="004548C6" w:rsidRPr="007D301A">
        <w:rPr>
          <w:rFonts w:cs="Times New Roman"/>
          <w:szCs w:val="24"/>
        </w:rPr>
        <w:t xml:space="preserve">), lagged difference terms. </w:t>
      </w:r>
      <w:r w:rsidRPr="007D301A">
        <w:rPr>
          <w:rFonts w:cs="Times New Roman"/>
          <w:szCs w:val="24"/>
        </w:rPr>
        <w:t>The most general form is: This can be expressed as:</w:t>
      </w:r>
    </w:p>
    <w:p w:rsidR="00350C73" w:rsidRPr="007D301A" w:rsidRDefault="00F85EC4" w:rsidP="00596177">
      <w:pPr>
        <w:spacing w:line="360" w:lineRule="auto"/>
        <w:jc w:val="both"/>
        <w:rPr>
          <w:rFonts w:cs="Times New Roman"/>
          <w:szCs w:val="24"/>
        </w:rPr>
      </w:pPr>
      <m:oMathPara>
        <m:oMath>
          <m:sSub>
            <m:sSubPr>
              <m:ctrlPr>
                <w:rPr>
                  <w:rFonts w:ascii="Cambria Math" w:hAnsi="Cambria Math" w:cs="Times New Roman"/>
                  <w:i/>
                  <w:noProof/>
                  <w:szCs w:val="24"/>
                  <w:lang w:eastAsia="en-GB"/>
                </w:rPr>
              </m:ctrlPr>
            </m:sSubPr>
            <m:e>
              <m:r>
                <w:rPr>
                  <w:rFonts w:ascii="Cambria Math" w:hAnsi="Cambria Math" w:cs="Times New Roman"/>
                  <w:noProof/>
                  <w:szCs w:val="24"/>
                  <w:lang w:eastAsia="en-GB"/>
                </w:rPr>
                <m:t>y</m:t>
              </m:r>
            </m:e>
            <m:sub>
              <m:r>
                <w:rPr>
                  <w:rFonts w:ascii="Cambria Math" w:hAnsi="Cambria Math" w:cs="Times New Roman"/>
                  <w:noProof/>
                  <w:szCs w:val="24"/>
                  <w:lang w:eastAsia="en-GB"/>
                </w:rPr>
                <m:t>t</m:t>
              </m:r>
            </m:sub>
          </m:sSub>
          <m:r>
            <w:rPr>
              <w:rFonts w:ascii="Cambria Math" w:cs="Times New Roman"/>
              <w:noProof/>
              <w:szCs w:val="24"/>
              <w:lang w:eastAsia="en-GB"/>
            </w:rPr>
            <m:t>=</m:t>
          </m:r>
          <m:r>
            <w:rPr>
              <w:rFonts w:ascii="Cambria Math" w:cs="Times New Roman"/>
              <w:noProof/>
              <w:szCs w:val="24"/>
              <w:lang w:eastAsia="en-GB"/>
            </w:rPr>
            <m:t>µ</m:t>
          </m:r>
          <m:sSub>
            <m:sSubPr>
              <m:ctrlPr>
                <w:rPr>
                  <w:rFonts w:ascii="Cambria Math" w:hAnsi="Cambria Math" w:cs="Times New Roman"/>
                  <w:i/>
                  <w:noProof/>
                  <w:szCs w:val="24"/>
                  <w:lang w:eastAsia="en-GB"/>
                </w:rPr>
              </m:ctrlPr>
            </m:sSubPr>
            <m:e>
              <m:r>
                <w:rPr>
                  <w:rFonts w:ascii="Cambria Math" w:cs="Times New Roman"/>
                  <w:noProof/>
                  <w:szCs w:val="24"/>
                  <w:lang w:eastAsia="en-GB"/>
                </w:rPr>
                <m:t>+</m:t>
              </m:r>
              <m:r>
                <w:rPr>
                  <w:rFonts w:ascii="Cambria Math" w:hAnsi="Cambria Math" w:cs="Times New Roman"/>
                  <w:noProof/>
                  <w:szCs w:val="24"/>
                  <w:lang w:eastAsia="en-GB"/>
                </w:rPr>
                <m:t>αt</m:t>
              </m:r>
              <m:r>
                <w:rPr>
                  <w:rFonts w:ascii="Cambria Math" w:cs="Times New Roman"/>
                  <w:noProof/>
                  <w:szCs w:val="24"/>
                  <w:lang w:eastAsia="en-GB"/>
                </w:rPr>
                <m:t>+</m:t>
              </m:r>
              <m:r>
                <w:rPr>
                  <w:rFonts w:ascii="Cambria Math" w:hAnsi="Cambria Math" w:cs="Times New Roman"/>
                  <w:noProof/>
                  <w:szCs w:val="24"/>
                  <w:lang w:eastAsia="en-GB"/>
                </w:rPr>
                <m:t>βy</m:t>
              </m:r>
            </m:e>
            <m:sub>
              <m:r>
                <w:rPr>
                  <w:rFonts w:ascii="Cambria Math" w:hAnsi="Cambria Math" w:cs="Times New Roman"/>
                  <w:noProof/>
                  <w:szCs w:val="24"/>
                  <w:lang w:eastAsia="en-GB"/>
                </w:rPr>
                <m:t>t</m:t>
              </m:r>
              <m:r>
                <w:rPr>
                  <w:rFonts w:ascii="Cambria Math" w:hAnsi="Cambria Math" w:cs="Times New Roman"/>
                  <w:noProof/>
                  <w:szCs w:val="24"/>
                  <w:lang w:eastAsia="en-GB"/>
                </w:rPr>
                <m:t>-</m:t>
              </m:r>
              <m:r>
                <w:rPr>
                  <w:rFonts w:ascii="Cambria Math" w:cs="Times New Roman"/>
                  <w:noProof/>
                  <w:szCs w:val="24"/>
                  <w:lang w:eastAsia="en-GB"/>
                </w:rPr>
                <m:t>1</m:t>
              </m:r>
            </m:sub>
          </m:sSub>
          <m:r>
            <w:rPr>
              <w:rFonts w:ascii="Cambria Math" w:cs="Times New Roman"/>
              <w:noProof/>
              <w:szCs w:val="24"/>
              <w:lang w:eastAsia="en-GB"/>
            </w:rPr>
            <m:t>+</m:t>
          </m:r>
          <m:sSub>
            <m:sSubPr>
              <m:ctrlPr>
                <w:rPr>
                  <w:rFonts w:ascii="Cambria Math" w:hAnsi="Cambria Math" w:cs="Times New Roman"/>
                  <w:i/>
                  <w:szCs w:val="24"/>
                  <w:vertAlign w:val="subscript"/>
                </w:rPr>
              </m:ctrlPr>
            </m:sSubPr>
            <m:e>
              <m:r>
                <w:rPr>
                  <w:rFonts w:ascii="Cambria Math" w:hAnsi="Cambria Math" w:cs="Times New Roman"/>
                  <w:szCs w:val="24"/>
                </w:rPr>
                <m:t>ε</m:t>
              </m:r>
            </m:e>
            <m:sub>
              <m:r>
                <w:rPr>
                  <w:rFonts w:ascii="Cambria Math" w:hAnsi="Cambria Math" w:cs="Times New Roman"/>
                  <w:szCs w:val="24"/>
                  <w:vertAlign w:val="subscript"/>
                </w:rPr>
                <m:t>t</m:t>
              </m:r>
            </m:sub>
          </m:sSub>
          <m:r>
            <w:rPr>
              <w:rFonts w:ascii="Cambria Math" w:cs="Times New Roman"/>
              <w:szCs w:val="24"/>
              <w:vertAlign w:val="subscript"/>
            </w:rPr>
            <m:t>(1)</m:t>
          </m:r>
        </m:oMath>
      </m:oMathPara>
    </w:p>
    <w:p w:rsidR="000F7A5C" w:rsidRPr="007D301A" w:rsidRDefault="007D361F" w:rsidP="00596177">
      <w:pPr>
        <w:spacing w:line="360" w:lineRule="auto"/>
        <w:jc w:val="both"/>
        <w:rPr>
          <w:rFonts w:cs="Times New Roman"/>
          <w:szCs w:val="24"/>
        </w:rPr>
      </w:pPr>
      <w:r w:rsidRPr="007D301A">
        <w:rPr>
          <w:rFonts w:cs="Times New Roman"/>
          <w:szCs w:val="24"/>
        </w:rPr>
        <w:t>The test for a unit root is conducted on the coefficient of</w:t>
      </w:r>
      <w:r w:rsidR="00F529EF" w:rsidRPr="007D301A">
        <w:rPr>
          <w:rFonts w:cs="Times New Roman"/>
          <w:szCs w:val="24"/>
        </w:rPr>
        <w:t xml:space="preserve"> y</w:t>
      </w:r>
      <w:r w:rsidRPr="007D301A">
        <w:rPr>
          <w:rFonts w:cs="Times New Roman"/>
          <w:szCs w:val="24"/>
        </w:rPr>
        <w:t>t-1 in the regression. If the coefficient is significantly different from zero, then the hypothesis that y contains a unit root is rejected. Rejection of the null hypothesis implies stationarity.</w:t>
      </w:r>
    </w:p>
    <w:p w:rsidR="000F7A5C" w:rsidRPr="007D301A" w:rsidRDefault="007D361F" w:rsidP="00596177">
      <w:pPr>
        <w:spacing w:line="360" w:lineRule="auto"/>
        <w:jc w:val="both"/>
        <w:rPr>
          <w:rFonts w:cs="Times New Roman"/>
          <w:szCs w:val="24"/>
        </w:rPr>
      </w:pPr>
      <w:r w:rsidRPr="007D301A">
        <w:rPr>
          <w:rFonts w:cs="Times New Roman"/>
          <w:szCs w:val="24"/>
        </w:rPr>
        <w:t>Secondly, time series have to be examined for cointegration. Cointegration analysis helps to identify long-run econom</w:t>
      </w:r>
      <w:r w:rsidR="007D602B" w:rsidRPr="007D301A">
        <w:rPr>
          <w:rFonts w:cs="Times New Roman"/>
          <w:szCs w:val="24"/>
        </w:rPr>
        <w:t>ic relationships between the two</w:t>
      </w:r>
      <w:r w:rsidR="00EC3ACE">
        <w:rPr>
          <w:rFonts w:cs="Times New Roman"/>
          <w:szCs w:val="24"/>
        </w:rPr>
        <w:t xml:space="preserve"> </w:t>
      </w:r>
      <w:r w:rsidRPr="007D301A">
        <w:rPr>
          <w:rFonts w:cs="Times New Roman"/>
          <w:szCs w:val="24"/>
        </w:rPr>
        <w:t xml:space="preserve">variables and to avoid the risk of spurious regression. Cointegration analysis is important because if two non-stationary variables are cointegrated, a VAR model in the first difference is </w:t>
      </w:r>
      <w:proofErr w:type="spellStart"/>
      <w:r w:rsidRPr="007D301A">
        <w:rPr>
          <w:rFonts w:cs="Times New Roman"/>
          <w:szCs w:val="24"/>
        </w:rPr>
        <w:t>misspecified</w:t>
      </w:r>
      <w:proofErr w:type="spellEnd"/>
      <w:r w:rsidRPr="007D301A">
        <w:rPr>
          <w:rFonts w:cs="Times New Roman"/>
          <w:szCs w:val="24"/>
        </w:rPr>
        <w:t xml:space="preserve"> due</w:t>
      </w:r>
      <w:r w:rsidR="00FB16A6" w:rsidRPr="007D301A">
        <w:rPr>
          <w:rFonts w:cs="Times New Roman"/>
          <w:szCs w:val="24"/>
        </w:rPr>
        <w:t xml:space="preserve"> to the effect of a common trend (Mete &amp;Yaya, 2011). </w:t>
      </w:r>
      <w:r w:rsidRPr="007D301A">
        <w:rPr>
          <w:rFonts w:cs="Times New Roman"/>
          <w:szCs w:val="24"/>
        </w:rPr>
        <w:t>If a cointegration relationship is identified, the model should include residuals from the vectors (lagged one period) in the</w:t>
      </w:r>
      <w:r w:rsidR="00EC3ACE">
        <w:rPr>
          <w:rFonts w:cs="Times New Roman"/>
          <w:szCs w:val="24"/>
        </w:rPr>
        <w:t xml:space="preserve"> </w:t>
      </w:r>
      <w:r w:rsidRPr="007D301A">
        <w:rPr>
          <w:rFonts w:cs="Times New Roman"/>
          <w:szCs w:val="24"/>
        </w:rPr>
        <w:t>dynamic Vector Error Correcting Mechanism (VECM) system. In this stage, the Johansen (1988) cointegration test is used to identify a cointegrating relationship among the variables. Within the Johansen multivariate cointegrating framework, the following system is estimated:</w:t>
      </w:r>
    </w:p>
    <w:p w:rsidR="000F7A5C" w:rsidRPr="007D301A" w:rsidRDefault="007D361F" w:rsidP="00596177">
      <w:pPr>
        <w:widowControl w:val="0"/>
        <w:tabs>
          <w:tab w:val="left" w:pos="5488"/>
          <w:tab w:val="left" w:pos="7811"/>
        </w:tabs>
        <w:autoSpaceDE w:val="0"/>
        <w:autoSpaceDN w:val="0"/>
        <w:spacing w:after="0" w:line="360" w:lineRule="auto"/>
        <w:ind w:left="1276"/>
        <w:jc w:val="both"/>
        <w:rPr>
          <w:rFonts w:eastAsia="Times New Roman" w:cs="Times New Roman"/>
          <w:spacing w:val="-5"/>
          <w:szCs w:val="24"/>
          <w:lang w:val="en-US"/>
        </w:rPr>
      </w:pPr>
      <w:r w:rsidRPr="007D301A">
        <w:rPr>
          <w:rFonts w:eastAsia="Times New Roman" w:cs="Times New Roman"/>
          <w:szCs w:val="24"/>
          <w:lang w:val="en-US"/>
        </w:rPr>
        <w:t>∆</w:t>
      </w:r>
      <w:proofErr w:type="spellStart"/>
      <w:r w:rsidRPr="007D301A">
        <w:rPr>
          <w:rFonts w:eastAsia="Times New Roman" w:cs="Times New Roman"/>
          <w:szCs w:val="24"/>
          <w:lang w:val="en-US"/>
        </w:rPr>
        <w:t>z</w:t>
      </w:r>
      <w:r w:rsidRPr="007D301A">
        <w:rPr>
          <w:rFonts w:eastAsia="Times New Roman" w:cs="Times New Roman"/>
          <w:szCs w:val="24"/>
          <w:vertAlign w:val="subscript"/>
          <w:lang w:val="en-US"/>
        </w:rPr>
        <w:t>t</w:t>
      </w:r>
      <w:proofErr w:type="spellEnd"/>
      <w:r w:rsidRPr="007D301A">
        <w:rPr>
          <w:rFonts w:eastAsia="Times New Roman" w:cs="Times New Roman"/>
          <w:szCs w:val="24"/>
          <w:lang w:val="en-US"/>
        </w:rPr>
        <w:t>=Г</w:t>
      </w:r>
      <w:r w:rsidRPr="007D301A">
        <w:rPr>
          <w:rFonts w:eastAsia="Times New Roman" w:cs="Times New Roman"/>
          <w:szCs w:val="24"/>
          <w:vertAlign w:val="subscript"/>
          <w:lang w:val="en-US"/>
        </w:rPr>
        <w:t>1</w:t>
      </w:r>
      <w:r w:rsidRPr="007D301A">
        <w:rPr>
          <w:rFonts w:eastAsia="Times New Roman" w:cs="Times New Roman"/>
          <w:szCs w:val="24"/>
          <w:lang w:val="en-US"/>
        </w:rPr>
        <w:t>∆z</w:t>
      </w:r>
      <w:r w:rsidRPr="007D301A">
        <w:rPr>
          <w:rFonts w:eastAsia="Times New Roman" w:cs="Times New Roman"/>
          <w:szCs w:val="24"/>
          <w:vertAlign w:val="subscript"/>
          <w:lang w:val="en-US"/>
        </w:rPr>
        <w:t>t-1</w:t>
      </w:r>
      <w:r w:rsidRPr="007D301A">
        <w:rPr>
          <w:rFonts w:eastAsia="Times New Roman" w:cs="Times New Roman"/>
          <w:szCs w:val="24"/>
          <w:lang w:val="en-US"/>
        </w:rPr>
        <w:t>+…+Г</w:t>
      </w:r>
      <w:r w:rsidRPr="007D301A">
        <w:rPr>
          <w:rFonts w:eastAsia="Times New Roman" w:cs="Times New Roman"/>
          <w:szCs w:val="24"/>
          <w:vertAlign w:val="subscript"/>
          <w:lang w:val="en-US"/>
        </w:rPr>
        <w:t>k-1</w:t>
      </w:r>
      <w:r w:rsidRPr="007D301A">
        <w:rPr>
          <w:rFonts w:eastAsia="Times New Roman" w:cs="Times New Roman"/>
          <w:szCs w:val="24"/>
          <w:lang w:val="en-US"/>
        </w:rPr>
        <w:t>∆z</w:t>
      </w:r>
      <w:r w:rsidRPr="007D301A">
        <w:rPr>
          <w:rFonts w:eastAsia="Times New Roman" w:cs="Times New Roman"/>
          <w:szCs w:val="24"/>
          <w:vertAlign w:val="subscript"/>
          <w:lang w:val="en-US"/>
        </w:rPr>
        <w:t>t-k-1</w:t>
      </w:r>
      <w:r w:rsidRPr="007D301A">
        <w:rPr>
          <w:rFonts w:eastAsia="Times New Roman" w:cs="Times New Roman"/>
          <w:szCs w:val="24"/>
          <w:lang w:val="en-US"/>
        </w:rPr>
        <w:t>+Пz</w:t>
      </w:r>
      <w:r w:rsidRPr="007D301A">
        <w:rPr>
          <w:rFonts w:eastAsia="Times New Roman" w:cs="Times New Roman"/>
          <w:szCs w:val="24"/>
          <w:vertAlign w:val="subscript"/>
          <w:lang w:val="en-US"/>
        </w:rPr>
        <w:t>t-1</w:t>
      </w:r>
      <w:r w:rsidRPr="007D301A">
        <w:rPr>
          <w:rFonts w:eastAsia="Times New Roman" w:cs="Times New Roman"/>
          <w:szCs w:val="24"/>
          <w:lang w:val="en-US"/>
        </w:rPr>
        <w:t>+µ+</w:t>
      </w:r>
      <w:proofErr w:type="spellStart"/>
      <w:r w:rsidRPr="007D301A">
        <w:rPr>
          <w:rFonts w:eastAsia="Times New Roman" w:cs="Times New Roman"/>
          <w:spacing w:val="-5"/>
          <w:szCs w:val="24"/>
          <w:lang w:val="en-US"/>
        </w:rPr>
        <w:t>ε</w:t>
      </w:r>
      <w:r w:rsidRPr="007D301A">
        <w:rPr>
          <w:rFonts w:eastAsia="Times New Roman" w:cs="Times New Roman"/>
          <w:spacing w:val="-5"/>
          <w:szCs w:val="24"/>
          <w:vertAlign w:val="subscript"/>
          <w:lang w:val="en-US"/>
        </w:rPr>
        <w:t>t</w:t>
      </w:r>
      <w:r w:rsidRPr="007D301A">
        <w:rPr>
          <w:rFonts w:eastAsia="Times New Roman" w:cs="Times New Roman"/>
          <w:spacing w:val="-5"/>
          <w:szCs w:val="24"/>
          <w:lang w:val="en-US"/>
        </w:rPr>
        <w:t>:</w:t>
      </w:r>
      <w:r w:rsidRPr="007D301A">
        <w:rPr>
          <w:rFonts w:eastAsia="Times New Roman" w:cs="Times New Roman"/>
          <w:szCs w:val="24"/>
          <w:lang w:val="en-US"/>
        </w:rPr>
        <w:t>t</w:t>
      </w:r>
      <w:proofErr w:type="spellEnd"/>
      <w:r w:rsidRPr="007D301A">
        <w:rPr>
          <w:rFonts w:eastAsia="Times New Roman" w:cs="Times New Roman"/>
          <w:szCs w:val="24"/>
          <w:lang w:val="en-US"/>
        </w:rPr>
        <w:t>=</w:t>
      </w:r>
      <w:proofErr w:type="gramStart"/>
      <w:r w:rsidRPr="007D301A">
        <w:rPr>
          <w:rFonts w:eastAsia="Times New Roman" w:cs="Times New Roman"/>
          <w:szCs w:val="24"/>
          <w:lang w:val="en-US"/>
        </w:rPr>
        <w:t>1,</w:t>
      </w:r>
      <w:r w:rsidRPr="007D301A">
        <w:rPr>
          <w:rFonts w:eastAsia="Times New Roman" w:cs="Times New Roman"/>
          <w:spacing w:val="-5"/>
          <w:szCs w:val="24"/>
          <w:lang w:val="en-US"/>
        </w:rPr>
        <w:t>…</w:t>
      </w:r>
      <w:proofErr w:type="gramEnd"/>
      <w:r w:rsidRPr="007D301A">
        <w:rPr>
          <w:rFonts w:eastAsia="Times New Roman" w:cs="Times New Roman"/>
          <w:spacing w:val="-5"/>
          <w:szCs w:val="24"/>
          <w:lang w:val="en-US"/>
        </w:rPr>
        <w:t>,T(2)</w:t>
      </w:r>
    </w:p>
    <w:p w:rsidR="000F7A5C" w:rsidRPr="007D301A" w:rsidRDefault="000F7A5C" w:rsidP="00596177">
      <w:pPr>
        <w:widowControl w:val="0"/>
        <w:tabs>
          <w:tab w:val="left" w:pos="5488"/>
          <w:tab w:val="left" w:pos="7811"/>
        </w:tabs>
        <w:autoSpaceDE w:val="0"/>
        <w:autoSpaceDN w:val="0"/>
        <w:spacing w:after="0" w:line="360" w:lineRule="auto"/>
        <w:jc w:val="both"/>
        <w:rPr>
          <w:rFonts w:eastAsia="Times New Roman" w:cs="Times New Roman"/>
          <w:szCs w:val="24"/>
          <w:lang w:val="en-US"/>
        </w:rPr>
      </w:pPr>
    </w:p>
    <w:p w:rsidR="00360CB3" w:rsidRPr="009739B2" w:rsidRDefault="007D361F" w:rsidP="00596177">
      <w:pPr>
        <w:pStyle w:val="BodyText"/>
        <w:spacing w:line="360" w:lineRule="auto"/>
        <w:ind w:right="140"/>
        <w:jc w:val="both"/>
        <w:rPr>
          <w:szCs w:val="24"/>
        </w:rPr>
      </w:pPr>
      <w:r w:rsidRPr="009739B2">
        <w:rPr>
          <w:szCs w:val="24"/>
        </w:rPr>
        <w:t xml:space="preserve">where </w:t>
      </w:r>
      <w:r w:rsidRPr="009739B2">
        <w:rPr>
          <w:rFonts w:ascii="Symbol" w:hAnsi="Symbol"/>
          <w:szCs w:val="24"/>
        </w:rPr>
        <w:sym w:font="Symbol" w:char="F044"/>
      </w:r>
      <w:r w:rsidRPr="009739B2">
        <w:rPr>
          <w:szCs w:val="24"/>
        </w:rPr>
        <w:t xml:space="preserve">is the first difference operator, </w:t>
      </w:r>
      <w:r w:rsidRPr="009739B2">
        <w:rPr>
          <w:i/>
          <w:szCs w:val="24"/>
        </w:rPr>
        <w:t xml:space="preserve">z </w:t>
      </w:r>
      <w:r w:rsidRPr="009739B2">
        <w:rPr>
          <w:szCs w:val="24"/>
        </w:rPr>
        <w:t xml:space="preserve">denotes a vector of variables, </w:t>
      </w:r>
      <w:proofErr w:type="spellStart"/>
      <w:r w:rsidRPr="009739B2">
        <w:rPr>
          <w:szCs w:val="24"/>
        </w:rPr>
        <w:t>ε</w:t>
      </w:r>
      <w:r w:rsidRPr="009739B2">
        <w:rPr>
          <w:szCs w:val="24"/>
          <w:vertAlign w:val="subscript"/>
        </w:rPr>
        <w:t>t</w:t>
      </w:r>
      <w:proofErr w:type="spellEnd"/>
      <w:r w:rsidRPr="009739B2">
        <w:rPr>
          <w:szCs w:val="24"/>
        </w:rPr>
        <w:t xml:space="preserve">~ </w:t>
      </w:r>
      <w:proofErr w:type="spellStart"/>
      <w:r w:rsidRPr="009739B2">
        <w:rPr>
          <w:szCs w:val="24"/>
        </w:rPr>
        <w:t>niid</w:t>
      </w:r>
      <w:proofErr w:type="spellEnd"/>
      <w:r w:rsidRPr="009739B2">
        <w:rPr>
          <w:szCs w:val="24"/>
        </w:rPr>
        <w:t xml:space="preserve"> (0,</w:t>
      </w:r>
      <w:r w:rsidRPr="009739B2">
        <w:rPr>
          <w:rFonts w:ascii="Symbol" w:hAnsi="Symbol"/>
          <w:szCs w:val="24"/>
        </w:rPr>
        <w:t></w:t>
      </w:r>
      <w:r w:rsidRPr="009739B2">
        <w:rPr>
          <w:rFonts w:ascii="Symbol" w:hAnsi="Symbol"/>
          <w:szCs w:val="24"/>
        </w:rPr>
        <w:t></w:t>
      </w:r>
      <w:r w:rsidRPr="009739B2">
        <w:rPr>
          <w:szCs w:val="24"/>
        </w:rPr>
        <w:t xml:space="preserve">), µis a drift parameter, and П is a (p </w:t>
      </w:r>
      <w:r w:rsidRPr="009739B2">
        <w:rPr>
          <w:rFonts w:ascii="Symbol" w:hAnsi="Symbol"/>
          <w:szCs w:val="24"/>
        </w:rPr>
        <w:sym w:font="Symbol" w:char="F0B4"/>
      </w:r>
      <w:r w:rsidRPr="009739B2">
        <w:rPr>
          <w:szCs w:val="24"/>
        </w:rPr>
        <w:t xml:space="preserve">p) matrix of the form П = aβ´, where a and β are both (p </w:t>
      </w:r>
      <w:r w:rsidRPr="009739B2">
        <w:rPr>
          <w:rFonts w:ascii="Symbol" w:hAnsi="Symbol"/>
          <w:szCs w:val="24"/>
        </w:rPr>
        <w:sym w:font="Symbol" w:char="F0B4"/>
      </w:r>
      <w:r w:rsidRPr="009739B2">
        <w:rPr>
          <w:szCs w:val="24"/>
        </w:rPr>
        <w:t>r) matrices of full rank, with β containing the r cointegrating relationships and a carrying the corresponding adjustment coefficients in each of the r vectors. The Johansen approach can be used to carry out Granger causality tests as well. In the Johansen framework, the first step is the estimation of an unrestricted, closed p-</w:t>
      </w:r>
      <w:proofErr w:type="spellStart"/>
      <w:r w:rsidRPr="009739B2">
        <w:rPr>
          <w:szCs w:val="24"/>
        </w:rPr>
        <w:t>th</w:t>
      </w:r>
      <w:proofErr w:type="spellEnd"/>
      <w:r w:rsidRPr="009739B2">
        <w:rPr>
          <w:szCs w:val="24"/>
        </w:rPr>
        <w:t xml:space="preserve"> order VAR in k variables. Johansen (1988) suggested two test statistics to determine the cointegration rank. The first of these is known as the trace statistic, and the second test statistic is the maximum eigenvalue test. In the absence of a cointegration vector, with I (1) series, valid results in Granger causality testing are obtained by simply first differentiating the VAR model</w:t>
      </w:r>
      <w:r w:rsidR="000A239C">
        <w:rPr>
          <w:szCs w:val="24"/>
        </w:rPr>
        <w:t xml:space="preserve"> </w:t>
      </w:r>
      <w:r w:rsidR="000A239C" w:rsidRPr="007D301A">
        <w:rPr>
          <w:szCs w:val="24"/>
        </w:rPr>
        <w:t>(Mete &amp;Yaya, 2011)</w:t>
      </w:r>
      <w:r w:rsidRPr="009739B2">
        <w:rPr>
          <w:szCs w:val="24"/>
        </w:rPr>
        <w:t xml:space="preserve">. With cointegration variables, Granger causality will further require the inclusion of an error term in the stationary model in order to capture the short-term deviations of the series from their long-term equilibrium path. </w:t>
      </w:r>
      <w:proofErr w:type="spellStart"/>
      <w:r w:rsidRPr="009739B2">
        <w:rPr>
          <w:szCs w:val="24"/>
        </w:rPr>
        <w:t>Hassapis</w:t>
      </w:r>
      <w:proofErr w:type="spellEnd"/>
      <w:r w:rsidRPr="009739B2">
        <w:rPr>
          <w:szCs w:val="24"/>
        </w:rPr>
        <w:t xml:space="preserve"> et al. (1999) show that in the absence of cointegration, the direction of causality can be decided upon via standard F-tests in the first differenced VAR.</w:t>
      </w:r>
    </w:p>
    <w:p w:rsidR="00560ECD" w:rsidRPr="007D301A" w:rsidRDefault="00560ECD" w:rsidP="00596177">
      <w:pPr>
        <w:pStyle w:val="BodyText"/>
        <w:spacing w:line="360" w:lineRule="auto"/>
        <w:ind w:left="130" w:right="140"/>
        <w:jc w:val="both"/>
        <w:rPr>
          <w:szCs w:val="24"/>
        </w:rPr>
      </w:pPr>
    </w:p>
    <w:p w:rsidR="00560ECD" w:rsidRPr="007D301A" w:rsidRDefault="007D361F" w:rsidP="00596177">
      <w:pPr>
        <w:pStyle w:val="BodyText"/>
        <w:spacing w:line="360" w:lineRule="auto"/>
        <w:ind w:right="140"/>
        <w:jc w:val="both"/>
        <w:rPr>
          <w:szCs w:val="24"/>
          <w:lang w:val="en-GB"/>
        </w:rPr>
      </w:pPr>
      <w:r w:rsidRPr="007D301A">
        <w:rPr>
          <w:szCs w:val="24"/>
          <w:lang w:val="en-GB"/>
        </w:rPr>
        <w:t xml:space="preserve">According to Granger (1969), Y is said to “Granger-cause” X if and only if X is better </w:t>
      </w:r>
      <w:r w:rsidRPr="007D301A">
        <w:rPr>
          <w:szCs w:val="24"/>
          <w:lang w:val="en-GB"/>
        </w:rPr>
        <w:lastRenderedPageBreak/>
        <w:t>predicted by using the past values of Y than by not doing so with the past values of X being used in either case. In short, if a scalar Y can help to forecast another scalar X, then we say that Y Granger-causes X. If Y causes X and X does not cause Y, it is said that unidirectional causality exists from Y to X. If Y does not cause X and X does not cause Y, then X and Y are statistically</w:t>
      </w:r>
      <w:r w:rsidR="007A7060" w:rsidRPr="007D301A">
        <w:rPr>
          <w:szCs w:val="24"/>
        </w:rPr>
        <w:t xml:space="preserve">independent. If Y causes X and X causes Y, it is said that feedback exists between X </w:t>
      </w:r>
      <w:proofErr w:type="spellStart"/>
      <w:r w:rsidR="007A7060" w:rsidRPr="007D301A">
        <w:rPr>
          <w:szCs w:val="24"/>
        </w:rPr>
        <w:t>andY</w:t>
      </w:r>
      <w:proofErr w:type="spellEnd"/>
      <w:r w:rsidR="007A7060" w:rsidRPr="007D301A">
        <w:rPr>
          <w:szCs w:val="24"/>
        </w:rPr>
        <w:t xml:space="preserve">. Essentially, Granger’s definition of causality is framed in terms of predictability. To implement the Granger test, a particular autoregressive lag length k (or p) </w:t>
      </w:r>
      <w:proofErr w:type="spellStart"/>
      <w:r w:rsidR="007A7060" w:rsidRPr="007D301A">
        <w:rPr>
          <w:szCs w:val="24"/>
        </w:rPr>
        <w:t>is</w:t>
      </w:r>
      <w:r w:rsidR="003232B9" w:rsidRPr="007D301A">
        <w:rPr>
          <w:szCs w:val="24"/>
        </w:rPr>
        <w:t>assumed</w:t>
      </w:r>
      <w:proofErr w:type="spellEnd"/>
      <w:r w:rsidR="003232B9" w:rsidRPr="007D301A">
        <w:rPr>
          <w:szCs w:val="24"/>
        </w:rPr>
        <w:t xml:space="preserve"> and Equations (3) and (4</w:t>
      </w:r>
      <w:r w:rsidR="007A7060" w:rsidRPr="007D301A">
        <w:rPr>
          <w:szCs w:val="24"/>
        </w:rPr>
        <w:t>) are estimated by OLS:</w:t>
      </w:r>
    </w:p>
    <w:p w:rsidR="005A78FF" w:rsidRPr="007D301A" w:rsidRDefault="00F85EC4" w:rsidP="00596177">
      <w:pPr>
        <w:pStyle w:val="BodyText"/>
        <w:tabs>
          <w:tab w:val="left" w:pos="720"/>
          <w:tab w:val="left" w:pos="1440"/>
        </w:tabs>
        <w:spacing w:line="360" w:lineRule="auto"/>
        <w:jc w:val="both"/>
        <w:rPr>
          <w:spacing w:val="-5"/>
          <w:szCs w:val="24"/>
        </w:rPr>
      </w:pPr>
      <m:oMathPara>
        <m:oMath>
          <m:sSub>
            <m:sSubPr>
              <m:ctrlPr>
                <w:rPr>
                  <w:rFonts w:ascii="Cambria Math" w:hAnsi="Cambria Math"/>
                  <w:i/>
                  <w:noProof/>
                  <w:szCs w:val="24"/>
                  <w:lang w:eastAsia="en-GB"/>
                </w:rPr>
              </m:ctrlPr>
            </m:sSubPr>
            <m:e>
              <m:r>
                <w:rPr>
                  <w:rFonts w:ascii="Cambria Math" w:hAnsi="Cambria Math"/>
                  <w:noProof/>
                  <w:szCs w:val="24"/>
                  <w:lang w:eastAsia="en-GB"/>
                </w:rPr>
                <m:t>X</m:t>
              </m:r>
            </m:e>
            <m:sub>
              <m:r>
                <w:rPr>
                  <w:rFonts w:ascii="Cambria Math" w:hAnsi="Cambria Math"/>
                  <w:noProof/>
                  <w:szCs w:val="24"/>
                  <w:lang w:eastAsia="en-GB"/>
                </w:rPr>
                <m:t>t</m:t>
              </m:r>
            </m:sub>
          </m:sSub>
          <m:r>
            <w:rPr>
              <w:rFonts w:ascii="Cambria Math"/>
              <w:noProof/>
              <w:szCs w:val="24"/>
              <w:lang w:eastAsia="en-GB"/>
            </w:rPr>
            <m:t>=</m:t>
          </m:r>
          <m:sSub>
            <m:sSubPr>
              <m:ctrlPr>
                <w:rPr>
                  <w:rFonts w:ascii="Cambria Math" w:hAnsi="Cambria Math"/>
                  <w:i/>
                  <w:noProof/>
                  <w:szCs w:val="24"/>
                  <w:lang w:eastAsia="en-GB"/>
                </w:rPr>
              </m:ctrlPr>
            </m:sSubPr>
            <m:e>
              <m:r>
                <w:rPr>
                  <w:rFonts w:ascii="Cambria Math" w:hAnsi="Cambria Math"/>
                  <w:noProof/>
                  <w:szCs w:val="24"/>
                  <w:lang w:eastAsia="en-GB"/>
                </w:rPr>
                <m:t>φ</m:t>
              </m:r>
            </m:e>
            <m:sub>
              <m:r>
                <w:rPr>
                  <w:rFonts w:ascii="Cambria Math"/>
                  <w:noProof/>
                  <w:szCs w:val="24"/>
                  <w:lang w:eastAsia="en-GB"/>
                </w:rPr>
                <m:t>1</m:t>
              </m:r>
            </m:sub>
          </m:sSub>
          <m:r>
            <w:rPr>
              <w:rFonts w:ascii="Cambria Math"/>
              <w:noProof/>
              <w:szCs w:val="24"/>
              <w:lang w:eastAsia="en-GB"/>
            </w:rPr>
            <m:t>+</m:t>
          </m:r>
          <m:nary>
            <m:naryPr>
              <m:chr m:val="∑"/>
              <m:limLoc m:val="undOvr"/>
              <m:ctrlPr>
                <w:rPr>
                  <w:rFonts w:ascii="Cambria Math" w:hAnsi="Cambria Math"/>
                  <w:i/>
                  <w:noProof/>
                  <w:szCs w:val="24"/>
                  <w:lang w:eastAsia="en-GB"/>
                </w:rPr>
              </m:ctrlPr>
            </m:naryPr>
            <m:sub>
              <m:r>
                <w:rPr>
                  <w:rFonts w:ascii="Cambria Math" w:hAnsi="Cambria Math"/>
                  <w:noProof/>
                  <w:szCs w:val="24"/>
                  <w:lang w:eastAsia="en-GB"/>
                </w:rPr>
                <m:t>i</m:t>
              </m:r>
              <m:r>
                <w:rPr>
                  <w:rFonts w:ascii="Cambria Math"/>
                  <w:noProof/>
                  <w:szCs w:val="24"/>
                  <w:lang w:eastAsia="en-GB"/>
                </w:rPr>
                <m:t>=1</m:t>
              </m:r>
            </m:sub>
            <m:sup>
              <m:r>
                <w:rPr>
                  <w:rFonts w:ascii="Cambria Math" w:hAnsi="Cambria Math"/>
                  <w:noProof/>
                  <w:szCs w:val="24"/>
                  <w:lang w:eastAsia="en-GB"/>
                </w:rPr>
                <m:t>k</m:t>
              </m:r>
            </m:sup>
            <m:e>
              <m:sSub>
                <m:sSubPr>
                  <m:ctrlPr>
                    <w:rPr>
                      <w:rFonts w:ascii="Cambria Math" w:hAnsi="Cambria Math"/>
                      <w:i/>
                      <w:noProof/>
                      <w:szCs w:val="24"/>
                      <w:lang w:eastAsia="en-GB"/>
                    </w:rPr>
                  </m:ctrlPr>
                </m:sSubPr>
                <m:e>
                  <m:r>
                    <w:rPr>
                      <w:rFonts w:ascii="Cambria Math" w:hAnsi="Cambria Math"/>
                      <w:noProof/>
                      <w:szCs w:val="24"/>
                      <w:lang w:eastAsia="en-GB"/>
                    </w:rPr>
                    <m:t>a</m:t>
                  </m:r>
                </m:e>
                <m:sub>
                  <m:r>
                    <w:rPr>
                      <w:rFonts w:ascii="Cambria Math"/>
                      <w:noProof/>
                      <w:szCs w:val="24"/>
                      <w:lang w:eastAsia="en-GB"/>
                    </w:rPr>
                    <m:t>1</m:t>
                  </m:r>
                  <m:r>
                    <w:rPr>
                      <w:rFonts w:ascii="Cambria Math" w:hAnsi="Cambria Math"/>
                      <w:noProof/>
                      <w:szCs w:val="24"/>
                      <w:lang w:eastAsia="en-GB"/>
                    </w:rPr>
                    <m:t>i</m:t>
                  </m:r>
                </m:sub>
              </m:sSub>
            </m:e>
          </m:nary>
          <m:sSub>
            <m:sSubPr>
              <m:ctrlPr>
                <w:rPr>
                  <w:rFonts w:ascii="Cambria Math" w:hAnsi="Cambria Math"/>
                  <w:i/>
                  <w:noProof/>
                  <w:szCs w:val="24"/>
                  <w:lang w:eastAsia="en-GB"/>
                </w:rPr>
              </m:ctrlPr>
            </m:sSubPr>
            <m:e>
              <m:r>
                <w:rPr>
                  <w:rFonts w:ascii="Cambria Math" w:hAnsi="Cambria Math"/>
                  <w:noProof/>
                  <w:szCs w:val="24"/>
                  <w:lang w:eastAsia="en-GB"/>
                </w:rPr>
                <m:t>X</m:t>
              </m:r>
            </m:e>
            <m:sub>
              <m:r>
                <w:rPr>
                  <w:rFonts w:ascii="Cambria Math" w:hAnsi="Cambria Math"/>
                  <w:noProof/>
                  <w:szCs w:val="24"/>
                  <w:lang w:eastAsia="en-GB"/>
                </w:rPr>
                <m:t>t</m:t>
              </m:r>
              <m:r>
                <w:rPr>
                  <w:rFonts w:ascii="Cambria Math" w:hAnsi="Cambria Math"/>
                  <w:noProof/>
                  <w:szCs w:val="24"/>
                  <w:lang w:eastAsia="en-GB"/>
                </w:rPr>
                <m:t>-</m:t>
              </m:r>
              <m:r>
                <w:rPr>
                  <w:rFonts w:ascii="Cambria Math" w:hAnsi="Cambria Math"/>
                  <w:noProof/>
                  <w:szCs w:val="24"/>
                  <w:lang w:eastAsia="en-GB"/>
                </w:rPr>
                <m:t>i</m:t>
              </m:r>
            </m:sub>
          </m:sSub>
          <m:r>
            <w:rPr>
              <w:rFonts w:ascii="Cambria Math"/>
              <w:noProof/>
              <w:szCs w:val="24"/>
              <w:lang w:eastAsia="en-GB"/>
            </w:rPr>
            <m:t>+</m:t>
          </m:r>
          <m:nary>
            <m:naryPr>
              <m:chr m:val="∑"/>
              <m:limLoc m:val="undOvr"/>
              <m:ctrlPr>
                <w:rPr>
                  <w:rFonts w:ascii="Cambria Math" w:hAnsi="Cambria Math"/>
                  <w:i/>
                  <w:noProof/>
                  <w:szCs w:val="24"/>
                  <w:lang w:val="en-GB" w:eastAsia="en-GB"/>
                </w:rPr>
              </m:ctrlPr>
            </m:naryPr>
            <m:sub>
              <m:r>
                <w:rPr>
                  <w:rFonts w:ascii="Cambria Math" w:hAnsi="Cambria Math"/>
                  <w:noProof/>
                  <w:szCs w:val="24"/>
                  <w:lang w:val="en-GB" w:eastAsia="en-GB"/>
                </w:rPr>
                <m:t>j</m:t>
              </m:r>
              <m:r>
                <w:rPr>
                  <w:rFonts w:ascii="Cambria Math"/>
                  <w:noProof/>
                  <w:szCs w:val="24"/>
                  <w:lang w:val="en-GB" w:eastAsia="en-GB"/>
                </w:rPr>
                <m:t>=1</m:t>
              </m:r>
            </m:sub>
            <m:sup>
              <m:r>
                <w:rPr>
                  <w:rFonts w:ascii="Cambria Math" w:hAnsi="Cambria Math"/>
                  <w:noProof/>
                  <w:szCs w:val="24"/>
                  <w:lang w:val="en-GB" w:eastAsia="en-GB"/>
                </w:rPr>
                <m:t>k</m:t>
              </m:r>
            </m:sup>
            <m:e>
              <m:sSub>
                <m:sSubPr>
                  <m:ctrlPr>
                    <w:rPr>
                      <w:rFonts w:ascii="Cambria Math" w:hAnsi="Cambria Math"/>
                      <w:i/>
                      <w:noProof/>
                      <w:szCs w:val="24"/>
                      <w:lang w:val="en-GB" w:eastAsia="en-GB"/>
                    </w:rPr>
                  </m:ctrlPr>
                </m:sSubPr>
                <m:e>
                  <m:r>
                    <w:rPr>
                      <w:rFonts w:ascii="Cambria Math" w:hAnsi="Cambria Math"/>
                      <w:noProof/>
                      <w:szCs w:val="24"/>
                      <w:lang w:val="en-GB" w:eastAsia="en-GB"/>
                    </w:rPr>
                    <m:t>b</m:t>
                  </m:r>
                </m:e>
                <m:sub>
                  <m:r>
                    <w:rPr>
                      <w:rFonts w:ascii="Cambria Math"/>
                      <w:noProof/>
                      <w:szCs w:val="24"/>
                      <w:lang w:val="en-GB" w:eastAsia="en-GB"/>
                    </w:rPr>
                    <m:t>1</m:t>
                  </m:r>
                  <m:r>
                    <w:rPr>
                      <w:rFonts w:ascii="Cambria Math" w:hAnsi="Cambria Math"/>
                      <w:noProof/>
                      <w:szCs w:val="24"/>
                      <w:lang w:val="en-GB" w:eastAsia="en-GB"/>
                    </w:rPr>
                    <m:t>j</m:t>
                  </m:r>
                </m:sub>
              </m:sSub>
            </m:e>
          </m:nary>
          <m:sSub>
            <m:sSubPr>
              <m:ctrlPr>
                <w:rPr>
                  <w:rFonts w:ascii="Cambria Math" w:hAnsi="Cambria Math"/>
                  <w:i/>
                  <w:noProof/>
                  <w:szCs w:val="24"/>
                  <w:lang w:val="en-GB" w:eastAsia="en-GB"/>
                </w:rPr>
              </m:ctrlPr>
            </m:sSubPr>
            <m:e>
              <m:r>
                <w:rPr>
                  <w:rFonts w:ascii="Cambria Math" w:hAnsi="Cambria Math"/>
                  <w:noProof/>
                  <w:szCs w:val="24"/>
                  <w:lang w:val="en-GB" w:eastAsia="en-GB"/>
                </w:rPr>
                <m:t>Y</m:t>
              </m:r>
            </m:e>
            <m:sub>
              <m:r>
                <w:rPr>
                  <w:rFonts w:ascii="Cambria Math" w:hAnsi="Cambria Math"/>
                  <w:noProof/>
                  <w:szCs w:val="24"/>
                  <w:lang w:val="en-GB" w:eastAsia="en-GB"/>
                </w:rPr>
                <m:t>t</m:t>
              </m:r>
              <m:r>
                <w:rPr>
                  <w:rFonts w:ascii="Cambria Math" w:hAnsi="Cambria Math"/>
                  <w:noProof/>
                  <w:szCs w:val="24"/>
                  <w:lang w:val="en-GB" w:eastAsia="en-GB"/>
                </w:rPr>
                <m:t>-</m:t>
              </m:r>
              <m:r>
                <w:rPr>
                  <w:rFonts w:ascii="Cambria Math" w:hAnsi="Cambria Math"/>
                  <w:noProof/>
                  <w:szCs w:val="24"/>
                  <w:lang w:val="en-GB" w:eastAsia="en-GB"/>
                </w:rPr>
                <m:t>j</m:t>
              </m:r>
            </m:sub>
          </m:sSub>
          <m:r>
            <w:rPr>
              <w:rFonts w:ascii="Cambria Math"/>
              <w:noProof/>
              <w:szCs w:val="24"/>
              <w:lang w:eastAsia="en-GB"/>
            </w:rPr>
            <m:t>+</m:t>
          </m:r>
          <m:sSub>
            <m:sSubPr>
              <m:ctrlPr>
                <w:rPr>
                  <w:rFonts w:ascii="Cambria Math" w:hAnsi="Cambria Math"/>
                  <w:i/>
                  <w:szCs w:val="24"/>
                  <w:vertAlign w:val="subscript"/>
                </w:rPr>
              </m:ctrlPr>
            </m:sSubPr>
            <m:e>
              <m:r>
                <w:rPr>
                  <w:rFonts w:ascii="Cambria Math" w:hAnsi="Cambria Math"/>
                  <w:szCs w:val="24"/>
                </w:rPr>
                <m:t>ε</m:t>
              </m:r>
            </m:e>
            <m:sub>
              <m:r>
                <w:rPr>
                  <w:rFonts w:ascii="Cambria Math"/>
                  <w:szCs w:val="24"/>
                  <w:vertAlign w:val="subscript"/>
                </w:rPr>
                <m:t>1</m:t>
              </m:r>
              <m:r>
                <w:rPr>
                  <w:rFonts w:ascii="Cambria Math" w:hAnsi="Cambria Math"/>
                  <w:szCs w:val="24"/>
                  <w:vertAlign w:val="subscript"/>
                </w:rPr>
                <m:t>t</m:t>
              </m:r>
            </m:sub>
          </m:sSub>
          <m:r>
            <w:rPr>
              <w:rFonts w:ascii="Cambria Math"/>
              <w:szCs w:val="24"/>
              <w:vertAlign w:val="subscript"/>
            </w:rPr>
            <m:t xml:space="preserve">                   </m:t>
          </m:r>
          <m:r>
            <w:rPr>
              <w:rFonts w:ascii="Cambria Math"/>
              <w:szCs w:val="24"/>
              <w:vertAlign w:val="subscript"/>
            </w:rPr>
            <m:t xml:space="preserve">                               (3)</m:t>
          </m:r>
        </m:oMath>
      </m:oMathPara>
    </w:p>
    <w:p w:rsidR="00BB6C89" w:rsidRPr="007D301A" w:rsidRDefault="00F85EC4" w:rsidP="00596177">
      <w:pPr>
        <w:pStyle w:val="BodyText"/>
        <w:tabs>
          <w:tab w:val="left" w:pos="720"/>
          <w:tab w:val="left" w:pos="1440"/>
        </w:tabs>
        <w:spacing w:line="360" w:lineRule="auto"/>
        <w:jc w:val="both"/>
        <w:rPr>
          <w:spacing w:val="-5"/>
          <w:szCs w:val="24"/>
        </w:rPr>
      </w:pPr>
      <m:oMathPara>
        <m:oMath>
          <m:sSub>
            <m:sSubPr>
              <m:ctrlPr>
                <w:rPr>
                  <w:rFonts w:ascii="Cambria Math" w:hAnsi="Cambria Math"/>
                  <w:i/>
                  <w:noProof/>
                  <w:szCs w:val="24"/>
                  <w:lang w:eastAsia="en-GB"/>
                </w:rPr>
              </m:ctrlPr>
            </m:sSubPr>
            <m:e>
              <m:r>
                <w:rPr>
                  <w:rFonts w:ascii="Cambria Math" w:hAnsi="Cambria Math"/>
                  <w:noProof/>
                  <w:szCs w:val="24"/>
                  <w:lang w:eastAsia="en-GB"/>
                </w:rPr>
                <m:t>Y</m:t>
              </m:r>
            </m:e>
            <m:sub>
              <m:r>
                <w:rPr>
                  <w:rFonts w:ascii="Cambria Math" w:hAnsi="Cambria Math"/>
                  <w:noProof/>
                  <w:szCs w:val="24"/>
                  <w:lang w:eastAsia="en-GB"/>
                </w:rPr>
                <m:t>t</m:t>
              </m:r>
            </m:sub>
          </m:sSub>
          <m:r>
            <w:rPr>
              <w:rFonts w:ascii="Cambria Math"/>
              <w:noProof/>
              <w:szCs w:val="24"/>
              <w:lang w:eastAsia="en-GB"/>
            </w:rPr>
            <m:t>=</m:t>
          </m:r>
          <m:sSub>
            <m:sSubPr>
              <m:ctrlPr>
                <w:rPr>
                  <w:rFonts w:ascii="Cambria Math" w:hAnsi="Cambria Math"/>
                  <w:i/>
                  <w:noProof/>
                  <w:szCs w:val="24"/>
                  <w:lang w:eastAsia="en-GB"/>
                </w:rPr>
              </m:ctrlPr>
            </m:sSubPr>
            <m:e>
              <m:r>
                <w:rPr>
                  <w:rFonts w:ascii="Cambria Math" w:hAnsi="Cambria Math"/>
                  <w:noProof/>
                  <w:szCs w:val="24"/>
                  <w:lang w:eastAsia="en-GB"/>
                </w:rPr>
                <m:t>φ</m:t>
              </m:r>
            </m:e>
            <m:sub>
              <m:r>
                <w:rPr>
                  <w:rFonts w:ascii="Cambria Math"/>
                  <w:noProof/>
                  <w:szCs w:val="24"/>
                  <w:lang w:eastAsia="en-GB"/>
                </w:rPr>
                <m:t>2</m:t>
              </m:r>
            </m:sub>
          </m:sSub>
          <m:r>
            <w:rPr>
              <w:rFonts w:ascii="Cambria Math"/>
              <w:noProof/>
              <w:szCs w:val="24"/>
              <w:lang w:eastAsia="en-GB"/>
            </w:rPr>
            <m:t>+</m:t>
          </m:r>
          <m:nary>
            <m:naryPr>
              <m:chr m:val="∑"/>
              <m:limLoc m:val="undOvr"/>
              <m:ctrlPr>
                <w:rPr>
                  <w:rFonts w:ascii="Cambria Math" w:hAnsi="Cambria Math"/>
                  <w:i/>
                  <w:noProof/>
                  <w:szCs w:val="24"/>
                  <w:lang w:eastAsia="en-GB"/>
                </w:rPr>
              </m:ctrlPr>
            </m:naryPr>
            <m:sub>
              <m:r>
                <w:rPr>
                  <w:rFonts w:ascii="Cambria Math" w:hAnsi="Cambria Math"/>
                  <w:noProof/>
                  <w:szCs w:val="24"/>
                  <w:lang w:eastAsia="en-GB"/>
                </w:rPr>
                <m:t>i</m:t>
              </m:r>
              <m:r>
                <w:rPr>
                  <w:rFonts w:ascii="Cambria Math"/>
                  <w:noProof/>
                  <w:szCs w:val="24"/>
                  <w:lang w:eastAsia="en-GB"/>
                </w:rPr>
                <m:t>=1</m:t>
              </m:r>
            </m:sub>
            <m:sup>
              <m:r>
                <w:rPr>
                  <w:rFonts w:ascii="Cambria Math" w:hAnsi="Cambria Math"/>
                  <w:noProof/>
                  <w:szCs w:val="24"/>
                  <w:lang w:eastAsia="en-GB"/>
                </w:rPr>
                <m:t>P</m:t>
              </m:r>
            </m:sup>
            <m:e>
              <m:sSub>
                <m:sSubPr>
                  <m:ctrlPr>
                    <w:rPr>
                      <w:rFonts w:ascii="Cambria Math" w:hAnsi="Cambria Math"/>
                      <w:i/>
                      <w:noProof/>
                      <w:szCs w:val="24"/>
                      <w:lang w:eastAsia="en-GB"/>
                    </w:rPr>
                  </m:ctrlPr>
                </m:sSubPr>
                <m:e>
                  <m:r>
                    <w:rPr>
                      <w:rFonts w:ascii="Cambria Math" w:hAnsi="Cambria Math"/>
                      <w:noProof/>
                      <w:szCs w:val="24"/>
                      <w:lang w:eastAsia="en-GB"/>
                    </w:rPr>
                    <m:t>a</m:t>
                  </m:r>
                </m:e>
                <m:sub>
                  <m:r>
                    <w:rPr>
                      <w:rFonts w:ascii="Cambria Math"/>
                      <w:noProof/>
                      <w:szCs w:val="24"/>
                      <w:lang w:eastAsia="en-GB"/>
                    </w:rPr>
                    <m:t>2</m:t>
                  </m:r>
                  <m:r>
                    <w:rPr>
                      <w:rFonts w:ascii="Cambria Math" w:hAnsi="Cambria Math"/>
                      <w:noProof/>
                      <w:szCs w:val="24"/>
                      <w:lang w:eastAsia="en-GB"/>
                    </w:rPr>
                    <m:t>i</m:t>
                  </m:r>
                </m:sub>
              </m:sSub>
            </m:e>
          </m:nary>
          <m:sSub>
            <m:sSubPr>
              <m:ctrlPr>
                <w:rPr>
                  <w:rFonts w:ascii="Cambria Math" w:hAnsi="Cambria Math"/>
                  <w:i/>
                  <w:noProof/>
                  <w:szCs w:val="24"/>
                  <w:lang w:eastAsia="en-GB"/>
                </w:rPr>
              </m:ctrlPr>
            </m:sSubPr>
            <m:e>
              <m:r>
                <w:rPr>
                  <w:rFonts w:ascii="Cambria Math" w:hAnsi="Cambria Math"/>
                  <w:noProof/>
                  <w:szCs w:val="24"/>
                  <w:lang w:eastAsia="en-GB"/>
                </w:rPr>
                <m:t>X</m:t>
              </m:r>
            </m:e>
            <m:sub>
              <m:r>
                <w:rPr>
                  <w:rFonts w:ascii="Cambria Math" w:hAnsi="Cambria Math"/>
                  <w:noProof/>
                  <w:szCs w:val="24"/>
                  <w:lang w:eastAsia="en-GB"/>
                </w:rPr>
                <m:t>t</m:t>
              </m:r>
              <m:r>
                <w:rPr>
                  <w:rFonts w:ascii="Cambria Math" w:hAnsi="Cambria Math"/>
                  <w:noProof/>
                  <w:szCs w:val="24"/>
                  <w:lang w:eastAsia="en-GB"/>
                </w:rPr>
                <m:t>-</m:t>
              </m:r>
              <m:r>
                <w:rPr>
                  <w:rFonts w:ascii="Cambria Math" w:hAnsi="Cambria Math"/>
                  <w:noProof/>
                  <w:szCs w:val="24"/>
                  <w:lang w:eastAsia="en-GB"/>
                </w:rPr>
                <m:t>i</m:t>
              </m:r>
            </m:sub>
          </m:sSub>
          <m:r>
            <w:rPr>
              <w:rFonts w:ascii="Cambria Math"/>
              <w:noProof/>
              <w:szCs w:val="24"/>
              <w:lang w:eastAsia="en-GB"/>
            </w:rPr>
            <m:t>+</m:t>
          </m:r>
          <m:nary>
            <m:naryPr>
              <m:chr m:val="∑"/>
              <m:limLoc m:val="undOvr"/>
              <m:ctrlPr>
                <w:rPr>
                  <w:rFonts w:ascii="Cambria Math" w:hAnsi="Cambria Math"/>
                  <w:i/>
                  <w:noProof/>
                  <w:szCs w:val="24"/>
                  <w:lang w:val="en-GB" w:eastAsia="en-GB"/>
                </w:rPr>
              </m:ctrlPr>
            </m:naryPr>
            <m:sub>
              <m:r>
                <w:rPr>
                  <w:rFonts w:ascii="Cambria Math" w:hAnsi="Cambria Math"/>
                  <w:noProof/>
                  <w:szCs w:val="24"/>
                  <w:lang w:val="en-GB" w:eastAsia="en-GB"/>
                </w:rPr>
                <m:t>j</m:t>
              </m:r>
              <m:r>
                <w:rPr>
                  <w:rFonts w:ascii="Cambria Math"/>
                  <w:noProof/>
                  <w:szCs w:val="24"/>
                  <w:lang w:val="en-GB" w:eastAsia="en-GB"/>
                </w:rPr>
                <m:t>=1</m:t>
              </m:r>
            </m:sub>
            <m:sup>
              <m:r>
                <w:rPr>
                  <w:rFonts w:ascii="Cambria Math" w:hAnsi="Cambria Math"/>
                  <w:noProof/>
                  <w:szCs w:val="24"/>
                  <w:lang w:val="en-GB" w:eastAsia="en-GB"/>
                </w:rPr>
                <m:t>P</m:t>
              </m:r>
            </m:sup>
            <m:e>
              <m:sSub>
                <m:sSubPr>
                  <m:ctrlPr>
                    <w:rPr>
                      <w:rFonts w:ascii="Cambria Math" w:hAnsi="Cambria Math"/>
                      <w:i/>
                      <w:noProof/>
                      <w:szCs w:val="24"/>
                      <w:lang w:val="en-GB" w:eastAsia="en-GB"/>
                    </w:rPr>
                  </m:ctrlPr>
                </m:sSubPr>
                <m:e>
                  <m:r>
                    <w:rPr>
                      <w:rFonts w:ascii="Cambria Math" w:hAnsi="Cambria Math"/>
                      <w:noProof/>
                      <w:szCs w:val="24"/>
                      <w:lang w:val="en-GB" w:eastAsia="en-GB"/>
                    </w:rPr>
                    <m:t>b</m:t>
                  </m:r>
                </m:e>
                <m:sub>
                  <m:r>
                    <w:rPr>
                      <w:rFonts w:ascii="Cambria Math"/>
                      <w:noProof/>
                      <w:szCs w:val="24"/>
                      <w:lang w:val="en-GB" w:eastAsia="en-GB"/>
                    </w:rPr>
                    <m:t>2</m:t>
                  </m:r>
                  <m:r>
                    <w:rPr>
                      <w:rFonts w:ascii="Cambria Math" w:hAnsi="Cambria Math"/>
                      <w:noProof/>
                      <w:szCs w:val="24"/>
                      <w:lang w:val="en-GB" w:eastAsia="en-GB"/>
                    </w:rPr>
                    <m:t>j</m:t>
                  </m:r>
                </m:sub>
              </m:sSub>
            </m:e>
          </m:nary>
          <m:sSub>
            <m:sSubPr>
              <m:ctrlPr>
                <w:rPr>
                  <w:rFonts w:ascii="Cambria Math" w:hAnsi="Cambria Math"/>
                  <w:i/>
                  <w:noProof/>
                  <w:szCs w:val="24"/>
                  <w:lang w:val="en-GB" w:eastAsia="en-GB"/>
                </w:rPr>
              </m:ctrlPr>
            </m:sSubPr>
            <m:e>
              <m:r>
                <w:rPr>
                  <w:rFonts w:ascii="Cambria Math" w:hAnsi="Cambria Math"/>
                  <w:noProof/>
                  <w:szCs w:val="24"/>
                  <w:lang w:val="en-GB" w:eastAsia="en-GB"/>
                </w:rPr>
                <m:t>Y</m:t>
              </m:r>
            </m:e>
            <m:sub>
              <m:r>
                <w:rPr>
                  <w:rFonts w:ascii="Cambria Math" w:hAnsi="Cambria Math"/>
                  <w:noProof/>
                  <w:szCs w:val="24"/>
                  <w:lang w:val="en-GB" w:eastAsia="en-GB"/>
                </w:rPr>
                <m:t>t</m:t>
              </m:r>
              <m:r>
                <w:rPr>
                  <w:rFonts w:ascii="Cambria Math" w:hAnsi="Cambria Math"/>
                  <w:noProof/>
                  <w:szCs w:val="24"/>
                  <w:lang w:val="en-GB" w:eastAsia="en-GB"/>
                </w:rPr>
                <m:t>-</m:t>
              </m:r>
              <m:r>
                <w:rPr>
                  <w:rFonts w:ascii="Cambria Math" w:hAnsi="Cambria Math"/>
                  <w:noProof/>
                  <w:szCs w:val="24"/>
                  <w:lang w:val="en-GB" w:eastAsia="en-GB"/>
                </w:rPr>
                <m:t>j</m:t>
              </m:r>
            </m:sub>
          </m:sSub>
          <m:r>
            <w:rPr>
              <w:rFonts w:ascii="Cambria Math"/>
              <w:noProof/>
              <w:szCs w:val="24"/>
              <w:lang w:eastAsia="en-GB"/>
            </w:rPr>
            <m:t>+</m:t>
          </m:r>
          <m:sSub>
            <m:sSubPr>
              <m:ctrlPr>
                <w:rPr>
                  <w:rFonts w:ascii="Cambria Math" w:hAnsi="Cambria Math"/>
                  <w:i/>
                  <w:szCs w:val="24"/>
                  <w:vertAlign w:val="subscript"/>
                </w:rPr>
              </m:ctrlPr>
            </m:sSubPr>
            <m:e>
              <m:r>
                <w:rPr>
                  <w:rFonts w:ascii="Cambria Math" w:hAnsi="Cambria Math"/>
                  <w:szCs w:val="24"/>
                </w:rPr>
                <m:t>ε</m:t>
              </m:r>
            </m:e>
            <m:sub>
              <m:r>
                <w:rPr>
                  <w:rFonts w:ascii="Cambria Math"/>
                  <w:szCs w:val="24"/>
                  <w:vertAlign w:val="subscript"/>
                </w:rPr>
                <m:t>2</m:t>
              </m:r>
              <m:r>
                <w:rPr>
                  <w:rFonts w:ascii="Cambria Math" w:hAnsi="Cambria Math"/>
                  <w:szCs w:val="24"/>
                  <w:vertAlign w:val="subscript"/>
                </w:rPr>
                <m:t>t</m:t>
              </m:r>
            </m:sub>
          </m:sSub>
          <m:r>
            <w:rPr>
              <w:rFonts w:ascii="Cambria Math"/>
              <w:szCs w:val="24"/>
              <w:vertAlign w:val="subscript"/>
            </w:rPr>
            <m:t xml:space="preserve">                                                  (4)</m:t>
          </m:r>
        </m:oMath>
      </m:oMathPara>
    </w:p>
    <w:p w:rsidR="00436F26" w:rsidRPr="009739B2" w:rsidRDefault="007D361F" w:rsidP="00596177">
      <w:pPr>
        <w:pStyle w:val="BodyText"/>
        <w:tabs>
          <w:tab w:val="left" w:pos="600"/>
          <w:tab w:val="left" w:pos="1303"/>
          <w:tab w:val="left" w:pos="1651"/>
          <w:tab w:val="left" w:pos="2463"/>
          <w:tab w:val="left" w:pos="2945"/>
          <w:tab w:val="left" w:pos="3402"/>
          <w:tab w:val="left" w:pos="3871"/>
          <w:tab w:val="left" w:pos="4415"/>
          <w:tab w:val="left" w:pos="5556"/>
          <w:tab w:val="left" w:pos="5941"/>
          <w:tab w:val="left" w:pos="6362"/>
          <w:tab w:val="left" w:pos="7284"/>
        </w:tabs>
        <w:spacing w:line="360" w:lineRule="auto"/>
        <w:jc w:val="both"/>
        <w:rPr>
          <w:szCs w:val="24"/>
        </w:rPr>
      </w:pPr>
      <w:r w:rsidRPr="009739B2">
        <w:rPr>
          <w:spacing w:val="-5"/>
          <w:szCs w:val="24"/>
        </w:rPr>
        <w:t>An</w:t>
      </w:r>
      <w:r w:rsidRPr="009739B2">
        <w:rPr>
          <w:szCs w:val="24"/>
        </w:rPr>
        <w:tab/>
      </w:r>
      <w:r w:rsidRPr="009739B2">
        <w:rPr>
          <w:spacing w:val="-2"/>
          <w:szCs w:val="24"/>
        </w:rPr>
        <w:t>F-</w:t>
      </w:r>
      <w:r w:rsidRPr="009739B2">
        <w:rPr>
          <w:spacing w:val="-4"/>
          <w:szCs w:val="24"/>
        </w:rPr>
        <w:t>test</w:t>
      </w:r>
      <w:r w:rsidRPr="009739B2">
        <w:rPr>
          <w:szCs w:val="24"/>
        </w:rPr>
        <w:tab/>
      </w:r>
      <w:r w:rsidRPr="009739B2">
        <w:rPr>
          <w:spacing w:val="-5"/>
          <w:szCs w:val="24"/>
        </w:rPr>
        <w:t>is</w:t>
      </w:r>
      <w:r w:rsidRPr="009739B2">
        <w:rPr>
          <w:szCs w:val="24"/>
        </w:rPr>
        <w:tab/>
      </w:r>
      <w:r w:rsidRPr="009739B2">
        <w:rPr>
          <w:spacing w:val="-2"/>
          <w:szCs w:val="24"/>
        </w:rPr>
        <w:t>carried</w:t>
      </w:r>
      <w:r w:rsidRPr="009739B2">
        <w:rPr>
          <w:szCs w:val="24"/>
        </w:rPr>
        <w:tab/>
      </w:r>
      <w:r w:rsidRPr="009739B2">
        <w:rPr>
          <w:spacing w:val="-5"/>
          <w:szCs w:val="24"/>
        </w:rPr>
        <w:t>out</w:t>
      </w:r>
      <w:r w:rsidRPr="009739B2">
        <w:rPr>
          <w:szCs w:val="24"/>
        </w:rPr>
        <w:tab/>
      </w:r>
      <w:r w:rsidRPr="009739B2">
        <w:rPr>
          <w:spacing w:val="-5"/>
          <w:szCs w:val="24"/>
        </w:rPr>
        <w:t>for</w:t>
      </w:r>
      <w:r w:rsidRPr="009739B2">
        <w:rPr>
          <w:szCs w:val="24"/>
        </w:rPr>
        <w:tab/>
      </w:r>
      <w:r w:rsidRPr="009739B2">
        <w:rPr>
          <w:spacing w:val="-5"/>
          <w:szCs w:val="24"/>
        </w:rPr>
        <w:t>the</w:t>
      </w:r>
      <w:r w:rsidRPr="009739B2">
        <w:rPr>
          <w:szCs w:val="24"/>
        </w:rPr>
        <w:tab/>
      </w:r>
      <w:r w:rsidRPr="009739B2">
        <w:rPr>
          <w:spacing w:val="-4"/>
          <w:szCs w:val="24"/>
        </w:rPr>
        <w:t>null</w:t>
      </w:r>
      <w:r w:rsidRPr="009739B2">
        <w:rPr>
          <w:szCs w:val="24"/>
        </w:rPr>
        <w:tab/>
      </w:r>
      <w:r w:rsidRPr="009739B2">
        <w:rPr>
          <w:spacing w:val="-2"/>
          <w:szCs w:val="24"/>
        </w:rPr>
        <w:t>hypothesis</w:t>
      </w:r>
      <w:r w:rsidRPr="009739B2">
        <w:rPr>
          <w:szCs w:val="24"/>
        </w:rPr>
        <w:tab/>
      </w:r>
      <w:r w:rsidRPr="009739B2">
        <w:rPr>
          <w:spacing w:val="-5"/>
          <w:szCs w:val="24"/>
        </w:rPr>
        <w:t>of</w:t>
      </w:r>
      <w:r w:rsidRPr="009739B2">
        <w:rPr>
          <w:szCs w:val="24"/>
        </w:rPr>
        <w:tab/>
      </w:r>
      <w:r w:rsidRPr="009739B2">
        <w:rPr>
          <w:spacing w:val="-5"/>
          <w:szCs w:val="24"/>
        </w:rPr>
        <w:t>no</w:t>
      </w:r>
      <w:r w:rsidRPr="009739B2">
        <w:rPr>
          <w:szCs w:val="24"/>
        </w:rPr>
        <w:tab/>
      </w:r>
      <w:r w:rsidRPr="009739B2">
        <w:rPr>
          <w:spacing w:val="-2"/>
          <w:szCs w:val="24"/>
        </w:rPr>
        <w:t>Granger</w:t>
      </w:r>
      <w:r w:rsidRPr="009739B2">
        <w:rPr>
          <w:szCs w:val="24"/>
        </w:rPr>
        <w:tab/>
      </w:r>
      <w:r w:rsidRPr="009739B2">
        <w:rPr>
          <w:spacing w:val="-2"/>
          <w:szCs w:val="24"/>
        </w:rPr>
        <w:t xml:space="preserve">Causality </w:t>
      </w:r>
      <w:r w:rsidRPr="009739B2">
        <w:rPr>
          <w:i/>
          <w:szCs w:val="24"/>
        </w:rPr>
        <w:t>H</w:t>
      </w:r>
      <w:r w:rsidRPr="009739B2">
        <w:rPr>
          <w:position w:val="-5"/>
          <w:szCs w:val="24"/>
        </w:rPr>
        <w:t>0</w:t>
      </w:r>
      <w:r w:rsidRPr="009739B2">
        <w:rPr>
          <w:szCs w:val="24"/>
        </w:rPr>
        <w:t xml:space="preserve">: </w:t>
      </w:r>
      <w:r w:rsidRPr="009739B2">
        <w:rPr>
          <w:i/>
          <w:szCs w:val="24"/>
        </w:rPr>
        <w:t>b</w:t>
      </w:r>
      <w:r w:rsidRPr="009739B2">
        <w:rPr>
          <w:i/>
          <w:position w:val="-5"/>
          <w:szCs w:val="24"/>
        </w:rPr>
        <w:t>i</w:t>
      </w:r>
      <w:r w:rsidRPr="009739B2">
        <w:rPr>
          <w:position w:val="-5"/>
          <w:szCs w:val="24"/>
        </w:rPr>
        <w:t xml:space="preserve">1 </w:t>
      </w:r>
      <w:r w:rsidRPr="009739B2">
        <w:rPr>
          <w:rFonts w:ascii="Symbol" w:hAnsi="Symbol"/>
          <w:szCs w:val="24"/>
        </w:rPr>
        <w:sym w:font="Symbol" w:char="F03D"/>
      </w:r>
      <w:r w:rsidRPr="009739B2">
        <w:rPr>
          <w:rFonts w:ascii="Symbol" w:hAnsi="Symbol"/>
          <w:szCs w:val="24"/>
        </w:rPr>
        <w:sym w:font="Symbol" w:char="F020"/>
      </w:r>
      <w:r w:rsidRPr="009739B2">
        <w:rPr>
          <w:i/>
          <w:szCs w:val="24"/>
        </w:rPr>
        <w:t>b</w:t>
      </w:r>
      <w:r w:rsidRPr="009739B2">
        <w:rPr>
          <w:i/>
          <w:position w:val="-5"/>
          <w:szCs w:val="24"/>
        </w:rPr>
        <w:t>i</w:t>
      </w:r>
      <w:r w:rsidRPr="009739B2">
        <w:rPr>
          <w:position w:val="-5"/>
          <w:szCs w:val="24"/>
        </w:rPr>
        <w:t xml:space="preserve">2 </w:t>
      </w:r>
      <w:r w:rsidRPr="009739B2">
        <w:rPr>
          <w:rFonts w:ascii="Symbol" w:hAnsi="Symbol"/>
          <w:szCs w:val="24"/>
        </w:rPr>
        <w:sym w:font="Symbol" w:char="F03D"/>
      </w:r>
      <w:r w:rsidRPr="009739B2">
        <w:rPr>
          <w:rFonts w:ascii="Lucida Sans Unicode" w:hAnsi="Lucida Sans Unicode"/>
          <w:szCs w:val="24"/>
        </w:rPr>
        <w:t>⋯</w:t>
      </w:r>
      <w:r w:rsidRPr="009739B2">
        <w:rPr>
          <w:rFonts w:ascii="Symbol" w:hAnsi="Symbol"/>
          <w:szCs w:val="24"/>
        </w:rPr>
        <w:sym w:font="Symbol" w:char="F03D"/>
      </w:r>
      <w:r w:rsidRPr="009739B2">
        <w:rPr>
          <w:i/>
          <w:szCs w:val="24"/>
        </w:rPr>
        <w:t>b</w:t>
      </w:r>
      <w:proofErr w:type="spellStart"/>
      <w:r w:rsidRPr="009739B2">
        <w:rPr>
          <w:i/>
          <w:position w:val="-5"/>
          <w:szCs w:val="24"/>
        </w:rPr>
        <w:t>ik</w:t>
      </w:r>
      <w:proofErr w:type="spellEnd"/>
      <w:r w:rsidRPr="009739B2">
        <w:rPr>
          <w:rFonts w:ascii="Symbol" w:hAnsi="Symbol"/>
          <w:szCs w:val="24"/>
        </w:rPr>
        <w:sym w:font="Symbol" w:char="F03D"/>
      </w:r>
      <w:proofErr w:type="gramStart"/>
      <w:r w:rsidRPr="009739B2">
        <w:rPr>
          <w:szCs w:val="24"/>
        </w:rPr>
        <w:t>0,</w:t>
      </w:r>
      <w:r w:rsidRPr="009739B2">
        <w:rPr>
          <w:i/>
          <w:szCs w:val="24"/>
        </w:rPr>
        <w:t>i</w:t>
      </w:r>
      <w:proofErr w:type="gramEnd"/>
      <w:r w:rsidRPr="009739B2">
        <w:rPr>
          <w:rFonts w:ascii="Symbol" w:hAnsi="Symbol"/>
          <w:szCs w:val="24"/>
        </w:rPr>
        <w:sym w:font="Symbol" w:char="F03D"/>
      </w:r>
      <w:r w:rsidRPr="009739B2">
        <w:rPr>
          <w:szCs w:val="24"/>
        </w:rPr>
        <w:t>1,2.H</w:t>
      </w:r>
      <w:r w:rsidRPr="009739B2">
        <w:rPr>
          <w:szCs w:val="24"/>
          <w:vertAlign w:val="subscript"/>
        </w:rPr>
        <w:t>o</w:t>
      </w:r>
      <w:r w:rsidRPr="009739B2">
        <w:rPr>
          <w:szCs w:val="24"/>
        </w:rPr>
        <w:t>: b</w:t>
      </w:r>
      <w:r w:rsidRPr="009739B2">
        <w:rPr>
          <w:szCs w:val="24"/>
          <w:vertAlign w:val="subscript"/>
        </w:rPr>
        <w:t>i1</w:t>
      </w:r>
      <w:r w:rsidRPr="009739B2">
        <w:rPr>
          <w:szCs w:val="24"/>
        </w:rPr>
        <w:t>=b</w:t>
      </w:r>
      <w:r w:rsidRPr="009739B2">
        <w:rPr>
          <w:szCs w:val="24"/>
          <w:vertAlign w:val="subscript"/>
        </w:rPr>
        <w:t>i2</w:t>
      </w:r>
      <w:r w:rsidRPr="009739B2">
        <w:rPr>
          <w:szCs w:val="24"/>
        </w:rPr>
        <w:t>=</w:t>
      </w:r>
      <w:proofErr w:type="spellStart"/>
      <w:r w:rsidRPr="009739B2">
        <w:rPr>
          <w:szCs w:val="24"/>
        </w:rPr>
        <w:t>b</w:t>
      </w:r>
      <w:r w:rsidRPr="009739B2">
        <w:rPr>
          <w:szCs w:val="24"/>
          <w:vertAlign w:val="subscript"/>
        </w:rPr>
        <w:t>ik</w:t>
      </w:r>
      <w:proofErr w:type="spellEnd"/>
      <w:r w:rsidRPr="009739B2">
        <w:rPr>
          <w:szCs w:val="24"/>
        </w:rPr>
        <w:t xml:space="preserve">=0, </w:t>
      </w:r>
      <w:proofErr w:type="spellStart"/>
      <w:r w:rsidRPr="009739B2">
        <w:rPr>
          <w:szCs w:val="24"/>
        </w:rPr>
        <w:t>i</w:t>
      </w:r>
      <w:proofErr w:type="spellEnd"/>
      <w:r w:rsidRPr="009739B2">
        <w:rPr>
          <w:szCs w:val="24"/>
        </w:rPr>
        <w:t>=1,2,theF</w:t>
      </w:r>
      <w:r w:rsidRPr="009739B2">
        <w:rPr>
          <w:spacing w:val="-2"/>
          <w:szCs w:val="24"/>
        </w:rPr>
        <w:t xml:space="preserve">statistic </w:t>
      </w:r>
      <w:r w:rsidRPr="009739B2">
        <w:rPr>
          <w:szCs w:val="24"/>
        </w:rPr>
        <w:t xml:space="preserve">is the Wald statistic for the null hypothesis. If the F statistic is greater than a certain critical value for an F distribution, then we reject the null hypothesis that Y does not Granger-cause X (equation (1), which means Y Granger-causes X. </w:t>
      </w:r>
    </w:p>
    <w:p w:rsidR="0028468C" w:rsidRPr="007D301A" w:rsidRDefault="0028468C" w:rsidP="00596177">
      <w:pPr>
        <w:pStyle w:val="BodyText"/>
        <w:tabs>
          <w:tab w:val="left" w:pos="600"/>
          <w:tab w:val="left" w:pos="1303"/>
          <w:tab w:val="left" w:pos="1651"/>
          <w:tab w:val="left" w:pos="2463"/>
          <w:tab w:val="left" w:pos="2945"/>
          <w:tab w:val="left" w:pos="3402"/>
          <w:tab w:val="left" w:pos="3871"/>
          <w:tab w:val="left" w:pos="4415"/>
          <w:tab w:val="left" w:pos="5556"/>
          <w:tab w:val="left" w:pos="5941"/>
          <w:tab w:val="left" w:pos="6362"/>
          <w:tab w:val="left" w:pos="7284"/>
        </w:tabs>
        <w:spacing w:line="360" w:lineRule="auto"/>
        <w:jc w:val="both"/>
        <w:rPr>
          <w:szCs w:val="24"/>
        </w:rPr>
      </w:pPr>
    </w:p>
    <w:p w:rsidR="00D54124" w:rsidRPr="007D301A" w:rsidRDefault="007D361F" w:rsidP="00596177">
      <w:pPr>
        <w:spacing w:line="360" w:lineRule="auto"/>
        <w:jc w:val="both"/>
        <w:rPr>
          <w:rFonts w:cs="Times New Roman"/>
          <w:b/>
          <w:szCs w:val="24"/>
        </w:rPr>
      </w:pPr>
      <w:r w:rsidRPr="007D301A">
        <w:rPr>
          <w:rFonts w:cs="Times New Roman"/>
          <w:b/>
          <w:szCs w:val="24"/>
        </w:rPr>
        <w:t xml:space="preserve">4. Results and Discussion  </w:t>
      </w:r>
    </w:p>
    <w:p w:rsidR="000E04B3" w:rsidRDefault="007D361F" w:rsidP="00596177">
      <w:pPr>
        <w:autoSpaceDE w:val="0"/>
        <w:autoSpaceDN w:val="0"/>
        <w:adjustRightInd w:val="0"/>
        <w:spacing w:after="0" w:line="360" w:lineRule="auto"/>
        <w:jc w:val="both"/>
        <w:rPr>
          <w:rFonts w:cs="Times New Roman"/>
          <w:szCs w:val="24"/>
        </w:rPr>
      </w:pPr>
      <w:r w:rsidRPr="007D301A">
        <w:rPr>
          <w:rFonts w:cs="Times New Roman"/>
          <w:szCs w:val="24"/>
        </w:rPr>
        <w:t xml:space="preserve">The present study employs data that consists of annual observations spanning </w:t>
      </w:r>
      <w:proofErr w:type="spellStart"/>
      <w:r w:rsidRPr="007D301A">
        <w:rPr>
          <w:rFonts w:cs="Times New Roman"/>
          <w:szCs w:val="24"/>
        </w:rPr>
        <w:t>the</w:t>
      </w:r>
      <w:r w:rsidR="00926A5B" w:rsidRPr="007D301A">
        <w:rPr>
          <w:rFonts w:cs="Times New Roman"/>
          <w:szCs w:val="24"/>
        </w:rPr>
        <w:t>period</w:t>
      </w:r>
      <w:proofErr w:type="spellEnd"/>
      <w:r w:rsidR="00926A5B" w:rsidRPr="007D301A">
        <w:rPr>
          <w:rFonts w:cs="Times New Roman"/>
          <w:szCs w:val="24"/>
        </w:rPr>
        <w:t xml:space="preserve"> between 1960</w:t>
      </w:r>
      <w:r w:rsidRPr="007D301A">
        <w:rPr>
          <w:rFonts w:cs="Times New Roman"/>
          <w:szCs w:val="24"/>
        </w:rPr>
        <w:t xml:space="preserve"> and </w:t>
      </w:r>
      <w:r w:rsidR="00926A5B" w:rsidRPr="007D301A">
        <w:rPr>
          <w:rFonts w:cs="Times New Roman"/>
          <w:szCs w:val="24"/>
        </w:rPr>
        <w:t>2024</w:t>
      </w:r>
      <w:r w:rsidRPr="007D301A">
        <w:rPr>
          <w:rFonts w:cs="Times New Roman"/>
          <w:szCs w:val="24"/>
        </w:rPr>
        <w:t>. All data are obtained from the World Bank</w:t>
      </w:r>
      <w:r w:rsidR="00242F88" w:rsidRPr="007D301A">
        <w:rPr>
          <w:rFonts w:cs="Times New Roman"/>
          <w:szCs w:val="24"/>
        </w:rPr>
        <w:t>’s</w:t>
      </w:r>
      <w:r w:rsidRPr="007D301A">
        <w:rPr>
          <w:rFonts w:cs="Times New Roman"/>
          <w:szCs w:val="24"/>
        </w:rPr>
        <w:t xml:space="preserve"> WDI database and are transformed into logarithmic returns in order to achieve mean-reverting relationships and to make econometric testing procedures valid. </w:t>
      </w:r>
      <w:r w:rsidR="00926A5B" w:rsidRPr="007D301A">
        <w:rPr>
          <w:rFonts w:cs="Times New Roman"/>
          <w:szCs w:val="24"/>
        </w:rPr>
        <w:t xml:space="preserve">Credit uptake is the domestic credit to the private sector as a percentage of GDP, and saving rates are proxied by gross domestic savings as a percentage of GDP. </w:t>
      </w:r>
      <w:r w:rsidRPr="007D301A">
        <w:rPr>
          <w:rFonts w:cs="Times New Roman"/>
          <w:szCs w:val="24"/>
        </w:rPr>
        <w:t xml:space="preserve">Data are in constant U.S. dollars. </w:t>
      </w:r>
      <w:r w:rsidR="00EF274B" w:rsidRPr="007D301A">
        <w:rPr>
          <w:rFonts w:cs="Times New Roman"/>
          <w:szCs w:val="24"/>
        </w:rPr>
        <w:t>Pa</w:t>
      </w:r>
      <w:r w:rsidR="000A239C">
        <w:rPr>
          <w:rFonts w:cs="Times New Roman"/>
          <w:szCs w:val="24"/>
        </w:rPr>
        <w:t>i</w:t>
      </w:r>
      <w:r w:rsidR="00EF274B" w:rsidRPr="007D301A">
        <w:rPr>
          <w:rFonts w:cs="Times New Roman"/>
          <w:szCs w:val="24"/>
        </w:rPr>
        <w:t xml:space="preserve">rwise correlation results show a negative and significant relationship. This implies that at </w:t>
      </w:r>
      <w:r w:rsidR="00EF274B" w:rsidRPr="007D301A">
        <w:rPr>
          <w:rFonts w:eastAsia="Times New Roman" w:cs="Times New Roman"/>
          <w:szCs w:val="24"/>
          <w:lang w:eastAsia="en-GB"/>
        </w:rPr>
        <w:t xml:space="preserve">the household level, increased access to credit has been found to hurt the household savings rate in some cases, as families use borrowing to finance consumption rather than saving more. </w:t>
      </w:r>
      <w:r w:rsidR="00242F88" w:rsidRPr="007D301A">
        <w:rPr>
          <w:rFonts w:cs="Times New Roman"/>
          <w:szCs w:val="24"/>
        </w:rPr>
        <w:t>Table 3</w:t>
      </w:r>
      <w:r w:rsidRPr="007D301A">
        <w:rPr>
          <w:rFonts w:cs="Times New Roman"/>
          <w:szCs w:val="24"/>
        </w:rPr>
        <w:t xml:space="preserve"> shows the descriptive statistics.</w:t>
      </w:r>
    </w:p>
    <w:p w:rsidR="000A239C" w:rsidRDefault="000A239C" w:rsidP="00596177">
      <w:pPr>
        <w:autoSpaceDE w:val="0"/>
        <w:autoSpaceDN w:val="0"/>
        <w:adjustRightInd w:val="0"/>
        <w:spacing w:after="0" w:line="360" w:lineRule="auto"/>
        <w:jc w:val="both"/>
        <w:rPr>
          <w:rFonts w:cs="Times New Roman"/>
          <w:szCs w:val="24"/>
        </w:rPr>
      </w:pPr>
    </w:p>
    <w:p w:rsidR="000A239C" w:rsidRPr="007D301A" w:rsidRDefault="000A239C" w:rsidP="00596177">
      <w:pPr>
        <w:autoSpaceDE w:val="0"/>
        <w:autoSpaceDN w:val="0"/>
        <w:adjustRightInd w:val="0"/>
        <w:spacing w:after="0" w:line="360" w:lineRule="auto"/>
        <w:jc w:val="both"/>
        <w:rPr>
          <w:rFonts w:eastAsia="Times New Roman" w:cs="Times New Roman"/>
          <w:szCs w:val="24"/>
          <w:lang w:eastAsia="en-GB"/>
        </w:rPr>
      </w:pPr>
    </w:p>
    <w:p w:rsidR="00E95584" w:rsidRPr="007D301A" w:rsidRDefault="00E95584" w:rsidP="00596177">
      <w:pPr>
        <w:autoSpaceDE w:val="0"/>
        <w:autoSpaceDN w:val="0"/>
        <w:adjustRightInd w:val="0"/>
        <w:spacing w:after="0" w:line="360" w:lineRule="auto"/>
        <w:jc w:val="both"/>
        <w:rPr>
          <w:rFonts w:cs="Times New Roman"/>
          <w:b/>
          <w:szCs w:val="24"/>
        </w:rPr>
      </w:pPr>
    </w:p>
    <w:p w:rsidR="00DF4314" w:rsidRPr="007D301A" w:rsidRDefault="007D361F" w:rsidP="00596177">
      <w:pPr>
        <w:autoSpaceDE w:val="0"/>
        <w:autoSpaceDN w:val="0"/>
        <w:adjustRightInd w:val="0"/>
        <w:spacing w:after="0" w:line="360" w:lineRule="auto"/>
        <w:jc w:val="both"/>
        <w:rPr>
          <w:rFonts w:cs="Times New Roman"/>
          <w:b/>
          <w:szCs w:val="24"/>
        </w:rPr>
      </w:pPr>
      <w:r w:rsidRPr="007D301A">
        <w:rPr>
          <w:rFonts w:cs="Times New Roman"/>
          <w:b/>
          <w:szCs w:val="24"/>
        </w:rPr>
        <w:lastRenderedPageBreak/>
        <w:t>Table 3</w:t>
      </w:r>
      <w:r w:rsidR="00926A5B" w:rsidRPr="007D301A">
        <w:rPr>
          <w:rFonts w:cs="Times New Roman"/>
          <w:b/>
          <w:szCs w:val="24"/>
        </w:rPr>
        <w:t xml:space="preserve">: </w:t>
      </w:r>
      <w:r w:rsidR="00D522B1" w:rsidRPr="007D301A">
        <w:rPr>
          <w:rFonts w:cs="Times New Roman"/>
          <w:b/>
          <w:szCs w:val="24"/>
        </w:rPr>
        <w:t>Summary</w:t>
      </w:r>
      <w:r w:rsidR="00926A5B" w:rsidRPr="007D301A">
        <w:rPr>
          <w:rFonts w:cs="Times New Roman"/>
          <w:b/>
          <w:szCs w:val="24"/>
        </w:rPr>
        <w:t xml:space="preserve"> Statistics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75"/>
        <w:gridCol w:w="2882"/>
        <w:gridCol w:w="2879"/>
      </w:tblGrid>
      <w:tr w:rsidR="00857F00" w:rsidTr="00DF4314">
        <w:trPr>
          <w:trHeight w:val="225"/>
        </w:trPr>
        <w:tc>
          <w:tcPr>
            <w:tcW w:w="1812" w:type="pct"/>
            <w:vAlign w:val="bottom"/>
          </w:tcPr>
          <w:p w:rsidR="00DF4314" w:rsidRPr="007D301A" w:rsidRDefault="007D361F" w:rsidP="00596177">
            <w:pPr>
              <w:autoSpaceDE w:val="0"/>
              <w:autoSpaceDN w:val="0"/>
              <w:adjustRightInd w:val="0"/>
              <w:spacing w:after="0" w:line="240" w:lineRule="auto"/>
              <w:jc w:val="both"/>
              <w:rPr>
                <w:rFonts w:cs="Times New Roman"/>
                <w:b/>
                <w:szCs w:val="24"/>
              </w:rPr>
            </w:pPr>
            <w:r w:rsidRPr="007D301A">
              <w:rPr>
                <w:rFonts w:cs="Times New Roman"/>
                <w:b/>
                <w:szCs w:val="24"/>
              </w:rPr>
              <w:t xml:space="preserve">Statistics </w:t>
            </w:r>
          </w:p>
        </w:tc>
        <w:tc>
          <w:tcPr>
            <w:tcW w:w="1595" w:type="pct"/>
            <w:vAlign w:val="bottom"/>
          </w:tcPr>
          <w:p w:rsidR="00DF4314" w:rsidRPr="007D301A" w:rsidRDefault="007D361F" w:rsidP="00596177">
            <w:pPr>
              <w:autoSpaceDE w:val="0"/>
              <w:autoSpaceDN w:val="0"/>
              <w:adjustRightInd w:val="0"/>
              <w:spacing w:after="0" w:line="240" w:lineRule="auto"/>
              <w:jc w:val="both"/>
              <w:rPr>
                <w:rFonts w:cs="Times New Roman"/>
                <w:b/>
                <w:szCs w:val="24"/>
              </w:rPr>
            </w:pPr>
            <w:r w:rsidRPr="007D301A">
              <w:rPr>
                <w:rFonts w:cs="Times New Roman"/>
                <w:b/>
                <w:szCs w:val="24"/>
              </w:rPr>
              <w:t>Credit uptake</w:t>
            </w:r>
          </w:p>
        </w:tc>
        <w:tc>
          <w:tcPr>
            <w:tcW w:w="1593" w:type="pct"/>
            <w:vAlign w:val="bottom"/>
          </w:tcPr>
          <w:p w:rsidR="00DF4314" w:rsidRPr="007D301A" w:rsidRDefault="007D361F" w:rsidP="00596177">
            <w:pPr>
              <w:autoSpaceDE w:val="0"/>
              <w:autoSpaceDN w:val="0"/>
              <w:adjustRightInd w:val="0"/>
              <w:spacing w:after="0" w:line="240" w:lineRule="auto"/>
              <w:jc w:val="both"/>
              <w:rPr>
                <w:rFonts w:cs="Times New Roman"/>
                <w:b/>
                <w:szCs w:val="24"/>
              </w:rPr>
            </w:pPr>
            <w:r w:rsidRPr="007D301A">
              <w:rPr>
                <w:rFonts w:cs="Times New Roman"/>
                <w:b/>
                <w:szCs w:val="24"/>
              </w:rPr>
              <w:t>Savings rate</w:t>
            </w:r>
          </w:p>
        </w:tc>
      </w:tr>
      <w:tr w:rsidR="00857F00" w:rsidTr="00DF4314">
        <w:trPr>
          <w:trHeight w:val="225"/>
        </w:trPr>
        <w:tc>
          <w:tcPr>
            <w:tcW w:w="1812"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Mean</w:t>
            </w:r>
          </w:p>
        </w:tc>
        <w:tc>
          <w:tcPr>
            <w:tcW w:w="1595"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22.1894</w:t>
            </w:r>
          </w:p>
        </w:tc>
        <w:tc>
          <w:tcPr>
            <w:tcW w:w="1593"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14.9025</w:t>
            </w:r>
          </w:p>
        </w:tc>
      </w:tr>
      <w:tr w:rsidR="00857F00" w:rsidTr="00DF4314">
        <w:trPr>
          <w:trHeight w:val="225"/>
        </w:trPr>
        <w:tc>
          <w:tcPr>
            <w:tcW w:w="1812"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Median</w:t>
            </w:r>
          </w:p>
        </w:tc>
        <w:tc>
          <w:tcPr>
            <w:tcW w:w="1595"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21.6816</w:t>
            </w:r>
          </w:p>
        </w:tc>
        <w:tc>
          <w:tcPr>
            <w:tcW w:w="1593"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15.8953</w:t>
            </w:r>
          </w:p>
        </w:tc>
      </w:tr>
      <w:tr w:rsidR="00857F00" w:rsidTr="00DF4314">
        <w:trPr>
          <w:trHeight w:val="225"/>
        </w:trPr>
        <w:tc>
          <w:tcPr>
            <w:tcW w:w="1812"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Maximum</w:t>
            </w:r>
          </w:p>
        </w:tc>
        <w:tc>
          <w:tcPr>
            <w:tcW w:w="1595"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36.6993</w:t>
            </w:r>
          </w:p>
        </w:tc>
        <w:tc>
          <w:tcPr>
            <w:tcW w:w="1593"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27.1466</w:t>
            </w:r>
          </w:p>
        </w:tc>
      </w:tr>
      <w:tr w:rsidR="00857F00" w:rsidTr="00DF4314">
        <w:trPr>
          <w:trHeight w:val="225"/>
        </w:trPr>
        <w:tc>
          <w:tcPr>
            <w:tcW w:w="1812"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Minimum</w:t>
            </w:r>
          </w:p>
        </w:tc>
        <w:tc>
          <w:tcPr>
            <w:tcW w:w="1595"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11.8049</w:t>
            </w:r>
          </w:p>
        </w:tc>
        <w:tc>
          <w:tcPr>
            <w:tcW w:w="1593"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4.3075</w:t>
            </w:r>
          </w:p>
        </w:tc>
      </w:tr>
      <w:tr w:rsidR="00857F00" w:rsidTr="00DF4314">
        <w:trPr>
          <w:trHeight w:val="225"/>
        </w:trPr>
        <w:tc>
          <w:tcPr>
            <w:tcW w:w="1812"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Std. Dev.</w:t>
            </w:r>
          </w:p>
        </w:tc>
        <w:tc>
          <w:tcPr>
            <w:tcW w:w="1595"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6.4569</w:t>
            </w:r>
          </w:p>
        </w:tc>
        <w:tc>
          <w:tcPr>
            <w:tcW w:w="1593"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5.6372</w:t>
            </w:r>
          </w:p>
        </w:tc>
      </w:tr>
      <w:tr w:rsidR="00857F00" w:rsidTr="00DF4314">
        <w:trPr>
          <w:trHeight w:val="225"/>
        </w:trPr>
        <w:tc>
          <w:tcPr>
            <w:tcW w:w="1812"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Skewness</w:t>
            </w:r>
          </w:p>
        </w:tc>
        <w:tc>
          <w:tcPr>
            <w:tcW w:w="1595"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0.3358</w:t>
            </w:r>
          </w:p>
        </w:tc>
        <w:tc>
          <w:tcPr>
            <w:tcW w:w="1593"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-0.0827</w:t>
            </w:r>
          </w:p>
        </w:tc>
      </w:tr>
      <w:tr w:rsidR="00857F00" w:rsidTr="00DF4314">
        <w:trPr>
          <w:trHeight w:val="225"/>
        </w:trPr>
        <w:tc>
          <w:tcPr>
            <w:tcW w:w="1812"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Kurtosis</w:t>
            </w:r>
          </w:p>
        </w:tc>
        <w:tc>
          <w:tcPr>
            <w:tcW w:w="1595"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2.3122</w:t>
            </w:r>
          </w:p>
        </w:tc>
        <w:tc>
          <w:tcPr>
            <w:tcW w:w="1593"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2.1123</w:t>
            </w:r>
          </w:p>
        </w:tc>
      </w:tr>
      <w:tr w:rsidR="00857F00" w:rsidTr="00DF4314">
        <w:trPr>
          <w:trHeight w:val="225"/>
        </w:trPr>
        <w:tc>
          <w:tcPr>
            <w:tcW w:w="1812"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w:t>
            </w:r>
            <w:proofErr w:type="spellStart"/>
            <w:r w:rsidRPr="007D301A">
              <w:rPr>
                <w:rFonts w:cs="Times New Roman"/>
                <w:szCs w:val="24"/>
              </w:rPr>
              <w:t>Jarque-Bera</w:t>
            </w:r>
            <w:proofErr w:type="spellEnd"/>
          </w:p>
        </w:tc>
        <w:tc>
          <w:tcPr>
            <w:tcW w:w="1595"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2.5027</w:t>
            </w:r>
          </w:p>
        </w:tc>
        <w:tc>
          <w:tcPr>
            <w:tcW w:w="1593"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2.2079</w:t>
            </w:r>
          </w:p>
        </w:tc>
      </w:tr>
      <w:tr w:rsidR="00857F00" w:rsidTr="00DF4314">
        <w:trPr>
          <w:trHeight w:val="225"/>
        </w:trPr>
        <w:tc>
          <w:tcPr>
            <w:tcW w:w="1812"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Probability</w:t>
            </w:r>
          </w:p>
        </w:tc>
        <w:tc>
          <w:tcPr>
            <w:tcW w:w="1595"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0.2861</w:t>
            </w:r>
          </w:p>
        </w:tc>
        <w:tc>
          <w:tcPr>
            <w:tcW w:w="1593"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0.3315</w:t>
            </w:r>
          </w:p>
        </w:tc>
      </w:tr>
      <w:tr w:rsidR="00857F00" w:rsidTr="00DF4314">
        <w:trPr>
          <w:trHeight w:val="225"/>
        </w:trPr>
        <w:tc>
          <w:tcPr>
            <w:tcW w:w="1812" w:type="pct"/>
            <w:vAlign w:val="bottom"/>
          </w:tcPr>
          <w:p w:rsidR="001E76B2"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xml:space="preserve">Correlation </w:t>
            </w:r>
          </w:p>
        </w:tc>
        <w:tc>
          <w:tcPr>
            <w:tcW w:w="1595" w:type="pct"/>
            <w:vAlign w:val="bottom"/>
          </w:tcPr>
          <w:p w:rsidR="001E76B2"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-0</w:t>
            </w:r>
            <w:r w:rsidR="000114B7" w:rsidRPr="007D301A">
              <w:rPr>
                <w:rFonts w:cs="Times New Roman"/>
                <w:szCs w:val="24"/>
              </w:rPr>
              <w:t>.</w:t>
            </w:r>
            <w:r w:rsidRPr="007D301A">
              <w:rPr>
                <w:rFonts w:cs="Times New Roman"/>
                <w:szCs w:val="24"/>
              </w:rPr>
              <w:t>6333</w:t>
            </w:r>
          </w:p>
        </w:tc>
        <w:tc>
          <w:tcPr>
            <w:tcW w:w="1593" w:type="pct"/>
            <w:vAlign w:val="bottom"/>
          </w:tcPr>
          <w:p w:rsidR="001E76B2"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-0</w:t>
            </w:r>
            <w:r w:rsidR="000114B7" w:rsidRPr="007D301A">
              <w:rPr>
                <w:rFonts w:cs="Times New Roman"/>
                <w:szCs w:val="24"/>
              </w:rPr>
              <w:t>.</w:t>
            </w:r>
            <w:r w:rsidRPr="007D301A">
              <w:rPr>
                <w:rFonts w:cs="Times New Roman"/>
                <w:szCs w:val="24"/>
              </w:rPr>
              <w:t>6333</w:t>
            </w:r>
          </w:p>
        </w:tc>
      </w:tr>
      <w:tr w:rsidR="00857F00" w:rsidTr="00DF4314">
        <w:trPr>
          <w:trHeight w:val="225"/>
        </w:trPr>
        <w:tc>
          <w:tcPr>
            <w:tcW w:w="1812" w:type="pct"/>
            <w:vAlign w:val="bottom"/>
          </w:tcPr>
          <w:p w:rsidR="001E76B2"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Probability</w:t>
            </w:r>
          </w:p>
        </w:tc>
        <w:tc>
          <w:tcPr>
            <w:tcW w:w="1595" w:type="pct"/>
            <w:vAlign w:val="bottom"/>
          </w:tcPr>
          <w:p w:rsidR="001E76B2"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0.0000</w:t>
            </w:r>
          </w:p>
        </w:tc>
        <w:tc>
          <w:tcPr>
            <w:tcW w:w="1593" w:type="pct"/>
            <w:vAlign w:val="bottom"/>
          </w:tcPr>
          <w:p w:rsidR="001E76B2"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0.0000</w:t>
            </w:r>
          </w:p>
        </w:tc>
      </w:tr>
      <w:tr w:rsidR="00857F00" w:rsidTr="00DF4314">
        <w:trPr>
          <w:trHeight w:val="225"/>
        </w:trPr>
        <w:tc>
          <w:tcPr>
            <w:tcW w:w="1812"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Sum</w:t>
            </w:r>
          </w:p>
        </w:tc>
        <w:tc>
          <w:tcPr>
            <w:tcW w:w="1595"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1442.314</w:t>
            </w:r>
          </w:p>
        </w:tc>
        <w:tc>
          <w:tcPr>
            <w:tcW w:w="1593"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968.6658</w:t>
            </w:r>
          </w:p>
        </w:tc>
      </w:tr>
      <w:tr w:rsidR="00857F00" w:rsidTr="00DF4314">
        <w:trPr>
          <w:trHeight w:val="225"/>
        </w:trPr>
        <w:tc>
          <w:tcPr>
            <w:tcW w:w="1812"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Sum Sq. Dev.</w:t>
            </w:r>
          </w:p>
        </w:tc>
        <w:tc>
          <w:tcPr>
            <w:tcW w:w="1595"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2668.277</w:t>
            </w:r>
          </w:p>
        </w:tc>
        <w:tc>
          <w:tcPr>
            <w:tcW w:w="1593"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2033.803</w:t>
            </w:r>
          </w:p>
        </w:tc>
      </w:tr>
      <w:tr w:rsidR="00857F00" w:rsidTr="00DF4314">
        <w:trPr>
          <w:trHeight w:val="225"/>
        </w:trPr>
        <w:tc>
          <w:tcPr>
            <w:tcW w:w="1812"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Observations</w:t>
            </w:r>
          </w:p>
        </w:tc>
        <w:tc>
          <w:tcPr>
            <w:tcW w:w="1595"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65</w:t>
            </w:r>
          </w:p>
        </w:tc>
        <w:tc>
          <w:tcPr>
            <w:tcW w:w="1593" w:type="pct"/>
            <w:vAlign w:val="bottom"/>
          </w:tcPr>
          <w:p w:rsidR="00DF4314" w:rsidRPr="007D301A" w:rsidRDefault="007D361F" w:rsidP="00596177">
            <w:pPr>
              <w:autoSpaceDE w:val="0"/>
              <w:autoSpaceDN w:val="0"/>
              <w:adjustRightInd w:val="0"/>
              <w:spacing w:after="0" w:line="240" w:lineRule="auto"/>
              <w:jc w:val="both"/>
              <w:rPr>
                <w:rFonts w:cs="Times New Roman"/>
                <w:szCs w:val="24"/>
              </w:rPr>
            </w:pPr>
            <w:r w:rsidRPr="007D301A">
              <w:rPr>
                <w:rFonts w:cs="Times New Roman"/>
                <w:szCs w:val="24"/>
              </w:rPr>
              <w:t> 65</w:t>
            </w:r>
          </w:p>
        </w:tc>
      </w:tr>
    </w:tbl>
    <w:p w:rsidR="00E95584" w:rsidRPr="007D301A" w:rsidRDefault="00E95584" w:rsidP="00596177">
      <w:pPr>
        <w:autoSpaceDE w:val="0"/>
        <w:autoSpaceDN w:val="0"/>
        <w:adjustRightInd w:val="0"/>
        <w:spacing w:after="0" w:line="360" w:lineRule="auto"/>
        <w:jc w:val="both"/>
        <w:rPr>
          <w:rFonts w:cs="Times New Roman"/>
          <w:szCs w:val="24"/>
        </w:rPr>
      </w:pPr>
    </w:p>
    <w:p w:rsidR="00EA1F42" w:rsidRPr="007D301A" w:rsidRDefault="007D361F" w:rsidP="00596177">
      <w:pPr>
        <w:spacing w:line="360" w:lineRule="auto"/>
        <w:jc w:val="both"/>
        <w:rPr>
          <w:rFonts w:cs="Times New Roman"/>
          <w:szCs w:val="24"/>
        </w:rPr>
      </w:pPr>
      <w:r w:rsidRPr="007D301A">
        <w:rPr>
          <w:rFonts w:cs="Times New Roman"/>
          <w:szCs w:val="24"/>
        </w:rPr>
        <w:t>The average value of the credit uptake</w:t>
      </w:r>
      <w:r w:rsidR="00692C32" w:rsidRPr="007D301A">
        <w:rPr>
          <w:rFonts w:cs="Times New Roman"/>
          <w:szCs w:val="24"/>
        </w:rPr>
        <w:t xml:space="preserve"> (borrowing)</w:t>
      </w:r>
      <w:r w:rsidRPr="007D301A">
        <w:rPr>
          <w:rFonts w:cs="Times New Roman"/>
          <w:szCs w:val="24"/>
        </w:rPr>
        <w:t xml:space="preserve"> is</w:t>
      </w:r>
      <w:r w:rsidR="0077210F" w:rsidRPr="007D301A">
        <w:rPr>
          <w:rFonts w:cs="Times New Roman"/>
          <w:szCs w:val="24"/>
        </w:rPr>
        <w:t xml:space="preserve"> 21.7</w:t>
      </w:r>
      <w:r w:rsidRPr="007D301A">
        <w:rPr>
          <w:rFonts w:cs="Times New Roman"/>
          <w:szCs w:val="24"/>
        </w:rPr>
        <w:t xml:space="preserve"> % units, while for savings are 15</w:t>
      </w:r>
      <w:r w:rsidR="0077210F" w:rsidRPr="007D301A">
        <w:rPr>
          <w:rFonts w:cs="Times New Roman"/>
          <w:szCs w:val="24"/>
        </w:rPr>
        <w:t>.9</w:t>
      </w:r>
      <w:r w:rsidRPr="007D301A">
        <w:rPr>
          <w:rFonts w:cs="Times New Roman"/>
          <w:szCs w:val="24"/>
        </w:rPr>
        <w:t xml:space="preserve"> %. Generally, the uptake of credit rose much faster compared to the savings rates</w:t>
      </w:r>
      <w:r w:rsidR="00692C32" w:rsidRPr="007D301A">
        <w:rPr>
          <w:rFonts w:cs="Times New Roman"/>
          <w:szCs w:val="24"/>
        </w:rPr>
        <w:t xml:space="preserve"> in Kenya</w:t>
      </w:r>
      <w:r w:rsidRPr="007D301A">
        <w:rPr>
          <w:rFonts w:cs="Times New Roman"/>
          <w:szCs w:val="24"/>
        </w:rPr>
        <w:t>. The credit uptake on averag</w:t>
      </w:r>
      <w:r w:rsidR="0077210F" w:rsidRPr="007D301A">
        <w:rPr>
          <w:rFonts w:cs="Times New Roman"/>
          <w:szCs w:val="24"/>
        </w:rPr>
        <w:t>e increased from the value of 11.8</w:t>
      </w:r>
      <w:r w:rsidRPr="007D301A">
        <w:rPr>
          <w:rFonts w:cs="Times New Roman"/>
          <w:szCs w:val="24"/>
        </w:rPr>
        <w:t xml:space="preserve">% and reached the maximum value of </w:t>
      </w:r>
      <w:r w:rsidR="0077210F" w:rsidRPr="007D301A">
        <w:rPr>
          <w:rFonts w:cs="Times New Roman"/>
          <w:szCs w:val="24"/>
        </w:rPr>
        <w:t>36.7</w:t>
      </w:r>
      <w:r w:rsidRPr="007D301A">
        <w:rPr>
          <w:rFonts w:cs="Times New Roman"/>
          <w:szCs w:val="24"/>
        </w:rPr>
        <w:t xml:space="preserve"> per cent in Kenya, presenting a high increase in borrowing. The savings increased from 4% to a maximum level of 27%. The value for the standard deviation for the credit uptake stood at 6.5, while savings stood at 5.6, showing that savings did not deviate too much from the mean.</w:t>
      </w:r>
      <w:r w:rsidR="00EB1783" w:rsidRPr="007D301A">
        <w:rPr>
          <w:rFonts w:eastAsia="Times New Roman" w:cs="Times New Roman"/>
          <w:szCs w:val="24"/>
          <w:lang w:eastAsia="en-GB"/>
        </w:rPr>
        <w:t xml:space="preserve"> This near convergence implies that many Kenyan households are actively engaged in both borrowing and saving activities.</w:t>
      </w:r>
      <w:r w:rsidR="000A239C">
        <w:rPr>
          <w:rFonts w:eastAsia="Times New Roman" w:cs="Times New Roman"/>
          <w:szCs w:val="24"/>
          <w:lang w:eastAsia="en-GB"/>
        </w:rPr>
        <w:t xml:space="preserve"> </w:t>
      </w:r>
      <w:r w:rsidRPr="007D301A">
        <w:rPr>
          <w:rFonts w:cs="Times New Roman"/>
          <w:szCs w:val="24"/>
        </w:rPr>
        <w:t>Bivariate correlation was applied to determine the degree of variable rela</w:t>
      </w:r>
      <w:r w:rsidR="00D22E9D" w:rsidRPr="007D301A">
        <w:rPr>
          <w:rFonts w:cs="Times New Roman"/>
          <w:szCs w:val="24"/>
        </w:rPr>
        <w:t>tionship as captured in Table 3</w:t>
      </w:r>
      <w:r w:rsidRPr="007D301A">
        <w:rPr>
          <w:rFonts w:cs="Times New Roman"/>
          <w:szCs w:val="24"/>
        </w:rPr>
        <w:t xml:space="preserve">. The absolute value of the coefficient of correlation ranges from 0 to 1. The credit uptake has a negative relationship with savings. </w:t>
      </w:r>
      <w:r w:rsidRPr="007D301A">
        <w:rPr>
          <w:rFonts w:eastAsia="Times New Roman" w:cs="Times New Roman"/>
          <w:szCs w:val="24"/>
          <w:lang w:eastAsia="en-GB"/>
        </w:rPr>
        <w:t>At the household level, increased access to credit has been found to have a negative effect on the household savings rate in some cases, as families use borrowing to finance consumption rather than saving more. </w:t>
      </w:r>
    </w:p>
    <w:p w:rsidR="0032316A" w:rsidRPr="007D301A" w:rsidRDefault="007D361F" w:rsidP="00596177">
      <w:pPr>
        <w:autoSpaceDE w:val="0"/>
        <w:autoSpaceDN w:val="0"/>
        <w:adjustRightInd w:val="0"/>
        <w:spacing w:after="0" w:line="360" w:lineRule="auto"/>
        <w:jc w:val="both"/>
        <w:rPr>
          <w:rFonts w:cs="Times New Roman"/>
          <w:szCs w:val="24"/>
        </w:rPr>
      </w:pPr>
      <w:r w:rsidRPr="007D301A">
        <w:rPr>
          <w:rFonts w:cs="Times New Roman"/>
          <w:szCs w:val="24"/>
        </w:rPr>
        <w:t xml:space="preserve">Table 4 shows the results of the </w:t>
      </w:r>
      <w:r w:rsidR="00EA1F42" w:rsidRPr="007D301A">
        <w:rPr>
          <w:rFonts w:cs="Times New Roman"/>
          <w:szCs w:val="24"/>
        </w:rPr>
        <w:t>Phillips Peron (</w:t>
      </w:r>
      <w:r w:rsidRPr="007D301A">
        <w:rPr>
          <w:rFonts w:cs="Times New Roman"/>
          <w:szCs w:val="24"/>
        </w:rPr>
        <w:t>PP</w:t>
      </w:r>
      <w:r w:rsidR="00EA1F42" w:rsidRPr="007D301A">
        <w:rPr>
          <w:rFonts w:cs="Times New Roman"/>
          <w:szCs w:val="24"/>
        </w:rPr>
        <w:t>)</w:t>
      </w:r>
      <w:r w:rsidRPr="007D301A">
        <w:rPr>
          <w:rFonts w:cs="Times New Roman"/>
          <w:szCs w:val="24"/>
        </w:rPr>
        <w:t xml:space="preserve"> unit root tests in levels and in first differences of the data. The </w:t>
      </w:r>
      <w:r w:rsidR="00EA1F42" w:rsidRPr="007D301A">
        <w:rPr>
          <w:rFonts w:cs="Times New Roman"/>
          <w:szCs w:val="24"/>
        </w:rPr>
        <w:t>result suggests</w:t>
      </w:r>
      <w:r w:rsidRPr="007D301A">
        <w:rPr>
          <w:rFonts w:cs="Times New Roman"/>
          <w:szCs w:val="24"/>
        </w:rPr>
        <w:t xml:space="preserve"> that all the time series </w:t>
      </w:r>
      <w:r w:rsidR="0077210F" w:rsidRPr="007D301A">
        <w:rPr>
          <w:rFonts w:cs="Times New Roman"/>
          <w:szCs w:val="24"/>
        </w:rPr>
        <w:t xml:space="preserve">variables </w:t>
      </w:r>
      <w:r w:rsidRPr="007D301A">
        <w:rPr>
          <w:rFonts w:cs="Times New Roman"/>
          <w:szCs w:val="24"/>
        </w:rPr>
        <w:t xml:space="preserve">are I (1) at the 5% </w:t>
      </w:r>
      <w:r w:rsidR="0077210F" w:rsidRPr="007D301A">
        <w:rPr>
          <w:rFonts w:cs="Times New Roman"/>
          <w:szCs w:val="24"/>
        </w:rPr>
        <w:t xml:space="preserve">significance levels, that is, integrated of order one. </w:t>
      </w:r>
    </w:p>
    <w:p w:rsidR="004D5ADF" w:rsidRPr="007D301A" w:rsidRDefault="007D361F" w:rsidP="00596177">
      <w:pPr>
        <w:autoSpaceDE w:val="0"/>
        <w:autoSpaceDN w:val="0"/>
        <w:adjustRightInd w:val="0"/>
        <w:spacing w:after="0" w:line="360" w:lineRule="auto"/>
        <w:jc w:val="both"/>
        <w:rPr>
          <w:rFonts w:cs="Times New Roman"/>
          <w:b/>
          <w:szCs w:val="24"/>
        </w:rPr>
      </w:pPr>
      <w:r w:rsidRPr="007D301A">
        <w:rPr>
          <w:rFonts w:cs="Times New Roman"/>
          <w:b/>
          <w:szCs w:val="24"/>
        </w:rPr>
        <w:t>Table 4</w:t>
      </w:r>
      <w:r w:rsidR="00513870" w:rsidRPr="007D301A">
        <w:rPr>
          <w:rFonts w:cs="Times New Roman"/>
          <w:b/>
          <w:szCs w:val="24"/>
        </w:rPr>
        <w:t>: Phillips Peron Unit root test results</w:t>
      </w:r>
    </w:p>
    <w:tbl>
      <w:tblPr>
        <w:tblStyle w:val="TableGrid"/>
        <w:tblW w:w="5000" w:type="pct"/>
        <w:tblLook w:val="04A0" w:firstRow="1" w:lastRow="0" w:firstColumn="1" w:lastColumn="0" w:noHBand="0" w:noVBand="1"/>
      </w:tblPr>
      <w:tblGrid>
        <w:gridCol w:w="1365"/>
        <w:gridCol w:w="1447"/>
        <w:gridCol w:w="1227"/>
        <w:gridCol w:w="2009"/>
        <w:gridCol w:w="1227"/>
        <w:gridCol w:w="1967"/>
      </w:tblGrid>
      <w:tr w:rsidR="00857F00" w:rsidTr="00D16494">
        <w:trPr>
          <w:trHeight w:val="383"/>
        </w:trPr>
        <w:tc>
          <w:tcPr>
            <w:tcW w:w="738" w:type="pct"/>
            <w:vMerge w:val="restart"/>
            <w:hideMark/>
          </w:tcPr>
          <w:p w:rsidR="00513870" w:rsidRPr="007D301A" w:rsidRDefault="007D361F" w:rsidP="00596177">
            <w:pPr>
              <w:tabs>
                <w:tab w:val="left" w:pos="1545"/>
              </w:tabs>
              <w:jc w:val="both"/>
              <w:rPr>
                <w:rFonts w:cs="Times New Roman"/>
                <w:i/>
                <w:sz w:val="24"/>
                <w:szCs w:val="24"/>
                <w:lang w:val="en-GB"/>
              </w:rPr>
            </w:pPr>
            <w:r w:rsidRPr="007D301A">
              <w:rPr>
                <w:rFonts w:cs="Times New Roman"/>
                <w:i/>
                <w:sz w:val="24"/>
                <w:szCs w:val="24"/>
              </w:rPr>
              <w:t>Variable</w:t>
            </w:r>
          </w:p>
        </w:tc>
        <w:tc>
          <w:tcPr>
            <w:tcW w:w="1447" w:type="pct"/>
            <w:gridSpan w:val="2"/>
            <w:hideMark/>
          </w:tcPr>
          <w:p w:rsidR="00513870" w:rsidRPr="007D301A" w:rsidRDefault="007D361F" w:rsidP="00596177">
            <w:pPr>
              <w:tabs>
                <w:tab w:val="left" w:pos="1545"/>
              </w:tabs>
              <w:jc w:val="both"/>
              <w:rPr>
                <w:rFonts w:cs="Times New Roman"/>
                <w:sz w:val="24"/>
                <w:szCs w:val="24"/>
                <w:lang w:val="en-GB"/>
              </w:rPr>
            </w:pPr>
            <w:r w:rsidRPr="007D301A">
              <w:rPr>
                <w:rFonts w:cs="Times New Roman"/>
                <w:sz w:val="24"/>
                <w:szCs w:val="24"/>
              </w:rPr>
              <w:t>Level</w:t>
            </w:r>
          </w:p>
        </w:tc>
        <w:tc>
          <w:tcPr>
            <w:tcW w:w="1751" w:type="pct"/>
            <w:gridSpan w:val="2"/>
            <w:hideMark/>
          </w:tcPr>
          <w:p w:rsidR="00513870" w:rsidRPr="007D301A" w:rsidRDefault="007D361F" w:rsidP="00596177">
            <w:pPr>
              <w:tabs>
                <w:tab w:val="left" w:pos="1545"/>
              </w:tabs>
              <w:jc w:val="both"/>
              <w:rPr>
                <w:rFonts w:cs="Times New Roman"/>
                <w:sz w:val="24"/>
                <w:szCs w:val="24"/>
                <w:lang w:val="en-GB"/>
              </w:rPr>
            </w:pPr>
            <w:r w:rsidRPr="007D301A">
              <w:rPr>
                <w:rFonts w:cs="Times New Roman"/>
                <w:sz w:val="24"/>
                <w:szCs w:val="24"/>
              </w:rPr>
              <w:t>First difference</w:t>
            </w:r>
          </w:p>
        </w:tc>
        <w:tc>
          <w:tcPr>
            <w:tcW w:w="1064" w:type="pct"/>
            <w:vMerge w:val="restart"/>
            <w:hideMark/>
          </w:tcPr>
          <w:p w:rsidR="00513870" w:rsidRPr="007D301A" w:rsidRDefault="007D361F" w:rsidP="00596177">
            <w:pPr>
              <w:tabs>
                <w:tab w:val="left" w:pos="1545"/>
              </w:tabs>
              <w:jc w:val="both"/>
              <w:rPr>
                <w:rFonts w:cs="Times New Roman"/>
                <w:sz w:val="24"/>
                <w:szCs w:val="24"/>
                <w:lang w:val="en-GB"/>
              </w:rPr>
            </w:pPr>
            <w:r w:rsidRPr="007D301A">
              <w:rPr>
                <w:rFonts w:cs="Times New Roman"/>
                <w:sz w:val="24"/>
                <w:szCs w:val="24"/>
              </w:rPr>
              <w:t xml:space="preserve">Decision </w:t>
            </w:r>
          </w:p>
        </w:tc>
      </w:tr>
      <w:tr w:rsidR="00857F00" w:rsidTr="00D16494">
        <w:trPr>
          <w:trHeight w:val="305"/>
        </w:trPr>
        <w:tc>
          <w:tcPr>
            <w:tcW w:w="738" w:type="pct"/>
            <w:vMerge/>
            <w:hideMark/>
          </w:tcPr>
          <w:p w:rsidR="00513870" w:rsidRPr="007D301A" w:rsidRDefault="00513870" w:rsidP="00596177">
            <w:pPr>
              <w:jc w:val="both"/>
              <w:rPr>
                <w:rFonts w:cs="Times New Roman"/>
                <w:i/>
                <w:sz w:val="24"/>
                <w:szCs w:val="24"/>
                <w:lang w:val="en-GB"/>
              </w:rPr>
            </w:pPr>
          </w:p>
        </w:tc>
        <w:tc>
          <w:tcPr>
            <w:tcW w:w="783" w:type="pct"/>
            <w:hideMark/>
          </w:tcPr>
          <w:p w:rsidR="00513870" w:rsidRPr="007D301A" w:rsidRDefault="007D361F" w:rsidP="00596177">
            <w:pPr>
              <w:tabs>
                <w:tab w:val="left" w:pos="1545"/>
              </w:tabs>
              <w:jc w:val="both"/>
              <w:rPr>
                <w:rFonts w:cs="Times New Roman"/>
                <w:sz w:val="24"/>
                <w:szCs w:val="24"/>
                <w:lang w:val="en-GB"/>
              </w:rPr>
            </w:pPr>
            <w:r w:rsidRPr="007D301A">
              <w:rPr>
                <w:rFonts w:cs="Times New Roman"/>
                <w:sz w:val="24"/>
                <w:szCs w:val="24"/>
              </w:rPr>
              <w:t>t value</w:t>
            </w:r>
          </w:p>
        </w:tc>
        <w:tc>
          <w:tcPr>
            <w:tcW w:w="664" w:type="pct"/>
            <w:hideMark/>
          </w:tcPr>
          <w:p w:rsidR="00513870" w:rsidRPr="007D301A" w:rsidRDefault="007D361F" w:rsidP="00596177">
            <w:pPr>
              <w:tabs>
                <w:tab w:val="left" w:pos="1545"/>
              </w:tabs>
              <w:jc w:val="both"/>
              <w:rPr>
                <w:rFonts w:cs="Times New Roman"/>
                <w:sz w:val="24"/>
                <w:szCs w:val="24"/>
                <w:lang w:val="en-GB"/>
              </w:rPr>
            </w:pPr>
            <w:r w:rsidRPr="007D301A">
              <w:rPr>
                <w:rFonts w:cs="Times New Roman"/>
                <w:sz w:val="24"/>
                <w:szCs w:val="24"/>
              </w:rPr>
              <w:t xml:space="preserve">P-value  </w:t>
            </w:r>
          </w:p>
        </w:tc>
        <w:tc>
          <w:tcPr>
            <w:tcW w:w="1087" w:type="pct"/>
            <w:hideMark/>
          </w:tcPr>
          <w:p w:rsidR="00513870" w:rsidRPr="007D301A" w:rsidRDefault="007D361F" w:rsidP="00596177">
            <w:pPr>
              <w:tabs>
                <w:tab w:val="left" w:pos="1545"/>
              </w:tabs>
              <w:jc w:val="both"/>
              <w:rPr>
                <w:rFonts w:cs="Times New Roman"/>
                <w:sz w:val="24"/>
                <w:szCs w:val="24"/>
                <w:lang w:val="en-GB"/>
              </w:rPr>
            </w:pPr>
            <w:r w:rsidRPr="007D301A">
              <w:rPr>
                <w:rFonts w:cs="Times New Roman"/>
                <w:sz w:val="24"/>
                <w:szCs w:val="24"/>
              </w:rPr>
              <w:t>t value</w:t>
            </w:r>
          </w:p>
        </w:tc>
        <w:tc>
          <w:tcPr>
            <w:tcW w:w="664" w:type="pct"/>
            <w:hideMark/>
          </w:tcPr>
          <w:p w:rsidR="00513870" w:rsidRPr="007D301A" w:rsidRDefault="007D361F" w:rsidP="00596177">
            <w:pPr>
              <w:tabs>
                <w:tab w:val="left" w:pos="1545"/>
              </w:tabs>
              <w:jc w:val="both"/>
              <w:rPr>
                <w:rFonts w:cs="Times New Roman"/>
                <w:sz w:val="24"/>
                <w:szCs w:val="24"/>
                <w:lang w:val="en-GB"/>
              </w:rPr>
            </w:pPr>
            <w:r w:rsidRPr="007D301A">
              <w:rPr>
                <w:rFonts w:cs="Times New Roman"/>
                <w:sz w:val="24"/>
                <w:szCs w:val="24"/>
              </w:rPr>
              <w:t xml:space="preserve">P-value </w:t>
            </w:r>
          </w:p>
        </w:tc>
        <w:tc>
          <w:tcPr>
            <w:tcW w:w="1064" w:type="pct"/>
            <w:vMerge/>
            <w:hideMark/>
          </w:tcPr>
          <w:p w:rsidR="00513870" w:rsidRPr="007D301A" w:rsidRDefault="00513870" w:rsidP="00596177">
            <w:pPr>
              <w:jc w:val="both"/>
              <w:rPr>
                <w:rFonts w:cs="Times New Roman"/>
                <w:b/>
                <w:bCs/>
                <w:sz w:val="24"/>
                <w:szCs w:val="24"/>
                <w:lang w:val="en-GB"/>
              </w:rPr>
            </w:pPr>
          </w:p>
        </w:tc>
      </w:tr>
      <w:tr w:rsidR="00857F00" w:rsidTr="00D16494">
        <w:trPr>
          <w:trHeight w:val="278"/>
        </w:trPr>
        <w:tc>
          <w:tcPr>
            <w:tcW w:w="738" w:type="pct"/>
          </w:tcPr>
          <w:p w:rsidR="00861F4C" w:rsidRPr="007D301A" w:rsidRDefault="007D361F" w:rsidP="00596177">
            <w:pPr>
              <w:jc w:val="both"/>
              <w:rPr>
                <w:rFonts w:cs="Times New Roman"/>
                <w:sz w:val="24"/>
                <w:szCs w:val="24"/>
              </w:rPr>
            </w:pPr>
            <w:r w:rsidRPr="007D301A">
              <w:rPr>
                <w:rFonts w:cs="Times New Roman"/>
                <w:sz w:val="24"/>
                <w:szCs w:val="24"/>
              </w:rPr>
              <w:t>Credit</w:t>
            </w:r>
          </w:p>
        </w:tc>
        <w:tc>
          <w:tcPr>
            <w:tcW w:w="783" w:type="pct"/>
            <w:hideMark/>
          </w:tcPr>
          <w:p w:rsidR="00861F4C" w:rsidRPr="007D301A" w:rsidRDefault="007D361F" w:rsidP="00596177">
            <w:pPr>
              <w:jc w:val="both"/>
              <w:rPr>
                <w:rFonts w:cs="Times New Roman"/>
                <w:sz w:val="24"/>
                <w:szCs w:val="24"/>
              </w:rPr>
            </w:pPr>
            <w:r w:rsidRPr="007D301A">
              <w:rPr>
                <w:rFonts w:cs="Times New Roman"/>
                <w:sz w:val="24"/>
                <w:szCs w:val="24"/>
              </w:rPr>
              <w:t>-1.1796</w:t>
            </w:r>
          </w:p>
        </w:tc>
        <w:tc>
          <w:tcPr>
            <w:tcW w:w="664" w:type="pct"/>
            <w:hideMark/>
          </w:tcPr>
          <w:p w:rsidR="00861F4C" w:rsidRPr="007D301A" w:rsidRDefault="007D361F" w:rsidP="00596177">
            <w:pPr>
              <w:jc w:val="both"/>
              <w:rPr>
                <w:rFonts w:cs="Times New Roman"/>
                <w:sz w:val="24"/>
                <w:szCs w:val="24"/>
              </w:rPr>
            </w:pPr>
            <w:r w:rsidRPr="007D301A">
              <w:rPr>
                <w:rFonts w:cs="Times New Roman"/>
                <w:sz w:val="24"/>
                <w:szCs w:val="24"/>
              </w:rPr>
              <w:t xml:space="preserve"> 0.6783</w:t>
            </w:r>
          </w:p>
        </w:tc>
        <w:tc>
          <w:tcPr>
            <w:tcW w:w="1087" w:type="pct"/>
            <w:hideMark/>
          </w:tcPr>
          <w:p w:rsidR="00861F4C" w:rsidRPr="007D301A" w:rsidRDefault="007D361F" w:rsidP="00596177">
            <w:pPr>
              <w:jc w:val="both"/>
              <w:rPr>
                <w:rFonts w:cs="Times New Roman"/>
                <w:sz w:val="24"/>
                <w:szCs w:val="24"/>
              </w:rPr>
            </w:pPr>
            <w:r w:rsidRPr="007D301A">
              <w:rPr>
                <w:rFonts w:cs="Times New Roman"/>
                <w:sz w:val="24"/>
                <w:szCs w:val="24"/>
              </w:rPr>
              <w:t>-9.1366***</w:t>
            </w:r>
          </w:p>
        </w:tc>
        <w:tc>
          <w:tcPr>
            <w:tcW w:w="664" w:type="pct"/>
            <w:hideMark/>
          </w:tcPr>
          <w:p w:rsidR="00861F4C" w:rsidRPr="007D301A" w:rsidRDefault="007D361F" w:rsidP="00596177">
            <w:pPr>
              <w:jc w:val="both"/>
              <w:rPr>
                <w:rFonts w:cs="Times New Roman"/>
                <w:sz w:val="24"/>
                <w:szCs w:val="24"/>
              </w:rPr>
            </w:pPr>
            <w:r w:rsidRPr="007D301A">
              <w:rPr>
                <w:rFonts w:cs="Times New Roman"/>
                <w:sz w:val="24"/>
                <w:szCs w:val="24"/>
              </w:rPr>
              <w:t xml:space="preserve"> 0.0000</w:t>
            </w:r>
          </w:p>
        </w:tc>
        <w:tc>
          <w:tcPr>
            <w:tcW w:w="1064" w:type="pct"/>
            <w:hideMark/>
          </w:tcPr>
          <w:p w:rsidR="00861F4C" w:rsidRPr="007D301A" w:rsidRDefault="007D361F" w:rsidP="00596177">
            <w:pPr>
              <w:tabs>
                <w:tab w:val="left" w:pos="1545"/>
              </w:tabs>
              <w:jc w:val="both"/>
              <w:rPr>
                <w:rFonts w:cs="Times New Roman"/>
                <w:sz w:val="24"/>
                <w:szCs w:val="24"/>
                <w:lang w:val="en-GB"/>
              </w:rPr>
            </w:pPr>
            <w:proofErr w:type="gramStart"/>
            <w:r w:rsidRPr="007D301A">
              <w:rPr>
                <w:rFonts w:cs="Times New Roman"/>
                <w:sz w:val="24"/>
                <w:szCs w:val="24"/>
              </w:rPr>
              <w:t>N</w:t>
            </w:r>
            <w:r w:rsidR="00D16494" w:rsidRPr="007D301A">
              <w:rPr>
                <w:rFonts w:cs="Times New Roman"/>
                <w:sz w:val="24"/>
                <w:szCs w:val="24"/>
              </w:rPr>
              <w:t>on</w:t>
            </w:r>
            <w:r>
              <w:rPr>
                <w:rFonts w:cs="Times New Roman"/>
                <w:sz w:val="24"/>
                <w:szCs w:val="24"/>
              </w:rPr>
              <w:t xml:space="preserve"> </w:t>
            </w:r>
            <w:r w:rsidR="00D16494" w:rsidRPr="007D301A">
              <w:rPr>
                <w:rFonts w:cs="Times New Roman"/>
                <w:sz w:val="24"/>
                <w:szCs w:val="24"/>
              </w:rPr>
              <w:t>stationary</w:t>
            </w:r>
            <w:proofErr w:type="gramEnd"/>
          </w:p>
        </w:tc>
      </w:tr>
      <w:tr w:rsidR="00857F00" w:rsidTr="00D16494">
        <w:trPr>
          <w:trHeight w:val="233"/>
        </w:trPr>
        <w:tc>
          <w:tcPr>
            <w:tcW w:w="738" w:type="pct"/>
          </w:tcPr>
          <w:p w:rsidR="00861F4C" w:rsidRPr="007D301A" w:rsidRDefault="007D361F" w:rsidP="00596177">
            <w:pPr>
              <w:jc w:val="both"/>
              <w:rPr>
                <w:rFonts w:cs="Times New Roman"/>
                <w:sz w:val="24"/>
                <w:szCs w:val="24"/>
              </w:rPr>
            </w:pPr>
            <w:r w:rsidRPr="007D301A">
              <w:rPr>
                <w:rFonts w:cs="Times New Roman"/>
                <w:sz w:val="24"/>
                <w:szCs w:val="24"/>
              </w:rPr>
              <w:t>Savings</w:t>
            </w:r>
          </w:p>
        </w:tc>
        <w:tc>
          <w:tcPr>
            <w:tcW w:w="783" w:type="pct"/>
          </w:tcPr>
          <w:p w:rsidR="00861F4C" w:rsidRPr="007D301A" w:rsidRDefault="007D361F" w:rsidP="00596177">
            <w:pPr>
              <w:jc w:val="both"/>
              <w:rPr>
                <w:rFonts w:cs="Times New Roman"/>
                <w:sz w:val="24"/>
                <w:szCs w:val="24"/>
              </w:rPr>
            </w:pPr>
            <w:r w:rsidRPr="007D301A">
              <w:rPr>
                <w:rFonts w:cs="Times New Roman"/>
                <w:sz w:val="24"/>
                <w:szCs w:val="24"/>
              </w:rPr>
              <w:t>-2.3390</w:t>
            </w:r>
          </w:p>
        </w:tc>
        <w:tc>
          <w:tcPr>
            <w:tcW w:w="664" w:type="pct"/>
          </w:tcPr>
          <w:p w:rsidR="00861F4C" w:rsidRPr="007D301A" w:rsidRDefault="007D361F" w:rsidP="00596177">
            <w:pPr>
              <w:jc w:val="both"/>
              <w:rPr>
                <w:rFonts w:cs="Times New Roman"/>
                <w:sz w:val="24"/>
                <w:szCs w:val="24"/>
              </w:rPr>
            </w:pPr>
            <w:r w:rsidRPr="007D301A">
              <w:rPr>
                <w:rFonts w:cs="Times New Roman"/>
                <w:sz w:val="24"/>
                <w:szCs w:val="24"/>
              </w:rPr>
              <w:t xml:space="preserve"> 0.1632</w:t>
            </w:r>
          </w:p>
        </w:tc>
        <w:tc>
          <w:tcPr>
            <w:tcW w:w="1087" w:type="pct"/>
          </w:tcPr>
          <w:p w:rsidR="00861F4C" w:rsidRPr="007D301A" w:rsidRDefault="007D361F" w:rsidP="00596177">
            <w:pPr>
              <w:tabs>
                <w:tab w:val="left" w:pos="1545"/>
              </w:tabs>
              <w:jc w:val="both"/>
              <w:rPr>
                <w:rFonts w:cs="Times New Roman"/>
                <w:sz w:val="24"/>
                <w:szCs w:val="24"/>
                <w:lang w:val="en-GB"/>
              </w:rPr>
            </w:pPr>
            <w:r w:rsidRPr="007D301A">
              <w:rPr>
                <w:rFonts w:cs="Times New Roman"/>
                <w:sz w:val="24"/>
                <w:szCs w:val="24"/>
                <w:lang w:val="en-GB"/>
              </w:rPr>
              <w:t>-9.8642***</w:t>
            </w:r>
          </w:p>
        </w:tc>
        <w:tc>
          <w:tcPr>
            <w:tcW w:w="664" w:type="pct"/>
          </w:tcPr>
          <w:p w:rsidR="00861F4C" w:rsidRPr="007D301A" w:rsidRDefault="007D361F" w:rsidP="00596177">
            <w:pPr>
              <w:tabs>
                <w:tab w:val="left" w:pos="1545"/>
              </w:tabs>
              <w:jc w:val="both"/>
              <w:rPr>
                <w:rFonts w:cs="Times New Roman"/>
                <w:sz w:val="24"/>
                <w:szCs w:val="24"/>
                <w:lang w:val="en-GB"/>
              </w:rPr>
            </w:pPr>
            <w:r w:rsidRPr="007D301A">
              <w:rPr>
                <w:rFonts w:cs="Times New Roman"/>
                <w:sz w:val="24"/>
                <w:szCs w:val="24"/>
                <w:lang w:val="en-GB"/>
              </w:rPr>
              <w:t>0.0000</w:t>
            </w:r>
          </w:p>
        </w:tc>
        <w:tc>
          <w:tcPr>
            <w:tcW w:w="1064" w:type="pct"/>
            <w:hideMark/>
          </w:tcPr>
          <w:p w:rsidR="00861F4C" w:rsidRPr="007D301A" w:rsidRDefault="007D361F" w:rsidP="00596177">
            <w:pPr>
              <w:tabs>
                <w:tab w:val="left" w:pos="1545"/>
              </w:tabs>
              <w:jc w:val="both"/>
              <w:rPr>
                <w:rFonts w:cs="Times New Roman"/>
                <w:sz w:val="24"/>
                <w:szCs w:val="24"/>
                <w:lang w:val="en-GB"/>
              </w:rPr>
            </w:pPr>
            <w:proofErr w:type="gramStart"/>
            <w:r w:rsidRPr="007D301A">
              <w:rPr>
                <w:rFonts w:cs="Times New Roman"/>
                <w:sz w:val="24"/>
                <w:szCs w:val="24"/>
                <w:lang w:val="en-GB"/>
              </w:rPr>
              <w:t>N</w:t>
            </w:r>
            <w:r w:rsidR="00D16494" w:rsidRPr="007D301A">
              <w:rPr>
                <w:rFonts w:cs="Times New Roman"/>
                <w:sz w:val="24"/>
                <w:szCs w:val="24"/>
                <w:lang w:val="en-GB"/>
              </w:rPr>
              <w:t>on</w:t>
            </w:r>
            <w:r>
              <w:rPr>
                <w:rFonts w:cs="Times New Roman"/>
                <w:sz w:val="24"/>
                <w:szCs w:val="24"/>
                <w:lang w:val="en-GB"/>
              </w:rPr>
              <w:t xml:space="preserve"> </w:t>
            </w:r>
            <w:r w:rsidR="00D16494" w:rsidRPr="007D301A">
              <w:rPr>
                <w:rFonts w:cs="Times New Roman"/>
                <w:sz w:val="24"/>
                <w:szCs w:val="24"/>
                <w:lang w:val="en-GB"/>
              </w:rPr>
              <w:t>stationary</w:t>
            </w:r>
            <w:proofErr w:type="gramEnd"/>
          </w:p>
        </w:tc>
      </w:tr>
    </w:tbl>
    <w:p w:rsidR="004D5ADF" w:rsidRPr="007D301A" w:rsidRDefault="004D5ADF" w:rsidP="00596177">
      <w:pPr>
        <w:autoSpaceDE w:val="0"/>
        <w:autoSpaceDN w:val="0"/>
        <w:adjustRightInd w:val="0"/>
        <w:spacing w:after="0" w:line="360" w:lineRule="auto"/>
        <w:jc w:val="both"/>
        <w:rPr>
          <w:rFonts w:cs="Times New Roman"/>
          <w:szCs w:val="24"/>
        </w:rPr>
      </w:pPr>
    </w:p>
    <w:p w:rsidR="004D5ADF" w:rsidRPr="007D301A" w:rsidRDefault="007D361F" w:rsidP="00596177">
      <w:pPr>
        <w:autoSpaceDE w:val="0"/>
        <w:autoSpaceDN w:val="0"/>
        <w:adjustRightInd w:val="0"/>
        <w:spacing w:after="0" w:line="360" w:lineRule="auto"/>
        <w:jc w:val="both"/>
        <w:rPr>
          <w:rFonts w:cs="Times New Roman"/>
          <w:szCs w:val="24"/>
        </w:rPr>
      </w:pPr>
      <w:r w:rsidRPr="007D301A">
        <w:rPr>
          <w:rFonts w:cs="Times New Roman"/>
          <w:szCs w:val="24"/>
        </w:rPr>
        <w:lastRenderedPageBreak/>
        <w:t>Null Hypothesis: D(CR) has a unit root</w:t>
      </w:r>
      <w:r w:rsidRPr="007D301A">
        <w:rPr>
          <w:rFonts w:cs="Times New Roman"/>
          <w:szCs w:val="24"/>
        </w:rPr>
        <w:tab/>
      </w:r>
      <w:r w:rsidRPr="007D301A">
        <w:rPr>
          <w:rFonts w:cs="Times New Roman"/>
          <w:szCs w:val="24"/>
        </w:rPr>
        <w:tab/>
      </w:r>
    </w:p>
    <w:p w:rsidR="00DF02EA" w:rsidRPr="007D301A" w:rsidRDefault="007D361F" w:rsidP="00596177">
      <w:pPr>
        <w:autoSpaceDE w:val="0"/>
        <w:autoSpaceDN w:val="0"/>
        <w:adjustRightInd w:val="0"/>
        <w:spacing w:after="0" w:line="360" w:lineRule="auto"/>
        <w:jc w:val="both"/>
        <w:rPr>
          <w:rFonts w:cs="Times New Roman"/>
          <w:szCs w:val="24"/>
        </w:rPr>
      </w:pPr>
      <w:r w:rsidRPr="007D301A">
        <w:rPr>
          <w:rFonts w:cs="Times New Roman"/>
          <w:szCs w:val="24"/>
        </w:rPr>
        <w:t>* McKinnon Critical Value</w:t>
      </w:r>
    </w:p>
    <w:p w:rsidR="004D5ADF" w:rsidRPr="007D301A" w:rsidRDefault="007D361F" w:rsidP="00596177">
      <w:pPr>
        <w:autoSpaceDE w:val="0"/>
        <w:autoSpaceDN w:val="0"/>
        <w:adjustRightInd w:val="0"/>
        <w:spacing w:after="0" w:line="360" w:lineRule="auto"/>
        <w:jc w:val="both"/>
        <w:rPr>
          <w:rFonts w:cs="Times New Roman"/>
          <w:szCs w:val="24"/>
        </w:rPr>
      </w:pPr>
      <w:r w:rsidRPr="007D301A">
        <w:rPr>
          <w:rFonts w:cs="Times New Roman"/>
          <w:szCs w:val="24"/>
        </w:rPr>
        <w:t>The lag length was determined using Akaike Information Criteria (AIC)</w:t>
      </w:r>
    </w:p>
    <w:p w:rsidR="0032316A" w:rsidRPr="007D301A" w:rsidRDefault="007D361F" w:rsidP="00596177">
      <w:pPr>
        <w:autoSpaceDE w:val="0"/>
        <w:autoSpaceDN w:val="0"/>
        <w:adjustRightInd w:val="0"/>
        <w:spacing w:after="0" w:line="360" w:lineRule="auto"/>
        <w:jc w:val="both"/>
        <w:rPr>
          <w:rFonts w:cs="Times New Roman"/>
          <w:szCs w:val="24"/>
        </w:rPr>
      </w:pPr>
      <w:r w:rsidRPr="007D301A">
        <w:rPr>
          <w:rFonts w:cs="Times New Roman"/>
          <w:szCs w:val="24"/>
        </w:rPr>
        <w:t xml:space="preserve">Table 5 presents the results from the Johansen cointegration test among the data sets. Neither the maximum eigenvalue nor the trace tests </w:t>
      </w:r>
      <w:r w:rsidR="000168AE" w:rsidRPr="007D301A">
        <w:rPr>
          <w:rFonts w:cs="Times New Roman"/>
          <w:szCs w:val="24"/>
        </w:rPr>
        <w:t>reject</w:t>
      </w:r>
      <w:r w:rsidRPr="007D301A">
        <w:rPr>
          <w:rFonts w:cs="Times New Roman"/>
          <w:szCs w:val="24"/>
        </w:rPr>
        <w:t xml:space="preserve"> the null hypothesis of no cointegration at the 5% level.</w:t>
      </w:r>
    </w:p>
    <w:p w:rsidR="00926A5B" w:rsidRPr="007D301A" w:rsidRDefault="007D361F" w:rsidP="00596177">
      <w:pPr>
        <w:autoSpaceDE w:val="0"/>
        <w:autoSpaceDN w:val="0"/>
        <w:adjustRightInd w:val="0"/>
        <w:spacing w:after="0" w:line="360" w:lineRule="auto"/>
        <w:jc w:val="both"/>
        <w:rPr>
          <w:rFonts w:cs="Times New Roman"/>
          <w:b/>
          <w:szCs w:val="24"/>
        </w:rPr>
      </w:pPr>
      <w:r w:rsidRPr="007D301A">
        <w:rPr>
          <w:rFonts w:cs="Times New Roman"/>
          <w:b/>
          <w:szCs w:val="24"/>
        </w:rPr>
        <w:t>Table 5</w:t>
      </w:r>
      <w:r w:rsidR="00B00992" w:rsidRPr="007D301A">
        <w:rPr>
          <w:rFonts w:cs="Times New Roman"/>
          <w:b/>
          <w:szCs w:val="24"/>
        </w:rPr>
        <w:t xml:space="preserve">: Johansen Cointegration Test </w:t>
      </w:r>
    </w:p>
    <w:tbl>
      <w:tblPr>
        <w:tblStyle w:val="TableGrid"/>
        <w:tblW w:w="5000" w:type="pct"/>
        <w:tblLook w:val="04A0" w:firstRow="1" w:lastRow="0" w:firstColumn="1" w:lastColumn="0" w:noHBand="0" w:noVBand="1"/>
      </w:tblPr>
      <w:tblGrid>
        <w:gridCol w:w="1574"/>
        <w:gridCol w:w="991"/>
        <w:gridCol w:w="1384"/>
        <w:gridCol w:w="1858"/>
        <w:gridCol w:w="1712"/>
        <w:gridCol w:w="1723"/>
      </w:tblGrid>
      <w:tr w:rsidR="00857F00" w:rsidTr="0078003A">
        <w:tc>
          <w:tcPr>
            <w:tcW w:w="852" w:type="pct"/>
          </w:tcPr>
          <w:p w:rsidR="00DE708A" w:rsidRPr="007D301A" w:rsidRDefault="007D361F" w:rsidP="00596177">
            <w:pPr>
              <w:autoSpaceDE w:val="0"/>
              <w:autoSpaceDN w:val="0"/>
              <w:adjustRightInd w:val="0"/>
              <w:jc w:val="both"/>
              <w:rPr>
                <w:rFonts w:cs="Times New Roman"/>
                <w:sz w:val="24"/>
                <w:szCs w:val="24"/>
              </w:rPr>
            </w:pPr>
            <w:r w:rsidRPr="007D301A">
              <w:rPr>
                <w:rFonts w:cs="Times New Roman"/>
                <w:sz w:val="24"/>
                <w:szCs w:val="24"/>
              </w:rPr>
              <w:t>Null hypothesis</w:t>
            </w:r>
          </w:p>
        </w:tc>
        <w:tc>
          <w:tcPr>
            <w:tcW w:w="536" w:type="pct"/>
          </w:tcPr>
          <w:p w:rsidR="00DE708A" w:rsidRPr="007D301A" w:rsidRDefault="007D361F" w:rsidP="00596177">
            <w:pPr>
              <w:autoSpaceDE w:val="0"/>
              <w:autoSpaceDN w:val="0"/>
              <w:adjustRightInd w:val="0"/>
              <w:jc w:val="both"/>
              <w:rPr>
                <w:rFonts w:cs="Times New Roman"/>
                <w:sz w:val="24"/>
                <w:szCs w:val="24"/>
              </w:rPr>
            </w:pPr>
            <w:r w:rsidRPr="007D301A">
              <w:rPr>
                <w:rFonts w:cs="Times New Roman"/>
                <w:sz w:val="24"/>
                <w:szCs w:val="24"/>
              </w:rPr>
              <w:t>Trace</w:t>
            </w:r>
          </w:p>
          <w:p w:rsidR="00DE708A" w:rsidRPr="007D301A" w:rsidRDefault="007D361F" w:rsidP="00596177">
            <w:pPr>
              <w:autoSpaceDE w:val="0"/>
              <w:autoSpaceDN w:val="0"/>
              <w:adjustRightInd w:val="0"/>
              <w:jc w:val="both"/>
              <w:rPr>
                <w:rFonts w:cs="Times New Roman"/>
                <w:sz w:val="24"/>
                <w:szCs w:val="24"/>
              </w:rPr>
            </w:pPr>
            <w:r w:rsidRPr="007D301A">
              <w:rPr>
                <w:rFonts w:cs="Times New Roman"/>
                <w:sz w:val="24"/>
                <w:szCs w:val="24"/>
              </w:rPr>
              <w:t>Statistic</w:t>
            </w:r>
          </w:p>
        </w:tc>
        <w:tc>
          <w:tcPr>
            <w:tcW w:w="749" w:type="pct"/>
          </w:tcPr>
          <w:p w:rsidR="00DE708A" w:rsidRPr="007D301A" w:rsidRDefault="007D361F" w:rsidP="00596177">
            <w:pPr>
              <w:autoSpaceDE w:val="0"/>
              <w:autoSpaceDN w:val="0"/>
              <w:adjustRightInd w:val="0"/>
              <w:jc w:val="both"/>
              <w:rPr>
                <w:rFonts w:cs="Times New Roman"/>
                <w:sz w:val="24"/>
                <w:szCs w:val="24"/>
              </w:rPr>
            </w:pPr>
            <w:r w:rsidRPr="007D301A">
              <w:rPr>
                <w:rFonts w:cs="Times New Roman"/>
                <w:sz w:val="24"/>
                <w:szCs w:val="24"/>
              </w:rPr>
              <w:t>0.05</w:t>
            </w:r>
          </w:p>
          <w:p w:rsidR="00DE708A" w:rsidRPr="007D301A" w:rsidRDefault="007D361F" w:rsidP="00596177">
            <w:pPr>
              <w:autoSpaceDE w:val="0"/>
              <w:autoSpaceDN w:val="0"/>
              <w:adjustRightInd w:val="0"/>
              <w:jc w:val="both"/>
              <w:rPr>
                <w:rFonts w:cs="Times New Roman"/>
                <w:sz w:val="24"/>
                <w:szCs w:val="24"/>
              </w:rPr>
            </w:pPr>
            <w:r w:rsidRPr="007D301A">
              <w:rPr>
                <w:rFonts w:cs="Times New Roman"/>
                <w:sz w:val="24"/>
                <w:szCs w:val="24"/>
              </w:rPr>
              <w:t>Critical Value</w:t>
            </w:r>
          </w:p>
        </w:tc>
        <w:tc>
          <w:tcPr>
            <w:tcW w:w="1005" w:type="pct"/>
          </w:tcPr>
          <w:p w:rsidR="00DE708A" w:rsidRPr="007D301A" w:rsidRDefault="007D361F" w:rsidP="00596177">
            <w:pPr>
              <w:jc w:val="both"/>
              <w:rPr>
                <w:rFonts w:cs="Times New Roman"/>
                <w:sz w:val="24"/>
                <w:szCs w:val="24"/>
              </w:rPr>
            </w:pPr>
            <w:r w:rsidRPr="007D301A">
              <w:rPr>
                <w:rFonts w:cs="Times New Roman"/>
                <w:sz w:val="24"/>
                <w:szCs w:val="24"/>
              </w:rPr>
              <w:t>Max-Eigen Statistics</w:t>
            </w:r>
          </w:p>
        </w:tc>
        <w:tc>
          <w:tcPr>
            <w:tcW w:w="926" w:type="pct"/>
          </w:tcPr>
          <w:p w:rsidR="00DE708A" w:rsidRPr="007D301A" w:rsidRDefault="007D361F" w:rsidP="00596177">
            <w:pPr>
              <w:jc w:val="both"/>
              <w:rPr>
                <w:rFonts w:cs="Times New Roman"/>
                <w:sz w:val="24"/>
                <w:szCs w:val="24"/>
              </w:rPr>
            </w:pPr>
            <w:r w:rsidRPr="007D301A">
              <w:rPr>
                <w:rFonts w:cs="Times New Roman"/>
                <w:sz w:val="24"/>
                <w:szCs w:val="24"/>
              </w:rPr>
              <w:t>0.05Critical Value</w:t>
            </w:r>
          </w:p>
        </w:tc>
        <w:tc>
          <w:tcPr>
            <w:tcW w:w="932" w:type="pct"/>
          </w:tcPr>
          <w:p w:rsidR="00DE708A" w:rsidRPr="007D301A" w:rsidRDefault="007D361F" w:rsidP="00596177">
            <w:pPr>
              <w:autoSpaceDE w:val="0"/>
              <w:autoSpaceDN w:val="0"/>
              <w:adjustRightInd w:val="0"/>
              <w:jc w:val="both"/>
              <w:rPr>
                <w:rFonts w:cs="Times New Roman"/>
                <w:sz w:val="24"/>
                <w:szCs w:val="24"/>
              </w:rPr>
            </w:pPr>
            <w:r w:rsidRPr="007D301A">
              <w:rPr>
                <w:rFonts w:cs="Times New Roman"/>
                <w:sz w:val="24"/>
                <w:szCs w:val="24"/>
              </w:rPr>
              <w:t xml:space="preserve">Decision </w:t>
            </w:r>
          </w:p>
        </w:tc>
      </w:tr>
      <w:tr w:rsidR="00857F00" w:rsidTr="0078003A">
        <w:tc>
          <w:tcPr>
            <w:tcW w:w="852" w:type="pct"/>
          </w:tcPr>
          <w:p w:rsidR="00DE708A" w:rsidRPr="007D301A" w:rsidRDefault="007D361F" w:rsidP="00596177">
            <w:pPr>
              <w:jc w:val="both"/>
              <w:rPr>
                <w:rFonts w:cs="Times New Roman"/>
                <w:sz w:val="24"/>
                <w:szCs w:val="24"/>
              </w:rPr>
            </w:pPr>
            <w:r w:rsidRPr="007D301A">
              <w:rPr>
                <w:rFonts w:cs="Times New Roman"/>
                <w:sz w:val="24"/>
                <w:szCs w:val="24"/>
              </w:rPr>
              <w:t>r = 0</w:t>
            </w:r>
          </w:p>
        </w:tc>
        <w:tc>
          <w:tcPr>
            <w:tcW w:w="536" w:type="pct"/>
          </w:tcPr>
          <w:p w:rsidR="00DE708A" w:rsidRPr="007D301A" w:rsidRDefault="007D361F" w:rsidP="00596177">
            <w:pPr>
              <w:jc w:val="both"/>
              <w:rPr>
                <w:rFonts w:cs="Times New Roman"/>
                <w:sz w:val="24"/>
                <w:szCs w:val="24"/>
              </w:rPr>
            </w:pPr>
            <w:r w:rsidRPr="007D301A">
              <w:rPr>
                <w:rFonts w:cs="Times New Roman"/>
                <w:sz w:val="24"/>
                <w:szCs w:val="24"/>
              </w:rPr>
              <w:t>5.7471</w:t>
            </w:r>
          </w:p>
        </w:tc>
        <w:tc>
          <w:tcPr>
            <w:tcW w:w="749" w:type="pct"/>
          </w:tcPr>
          <w:p w:rsidR="00DE708A" w:rsidRPr="007D301A" w:rsidRDefault="007D361F" w:rsidP="00596177">
            <w:pPr>
              <w:jc w:val="both"/>
              <w:rPr>
                <w:rFonts w:cs="Times New Roman"/>
                <w:sz w:val="24"/>
                <w:szCs w:val="24"/>
              </w:rPr>
            </w:pPr>
            <w:r w:rsidRPr="007D301A">
              <w:rPr>
                <w:rFonts w:cs="Times New Roman"/>
                <w:sz w:val="24"/>
                <w:szCs w:val="24"/>
              </w:rPr>
              <w:t>15.4947</w:t>
            </w:r>
          </w:p>
        </w:tc>
        <w:tc>
          <w:tcPr>
            <w:tcW w:w="1005" w:type="pct"/>
          </w:tcPr>
          <w:p w:rsidR="00DE708A" w:rsidRPr="007D301A" w:rsidRDefault="007D361F" w:rsidP="00596177">
            <w:pPr>
              <w:jc w:val="both"/>
              <w:rPr>
                <w:rFonts w:cs="Times New Roman"/>
                <w:sz w:val="24"/>
                <w:szCs w:val="24"/>
              </w:rPr>
            </w:pPr>
            <w:r w:rsidRPr="007D301A">
              <w:rPr>
                <w:rFonts w:cs="Times New Roman"/>
                <w:sz w:val="24"/>
                <w:szCs w:val="24"/>
              </w:rPr>
              <w:t>4.7658</w:t>
            </w:r>
          </w:p>
        </w:tc>
        <w:tc>
          <w:tcPr>
            <w:tcW w:w="926" w:type="pct"/>
          </w:tcPr>
          <w:p w:rsidR="00DE708A" w:rsidRPr="007D301A" w:rsidRDefault="007D361F" w:rsidP="00596177">
            <w:pPr>
              <w:jc w:val="both"/>
              <w:rPr>
                <w:rFonts w:cs="Times New Roman"/>
                <w:sz w:val="24"/>
                <w:szCs w:val="24"/>
              </w:rPr>
            </w:pPr>
            <w:r w:rsidRPr="007D301A">
              <w:rPr>
                <w:rFonts w:cs="Times New Roman"/>
                <w:sz w:val="24"/>
                <w:szCs w:val="24"/>
              </w:rPr>
              <w:t>14.2646</w:t>
            </w:r>
          </w:p>
        </w:tc>
        <w:tc>
          <w:tcPr>
            <w:tcW w:w="932" w:type="pct"/>
          </w:tcPr>
          <w:p w:rsidR="00DE708A" w:rsidRPr="007D301A" w:rsidRDefault="007D361F" w:rsidP="00596177">
            <w:pPr>
              <w:autoSpaceDE w:val="0"/>
              <w:autoSpaceDN w:val="0"/>
              <w:adjustRightInd w:val="0"/>
              <w:jc w:val="both"/>
              <w:rPr>
                <w:rFonts w:cs="Times New Roman"/>
                <w:sz w:val="24"/>
                <w:szCs w:val="24"/>
              </w:rPr>
            </w:pPr>
            <w:r w:rsidRPr="007D301A">
              <w:rPr>
                <w:rFonts w:cs="Times New Roman"/>
                <w:sz w:val="24"/>
                <w:szCs w:val="24"/>
              </w:rPr>
              <w:t xml:space="preserve">No cointegration </w:t>
            </w:r>
          </w:p>
        </w:tc>
      </w:tr>
      <w:tr w:rsidR="00857F00" w:rsidTr="0078003A">
        <w:tc>
          <w:tcPr>
            <w:tcW w:w="852" w:type="pct"/>
          </w:tcPr>
          <w:p w:rsidR="00DE708A" w:rsidRPr="007D301A" w:rsidRDefault="007D361F" w:rsidP="00596177">
            <w:pPr>
              <w:jc w:val="both"/>
              <w:rPr>
                <w:rFonts w:cs="Times New Roman"/>
                <w:sz w:val="24"/>
                <w:szCs w:val="24"/>
              </w:rPr>
            </w:pPr>
            <w:r w:rsidRPr="007D301A">
              <w:rPr>
                <w:rFonts w:cs="Times New Roman"/>
                <w:sz w:val="24"/>
                <w:szCs w:val="24"/>
              </w:rPr>
              <w:t>r &lt; = 1</w:t>
            </w:r>
          </w:p>
        </w:tc>
        <w:tc>
          <w:tcPr>
            <w:tcW w:w="536" w:type="pct"/>
          </w:tcPr>
          <w:p w:rsidR="00DE708A" w:rsidRPr="007D301A" w:rsidRDefault="007D361F" w:rsidP="00596177">
            <w:pPr>
              <w:jc w:val="both"/>
              <w:rPr>
                <w:rFonts w:cs="Times New Roman"/>
                <w:sz w:val="24"/>
                <w:szCs w:val="24"/>
              </w:rPr>
            </w:pPr>
            <w:r w:rsidRPr="007D301A">
              <w:rPr>
                <w:rFonts w:cs="Times New Roman"/>
                <w:sz w:val="24"/>
                <w:szCs w:val="24"/>
              </w:rPr>
              <w:t>0.9813</w:t>
            </w:r>
          </w:p>
        </w:tc>
        <w:tc>
          <w:tcPr>
            <w:tcW w:w="749" w:type="pct"/>
          </w:tcPr>
          <w:p w:rsidR="00DE708A" w:rsidRPr="007D301A" w:rsidRDefault="007D361F" w:rsidP="00596177">
            <w:pPr>
              <w:jc w:val="both"/>
              <w:rPr>
                <w:rFonts w:cs="Times New Roman"/>
                <w:sz w:val="24"/>
                <w:szCs w:val="24"/>
              </w:rPr>
            </w:pPr>
            <w:r w:rsidRPr="007D301A">
              <w:rPr>
                <w:rFonts w:cs="Times New Roman"/>
                <w:sz w:val="24"/>
                <w:szCs w:val="24"/>
              </w:rPr>
              <w:t>3.8414</w:t>
            </w:r>
          </w:p>
        </w:tc>
        <w:tc>
          <w:tcPr>
            <w:tcW w:w="1005" w:type="pct"/>
          </w:tcPr>
          <w:p w:rsidR="00DE708A" w:rsidRPr="007D301A" w:rsidRDefault="007D361F" w:rsidP="00596177">
            <w:pPr>
              <w:jc w:val="both"/>
              <w:rPr>
                <w:rFonts w:cs="Times New Roman"/>
                <w:sz w:val="24"/>
                <w:szCs w:val="24"/>
              </w:rPr>
            </w:pPr>
            <w:r w:rsidRPr="007D301A">
              <w:rPr>
                <w:rFonts w:cs="Times New Roman"/>
                <w:sz w:val="24"/>
                <w:szCs w:val="24"/>
              </w:rPr>
              <w:t>0.9813</w:t>
            </w:r>
          </w:p>
        </w:tc>
        <w:tc>
          <w:tcPr>
            <w:tcW w:w="926" w:type="pct"/>
          </w:tcPr>
          <w:p w:rsidR="00DE708A" w:rsidRPr="007D301A" w:rsidRDefault="007D361F" w:rsidP="00596177">
            <w:pPr>
              <w:jc w:val="both"/>
              <w:rPr>
                <w:rFonts w:cs="Times New Roman"/>
                <w:sz w:val="24"/>
                <w:szCs w:val="24"/>
              </w:rPr>
            </w:pPr>
            <w:r w:rsidRPr="007D301A">
              <w:rPr>
                <w:rFonts w:cs="Times New Roman"/>
                <w:sz w:val="24"/>
                <w:szCs w:val="24"/>
              </w:rPr>
              <w:t>3.8414</w:t>
            </w:r>
          </w:p>
        </w:tc>
        <w:tc>
          <w:tcPr>
            <w:tcW w:w="932" w:type="pct"/>
          </w:tcPr>
          <w:p w:rsidR="00DE708A" w:rsidRPr="007D301A" w:rsidRDefault="007D361F" w:rsidP="00596177">
            <w:pPr>
              <w:autoSpaceDE w:val="0"/>
              <w:autoSpaceDN w:val="0"/>
              <w:adjustRightInd w:val="0"/>
              <w:jc w:val="both"/>
              <w:rPr>
                <w:rFonts w:cs="Times New Roman"/>
                <w:sz w:val="24"/>
                <w:szCs w:val="24"/>
              </w:rPr>
            </w:pPr>
            <w:r w:rsidRPr="007D301A">
              <w:rPr>
                <w:rFonts w:cs="Times New Roman"/>
                <w:sz w:val="24"/>
                <w:szCs w:val="24"/>
              </w:rPr>
              <w:t>No cointegration</w:t>
            </w:r>
          </w:p>
        </w:tc>
      </w:tr>
    </w:tbl>
    <w:p w:rsidR="00957BFA" w:rsidRPr="007D301A" w:rsidRDefault="007D361F" w:rsidP="00596177">
      <w:pPr>
        <w:autoSpaceDE w:val="0"/>
        <w:autoSpaceDN w:val="0"/>
        <w:adjustRightInd w:val="0"/>
        <w:spacing w:after="0" w:line="360" w:lineRule="auto"/>
        <w:jc w:val="both"/>
        <w:rPr>
          <w:rFonts w:cs="Times New Roman"/>
          <w:szCs w:val="24"/>
        </w:rPr>
      </w:pPr>
      <w:r w:rsidRPr="007D301A">
        <w:rPr>
          <w:rFonts w:cs="Times New Roman"/>
          <w:szCs w:val="24"/>
        </w:rPr>
        <w:t>R is the number of cointegrating vectors under the null hypothesis.</w:t>
      </w:r>
    </w:p>
    <w:p w:rsidR="0080145E" w:rsidRPr="007D301A" w:rsidRDefault="0080145E" w:rsidP="00596177">
      <w:pPr>
        <w:autoSpaceDE w:val="0"/>
        <w:autoSpaceDN w:val="0"/>
        <w:adjustRightInd w:val="0"/>
        <w:spacing w:after="0" w:line="360" w:lineRule="auto"/>
        <w:jc w:val="both"/>
        <w:rPr>
          <w:rFonts w:cs="Times New Roman"/>
          <w:szCs w:val="24"/>
        </w:rPr>
      </w:pPr>
    </w:p>
    <w:p w:rsidR="0032316A" w:rsidRPr="007D301A" w:rsidRDefault="007D361F" w:rsidP="00596177">
      <w:pPr>
        <w:spacing w:after="0" w:line="360" w:lineRule="auto"/>
        <w:jc w:val="both"/>
        <w:rPr>
          <w:rFonts w:eastAsia="Times New Roman" w:cs="Times New Roman"/>
          <w:szCs w:val="24"/>
          <w:lang w:eastAsia="en-GB"/>
        </w:rPr>
      </w:pPr>
      <w:r w:rsidRPr="007D301A">
        <w:rPr>
          <w:rFonts w:cs="Times New Roman"/>
          <w:szCs w:val="24"/>
        </w:rPr>
        <w:t>The outcome of the Granger cau</w:t>
      </w:r>
      <w:r w:rsidR="00D22E9D" w:rsidRPr="007D301A">
        <w:rPr>
          <w:rFonts w:cs="Times New Roman"/>
          <w:szCs w:val="24"/>
        </w:rPr>
        <w:t>sality tests is shown in Table 5</w:t>
      </w:r>
      <w:r w:rsidRPr="007D301A">
        <w:rPr>
          <w:rFonts w:cs="Times New Roman"/>
          <w:szCs w:val="24"/>
        </w:rPr>
        <w:t xml:space="preserve">. Results of the Granger-causality test show that the null </w:t>
      </w:r>
      <w:r w:rsidR="00F34ACA" w:rsidRPr="007D301A">
        <w:rPr>
          <w:rFonts w:cs="Times New Roman"/>
          <w:szCs w:val="24"/>
        </w:rPr>
        <w:t>hypothesis of saving rate does</w:t>
      </w:r>
      <w:r w:rsidRPr="007D301A">
        <w:rPr>
          <w:rFonts w:cs="Times New Roman"/>
          <w:szCs w:val="24"/>
        </w:rPr>
        <w:t xml:space="preserve"> not Granger-cause credit uptake, is rejected in 2-year lags, and vice versa. This leads us to the conclusion that there is only a bidirectional causality running from saving </w:t>
      </w:r>
      <w:r w:rsidR="00F34ACA" w:rsidRPr="007D301A">
        <w:rPr>
          <w:rFonts w:cs="Times New Roman"/>
          <w:szCs w:val="24"/>
        </w:rPr>
        <w:t>rates to</w:t>
      </w:r>
      <w:r w:rsidRPr="007D301A">
        <w:rPr>
          <w:rFonts w:cs="Times New Roman"/>
          <w:szCs w:val="24"/>
        </w:rPr>
        <w:t xml:space="preserve"> credit uptake</w:t>
      </w:r>
      <w:r w:rsidR="00692C32" w:rsidRPr="007D301A">
        <w:rPr>
          <w:rFonts w:cs="Times New Roman"/>
          <w:szCs w:val="24"/>
        </w:rPr>
        <w:t xml:space="preserve"> (borrowing)</w:t>
      </w:r>
      <w:r w:rsidRPr="007D301A">
        <w:rPr>
          <w:rFonts w:cs="Times New Roman"/>
          <w:szCs w:val="24"/>
        </w:rPr>
        <w:t>.</w:t>
      </w:r>
      <w:r w:rsidR="00FE786B" w:rsidRPr="007D301A">
        <w:rPr>
          <w:rFonts w:eastAsia="Times New Roman" w:cs="Times New Roman"/>
          <w:szCs w:val="24"/>
          <w:lang w:eastAsia="en-GB"/>
        </w:rPr>
        <w:t xml:space="preserve"> This implies that increased lending by banks expands the money supply (through new deposits), which can subsequently influence overall saving </w:t>
      </w:r>
      <w:r w:rsidR="00C346B2" w:rsidRPr="007D301A">
        <w:rPr>
          <w:rFonts w:eastAsia="Times New Roman" w:cs="Times New Roman"/>
          <w:szCs w:val="24"/>
          <w:lang w:eastAsia="en-GB"/>
        </w:rPr>
        <w:t>behaviour</w:t>
      </w:r>
      <w:r w:rsidR="00FE786B" w:rsidRPr="007D301A">
        <w:rPr>
          <w:rFonts w:eastAsia="Times New Roman" w:cs="Times New Roman"/>
          <w:szCs w:val="24"/>
          <w:lang w:eastAsia="en-GB"/>
        </w:rPr>
        <w:t xml:space="preserve">. Also, greater access to credit can impact how people manage their existing savings, sometimes encouraging them to shift assets from informal methods to formal, interest-bearing accounts as they become more financially integrated. </w:t>
      </w:r>
    </w:p>
    <w:p w:rsidR="0080145E" w:rsidRPr="007D301A" w:rsidRDefault="007D361F" w:rsidP="00596177">
      <w:pPr>
        <w:autoSpaceDE w:val="0"/>
        <w:autoSpaceDN w:val="0"/>
        <w:adjustRightInd w:val="0"/>
        <w:spacing w:after="0" w:line="360" w:lineRule="auto"/>
        <w:jc w:val="both"/>
        <w:rPr>
          <w:rFonts w:cs="Times New Roman"/>
          <w:b/>
          <w:szCs w:val="24"/>
        </w:rPr>
      </w:pPr>
      <w:r w:rsidRPr="007D301A">
        <w:rPr>
          <w:rFonts w:cs="Times New Roman"/>
          <w:b/>
          <w:szCs w:val="24"/>
        </w:rPr>
        <w:t>Table 6</w:t>
      </w:r>
      <w:r w:rsidR="009908E0" w:rsidRPr="007D301A">
        <w:rPr>
          <w:rFonts w:cs="Times New Roman"/>
          <w:b/>
          <w:szCs w:val="24"/>
        </w:rPr>
        <w:t>: Granger causality test r</w:t>
      </w:r>
      <w:r w:rsidRPr="007D301A">
        <w:rPr>
          <w:rFonts w:cs="Times New Roman"/>
          <w:b/>
          <w:szCs w:val="24"/>
        </w:rPr>
        <w:t>esults</w:t>
      </w:r>
    </w:p>
    <w:tbl>
      <w:tblPr>
        <w:tblStyle w:val="TableGrid"/>
        <w:tblW w:w="0" w:type="auto"/>
        <w:tblLook w:val="04A0" w:firstRow="1" w:lastRow="0" w:firstColumn="1" w:lastColumn="0" w:noHBand="0" w:noVBand="1"/>
      </w:tblPr>
      <w:tblGrid>
        <w:gridCol w:w="4500"/>
        <w:gridCol w:w="1255"/>
        <w:gridCol w:w="1116"/>
        <w:gridCol w:w="1255"/>
        <w:gridCol w:w="1116"/>
      </w:tblGrid>
      <w:tr w:rsidR="00857F00" w:rsidTr="00503621">
        <w:tc>
          <w:tcPr>
            <w:tcW w:w="0" w:type="auto"/>
          </w:tcPr>
          <w:p w:rsidR="008C0732" w:rsidRPr="007D301A" w:rsidRDefault="008C0732" w:rsidP="00596177">
            <w:pPr>
              <w:autoSpaceDE w:val="0"/>
              <w:autoSpaceDN w:val="0"/>
              <w:adjustRightInd w:val="0"/>
              <w:jc w:val="both"/>
              <w:rPr>
                <w:rFonts w:cs="Times New Roman"/>
                <w:sz w:val="24"/>
                <w:szCs w:val="24"/>
              </w:rPr>
            </w:pPr>
          </w:p>
        </w:tc>
        <w:tc>
          <w:tcPr>
            <w:tcW w:w="0" w:type="auto"/>
            <w:gridSpan w:val="2"/>
          </w:tcPr>
          <w:p w:rsidR="008C0732" w:rsidRPr="007D301A" w:rsidRDefault="007D361F" w:rsidP="00596177">
            <w:pPr>
              <w:autoSpaceDE w:val="0"/>
              <w:autoSpaceDN w:val="0"/>
              <w:adjustRightInd w:val="0"/>
              <w:jc w:val="both"/>
              <w:rPr>
                <w:rFonts w:cs="Times New Roman"/>
                <w:sz w:val="24"/>
                <w:szCs w:val="24"/>
              </w:rPr>
            </w:pPr>
            <w:r w:rsidRPr="007D301A">
              <w:rPr>
                <w:rFonts w:cs="Times New Roman"/>
                <w:sz w:val="24"/>
                <w:szCs w:val="24"/>
              </w:rPr>
              <w:t>Lag 1</w:t>
            </w:r>
          </w:p>
        </w:tc>
        <w:tc>
          <w:tcPr>
            <w:tcW w:w="0" w:type="auto"/>
            <w:gridSpan w:val="2"/>
          </w:tcPr>
          <w:p w:rsidR="008C0732" w:rsidRPr="007D301A" w:rsidRDefault="007D361F" w:rsidP="00596177">
            <w:pPr>
              <w:autoSpaceDE w:val="0"/>
              <w:autoSpaceDN w:val="0"/>
              <w:adjustRightInd w:val="0"/>
              <w:jc w:val="both"/>
              <w:rPr>
                <w:rFonts w:cs="Times New Roman"/>
                <w:sz w:val="24"/>
                <w:szCs w:val="24"/>
              </w:rPr>
            </w:pPr>
            <w:r w:rsidRPr="007D301A">
              <w:rPr>
                <w:rFonts w:cs="Times New Roman"/>
                <w:sz w:val="24"/>
                <w:szCs w:val="24"/>
              </w:rPr>
              <w:t>Lag 2</w:t>
            </w:r>
          </w:p>
        </w:tc>
      </w:tr>
      <w:tr w:rsidR="00857F00" w:rsidTr="00032CAA">
        <w:tc>
          <w:tcPr>
            <w:tcW w:w="0" w:type="auto"/>
          </w:tcPr>
          <w:p w:rsidR="00032CAA" w:rsidRPr="007D301A" w:rsidRDefault="007D361F" w:rsidP="00596177">
            <w:pPr>
              <w:autoSpaceDE w:val="0"/>
              <w:autoSpaceDN w:val="0"/>
              <w:adjustRightInd w:val="0"/>
              <w:jc w:val="both"/>
              <w:rPr>
                <w:rFonts w:cs="Times New Roman"/>
                <w:sz w:val="24"/>
                <w:szCs w:val="24"/>
              </w:rPr>
            </w:pPr>
            <w:r w:rsidRPr="007D301A">
              <w:rPr>
                <w:rFonts w:cs="Times New Roman"/>
                <w:sz w:val="24"/>
                <w:szCs w:val="24"/>
              </w:rPr>
              <w:t>Null hypothesis</w:t>
            </w:r>
          </w:p>
        </w:tc>
        <w:tc>
          <w:tcPr>
            <w:tcW w:w="0" w:type="auto"/>
          </w:tcPr>
          <w:p w:rsidR="00032CAA" w:rsidRPr="007D301A" w:rsidRDefault="007D361F" w:rsidP="00596177">
            <w:pPr>
              <w:autoSpaceDE w:val="0"/>
              <w:autoSpaceDN w:val="0"/>
              <w:adjustRightInd w:val="0"/>
              <w:jc w:val="both"/>
              <w:rPr>
                <w:rFonts w:cs="Times New Roman"/>
                <w:sz w:val="24"/>
                <w:szCs w:val="24"/>
              </w:rPr>
            </w:pPr>
            <w:r w:rsidRPr="007D301A">
              <w:rPr>
                <w:rFonts w:cs="Times New Roman"/>
                <w:sz w:val="24"/>
                <w:szCs w:val="24"/>
              </w:rPr>
              <w:t>F-Statistics</w:t>
            </w:r>
          </w:p>
        </w:tc>
        <w:tc>
          <w:tcPr>
            <w:tcW w:w="0" w:type="auto"/>
          </w:tcPr>
          <w:p w:rsidR="00032CAA" w:rsidRPr="007D301A" w:rsidRDefault="007D361F" w:rsidP="00596177">
            <w:pPr>
              <w:autoSpaceDE w:val="0"/>
              <w:autoSpaceDN w:val="0"/>
              <w:adjustRightInd w:val="0"/>
              <w:jc w:val="both"/>
              <w:rPr>
                <w:rFonts w:cs="Times New Roman"/>
                <w:sz w:val="24"/>
                <w:szCs w:val="24"/>
              </w:rPr>
            </w:pPr>
            <w:r w:rsidRPr="007D301A">
              <w:rPr>
                <w:rFonts w:cs="Times New Roman"/>
                <w:sz w:val="24"/>
                <w:szCs w:val="24"/>
              </w:rPr>
              <w:t>P-Value</w:t>
            </w:r>
          </w:p>
        </w:tc>
        <w:tc>
          <w:tcPr>
            <w:tcW w:w="0" w:type="auto"/>
          </w:tcPr>
          <w:p w:rsidR="00032CAA" w:rsidRPr="007D301A" w:rsidRDefault="007D361F" w:rsidP="00596177">
            <w:pPr>
              <w:autoSpaceDE w:val="0"/>
              <w:autoSpaceDN w:val="0"/>
              <w:adjustRightInd w:val="0"/>
              <w:jc w:val="both"/>
              <w:rPr>
                <w:rFonts w:cs="Times New Roman"/>
                <w:sz w:val="24"/>
                <w:szCs w:val="24"/>
              </w:rPr>
            </w:pPr>
            <w:r w:rsidRPr="007D301A">
              <w:rPr>
                <w:rFonts w:cs="Times New Roman"/>
                <w:sz w:val="24"/>
                <w:szCs w:val="24"/>
              </w:rPr>
              <w:t>F-Statistics</w:t>
            </w:r>
          </w:p>
        </w:tc>
        <w:tc>
          <w:tcPr>
            <w:tcW w:w="0" w:type="auto"/>
          </w:tcPr>
          <w:p w:rsidR="00032CAA" w:rsidRPr="007D301A" w:rsidRDefault="007D361F" w:rsidP="00596177">
            <w:pPr>
              <w:autoSpaceDE w:val="0"/>
              <w:autoSpaceDN w:val="0"/>
              <w:adjustRightInd w:val="0"/>
              <w:jc w:val="both"/>
              <w:rPr>
                <w:rFonts w:cs="Times New Roman"/>
                <w:sz w:val="24"/>
                <w:szCs w:val="24"/>
              </w:rPr>
            </w:pPr>
            <w:r w:rsidRPr="007D301A">
              <w:rPr>
                <w:rFonts w:cs="Times New Roman"/>
                <w:sz w:val="24"/>
                <w:szCs w:val="24"/>
              </w:rPr>
              <w:t>P-Value</w:t>
            </w:r>
          </w:p>
        </w:tc>
      </w:tr>
      <w:tr w:rsidR="00857F00" w:rsidTr="00032CAA">
        <w:tc>
          <w:tcPr>
            <w:tcW w:w="0" w:type="auto"/>
          </w:tcPr>
          <w:p w:rsidR="00032CAA" w:rsidRPr="007D301A" w:rsidRDefault="007D361F" w:rsidP="00596177">
            <w:pPr>
              <w:autoSpaceDE w:val="0"/>
              <w:autoSpaceDN w:val="0"/>
              <w:adjustRightInd w:val="0"/>
              <w:jc w:val="both"/>
              <w:rPr>
                <w:rFonts w:cs="Times New Roman"/>
                <w:sz w:val="24"/>
                <w:szCs w:val="24"/>
              </w:rPr>
            </w:pPr>
            <w:r w:rsidRPr="007D301A">
              <w:rPr>
                <w:rFonts w:cs="Times New Roman"/>
                <w:sz w:val="24"/>
                <w:szCs w:val="24"/>
              </w:rPr>
              <w:t xml:space="preserve">Saving rate does not Granger-cause credit uptake </w:t>
            </w:r>
          </w:p>
        </w:tc>
        <w:tc>
          <w:tcPr>
            <w:tcW w:w="0" w:type="auto"/>
          </w:tcPr>
          <w:p w:rsidR="00032CAA" w:rsidRPr="007D301A" w:rsidRDefault="007D361F" w:rsidP="00596177">
            <w:pPr>
              <w:jc w:val="both"/>
              <w:rPr>
                <w:rFonts w:cs="Times New Roman"/>
                <w:sz w:val="24"/>
                <w:szCs w:val="24"/>
              </w:rPr>
            </w:pPr>
            <w:r w:rsidRPr="007D301A">
              <w:rPr>
                <w:rFonts w:cs="Times New Roman"/>
                <w:sz w:val="24"/>
                <w:szCs w:val="24"/>
              </w:rPr>
              <w:t>0.76388</w:t>
            </w:r>
          </w:p>
        </w:tc>
        <w:tc>
          <w:tcPr>
            <w:tcW w:w="0" w:type="auto"/>
          </w:tcPr>
          <w:p w:rsidR="00032CAA" w:rsidRPr="007D301A" w:rsidRDefault="007D361F" w:rsidP="00596177">
            <w:pPr>
              <w:jc w:val="both"/>
              <w:rPr>
                <w:rFonts w:cs="Times New Roman"/>
                <w:sz w:val="24"/>
                <w:szCs w:val="24"/>
              </w:rPr>
            </w:pPr>
            <w:r w:rsidRPr="007D301A">
              <w:rPr>
                <w:rFonts w:cs="Times New Roman"/>
                <w:sz w:val="24"/>
                <w:szCs w:val="24"/>
              </w:rPr>
              <w:t>0.3855</w:t>
            </w:r>
          </w:p>
        </w:tc>
        <w:tc>
          <w:tcPr>
            <w:tcW w:w="0" w:type="auto"/>
          </w:tcPr>
          <w:p w:rsidR="00032CAA" w:rsidRPr="007D301A" w:rsidRDefault="007D361F" w:rsidP="00596177">
            <w:pPr>
              <w:jc w:val="both"/>
              <w:rPr>
                <w:rFonts w:cs="Times New Roman"/>
                <w:sz w:val="24"/>
                <w:szCs w:val="24"/>
              </w:rPr>
            </w:pPr>
            <w:r w:rsidRPr="007D301A">
              <w:rPr>
                <w:rFonts w:cs="Times New Roman"/>
                <w:sz w:val="24"/>
                <w:szCs w:val="24"/>
              </w:rPr>
              <w:t>2.50826</w:t>
            </w:r>
          </w:p>
        </w:tc>
        <w:tc>
          <w:tcPr>
            <w:tcW w:w="0" w:type="auto"/>
          </w:tcPr>
          <w:p w:rsidR="00032CAA" w:rsidRPr="007D301A" w:rsidRDefault="007D361F" w:rsidP="00596177">
            <w:pPr>
              <w:jc w:val="both"/>
              <w:rPr>
                <w:rFonts w:cs="Times New Roman"/>
                <w:sz w:val="24"/>
                <w:szCs w:val="24"/>
              </w:rPr>
            </w:pPr>
            <w:r w:rsidRPr="007D301A">
              <w:rPr>
                <w:rFonts w:cs="Times New Roman"/>
                <w:sz w:val="24"/>
                <w:szCs w:val="24"/>
              </w:rPr>
              <w:t>0.0902</w:t>
            </w:r>
            <w:r w:rsidR="00217D84" w:rsidRPr="007D301A">
              <w:rPr>
                <w:rFonts w:cs="Times New Roman"/>
                <w:sz w:val="24"/>
                <w:szCs w:val="24"/>
              </w:rPr>
              <w:t>*</w:t>
            </w:r>
          </w:p>
        </w:tc>
      </w:tr>
      <w:tr w:rsidR="00857F00" w:rsidTr="00032CAA">
        <w:tc>
          <w:tcPr>
            <w:tcW w:w="0" w:type="auto"/>
          </w:tcPr>
          <w:p w:rsidR="00032CAA" w:rsidRPr="007D301A" w:rsidRDefault="007D361F" w:rsidP="00596177">
            <w:pPr>
              <w:autoSpaceDE w:val="0"/>
              <w:autoSpaceDN w:val="0"/>
              <w:adjustRightInd w:val="0"/>
              <w:jc w:val="both"/>
              <w:rPr>
                <w:rFonts w:cs="Times New Roman"/>
                <w:sz w:val="24"/>
                <w:szCs w:val="24"/>
              </w:rPr>
            </w:pPr>
            <w:r w:rsidRPr="007D301A">
              <w:rPr>
                <w:rFonts w:cs="Times New Roman"/>
                <w:sz w:val="24"/>
                <w:szCs w:val="24"/>
              </w:rPr>
              <w:t>Credit uptake does not Granger-cause the saving rate</w:t>
            </w:r>
          </w:p>
        </w:tc>
        <w:tc>
          <w:tcPr>
            <w:tcW w:w="0" w:type="auto"/>
          </w:tcPr>
          <w:p w:rsidR="00032CAA" w:rsidRPr="007D301A" w:rsidRDefault="007D361F" w:rsidP="00596177">
            <w:pPr>
              <w:jc w:val="both"/>
              <w:rPr>
                <w:rFonts w:cs="Times New Roman"/>
                <w:sz w:val="24"/>
                <w:szCs w:val="24"/>
              </w:rPr>
            </w:pPr>
            <w:r w:rsidRPr="007D301A">
              <w:rPr>
                <w:rFonts w:cs="Times New Roman"/>
                <w:sz w:val="24"/>
                <w:szCs w:val="24"/>
              </w:rPr>
              <w:t>5.07301</w:t>
            </w:r>
          </w:p>
        </w:tc>
        <w:tc>
          <w:tcPr>
            <w:tcW w:w="0" w:type="auto"/>
          </w:tcPr>
          <w:p w:rsidR="00032CAA" w:rsidRPr="007D301A" w:rsidRDefault="007D361F" w:rsidP="00596177">
            <w:pPr>
              <w:jc w:val="both"/>
              <w:rPr>
                <w:rFonts w:cs="Times New Roman"/>
                <w:sz w:val="24"/>
                <w:szCs w:val="24"/>
              </w:rPr>
            </w:pPr>
            <w:r w:rsidRPr="007D301A">
              <w:rPr>
                <w:rFonts w:cs="Times New Roman"/>
                <w:sz w:val="24"/>
                <w:szCs w:val="24"/>
              </w:rPr>
              <w:t>0.0279</w:t>
            </w:r>
            <w:r w:rsidR="00217D84" w:rsidRPr="007D301A">
              <w:rPr>
                <w:rFonts w:cs="Times New Roman"/>
                <w:sz w:val="24"/>
                <w:szCs w:val="24"/>
              </w:rPr>
              <w:t>**</w:t>
            </w:r>
          </w:p>
        </w:tc>
        <w:tc>
          <w:tcPr>
            <w:tcW w:w="0" w:type="auto"/>
          </w:tcPr>
          <w:p w:rsidR="00032CAA" w:rsidRPr="007D301A" w:rsidRDefault="007D361F" w:rsidP="00596177">
            <w:pPr>
              <w:jc w:val="both"/>
              <w:rPr>
                <w:rFonts w:cs="Times New Roman"/>
                <w:sz w:val="24"/>
                <w:szCs w:val="24"/>
              </w:rPr>
            </w:pPr>
            <w:r w:rsidRPr="007D301A">
              <w:rPr>
                <w:rFonts w:cs="Times New Roman"/>
                <w:sz w:val="24"/>
                <w:szCs w:val="24"/>
              </w:rPr>
              <w:t>3.39342</w:t>
            </w:r>
          </w:p>
        </w:tc>
        <w:tc>
          <w:tcPr>
            <w:tcW w:w="0" w:type="auto"/>
          </w:tcPr>
          <w:p w:rsidR="00032CAA" w:rsidRPr="007D301A" w:rsidRDefault="007D361F" w:rsidP="00596177">
            <w:pPr>
              <w:jc w:val="both"/>
              <w:rPr>
                <w:rFonts w:cs="Times New Roman"/>
                <w:sz w:val="24"/>
                <w:szCs w:val="24"/>
              </w:rPr>
            </w:pPr>
            <w:r w:rsidRPr="007D301A">
              <w:rPr>
                <w:rFonts w:cs="Times New Roman"/>
                <w:sz w:val="24"/>
                <w:szCs w:val="24"/>
              </w:rPr>
              <w:t>0.0404</w:t>
            </w:r>
            <w:r w:rsidR="00217D84" w:rsidRPr="007D301A">
              <w:rPr>
                <w:rFonts w:cs="Times New Roman"/>
                <w:sz w:val="24"/>
                <w:szCs w:val="24"/>
              </w:rPr>
              <w:t>**</w:t>
            </w:r>
          </w:p>
        </w:tc>
      </w:tr>
    </w:tbl>
    <w:p w:rsidR="00803B68" w:rsidRPr="007D301A" w:rsidRDefault="007D361F" w:rsidP="00A34EAE">
      <w:pPr>
        <w:spacing w:line="360" w:lineRule="auto"/>
        <w:jc w:val="both"/>
        <w:rPr>
          <w:rFonts w:cs="Times New Roman"/>
          <w:szCs w:val="24"/>
        </w:rPr>
      </w:pPr>
      <w:r w:rsidRPr="007D301A">
        <w:rPr>
          <w:rFonts w:cs="Times New Roman"/>
          <w:szCs w:val="24"/>
        </w:rPr>
        <w:t xml:space="preserve">* and </w:t>
      </w:r>
      <w:r w:rsidR="00565964" w:rsidRPr="007D301A">
        <w:rPr>
          <w:rFonts w:cs="Times New Roman"/>
          <w:szCs w:val="24"/>
        </w:rPr>
        <w:t xml:space="preserve">** Reject the null </w:t>
      </w:r>
      <w:r w:rsidRPr="007D301A">
        <w:rPr>
          <w:rFonts w:cs="Times New Roman"/>
          <w:szCs w:val="24"/>
        </w:rPr>
        <w:t>hypothesis at the 10</w:t>
      </w:r>
      <w:r w:rsidR="00565964" w:rsidRPr="007D301A">
        <w:rPr>
          <w:rFonts w:cs="Times New Roman"/>
          <w:szCs w:val="24"/>
        </w:rPr>
        <w:t>%</w:t>
      </w:r>
      <w:r w:rsidRPr="007D301A">
        <w:rPr>
          <w:rFonts w:cs="Times New Roman"/>
          <w:szCs w:val="24"/>
        </w:rPr>
        <w:t xml:space="preserve"> and 5% level, respectively.</w:t>
      </w:r>
    </w:p>
    <w:p w:rsidR="00803B68" w:rsidRPr="007D301A" w:rsidRDefault="007D361F" w:rsidP="00596177">
      <w:pPr>
        <w:spacing w:after="0" w:line="360" w:lineRule="auto"/>
        <w:jc w:val="both"/>
        <w:rPr>
          <w:rFonts w:eastAsia="Times New Roman" w:cs="Times New Roman"/>
          <w:szCs w:val="24"/>
          <w:lang w:eastAsia="en-GB"/>
        </w:rPr>
      </w:pPr>
      <w:r w:rsidRPr="007D301A">
        <w:rPr>
          <w:rFonts w:eastAsia="Times New Roman" w:cs="Times New Roman"/>
          <w:szCs w:val="24"/>
          <w:lang w:eastAsia="en-GB"/>
        </w:rPr>
        <w:t>Empirical studies show varied results, suggesting the direction of causality can differ across countries and time periods: </w:t>
      </w:r>
      <w:r w:rsidRPr="007D301A">
        <w:rPr>
          <w:rFonts w:eastAsia="Times New Roman" w:cs="Times New Roman"/>
          <w:bCs/>
          <w:szCs w:val="24"/>
          <w:lang w:eastAsia="en-GB"/>
        </w:rPr>
        <w:t xml:space="preserve">Savings Rate </w:t>
      </w:r>
      <w:r w:rsidR="004D62D5" w:rsidRPr="007D301A">
        <w:rPr>
          <w:rFonts w:eastAsia="Times New Roman" w:cs="Times New Roman"/>
          <w:bCs/>
          <w:szCs w:val="24"/>
          <w:lang w:eastAsia="en-GB"/>
        </w:rPr>
        <w:t>cause</w:t>
      </w:r>
      <w:r w:rsidRPr="007D301A">
        <w:rPr>
          <w:rFonts w:eastAsia="Times New Roman" w:cs="Times New Roman"/>
          <w:bCs/>
          <w:szCs w:val="24"/>
          <w:lang w:eastAsia="en-GB"/>
        </w:rPr>
        <w:t>s Credit Uptake (Supply-Driven</w:t>
      </w:r>
      <w:r w:rsidR="000A239C">
        <w:rPr>
          <w:rFonts w:eastAsia="Times New Roman" w:cs="Times New Roman"/>
          <w:bCs/>
          <w:szCs w:val="24"/>
          <w:lang w:eastAsia="en-GB"/>
        </w:rPr>
        <w:t xml:space="preserve"> </w:t>
      </w:r>
      <w:r w:rsidR="000168AE" w:rsidRPr="007D301A">
        <w:rPr>
          <w:rFonts w:eastAsia="Times New Roman" w:cs="Times New Roman"/>
          <w:bCs/>
          <w:szCs w:val="24"/>
          <w:lang w:eastAsia="en-GB"/>
        </w:rPr>
        <w:t>hypothesis)</w:t>
      </w:r>
      <w:r w:rsidR="000168AE" w:rsidRPr="007D301A">
        <w:rPr>
          <w:rFonts w:eastAsia="Times New Roman" w:cs="Times New Roman"/>
          <w:szCs w:val="24"/>
          <w:lang w:eastAsia="en-GB"/>
        </w:rPr>
        <w:t>, savings</w:t>
      </w:r>
      <w:r w:rsidRPr="007D301A">
        <w:rPr>
          <w:rFonts w:eastAsia="Times New Roman" w:cs="Times New Roman"/>
          <w:szCs w:val="24"/>
          <w:lang w:eastAsia="en-GB"/>
        </w:rPr>
        <w:t xml:space="preserve"> held as deposits in financial institutions are a primary source of loanable funds. An increase in saving rates boosts the pool of available credit, which can put downward pressure </w:t>
      </w:r>
      <w:r w:rsidRPr="007D301A">
        <w:rPr>
          <w:rFonts w:eastAsia="Times New Roman" w:cs="Times New Roman"/>
          <w:szCs w:val="24"/>
          <w:lang w:eastAsia="en-GB"/>
        </w:rPr>
        <w:lastRenderedPageBreak/>
        <w:t>on lending rates and facilitate more credit uptake.</w:t>
      </w:r>
      <w:r w:rsidR="000A239C">
        <w:rPr>
          <w:rFonts w:eastAsia="Times New Roman" w:cs="Times New Roman"/>
          <w:szCs w:val="24"/>
          <w:lang w:eastAsia="en-GB"/>
        </w:rPr>
        <w:t xml:space="preserve"> </w:t>
      </w:r>
      <w:r w:rsidRPr="007D301A">
        <w:rPr>
          <w:rFonts w:eastAsia="Times New Roman" w:cs="Times New Roman"/>
          <w:szCs w:val="24"/>
          <w:lang w:eastAsia="en-GB"/>
        </w:rPr>
        <w:t xml:space="preserve">In this view, savings </w:t>
      </w:r>
      <w:r w:rsidRPr="007D301A">
        <w:rPr>
          <w:rFonts w:eastAsia="Times New Roman" w:cs="Times New Roman"/>
          <w:iCs/>
          <w:szCs w:val="24"/>
          <w:lang w:eastAsia="en-GB"/>
        </w:rPr>
        <w:t>precede</w:t>
      </w:r>
      <w:r w:rsidRPr="007D301A">
        <w:rPr>
          <w:rFonts w:eastAsia="Times New Roman" w:cs="Times New Roman"/>
          <w:szCs w:val="24"/>
          <w:lang w:eastAsia="en-GB"/>
        </w:rPr>
        <w:t xml:space="preserve"> lending capacity. supply-leading hypothesis" (or "finance-led growth hypothesis"), which posits that the development of the financial sector drives economic growth. In this context, an efficient financial sector channels available savings into productive investments, which acts as a catalyst for overall economic expansion. The supply of financial services (such as credit and capital markets) is created in anticipation of demand, essentially leading and stimulating the real economy. </w:t>
      </w:r>
      <w:r w:rsidR="001802E7" w:rsidRPr="007D301A">
        <w:rPr>
          <w:rFonts w:eastAsia="Times New Roman" w:cs="Times New Roman"/>
          <w:szCs w:val="24"/>
          <w:lang w:eastAsia="en-GB"/>
        </w:rPr>
        <w:t xml:space="preserve">In contrast, </w:t>
      </w:r>
      <w:r w:rsidR="001802E7" w:rsidRPr="007D301A">
        <w:rPr>
          <w:rFonts w:eastAsia="Times New Roman" w:cs="Times New Roman"/>
          <w:bCs/>
          <w:szCs w:val="24"/>
          <w:lang w:eastAsia="en-GB"/>
        </w:rPr>
        <w:t>credit u</w:t>
      </w:r>
      <w:r w:rsidRPr="007D301A">
        <w:rPr>
          <w:rFonts w:eastAsia="Times New Roman" w:cs="Times New Roman"/>
          <w:bCs/>
          <w:szCs w:val="24"/>
          <w:lang w:eastAsia="en-GB"/>
        </w:rPr>
        <w:t xml:space="preserve">ptake </w:t>
      </w:r>
      <w:r w:rsidR="00FE786B" w:rsidRPr="007D301A">
        <w:rPr>
          <w:rFonts w:eastAsia="Times New Roman" w:cs="Times New Roman"/>
          <w:bCs/>
          <w:szCs w:val="24"/>
          <w:lang w:eastAsia="en-GB"/>
        </w:rPr>
        <w:t>cause</w:t>
      </w:r>
      <w:r w:rsidR="001802E7" w:rsidRPr="007D301A">
        <w:rPr>
          <w:rFonts w:eastAsia="Times New Roman" w:cs="Times New Roman"/>
          <w:bCs/>
          <w:szCs w:val="24"/>
          <w:lang w:eastAsia="en-GB"/>
        </w:rPr>
        <w:t>s saving r</w:t>
      </w:r>
      <w:r w:rsidRPr="007D301A">
        <w:rPr>
          <w:rFonts w:eastAsia="Times New Roman" w:cs="Times New Roman"/>
          <w:bCs/>
          <w:szCs w:val="24"/>
          <w:lang w:eastAsia="en-GB"/>
        </w:rPr>
        <w:t>ates (Demand-Driven/Endogenous Money)</w:t>
      </w:r>
      <w:r w:rsidR="00FE786B" w:rsidRPr="007D301A">
        <w:rPr>
          <w:rFonts w:eastAsia="Times New Roman" w:cs="Times New Roman"/>
          <w:szCs w:val="24"/>
          <w:lang w:eastAsia="en-GB"/>
        </w:rPr>
        <w:t>, and s</w:t>
      </w:r>
      <w:r w:rsidRPr="007D301A">
        <w:rPr>
          <w:rFonts w:eastAsia="Times New Roman" w:cs="Times New Roman"/>
          <w:szCs w:val="24"/>
          <w:lang w:eastAsia="en-GB"/>
        </w:rPr>
        <w:t>ome research suggests a reverse or two-way causality.</w:t>
      </w:r>
      <w:r w:rsidR="000A239C">
        <w:rPr>
          <w:rFonts w:eastAsia="Times New Roman" w:cs="Times New Roman"/>
          <w:szCs w:val="24"/>
          <w:lang w:eastAsia="en-GB"/>
        </w:rPr>
        <w:t xml:space="preserve"> </w:t>
      </w:r>
      <w:r w:rsidRPr="007D301A">
        <w:rPr>
          <w:rFonts w:eastAsia="Times New Roman" w:cs="Times New Roman"/>
          <w:bCs/>
          <w:szCs w:val="24"/>
          <w:lang w:eastAsia="en-GB"/>
        </w:rPr>
        <w:t xml:space="preserve">Demand-driven or endogenous </w:t>
      </w:r>
      <w:proofErr w:type="spellStart"/>
      <w:r w:rsidRPr="007D301A">
        <w:rPr>
          <w:rFonts w:eastAsia="Times New Roman" w:cs="Times New Roman"/>
          <w:bCs/>
          <w:szCs w:val="24"/>
          <w:lang w:eastAsia="en-GB"/>
        </w:rPr>
        <w:t>money</w:t>
      </w:r>
      <w:r w:rsidRPr="007D301A">
        <w:rPr>
          <w:rFonts w:eastAsia="Times New Roman" w:cs="Times New Roman"/>
          <w:szCs w:val="24"/>
          <w:lang w:eastAsia="en-GB"/>
        </w:rPr>
        <w:t>is</w:t>
      </w:r>
      <w:proofErr w:type="spellEnd"/>
      <w:r w:rsidRPr="007D301A">
        <w:rPr>
          <w:rFonts w:eastAsia="Times New Roman" w:cs="Times New Roman"/>
          <w:szCs w:val="24"/>
          <w:lang w:eastAsia="en-GB"/>
        </w:rPr>
        <w:t xml:space="preserve"> an economic theory that asserts that the money supply in a modern economy is determined internally by the economic activity and the demand for credit from households and businesses, rather than being determined exogenously by an external authority like a central bank. </w:t>
      </w:r>
    </w:p>
    <w:p w:rsidR="00217D84" w:rsidRPr="007D301A" w:rsidRDefault="00217D84" w:rsidP="00596177">
      <w:pPr>
        <w:autoSpaceDE w:val="0"/>
        <w:autoSpaceDN w:val="0"/>
        <w:adjustRightInd w:val="0"/>
        <w:spacing w:after="0" w:line="360" w:lineRule="auto"/>
        <w:jc w:val="both"/>
        <w:rPr>
          <w:rFonts w:cs="Times New Roman"/>
          <w:szCs w:val="24"/>
        </w:rPr>
      </w:pPr>
    </w:p>
    <w:p w:rsidR="00217D84" w:rsidRPr="007D301A" w:rsidRDefault="007D361F" w:rsidP="00596177">
      <w:pPr>
        <w:autoSpaceDE w:val="0"/>
        <w:autoSpaceDN w:val="0"/>
        <w:adjustRightInd w:val="0"/>
        <w:spacing w:after="0" w:line="360" w:lineRule="auto"/>
        <w:jc w:val="both"/>
        <w:rPr>
          <w:rFonts w:cs="Times New Roman"/>
          <w:b/>
          <w:szCs w:val="24"/>
        </w:rPr>
      </w:pPr>
      <w:r w:rsidRPr="007D301A">
        <w:rPr>
          <w:rFonts w:cs="Times New Roman"/>
          <w:b/>
          <w:szCs w:val="24"/>
        </w:rPr>
        <w:t>Conclusion</w:t>
      </w:r>
    </w:p>
    <w:p w:rsidR="00B1020A" w:rsidRPr="00B1020A" w:rsidRDefault="007D361F" w:rsidP="00596177">
      <w:pPr>
        <w:spacing w:line="360" w:lineRule="auto"/>
        <w:jc w:val="both"/>
        <w:rPr>
          <w:rFonts w:cs="Times New Roman"/>
          <w:szCs w:val="24"/>
        </w:rPr>
      </w:pPr>
      <w:r w:rsidRPr="007D301A">
        <w:rPr>
          <w:rFonts w:cs="Times New Roman"/>
          <w:szCs w:val="24"/>
        </w:rPr>
        <w:t>This study examine</w:t>
      </w:r>
      <w:r w:rsidR="000168AE">
        <w:rPr>
          <w:rFonts w:cs="Times New Roman"/>
          <w:szCs w:val="24"/>
        </w:rPr>
        <w:t>d</w:t>
      </w:r>
      <w:r w:rsidRPr="007D301A">
        <w:rPr>
          <w:rFonts w:cs="Times New Roman"/>
          <w:szCs w:val="24"/>
        </w:rPr>
        <w:t xml:space="preserve"> the relationship between </w:t>
      </w:r>
      <w:r w:rsidR="008150FB" w:rsidRPr="007D301A">
        <w:rPr>
          <w:rFonts w:cs="Times New Roman"/>
          <w:szCs w:val="24"/>
        </w:rPr>
        <w:t xml:space="preserve">saving </w:t>
      </w:r>
      <w:r w:rsidR="00571F2A" w:rsidRPr="007D301A">
        <w:rPr>
          <w:rFonts w:cs="Times New Roman"/>
          <w:szCs w:val="24"/>
        </w:rPr>
        <w:t>rates and</w:t>
      </w:r>
      <w:r w:rsidR="000A239C">
        <w:rPr>
          <w:rFonts w:cs="Times New Roman"/>
          <w:szCs w:val="24"/>
        </w:rPr>
        <w:t xml:space="preserve"> </w:t>
      </w:r>
      <w:r w:rsidR="008150FB" w:rsidRPr="007D301A">
        <w:rPr>
          <w:rFonts w:cs="Times New Roman"/>
          <w:szCs w:val="24"/>
        </w:rPr>
        <w:t xml:space="preserve">credit uptake </w:t>
      </w:r>
      <w:r w:rsidRPr="007D301A">
        <w:rPr>
          <w:rFonts w:cs="Times New Roman"/>
          <w:szCs w:val="24"/>
        </w:rPr>
        <w:t>in the</w:t>
      </w:r>
      <w:r w:rsidR="000A239C">
        <w:rPr>
          <w:rFonts w:cs="Times New Roman"/>
          <w:szCs w:val="24"/>
        </w:rPr>
        <w:t xml:space="preserve"> </w:t>
      </w:r>
      <w:r w:rsidRPr="007D301A">
        <w:rPr>
          <w:rFonts w:cs="Times New Roman"/>
          <w:szCs w:val="24"/>
        </w:rPr>
        <w:t xml:space="preserve">economy of </w:t>
      </w:r>
      <w:r w:rsidR="008150FB" w:rsidRPr="007D301A">
        <w:rPr>
          <w:rFonts w:cs="Times New Roman"/>
          <w:szCs w:val="24"/>
        </w:rPr>
        <w:t>Kenya</w:t>
      </w:r>
      <w:r w:rsidRPr="007D301A">
        <w:rPr>
          <w:rFonts w:cs="Times New Roman"/>
          <w:szCs w:val="24"/>
        </w:rPr>
        <w:t>, using the methodology of Gr</w:t>
      </w:r>
      <w:r w:rsidR="008150FB" w:rsidRPr="007D301A">
        <w:rPr>
          <w:rFonts w:cs="Times New Roman"/>
          <w:szCs w:val="24"/>
        </w:rPr>
        <w:t>anger causality and vector auto</w:t>
      </w:r>
      <w:r w:rsidRPr="007D301A">
        <w:rPr>
          <w:rFonts w:cs="Times New Roman"/>
          <w:szCs w:val="24"/>
        </w:rPr>
        <w:t>regression (VAR). Strong evidence emerges that the</w:t>
      </w:r>
      <w:r w:rsidR="008150FB" w:rsidRPr="007D301A">
        <w:rPr>
          <w:rFonts w:cs="Times New Roman"/>
          <w:szCs w:val="24"/>
        </w:rPr>
        <w:t xml:space="preserve"> credit uptake, as measured by credit to the private sector, i</w:t>
      </w:r>
      <w:r w:rsidR="000168AE">
        <w:rPr>
          <w:rFonts w:cs="Times New Roman"/>
          <w:szCs w:val="24"/>
        </w:rPr>
        <w:t xml:space="preserve">s </w:t>
      </w:r>
      <w:r w:rsidRPr="007D301A">
        <w:rPr>
          <w:rFonts w:cs="Times New Roman"/>
          <w:szCs w:val="24"/>
        </w:rPr>
        <w:t xml:space="preserve">Granger-caused by the </w:t>
      </w:r>
      <w:r w:rsidR="008150FB" w:rsidRPr="007D301A">
        <w:rPr>
          <w:rFonts w:cs="Times New Roman"/>
          <w:szCs w:val="24"/>
        </w:rPr>
        <w:t>saving rate and vice versa</w:t>
      </w:r>
      <w:r w:rsidRPr="007D301A">
        <w:rPr>
          <w:rFonts w:cs="Times New Roman"/>
          <w:szCs w:val="24"/>
        </w:rPr>
        <w:t>.</w:t>
      </w:r>
      <w:r w:rsidR="000A239C">
        <w:rPr>
          <w:rFonts w:cs="Times New Roman"/>
          <w:szCs w:val="24"/>
        </w:rPr>
        <w:t xml:space="preserve"> </w:t>
      </w:r>
      <w:r w:rsidRPr="007D301A">
        <w:rPr>
          <w:rFonts w:cs="Times New Roman"/>
          <w:szCs w:val="24"/>
        </w:rPr>
        <w:t xml:space="preserve">This means that there is a </w:t>
      </w:r>
      <w:r w:rsidR="008150FB" w:rsidRPr="007D301A">
        <w:rPr>
          <w:rFonts w:cs="Times New Roman"/>
          <w:szCs w:val="24"/>
        </w:rPr>
        <w:t>bidirectional</w:t>
      </w:r>
      <w:r w:rsidR="000A239C">
        <w:rPr>
          <w:rFonts w:cs="Times New Roman"/>
          <w:szCs w:val="24"/>
        </w:rPr>
        <w:t xml:space="preserve"> </w:t>
      </w:r>
      <w:r w:rsidRPr="007D301A">
        <w:rPr>
          <w:rFonts w:cs="Times New Roman"/>
          <w:szCs w:val="24"/>
        </w:rPr>
        <w:t xml:space="preserve">causality running from the </w:t>
      </w:r>
      <w:r w:rsidR="008150FB" w:rsidRPr="007D301A">
        <w:rPr>
          <w:rFonts w:cs="Times New Roman"/>
          <w:szCs w:val="24"/>
        </w:rPr>
        <w:t xml:space="preserve">saving </w:t>
      </w:r>
      <w:r w:rsidR="000168AE" w:rsidRPr="007D301A">
        <w:rPr>
          <w:rFonts w:cs="Times New Roman"/>
          <w:szCs w:val="24"/>
        </w:rPr>
        <w:t>rate to</w:t>
      </w:r>
      <w:r w:rsidR="000A239C">
        <w:rPr>
          <w:rFonts w:cs="Times New Roman"/>
          <w:szCs w:val="24"/>
        </w:rPr>
        <w:t xml:space="preserve"> </w:t>
      </w:r>
      <w:r w:rsidR="008150FB" w:rsidRPr="007D301A">
        <w:rPr>
          <w:rFonts w:cs="Times New Roman"/>
          <w:szCs w:val="24"/>
        </w:rPr>
        <w:t>credit uptake</w:t>
      </w:r>
      <w:r w:rsidR="000C5B75" w:rsidRPr="007D301A">
        <w:rPr>
          <w:rFonts w:cs="Times New Roman"/>
          <w:szCs w:val="24"/>
        </w:rPr>
        <w:t>.</w:t>
      </w:r>
      <w:r w:rsidR="000A239C">
        <w:rPr>
          <w:rFonts w:cs="Times New Roman"/>
          <w:szCs w:val="24"/>
        </w:rPr>
        <w:t xml:space="preserve"> </w:t>
      </w:r>
      <w:r w:rsidR="00F75CFA" w:rsidRPr="007D301A">
        <w:rPr>
          <w:rFonts w:eastAsia="Times New Roman" w:cs="Times New Roman"/>
          <w:szCs w:val="24"/>
          <w:lang w:eastAsia="en-GB"/>
        </w:rPr>
        <w:t>Consequently, monetary authorities should formulate policies that address both variables concurrently, as interventions aimed at one will inevitably impact the other.</w:t>
      </w:r>
      <w:r w:rsidR="000A239C">
        <w:rPr>
          <w:rFonts w:eastAsia="Times New Roman" w:cs="Times New Roman"/>
          <w:szCs w:val="24"/>
          <w:lang w:eastAsia="en-GB"/>
        </w:rPr>
        <w:t xml:space="preserve"> </w:t>
      </w:r>
      <w:r w:rsidRPr="00B1020A">
        <w:rPr>
          <w:rFonts w:eastAsia="Times New Roman" w:cs="Times New Roman"/>
          <w:szCs w:val="24"/>
          <w:lang w:eastAsia="en-GB"/>
        </w:rPr>
        <w:t>To enhance the link between credit uptake and savings rates in Kenya, several policy recommendations can be implemented. First, launching financial literacy programs will educate citizens on the benefits of credit and savings, leading to more responsible credit usage and higher savings. Encouraging banks to offer affordable credit products, such as microloans with low interest rates, will increase access to funds, allowing individuals to maintain better cash flow and save more. Additionally, introducing mandatory savings components linked to loans will ensure that a portion of borrowed funds is directed into savings accounts. Supporting the formation of community savings and loan cooperatives can further foster a culture of saving while providing accessible credit options within local communities. Strengthening credit reporting systems will allow for better tracking of borrower</w:t>
      </w:r>
      <w:r w:rsidR="000A239C">
        <w:rPr>
          <w:rFonts w:eastAsia="Times New Roman" w:cs="Times New Roman"/>
          <w:szCs w:val="24"/>
          <w:lang w:eastAsia="en-GB"/>
        </w:rPr>
        <w:t xml:space="preserve"> </w:t>
      </w:r>
      <w:r w:rsidRPr="00B1020A">
        <w:rPr>
          <w:rFonts w:eastAsia="Times New Roman" w:cs="Times New Roman"/>
          <w:szCs w:val="24"/>
          <w:lang w:eastAsia="en-GB"/>
        </w:rPr>
        <w:t>behavio</w:t>
      </w:r>
      <w:r w:rsidR="000168AE">
        <w:rPr>
          <w:rFonts w:eastAsia="Times New Roman" w:cs="Times New Roman"/>
          <w:szCs w:val="24"/>
          <w:lang w:eastAsia="en-GB"/>
        </w:rPr>
        <w:t>u</w:t>
      </w:r>
      <w:r w:rsidRPr="00B1020A">
        <w:rPr>
          <w:rFonts w:eastAsia="Times New Roman" w:cs="Times New Roman"/>
          <w:szCs w:val="24"/>
          <w:lang w:eastAsia="en-GB"/>
        </w:rPr>
        <w:t xml:space="preserve">r, which can lead to improved credit histories that incentivize saving. Implementing tax breaks for maintaining savings alongside loans will promote a savings culture among borrowers, while collaboration with fintech companies to develop integrated platforms will offer users tools for personalized financial management. Finally, </w:t>
      </w:r>
      <w:r w:rsidRPr="00B1020A">
        <w:rPr>
          <w:rFonts w:eastAsia="Times New Roman" w:cs="Times New Roman"/>
          <w:szCs w:val="24"/>
          <w:lang w:eastAsia="en-GB"/>
        </w:rPr>
        <w:lastRenderedPageBreak/>
        <w:t>regularly assessing the impact of these policies through data analysis will help refine strategies to effectively enhance both credit uptake and savings rates. By implementing these interconnected recommendations, Kenya can create a sustainable financial ecosystem that drives economic growth and resilience.</w:t>
      </w:r>
    </w:p>
    <w:p w:rsidR="00B1020A" w:rsidRPr="00B1020A" w:rsidRDefault="007D361F" w:rsidP="00596177">
      <w:pPr>
        <w:pBdr>
          <w:bottom w:val="single" w:sz="6" w:space="1" w:color="auto"/>
        </w:pBdr>
        <w:spacing w:after="0" w:line="360" w:lineRule="auto"/>
        <w:jc w:val="both"/>
        <w:rPr>
          <w:rFonts w:eastAsia="Times New Roman" w:cs="Times New Roman"/>
          <w:vanish/>
          <w:szCs w:val="24"/>
          <w:lang w:eastAsia="en-GB"/>
        </w:rPr>
      </w:pPr>
      <w:r w:rsidRPr="00B1020A">
        <w:rPr>
          <w:rFonts w:eastAsia="Times New Roman" w:cs="Times New Roman"/>
          <w:vanish/>
          <w:szCs w:val="24"/>
          <w:lang w:eastAsia="en-GB"/>
        </w:rPr>
        <w:t>Top of Form</w:t>
      </w:r>
    </w:p>
    <w:p w:rsidR="00B1020A" w:rsidRPr="00B1020A" w:rsidRDefault="007D361F" w:rsidP="00596177">
      <w:pPr>
        <w:pBdr>
          <w:top w:val="single" w:sz="6" w:space="1" w:color="auto"/>
        </w:pBdr>
        <w:spacing w:after="0" w:line="360" w:lineRule="auto"/>
        <w:jc w:val="both"/>
        <w:rPr>
          <w:rFonts w:eastAsia="Times New Roman" w:cs="Times New Roman"/>
          <w:vanish/>
          <w:szCs w:val="24"/>
          <w:lang w:eastAsia="en-GB"/>
        </w:rPr>
      </w:pPr>
      <w:r w:rsidRPr="00B1020A">
        <w:rPr>
          <w:rFonts w:eastAsia="Times New Roman" w:cs="Times New Roman"/>
          <w:vanish/>
          <w:szCs w:val="24"/>
          <w:lang w:eastAsia="en-GB"/>
        </w:rPr>
        <w:t>Bottom of Form</w:t>
      </w:r>
    </w:p>
    <w:p w:rsidR="00BB7792" w:rsidRPr="007D301A" w:rsidRDefault="007D361F" w:rsidP="00596177">
      <w:pPr>
        <w:autoSpaceDE w:val="0"/>
        <w:autoSpaceDN w:val="0"/>
        <w:adjustRightInd w:val="0"/>
        <w:spacing w:after="0" w:line="360" w:lineRule="auto"/>
        <w:jc w:val="both"/>
        <w:rPr>
          <w:rFonts w:cs="Times New Roman"/>
          <w:szCs w:val="24"/>
        </w:rPr>
      </w:pPr>
      <w:r w:rsidRPr="007D301A">
        <w:rPr>
          <w:rFonts w:cs="Times New Roman"/>
          <w:b/>
          <w:szCs w:val="24"/>
        </w:rPr>
        <w:t xml:space="preserve">References </w:t>
      </w:r>
    </w:p>
    <w:p w:rsidR="00DF33BA" w:rsidRDefault="007D361F" w:rsidP="00596177">
      <w:pPr>
        <w:spacing w:line="360" w:lineRule="auto"/>
        <w:ind w:left="720" w:hanging="720"/>
        <w:jc w:val="both"/>
        <w:rPr>
          <w:bCs/>
          <w:lang w:val="en-US"/>
        </w:rPr>
      </w:pPr>
      <w:proofErr w:type="spellStart"/>
      <w:r w:rsidRPr="00AB3119">
        <w:rPr>
          <w:bCs/>
          <w:lang w:val="en-US"/>
        </w:rPr>
        <w:t>Armendáriz</w:t>
      </w:r>
      <w:proofErr w:type="spellEnd"/>
      <w:r w:rsidRPr="00AB3119">
        <w:rPr>
          <w:bCs/>
          <w:lang w:val="en-US"/>
        </w:rPr>
        <w:t xml:space="preserve">, B., &amp; Morduch, J. (2010). </w:t>
      </w:r>
      <w:r w:rsidRPr="00AB3119">
        <w:rPr>
          <w:bCs/>
          <w:i/>
          <w:iCs/>
          <w:lang w:val="en-US"/>
        </w:rPr>
        <w:t>The economics of microfinance</w:t>
      </w:r>
      <w:r w:rsidRPr="00AB3119">
        <w:rPr>
          <w:bCs/>
          <w:lang w:val="en-US"/>
        </w:rPr>
        <w:t xml:space="preserve"> (2nd ed.). MIT Press.</w:t>
      </w:r>
    </w:p>
    <w:p w:rsidR="00DF33BA" w:rsidRDefault="007D361F" w:rsidP="00596177">
      <w:pPr>
        <w:spacing w:line="360" w:lineRule="auto"/>
        <w:ind w:left="720" w:hanging="720"/>
        <w:jc w:val="both"/>
        <w:rPr>
          <w:bCs/>
          <w:lang w:val="en-US"/>
        </w:rPr>
      </w:pPr>
      <w:r w:rsidRPr="00AB3119">
        <w:rPr>
          <w:bCs/>
          <w:lang w:val="en-US"/>
        </w:rPr>
        <w:t xml:space="preserve">Banerjee, A., </w:t>
      </w:r>
      <w:proofErr w:type="spellStart"/>
      <w:r w:rsidRPr="00AB3119">
        <w:rPr>
          <w:bCs/>
          <w:lang w:val="en-US"/>
        </w:rPr>
        <w:t>Duflo</w:t>
      </w:r>
      <w:proofErr w:type="spellEnd"/>
      <w:r w:rsidRPr="00AB3119">
        <w:rPr>
          <w:bCs/>
          <w:lang w:val="en-US"/>
        </w:rPr>
        <w:t xml:space="preserve">, E., </w:t>
      </w:r>
      <w:proofErr w:type="spellStart"/>
      <w:r w:rsidRPr="00AB3119">
        <w:rPr>
          <w:bCs/>
          <w:lang w:val="en-US"/>
        </w:rPr>
        <w:t>Glennerster</w:t>
      </w:r>
      <w:proofErr w:type="spellEnd"/>
      <w:r w:rsidRPr="00AB3119">
        <w:rPr>
          <w:bCs/>
          <w:lang w:val="en-US"/>
        </w:rPr>
        <w:t xml:space="preserve">, R., &amp; </w:t>
      </w:r>
      <w:proofErr w:type="spellStart"/>
      <w:r w:rsidRPr="00AB3119">
        <w:rPr>
          <w:bCs/>
          <w:lang w:val="en-US"/>
        </w:rPr>
        <w:t>Kinnan</w:t>
      </w:r>
      <w:proofErr w:type="spellEnd"/>
      <w:r w:rsidRPr="00AB3119">
        <w:rPr>
          <w:bCs/>
          <w:lang w:val="en-US"/>
        </w:rPr>
        <w:t xml:space="preserve">, C. (2015). The miracle of microfinance? Evidence from a randomized evaluation. </w:t>
      </w:r>
      <w:r w:rsidRPr="00AB3119">
        <w:rPr>
          <w:bCs/>
          <w:i/>
          <w:iCs/>
          <w:lang w:val="en-US"/>
        </w:rPr>
        <w:t>American Economic Journal: Applied Economics, 7</w:t>
      </w:r>
      <w:r w:rsidRPr="00AB3119">
        <w:rPr>
          <w:bCs/>
          <w:lang w:val="en-US"/>
        </w:rPr>
        <w:t>(1), 22–53. https://doi.org/10.1257/app.20130533</w:t>
      </w:r>
    </w:p>
    <w:p w:rsidR="00124F74" w:rsidRDefault="007D361F" w:rsidP="00124F74">
      <w:pPr>
        <w:spacing w:line="360" w:lineRule="auto"/>
        <w:ind w:left="720" w:hanging="720"/>
        <w:jc w:val="both"/>
        <w:rPr>
          <w:bCs/>
          <w:lang w:val="en-US"/>
        </w:rPr>
      </w:pPr>
      <w:r w:rsidRPr="00AB3119">
        <w:rPr>
          <w:bCs/>
          <w:lang w:val="en-US"/>
        </w:rPr>
        <w:t xml:space="preserve">Carroll, C. D. (1997). Buffer-stock saving and the life cycle/permanent income hypothesis. </w:t>
      </w:r>
      <w:r w:rsidRPr="00AB3119">
        <w:rPr>
          <w:bCs/>
          <w:i/>
          <w:iCs/>
          <w:lang w:val="en-US"/>
        </w:rPr>
        <w:t>Quarterly Journal of Economics, 112</w:t>
      </w:r>
      <w:r w:rsidRPr="00AB3119">
        <w:rPr>
          <w:bCs/>
          <w:lang w:val="en-US"/>
        </w:rPr>
        <w:t>(1), 1–55.</w:t>
      </w:r>
    </w:p>
    <w:p w:rsidR="00124F74" w:rsidRPr="00124F74" w:rsidRDefault="007D361F" w:rsidP="00124F74">
      <w:pPr>
        <w:spacing w:line="360" w:lineRule="auto"/>
        <w:ind w:left="720" w:hanging="720"/>
        <w:jc w:val="both"/>
        <w:rPr>
          <w:bCs/>
          <w:lang w:val="en-US"/>
        </w:rPr>
      </w:pPr>
      <w:r w:rsidRPr="007D301A">
        <w:t>Central Bank. (2025</w:t>
      </w:r>
      <w:proofErr w:type="gramStart"/>
      <w:r w:rsidRPr="007D301A">
        <w:t>).</w:t>
      </w:r>
      <w:r w:rsidRPr="007D301A">
        <w:rPr>
          <w:bCs/>
        </w:rPr>
        <w:t>Kenya</w:t>
      </w:r>
      <w:proofErr w:type="gramEnd"/>
      <w:r w:rsidRPr="007D301A">
        <w:rPr>
          <w:bCs/>
        </w:rPr>
        <w:t xml:space="preserve"> National Financial Inclusion Strategy (2025-2028)</w:t>
      </w:r>
    </w:p>
    <w:p w:rsidR="00DF33BA" w:rsidRDefault="007D361F" w:rsidP="00596177">
      <w:pPr>
        <w:spacing w:line="360" w:lineRule="auto"/>
        <w:ind w:left="720" w:hanging="720"/>
        <w:jc w:val="both"/>
        <w:rPr>
          <w:bCs/>
          <w:lang w:val="en-US"/>
        </w:rPr>
      </w:pPr>
      <w:r w:rsidRPr="00AB3119">
        <w:rPr>
          <w:bCs/>
          <w:lang w:val="en-US"/>
        </w:rPr>
        <w:t xml:space="preserve">Deaton, A. (1991). Saving and liquidity constraints. </w:t>
      </w:r>
      <w:proofErr w:type="spellStart"/>
      <w:r w:rsidRPr="00AB3119">
        <w:rPr>
          <w:bCs/>
          <w:i/>
          <w:iCs/>
          <w:lang w:val="en-US"/>
        </w:rPr>
        <w:t>Econometrica</w:t>
      </w:r>
      <w:proofErr w:type="spellEnd"/>
      <w:r w:rsidRPr="00AB3119">
        <w:rPr>
          <w:bCs/>
          <w:i/>
          <w:iCs/>
          <w:lang w:val="en-US"/>
        </w:rPr>
        <w:t>, 59</w:t>
      </w:r>
      <w:r w:rsidRPr="00AB3119">
        <w:rPr>
          <w:bCs/>
          <w:lang w:val="en-US"/>
        </w:rPr>
        <w:t>(5), 1221–1248.</w:t>
      </w:r>
    </w:p>
    <w:p w:rsidR="00DF33BA" w:rsidRDefault="007D361F" w:rsidP="00596177">
      <w:pPr>
        <w:spacing w:line="360" w:lineRule="auto"/>
        <w:ind w:left="720" w:hanging="720"/>
        <w:jc w:val="both"/>
        <w:rPr>
          <w:bCs/>
          <w:lang w:val="en-US"/>
        </w:rPr>
      </w:pPr>
      <w:proofErr w:type="spellStart"/>
      <w:r w:rsidRPr="00AB3119">
        <w:rPr>
          <w:bCs/>
          <w:lang w:val="en-US"/>
        </w:rPr>
        <w:t>Demirgüç-Kunt</w:t>
      </w:r>
      <w:proofErr w:type="spellEnd"/>
      <w:r w:rsidRPr="00AB3119">
        <w:rPr>
          <w:bCs/>
          <w:lang w:val="en-US"/>
        </w:rPr>
        <w:t xml:space="preserve">, A., </w:t>
      </w:r>
      <w:proofErr w:type="spellStart"/>
      <w:r w:rsidRPr="00AB3119">
        <w:rPr>
          <w:bCs/>
          <w:lang w:val="en-US"/>
        </w:rPr>
        <w:t>Klapper</w:t>
      </w:r>
      <w:proofErr w:type="spellEnd"/>
      <w:r w:rsidRPr="00AB3119">
        <w:rPr>
          <w:bCs/>
          <w:lang w:val="en-US"/>
        </w:rPr>
        <w:t xml:space="preserve">, L., Singer, D., Ansar, S., &amp; Hess, J. (2018). </w:t>
      </w:r>
      <w:r w:rsidRPr="00AB3119">
        <w:rPr>
          <w:bCs/>
          <w:i/>
          <w:iCs/>
          <w:lang w:val="en-US"/>
        </w:rPr>
        <w:t xml:space="preserve">The Global </w:t>
      </w:r>
      <w:proofErr w:type="spellStart"/>
      <w:r w:rsidRPr="00AB3119">
        <w:rPr>
          <w:bCs/>
          <w:i/>
          <w:iCs/>
          <w:lang w:val="en-US"/>
        </w:rPr>
        <w:t>Findex</w:t>
      </w:r>
      <w:proofErr w:type="spellEnd"/>
      <w:r w:rsidRPr="00AB3119">
        <w:rPr>
          <w:bCs/>
          <w:i/>
          <w:iCs/>
          <w:lang w:val="en-US"/>
        </w:rPr>
        <w:t xml:space="preserve"> Database 2017: Measuring financial inclusion and the fintech revolution</w:t>
      </w:r>
      <w:r w:rsidRPr="00AB3119">
        <w:rPr>
          <w:bCs/>
          <w:lang w:val="en-US"/>
        </w:rPr>
        <w:t>. World Bank.</w:t>
      </w:r>
    </w:p>
    <w:p w:rsidR="00217FE8" w:rsidRDefault="007D361F" w:rsidP="00217FE8">
      <w:pPr>
        <w:spacing w:line="360" w:lineRule="auto"/>
        <w:ind w:left="720" w:hanging="720"/>
        <w:jc w:val="both"/>
        <w:rPr>
          <w:bCs/>
          <w:lang w:val="en-US"/>
        </w:rPr>
      </w:pPr>
      <w:r w:rsidRPr="00AB3119">
        <w:rPr>
          <w:bCs/>
          <w:lang w:val="en-US"/>
        </w:rPr>
        <w:t xml:space="preserve">Friedman, M. (1957). </w:t>
      </w:r>
      <w:r w:rsidRPr="00AB3119">
        <w:rPr>
          <w:bCs/>
          <w:i/>
          <w:iCs/>
          <w:lang w:val="en-US"/>
        </w:rPr>
        <w:t>A theory of the consumption function</w:t>
      </w:r>
      <w:r w:rsidRPr="00AB3119">
        <w:rPr>
          <w:bCs/>
          <w:lang w:val="en-US"/>
        </w:rPr>
        <w:t>. Princeton University Press.</w:t>
      </w:r>
    </w:p>
    <w:p w:rsidR="00217FE8" w:rsidRPr="00217FE8" w:rsidRDefault="007D361F" w:rsidP="00217FE8">
      <w:pPr>
        <w:spacing w:line="360" w:lineRule="auto"/>
        <w:ind w:left="720" w:hanging="720"/>
        <w:jc w:val="both"/>
        <w:rPr>
          <w:bCs/>
          <w:lang w:val="en-US"/>
        </w:rPr>
      </w:pPr>
      <w:proofErr w:type="spellStart"/>
      <w:r w:rsidRPr="00217FE8">
        <w:rPr>
          <w:rFonts w:cs="Times New Roman"/>
          <w:szCs w:val="24"/>
        </w:rPr>
        <w:t>Gisore</w:t>
      </w:r>
      <w:proofErr w:type="spellEnd"/>
      <w:r w:rsidRPr="00217FE8">
        <w:rPr>
          <w:rFonts w:cs="Times New Roman"/>
          <w:szCs w:val="24"/>
        </w:rPr>
        <w:t xml:space="preserve">, M. (2021). Determinants of regional economic growth in Kenya. </w:t>
      </w:r>
      <w:r w:rsidRPr="00217FE8">
        <w:rPr>
          <w:rFonts w:cs="Times New Roman"/>
          <w:i/>
          <w:szCs w:val="24"/>
        </w:rPr>
        <w:t>African Journal of Business Management</w:t>
      </w:r>
      <w:r w:rsidRPr="00217FE8">
        <w:rPr>
          <w:rFonts w:cs="Times New Roman"/>
          <w:szCs w:val="24"/>
        </w:rPr>
        <w:t>, 15(1), 1-12</w:t>
      </w:r>
    </w:p>
    <w:p w:rsidR="00124F74" w:rsidRDefault="007D361F" w:rsidP="00124F74">
      <w:pPr>
        <w:spacing w:line="360" w:lineRule="auto"/>
        <w:ind w:left="720" w:hanging="720"/>
        <w:jc w:val="both"/>
        <w:rPr>
          <w:bCs/>
          <w:lang w:val="en-US"/>
        </w:rPr>
      </w:pPr>
      <w:r w:rsidRPr="00AB3119">
        <w:rPr>
          <w:bCs/>
          <w:lang w:val="en-US"/>
        </w:rPr>
        <w:t xml:space="preserve">Levine, R. (2005). Finance and growth: Theory and evidence. In P. Aghion &amp; S. </w:t>
      </w:r>
      <w:proofErr w:type="spellStart"/>
      <w:r w:rsidRPr="00AB3119">
        <w:rPr>
          <w:bCs/>
          <w:lang w:val="en-US"/>
        </w:rPr>
        <w:t>Durlauf</w:t>
      </w:r>
      <w:proofErr w:type="spellEnd"/>
      <w:r w:rsidRPr="00AB3119">
        <w:rPr>
          <w:bCs/>
          <w:lang w:val="en-US"/>
        </w:rPr>
        <w:t xml:space="preserve"> (Eds.), </w:t>
      </w:r>
      <w:r w:rsidRPr="00AB3119">
        <w:rPr>
          <w:bCs/>
          <w:i/>
          <w:iCs/>
          <w:lang w:val="en-US"/>
        </w:rPr>
        <w:t>Handbook of economic growth</w:t>
      </w:r>
      <w:r w:rsidRPr="00AB3119">
        <w:rPr>
          <w:bCs/>
          <w:lang w:val="en-US"/>
        </w:rPr>
        <w:t xml:space="preserve"> (Vol. 1, pp. 865–934). Elsevier.</w:t>
      </w:r>
    </w:p>
    <w:p w:rsidR="00124F74" w:rsidRDefault="007D361F" w:rsidP="00124F74">
      <w:pPr>
        <w:spacing w:line="360" w:lineRule="auto"/>
        <w:ind w:left="720" w:hanging="720"/>
        <w:jc w:val="both"/>
        <w:rPr>
          <w:bCs/>
          <w:lang w:val="en-US"/>
        </w:rPr>
      </w:pPr>
      <w:r w:rsidRPr="00AB3119">
        <w:rPr>
          <w:bCs/>
          <w:lang w:val="en-US"/>
        </w:rPr>
        <w:t xml:space="preserve">McKinnon, R. I. (1973). </w:t>
      </w:r>
      <w:r w:rsidRPr="00AB3119">
        <w:rPr>
          <w:bCs/>
          <w:i/>
          <w:iCs/>
          <w:lang w:val="en-US"/>
        </w:rPr>
        <w:t>Money and capital in economic development</w:t>
      </w:r>
      <w:r w:rsidRPr="00AB3119">
        <w:rPr>
          <w:bCs/>
          <w:lang w:val="en-US"/>
        </w:rPr>
        <w:t>. Brookings Institution.</w:t>
      </w:r>
    </w:p>
    <w:p w:rsidR="00124F74" w:rsidRDefault="007D361F" w:rsidP="00124F74">
      <w:pPr>
        <w:spacing w:line="360" w:lineRule="auto"/>
        <w:ind w:left="720" w:hanging="720"/>
        <w:jc w:val="both"/>
        <w:rPr>
          <w:bCs/>
          <w:lang w:val="en-US"/>
        </w:rPr>
      </w:pPr>
      <w:r w:rsidRPr="007D301A">
        <w:rPr>
          <w:rFonts w:cs="Times New Roman"/>
          <w:szCs w:val="24"/>
        </w:rPr>
        <w:t>Mete, F &amp;Yaya, S. (2011).  Impact of FDI on economic development: A causality analysis for Singapore, 1976 - 2002, International Journal of Economic Sciences and Applied Research, 4 (1), 7-17</w:t>
      </w:r>
    </w:p>
    <w:p w:rsidR="00124F74" w:rsidRDefault="007D361F" w:rsidP="00124F74">
      <w:pPr>
        <w:spacing w:line="360" w:lineRule="auto"/>
        <w:ind w:left="720" w:hanging="720"/>
        <w:jc w:val="both"/>
        <w:rPr>
          <w:bCs/>
          <w:lang w:val="en-US"/>
        </w:rPr>
      </w:pPr>
      <w:r w:rsidRPr="00AB3119">
        <w:rPr>
          <w:bCs/>
          <w:lang w:val="en-US"/>
        </w:rPr>
        <w:t xml:space="preserve">Modigliani, F., &amp; </w:t>
      </w:r>
      <w:proofErr w:type="spellStart"/>
      <w:r w:rsidRPr="00AB3119">
        <w:rPr>
          <w:bCs/>
          <w:lang w:val="en-US"/>
        </w:rPr>
        <w:t>Brumberg</w:t>
      </w:r>
      <w:proofErr w:type="spellEnd"/>
      <w:r w:rsidRPr="00AB3119">
        <w:rPr>
          <w:bCs/>
          <w:lang w:val="en-US"/>
        </w:rPr>
        <w:t xml:space="preserve">, R. (1954). Utility analysis and the consumption function: An interpretation of cross-section data. In K. </w:t>
      </w:r>
      <w:proofErr w:type="spellStart"/>
      <w:r w:rsidRPr="00AB3119">
        <w:rPr>
          <w:bCs/>
          <w:lang w:val="en-US"/>
        </w:rPr>
        <w:t>Kurihara</w:t>
      </w:r>
      <w:proofErr w:type="spellEnd"/>
      <w:r w:rsidRPr="00AB3119">
        <w:rPr>
          <w:bCs/>
          <w:lang w:val="en-US"/>
        </w:rPr>
        <w:t xml:space="preserve"> (Ed.), </w:t>
      </w:r>
      <w:r w:rsidRPr="00AB3119">
        <w:rPr>
          <w:bCs/>
          <w:i/>
          <w:iCs/>
          <w:lang w:val="en-US"/>
        </w:rPr>
        <w:t>Post-Keynesian economics</w:t>
      </w:r>
      <w:r w:rsidRPr="00AB3119">
        <w:rPr>
          <w:bCs/>
          <w:lang w:val="en-US"/>
        </w:rPr>
        <w:t xml:space="preserve"> (pp. 388–436). Rutgers University Press.</w:t>
      </w:r>
    </w:p>
    <w:p w:rsidR="00124F74" w:rsidRPr="00124F74" w:rsidRDefault="007D361F" w:rsidP="00124F74">
      <w:pPr>
        <w:spacing w:line="360" w:lineRule="auto"/>
        <w:ind w:left="720" w:hanging="720"/>
        <w:jc w:val="both"/>
        <w:rPr>
          <w:rFonts w:eastAsia="Calibri" w:cs="Times New Roman"/>
          <w:iCs/>
          <w:sz w:val="22"/>
        </w:rPr>
      </w:pPr>
      <w:proofErr w:type="spellStart"/>
      <w:r w:rsidRPr="00124F74">
        <w:rPr>
          <w:rFonts w:eastAsia="Calibri" w:cs="Times New Roman"/>
          <w:iCs/>
          <w:sz w:val="22"/>
        </w:rPr>
        <w:lastRenderedPageBreak/>
        <w:t>Mose</w:t>
      </w:r>
      <w:proofErr w:type="spellEnd"/>
      <w:r w:rsidRPr="00124F74">
        <w:rPr>
          <w:rFonts w:eastAsia="Calibri" w:cs="Times New Roman"/>
          <w:iCs/>
          <w:sz w:val="22"/>
        </w:rPr>
        <w:t>, N. (2023).</w:t>
      </w:r>
      <w:r w:rsidR="00F176CC">
        <w:rPr>
          <w:rFonts w:eastAsia="Calibri" w:cs="Times New Roman"/>
          <w:iCs/>
          <w:sz w:val="22"/>
        </w:rPr>
        <w:t xml:space="preserve"> </w:t>
      </w:r>
      <w:r w:rsidRPr="00124F74">
        <w:rPr>
          <w:rFonts w:eastAsia="Calibri" w:cs="Times New Roman"/>
          <w:bCs/>
          <w:sz w:val="22"/>
        </w:rPr>
        <w:t xml:space="preserve">Determinants of savings in Kenya: Time series analysis. </w:t>
      </w:r>
      <w:r w:rsidRPr="00124F74">
        <w:rPr>
          <w:rFonts w:eastAsia="Calibri" w:cs="Times New Roman"/>
          <w:i/>
          <w:iCs/>
          <w:sz w:val="22"/>
        </w:rPr>
        <w:t xml:space="preserve">International Journal of Social Science, Technology </w:t>
      </w:r>
      <w:r w:rsidRPr="00124F74">
        <w:rPr>
          <w:rFonts w:cs="Times New Roman"/>
          <w:sz w:val="22"/>
        </w:rPr>
        <w:t>&amp;</w:t>
      </w:r>
      <w:r w:rsidRPr="00124F74">
        <w:rPr>
          <w:rFonts w:eastAsia="Calibri" w:cs="Times New Roman"/>
          <w:i/>
          <w:iCs/>
          <w:sz w:val="22"/>
        </w:rPr>
        <w:t>Economics Management,</w:t>
      </w:r>
      <w:r w:rsidRPr="00124F74">
        <w:rPr>
          <w:rFonts w:eastAsia="Calibri" w:cs="Times New Roman"/>
          <w:iCs/>
          <w:sz w:val="22"/>
        </w:rPr>
        <w:t xml:space="preserve"> 1(1), 31-42</w:t>
      </w:r>
    </w:p>
    <w:p w:rsidR="00124F74" w:rsidRPr="00124F74" w:rsidRDefault="007D361F" w:rsidP="00124F74">
      <w:pPr>
        <w:spacing w:line="360" w:lineRule="auto"/>
        <w:ind w:left="720" w:hanging="720"/>
        <w:jc w:val="both"/>
        <w:rPr>
          <w:rFonts w:ascii="Book Antiqua" w:eastAsia="Calibri" w:hAnsi="Book Antiqua"/>
          <w:iCs/>
          <w:sz w:val="22"/>
        </w:rPr>
      </w:pPr>
      <w:r w:rsidRPr="007D301A">
        <w:rPr>
          <w:rFonts w:cs="Times New Roman"/>
          <w:szCs w:val="24"/>
        </w:rPr>
        <w:t xml:space="preserve">Phillips, </w:t>
      </w:r>
      <w:r w:rsidR="000168AE" w:rsidRPr="007D301A">
        <w:rPr>
          <w:rFonts w:cs="Times New Roman"/>
          <w:szCs w:val="24"/>
        </w:rPr>
        <w:t>P.C.B., &amp;</w:t>
      </w:r>
      <w:r w:rsidRPr="007D301A">
        <w:rPr>
          <w:rFonts w:cs="Times New Roman"/>
          <w:szCs w:val="24"/>
        </w:rPr>
        <w:t xml:space="preserve"> </w:t>
      </w:r>
      <w:proofErr w:type="spellStart"/>
      <w:r w:rsidRPr="007D301A">
        <w:rPr>
          <w:rFonts w:cs="Times New Roman"/>
          <w:szCs w:val="24"/>
        </w:rPr>
        <w:t>Perron</w:t>
      </w:r>
      <w:proofErr w:type="spellEnd"/>
      <w:r w:rsidRPr="007D301A">
        <w:rPr>
          <w:rFonts w:cs="Times New Roman"/>
          <w:szCs w:val="24"/>
        </w:rPr>
        <w:t xml:space="preserve">, P. (1988). Testing for a Unit Root in Time Series Regression. </w:t>
      </w:r>
      <w:proofErr w:type="spellStart"/>
      <w:r w:rsidRPr="007D301A">
        <w:rPr>
          <w:rFonts w:cs="Times New Roman"/>
          <w:szCs w:val="24"/>
        </w:rPr>
        <w:t>Biometrika</w:t>
      </w:r>
      <w:proofErr w:type="spellEnd"/>
      <w:r w:rsidRPr="007D301A">
        <w:rPr>
          <w:rFonts w:cs="Times New Roman"/>
          <w:szCs w:val="24"/>
        </w:rPr>
        <w:t>, 75, 335-346.http://dx.doi.org/10.1093/</w:t>
      </w:r>
      <w:proofErr w:type="spellStart"/>
      <w:r w:rsidRPr="007D301A">
        <w:rPr>
          <w:rFonts w:cs="Times New Roman"/>
          <w:szCs w:val="24"/>
        </w:rPr>
        <w:t>biomet</w:t>
      </w:r>
      <w:proofErr w:type="spellEnd"/>
      <w:r w:rsidRPr="007D301A">
        <w:rPr>
          <w:rFonts w:cs="Times New Roman"/>
          <w:szCs w:val="24"/>
        </w:rPr>
        <w:t>/75.2.335</w:t>
      </w:r>
    </w:p>
    <w:p w:rsidR="00DF33BA" w:rsidRPr="00AB3119" w:rsidRDefault="007D361F" w:rsidP="00596177">
      <w:pPr>
        <w:spacing w:line="360" w:lineRule="auto"/>
        <w:ind w:left="720" w:hanging="720"/>
        <w:jc w:val="both"/>
        <w:rPr>
          <w:bCs/>
          <w:lang w:val="en-US"/>
        </w:rPr>
      </w:pPr>
      <w:r w:rsidRPr="00AB3119">
        <w:rPr>
          <w:bCs/>
          <w:lang w:val="en-US"/>
        </w:rPr>
        <w:t xml:space="preserve">Shaw, E. S. (1973). </w:t>
      </w:r>
      <w:r w:rsidRPr="00AB3119">
        <w:rPr>
          <w:bCs/>
          <w:i/>
          <w:iCs/>
          <w:lang w:val="en-US"/>
        </w:rPr>
        <w:t>Financial deepening in economic development</w:t>
      </w:r>
      <w:r w:rsidRPr="00AB3119">
        <w:rPr>
          <w:bCs/>
          <w:lang w:val="en-US"/>
        </w:rPr>
        <w:t>. Oxford University Press.</w:t>
      </w:r>
    </w:p>
    <w:p w:rsidR="00F176CC" w:rsidRPr="00A92AE9" w:rsidRDefault="007D361F" w:rsidP="00F176CC">
      <w:pPr>
        <w:jc w:val="both"/>
        <w:rPr>
          <w:rFonts w:ascii="Book Antiqua" w:hAnsi="Book Antiqua"/>
          <w:sz w:val="22"/>
        </w:rPr>
      </w:pPr>
      <w:proofErr w:type="spellStart"/>
      <w:r w:rsidRPr="00A92AE9">
        <w:rPr>
          <w:rFonts w:ascii="Book Antiqua" w:eastAsia="Calibri" w:hAnsi="Book Antiqua" w:cs="Times New Roman"/>
          <w:sz w:val="22"/>
        </w:rPr>
        <w:t>Thomi</w:t>
      </w:r>
      <w:proofErr w:type="spellEnd"/>
      <w:r w:rsidRPr="00A92AE9">
        <w:rPr>
          <w:rFonts w:ascii="Book Antiqua" w:eastAsia="Calibri" w:hAnsi="Book Antiqua" w:cs="Times New Roman"/>
          <w:sz w:val="22"/>
        </w:rPr>
        <w:t xml:space="preserve">, J. (2021). The determinants of financial inclusion. </w:t>
      </w:r>
      <w:r w:rsidRPr="00A92AE9">
        <w:rPr>
          <w:rFonts w:ascii="Book Antiqua" w:eastAsia="Calibri" w:hAnsi="Book Antiqua" w:cs="Times New Roman"/>
          <w:i/>
          <w:sz w:val="22"/>
        </w:rPr>
        <w:t>Financial Internet Quarterly,</w:t>
      </w:r>
      <w:r w:rsidRPr="00A92AE9">
        <w:rPr>
          <w:rFonts w:ascii="Book Antiqua" w:eastAsia="Calibri" w:hAnsi="Book Antiqua" w:cs="Times New Roman"/>
          <w:sz w:val="22"/>
        </w:rPr>
        <w:t xml:space="preserve"> 17(2), 50-57</w:t>
      </w:r>
    </w:p>
    <w:p w:rsidR="00DF33BA" w:rsidRDefault="00DF33BA" w:rsidP="00596177">
      <w:pPr>
        <w:spacing w:line="360" w:lineRule="auto"/>
        <w:jc w:val="both"/>
        <w:rPr>
          <w:rFonts w:cs="Times New Roman"/>
          <w:szCs w:val="24"/>
        </w:rPr>
      </w:pPr>
    </w:p>
    <w:p w:rsidR="00D54124" w:rsidRPr="007D301A" w:rsidRDefault="00D54124" w:rsidP="00596177">
      <w:pPr>
        <w:spacing w:line="360" w:lineRule="auto"/>
        <w:jc w:val="both"/>
        <w:rPr>
          <w:rFonts w:cs="Times New Roman"/>
          <w:szCs w:val="24"/>
        </w:rPr>
      </w:pPr>
    </w:p>
    <w:p w:rsidR="00BB7792" w:rsidRPr="007D301A" w:rsidRDefault="00BB7792" w:rsidP="00596177">
      <w:pPr>
        <w:pStyle w:val="BodyText"/>
        <w:tabs>
          <w:tab w:val="left" w:pos="720"/>
          <w:tab w:val="left" w:pos="1440"/>
        </w:tabs>
        <w:spacing w:line="360" w:lineRule="auto"/>
        <w:jc w:val="both"/>
        <w:rPr>
          <w:spacing w:val="-5"/>
          <w:szCs w:val="24"/>
        </w:rPr>
      </w:pPr>
    </w:p>
    <w:p w:rsidR="007A521B" w:rsidRPr="007D301A" w:rsidRDefault="007A521B" w:rsidP="00596177">
      <w:pPr>
        <w:spacing w:line="360" w:lineRule="auto"/>
        <w:jc w:val="both"/>
        <w:rPr>
          <w:rFonts w:cs="Times New Roman"/>
          <w:szCs w:val="24"/>
        </w:rPr>
      </w:pPr>
    </w:p>
    <w:sectPr w:rsidR="007A521B" w:rsidRPr="007D301A" w:rsidSect="008549D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EC4" w:rsidRDefault="00F85EC4" w:rsidP="00857F00">
      <w:pPr>
        <w:spacing w:after="0" w:line="240" w:lineRule="auto"/>
      </w:pPr>
      <w:r>
        <w:separator/>
      </w:r>
    </w:p>
  </w:endnote>
  <w:endnote w:type="continuationSeparator" w:id="0">
    <w:p w:rsidR="00F85EC4" w:rsidRDefault="00F85EC4" w:rsidP="00857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047" w:rsidRDefault="00064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047" w:rsidRDefault="00064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047" w:rsidRDefault="0006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EC4" w:rsidRDefault="00F85EC4" w:rsidP="00857F00">
      <w:pPr>
        <w:spacing w:after="0" w:line="240" w:lineRule="auto"/>
      </w:pPr>
      <w:r>
        <w:separator/>
      </w:r>
    </w:p>
  </w:footnote>
  <w:footnote w:type="continuationSeparator" w:id="0">
    <w:p w:rsidR="00F85EC4" w:rsidRDefault="00F85EC4" w:rsidP="00857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047" w:rsidRDefault="000640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EDD" w:rsidRDefault="00064047" w:rsidP="00831EDD">
    <w:pPr>
      <w:pStyle w:val="Heading1"/>
      <w:spacing w:before="0"/>
      <w:rPr>
        <w:color w:val="FFFFF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7D361F">
      <w:rPr>
        <w:rStyle w:val="ajolbreadcrumbs"/>
        <w:color w:val="FFFFFF"/>
      </w:rPr>
      <w:t>UNESCO</w:t>
    </w:r>
  </w:p>
  <w:p w:rsidR="00831EDD" w:rsidRDefault="00831E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047" w:rsidRDefault="000640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084A"/>
    <w:multiLevelType w:val="multilevel"/>
    <w:tmpl w:val="4582DF36"/>
    <w:lvl w:ilvl="0">
      <w:start w:val="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FF50C6"/>
    <w:multiLevelType w:val="hybridMultilevel"/>
    <w:tmpl w:val="EE82BAE6"/>
    <w:lvl w:ilvl="0" w:tplc="66EC0466">
      <w:start w:val="1"/>
      <w:numFmt w:val="lowerRoman"/>
      <w:lvlText w:val="%1."/>
      <w:lvlJc w:val="right"/>
      <w:pPr>
        <w:ind w:left="720" w:hanging="360"/>
      </w:pPr>
    </w:lvl>
    <w:lvl w:ilvl="1" w:tplc="FADC925C" w:tentative="1">
      <w:start w:val="1"/>
      <w:numFmt w:val="lowerLetter"/>
      <w:lvlText w:val="%2."/>
      <w:lvlJc w:val="left"/>
      <w:pPr>
        <w:ind w:left="1440" w:hanging="360"/>
      </w:pPr>
    </w:lvl>
    <w:lvl w:ilvl="2" w:tplc="689CC416" w:tentative="1">
      <w:start w:val="1"/>
      <w:numFmt w:val="lowerRoman"/>
      <w:lvlText w:val="%3."/>
      <w:lvlJc w:val="right"/>
      <w:pPr>
        <w:ind w:left="2160" w:hanging="180"/>
      </w:pPr>
    </w:lvl>
    <w:lvl w:ilvl="3" w:tplc="15966EEE" w:tentative="1">
      <w:start w:val="1"/>
      <w:numFmt w:val="decimal"/>
      <w:lvlText w:val="%4."/>
      <w:lvlJc w:val="left"/>
      <w:pPr>
        <w:ind w:left="2880" w:hanging="360"/>
      </w:pPr>
    </w:lvl>
    <w:lvl w:ilvl="4" w:tplc="18B4053A" w:tentative="1">
      <w:start w:val="1"/>
      <w:numFmt w:val="lowerLetter"/>
      <w:lvlText w:val="%5."/>
      <w:lvlJc w:val="left"/>
      <w:pPr>
        <w:ind w:left="3600" w:hanging="360"/>
      </w:pPr>
    </w:lvl>
    <w:lvl w:ilvl="5" w:tplc="C50611D2" w:tentative="1">
      <w:start w:val="1"/>
      <w:numFmt w:val="lowerRoman"/>
      <w:lvlText w:val="%6."/>
      <w:lvlJc w:val="right"/>
      <w:pPr>
        <w:ind w:left="4320" w:hanging="180"/>
      </w:pPr>
    </w:lvl>
    <w:lvl w:ilvl="6" w:tplc="F5623FA2" w:tentative="1">
      <w:start w:val="1"/>
      <w:numFmt w:val="decimal"/>
      <w:lvlText w:val="%7."/>
      <w:lvlJc w:val="left"/>
      <w:pPr>
        <w:ind w:left="5040" w:hanging="360"/>
      </w:pPr>
    </w:lvl>
    <w:lvl w:ilvl="7" w:tplc="A13AA872" w:tentative="1">
      <w:start w:val="1"/>
      <w:numFmt w:val="lowerLetter"/>
      <w:lvlText w:val="%8."/>
      <w:lvlJc w:val="left"/>
      <w:pPr>
        <w:ind w:left="5760" w:hanging="360"/>
      </w:pPr>
    </w:lvl>
    <w:lvl w:ilvl="8" w:tplc="D10664AE" w:tentative="1">
      <w:start w:val="1"/>
      <w:numFmt w:val="lowerRoman"/>
      <w:lvlText w:val="%9."/>
      <w:lvlJc w:val="right"/>
      <w:pPr>
        <w:ind w:left="6480" w:hanging="180"/>
      </w:pPr>
    </w:lvl>
  </w:abstractNum>
  <w:abstractNum w:abstractNumId="2" w15:restartNumberingAfterBreak="0">
    <w:nsid w:val="17B23199"/>
    <w:multiLevelType w:val="multilevel"/>
    <w:tmpl w:val="D198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2666E"/>
    <w:multiLevelType w:val="multilevel"/>
    <w:tmpl w:val="3DA6641A"/>
    <w:lvl w:ilvl="0">
      <w:start w:val="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344993"/>
    <w:multiLevelType w:val="hybridMultilevel"/>
    <w:tmpl w:val="4E70B350"/>
    <w:lvl w:ilvl="0" w:tplc="7356423C">
      <w:numFmt w:val="bullet"/>
      <w:lvlText w:val="-"/>
      <w:lvlJc w:val="left"/>
      <w:pPr>
        <w:ind w:left="360" w:hanging="360"/>
      </w:pPr>
      <w:rPr>
        <w:rFonts w:ascii="Times New Roman" w:eastAsia="Times New Roman" w:hAnsi="Times New Roman" w:cs="Times New Roman" w:hint="default"/>
      </w:rPr>
    </w:lvl>
    <w:lvl w:ilvl="1" w:tplc="675235AC" w:tentative="1">
      <w:start w:val="1"/>
      <w:numFmt w:val="bullet"/>
      <w:lvlText w:val="o"/>
      <w:lvlJc w:val="left"/>
      <w:pPr>
        <w:ind w:left="1080" w:hanging="360"/>
      </w:pPr>
      <w:rPr>
        <w:rFonts w:ascii="Courier New" w:hAnsi="Courier New" w:cs="Courier New" w:hint="default"/>
      </w:rPr>
    </w:lvl>
    <w:lvl w:ilvl="2" w:tplc="5996492A" w:tentative="1">
      <w:start w:val="1"/>
      <w:numFmt w:val="bullet"/>
      <w:lvlText w:val=""/>
      <w:lvlJc w:val="left"/>
      <w:pPr>
        <w:ind w:left="1800" w:hanging="360"/>
      </w:pPr>
      <w:rPr>
        <w:rFonts w:ascii="Wingdings" w:hAnsi="Wingdings" w:hint="default"/>
      </w:rPr>
    </w:lvl>
    <w:lvl w:ilvl="3" w:tplc="232CBB42" w:tentative="1">
      <w:start w:val="1"/>
      <w:numFmt w:val="bullet"/>
      <w:lvlText w:val=""/>
      <w:lvlJc w:val="left"/>
      <w:pPr>
        <w:ind w:left="2520" w:hanging="360"/>
      </w:pPr>
      <w:rPr>
        <w:rFonts w:ascii="Symbol" w:hAnsi="Symbol" w:hint="default"/>
      </w:rPr>
    </w:lvl>
    <w:lvl w:ilvl="4" w:tplc="4FEC744C" w:tentative="1">
      <w:start w:val="1"/>
      <w:numFmt w:val="bullet"/>
      <w:lvlText w:val="o"/>
      <w:lvlJc w:val="left"/>
      <w:pPr>
        <w:ind w:left="3240" w:hanging="360"/>
      </w:pPr>
      <w:rPr>
        <w:rFonts w:ascii="Courier New" w:hAnsi="Courier New" w:cs="Courier New" w:hint="default"/>
      </w:rPr>
    </w:lvl>
    <w:lvl w:ilvl="5" w:tplc="0B8C635E" w:tentative="1">
      <w:start w:val="1"/>
      <w:numFmt w:val="bullet"/>
      <w:lvlText w:val=""/>
      <w:lvlJc w:val="left"/>
      <w:pPr>
        <w:ind w:left="3960" w:hanging="360"/>
      </w:pPr>
      <w:rPr>
        <w:rFonts w:ascii="Wingdings" w:hAnsi="Wingdings" w:hint="default"/>
      </w:rPr>
    </w:lvl>
    <w:lvl w:ilvl="6" w:tplc="859C4382" w:tentative="1">
      <w:start w:val="1"/>
      <w:numFmt w:val="bullet"/>
      <w:lvlText w:val=""/>
      <w:lvlJc w:val="left"/>
      <w:pPr>
        <w:ind w:left="4680" w:hanging="360"/>
      </w:pPr>
      <w:rPr>
        <w:rFonts w:ascii="Symbol" w:hAnsi="Symbol" w:hint="default"/>
      </w:rPr>
    </w:lvl>
    <w:lvl w:ilvl="7" w:tplc="6400C698" w:tentative="1">
      <w:start w:val="1"/>
      <w:numFmt w:val="bullet"/>
      <w:lvlText w:val="o"/>
      <w:lvlJc w:val="left"/>
      <w:pPr>
        <w:ind w:left="5400" w:hanging="360"/>
      </w:pPr>
      <w:rPr>
        <w:rFonts w:ascii="Courier New" w:hAnsi="Courier New" w:cs="Courier New" w:hint="default"/>
      </w:rPr>
    </w:lvl>
    <w:lvl w:ilvl="8" w:tplc="587CE1DC" w:tentative="1">
      <w:start w:val="1"/>
      <w:numFmt w:val="bullet"/>
      <w:lvlText w:val=""/>
      <w:lvlJc w:val="left"/>
      <w:pPr>
        <w:ind w:left="6120" w:hanging="360"/>
      </w:pPr>
      <w:rPr>
        <w:rFonts w:ascii="Wingdings" w:hAnsi="Wingdings" w:hint="default"/>
      </w:rPr>
    </w:lvl>
  </w:abstractNum>
  <w:abstractNum w:abstractNumId="5" w15:restartNumberingAfterBreak="0">
    <w:nsid w:val="59E86C8A"/>
    <w:multiLevelType w:val="hybridMultilevel"/>
    <w:tmpl w:val="816EF5B0"/>
    <w:lvl w:ilvl="0" w:tplc="D35ABA38">
      <w:start w:val="1"/>
      <w:numFmt w:val="lowerRoman"/>
      <w:lvlText w:val="%1."/>
      <w:lvlJc w:val="right"/>
      <w:pPr>
        <w:ind w:left="780" w:hanging="360"/>
      </w:pPr>
    </w:lvl>
    <w:lvl w:ilvl="1" w:tplc="90F0BFE0" w:tentative="1">
      <w:start w:val="1"/>
      <w:numFmt w:val="lowerLetter"/>
      <w:lvlText w:val="%2."/>
      <w:lvlJc w:val="left"/>
      <w:pPr>
        <w:ind w:left="1500" w:hanging="360"/>
      </w:pPr>
    </w:lvl>
    <w:lvl w:ilvl="2" w:tplc="7820D00A" w:tentative="1">
      <w:start w:val="1"/>
      <w:numFmt w:val="lowerRoman"/>
      <w:lvlText w:val="%3."/>
      <w:lvlJc w:val="right"/>
      <w:pPr>
        <w:ind w:left="2220" w:hanging="180"/>
      </w:pPr>
    </w:lvl>
    <w:lvl w:ilvl="3" w:tplc="86D40B3E" w:tentative="1">
      <w:start w:val="1"/>
      <w:numFmt w:val="decimal"/>
      <w:lvlText w:val="%4."/>
      <w:lvlJc w:val="left"/>
      <w:pPr>
        <w:ind w:left="2940" w:hanging="360"/>
      </w:pPr>
    </w:lvl>
    <w:lvl w:ilvl="4" w:tplc="95AE9988" w:tentative="1">
      <w:start w:val="1"/>
      <w:numFmt w:val="lowerLetter"/>
      <w:lvlText w:val="%5."/>
      <w:lvlJc w:val="left"/>
      <w:pPr>
        <w:ind w:left="3660" w:hanging="360"/>
      </w:pPr>
    </w:lvl>
    <w:lvl w:ilvl="5" w:tplc="618001E2" w:tentative="1">
      <w:start w:val="1"/>
      <w:numFmt w:val="lowerRoman"/>
      <w:lvlText w:val="%6."/>
      <w:lvlJc w:val="right"/>
      <w:pPr>
        <w:ind w:left="4380" w:hanging="180"/>
      </w:pPr>
    </w:lvl>
    <w:lvl w:ilvl="6" w:tplc="8F8ED1A2" w:tentative="1">
      <w:start w:val="1"/>
      <w:numFmt w:val="decimal"/>
      <w:lvlText w:val="%7."/>
      <w:lvlJc w:val="left"/>
      <w:pPr>
        <w:ind w:left="5100" w:hanging="360"/>
      </w:pPr>
    </w:lvl>
    <w:lvl w:ilvl="7" w:tplc="BBAAFA6C" w:tentative="1">
      <w:start w:val="1"/>
      <w:numFmt w:val="lowerLetter"/>
      <w:lvlText w:val="%8."/>
      <w:lvlJc w:val="left"/>
      <w:pPr>
        <w:ind w:left="5820" w:hanging="360"/>
      </w:pPr>
    </w:lvl>
    <w:lvl w:ilvl="8" w:tplc="8D1ABF6E" w:tentative="1">
      <w:start w:val="1"/>
      <w:numFmt w:val="lowerRoman"/>
      <w:lvlText w:val="%9."/>
      <w:lvlJc w:val="right"/>
      <w:pPr>
        <w:ind w:left="6540" w:hanging="180"/>
      </w:pPr>
    </w:lvl>
  </w:abstractNum>
  <w:abstractNum w:abstractNumId="6" w15:restartNumberingAfterBreak="0">
    <w:nsid w:val="709555A4"/>
    <w:multiLevelType w:val="multilevel"/>
    <w:tmpl w:val="9DA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7E86"/>
    <w:rsid w:val="000114B7"/>
    <w:rsid w:val="000148D0"/>
    <w:rsid w:val="00015E46"/>
    <w:rsid w:val="000168AE"/>
    <w:rsid w:val="000202C0"/>
    <w:rsid w:val="0002075D"/>
    <w:rsid w:val="00021D3C"/>
    <w:rsid w:val="00024E8B"/>
    <w:rsid w:val="00032CAA"/>
    <w:rsid w:val="00037E67"/>
    <w:rsid w:val="0004349B"/>
    <w:rsid w:val="00047822"/>
    <w:rsid w:val="00047866"/>
    <w:rsid w:val="00063C0B"/>
    <w:rsid w:val="00064047"/>
    <w:rsid w:val="00076F7F"/>
    <w:rsid w:val="000807D8"/>
    <w:rsid w:val="00091A5C"/>
    <w:rsid w:val="000A239C"/>
    <w:rsid w:val="000B3E55"/>
    <w:rsid w:val="000B5FC9"/>
    <w:rsid w:val="000C1D3C"/>
    <w:rsid w:val="000C5B75"/>
    <w:rsid w:val="000E04B3"/>
    <w:rsid w:val="000E71C9"/>
    <w:rsid w:val="000F35EF"/>
    <w:rsid w:val="000F7A5C"/>
    <w:rsid w:val="00110783"/>
    <w:rsid w:val="00117DB5"/>
    <w:rsid w:val="00124F74"/>
    <w:rsid w:val="0013169F"/>
    <w:rsid w:val="00170097"/>
    <w:rsid w:val="001802E7"/>
    <w:rsid w:val="001833F1"/>
    <w:rsid w:val="001A5B1D"/>
    <w:rsid w:val="001A75C1"/>
    <w:rsid w:val="001D037E"/>
    <w:rsid w:val="001D2A6F"/>
    <w:rsid w:val="001D6C72"/>
    <w:rsid w:val="001E76B2"/>
    <w:rsid w:val="001F6DBD"/>
    <w:rsid w:val="0021762D"/>
    <w:rsid w:val="00217D84"/>
    <w:rsid w:val="00217FE8"/>
    <w:rsid w:val="00225565"/>
    <w:rsid w:val="00231776"/>
    <w:rsid w:val="002377E0"/>
    <w:rsid w:val="00242A5F"/>
    <w:rsid w:val="00242F88"/>
    <w:rsid w:val="00277B58"/>
    <w:rsid w:val="0028468C"/>
    <w:rsid w:val="002A182B"/>
    <w:rsid w:val="002A77EB"/>
    <w:rsid w:val="002B4206"/>
    <w:rsid w:val="002C29D9"/>
    <w:rsid w:val="002D745C"/>
    <w:rsid w:val="002F2E1F"/>
    <w:rsid w:val="00320E43"/>
    <w:rsid w:val="0032316A"/>
    <w:rsid w:val="003232B9"/>
    <w:rsid w:val="00323A93"/>
    <w:rsid w:val="00350C73"/>
    <w:rsid w:val="00360CB3"/>
    <w:rsid w:val="0037765B"/>
    <w:rsid w:val="00380A53"/>
    <w:rsid w:val="0039214A"/>
    <w:rsid w:val="0039468A"/>
    <w:rsid w:val="003979CD"/>
    <w:rsid w:val="003C2D2A"/>
    <w:rsid w:val="003E22BC"/>
    <w:rsid w:val="0041767E"/>
    <w:rsid w:val="00433FB9"/>
    <w:rsid w:val="00436F26"/>
    <w:rsid w:val="00440E30"/>
    <w:rsid w:val="0044328C"/>
    <w:rsid w:val="00453149"/>
    <w:rsid w:val="004548C6"/>
    <w:rsid w:val="00470DA0"/>
    <w:rsid w:val="004A095D"/>
    <w:rsid w:val="004B753F"/>
    <w:rsid w:val="004C4E36"/>
    <w:rsid w:val="004C5F54"/>
    <w:rsid w:val="004C7E86"/>
    <w:rsid w:val="004D5ADF"/>
    <w:rsid w:val="004D62D5"/>
    <w:rsid w:val="004F1978"/>
    <w:rsid w:val="00506637"/>
    <w:rsid w:val="00513870"/>
    <w:rsid w:val="00532C2B"/>
    <w:rsid w:val="00540F64"/>
    <w:rsid w:val="00560ECD"/>
    <w:rsid w:val="00565964"/>
    <w:rsid w:val="00565D58"/>
    <w:rsid w:val="00571F2A"/>
    <w:rsid w:val="00573E59"/>
    <w:rsid w:val="00580325"/>
    <w:rsid w:val="00593037"/>
    <w:rsid w:val="00596177"/>
    <w:rsid w:val="005A1E01"/>
    <w:rsid w:val="005A420D"/>
    <w:rsid w:val="005A78FF"/>
    <w:rsid w:val="005D7C35"/>
    <w:rsid w:val="005E188B"/>
    <w:rsid w:val="005F1C21"/>
    <w:rsid w:val="005F2B71"/>
    <w:rsid w:val="00640049"/>
    <w:rsid w:val="0064015F"/>
    <w:rsid w:val="006410A5"/>
    <w:rsid w:val="0065644E"/>
    <w:rsid w:val="006578D0"/>
    <w:rsid w:val="006659A3"/>
    <w:rsid w:val="00677E52"/>
    <w:rsid w:val="0068360C"/>
    <w:rsid w:val="0068583F"/>
    <w:rsid w:val="00692C32"/>
    <w:rsid w:val="006A1285"/>
    <w:rsid w:val="006B3531"/>
    <w:rsid w:val="00703312"/>
    <w:rsid w:val="0071651F"/>
    <w:rsid w:val="00716CCA"/>
    <w:rsid w:val="00720A78"/>
    <w:rsid w:val="00721D73"/>
    <w:rsid w:val="00730A24"/>
    <w:rsid w:val="00763CEA"/>
    <w:rsid w:val="0077210F"/>
    <w:rsid w:val="0078003A"/>
    <w:rsid w:val="007819EA"/>
    <w:rsid w:val="00783737"/>
    <w:rsid w:val="007862D4"/>
    <w:rsid w:val="007927E8"/>
    <w:rsid w:val="007A521B"/>
    <w:rsid w:val="007A7060"/>
    <w:rsid w:val="007C7286"/>
    <w:rsid w:val="007D301A"/>
    <w:rsid w:val="007D361F"/>
    <w:rsid w:val="007D602B"/>
    <w:rsid w:val="007D7EAA"/>
    <w:rsid w:val="0080017D"/>
    <w:rsid w:val="008001C8"/>
    <w:rsid w:val="0080145E"/>
    <w:rsid w:val="0080308B"/>
    <w:rsid w:val="00803B68"/>
    <w:rsid w:val="008150FB"/>
    <w:rsid w:val="00821DD8"/>
    <w:rsid w:val="00824C52"/>
    <w:rsid w:val="00831EDD"/>
    <w:rsid w:val="00832694"/>
    <w:rsid w:val="008549DC"/>
    <w:rsid w:val="00857F00"/>
    <w:rsid w:val="00861F4C"/>
    <w:rsid w:val="008629B8"/>
    <w:rsid w:val="008658A8"/>
    <w:rsid w:val="0087074B"/>
    <w:rsid w:val="00892556"/>
    <w:rsid w:val="008C0732"/>
    <w:rsid w:val="008C143E"/>
    <w:rsid w:val="008C47B0"/>
    <w:rsid w:val="008D75AF"/>
    <w:rsid w:val="008E14D5"/>
    <w:rsid w:val="008E29C0"/>
    <w:rsid w:val="008F383C"/>
    <w:rsid w:val="00900CE7"/>
    <w:rsid w:val="009265DE"/>
    <w:rsid w:val="00926A5B"/>
    <w:rsid w:val="00936FA9"/>
    <w:rsid w:val="00957BFA"/>
    <w:rsid w:val="00962F38"/>
    <w:rsid w:val="00965927"/>
    <w:rsid w:val="009739B2"/>
    <w:rsid w:val="00985FEA"/>
    <w:rsid w:val="009908E0"/>
    <w:rsid w:val="00994D4C"/>
    <w:rsid w:val="009B79CA"/>
    <w:rsid w:val="009D1C98"/>
    <w:rsid w:val="009F5508"/>
    <w:rsid w:val="00A05BC2"/>
    <w:rsid w:val="00A326A6"/>
    <w:rsid w:val="00A34EAE"/>
    <w:rsid w:val="00A61FD6"/>
    <w:rsid w:val="00A7659D"/>
    <w:rsid w:val="00A92AE9"/>
    <w:rsid w:val="00AB3119"/>
    <w:rsid w:val="00AF228B"/>
    <w:rsid w:val="00AF2494"/>
    <w:rsid w:val="00B00992"/>
    <w:rsid w:val="00B1020A"/>
    <w:rsid w:val="00B27783"/>
    <w:rsid w:val="00B33462"/>
    <w:rsid w:val="00B351EC"/>
    <w:rsid w:val="00B36900"/>
    <w:rsid w:val="00B36AA5"/>
    <w:rsid w:val="00B425D9"/>
    <w:rsid w:val="00B437E2"/>
    <w:rsid w:val="00B56BF1"/>
    <w:rsid w:val="00B81E1E"/>
    <w:rsid w:val="00BA7C80"/>
    <w:rsid w:val="00BB6C89"/>
    <w:rsid w:val="00BB7792"/>
    <w:rsid w:val="00BD755F"/>
    <w:rsid w:val="00BE0773"/>
    <w:rsid w:val="00BE65BC"/>
    <w:rsid w:val="00C346B2"/>
    <w:rsid w:val="00C3508A"/>
    <w:rsid w:val="00C60B25"/>
    <w:rsid w:val="00C834A7"/>
    <w:rsid w:val="00C83E46"/>
    <w:rsid w:val="00C921B6"/>
    <w:rsid w:val="00CC3F55"/>
    <w:rsid w:val="00CD0F79"/>
    <w:rsid w:val="00CD65DC"/>
    <w:rsid w:val="00CE033A"/>
    <w:rsid w:val="00CF77B3"/>
    <w:rsid w:val="00D05322"/>
    <w:rsid w:val="00D16494"/>
    <w:rsid w:val="00D2141A"/>
    <w:rsid w:val="00D22E9D"/>
    <w:rsid w:val="00D315B6"/>
    <w:rsid w:val="00D43C04"/>
    <w:rsid w:val="00D522B1"/>
    <w:rsid w:val="00D5288E"/>
    <w:rsid w:val="00D53A7C"/>
    <w:rsid w:val="00D54124"/>
    <w:rsid w:val="00D946AD"/>
    <w:rsid w:val="00DC080E"/>
    <w:rsid w:val="00DD0C0C"/>
    <w:rsid w:val="00DE708A"/>
    <w:rsid w:val="00DF02EA"/>
    <w:rsid w:val="00DF33BA"/>
    <w:rsid w:val="00DF4314"/>
    <w:rsid w:val="00E03BD7"/>
    <w:rsid w:val="00E11D14"/>
    <w:rsid w:val="00E54122"/>
    <w:rsid w:val="00E6767E"/>
    <w:rsid w:val="00E71935"/>
    <w:rsid w:val="00E95584"/>
    <w:rsid w:val="00EA1F42"/>
    <w:rsid w:val="00EA5131"/>
    <w:rsid w:val="00EB1783"/>
    <w:rsid w:val="00EC3ACE"/>
    <w:rsid w:val="00EC4A80"/>
    <w:rsid w:val="00EC7EBC"/>
    <w:rsid w:val="00EE4B39"/>
    <w:rsid w:val="00EE7E65"/>
    <w:rsid w:val="00EF274B"/>
    <w:rsid w:val="00F11AA2"/>
    <w:rsid w:val="00F176CC"/>
    <w:rsid w:val="00F21364"/>
    <w:rsid w:val="00F320F7"/>
    <w:rsid w:val="00F32B7F"/>
    <w:rsid w:val="00F34ACA"/>
    <w:rsid w:val="00F44A84"/>
    <w:rsid w:val="00F50714"/>
    <w:rsid w:val="00F529EF"/>
    <w:rsid w:val="00F55231"/>
    <w:rsid w:val="00F663D4"/>
    <w:rsid w:val="00F75C4E"/>
    <w:rsid w:val="00F75CFA"/>
    <w:rsid w:val="00F81698"/>
    <w:rsid w:val="00F85EC4"/>
    <w:rsid w:val="00FB16A6"/>
    <w:rsid w:val="00FD36EF"/>
    <w:rsid w:val="00FD4F6B"/>
    <w:rsid w:val="00FE786B"/>
    <w:rsid w:val="00FF689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D884209-2B40-4766-A86D-5922FF09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6C89"/>
    <w:rPr>
      <w:rFonts w:ascii="Times New Roman" w:hAnsi="Times New Roman"/>
      <w:sz w:val="24"/>
    </w:rPr>
  </w:style>
  <w:style w:type="paragraph" w:styleId="Heading1">
    <w:name w:val="heading 1"/>
    <w:basedOn w:val="Normal"/>
    <w:next w:val="Normal"/>
    <w:link w:val="Heading1Char"/>
    <w:uiPriority w:val="9"/>
    <w:qFormat/>
    <w:rsid w:val="009D1C9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803B68"/>
    <w:pPr>
      <w:spacing w:before="100" w:beforeAutospacing="1" w:after="100" w:afterAutospacing="1" w:line="240" w:lineRule="auto"/>
      <w:outlineLvl w:val="2"/>
    </w:pPr>
    <w:rPr>
      <w:rFonts w:eastAsia="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7A5C"/>
    <w:pPr>
      <w:widowControl w:val="0"/>
      <w:autoSpaceDE w:val="0"/>
      <w:autoSpaceDN w:val="0"/>
      <w:spacing w:after="0" w:line="240" w:lineRule="auto"/>
    </w:pPr>
    <w:rPr>
      <w:rFonts w:eastAsia="Times New Roman" w:cs="Times New Roman"/>
      <w:lang w:val="en-US"/>
    </w:rPr>
  </w:style>
  <w:style w:type="character" w:customStyle="1" w:styleId="BodyTextChar">
    <w:name w:val="Body Text Char"/>
    <w:basedOn w:val="DefaultParagraphFont"/>
    <w:link w:val="BodyText"/>
    <w:uiPriority w:val="1"/>
    <w:rsid w:val="000F7A5C"/>
    <w:rPr>
      <w:rFonts w:ascii="Times New Roman" w:eastAsia="Times New Roman" w:hAnsi="Times New Roman" w:cs="Times New Roman"/>
      <w:lang w:val="en-US"/>
    </w:rPr>
  </w:style>
  <w:style w:type="table" w:styleId="TableGrid">
    <w:name w:val="Table Grid"/>
    <w:basedOn w:val="TableNormal"/>
    <w:uiPriority w:val="59"/>
    <w:rsid w:val="00513870"/>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513870"/>
    <w:rPr>
      <w:color w:val="808080"/>
    </w:rPr>
  </w:style>
  <w:style w:type="paragraph" w:styleId="BalloonText">
    <w:name w:val="Balloon Text"/>
    <w:basedOn w:val="Normal"/>
    <w:link w:val="BalloonTextChar"/>
    <w:uiPriority w:val="99"/>
    <w:semiHidden/>
    <w:unhideWhenUsed/>
    <w:rsid w:val="00EF2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74B"/>
    <w:rPr>
      <w:rFonts w:ascii="Tahoma" w:hAnsi="Tahoma" w:cs="Tahoma"/>
      <w:sz w:val="16"/>
      <w:szCs w:val="16"/>
    </w:rPr>
  </w:style>
  <w:style w:type="paragraph" w:customStyle="1" w:styleId="Default">
    <w:name w:val="Default"/>
    <w:rsid w:val="00BB6C8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ListParagraph">
    <w:name w:val="List Paragraph"/>
    <w:basedOn w:val="Normal"/>
    <w:uiPriority w:val="34"/>
    <w:qFormat/>
    <w:rsid w:val="00803B68"/>
    <w:pPr>
      <w:ind w:left="720"/>
      <w:contextualSpacing/>
    </w:pPr>
  </w:style>
  <w:style w:type="character" w:customStyle="1" w:styleId="Heading3Char">
    <w:name w:val="Heading 3 Char"/>
    <w:basedOn w:val="DefaultParagraphFont"/>
    <w:link w:val="Heading3"/>
    <w:uiPriority w:val="9"/>
    <w:rsid w:val="00803B68"/>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803B68"/>
    <w:rPr>
      <w:i/>
      <w:iCs/>
    </w:rPr>
  </w:style>
  <w:style w:type="character" w:customStyle="1" w:styleId="v9tjod">
    <w:name w:val="v9tjod"/>
    <w:basedOn w:val="DefaultParagraphFont"/>
    <w:rsid w:val="00803B68"/>
  </w:style>
  <w:style w:type="character" w:styleId="Hyperlink">
    <w:name w:val="Hyperlink"/>
    <w:basedOn w:val="DefaultParagraphFont"/>
    <w:uiPriority w:val="99"/>
    <w:unhideWhenUsed/>
    <w:rsid w:val="00803B68"/>
    <w:rPr>
      <w:color w:val="0000FF"/>
      <w:u w:val="single"/>
    </w:rPr>
  </w:style>
  <w:style w:type="character" w:customStyle="1" w:styleId="Heading1Char">
    <w:name w:val="Heading 1 Char"/>
    <w:basedOn w:val="DefaultParagraphFont"/>
    <w:link w:val="Heading1"/>
    <w:uiPriority w:val="9"/>
    <w:rsid w:val="009D1C98"/>
    <w:rPr>
      <w:rFonts w:asciiTheme="majorHAnsi" w:eastAsiaTheme="majorEastAsia" w:hAnsiTheme="majorHAnsi" w:cstheme="majorBidi"/>
      <w:b/>
      <w:bCs/>
      <w:color w:val="2E74B5" w:themeColor="accent1" w:themeShade="BF"/>
      <w:sz w:val="28"/>
      <w:szCs w:val="28"/>
    </w:rPr>
  </w:style>
  <w:style w:type="character" w:customStyle="1" w:styleId="nlmarticle-title">
    <w:name w:val="nlm_article-title"/>
    <w:basedOn w:val="DefaultParagraphFont"/>
    <w:rsid w:val="00AF2494"/>
  </w:style>
  <w:style w:type="paragraph" w:styleId="Header">
    <w:name w:val="header"/>
    <w:basedOn w:val="Normal"/>
    <w:link w:val="HeaderChar"/>
    <w:uiPriority w:val="99"/>
    <w:unhideWhenUsed/>
    <w:rsid w:val="00831E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EDD"/>
    <w:rPr>
      <w:rFonts w:ascii="Times New Roman" w:hAnsi="Times New Roman"/>
      <w:sz w:val="24"/>
    </w:rPr>
  </w:style>
  <w:style w:type="paragraph" w:styleId="Footer">
    <w:name w:val="footer"/>
    <w:basedOn w:val="Normal"/>
    <w:link w:val="FooterChar"/>
    <w:uiPriority w:val="99"/>
    <w:unhideWhenUsed/>
    <w:rsid w:val="00831E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EDD"/>
    <w:rPr>
      <w:rFonts w:ascii="Times New Roman" w:hAnsi="Times New Roman"/>
      <w:sz w:val="24"/>
    </w:rPr>
  </w:style>
  <w:style w:type="character" w:customStyle="1" w:styleId="ajolbreadcrumbs">
    <w:name w:val="ajolbreadcrumbs"/>
    <w:basedOn w:val="DefaultParagraphFont"/>
    <w:rsid w:val="00831EDD"/>
  </w:style>
  <w:style w:type="paragraph" w:styleId="z-TopofForm">
    <w:name w:val="HTML Top of Form"/>
    <w:basedOn w:val="Normal"/>
    <w:next w:val="Normal"/>
    <w:link w:val="z-TopofFormChar"/>
    <w:hidden/>
    <w:uiPriority w:val="99"/>
    <w:semiHidden/>
    <w:unhideWhenUsed/>
    <w:rsid w:val="00B1020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B1020A"/>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B1020A"/>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B1020A"/>
    <w:rPr>
      <w:rFonts w:ascii="Arial" w:eastAsia="Times New Roman" w:hAnsi="Arial" w:cs="Arial"/>
      <w:vanish/>
      <w:sz w:val="16"/>
      <w:szCs w:val="16"/>
      <w:lang w:eastAsia="en-GB"/>
    </w:rPr>
  </w:style>
  <w:style w:type="character" w:styleId="Strong">
    <w:name w:val="Strong"/>
    <w:basedOn w:val="DefaultParagraphFont"/>
    <w:uiPriority w:val="22"/>
    <w:qFormat/>
    <w:rsid w:val="00D05322"/>
    <w:rPr>
      <w:b/>
      <w:bCs/>
    </w:rPr>
  </w:style>
  <w:style w:type="character" w:customStyle="1" w:styleId="title-text">
    <w:name w:val="title-text"/>
    <w:basedOn w:val="DefaultParagraphFont"/>
    <w:rsid w:val="00CD0F79"/>
  </w:style>
  <w:style w:type="character" w:styleId="UnresolvedMention">
    <w:name w:val="Unresolved Mention"/>
    <w:basedOn w:val="DefaultParagraphFont"/>
    <w:uiPriority w:val="99"/>
    <w:semiHidden/>
    <w:unhideWhenUsed/>
    <w:rsid w:val="008C4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TotalTime>
  <Pages>13</Pages>
  <Words>4136</Words>
  <Characters>23579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265</cp:revision>
  <dcterms:created xsi:type="dcterms:W3CDTF">2025-12-18T06:24:00Z</dcterms:created>
  <dcterms:modified xsi:type="dcterms:W3CDTF">2026-02-04T09:41:00Z</dcterms:modified>
</cp:coreProperties>
</file>