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0C29" w14:textId="77777777" w:rsidR="00D761CC" w:rsidRPr="001024D1" w:rsidRDefault="003E5AC9" w:rsidP="003E5AC9">
      <w:pPr>
        <w:spacing w:line="276" w:lineRule="auto"/>
        <w:jc w:val="center"/>
        <w:rPr>
          <w:b/>
        </w:rPr>
      </w:pPr>
      <w:bookmarkStart w:id="0" w:name="_Hlk180602475"/>
      <w:bookmarkStart w:id="1" w:name="_Toc503426822"/>
      <w:r w:rsidRPr="001024D1">
        <w:rPr>
          <w:b/>
        </w:rPr>
        <w:t>Strengthening</w:t>
      </w:r>
      <w:r w:rsidR="0098363E" w:rsidRPr="001024D1">
        <w:rPr>
          <w:b/>
        </w:rPr>
        <w:t xml:space="preserve"> Working Capital through Debtors Management and Its Effect on Financial Sustainability of Non-Financial Firms Listed in East Africa</w:t>
      </w:r>
    </w:p>
    <w:p w14:paraId="5B7441C8" w14:textId="77777777" w:rsidR="00F2266F" w:rsidRPr="001024D1" w:rsidRDefault="00F2266F" w:rsidP="00F2266F">
      <w:pPr>
        <w:spacing w:after="0" w:line="276" w:lineRule="auto"/>
        <w:jc w:val="center"/>
      </w:pPr>
    </w:p>
    <w:p w14:paraId="160C7B0A" w14:textId="77777777" w:rsidR="00F2266F" w:rsidRPr="001024D1" w:rsidRDefault="00F2266F" w:rsidP="00F2266F">
      <w:pPr>
        <w:spacing w:after="0" w:line="276" w:lineRule="auto"/>
        <w:jc w:val="center"/>
      </w:pPr>
    </w:p>
    <w:p w14:paraId="6A89BE5C" w14:textId="77777777" w:rsidR="00F2266F" w:rsidRPr="001024D1" w:rsidRDefault="00F2266F" w:rsidP="00F2266F">
      <w:pPr>
        <w:spacing w:after="0" w:line="240" w:lineRule="auto"/>
        <w:jc w:val="center"/>
        <w:rPr>
          <w:rFonts w:cs="Times New Roman"/>
          <w:noProof/>
          <w:szCs w:val="24"/>
        </w:rPr>
      </w:pPr>
      <w:bookmarkStart w:id="2" w:name="_GoBack"/>
      <w:bookmarkEnd w:id="2"/>
    </w:p>
    <w:p w14:paraId="4158CFD9" w14:textId="77777777" w:rsidR="00D761CC" w:rsidRPr="001024D1" w:rsidRDefault="00D761CC" w:rsidP="001024D1">
      <w:pPr>
        <w:pStyle w:val="Heading1"/>
        <w:spacing w:line="240" w:lineRule="auto"/>
      </w:pPr>
      <w:bookmarkStart w:id="3" w:name="_Toc190927657"/>
      <w:bookmarkEnd w:id="0"/>
      <w:bookmarkEnd w:id="1"/>
      <w:r w:rsidRPr="001024D1">
        <w:t>ABSTRACT</w:t>
      </w:r>
      <w:bookmarkEnd w:id="3"/>
    </w:p>
    <w:p w14:paraId="072A9E6A" w14:textId="52C0A143" w:rsidR="00BF6929" w:rsidRPr="001024D1" w:rsidRDefault="001D009F" w:rsidP="001024D1">
      <w:pPr>
        <w:pStyle w:val="NormalWeb"/>
        <w:spacing w:before="0" w:beforeAutospacing="0"/>
        <w:jc w:val="both"/>
      </w:pPr>
      <w:r w:rsidRPr="001024D1">
        <w:rPr>
          <w:bCs/>
          <w:iCs/>
        </w:rPr>
        <w:t xml:space="preserve">The paper sought to assess the effect of </w:t>
      </w:r>
      <w:proofErr w:type="gramStart"/>
      <w:r w:rsidRPr="001024D1">
        <w:rPr>
          <w:bCs/>
          <w:iCs/>
        </w:rPr>
        <w:t>debtors</w:t>
      </w:r>
      <w:proofErr w:type="gramEnd"/>
      <w:r w:rsidRPr="001024D1">
        <w:rPr>
          <w:bCs/>
          <w:iCs/>
        </w:rPr>
        <w:t xml:space="preserve"> </w:t>
      </w:r>
      <w:r w:rsidR="0023545F" w:rsidRPr="001024D1">
        <w:rPr>
          <w:bCs/>
          <w:iCs/>
        </w:rPr>
        <w:t>management as an aspect of working capital management on f</w:t>
      </w:r>
      <w:r w:rsidR="00D761CC" w:rsidRPr="001024D1">
        <w:rPr>
          <w:bCs/>
          <w:iCs/>
        </w:rPr>
        <w:t xml:space="preserve">inancial sustainability of non-financial firms listed </w:t>
      </w:r>
      <w:r w:rsidR="0023545F" w:rsidRPr="001024D1">
        <w:rPr>
          <w:bCs/>
          <w:iCs/>
        </w:rPr>
        <w:t>in East Africa. This comes amid declining financial sustainability among most of the listed firms, whereby despite the short-term profitability, most of the firms are unable to maintain a strong financial basis for long-term. The study was anchored on agency theory</w:t>
      </w:r>
      <w:r w:rsidR="0023545F" w:rsidRPr="001024D1">
        <w:rPr>
          <w:rFonts w:hAnsi="Symbol"/>
        </w:rPr>
        <w:t xml:space="preserve"> that upholds the essence of m</w:t>
      </w:r>
      <w:r w:rsidR="0023545F" w:rsidRPr="001024D1">
        <w:t xml:space="preserve">anagers to uphold shareholders’ interest in </w:t>
      </w:r>
      <w:r w:rsidR="00D646AC" w:rsidRPr="001024D1">
        <w:t xml:space="preserve">liquidity and long-term financial sustainability by not extending generous credit terms </w:t>
      </w:r>
      <w:r w:rsidR="0023545F" w:rsidRPr="001024D1">
        <w:t xml:space="preserve">to increase sales and market share </w:t>
      </w:r>
      <w:r w:rsidR="00D646AC" w:rsidRPr="001024D1">
        <w:t>which are short-term gains</w:t>
      </w:r>
      <w:r w:rsidR="0023545F" w:rsidRPr="001024D1">
        <w:t>.</w:t>
      </w:r>
      <w:r w:rsidR="00D646AC" w:rsidRPr="001024D1">
        <w:t xml:space="preserve"> Through an explanatory correlational </w:t>
      </w:r>
      <w:r w:rsidR="005A4DE6" w:rsidRPr="001024D1">
        <w:t xml:space="preserve">research design, the study targeted </w:t>
      </w:r>
      <w:r w:rsidR="00EF488C">
        <w:t>47</w:t>
      </w:r>
      <w:r w:rsidR="005A4DE6" w:rsidRPr="001024D1">
        <w:t xml:space="preserve"> non-financial listed firms in Kenya, Uganda</w:t>
      </w:r>
      <w:r w:rsidR="005E066F">
        <w:t>, Rwanda</w:t>
      </w:r>
      <w:r w:rsidR="00C27D14">
        <w:t xml:space="preserve"> and</w:t>
      </w:r>
      <w:r w:rsidR="005A4DE6" w:rsidRPr="001024D1">
        <w:t xml:space="preserve"> Tanzania</w:t>
      </w:r>
      <w:r w:rsidR="0068241F">
        <w:t>.</w:t>
      </w:r>
      <w:r w:rsidR="005A4DE6" w:rsidRPr="001024D1">
        <w:t xml:space="preserve"> Secondary data was collected using a panel data collection sheet for a ten-year period ranging from 2014 to 2023. The data was analysed using Stata software via descriptive and inferential statistics. </w:t>
      </w:r>
      <w:r w:rsidR="00BF6929" w:rsidRPr="001024D1">
        <w:t>The study found significant variations in debtors management among East Africa’s listed non-financial firms, with average collection periods ranging from a few days to over a year. On average, firms took more than three months to collect payments, exposing them to liquidity risks and potential bad debts. The analysis confirmed that efficient debtor management significantly enhances financial sustainability. The study concludes that effective receivables</w:t>
      </w:r>
      <w:r w:rsidR="0068241F">
        <w:t>’</w:t>
      </w:r>
      <w:r w:rsidR="00BF6929" w:rsidRPr="001024D1">
        <w:t xml:space="preserve"> policies among the listed non-financial firms are critical for stable cash flows and recommends stricter credit controls, timely debt recovery strategies, and continuous monitoring to strengthen financial sustainability.</w:t>
      </w:r>
    </w:p>
    <w:p w14:paraId="090BEF2D" w14:textId="77777777" w:rsidR="00BF6929" w:rsidRPr="001024D1" w:rsidRDefault="00BF6929" w:rsidP="00BF6929">
      <w:pPr>
        <w:pStyle w:val="NormalWeb"/>
        <w:jc w:val="both"/>
      </w:pPr>
      <w:r w:rsidRPr="001024D1">
        <w:rPr>
          <w:b/>
        </w:rPr>
        <w:t>Keywords:</w:t>
      </w:r>
      <w:r w:rsidRPr="001024D1">
        <w:t xml:space="preserve"> Debtors Management, Working Capital Management, Financial Sustainability, Listed Non-Financial Firms</w:t>
      </w:r>
    </w:p>
    <w:p w14:paraId="29E33A56" w14:textId="77777777" w:rsidR="00D761CC" w:rsidRPr="001024D1" w:rsidRDefault="00613105" w:rsidP="00F5219F">
      <w:pPr>
        <w:pStyle w:val="Heading1"/>
        <w:spacing w:before="240" w:after="200" w:line="360" w:lineRule="auto"/>
      </w:pPr>
      <w:bookmarkStart w:id="4" w:name="_Toc190927659"/>
      <w:r w:rsidRPr="001024D1">
        <w:t xml:space="preserve">1.0 </w:t>
      </w:r>
      <w:r w:rsidR="00D761CC" w:rsidRPr="001024D1">
        <w:t>INTRODUCTION</w:t>
      </w:r>
      <w:bookmarkEnd w:id="4"/>
    </w:p>
    <w:p w14:paraId="0D41B66F" w14:textId="77777777" w:rsidR="00D761CC" w:rsidRPr="001024D1" w:rsidRDefault="00D761CC" w:rsidP="00F5219F">
      <w:pPr>
        <w:pStyle w:val="Heading2"/>
        <w:spacing w:before="240" w:after="200" w:line="360" w:lineRule="auto"/>
      </w:pPr>
      <w:bookmarkStart w:id="5" w:name="_Toc190927660"/>
      <w:r w:rsidRPr="001024D1">
        <w:t>1.1 Background of the Study</w:t>
      </w:r>
      <w:bookmarkEnd w:id="5"/>
    </w:p>
    <w:p w14:paraId="2D0074DA" w14:textId="77777777" w:rsidR="00AF0023" w:rsidRPr="001024D1" w:rsidRDefault="00AF0023" w:rsidP="00F5219F">
      <w:pPr>
        <w:spacing w:line="360" w:lineRule="auto"/>
      </w:pPr>
      <w:r w:rsidRPr="001024D1">
        <w:t>Financial sustainability represents a critical pillar for the long-term viability and growth of organizations, particularly in dynamic economic environments where firms must balance operational efficiency, liquidity, and profitability to withstand market volatilities, economic downturns, and competitive pressures</w:t>
      </w:r>
      <w:r w:rsidR="00A52A92" w:rsidRPr="001024D1">
        <w:t xml:space="preserve"> (</w:t>
      </w:r>
      <w:proofErr w:type="spellStart"/>
      <w:r w:rsidR="00A52A92" w:rsidRPr="001024D1">
        <w:rPr>
          <w:rFonts w:cs="Times New Roman"/>
          <w:szCs w:val="24"/>
          <w:shd w:val="clear" w:color="auto" w:fill="FFFFFF"/>
        </w:rPr>
        <w:t>Yitayaw</w:t>
      </w:r>
      <w:proofErr w:type="spellEnd"/>
      <w:r w:rsidR="00A52A92" w:rsidRPr="001024D1">
        <w:rPr>
          <w:rFonts w:cs="Times New Roman"/>
          <w:szCs w:val="24"/>
          <w:shd w:val="clear" w:color="auto" w:fill="FFFFFF"/>
        </w:rPr>
        <w:t>, 2021</w:t>
      </w:r>
      <w:r w:rsidR="005D0F5D" w:rsidRPr="001024D1">
        <w:t>)</w:t>
      </w:r>
      <w:r w:rsidRPr="001024D1">
        <w:t>. Defined as the ability of a firm to generate sufficient resources to meet its obligations, fund ongoing operations, and support future expansion without relying excessively on external financing or depleting internal reserves</w:t>
      </w:r>
      <w:r w:rsidR="00A52A92" w:rsidRPr="001024D1">
        <w:t xml:space="preserve"> (</w:t>
      </w:r>
      <w:proofErr w:type="spellStart"/>
      <w:r w:rsidR="00A52A92" w:rsidRPr="001024D1">
        <w:rPr>
          <w:rFonts w:cs="Times New Roman"/>
          <w:szCs w:val="24"/>
        </w:rPr>
        <w:t>Sholikah</w:t>
      </w:r>
      <w:proofErr w:type="spellEnd"/>
      <w:r w:rsidR="00A52A92" w:rsidRPr="001024D1">
        <w:rPr>
          <w:rFonts w:cs="Times New Roman"/>
          <w:szCs w:val="24"/>
        </w:rPr>
        <w:t xml:space="preserve"> &amp; </w:t>
      </w:r>
      <w:proofErr w:type="spellStart"/>
      <w:r w:rsidR="00A52A92" w:rsidRPr="001024D1">
        <w:rPr>
          <w:rFonts w:cs="Times New Roman"/>
          <w:szCs w:val="24"/>
        </w:rPr>
        <w:t>Miranti</w:t>
      </w:r>
      <w:proofErr w:type="spellEnd"/>
      <w:r w:rsidR="00A52A92" w:rsidRPr="001024D1">
        <w:rPr>
          <w:rFonts w:cs="Times New Roman"/>
          <w:szCs w:val="24"/>
        </w:rPr>
        <w:t>, 2020</w:t>
      </w:r>
      <w:r w:rsidR="005D0F5D" w:rsidRPr="001024D1">
        <w:t>)</w:t>
      </w:r>
      <w:r w:rsidRPr="001024D1">
        <w:t xml:space="preserve">, financial sustainability is especially pertinent for non-financial firms, which often operate in sectors vulnerable to cash flow disruptions. In emerging markets, where access to capital is constrained and economic instability is prevalent, effective management of financial resources becomes imperative to avoid insolvency and ensure </w:t>
      </w:r>
      <w:r w:rsidRPr="001024D1">
        <w:lastRenderedPageBreak/>
        <w:t>resilience</w:t>
      </w:r>
      <w:r w:rsidR="00A52A92" w:rsidRPr="001024D1">
        <w:t xml:space="preserve"> (</w:t>
      </w:r>
      <w:r w:rsidR="00A52A92" w:rsidRPr="001024D1">
        <w:rPr>
          <w:rFonts w:cs="Times New Roman"/>
          <w:szCs w:val="24"/>
          <w:shd w:val="clear" w:color="auto" w:fill="FFFFFF"/>
        </w:rPr>
        <w:t>Piccoli et al., 2021</w:t>
      </w:r>
      <w:r w:rsidR="005D0F5D" w:rsidRPr="001024D1">
        <w:t>)</w:t>
      </w:r>
      <w:r w:rsidRPr="001024D1">
        <w:t>. This is particularly relevant in East Africa, a region comprising countries such as Kenya, Uganda, Tanzania, Rwanda, and Burundi, where listed non-financial firms on exchanges like the Nairobi Securities Exchange (NSE), Dar es Salaam Stock Exchange (DSE), and Uganda Securities Exchange (USE) play a vital role in driving economic development through sectors including manufacturing, agriculture, services, and consumer goods</w:t>
      </w:r>
      <w:r w:rsidR="005D0F5D" w:rsidRPr="001024D1">
        <w:t xml:space="preserve"> (AfDB, 2023)</w:t>
      </w:r>
      <w:r w:rsidRPr="001024D1">
        <w:t>.</w:t>
      </w:r>
    </w:p>
    <w:p w14:paraId="058F8F56" w14:textId="77777777" w:rsidR="00AF0023" w:rsidRPr="001024D1" w:rsidRDefault="00AF0023" w:rsidP="00F5219F">
      <w:pPr>
        <w:spacing w:line="360" w:lineRule="auto"/>
      </w:pPr>
      <w:r w:rsidRPr="001024D1">
        <w:t>East Africa's economic landscape is characterized by rapid urbanization, increasing foreign investment, and integration through the East African Community (EAC), yet it faces challenges such as high inflation, currency fluctuations, supply chain disruptions, and limited financial inclusion</w:t>
      </w:r>
      <w:r w:rsidR="005D0F5D" w:rsidRPr="001024D1">
        <w:t xml:space="preserve"> (AfDB, 2023)</w:t>
      </w:r>
      <w:r w:rsidRPr="001024D1">
        <w:t>. Non-financial firms listed in this region often grapple with these issues, which can exacerbate liquidity shortages and threaten sustainability. For instance, many firms rely on trade credit to stimulate sales, but inefficient handling of receivables can lead to prolonged cash conversion cycles, increased bad debts, and reduced profitability. The COVID-19 pandemic and subsequent global economic shocks further highlighted these vulnerabilities, with reports indicating that East African firms experienced heightened financial distress due to delayed payments and disrupted operations. Against this backdrop, working capital management (WCM) emerges as a strategic tool for enhancing financial sustainability. WCM involves the optimization of current assets and liabilities to maintain adequate liquidity while minimizing costs, thereby supporting operational continuity and long-term value creation.</w:t>
      </w:r>
    </w:p>
    <w:p w14:paraId="6F7A9C4C" w14:textId="77777777" w:rsidR="00AF0023" w:rsidRPr="001024D1" w:rsidRDefault="00AF0023" w:rsidP="00F5219F">
      <w:pPr>
        <w:spacing w:line="360" w:lineRule="auto"/>
      </w:pPr>
      <w:r w:rsidRPr="001024D1">
        <w:t>Debtors management, a core component of WCM, focuses on the administration of acco</w:t>
      </w:r>
      <w:r w:rsidR="005D0F5D" w:rsidRPr="001024D1">
        <w:t xml:space="preserve">unts receivable; funds </w:t>
      </w:r>
      <w:r w:rsidRPr="001024D1">
        <w:t>owed by customers for goods or services provided on credit</w:t>
      </w:r>
      <w:r w:rsidR="005D0F5D" w:rsidRPr="001024D1">
        <w:t xml:space="preserve"> (</w:t>
      </w:r>
      <w:proofErr w:type="spellStart"/>
      <w:r w:rsidR="00A52A92" w:rsidRPr="001024D1">
        <w:t>Tarurhor</w:t>
      </w:r>
      <w:proofErr w:type="spellEnd"/>
      <w:r w:rsidR="00A52A92" w:rsidRPr="001024D1">
        <w:t xml:space="preserve"> &amp; Owolabi, 2022</w:t>
      </w:r>
      <w:r w:rsidR="005D0F5D" w:rsidRPr="001024D1">
        <w:t>)</w:t>
      </w:r>
      <w:r w:rsidRPr="001024D1">
        <w:t>. This includes establishing credit policies, assessing customer creditworthiness, monitoring aging schedules, and implementing collection procedures to accelerate cash inflows and mitigate default risks</w:t>
      </w:r>
      <w:r w:rsidR="005D0F5D" w:rsidRPr="001024D1">
        <w:t xml:space="preserve"> (</w:t>
      </w:r>
      <w:proofErr w:type="spellStart"/>
      <w:r w:rsidR="00A52A92" w:rsidRPr="001024D1">
        <w:rPr>
          <w:rFonts w:eastAsia="Times New Roman" w:cs="Times New Roman"/>
          <w:szCs w:val="24"/>
          <w:lang w:eastAsia="en-GB"/>
        </w:rPr>
        <w:t>Wokeh</w:t>
      </w:r>
      <w:proofErr w:type="spellEnd"/>
      <w:r w:rsidR="00A52A92" w:rsidRPr="001024D1">
        <w:rPr>
          <w:rFonts w:eastAsia="Times New Roman" w:cs="Times New Roman"/>
          <w:szCs w:val="24"/>
          <w:lang w:eastAsia="en-GB"/>
        </w:rPr>
        <w:t>, 2023</w:t>
      </w:r>
      <w:r w:rsidR="005D0F5D" w:rsidRPr="001024D1">
        <w:t>)</w:t>
      </w:r>
      <w:r w:rsidRPr="001024D1">
        <w:t xml:space="preserve">. </w:t>
      </w:r>
      <w:r w:rsidR="00A52A92" w:rsidRPr="001024D1">
        <w:t xml:space="preserve">According to </w:t>
      </w:r>
      <w:r w:rsidR="00A52A92" w:rsidRPr="001024D1">
        <w:rPr>
          <w:rFonts w:eastAsia="Times New Roman" w:cs="Times New Roman"/>
          <w:bCs/>
          <w:szCs w:val="24"/>
          <w:lang w:eastAsia="en-GB"/>
        </w:rPr>
        <w:t>Kaur and Kaur (2021)</w:t>
      </w:r>
      <w:r w:rsidR="005D0F5D" w:rsidRPr="001024D1">
        <w:t>, e</w:t>
      </w:r>
      <w:r w:rsidRPr="001024D1">
        <w:t xml:space="preserve">ffective debtors management </w:t>
      </w:r>
      <w:r w:rsidR="005D0F5D" w:rsidRPr="001024D1">
        <w:t>plays an essential role in reducing</w:t>
      </w:r>
      <w:r w:rsidRPr="001024D1">
        <w:t xml:space="preserve"> the average collection period (ACP), lowers bad debt expenses, and improves cash flow efficiency, which in turn bolsters a firm's ability to invest in growth opportunities, service debts, and achieve sustainable financial health. </w:t>
      </w:r>
      <w:r w:rsidR="00A52A92" w:rsidRPr="001024D1">
        <w:t xml:space="preserve">According to </w:t>
      </w:r>
      <w:proofErr w:type="spellStart"/>
      <w:r w:rsidR="00A52A92" w:rsidRPr="001024D1">
        <w:rPr>
          <w:rFonts w:eastAsia="Times New Roman" w:cs="Times New Roman"/>
          <w:szCs w:val="24"/>
          <w:lang w:eastAsia="en-GB"/>
        </w:rPr>
        <w:t>Igbojindu</w:t>
      </w:r>
      <w:proofErr w:type="spellEnd"/>
      <w:r w:rsidR="00A52A92" w:rsidRPr="001024D1">
        <w:rPr>
          <w:rFonts w:eastAsia="Times New Roman" w:cs="Times New Roman"/>
          <w:szCs w:val="24"/>
          <w:lang w:eastAsia="en-GB"/>
        </w:rPr>
        <w:t xml:space="preserve"> and Okafor (2023)</w:t>
      </w:r>
      <w:r w:rsidR="00A5710F" w:rsidRPr="001024D1">
        <w:t xml:space="preserve">, ineffective </w:t>
      </w:r>
      <w:r w:rsidRPr="001024D1">
        <w:t xml:space="preserve">management </w:t>
      </w:r>
      <w:r w:rsidR="00A5710F" w:rsidRPr="001024D1">
        <w:t>of debtors leads to</w:t>
      </w:r>
      <w:r w:rsidRPr="001024D1">
        <w:t xml:space="preserve"> tied-up capital, increased financing costs, and eroded profitability, potentially leading to financial distress or bankruptcy. </w:t>
      </w:r>
    </w:p>
    <w:p w14:paraId="4DCB0971" w14:textId="77777777" w:rsidR="00AF0023" w:rsidRPr="001024D1" w:rsidRDefault="00AF0023" w:rsidP="00F5219F">
      <w:pPr>
        <w:spacing w:line="360" w:lineRule="auto"/>
      </w:pPr>
      <w:r w:rsidRPr="001024D1">
        <w:t xml:space="preserve">In the context of developing countries, including those in Sub-Saharan Africa, studies have demonstrated a positive nexus between WCM practices </w:t>
      </w:r>
      <w:r w:rsidR="005D0F5D" w:rsidRPr="001024D1">
        <w:t xml:space="preserve">like </w:t>
      </w:r>
      <w:proofErr w:type="gramStart"/>
      <w:r w:rsidR="005D0F5D" w:rsidRPr="001024D1">
        <w:t>debtors</w:t>
      </w:r>
      <w:proofErr w:type="gramEnd"/>
      <w:r w:rsidR="005D0F5D" w:rsidRPr="001024D1">
        <w:t xml:space="preserve"> management </w:t>
      </w:r>
      <w:r w:rsidRPr="001024D1">
        <w:t xml:space="preserve">and financial </w:t>
      </w:r>
      <w:r w:rsidRPr="001024D1">
        <w:lastRenderedPageBreak/>
        <w:t xml:space="preserve">sustainability. </w:t>
      </w:r>
      <w:r w:rsidR="005D0F5D" w:rsidRPr="001024D1">
        <w:t>E</w:t>
      </w:r>
      <w:r w:rsidRPr="001024D1">
        <w:t>fficient management of working capital components, including receivables, has been linked to reduced financial constraints and enhanced sustainable growth, with firms exhibiting shorter cash conversion cycles showing improved profitabilit</w:t>
      </w:r>
      <w:r w:rsidR="00DE0D0B" w:rsidRPr="001024D1">
        <w:t xml:space="preserve">y and operational efficiency (Zheng, Zhou, &amp; Iqbal, 2022). </w:t>
      </w:r>
      <w:r w:rsidR="00DE0D0B" w:rsidRPr="001024D1">
        <w:rPr>
          <w:rFonts w:eastAsia="Times New Roman" w:cs="Times New Roman"/>
          <w:bCs/>
          <w:szCs w:val="24"/>
          <w:lang w:eastAsia="en-GB"/>
        </w:rPr>
        <w:t xml:space="preserve">Kaur and Kaur (2021) </w:t>
      </w:r>
      <w:r w:rsidRPr="001024D1">
        <w:t>emphas</w:t>
      </w:r>
      <w:r w:rsidR="00DE0D0B" w:rsidRPr="001024D1">
        <w:t>ize</w:t>
      </w:r>
      <w:r w:rsidRPr="001024D1">
        <w:t xml:space="preserve"> that optimal working capital levels minimize liquidity risks and support sustainability by aligning short-term financial decisions with long-term objectives, particularly in resource-constrained environments. However, in East Africa, the application of these practices is often hampered by institutional weaknesses, such as inadequate legal frameworks for debt recovery, limited credit information systems, and cultural factors influencing payment </w:t>
      </w:r>
      <w:proofErr w:type="spellStart"/>
      <w:r w:rsidRPr="001024D1">
        <w:t>behaviors</w:t>
      </w:r>
      <w:proofErr w:type="spellEnd"/>
      <w:r w:rsidRPr="001024D1">
        <w:t>.</w:t>
      </w:r>
    </w:p>
    <w:p w14:paraId="01361B62" w14:textId="77777777" w:rsidR="00A5710F" w:rsidRPr="001024D1" w:rsidRDefault="00A5710F" w:rsidP="00F5219F">
      <w:pPr>
        <w:spacing w:line="360" w:lineRule="auto"/>
      </w:pPr>
      <w:r w:rsidRPr="001024D1">
        <w:t>Global empirical literature provides consistent evidence that receivables management is essential in reducing accounts receivable days improves firm profitability, a finding replicated across industries and countries (</w:t>
      </w:r>
      <w:r w:rsidR="00DE0D0B" w:rsidRPr="001024D1">
        <w:t xml:space="preserve">Zheng et al., 2022). </w:t>
      </w:r>
      <w:r w:rsidR="00DE0D0B" w:rsidRPr="001024D1">
        <w:rPr>
          <w:rFonts w:cs="Times New Roman"/>
          <w:szCs w:val="24"/>
          <w:shd w:val="clear" w:color="auto" w:fill="FFFFFF"/>
        </w:rPr>
        <w:t>Wang, Akbar, and Akbar (2020)</w:t>
      </w:r>
      <w:r w:rsidRPr="001024D1">
        <w:t xml:space="preserve"> noted that efficient management of debtors and stimulation of cash receivables significantly influenced firm outcomes including profitability, investment sensitivity to cash flows, and insolvency risk. These studies imply that receivables policies that accelerate collections can increase internally generated funds, reducing firms’ exposure to external financing shocks and supporting sustainability. Regional evidence in East African shows that </w:t>
      </w:r>
      <w:proofErr w:type="gramStart"/>
      <w:r w:rsidRPr="001024D1">
        <w:t>debtors</w:t>
      </w:r>
      <w:proofErr w:type="gramEnd"/>
      <w:r w:rsidRPr="001024D1">
        <w:t xml:space="preserve"> management especially among listed non-financial firms play a critical role in</w:t>
      </w:r>
      <w:r w:rsidR="005A763E" w:rsidRPr="001024D1">
        <w:t xml:space="preserve"> steering firm performance (</w:t>
      </w:r>
      <w:r w:rsidR="005A763E" w:rsidRPr="001024D1">
        <w:rPr>
          <w:rFonts w:eastAsia="Times New Roman" w:cs="Times New Roman"/>
          <w:bCs/>
          <w:szCs w:val="24"/>
          <w:lang w:eastAsia="en-GB"/>
        </w:rPr>
        <w:t xml:space="preserve">Ochieng &amp; </w:t>
      </w:r>
      <w:proofErr w:type="spellStart"/>
      <w:r w:rsidR="005A763E" w:rsidRPr="001024D1">
        <w:rPr>
          <w:rFonts w:eastAsia="Times New Roman" w:cs="Times New Roman"/>
          <w:bCs/>
          <w:szCs w:val="24"/>
          <w:lang w:eastAsia="en-GB"/>
        </w:rPr>
        <w:t>Jagongo</w:t>
      </w:r>
      <w:proofErr w:type="spellEnd"/>
      <w:r w:rsidR="005A763E" w:rsidRPr="001024D1">
        <w:rPr>
          <w:rFonts w:eastAsia="Times New Roman" w:cs="Times New Roman"/>
          <w:bCs/>
          <w:szCs w:val="24"/>
          <w:lang w:eastAsia="en-GB"/>
        </w:rPr>
        <w:t>, 2019</w:t>
      </w:r>
      <w:r w:rsidRPr="001024D1">
        <w:t>). While focusing on Kenya’s Nair</w:t>
      </w:r>
      <w:r w:rsidR="005A763E" w:rsidRPr="001024D1">
        <w:t xml:space="preserve">obi Securities Exchange (NSE), </w:t>
      </w:r>
      <w:proofErr w:type="spellStart"/>
      <w:r w:rsidR="005A763E" w:rsidRPr="001024D1">
        <w:rPr>
          <w:rFonts w:cs="Times New Roman"/>
          <w:szCs w:val="24"/>
          <w:shd w:val="clear" w:color="auto" w:fill="FFFFFF"/>
        </w:rPr>
        <w:t>Wanzala</w:t>
      </w:r>
      <w:proofErr w:type="spellEnd"/>
      <w:r w:rsidR="005A763E" w:rsidRPr="001024D1">
        <w:rPr>
          <w:rFonts w:cs="Times New Roman"/>
          <w:szCs w:val="24"/>
          <w:shd w:val="clear" w:color="auto" w:fill="FFFFFF"/>
        </w:rPr>
        <w:t xml:space="preserve"> and </w:t>
      </w:r>
      <w:proofErr w:type="spellStart"/>
      <w:r w:rsidR="005A763E" w:rsidRPr="001024D1">
        <w:rPr>
          <w:rFonts w:cs="Times New Roman"/>
          <w:szCs w:val="24"/>
          <w:shd w:val="clear" w:color="auto" w:fill="FFFFFF"/>
        </w:rPr>
        <w:t>Obokoh</w:t>
      </w:r>
      <w:proofErr w:type="spellEnd"/>
      <w:r w:rsidR="005A763E" w:rsidRPr="001024D1">
        <w:rPr>
          <w:rFonts w:cs="Times New Roman"/>
          <w:szCs w:val="24"/>
          <w:shd w:val="clear" w:color="auto" w:fill="FFFFFF"/>
        </w:rPr>
        <w:t xml:space="preserve"> (2024) </w:t>
      </w:r>
      <w:r w:rsidRPr="001024D1">
        <w:t>reported that tighter receivables management and shorter collection periods correlate with improved firm value and performance for manufacturing and agricultural firms. Similar analyses in Tanzania (Dar es Salaam Stock Exchange) identify accounts receivable and inventory turnover as significant determinants of performance, while multi-country East African working-capital studies emphasize that firm size, sector and governance moderate the effects of WCM on out</w:t>
      </w:r>
      <w:r w:rsidR="00DE0D0B" w:rsidRPr="001024D1">
        <w:t xml:space="preserve">comes (Mulenga &amp; </w:t>
      </w:r>
      <w:proofErr w:type="spellStart"/>
      <w:r w:rsidR="00DE0D0B" w:rsidRPr="001024D1">
        <w:t>Mndeme</w:t>
      </w:r>
      <w:proofErr w:type="spellEnd"/>
      <w:r w:rsidR="00DE0D0B" w:rsidRPr="001024D1">
        <w:t>, 2024</w:t>
      </w:r>
      <w:r w:rsidRPr="001024D1">
        <w:t xml:space="preserve">; </w:t>
      </w:r>
      <w:proofErr w:type="spellStart"/>
      <w:r w:rsidR="00DE0D0B" w:rsidRPr="001024D1">
        <w:rPr>
          <w:rFonts w:eastAsia="Times New Roman" w:cs="Times New Roman"/>
          <w:szCs w:val="24"/>
          <w:lang w:eastAsia="en-GB"/>
        </w:rPr>
        <w:t>Orajekwe</w:t>
      </w:r>
      <w:proofErr w:type="spellEnd"/>
      <w:r w:rsidR="00DE0D0B" w:rsidRPr="001024D1">
        <w:rPr>
          <w:rFonts w:eastAsia="Times New Roman" w:cs="Times New Roman"/>
          <w:szCs w:val="24"/>
          <w:lang w:eastAsia="en-GB"/>
        </w:rPr>
        <w:t xml:space="preserve"> &amp; Ogbodo, 2023; Githaiga &amp; Kosgei, 2023).</w:t>
      </w:r>
      <w:r w:rsidRPr="001024D1">
        <w:t xml:space="preserve"> These findings are consistent with the notion that in markets with limited depth and relatively high cost of external finance, internally generated liquidity from efficient receivables collection is especially valuable. </w:t>
      </w:r>
    </w:p>
    <w:p w14:paraId="13C51E39" w14:textId="77777777" w:rsidR="00A5710F" w:rsidRPr="001024D1" w:rsidRDefault="00613105" w:rsidP="00F5219F">
      <w:pPr>
        <w:spacing w:line="360" w:lineRule="auto"/>
      </w:pPr>
      <w:r w:rsidRPr="001024D1">
        <w:t>Listed non-financial firms in East Africa, spanning sectors such as manufacturing, construction, agriculture, energy, and services, play a critical role in driving regional economic growth and job creation. Unlike financial institutions, these firms rely heavily on operational efficiency, sales revenues, and prudent working capital management to sustain their performance</w:t>
      </w:r>
      <w:r w:rsidR="00EC56B9" w:rsidRPr="001024D1">
        <w:t xml:space="preserve"> (</w:t>
      </w:r>
      <w:proofErr w:type="spellStart"/>
      <w:r w:rsidR="00DE0D0B" w:rsidRPr="001024D1">
        <w:rPr>
          <w:rFonts w:eastAsia="Times New Roman" w:cs="Times New Roman"/>
          <w:szCs w:val="24"/>
          <w:lang w:eastAsia="en-GB"/>
        </w:rPr>
        <w:t>Orajekwe</w:t>
      </w:r>
      <w:proofErr w:type="spellEnd"/>
      <w:r w:rsidR="00DE0D0B" w:rsidRPr="001024D1">
        <w:rPr>
          <w:rFonts w:eastAsia="Times New Roman" w:cs="Times New Roman"/>
          <w:szCs w:val="24"/>
          <w:lang w:eastAsia="en-GB"/>
        </w:rPr>
        <w:t xml:space="preserve"> &amp; </w:t>
      </w:r>
      <w:proofErr w:type="spellStart"/>
      <w:r w:rsidR="00DE0D0B" w:rsidRPr="001024D1">
        <w:rPr>
          <w:rFonts w:eastAsia="Times New Roman" w:cs="Times New Roman"/>
          <w:szCs w:val="24"/>
          <w:lang w:eastAsia="en-GB"/>
        </w:rPr>
        <w:t>Ogbodo</w:t>
      </w:r>
      <w:proofErr w:type="spellEnd"/>
      <w:r w:rsidR="00DE0D0B" w:rsidRPr="001024D1">
        <w:rPr>
          <w:rFonts w:eastAsia="Times New Roman" w:cs="Times New Roman"/>
          <w:szCs w:val="24"/>
          <w:lang w:eastAsia="en-GB"/>
        </w:rPr>
        <w:t>, 2023</w:t>
      </w:r>
      <w:r w:rsidR="00EC56B9" w:rsidRPr="001024D1">
        <w:t>)</w:t>
      </w:r>
      <w:r w:rsidRPr="001024D1">
        <w:t xml:space="preserve">. However, many face liquidity challenges stemming </w:t>
      </w:r>
      <w:r w:rsidRPr="001024D1">
        <w:lastRenderedPageBreak/>
        <w:t>from delayed receivables, fluctuating demand, and rising operational costs, which can compromise long-term financial sustainability. Financial sustainability for these firms implies maintaining consistent revenues, adequate surpluses, and resilience to external shocks. Debtors management, a key aspect of working capital management, directly influences liquidity by determining how quickly firms convert credit sales into cash. Inefficient collection processes often tie up resources, increase financing costs, and elevate the risk of bad debts, weakening sustainability</w:t>
      </w:r>
      <w:r w:rsidR="00DE0D0B" w:rsidRPr="001024D1">
        <w:t xml:space="preserve"> (</w:t>
      </w:r>
      <w:proofErr w:type="spellStart"/>
      <w:r w:rsidR="00DE0D0B" w:rsidRPr="001024D1">
        <w:rPr>
          <w:rFonts w:eastAsia="Times New Roman" w:cs="Times New Roman"/>
          <w:szCs w:val="24"/>
          <w:lang w:eastAsia="en-GB"/>
        </w:rPr>
        <w:t>Nyawira</w:t>
      </w:r>
      <w:proofErr w:type="spellEnd"/>
      <w:r w:rsidR="00DE0D0B" w:rsidRPr="001024D1">
        <w:rPr>
          <w:rFonts w:eastAsia="Times New Roman" w:cs="Times New Roman"/>
          <w:szCs w:val="24"/>
          <w:lang w:eastAsia="en-GB"/>
        </w:rPr>
        <w:t xml:space="preserve"> &amp; </w:t>
      </w:r>
      <w:proofErr w:type="spellStart"/>
      <w:r w:rsidR="00DE0D0B" w:rsidRPr="001024D1">
        <w:rPr>
          <w:rFonts w:eastAsia="Times New Roman" w:cs="Times New Roman"/>
          <w:szCs w:val="24"/>
          <w:lang w:eastAsia="en-GB"/>
        </w:rPr>
        <w:t>Omagwa</w:t>
      </w:r>
      <w:proofErr w:type="spellEnd"/>
      <w:r w:rsidR="00DE0D0B" w:rsidRPr="001024D1">
        <w:rPr>
          <w:rFonts w:eastAsia="Times New Roman" w:cs="Times New Roman"/>
          <w:szCs w:val="24"/>
          <w:lang w:eastAsia="en-GB"/>
        </w:rPr>
        <w:t xml:space="preserve">, 2019; </w:t>
      </w:r>
      <w:proofErr w:type="spellStart"/>
      <w:r w:rsidR="00DE0D0B" w:rsidRPr="001024D1">
        <w:rPr>
          <w:rFonts w:eastAsia="Times New Roman" w:cs="Times New Roman"/>
          <w:szCs w:val="24"/>
          <w:lang w:eastAsia="en-GB"/>
        </w:rPr>
        <w:t>Jelagat</w:t>
      </w:r>
      <w:proofErr w:type="spellEnd"/>
      <w:r w:rsidR="00DE0D0B" w:rsidRPr="001024D1">
        <w:rPr>
          <w:rFonts w:eastAsia="Times New Roman" w:cs="Times New Roman"/>
          <w:szCs w:val="24"/>
          <w:lang w:eastAsia="en-GB"/>
        </w:rPr>
        <w:t xml:space="preserve">, </w:t>
      </w:r>
      <w:proofErr w:type="spellStart"/>
      <w:r w:rsidR="00DE0D0B" w:rsidRPr="001024D1">
        <w:rPr>
          <w:rFonts w:eastAsia="Times New Roman" w:cs="Times New Roman"/>
          <w:szCs w:val="24"/>
          <w:lang w:eastAsia="en-GB"/>
        </w:rPr>
        <w:t>Musenga</w:t>
      </w:r>
      <w:proofErr w:type="spellEnd"/>
      <w:r w:rsidR="00DE0D0B" w:rsidRPr="001024D1">
        <w:rPr>
          <w:rFonts w:eastAsia="Times New Roman" w:cs="Times New Roman"/>
          <w:szCs w:val="24"/>
          <w:lang w:eastAsia="en-GB"/>
        </w:rPr>
        <w:t xml:space="preserve">, &amp; </w:t>
      </w:r>
      <w:proofErr w:type="spellStart"/>
      <w:r w:rsidR="00DE0D0B" w:rsidRPr="001024D1">
        <w:rPr>
          <w:rFonts w:eastAsia="Times New Roman" w:cs="Times New Roman"/>
          <w:szCs w:val="24"/>
          <w:lang w:eastAsia="en-GB"/>
        </w:rPr>
        <w:t>Shitseswa</w:t>
      </w:r>
      <w:proofErr w:type="spellEnd"/>
      <w:r w:rsidR="00DE0D0B" w:rsidRPr="001024D1">
        <w:rPr>
          <w:rFonts w:eastAsia="Times New Roman" w:cs="Times New Roman"/>
          <w:szCs w:val="24"/>
          <w:lang w:eastAsia="en-GB"/>
        </w:rPr>
        <w:t>, 2023</w:t>
      </w:r>
      <w:r w:rsidR="00EC56B9" w:rsidRPr="001024D1">
        <w:t>)</w:t>
      </w:r>
      <w:r w:rsidRPr="001024D1">
        <w:t>. Conversely, effective debtor management shortens the collection period, improves cash flows, reduces reliance on external borrowing, and strengthens the capacity of firms to achieve sustainable growth in competitive markets.</w:t>
      </w:r>
    </w:p>
    <w:p w14:paraId="0C253D37" w14:textId="77777777" w:rsidR="00D761CC" w:rsidRPr="001024D1" w:rsidRDefault="00D761CC" w:rsidP="00F5219F">
      <w:pPr>
        <w:pStyle w:val="Heading2"/>
        <w:spacing w:before="240" w:after="200" w:line="360" w:lineRule="auto"/>
      </w:pPr>
      <w:bookmarkStart w:id="6" w:name="_Toc190927664"/>
      <w:r w:rsidRPr="001024D1">
        <w:t>1.2 Statement of the Problem</w:t>
      </w:r>
      <w:bookmarkEnd w:id="6"/>
    </w:p>
    <w:p w14:paraId="0BAA110E" w14:textId="77777777" w:rsidR="00F5219F" w:rsidRPr="001024D1" w:rsidRDefault="00F5219F" w:rsidP="00F5219F">
      <w:pPr>
        <w:spacing w:line="360" w:lineRule="auto"/>
      </w:pPr>
      <w:r w:rsidRPr="001024D1">
        <w:t xml:space="preserve">Non-financial firms listed on East African stock exchanges have increasingly faced liquidity challenges that threaten their financial sustainability. Recent data indicate that the average collection period (ACP) among these firms has exceeded 90 days, with some companies taking up to 400-500 days to collect receivables. Such prolonged debtor collection periods result in funds being tied up in receivables, reducing the cash available for operations, investing in growth, or meeting short-term obligations. These inefficiencies in </w:t>
      </w:r>
      <w:proofErr w:type="gramStart"/>
      <w:r w:rsidRPr="001024D1">
        <w:t>debtors</w:t>
      </w:r>
      <w:proofErr w:type="gramEnd"/>
      <w:r w:rsidRPr="001024D1">
        <w:t xml:space="preserve"> management have been shown to have serious consequences, where firms have recorded longer ACPs leading to unpredictable cash flow shortages, increased reliance on external financing at high cost, as well as and higher exposure to bad debt (</w:t>
      </w:r>
      <w:r w:rsidR="00DE0D0B" w:rsidRPr="001024D1">
        <w:rPr>
          <w:rFonts w:eastAsia="Times New Roman" w:cs="Times New Roman"/>
          <w:bCs/>
          <w:szCs w:val="24"/>
          <w:lang w:eastAsia="en-GB"/>
        </w:rPr>
        <w:t>African Development Bank – AfDB, (2023</w:t>
      </w:r>
      <w:r w:rsidRPr="001024D1">
        <w:t xml:space="preserve">). Empirical research provides mixed but insightful evidence on the role of </w:t>
      </w:r>
      <w:proofErr w:type="gramStart"/>
      <w:r w:rsidRPr="001024D1">
        <w:t>debtors</w:t>
      </w:r>
      <w:proofErr w:type="gramEnd"/>
      <w:r w:rsidRPr="001024D1">
        <w:t xml:space="preserve"> management on fi</w:t>
      </w:r>
      <w:r w:rsidR="00DE0D0B" w:rsidRPr="001024D1">
        <w:t xml:space="preserve">rms’ financial sustainability. </w:t>
      </w:r>
      <w:r w:rsidR="00DE0D0B" w:rsidRPr="001024D1">
        <w:rPr>
          <w:rFonts w:eastAsia="Times New Roman" w:cs="Times New Roman"/>
          <w:szCs w:val="24"/>
          <w:lang w:eastAsia="en-GB"/>
        </w:rPr>
        <w:t>Jelagat et al. (2023)</w:t>
      </w:r>
      <w:r w:rsidRPr="001024D1">
        <w:t xml:space="preserve"> while addressing the effect of </w:t>
      </w:r>
      <w:proofErr w:type="gramStart"/>
      <w:r w:rsidRPr="001024D1">
        <w:t>debtors</w:t>
      </w:r>
      <w:proofErr w:type="gramEnd"/>
      <w:r w:rsidRPr="001024D1">
        <w:t xml:space="preserve"> management on firms financial performance revealed that prolonged ACP negatively impacts financial performance, with a one-unit increase in collection periods leading to significant deficits, underscoring the need for stringent debt management policies to ensure surpluses and sustainability. Similarly, Mulenga and </w:t>
      </w:r>
      <w:proofErr w:type="spellStart"/>
      <w:r w:rsidRPr="001024D1">
        <w:t>Mndeme</w:t>
      </w:r>
      <w:proofErr w:type="spellEnd"/>
      <w:r w:rsidRPr="001024D1">
        <w:t xml:space="preserve"> (2024) while focusing on listed firms in Tanzania established that effective accounts receivable management exhibited a strong positive correlation with ROE, where shorter collection and payment periods enhanced overall financial outcomes. While focusing on listed firms in Rwanda, </w:t>
      </w:r>
      <w:proofErr w:type="spellStart"/>
      <w:r w:rsidRPr="001024D1">
        <w:t>Tuyishime</w:t>
      </w:r>
      <w:proofErr w:type="spellEnd"/>
      <w:r w:rsidRPr="001024D1">
        <w:t xml:space="preserve"> and </w:t>
      </w:r>
      <w:proofErr w:type="spellStart"/>
      <w:r w:rsidRPr="001024D1">
        <w:t>Mulyungi</w:t>
      </w:r>
      <w:proofErr w:type="spellEnd"/>
      <w:r w:rsidRPr="001024D1">
        <w:t xml:space="preserve"> (2018) established that debtors management elements like debt collection policies, internal controls, and legal frameworks significantly influenced financial performance. While these studies portray the essence of </w:t>
      </w:r>
      <w:proofErr w:type="gramStart"/>
      <w:r w:rsidRPr="001024D1">
        <w:t>debtors</w:t>
      </w:r>
      <w:proofErr w:type="gramEnd"/>
      <w:r w:rsidRPr="001024D1">
        <w:t xml:space="preserve"> management in steering financial success, the studies have not </w:t>
      </w:r>
      <w:r w:rsidRPr="001024D1">
        <w:lastRenderedPageBreak/>
        <w:t xml:space="preserve">addressed the concept of financial sustainability whereby the studies have majorly focused on financial performance. Moreover, most studies have overlooked the listed firms in East Africa, despite the region being economically integrated and most of the listed firms operating in the regional business ecosystem. This raises the need for this study which sought to establish the effect of </w:t>
      </w:r>
      <w:proofErr w:type="gramStart"/>
      <w:r w:rsidRPr="001024D1">
        <w:t>debtors</w:t>
      </w:r>
      <w:proofErr w:type="gramEnd"/>
      <w:r w:rsidRPr="001024D1">
        <w:t xml:space="preserve"> management on financial sustainability of non-financial firms listed in stocks markets in East Africa.</w:t>
      </w:r>
    </w:p>
    <w:p w14:paraId="165D0C69" w14:textId="77777777" w:rsidR="00661758" w:rsidRPr="001024D1" w:rsidRDefault="00661758" w:rsidP="00F5219F">
      <w:pPr>
        <w:pStyle w:val="Heading2"/>
        <w:spacing w:before="240" w:after="200" w:line="360" w:lineRule="auto"/>
      </w:pPr>
      <w:r w:rsidRPr="001024D1">
        <w:t>1.3 Objectives of the Study</w:t>
      </w:r>
    </w:p>
    <w:p w14:paraId="0AB1CA76" w14:textId="77777777" w:rsidR="00661758" w:rsidRPr="001024D1" w:rsidRDefault="00661758" w:rsidP="00F5219F">
      <w:pPr>
        <w:spacing w:before="240" w:line="360" w:lineRule="auto"/>
      </w:pPr>
      <w:r w:rsidRPr="001024D1">
        <w:t xml:space="preserve">The study sought to assess the effect of </w:t>
      </w:r>
      <w:proofErr w:type="gramStart"/>
      <w:r w:rsidRPr="001024D1">
        <w:t>debtors</w:t>
      </w:r>
      <w:proofErr w:type="gramEnd"/>
      <w:r w:rsidRPr="001024D1">
        <w:t xml:space="preserve"> management on financial sustainability of non-financial listed firms in East Africa. To achieve this objective, the study was guided by the following research questions:</w:t>
      </w:r>
    </w:p>
    <w:p w14:paraId="61B0D670" w14:textId="77777777" w:rsidR="00661758" w:rsidRPr="001024D1" w:rsidRDefault="00661758" w:rsidP="003F09F2">
      <w:pPr>
        <w:pStyle w:val="ListParagraph"/>
        <w:numPr>
          <w:ilvl w:val="0"/>
          <w:numId w:val="2"/>
        </w:numPr>
        <w:spacing w:before="240" w:line="360" w:lineRule="auto"/>
      </w:pPr>
      <w:r w:rsidRPr="001024D1">
        <w:t xml:space="preserve">What is the trend of </w:t>
      </w:r>
      <w:proofErr w:type="gramStart"/>
      <w:r w:rsidRPr="001024D1">
        <w:t>debtors</w:t>
      </w:r>
      <w:proofErr w:type="gramEnd"/>
      <w:r w:rsidRPr="001024D1">
        <w:t xml:space="preserve"> management among non-financial firms listed in East Africa for the period between 2014 and 2023?</w:t>
      </w:r>
    </w:p>
    <w:p w14:paraId="581F6668" w14:textId="77777777" w:rsidR="00661758" w:rsidRPr="001024D1" w:rsidRDefault="00661758" w:rsidP="003F09F2">
      <w:pPr>
        <w:pStyle w:val="ListParagraph"/>
        <w:numPr>
          <w:ilvl w:val="0"/>
          <w:numId w:val="2"/>
        </w:numPr>
        <w:spacing w:before="240" w:line="360" w:lineRule="auto"/>
      </w:pPr>
      <w:r w:rsidRPr="001024D1">
        <w:t>What is the trend of financial sustainability among non-financial firms listed in East Africa for the period between 2014 and 2023?</w:t>
      </w:r>
    </w:p>
    <w:p w14:paraId="47A89286" w14:textId="77777777" w:rsidR="00661758" w:rsidRPr="001024D1" w:rsidRDefault="00661758" w:rsidP="003F09F2">
      <w:pPr>
        <w:pStyle w:val="ListParagraph"/>
        <w:numPr>
          <w:ilvl w:val="0"/>
          <w:numId w:val="2"/>
        </w:numPr>
        <w:spacing w:before="240" w:line="360" w:lineRule="auto"/>
      </w:pPr>
      <w:r w:rsidRPr="001024D1">
        <w:t xml:space="preserve">What is the relationship between </w:t>
      </w:r>
      <w:proofErr w:type="gramStart"/>
      <w:r w:rsidRPr="001024D1">
        <w:t>debtors</w:t>
      </w:r>
      <w:proofErr w:type="gramEnd"/>
      <w:r w:rsidRPr="001024D1">
        <w:t xml:space="preserve"> management and financial sustainability among non-financial firms listed in East Africa?</w:t>
      </w:r>
    </w:p>
    <w:p w14:paraId="290A0A5A" w14:textId="77777777" w:rsidR="00661758" w:rsidRPr="001024D1" w:rsidRDefault="00661758" w:rsidP="00F5219F">
      <w:pPr>
        <w:pStyle w:val="Heading2"/>
        <w:spacing w:line="360" w:lineRule="auto"/>
      </w:pPr>
      <w:r w:rsidRPr="001024D1">
        <w:t>1.4 Research Hypotheses</w:t>
      </w:r>
    </w:p>
    <w:p w14:paraId="013BF936" w14:textId="77777777" w:rsidR="00661758" w:rsidRPr="001024D1" w:rsidRDefault="00661758" w:rsidP="003F09F2">
      <w:pPr>
        <w:pStyle w:val="ListParagraph"/>
        <w:numPr>
          <w:ilvl w:val="0"/>
          <w:numId w:val="3"/>
        </w:numPr>
        <w:spacing w:after="0" w:line="360" w:lineRule="auto"/>
      </w:pPr>
      <w:r w:rsidRPr="001024D1">
        <w:rPr>
          <w:b/>
        </w:rPr>
        <w:t>H</w:t>
      </w:r>
      <w:r w:rsidRPr="001024D1">
        <w:rPr>
          <w:b/>
          <w:vertAlign w:val="subscript"/>
        </w:rPr>
        <w:t>O</w:t>
      </w:r>
      <w:r w:rsidRPr="001024D1">
        <w:rPr>
          <w:b/>
        </w:rPr>
        <w:t>:</w:t>
      </w:r>
      <w:r w:rsidRPr="001024D1">
        <w:t xml:space="preserve"> </w:t>
      </w:r>
      <w:r w:rsidRPr="001024D1">
        <w:tab/>
        <w:t>Debtors management has no significant effect on financial sustainability of non-</w:t>
      </w:r>
      <w:r w:rsidRPr="001024D1">
        <w:tab/>
        <w:t>financial firms listed in stock exchanges within East Africa.</w:t>
      </w:r>
    </w:p>
    <w:p w14:paraId="74D45046" w14:textId="77777777" w:rsidR="00661758" w:rsidRPr="001024D1" w:rsidRDefault="00661758" w:rsidP="003F09F2">
      <w:pPr>
        <w:pStyle w:val="ListParagraph"/>
        <w:numPr>
          <w:ilvl w:val="0"/>
          <w:numId w:val="3"/>
        </w:numPr>
        <w:spacing w:after="0" w:line="360" w:lineRule="auto"/>
      </w:pPr>
      <w:r w:rsidRPr="001024D1">
        <w:rPr>
          <w:b/>
        </w:rPr>
        <w:t>H</w:t>
      </w:r>
      <w:r w:rsidRPr="001024D1">
        <w:rPr>
          <w:b/>
          <w:vertAlign w:val="subscript"/>
        </w:rPr>
        <w:t>A</w:t>
      </w:r>
      <w:r w:rsidRPr="001024D1">
        <w:rPr>
          <w:b/>
        </w:rPr>
        <w:t>:</w:t>
      </w:r>
      <w:r w:rsidRPr="001024D1">
        <w:t xml:space="preserve"> </w:t>
      </w:r>
      <w:r w:rsidRPr="001024D1">
        <w:tab/>
        <w:t>Debtors management has a significant effect on financial sustainability of non-</w:t>
      </w:r>
      <w:r w:rsidRPr="001024D1">
        <w:tab/>
        <w:t>financial firms listed in stock exchanges within East Africa.</w:t>
      </w:r>
    </w:p>
    <w:p w14:paraId="10188E76" w14:textId="77777777" w:rsidR="00D761CC" w:rsidRPr="001024D1" w:rsidRDefault="0016381E" w:rsidP="00F5219F">
      <w:pPr>
        <w:pStyle w:val="Heading1"/>
        <w:spacing w:before="240" w:after="200" w:line="360" w:lineRule="auto"/>
      </w:pPr>
      <w:bookmarkStart w:id="7" w:name="_Toc190927673"/>
      <w:r w:rsidRPr="001024D1">
        <w:t xml:space="preserve">2.0 </w:t>
      </w:r>
      <w:r w:rsidR="00D761CC" w:rsidRPr="001024D1">
        <w:t>LITERATURE REVIEW</w:t>
      </w:r>
      <w:bookmarkEnd w:id="7"/>
    </w:p>
    <w:p w14:paraId="191DFBA4" w14:textId="77777777" w:rsidR="00D761CC" w:rsidRPr="001024D1" w:rsidRDefault="0016381E" w:rsidP="00F5219F">
      <w:pPr>
        <w:pStyle w:val="Heading2"/>
        <w:spacing w:before="240" w:after="200" w:line="360" w:lineRule="auto"/>
      </w:pPr>
      <w:bookmarkStart w:id="8" w:name="_Toc190927675"/>
      <w:r w:rsidRPr="001024D1">
        <w:t xml:space="preserve">2.1 </w:t>
      </w:r>
      <w:r w:rsidR="00D761CC" w:rsidRPr="001024D1">
        <w:t>Theoretical Review</w:t>
      </w:r>
      <w:bookmarkEnd w:id="8"/>
    </w:p>
    <w:p w14:paraId="2E4B93F4" w14:textId="77777777" w:rsidR="00162784" w:rsidRPr="001024D1" w:rsidRDefault="0016381E" w:rsidP="00F5219F">
      <w:pPr>
        <w:spacing w:before="240" w:line="360" w:lineRule="auto"/>
      </w:pPr>
      <w:r w:rsidRPr="001024D1">
        <w:t xml:space="preserve">The study was anchored by agency theory by Jensen and Meckling (1976). The theory </w:t>
      </w:r>
      <w:r w:rsidR="00162784" w:rsidRPr="001024D1">
        <w:t xml:space="preserve">is concerned with conflicts of interest that arise between principals (shareholders) and agents (managers). In the context of </w:t>
      </w:r>
      <w:proofErr w:type="gramStart"/>
      <w:r w:rsidR="00162784" w:rsidRPr="001024D1">
        <w:t>debtors</w:t>
      </w:r>
      <w:proofErr w:type="gramEnd"/>
      <w:r w:rsidR="00162784" w:rsidRPr="001024D1">
        <w:t xml:space="preserve"> management, particularly the debtors management through average debt collection period (ADCP), managers may be incentivized to pursue policies that maximize short-term sales or market share by extending more generous credit terms to customers. This strategy can lengthen the ADCP, as customers are given longer periods to pay, thereby boosting reported revenues in the short run. However, such decisions </w:t>
      </w:r>
      <w:r w:rsidR="00162784" w:rsidRPr="001024D1">
        <w:lastRenderedPageBreak/>
        <w:t xml:space="preserve">may not align with shareholders’ objectives, which emphasize liquidity, efficient working capital management, and long-term financial </w:t>
      </w:r>
      <w:r w:rsidR="005A763E" w:rsidRPr="001024D1">
        <w:t>sustainability (</w:t>
      </w:r>
      <w:proofErr w:type="spellStart"/>
      <w:r w:rsidR="005A763E" w:rsidRPr="001024D1">
        <w:rPr>
          <w:rFonts w:eastAsia="Times New Roman" w:cs="Times New Roman"/>
          <w:szCs w:val="24"/>
          <w:lang w:eastAsia="en-GB"/>
        </w:rPr>
        <w:t>Igbojindu</w:t>
      </w:r>
      <w:proofErr w:type="spellEnd"/>
      <w:r w:rsidR="005A763E" w:rsidRPr="001024D1">
        <w:rPr>
          <w:rFonts w:eastAsia="Times New Roman" w:cs="Times New Roman"/>
          <w:szCs w:val="24"/>
          <w:lang w:eastAsia="en-GB"/>
        </w:rPr>
        <w:t xml:space="preserve"> &amp; Okafor, 2023</w:t>
      </w:r>
      <w:r w:rsidR="00162784" w:rsidRPr="001024D1">
        <w:t>).</w:t>
      </w:r>
    </w:p>
    <w:p w14:paraId="2477B529" w14:textId="77777777" w:rsidR="00162784" w:rsidRPr="001024D1" w:rsidRDefault="00162784" w:rsidP="00F5219F">
      <w:pPr>
        <w:spacing w:before="240" w:line="360" w:lineRule="auto"/>
      </w:pPr>
      <w:r w:rsidRPr="001024D1">
        <w:t>When the ADCP is prolonged, firms experience delays in cash inflows, which can create liquidity pressures, increase financing costs, and ele</w:t>
      </w:r>
      <w:r w:rsidR="005A763E" w:rsidRPr="001024D1">
        <w:t>vate the risk of bad debts (</w:t>
      </w:r>
      <w:r w:rsidR="005A763E" w:rsidRPr="001024D1">
        <w:rPr>
          <w:rFonts w:eastAsia="Times New Roman" w:cs="Times New Roman"/>
          <w:szCs w:val="24"/>
          <w:lang w:eastAsia="en-GB"/>
        </w:rPr>
        <w:t>Enqvist, Graham, &amp; Nikkinen, 2014</w:t>
      </w:r>
      <w:r w:rsidRPr="001024D1">
        <w:t>). This undermines financial sustainability by weakening the firm’s ability to meet obligations and reinvest in operations. From a governance perspective, Agency Theory highlights the need for monitoring mechanisms and aligned incentives to ensure managers adopt receivables policies that balance sales growth with pr</w:t>
      </w:r>
      <w:r w:rsidR="005A763E" w:rsidRPr="001024D1">
        <w:t>udent liquidity management (</w:t>
      </w:r>
      <w:r w:rsidR="005A763E" w:rsidRPr="001024D1">
        <w:rPr>
          <w:rFonts w:eastAsia="Times New Roman" w:cs="Times New Roman"/>
          <w:szCs w:val="24"/>
          <w:lang w:eastAsia="en-GB"/>
        </w:rPr>
        <w:t>Naz, Ali, Rehman, &amp; Ntim, 2022</w:t>
      </w:r>
      <w:r w:rsidRPr="001024D1">
        <w:t xml:space="preserve">). By applying this theory, the study underscores that effective </w:t>
      </w:r>
      <w:proofErr w:type="gramStart"/>
      <w:r w:rsidRPr="001024D1">
        <w:t>debtors</w:t>
      </w:r>
      <w:proofErr w:type="gramEnd"/>
      <w:r w:rsidRPr="001024D1">
        <w:t xml:space="preserve"> management is not only an operational concern but also a matter of aligning managerial </w:t>
      </w:r>
      <w:proofErr w:type="spellStart"/>
      <w:r w:rsidRPr="001024D1">
        <w:t>behavior</w:t>
      </w:r>
      <w:proofErr w:type="spellEnd"/>
      <w:r w:rsidRPr="001024D1">
        <w:t xml:space="preserve"> with shareholder value creation for enhanced financial sustainability.</w:t>
      </w:r>
    </w:p>
    <w:p w14:paraId="1F6D9E3E" w14:textId="77777777" w:rsidR="00D761CC" w:rsidRPr="001024D1" w:rsidRDefault="00D761CC" w:rsidP="001024D1">
      <w:pPr>
        <w:pStyle w:val="Heading2"/>
        <w:spacing w:before="240" w:after="200" w:line="240" w:lineRule="auto"/>
      </w:pPr>
      <w:bookmarkStart w:id="9" w:name="_Toc190927682"/>
      <w:r w:rsidRPr="001024D1">
        <w:t>2.</w:t>
      </w:r>
      <w:r w:rsidR="00162784" w:rsidRPr="001024D1">
        <w:t>2</w:t>
      </w:r>
      <w:r w:rsidRPr="001024D1">
        <w:t xml:space="preserve"> Conceptual Framework</w:t>
      </w:r>
      <w:bookmarkEnd w:id="9"/>
    </w:p>
    <w:p w14:paraId="4B5C7AC7" w14:textId="77777777" w:rsidR="00D761CC" w:rsidRPr="001024D1" w:rsidRDefault="00162784" w:rsidP="00F5219F">
      <w:pPr>
        <w:spacing w:before="240" w:line="360" w:lineRule="auto"/>
      </w:pPr>
      <w:r w:rsidRPr="001024D1">
        <w:t xml:space="preserve">Figure 1 shows the </w:t>
      </w:r>
      <w:r w:rsidR="00D761CC" w:rsidRPr="001024D1">
        <w:t xml:space="preserve">conceptual framework </w:t>
      </w:r>
      <w:r w:rsidRPr="001024D1">
        <w:t xml:space="preserve">for the study which outlines the independent and dependent variables. </w:t>
      </w:r>
    </w:p>
    <w:p w14:paraId="35DEFE5C" w14:textId="77777777" w:rsidR="00D761CC" w:rsidRPr="001024D1" w:rsidRDefault="00D761CC" w:rsidP="00F5219F">
      <w:pPr>
        <w:spacing w:after="0" w:line="360" w:lineRule="auto"/>
      </w:pPr>
      <w:r w:rsidRPr="001024D1">
        <w:rPr>
          <w:noProof/>
          <w:szCs w:val="24"/>
          <w:lang w:eastAsia="en-GB"/>
        </w:rPr>
        <mc:AlternateContent>
          <mc:Choice Requires="wpg">
            <w:drawing>
              <wp:inline distT="0" distB="0" distL="0" distR="0" wp14:anchorId="5B9F208B" wp14:editId="02B059BA">
                <wp:extent cx="4807995" cy="847861"/>
                <wp:effectExtent l="0" t="0" r="12065" b="285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7995" cy="847861"/>
                          <a:chOff x="1499" y="6175"/>
                          <a:chExt cx="6920" cy="833"/>
                        </a:xfrm>
                      </wpg:grpSpPr>
                      <wps:wsp>
                        <wps:cNvPr id="28" name="AutoShape 9"/>
                        <wps:cNvCnPr>
                          <a:cxnSpLocks noChangeShapeType="1"/>
                        </wps:cNvCnPr>
                        <wps:spPr bwMode="auto">
                          <a:xfrm flipV="1">
                            <a:off x="4852" y="6585"/>
                            <a:ext cx="83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3"/>
                        <wps:cNvSpPr txBox="1">
                          <a:spLocks noChangeArrowheads="1"/>
                        </wps:cNvSpPr>
                        <wps:spPr bwMode="auto">
                          <a:xfrm>
                            <a:off x="5684" y="6175"/>
                            <a:ext cx="2735" cy="749"/>
                          </a:xfrm>
                          <a:prstGeom prst="roundRect">
                            <a:avLst/>
                          </a:prstGeom>
                          <a:solidFill>
                            <a:srgbClr val="FFFFFF"/>
                          </a:solidFill>
                          <a:ln w="9525">
                            <a:solidFill>
                              <a:srgbClr val="000000"/>
                            </a:solidFill>
                            <a:miter lim="800000"/>
                            <a:headEnd/>
                            <a:tailEnd/>
                          </a:ln>
                        </wps:spPr>
                        <wps:txbx>
                          <w:txbxContent>
                            <w:p w14:paraId="307AA168" w14:textId="77777777" w:rsidR="00F5219F" w:rsidRPr="003548F9" w:rsidRDefault="00F5219F" w:rsidP="00D761CC">
                              <w:pPr>
                                <w:spacing w:after="0" w:line="240" w:lineRule="auto"/>
                                <w:rPr>
                                  <w:b/>
                                </w:rPr>
                              </w:pPr>
                              <w:r w:rsidRPr="003548F9">
                                <w:rPr>
                                  <w:b/>
                                </w:rPr>
                                <w:t>Financial Sustainability</w:t>
                              </w:r>
                            </w:p>
                            <w:p w14:paraId="6B8EE62D" w14:textId="77777777" w:rsidR="00F5219F" w:rsidRPr="00131EC2" w:rsidRDefault="00F5219F" w:rsidP="00D761CC">
                              <w:pPr>
                                <w:tabs>
                                  <w:tab w:val="left" w:pos="180"/>
                                </w:tabs>
                                <w:spacing w:after="0" w:line="240" w:lineRule="auto"/>
                                <w:rPr>
                                  <w:sz w:val="20"/>
                                </w:rPr>
                              </w:pPr>
                              <w:r w:rsidRPr="0076102A">
                                <w:rPr>
                                  <w:rFonts w:cs="Times New Roman"/>
                                  <w:color w:val="000000"/>
                                  <w:sz w:val="23"/>
                                  <w:szCs w:val="23"/>
                                  <w:lang w:val="en-US"/>
                                </w:rPr>
                                <w:t>Operating Surplus Ratio</w:t>
                              </w:r>
                            </w:p>
                          </w:txbxContent>
                        </wps:txbx>
                        <wps:bodyPr rot="0" vert="horz" wrap="square" lIns="91440" tIns="45720" rIns="91440" bIns="45720" anchor="t" anchorCtr="0" upright="1">
                          <a:noAutofit/>
                        </wps:bodyPr>
                      </wps:wsp>
                      <wps:wsp>
                        <wps:cNvPr id="36" name="Text Box 15"/>
                        <wps:cNvSpPr txBox="1">
                          <a:spLocks noChangeArrowheads="1"/>
                        </wps:cNvSpPr>
                        <wps:spPr bwMode="auto">
                          <a:xfrm>
                            <a:off x="1499" y="6234"/>
                            <a:ext cx="3355" cy="774"/>
                          </a:xfrm>
                          <a:prstGeom prst="roundRect">
                            <a:avLst/>
                          </a:prstGeom>
                          <a:solidFill>
                            <a:srgbClr val="FFFFFF"/>
                          </a:solidFill>
                          <a:ln w="9525">
                            <a:solidFill>
                              <a:srgbClr val="000000"/>
                            </a:solidFill>
                            <a:miter lim="800000"/>
                            <a:headEnd/>
                            <a:tailEnd/>
                          </a:ln>
                        </wps:spPr>
                        <wps:txbx>
                          <w:txbxContent>
                            <w:p w14:paraId="67B7261D" w14:textId="77777777" w:rsidR="00F5219F" w:rsidRPr="009F072A" w:rsidRDefault="00F5219F" w:rsidP="00D761CC">
                              <w:pPr>
                                <w:spacing w:after="0" w:line="240" w:lineRule="auto"/>
                                <w:rPr>
                                  <w:b/>
                                  <w:szCs w:val="24"/>
                                </w:rPr>
                              </w:pPr>
                              <w:r>
                                <w:rPr>
                                  <w:b/>
                                  <w:szCs w:val="24"/>
                                </w:rPr>
                                <w:t>Debtors Management Practices</w:t>
                              </w:r>
                            </w:p>
                            <w:p w14:paraId="783E2144" w14:textId="489032E6" w:rsidR="00F5219F" w:rsidRPr="000D669C" w:rsidRDefault="00F5219F" w:rsidP="003F09F2">
                              <w:pPr>
                                <w:numPr>
                                  <w:ilvl w:val="0"/>
                                  <w:numId w:val="1"/>
                                </w:numPr>
                                <w:spacing w:after="0" w:line="240" w:lineRule="auto"/>
                                <w:jc w:val="left"/>
                                <w:rPr>
                                  <w:sz w:val="22"/>
                                </w:rPr>
                              </w:pPr>
                              <w:r w:rsidRPr="000D669C">
                                <w:rPr>
                                  <w:sz w:val="22"/>
                                </w:rPr>
                                <w:t>Average Debt collection period</w:t>
                              </w:r>
                              <w:r w:rsidR="003B5831">
                                <w:rPr>
                                  <w:sz w:val="22"/>
                                </w:rPr>
                                <w:t xml:space="preserve"> </w:t>
                              </w:r>
                            </w:p>
                            <w:p w14:paraId="028F1BC7" w14:textId="77777777" w:rsidR="00F5219F" w:rsidRPr="000D669C" w:rsidRDefault="00F5219F" w:rsidP="00D761CC">
                              <w:pPr>
                                <w:spacing w:after="0" w:line="240" w:lineRule="auto"/>
                                <w:ind w:left="360"/>
                                <w:jc w:val="left"/>
                                <w:rPr>
                                  <w:sz w:val="22"/>
                                </w:rPr>
                              </w:pPr>
                            </w:p>
                            <w:p w14:paraId="47294E53" w14:textId="77777777" w:rsidR="00F5219F" w:rsidRDefault="00F5219F" w:rsidP="00D761CC">
                              <w:pPr>
                                <w:pStyle w:val="ListParagraph"/>
                                <w:spacing w:after="0" w:line="240" w:lineRule="auto"/>
                                <w:ind w:left="360"/>
                                <w:jc w:val="left"/>
                                <w:rPr>
                                  <w:sz w:val="20"/>
                                </w:rPr>
                              </w:pPr>
                            </w:p>
                          </w:txbxContent>
                        </wps:txbx>
                        <wps:bodyPr rot="0" vert="horz" wrap="square" lIns="91440" tIns="45720" rIns="91440" bIns="45720" anchor="t" anchorCtr="0" upright="1">
                          <a:noAutofit/>
                        </wps:bodyPr>
                      </wps:wsp>
                    </wpg:wgp>
                  </a:graphicData>
                </a:graphic>
              </wp:inline>
            </w:drawing>
          </mc:Choice>
          <mc:Fallback>
            <w:pict>
              <v:group w14:anchorId="5B9F208B" id="Group 5" o:spid="_x0000_s1026" style="width:378.6pt;height:66.75pt;mso-position-horizontal-relative:char;mso-position-vertical-relative:line" coordorigin="1499,6175" coordsize="692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">
                <v:shapetype id="_x0000_t32" coordsize="21600,21600" o:spt="32" o:oned="t" path="m,l21600,21600e" filled="f">
                  <v:path arrowok="t" fillok="f" o:connecttype="none"/>
                  <o:lock v:ext="edit" shapetype="t"/>
                </v:shapetype>
                <v:shape id="AutoShape 9" o:spid="_x0000_s1027" type="#_x0000_t32" style="position:absolute;left:4852;top:6585;width:832;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roundrect id="Text Box 13" o:spid="_x0000_s1028" style="position:absolute;left:5684;top:6175;width:2735;height:7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">
                  <v:stroke joinstyle="miter"/>
                  <v:textbox>
                    <w:txbxContent>
                      <w:p w14:paraId="307AA168" w14:textId="77777777" w:rsidR="00F5219F" w:rsidRPr="003548F9" w:rsidRDefault="00F5219F" w:rsidP="00D761CC">
                        <w:pPr>
                          <w:spacing w:after="0" w:line="240" w:lineRule="auto"/>
                          <w:rPr>
                            <w:b/>
                          </w:rPr>
                        </w:pPr>
                        <w:r w:rsidRPr="003548F9">
                          <w:rPr>
                            <w:b/>
                          </w:rPr>
                          <w:t>Financial Sustainability</w:t>
                        </w:r>
                      </w:p>
                      <w:p w14:paraId="6B8EE62D" w14:textId="77777777" w:rsidR="00F5219F" w:rsidRPr="00131EC2" w:rsidRDefault="00F5219F" w:rsidP="00D761CC">
                        <w:pPr>
                          <w:tabs>
                            <w:tab w:val="left" w:pos="180"/>
                          </w:tabs>
                          <w:spacing w:after="0" w:line="240" w:lineRule="auto"/>
                          <w:rPr>
                            <w:sz w:val="20"/>
                          </w:rPr>
                        </w:pPr>
                        <w:r w:rsidRPr="0076102A">
                          <w:rPr>
                            <w:rFonts w:cs="Times New Roman"/>
                            <w:color w:val="000000"/>
                            <w:sz w:val="23"/>
                            <w:szCs w:val="23"/>
                            <w:lang w:val="en-US"/>
                          </w:rPr>
                          <w:t>Operating Surplus Ratio</w:t>
                        </w:r>
                      </w:p>
                    </w:txbxContent>
                  </v:textbox>
                </v:roundrect>
                <v:roundrect id="Text Box 15" o:spid="_x0000_s1029" style="position:absolute;left:1499;top:6234;width:3355;height: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">
                  <v:stroke joinstyle="miter"/>
                  <v:textbox>
                    <w:txbxContent>
                      <w:p w14:paraId="67B7261D" w14:textId="77777777" w:rsidR="00F5219F" w:rsidRPr="009F072A" w:rsidRDefault="00F5219F" w:rsidP="00D761CC">
                        <w:pPr>
                          <w:spacing w:after="0" w:line="240" w:lineRule="auto"/>
                          <w:rPr>
                            <w:b/>
                            <w:szCs w:val="24"/>
                          </w:rPr>
                        </w:pPr>
                        <w:r>
                          <w:rPr>
                            <w:b/>
                            <w:szCs w:val="24"/>
                          </w:rPr>
                          <w:t>Debtors Management Practices</w:t>
                        </w:r>
                      </w:p>
                      <w:p w14:paraId="783E2144" w14:textId="489032E6" w:rsidR="00F5219F" w:rsidRPr="000D669C" w:rsidRDefault="00F5219F" w:rsidP="003F09F2">
                        <w:pPr>
                          <w:numPr>
                            <w:ilvl w:val="0"/>
                            <w:numId w:val="1"/>
                          </w:numPr>
                          <w:spacing w:after="0" w:line="240" w:lineRule="auto"/>
                          <w:jc w:val="left"/>
                          <w:rPr>
                            <w:sz w:val="22"/>
                          </w:rPr>
                        </w:pPr>
                        <w:r w:rsidRPr="000D669C">
                          <w:rPr>
                            <w:sz w:val="22"/>
                          </w:rPr>
                          <w:t>Average Debt collection period</w:t>
                        </w:r>
                        <w:r w:rsidR="003B5831">
                          <w:rPr>
                            <w:sz w:val="22"/>
                          </w:rPr>
                          <w:t xml:space="preserve"> </w:t>
                        </w:r>
                      </w:p>
                      <w:p w14:paraId="028F1BC7" w14:textId="77777777" w:rsidR="00F5219F" w:rsidRPr="000D669C" w:rsidRDefault="00F5219F" w:rsidP="00D761CC">
                        <w:pPr>
                          <w:spacing w:after="0" w:line="240" w:lineRule="auto"/>
                          <w:ind w:left="360"/>
                          <w:jc w:val="left"/>
                          <w:rPr>
                            <w:sz w:val="22"/>
                          </w:rPr>
                        </w:pPr>
                      </w:p>
                      <w:p w14:paraId="47294E53" w14:textId="77777777" w:rsidR="00F5219F" w:rsidRDefault="00F5219F" w:rsidP="00D761CC">
                        <w:pPr>
                          <w:pStyle w:val="ListParagraph"/>
                          <w:spacing w:after="0" w:line="240" w:lineRule="auto"/>
                          <w:ind w:left="360"/>
                          <w:jc w:val="left"/>
                          <w:rPr>
                            <w:sz w:val="20"/>
                          </w:rPr>
                        </w:pPr>
                      </w:p>
                    </w:txbxContent>
                  </v:textbox>
                </v:roundrect>
                <w10:anchorlock/>
              </v:group>
            </w:pict>
          </mc:Fallback>
        </mc:AlternateContent>
      </w:r>
    </w:p>
    <w:p w14:paraId="46D0CFA3" w14:textId="77777777" w:rsidR="00D761CC" w:rsidRPr="001024D1" w:rsidRDefault="00162784" w:rsidP="001024D1">
      <w:pPr>
        <w:spacing w:after="0" w:line="360" w:lineRule="auto"/>
        <w:ind w:right="-1192"/>
        <w:rPr>
          <w:rStyle w:val="Heading2Char"/>
          <w:rFonts w:eastAsiaTheme="minorHAnsi" w:cstheme="minorBidi"/>
          <w:bCs w:val="0"/>
          <w:szCs w:val="22"/>
        </w:rPr>
      </w:pPr>
      <w:bookmarkStart w:id="10" w:name="_Toc8758479"/>
      <w:bookmarkStart w:id="11" w:name="_Toc10794998"/>
      <w:bookmarkStart w:id="12" w:name="_Toc10795248"/>
      <w:r w:rsidRPr="001024D1">
        <w:rPr>
          <w:b/>
        </w:rPr>
        <w:t>Independent Variable</w:t>
      </w:r>
      <w:r w:rsidR="00D761CC" w:rsidRPr="001024D1">
        <w:rPr>
          <w:b/>
        </w:rPr>
        <w:tab/>
      </w:r>
      <w:r w:rsidR="00D761CC" w:rsidRPr="001024D1">
        <w:rPr>
          <w:b/>
        </w:rPr>
        <w:tab/>
      </w:r>
      <w:r w:rsidRPr="001024D1">
        <w:rPr>
          <w:b/>
        </w:rPr>
        <w:tab/>
      </w:r>
      <w:r w:rsidRPr="001024D1">
        <w:rPr>
          <w:b/>
        </w:rPr>
        <w:tab/>
      </w:r>
      <w:r w:rsidR="00D761CC" w:rsidRPr="001024D1">
        <w:rPr>
          <w:b/>
        </w:rPr>
        <w:t>Dependent Variable</w:t>
      </w:r>
    </w:p>
    <w:p w14:paraId="53BA6D3E" w14:textId="77777777" w:rsidR="00D761CC" w:rsidRPr="001024D1" w:rsidRDefault="00162784" w:rsidP="00F5219F">
      <w:pPr>
        <w:pStyle w:val="Caption"/>
        <w:spacing w:line="360" w:lineRule="auto"/>
        <w:rPr>
          <w:i/>
        </w:rPr>
      </w:pPr>
      <w:bookmarkStart w:id="13" w:name="_Toc180619503"/>
      <w:bookmarkStart w:id="14" w:name="_Toc190927683"/>
      <w:bookmarkStart w:id="15" w:name="_Toc180619305"/>
      <w:bookmarkStart w:id="16" w:name="_Toc190927757"/>
      <w:r w:rsidRPr="001024D1">
        <w:rPr>
          <w:rStyle w:val="Heading2Char"/>
          <w:i/>
        </w:rPr>
        <w:t xml:space="preserve">Figure </w:t>
      </w:r>
      <w:r w:rsidR="00D761CC" w:rsidRPr="001024D1">
        <w:rPr>
          <w:rStyle w:val="Heading2Char"/>
          <w:i/>
        </w:rPr>
        <w:t>1:</w:t>
      </w:r>
      <w:bookmarkEnd w:id="10"/>
      <w:bookmarkEnd w:id="11"/>
      <w:bookmarkEnd w:id="12"/>
      <w:bookmarkEnd w:id="13"/>
      <w:bookmarkEnd w:id="14"/>
      <w:r w:rsidR="00D761CC" w:rsidRPr="001024D1">
        <w:rPr>
          <w:i/>
        </w:rPr>
        <w:t xml:space="preserve"> </w:t>
      </w:r>
      <w:r w:rsidR="00D761CC" w:rsidRPr="001024D1">
        <w:rPr>
          <w:rStyle w:val="Heading2Char"/>
          <w:i/>
        </w:rPr>
        <w:t>Conceptual Framework</w:t>
      </w:r>
      <w:bookmarkEnd w:id="15"/>
      <w:bookmarkEnd w:id="16"/>
      <w:r w:rsidR="00D761CC" w:rsidRPr="001024D1">
        <w:rPr>
          <w:i/>
        </w:rPr>
        <w:t xml:space="preserve"> </w:t>
      </w:r>
    </w:p>
    <w:p w14:paraId="31FDB2E0" w14:textId="77777777" w:rsidR="00D761CC" w:rsidRPr="001024D1" w:rsidRDefault="00D761CC" w:rsidP="00F5219F">
      <w:pPr>
        <w:spacing w:line="360" w:lineRule="auto"/>
      </w:pPr>
    </w:p>
    <w:p w14:paraId="6CC3FC8F" w14:textId="77777777" w:rsidR="00D761CC" w:rsidRPr="001024D1" w:rsidRDefault="00D761CC" w:rsidP="00F5219F">
      <w:pPr>
        <w:pStyle w:val="Heading2"/>
        <w:spacing w:before="240" w:after="200" w:line="360" w:lineRule="auto"/>
      </w:pPr>
      <w:bookmarkStart w:id="17" w:name="_Toc190927689"/>
      <w:r w:rsidRPr="001024D1">
        <w:t>2.</w:t>
      </w:r>
      <w:r w:rsidR="0016381E" w:rsidRPr="001024D1">
        <w:t xml:space="preserve">3 Review of </w:t>
      </w:r>
      <w:r w:rsidRPr="001024D1">
        <w:t xml:space="preserve">Empirical </w:t>
      </w:r>
      <w:bookmarkEnd w:id="17"/>
      <w:r w:rsidR="0016381E" w:rsidRPr="001024D1">
        <w:t>Literature</w:t>
      </w:r>
    </w:p>
    <w:p w14:paraId="35BCFB34" w14:textId="77777777" w:rsidR="00D761CC" w:rsidRPr="001024D1" w:rsidRDefault="00D761CC" w:rsidP="00F5219F">
      <w:pPr>
        <w:autoSpaceDE w:val="0"/>
        <w:autoSpaceDN w:val="0"/>
        <w:adjustRightInd w:val="0"/>
        <w:spacing w:before="240" w:line="360" w:lineRule="auto"/>
        <w:rPr>
          <w:rFonts w:cs="Times New Roman"/>
          <w:szCs w:val="20"/>
        </w:rPr>
      </w:pPr>
      <w:proofErr w:type="spellStart"/>
      <w:r w:rsidRPr="001024D1">
        <w:rPr>
          <w:rFonts w:cs="Times New Roman"/>
          <w:szCs w:val="20"/>
        </w:rPr>
        <w:t>Bieniasz</w:t>
      </w:r>
      <w:proofErr w:type="spellEnd"/>
      <w:r w:rsidRPr="001024D1">
        <w:rPr>
          <w:rFonts w:cs="Times New Roman"/>
          <w:szCs w:val="20"/>
        </w:rPr>
        <w:t xml:space="preserve"> and </w:t>
      </w:r>
      <w:proofErr w:type="spellStart"/>
      <w:r w:rsidRPr="001024D1">
        <w:rPr>
          <w:rFonts w:cs="Times New Roman"/>
          <w:szCs w:val="20"/>
        </w:rPr>
        <w:t>Golas</w:t>
      </w:r>
      <w:proofErr w:type="spellEnd"/>
      <w:r w:rsidRPr="001024D1">
        <w:rPr>
          <w:rFonts w:cs="Times New Roman"/>
          <w:szCs w:val="20"/>
        </w:rPr>
        <w:t xml:space="preserve"> (2011) carried out a study on the impacts of working capital management on firm sustainability and the study was based on the role of accounts receivables as an aspect of working capital management on firm profitability. The study was located in food industry in United Kingdom and utilized the secondary data which was traced from the respective companies’ websites and publications. The design adopted was a case study research design. The study established that accounts receivables were the key metrics that kept most of the food companies in UK to be sustainable and competitive. According to </w:t>
      </w:r>
      <w:proofErr w:type="spellStart"/>
      <w:r w:rsidRPr="001024D1">
        <w:rPr>
          <w:rFonts w:cs="Times New Roman"/>
          <w:szCs w:val="20"/>
        </w:rPr>
        <w:t>Bieniasz</w:t>
      </w:r>
      <w:proofErr w:type="spellEnd"/>
      <w:r w:rsidRPr="001024D1">
        <w:rPr>
          <w:rFonts w:cs="Times New Roman"/>
          <w:szCs w:val="20"/>
        </w:rPr>
        <w:t xml:space="preserve"> and </w:t>
      </w:r>
      <w:proofErr w:type="spellStart"/>
      <w:r w:rsidRPr="001024D1">
        <w:rPr>
          <w:rFonts w:cs="Times New Roman"/>
          <w:szCs w:val="20"/>
        </w:rPr>
        <w:t>Golas</w:t>
      </w:r>
      <w:proofErr w:type="spellEnd"/>
      <w:r w:rsidRPr="001024D1">
        <w:rPr>
          <w:rFonts w:cs="Times New Roman"/>
          <w:szCs w:val="20"/>
        </w:rPr>
        <w:t xml:space="preserve"> (2011) most of these firms were focusing on having effective credit trade where they extended credit </w:t>
      </w:r>
      <w:r w:rsidRPr="001024D1">
        <w:rPr>
          <w:rFonts w:cs="Times New Roman"/>
          <w:szCs w:val="20"/>
        </w:rPr>
        <w:lastRenderedPageBreak/>
        <w:t>to other companies as well as the major customers which helped maintain the customers as well as have them as their cash reserves. The extension of the credit both to other companies (trade credit) and to customers (consumer credit) helped the firms increase their sales and in the long-run gain competitive advantage through offering credit extensions that matched or overridden that offered by their competitors.</w:t>
      </w:r>
    </w:p>
    <w:p w14:paraId="2DFDBA1B" w14:textId="77777777" w:rsidR="00D761CC" w:rsidRPr="001024D1" w:rsidRDefault="00D761CC" w:rsidP="00F5219F">
      <w:pPr>
        <w:autoSpaceDE w:val="0"/>
        <w:autoSpaceDN w:val="0"/>
        <w:adjustRightInd w:val="0"/>
        <w:spacing w:before="240" w:line="360" w:lineRule="auto"/>
        <w:rPr>
          <w:rFonts w:cs="Times New Roman"/>
          <w:szCs w:val="24"/>
        </w:rPr>
      </w:pPr>
      <w:proofErr w:type="spellStart"/>
      <w:r w:rsidRPr="001024D1">
        <w:rPr>
          <w:rFonts w:cs="Times New Roman"/>
          <w:szCs w:val="24"/>
        </w:rPr>
        <w:t>Karaduman</w:t>
      </w:r>
      <w:proofErr w:type="spellEnd"/>
      <w:r w:rsidRPr="001024D1">
        <w:rPr>
          <w:rFonts w:cs="Times New Roman"/>
          <w:szCs w:val="24"/>
        </w:rPr>
        <w:t xml:space="preserve">, </w:t>
      </w:r>
      <w:proofErr w:type="spellStart"/>
      <w:r w:rsidRPr="001024D1">
        <w:rPr>
          <w:rFonts w:cs="Times New Roman"/>
          <w:szCs w:val="24"/>
        </w:rPr>
        <w:t>Akbas</w:t>
      </w:r>
      <w:proofErr w:type="spellEnd"/>
      <w:r w:rsidRPr="001024D1">
        <w:rPr>
          <w:rFonts w:cs="Times New Roman"/>
          <w:szCs w:val="24"/>
        </w:rPr>
        <w:t xml:space="preserve">, </w:t>
      </w:r>
      <w:proofErr w:type="spellStart"/>
      <w:r w:rsidRPr="001024D1">
        <w:rPr>
          <w:rFonts w:cs="Times New Roman"/>
          <w:szCs w:val="24"/>
        </w:rPr>
        <w:t>Ozsozgun</w:t>
      </w:r>
      <w:proofErr w:type="spellEnd"/>
      <w:r w:rsidRPr="001024D1">
        <w:rPr>
          <w:rFonts w:cs="Times New Roman"/>
          <w:szCs w:val="24"/>
        </w:rPr>
        <w:t xml:space="preserve"> and Durer (2010) conducted a study on the impacts of accounts receivables on the firm profitability. The study focused on bringing out a clear context of the effects of accounts receivables credit worthiness, credit terms and credit standards on the profitability of selected companies in the Istanbul Stock Exchange. The study was based on secondary data that was collected between the year 2005 and 2008. The scholars established that collection period of debts as well as the agreed credit terms played a central role in promoting the ability of the firm to obtain better cash receipts through which their profitability was sustained. Notably, Karaduman, et al. (2010) established that many firms failed to obtain the projected cash receipt targets due to lack of proper credit extension firms between the firm and the customers or other firms which saw them record high levels of bad debts thus effecting their performance negatively. According to Karaduman, et al. (2010), when the agreeable terms are not fully met by any of the party when allowing credit extensions, </w:t>
      </w:r>
      <w:proofErr w:type="gramStart"/>
      <w:r w:rsidRPr="001024D1">
        <w:rPr>
          <w:rFonts w:cs="Times New Roman"/>
          <w:szCs w:val="24"/>
        </w:rPr>
        <w:t>it</w:t>
      </w:r>
      <w:proofErr w:type="gramEnd"/>
      <w:r w:rsidRPr="001024D1">
        <w:rPr>
          <w:rFonts w:cs="Times New Roman"/>
          <w:szCs w:val="24"/>
        </w:rPr>
        <w:t xml:space="preserve"> </w:t>
      </w:r>
      <w:proofErr w:type="spellStart"/>
      <w:r w:rsidRPr="001024D1">
        <w:rPr>
          <w:rFonts w:cs="Times New Roman"/>
          <w:szCs w:val="24"/>
        </w:rPr>
        <w:t>a</w:t>
      </w:r>
      <w:proofErr w:type="spellEnd"/>
      <w:r w:rsidRPr="001024D1">
        <w:rPr>
          <w:rFonts w:cs="Times New Roman"/>
          <w:szCs w:val="24"/>
        </w:rPr>
        <w:t xml:space="preserve"> times leads to poor adherence and payments of the cash by the debtors which always strikes the firms negatively.</w:t>
      </w:r>
    </w:p>
    <w:p w14:paraId="79D96AD5" w14:textId="77777777" w:rsidR="00D761CC" w:rsidRPr="001024D1" w:rsidRDefault="00D761CC" w:rsidP="00F5219F">
      <w:pPr>
        <w:autoSpaceDE w:val="0"/>
        <w:autoSpaceDN w:val="0"/>
        <w:adjustRightInd w:val="0"/>
        <w:spacing w:before="240" w:line="360" w:lineRule="auto"/>
        <w:rPr>
          <w:rFonts w:ascii="Times-Roman" w:hAnsi="Times-Roman" w:cs="Times-Roman"/>
          <w:szCs w:val="24"/>
        </w:rPr>
      </w:pPr>
      <w:r w:rsidRPr="001024D1">
        <w:rPr>
          <w:rFonts w:cs="Times New Roman"/>
          <w:szCs w:val="24"/>
        </w:rPr>
        <w:t xml:space="preserve">In Kenya, </w:t>
      </w:r>
      <w:proofErr w:type="spellStart"/>
      <w:r w:rsidRPr="001024D1">
        <w:rPr>
          <w:rFonts w:ascii="Times-Roman" w:hAnsi="Times-Roman" w:cs="Times-Roman"/>
          <w:szCs w:val="24"/>
        </w:rPr>
        <w:t>Muchina</w:t>
      </w:r>
      <w:proofErr w:type="spellEnd"/>
      <w:r w:rsidRPr="001024D1">
        <w:rPr>
          <w:rFonts w:ascii="Times-Roman" w:hAnsi="Times-Roman" w:cs="Times-Roman"/>
          <w:szCs w:val="24"/>
        </w:rPr>
        <w:t xml:space="preserve"> and </w:t>
      </w:r>
      <w:proofErr w:type="spellStart"/>
      <w:r w:rsidRPr="001024D1">
        <w:rPr>
          <w:rFonts w:ascii="Times-Roman" w:hAnsi="Times-Roman" w:cs="Times-Roman"/>
          <w:szCs w:val="24"/>
        </w:rPr>
        <w:t>Kiano</w:t>
      </w:r>
      <w:proofErr w:type="spellEnd"/>
      <w:r w:rsidRPr="001024D1">
        <w:rPr>
          <w:rFonts w:ascii="Times-Roman" w:hAnsi="Times-Roman" w:cs="Times-Roman"/>
          <w:szCs w:val="24"/>
        </w:rPr>
        <w:t xml:space="preserve"> (2011) did a study on the influence of working capital on firms’ profitability. The aim of the study was to bring out a clear context on the role played by debt collection by the firms on promoting their performance. The focus of the study was on SMEs in Kenya. The study utilized primary data which was collected through questionnaires from a sample of 329 respondents drawn from the management of the SMEs in Nairobi. The study found that the average amount of time allowed by the SMEs to their customers to pay their debts was two months which according to </w:t>
      </w:r>
      <w:proofErr w:type="spellStart"/>
      <w:r w:rsidRPr="001024D1">
        <w:rPr>
          <w:rFonts w:ascii="Times-Roman" w:hAnsi="Times-Roman" w:cs="Times-Roman"/>
          <w:szCs w:val="24"/>
        </w:rPr>
        <w:t>Muchina</w:t>
      </w:r>
      <w:proofErr w:type="spellEnd"/>
      <w:r w:rsidRPr="001024D1">
        <w:rPr>
          <w:rFonts w:ascii="Times-Roman" w:hAnsi="Times-Roman" w:cs="Times-Roman"/>
          <w:szCs w:val="24"/>
        </w:rPr>
        <w:t xml:space="preserve"> and </w:t>
      </w:r>
      <w:proofErr w:type="spellStart"/>
      <w:r w:rsidRPr="001024D1">
        <w:rPr>
          <w:rFonts w:ascii="Times-Roman" w:hAnsi="Times-Roman" w:cs="Times-Roman"/>
          <w:szCs w:val="24"/>
        </w:rPr>
        <w:t>Kiano</w:t>
      </w:r>
      <w:proofErr w:type="spellEnd"/>
      <w:r w:rsidRPr="001024D1">
        <w:rPr>
          <w:rFonts w:ascii="Times-Roman" w:hAnsi="Times-Roman" w:cs="Times-Roman"/>
          <w:szCs w:val="24"/>
        </w:rPr>
        <w:t xml:space="preserve"> (2011) was adequate both for the parties to plan and pay the debts respectively. In this case, adherence was found to be the only issue which still got many not complying thus affecting the overall profitability of the businesses. According to </w:t>
      </w:r>
      <w:proofErr w:type="spellStart"/>
      <w:r w:rsidRPr="001024D1">
        <w:rPr>
          <w:rFonts w:ascii="Times-Roman" w:hAnsi="Times-Roman" w:cs="Times-Roman"/>
          <w:szCs w:val="24"/>
        </w:rPr>
        <w:t>Muchina</w:t>
      </w:r>
      <w:proofErr w:type="spellEnd"/>
      <w:r w:rsidRPr="001024D1">
        <w:rPr>
          <w:rFonts w:ascii="Times-Roman" w:hAnsi="Times-Roman" w:cs="Times-Roman"/>
          <w:szCs w:val="24"/>
        </w:rPr>
        <w:t xml:space="preserve"> and </w:t>
      </w:r>
      <w:proofErr w:type="spellStart"/>
      <w:r w:rsidRPr="001024D1">
        <w:rPr>
          <w:rFonts w:ascii="Times-Roman" w:hAnsi="Times-Roman" w:cs="Times-Roman"/>
          <w:szCs w:val="24"/>
        </w:rPr>
        <w:t>Kiano</w:t>
      </w:r>
      <w:proofErr w:type="spellEnd"/>
      <w:r w:rsidRPr="001024D1">
        <w:rPr>
          <w:rFonts w:ascii="Times-Roman" w:hAnsi="Times-Roman" w:cs="Times-Roman"/>
          <w:szCs w:val="24"/>
        </w:rPr>
        <w:t xml:space="preserve"> (2011), accounts receivables in many cases affected the SMEs negatively since they did not have proper mechanisms to have the payment terms adhered to which got them into liquidity troubles.</w:t>
      </w:r>
    </w:p>
    <w:p w14:paraId="24E46318" w14:textId="77777777" w:rsidR="00F2266F" w:rsidRPr="001024D1" w:rsidRDefault="00F2266F" w:rsidP="00F5219F">
      <w:pPr>
        <w:pStyle w:val="Heading1"/>
        <w:spacing w:before="240" w:after="200" w:line="360" w:lineRule="auto"/>
      </w:pPr>
      <w:r w:rsidRPr="001024D1">
        <w:lastRenderedPageBreak/>
        <w:t>3.0 RESEARCH METHODOLOGY</w:t>
      </w:r>
    </w:p>
    <w:p w14:paraId="68BA50FB" w14:textId="77777777" w:rsidR="00F2266F" w:rsidRPr="001024D1" w:rsidRDefault="00F2266F" w:rsidP="00F5219F">
      <w:pPr>
        <w:pStyle w:val="Heading2"/>
        <w:spacing w:before="240" w:after="200" w:line="360" w:lineRule="auto"/>
      </w:pPr>
      <w:r w:rsidRPr="001024D1">
        <w:t>3.1 Research Design</w:t>
      </w:r>
    </w:p>
    <w:p w14:paraId="4EC18F0A" w14:textId="77777777" w:rsidR="00F2266F" w:rsidRPr="001024D1" w:rsidRDefault="00F2266F" w:rsidP="00F5219F">
      <w:pPr>
        <w:spacing w:line="360" w:lineRule="auto"/>
        <w:ind w:right="76"/>
        <w:rPr>
          <w:rFonts w:cs="Times New Roman"/>
          <w:szCs w:val="24"/>
        </w:rPr>
      </w:pPr>
      <w:r w:rsidRPr="001024D1">
        <w:rPr>
          <w:rFonts w:cs="Times New Roman"/>
          <w:szCs w:val="24"/>
        </w:rPr>
        <w:t>The study employed an explanatory correlational research design to investigate the effect of cash management on the financial sustainability of non-financial firms listed on stock exchanges in East Africa. This involved using both explanatory and correlational research approaches. The explanatory design was considered appropriate because the study sought not only to establish the existence of relationships but also to explain the extent to which cash management practices influence financial sustainability</w:t>
      </w:r>
      <w:r w:rsidR="005A763E" w:rsidRPr="001024D1">
        <w:rPr>
          <w:rFonts w:cs="Times New Roman"/>
          <w:szCs w:val="24"/>
        </w:rPr>
        <w:t xml:space="preserve"> (</w:t>
      </w:r>
      <w:r w:rsidR="005A763E" w:rsidRPr="001024D1">
        <w:rPr>
          <w:rFonts w:eastAsia="Times New Roman" w:cs="Times New Roman"/>
          <w:szCs w:val="24"/>
          <w:lang w:eastAsia="en-GB"/>
        </w:rPr>
        <w:t>Ansari et al., 2022</w:t>
      </w:r>
      <w:r w:rsidR="005A763E" w:rsidRPr="001024D1">
        <w:rPr>
          <w:rFonts w:cs="Times New Roman"/>
          <w:szCs w:val="24"/>
        </w:rPr>
        <w:t>)</w:t>
      </w:r>
      <w:r w:rsidRPr="001024D1">
        <w:rPr>
          <w:rFonts w:cs="Times New Roman"/>
          <w:szCs w:val="24"/>
        </w:rPr>
        <w:t>. A correlational approach was employed to measure the strength and direction of associations between cash management indicator (cash conversion period) and financial sustainability measures. Given the availability of firm-level financial statements over several years, the study utilized a panel design, combining time-series and cross-sectional data to enhance robustness and reliability of results. This design was suitable as it allowed the study to capture both firm-specific dynamics and temporal variations in financial sustainability outcomes, thereby providing a comprehensive understanding of the phenomenon.</w:t>
      </w:r>
    </w:p>
    <w:p w14:paraId="72995503" w14:textId="77777777" w:rsidR="00F2266F" w:rsidRPr="001024D1" w:rsidRDefault="00F2266F" w:rsidP="00F5219F">
      <w:pPr>
        <w:pStyle w:val="Heading2"/>
        <w:spacing w:before="240" w:after="200" w:line="360" w:lineRule="auto"/>
      </w:pPr>
      <w:r w:rsidRPr="001024D1">
        <w:t>3.2 Target Population and Sampling</w:t>
      </w:r>
    </w:p>
    <w:p w14:paraId="7F5F40E2" w14:textId="521BE3C8" w:rsidR="00F2266F" w:rsidRPr="001024D1" w:rsidRDefault="00F2266F" w:rsidP="00F5219F">
      <w:pPr>
        <w:spacing w:before="240" w:line="360" w:lineRule="auto"/>
        <w:rPr>
          <w:rFonts w:cs="Times New Roman"/>
          <w:szCs w:val="24"/>
        </w:rPr>
      </w:pPr>
      <w:r w:rsidRPr="001024D1">
        <w:rPr>
          <w:rFonts w:cs="Times New Roman"/>
          <w:szCs w:val="24"/>
        </w:rPr>
        <w:t xml:space="preserve">The target population for this study comprised of all the non-financial firms listed firms in East Africa. A total of </w:t>
      </w:r>
      <w:r w:rsidR="00EF488C">
        <w:rPr>
          <w:rFonts w:cs="Times New Roman"/>
          <w:szCs w:val="24"/>
        </w:rPr>
        <w:t>47</w:t>
      </w:r>
      <w:r w:rsidRPr="001024D1">
        <w:rPr>
          <w:rFonts w:cs="Times New Roman"/>
          <w:szCs w:val="24"/>
        </w:rPr>
        <w:t xml:space="preserve"> firms were targeted, where </w:t>
      </w:r>
      <w:r w:rsidR="00EF488C">
        <w:rPr>
          <w:rFonts w:cs="Times New Roman"/>
          <w:szCs w:val="24"/>
        </w:rPr>
        <w:t>3</w:t>
      </w:r>
      <w:r w:rsidR="00C27D14">
        <w:rPr>
          <w:rFonts w:cs="Times New Roman"/>
          <w:szCs w:val="24"/>
        </w:rPr>
        <w:t>6</w:t>
      </w:r>
      <w:r w:rsidRPr="001024D1">
        <w:rPr>
          <w:rFonts w:cs="Times New Roman"/>
          <w:szCs w:val="24"/>
        </w:rPr>
        <w:t xml:space="preserve"> firms were drawn from Nairobi Securities Exchange (NSE), 4 from the Uganda Securities Exchange, </w:t>
      </w:r>
      <w:r w:rsidR="00EF488C">
        <w:rPr>
          <w:rFonts w:cs="Times New Roman"/>
          <w:szCs w:val="24"/>
        </w:rPr>
        <w:t xml:space="preserve">1 from Rwanda Stock Exchange </w:t>
      </w:r>
      <w:r w:rsidRPr="001024D1">
        <w:rPr>
          <w:rFonts w:cs="Times New Roman"/>
          <w:szCs w:val="24"/>
        </w:rPr>
        <w:t xml:space="preserve">and </w:t>
      </w:r>
      <w:r w:rsidR="00C27D14">
        <w:rPr>
          <w:rFonts w:cs="Times New Roman"/>
          <w:szCs w:val="24"/>
        </w:rPr>
        <w:t>6</w:t>
      </w:r>
      <w:r w:rsidRPr="001024D1">
        <w:rPr>
          <w:rFonts w:cs="Times New Roman"/>
          <w:szCs w:val="24"/>
        </w:rPr>
        <w:t xml:space="preserve"> from </w:t>
      </w:r>
      <w:r w:rsidR="00C27D14">
        <w:rPr>
          <w:rFonts w:cs="Times New Roman"/>
          <w:szCs w:val="24"/>
        </w:rPr>
        <w:t>Dar es salaam</w:t>
      </w:r>
      <w:r w:rsidRPr="001024D1">
        <w:rPr>
          <w:rFonts w:cs="Times New Roman"/>
          <w:szCs w:val="24"/>
        </w:rPr>
        <w:t xml:space="preserve"> Stock Market. The study employed census where all the targeted firms were surveyed.</w:t>
      </w:r>
    </w:p>
    <w:p w14:paraId="0449146B" w14:textId="77777777" w:rsidR="00F2266F" w:rsidRPr="001024D1" w:rsidRDefault="00F2266F" w:rsidP="00F5219F">
      <w:pPr>
        <w:pStyle w:val="Heading2"/>
        <w:spacing w:before="240" w:after="200" w:line="360" w:lineRule="auto"/>
      </w:pPr>
      <w:r w:rsidRPr="001024D1">
        <w:t xml:space="preserve">3.3 Data Collection </w:t>
      </w:r>
    </w:p>
    <w:p w14:paraId="02A0F928" w14:textId="77777777" w:rsidR="00F2266F" w:rsidRPr="001024D1" w:rsidRDefault="00F2266F" w:rsidP="00F5219F">
      <w:pPr>
        <w:spacing w:before="240" w:line="360" w:lineRule="auto"/>
        <w:rPr>
          <w:rFonts w:cs="Times New Roman"/>
          <w:szCs w:val="24"/>
        </w:rPr>
      </w:pPr>
      <w:r w:rsidRPr="001024D1">
        <w:rPr>
          <w:rFonts w:cs="Times New Roman"/>
          <w:szCs w:val="24"/>
        </w:rPr>
        <w:t xml:space="preserve">The study employed secondary panel data which was collected using a data collection sheet. </w:t>
      </w:r>
      <w:r w:rsidRPr="001024D1">
        <w:rPr>
          <w:rFonts w:eastAsia="Times New Roman" w:cs="Times New Roman"/>
          <w:spacing w:val="1"/>
          <w:szCs w:val="24"/>
        </w:rPr>
        <w:t xml:space="preserve">Panel data </w:t>
      </w:r>
      <w:r w:rsidRPr="001024D1">
        <w:rPr>
          <w:rFonts w:eastAsia="Times New Roman" w:cs="Times New Roman"/>
          <w:szCs w:val="24"/>
        </w:rPr>
        <w:t>is</w:t>
      </w:r>
      <w:r w:rsidRPr="001024D1">
        <w:rPr>
          <w:rFonts w:eastAsia="Times New Roman" w:cs="Times New Roman"/>
          <w:spacing w:val="2"/>
          <w:szCs w:val="24"/>
        </w:rPr>
        <w:t xml:space="preserve"> </w:t>
      </w:r>
      <w:r w:rsidRPr="001024D1">
        <w:rPr>
          <w:rFonts w:eastAsia="Times New Roman" w:cs="Times New Roman"/>
          <w:szCs w:val="24"/>
        </w:rPr>
        <w:t>a</w:t>
      </w:r>
      <w:r w:rsidRPr="001024D1">
        <w:rPr>
          <w:rFonts w:eastAsia="Times New Roman" w:cs="Times New Roman"/>
          <w:spacing w:val="2"/>
          <w:szCs w:val="24"/>
        </w:rPr>
        <w:t xml:space="preserve"> s</w:t>
      </w:r>
      <w:r w:rsidRPr="001024D1">
        <w:rPr>
          <w:rFonts w:eastAsia="Times New Roman" w:cs="Times New Roman"/>
          <w:spacing w:val="-1"/>
          <w:szCs w:val="24"/>
        </w:rPr>
        <w:t>e</w:t>
      </w:r>
      <w:r w:rsidRPr="001024D1">
        <w:rPr>
          <w:rFonts w:eastAsia="Times New Roman" w:cs="Times New Roman"/>
          <w:szCs w:val="24"/>
        </w:rPr>
        <w:t>ri</w:t>
      </w:r>
      <w:r w:rsidRPr="001024D1">
        <w:rPr>
          <w:rFonts w:eastAsia="Times New Roman" w:cs="Times New Roman"/>
          <w:spacing w:val="-1"/>
          <w:szCs w:val="24"/>
        </w:rPr>
        <w:t>e</w:t>
      </w:r>
      <w:r w:rsidRPr="001024D1">
        <w:rPr>
          <w:rFonts w:eastAsia="Times New Roman" w:cs="Times New Roman"/>
          <w:szCs w:val="24"/>
        </w:rPr>
        <w:t>s</w:t>
      </w:r>
      <w:r w:rsidRPr="001024D1">
        <w:rPr>
          <w:rFonts w:eastAsia="Times New Roman" w:cs="Times New Roman"/>
          <w:spacing w:val="2"/>
          <w:szCs w:val="24"/>
        </w:rPr>
        <w:t xml:space="preserve"> o</w:t>
      </w:r>
      <w:r w:rsidRPr="001024D1">
        <w:rPr>
          <w:rFonts w:eastAsia="Times New Roman" w:cs="Times New Roman"/>
          <w:szCs w:val="24"/>
        </w:rPr>
        <w:t>f</w:t>
      </w:r>
      <w:r w:rsidRPr="001024D1">
        <w:rPr>
          <w:rFonts w:eastAsia="Times New Roman" w:cs="Times New Roman"/>
          <w:spacing w:val="1"/>
          <w:szCs w:val="24"/>
        </w:rPr>
        <w:t xml:space="preserve"> </w:t>
      </w:r>
      <w:r w:rsidRPr="001024D1">
        <w:rPr>
          <w:rFonts w:eastAsia="Times New Roman" w:cs="Times New Roman"/>
          <w:szCs w:val="24"/>
        </w:rPr>
        <w:t>mu</w:t>
      </w:r>
      <w:r w:rsidRPr="001024D1">
        <w:rPr>
          <w:rFonts w:eastAsia="Times New Roman" w:cs="Times New Roman"/>
          <w:spacing w:val="1"/>
          <w:szCs w:val="24"/>
        </w:rPr>
        <w:t>l</w:t>
      </w:r>
      <w:r w:rsidRPr="001024D1">
        <w:rPr>
          <w:rFonts w:eastAsia="Times New Roman" w:cs="Times New Roman"/>
          <w:szCs w:val="24"/>
        </w:rPr>
        <w:t>t</w:t>
      </w:r>
      <w:r w:rsidRPr="001024D1">
        <w:rPr>
          <w:rFonts w:eastAsia="Times New Roman" w:cs="Times New Roman"/>
          <w:spacing w:val="1"/>
          <w:szCs w:val="24"/>
        </w:rPr>
        <w:t>i</w:t>
      </w:r>
      <w:r w:rsidRPr="001024D1">
        <w:rPr>
          <w:rFonts w:eastAsia="Times New Roman" w:cs="Times New Roman"/>
          <w:szCs w:val="24"/>
        </w:rPr>
        <w:t>di</w:t>
      </w:r>
      <w:r w:rsidRPr="001024D1">
        <w:rPr>
          <w:rFonts w:eastAsia="Times New Roman" w:cs="Times New Roman"/>
          <w:spacing w:val="1"/>
          <w:szCs w:val="24"/>
        </w:rPr>
        <w:t>m</w:t>
      </w:r>
      <w:r w:rsidRPr="001024D1">
        <w:rPr>
          <w:rFonts w:eastAsia="Times New Roman" w:cs="Times New Roman"/>
          <w:spacing w:val="-1"/>
          <w:szCs w:val="24"/>
        </w:rPr>
        <w:t>e</w:t>
      </w:r>
      <w:r w:rsidRPr="001024D1">
        <w:rPr>
          <w:rFonts w:eastAsia="Times New Roman" w:cs="Times New Roman"/>
          <w:szCs w:val="24"/>
        </w:rPr>
        <w:t>nsion</w:t>
      </w:r>
      <w:r w:rsidRPr="001024D1">
        <w:rPr>
          <w:rFonts w:eastAsia="Times New Roman" w:cs="Times New Roman"/>
          <w:spacing w:val="-1"/>
          <w:szCs w:val="24"/>
        </w:rPr>
        <w:t>a</w:t>
      </w:r>
      <w:r w:rsidRPr="001024D1">
        <w:rPr>
          <w:rFonts w:eastAsia="Times New Roman" w:cs="Times New Roman"/>
          <w:szCs w:val="24"/>
        </w:rPr>
        <w:t>l</w:t>
      </w:r>
      <w:r w:rsidRPr="001024D1">
        <w:rPr>
          <w:rFonts w:eastAsia="Times New Roman" w:cs="Times New Roman"/>
          <w:spacing w:val="5"/>
          <w:szCs w:val="24"/>
        </w:rPr>
        <w:t xml:space="preserve"> </w:t>
      </w:r>
      <w:r w:rsidRPr="001024D1">
        <w:rPr>
          <w:rFonts w:eastAsia="Times New Roman" w:cs="Times New Roman"/>
          <w:szCs w:val="24"/>
        </w:rPr>
        <w:t>d</w:t>
      </w:r>
      <w:r w:rsidRPr="001024D1">
        <w:rPr>
          <w:rFonts w:eastAsia="Times New Roman" w:cs="Times New Roman"/>
          <w:spacing w:val="-1"/>
          <w:szCs w:val="24"/>
        </w:rPr>
        <w:t>a</w:t>
      </w:r>
      <w:r w:rsidRPr="001024D1">
        <w:rPr>
          <w:rFonts w:eastAsia="Times New Roman" w:cs="Times New Roman"/>
          <w:szCs w:val="24"/>
        </w:rPr>
        <w:t>ta</w:t>
      </w:r>
      <w:r w:rsidRPr="001024D1">
        <w:rPr>
          <w:rFonts w:eastAsia="Times New Roman" w:cs="Times New Roman"/>
          <w:spacing w:val="1"/>
          <w:szCs w:val="24"/>
        </w:rPr>
        <w:t xml:space="preserve"> </w:t>
      </w:r>
      <w:r w:rsidRPr="001024D1">
        <w:rPr>
          <w:rFonts w:eastAsia="Times New Roman" w:cs="Times New Roman"/>
          <w:szCs w:val="24"/>
        </w:rPr>
        <w:t>w</w:t>
      </w:r>
      <w:r w:rsidRPr="001024D1">
        <w:rPr>
          <w:rFonts w:eastAsia="Times New Roman" w:cs="Times New Roman"/>
          <w:spacing w:val="2"/>
          <w:szCs w:val="24"/>
        </w:rPr>
        <w:t>h</w:t>
      </w:r>
      <w:r w:rsidRPr="001024D1">
        <w:rPr>
          <w:rFonts w:eastAsia="Times New Roman" w:cs="Times New Roman"/>
          <w:spacing w:val="-1"/>
          <w:szCs w:val="24"/>
        </w:rPr>
        <w:t>e</w:t>
      </w:r>
      <w:r w:rsidRPr="001024D1">
        <w:rPr>
          <w:rFonts w:eastAsia="Times New Roman" w:cs="Times New Roman"/>
          <w:szCs w:val="24"/>
        </w:rPr>
        <w:t xml:space="preserve">re </w:t>
      </w:r>
      <w:r w:rsidRPr="001024D1">
        <w:rPr>
          <w:rFonts w:eastAsia="Times New Roman" w:cs="Times New Roman"/>
          <w:spacing w:val="2"/>
          <w:szCs w:val="24"/>
        </w:rPr>
        <w:t>b</w:t>
      </w:r>
      <w:r w:rsidRPr="001024D1">
        <w:rPr>
          <w:rFonts w:eastAsia="Times New Roman" w:cs="Times New Roman"/>
          <w:spacing w:val="-1"/>
          <w:szCs w:val="24"/>
        </w:rPr>
        <w:t>e</w:t>
      </w:r>
      <w:r w:rsidRPr="001024D1">
        <w:rPr>
          <w:rFonts w:eastAsia="Times New Roman" w:cs="Times New Roman"/>
          <w:szCs w:val="24"/>
        </w:rPr>
        <w:t>h</w:t>
      </w:r>
      <w:r w:rsidRPr="001024D1">
        <w:rPr>
          <w:rFonts w:eastAsia="Times New Roman" w:cs="Times New Roman"/>
          <w:spacing w:val="-1"/>
          <w:szCs w:val="24"/>
        </w:rPr>
        <w:t>a</w:t>
      </w:r>
      <w:r w:rsidRPr="001024D1">
        <w:rPr>
          <w:rFonts w:eastAsia="Times New Roman" w:cs="Times New Roman"/>
          <w:szCs w:val="24"/>
        </w:rPr>
        <w:t>viours</w:t>
      </w:r>
      <w:r w:rsidRPr="001024D1">
        <w:rPr>
          <w:rFonts w:eastAsia="Times New Roman" w:cs="Times New Roman"/>
          <w:spacing w:val="2"/>
          <w:szCs w:val="24"/>
        </w:rPr>
        <w:t xml:space="preserve"> o</w:t>
      </w:r>
      <w:r w:rsidRPr="001024D1">
        <w:rPr>
          <w:rFonts w:eastAsia="Times New Roman" w:cs="Times New Roman"/>
          <w:szCs w:val="24"/>
        </w:rPr>
        <w:t>f</w:t>
      </w:r>
      <w:r w:rsidRPr="001024D1">
        <w:rPr>
          <w:rFonts w:eastAsia="Times New Roman" w:cs="Times New Roman"/>
          <w:spacing w:val="3"/>
          <w:szCs w:val="24"/>
        </w:rPr>
        <w:t xml:space="preserve"> </w:t>
      </w:r>
      <w:r w:rsidRPr="001024D1">
        <w:rPr>
          <w:rFonts w:eastAsia="Times New Roman" w:cs="Times New Roman"/>
          <w:spacing w:val="-1"/>
          <w:szCs w:val="24"/>
        </w:rPr>
        <w:t>e</w:t>
      </w:r>
      <w:r w:rsidRPr="001024D1">
        <w:rPr>
          <w:rFonts w:eastAsia="Times New Roman" w:cs="Times New Roman"/>
          <w:szCs w:val="24"/>
        </w:rPr>
        <w:t>nt</w:t>
      </w:r>
      <w:r w:rsidRPr="001024D1">
        <w:rPr>
          <w:rFonts w:eastAsia="Times New Roman" w:cs="Times New Roman"/>
          <w:spacing w:val="1"/>
          <w:szCs w:val="24"/>
        </w:rPr>
        <w:t>i</w:t>
      </w:r>
      <w:r w:rsidRPr="001024D1">
        <w:rPr>
          <w:rFonts w:eastAsia="Times New Roman" w:cs="Times New Roman"/>
          <w:szCs w:val="24"/>
        </w:rPr>
        <w:t>t</w:t>
      </w:r>
      <w:r w:rsidRPr="001024D1">
        <w:rPr>
          <w:rFonts w:eastAsia="Times New Roman" w:cs="Times New Roman"/>
          <w:spacing w:val="1"/>
          <w:szCs w:val="24"/>
        </w:rPr>
        <w:t>i</w:t>
      </w:r>
      <w:r w:rsidRPr="001024D1">
        <w:rPr>
          <w:rFonts w:eastAsia="Times New Roman" w:cs="Times New Roman"/>
          <w:spacing w:val="-1"/>
          <w:szCs w:val="24"/>
        </w:rPr>
        <w:t>e</w:t>
      </w:r>
      <w:r w:rsidRPr="001024D1">
        <w:rPr>
          <w:rFonts w:eastAsia="Times New Roman" w:cs="Times New Roman"/>
          <w:szCs w:val="24"/>
        </w:rPr>
        <w:t>s</w:t>
      </w:r>
      <w:r w:rsidRPr="001024D1">
        <w:rPr>
          <w:rFonts w:eastAsia="Times New Roman" w:cs="Times New Roman"/>
          <w:spacing w:val="2"/>
          <w:szCs w:val="24"/>
        </w:rPr>
        <w:t xml:space="preserve"> </w:t>
      </w:r>
      <w:r w:rsidRPr="001024D1">
        <w:rPr>
          <w:rFonts w:eastAsia="Times New Roman" w:cs="Times New Roman"/>
          <w:spacing w:val="-1"/>
          <w:szCs w:val="24"/>
        </w:rPr>
        <w:t>a</w:t>
      </w:r>
      <w:r w:rsidRPr="001024D1">
        <w:rPr>
          <w:rFonts w:eastAsia="Times New Roman" w:cs="Times New Roman"/>
          <w:spacing w:val="1"/>
          <w:szCs w:val="24"/>
        </w:rPr>
        <w:t>r</w:t>
      </w:r>
      <w:r w:rsidRPr="001024D1">
        <w:rPr>
          <w:rFonts w:eastAsia="Times New Roman" w:cs="Times New Roman"/>
          <w:szCs w:val="24"/>
        </w:rPr>
        <w:t>e</w:t>
      </w:r>
      <w:r w:rsidRPr="001024D1">
        <w:rPr>
          <w:rFonts w:eastAsia="Times New Roman" w:cs="Times New Roman"/>
          <w:spacing w:val="3"/>
          <w:szCs w:val="24"/>
        </w:rPr>
        <w:t xml:space="preserve"> </w:t>
      </w:r>
      <w:r w:rsidRPr="001024D1">
        <w:rPr>
          <w:rFonts w:eastAsia="Times New Roman" w:cs="Times New Roman"/>
          <w:szCs w:val="24"/>
        </w:rPr>
        <w:t>obse</w:t>
      </w:r>
      <w:r w:rsidRPr="001024D1">
        <w:rPr>
          <w:rFonts w:eastAsia="Times New Roman" w:cs="Times New Roman"/>
          <w:spacing w:val="-1"/>
          <w:szCs w:val="24"/>
        </w:rPr>
        <w:t>r</w:t>
      </w:r>
      <w:r w:rsidRPr="001024D1">
        <w:rPr>
          <w:rFonts w:eastAsia="Times New Roman" w:cs="Times New Roman"/>
          <w:szCs w:val="24"/>
        </w:rPr>
        <w:t>v</w:t>
      </w:r>
      <w:r w:rsidRPr="001024D1">
        <w:rPr>
          <w:rFonts w:eastAsia="Times New Roman" w:cs="Times New Roman"/>
          <w:spacing w:val="-1"/>
          <w:szCs w:val="24"/>
        </w:rPr>
        <w:t>e</w:t>
      </w:r>
      <w:r w:rsidRPr="001024D1">
        <w:rPr>
          <w:rFonts w:eastAsia="Times New Roman" w:cs="Times New Roman"/>
          <w:szCs w:val="24"/>
        </w:rPr>
        <w:t>d</w:t>
      </w:r>
      <w:r w:rsidRPr="001024D1">
        <w:rPr>
          <w:rFonts w:eastAsia="Times New Roman" w:cs="Times New Roman"/>
          <w:spacing w:val="2"/>
          <w:szCs w:val="24"/>
        </w:rPr>
        <w:t xml:space="preserve"> </w:t>
      </w:r>
      <w:r w:rsidRPr="001024D1">
        <w:rPr>
          <w:rFonts w:eastAsia="Times New Roman" w:cs="Times New Roman"/>
          <w:szCs w:val="24"/>
        </w:rPr>
        <w:t>o</w:t>
      </w:r>
      <w:r w:rsidRPr="001024D1">
        <w:rPr>
          <w:rFonts w:eastAsia="Times New Roman" w:cs="Times New Roman"/>
          <w:spacing w:val="2"/>
          <w:szCs w:val="24"/>
        </w:rPr>
        <w:t>v</w:t>
      </w:r>
      <w:r w:rsidRPr="001024D1">
        <w:rPr>
          <w:rFonts w:eastAsia="Times New Roman" w:cs="Times New Roman"/>
          <w:spacing w:val="-1"/>
          <w:szCs w:val="24"/>
        </w:rPr>
        <w:t>e</w:t>
      </w:r>
      <w:r w:rsidRPr="001024D1">
        <w:rPr>
          <w:rFonts w:eastAsia="Times New Roman" w:cs="Times New Roman"/>
          <w:szCs w:val="24"/>
        </w:rPr>
        <w:t>r t</w:t>
      </w:r>
      <w:r w:rsidRPr="001024D1">
        <w:rPr>
          <w:rFonts w:eastAsia="Times New Roman" w:cs="Times New Roman"/>
          <w:spacing w:val="1"/>
          <w:szCs w:val="24"/>
        </w:rPr>
        <w:t>i</w:t>
      </w:r>
      <w:r w:rsidRPr="001024D1">
        <w:rPr>
          <w:rFonts w:eastAsia="Times New Roman" w:cs="Times New Roman"/>
          <w:szCs w:val="24"/>
        </w:rPr>
        <w:t>me.</w:t>
      </w:r>
      <w:r w:rsidRPr="001024D1">
        <w:rPr>
          <w:rFonts w:eastAsia="Times New Roman" w:cs="Times New Roman"/>
          <w:spacing w:val="3"/>
          <w:szCs w:val="24"/>
        </w:rPr>
        <w:t xml:space="preserve"> The data focused on a period of 10 years ranging from 2014 and 2023. This enabled the study to obtain a most recent framework of cash management and financial sustainability of the listed non-financial firms in East Africa. </w:t>
      </w:r>
    </w:p>
    <w:p w14:paraId="7483346B" w14:textId="77777777" w:rsidR="00F2266F" w:rsidRPr="001024D1" w:rsidRDefault="00F2266F" w:rsidP="00F5219F">
      <w:pPr>
        <w:pStyle w:val="Heading2"/>
        <w:spacing w:before="240" w:after="200" w:line="360" w:lineRule="auto"/>
      </w:pPr>
      <w:r w:rsidRPr="001024D1">
        <w:lastRenderedPageBreak/>
        <w:t>3.4 Data Analysis</w:t>
      </w:r>
    </w:p>
    <w:p w14:paraId="687ED240" w14:textId="77777777" w:rsidR="00F2266F" w:rsidRDefault="00F2266F" w:rsidP="00F5219F">
      <w:pPr>
        <w:spacing w:before="240" w:line="360" w:lineRule="auto"/>
        <w:rPr>
          <w:rFonts w:cs="Times New Roman"/>
          <w:szCs w:val="24"/>
        </w:rPr>
      </w:pPr>
      <w:r w:rsidRPr="001024D1">
        <w:rPr>
          <w:rFonts w:cs="Times New Roman"/>
          <w:szCs w:val="24"/>
        </w:rPr>
        <w:t>The collected data was analysed using quantitative approaches via Stata Software. Descriptive and inferential statistics were used, where key descriptive statistics including mean scores, standard deviations and percentages were used, while key inferential statistics such as correlation coefficients, P-values and regression coefficients were used to test the hypotheses. The findings were presented using figures and frequency tables.</w:t>
      </w:r>
    </w:p>
    <w:p w14:paraId="6454C8E0" w14:textId="77777777" w:rsidR="001024D1" w:rsidRPr="001024D1" w:rsidRDefault="001024D1" w:rsidP="00F5219F">
      <w:pPr>
        <w:spacing w:before="240" w:line="360" w:lineRule="auto"/>
        <w:rPr>
          <w:rFonts w:cs="Times New Roman"/>
          <w:szCs w:val="24"/>
        </w:rPr>
      </w:pPr>
    </w:p>
    <w:p w14:paraId="23AB1B3C" w14:textId="77777777" w:rsidR="00D761CC" w:rsidRPr="001024D1" w:rsidRDefault="00F2266F" w:rsidP="001024D1">
      <w:pPr>
        <w:pStyle w:val="Heading1"/>
        <w:spacing w:after="240" w:line="360" w:lineRule="auto"/>
      </w:pPr>
      <w:r w:rsidRPr="001024D1">
        <w:t>4.0</w:t>
      </w:r>
      <w:bookmarkStart w:id="18" w:name="_Toc190927710"/>
      <w:r w:rsidRPr="001024D1">
        <w:t xml:space="preserve"> </w:t>
      </w:r>
      <w:r w:rsidR="00D761CC" w:rsidRPr="001024D1">
        <w:t>RESEARCH FINDINGS AND DISCUSSIONS</w:t>
      </w:r>
      <w:bookmarkEnd w:id="18"/>
    </w:p>
    <w:p w14:paraId="764088D0" w14:textId="77777777" w:rsidR="00D761CC" w:rsidRPr="001024D1" w:rsidRDefault="0016381E" w:rsidP="001024D1">
      <w:pPr>
        <w:pStyle w:val="Heading2"/>
        <w:spacing w:after="240" w:line="360" w:lineRule="auto"/>
      </w:pPr>
      <w:bookmarkStart w:id="19" w:name="_Toc190927714"/>
      <w:r w:rsidRPr="001024D1">
        <w:t>4.1</w:t>
      </w:r>
      <w:r w:rsidR="00D761CC" w:rsidRPr="001024D1">
        <w:t xml:space="preserve"> Descriptive Statistics for Debtors Management</w:t>
      </w:r>
      <w:bookmarkEnd w:id="19"/>
      <w:r w:rsidRPr="001024D1">
        <w:t xml:space="preserve"> in Non-Financial Listed Firms</w:t>
      </w:r>
    </w:p>
    <w:p w14:paraId="24CD805C" w14:textId="77777777" w:rsidR="00D761CC" w:rsidRPr="001024D1" w:rsidRDefault="0016381E" w:rsidP="00F5219F">
      <w:pPr>
        <w:spacing w:line="360" w:lineRule="auto"/>
      </w:pPr>
      <w:r w:rsidRPr="001024D1">
        <w:t>The</w:t>
      </w:r>
      <w:r w:rsidR="00D761CC" w:rsidRPr="001024D1">
        <w:t xml:space="preserve"> findings </w:t>
      </w:r>
      <w:r w:rsidRPr="001024D1">
        <w:t>(</w:t>
      </w:r>
      <w:r w:rsidRPr="001024D1">
        <w:rPr>
          <w:i/>
        </w:rPr>
        <w:t>Table 1</w:t>
      </w:r>
      <w:r w:rsidRPr="001024D1">
        <w:t>)</w:t>
      </w:r>
      <w:r w:rsidR="00D761CC" w:rsidRPr="001024D1">
        <w:t xml:space="preserve"> reveal</w:t>
      </w:r>
      <w:r w:rsidRPr="001024D1">
        <w:t xml:space="preserve">ed that </w:t>
      </w:r>
      <w:r w:rsidR="00D761CC" w:rsidRPr="001024D1">
        <w:t xml:space="preserve">the minimum ACP for the listed company for the period of study is 6.32 days, indicating that the quickest collection time is about 6 days for some firms. The maximum collection period is 567.81 days. This is a very high ACP suggesting that some of the listed non-financial firms took over a year and a half to collect payments, which might indicate inefficiencies in debt collection processes. According to </w:t>
      </w:r>
      <w:r w:rsidR="00D761CC" w:rsidRPr="001024D1">
        <w:rPr>
          <w:rFonts w:cs="Times New Roman"/>
          <w:szCs w:val="24"/>
          <w:shd w:val="clear" w:color="auto" w:fill="FFFFFF"/>
        </w:rPr>
        <w:t>Ibrahim and Isiaka (2021)</w:t>
      </w:r>
      <w:r w:rsidR="00D761CC" w:rsidRPr="001024D1">
        <w:t>, when a firm takes more than a year to collect payments from its debtors is a major indicator of looming financial crisis where the chances of bad debts increase, putting financial sustainability of such a firm at risk.</w:t>
      </w:r>
    </w:p>
    <w:p w14:paraId="7AC2195E" w14:textId="77777777" w:rsidR="00D761CC" w:rsidRPr="001024D1" w:rsidRDefault="00D761CC" w:rsidP="00F5219F">
      <w:pPr>
        <w:spacing w:line="360" w:lineRule="auto"/>
      </w:pPr>
      <w:r w:rsidRPr="001024D1">
        <w:t xml:space="preserve">The results further revealed that the mean score for the average collection period (ACP) for the non-financial listed firms was 100.69 days. This value gives an overall picture of how long it takes, on average, for the listed non-financial firms to collect their debts. A mean of around 100 days is quite high, implying that many firms may be extending long credit terms or facing delays in payment collection. The standard deviation of 91.57 days implied that there was a wide variation in the collection periods across the listed non-financial firms. This significant deviation suggests that while some firms may collect payments quickly, others experienced substantial delays. This is an issue that according to </w:t>
      </w:r>
      <w:r w:rsidRPr="001024D1">
        <w:rPr>
          <w:rFonts w:cs="Times New Roman"/>
          <w:szCs w:val="24"/>
          <w:shd w:val="clear" w:color="auto" w:fill="FFFFFF"/>
        </w:rPr>
        <w:t>Altaf (2024)</w:t>
      </w:r>
      <w:r w:rsidRPr="001024D1">
        <w:t xml:space="preserve">, affects most of the non-financial firms with the ultimate detrimental impact on their financial sustainability. The findings generally portray that while some of the non-financial firms managed to collect payments within a reasonable time frame, a good number of the firms experience significant delays. The wide standard deviation, skewness, and kurtosis suggest a highly varied collection process across firms, with some outliers facing substantial inefficiencies in managing their </w:t>
      </w:r>
      <w:r w:rsidRPr="001024D1">
        <w:lastRenderedPageBreak/>
        <w:t xml:space="preserve">receivables. The findings concur with those by </w:t>
      </w:r>
      <w:r w:rsidRPr="001024D1">
        <w:rPr>
          <w:rFonts w:cs="Times New Roman"/>
          <w:szCs w:val="24"/>
          <w:shd w:val="clear" w:color="auto" w:fill="FFFFFF"/>
        </w:rPr>
        <w:t>Alvarez, Sensini, and Vazquez (2021)</w:t>
      </w:r>
      <w:r w:rsidRPr="001024D1">
        <w:t xml:space="preserve"> who revealed that non-financial firms were facing limited cash flows and inefficient flow of operations as a result of long cash collection periods which implied that more time was taken to collect payments from credit sales.  </w:t>
      </w:r>
      <w:r w:rsidRPr="001024D1">
        <w:rPr>
          <w:rFonts w:cs="Times New Roman"/>
          <w:szCs w:val="24"/>
        </w:rPr>
        <w:t>Ngari and Kamau (2022)</w:t>
      </w:r>
      <w:r w:rsidRPr="001024D1">
        <w:t xml:space="preserve"> noted that efficient debtor management was essential to maintaining smooth working capital cycles, and the presence of long collection periods could hinder liquidity for firms with higher ACPs.</w:t>
      </w:r>
    </w:p>
    <w:p w14:paraId="03542416" w14:textId="77777777" w:rsidR="00D761CC" w:rsidRPr="001024D1" w:rsidRDefault="0016381E" w:rsidP="00E9044F">
      <w:pPr>
        <w:pStyle w:val="Caption"/>
        <w:rPr>
          <w:b w:val="0"/>
          <w:i/>
        </w:rPr>
      </w:pPr>
      <w:bookmarkStart w:id="20" w:name="_Toc180619307"/>
      <w:bookmarkStart w:id="21" w:name="_Toc190927759"/>
      <w:r w:rsidRPr="001024D1">
        <w:rPr>
          <w:b w:val="0"/>
          <w:i/>
        </w:rPr>
        <w:t>Table 1</w:t>
      </w:r>
      <w:r w:rsidR="00D761CC" w:rsidRPr="001024D1">
        <w:rPr>
          <w:b w:val="0"/>
          <w:i/>
        </w:rPr>
        <w:t>: Descriptive Statistics on Average Collection Period</w:t>
      </w:r>
      <w:bookmarkEnd w:id="20"/>
      <w:bookmarkEnd w:id="21"/>
      <w:r w:rsidR="00D761CC" w:rsidRPr="001024D1">
        <w:rPr>
          <w:b w:val="0"/>
          <w:i/>
        </w:rPr>
        <w:t xml:space="preserve"> </w:t>
      </w:r>
    </w:p>
    <w:tbl>
      <w:tblPr>
        <w:tblW w:w="0" w:type="auto"/>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841"/>
        <w:gridCol w:w="480"/>
        <w:gridCol w:w="581"/>
        <w:gridCol w:w="780"/>
        <w:gridCol w:w="1020"/>
        <w:gridCol w:w="1020"/>
        <w:gridCol w:w="894"/>
        <w:gridCol w:w="768"/>
        <w:gridCol w:w="894"/>
        <w:gridCol w:w="768"/>
      </w:tblGrid>
      <w:tr w:rsidR="00D761CC" w:rsidRPr="001024D1" w14:paraId="54ED316A" w14:textId="77777777" w:rsidTr="003E5AC9">
        <w:trPr>
          <w:cantSplit/>
        </w:trPr>
        <w:tc>
          <w:tcPr>
            <w:tcW w:w="0" w:type="auto"/>
            <w:vMerge w:val="restart"/>
            <w:shd w:val="clear" w:color="auto" w:fill="FFFFFF"/>
          </w:tcPr>
          <w:p w14:paraId="4DF91A10" w14:textId="77777777" w:rsidR="00D761CC" w:rsidRPr="001024D1" w:rsidRDefault="00D761CC" w:rsidP="00E9044F">
            <w:pPr>
              <w:autoSpaceDE w:val="0"/>
              <w:autoSpaceDN w:val="0"/>
              <w:adjustRightInd w:val="0"/>
              <w:spacing w:after="0" w:line="240" w:lineRule="auto"/>
              <w:jc w:val="left"/>
              <w:rPr>
                <w:rFonts w:cs="Times New Roman"/>
                <w:szCs w:val="24"/>
              </w:rPr>
            </w:pPr>
            <w:r w:rsidRPr="001024D1">
              <w:rPr>
                <w:rFonts w:cs="Times New Roman"/>
                <w:szCs w:val="24"/>
              </w:rPr>
              <w:t>Variable</w:t>
            </w:r>
          </w:p>
        </w:tc>
        <w:tc>
          <w:tcPr>
            <w:tcW w:w="0" w:type="auto"/>
            <w:vMerge w:val="restart"/>
            <w:shd w:val="clear" w:color="auto" w:fill="FFFFFF"/>
          </w:tcPr>
          <w:p w14:paraId="6869A8E3"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N</w:t>
            </w:r>
          </w:p>
        </w:tc>
        <w:tc>
          <w:tcPr>
            <w:tcW w:w="0" w:type="auto"/>
            <w:vMerge w:val="restart"/>
            <w:shd w:val="clear" w:color="auto" w:fill="FFFFFF"/>
          </w:tcPr>
          <w:p w14:paraId="3880EB7A"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Min.</w:t>
            </w:r>
          </w:p>
        </w:tc>
        <w:tc>
          <w:tcPr>
            <w:tcW w:w="0" w:type="auto"/>
            <w:vMerge w:val="restart"/>
            <w:shd w:val="clear" w:color="auto" w:fill="FFFFFF"/>
          </w:tcPr>
          <w:p w14:paraId="44D6671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Max.</w:t>
            </w:r>
          </w:p>
        </w:tc>
        <w:tc>
          <w:tcPr>
            <w:tcW w:w="0" w:type="auto"/>
            <w:vMerge w:val="restart"/>
            <w:shd w:val="clear" w:color="auto" w:fill="FFFFFF"/>
          </w:tcPr>
          <w:p w14:paraId="703D8092"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Mean</w:t>
            </w:r>
          </w:p>
        </w:tc>
        <w:tc>
          <w:tcPr>
            <w:tcW w:w="0" w:type="auto"/>
            <w:vMerge w:val="restart"/>
            <w:shd w:val="clear" w:color="auto" w:fill="FFFFFF"/>
          </w:tcPr>
          <w:p w14:paraId="027A491E"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Dev.</w:t>
            </w:r>
          </w:p>
        </w:tc>
        <w:tc>
          <w:tcPr>
            <w:tcW w:w="0" w:type="auto"/>
            <w:gridSpan w:val="2"/>
            <w:tcBorders>
              <w:bottom w:val="single" w:sz="4" w:space="0" w:color="auto"/>
            </w:tcBorders>
            <w:shd w:val="clear" w:color="auto" w:fill="FFFFFF"/>
          </w:tcPr>
          <w:p w14:paraId="2853C2EA"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Skewness</w:t>
            </w:r>
          </w:p>
        </w:tc>
        <w:tc>
          <w:tcPr>
            <w:tcW w:w="0" w:type="auto"/>
            <w:gridSpan w:val="2"/>
            <w:tcBorders>
              <w:bottom w:val="single" w:sz="4" w:space="0" w:color="auto"/>
            </w:tcBorders>
            <w:shd w:val="clear" w:color="auto" w:fill="FFFFFF"/>
          </w:tcPr>
          <w:p w14:paraId="30695BA2"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Kurtosis</w:t>
            </w:r>
          </w:p>
        </w:tc>
      </w:tr>
      <w:tr w:rsidR="00D761CC" w:rsidRPr="001024D1" w14:paraId="70D8AD29" w14:textId="77777777" w:rsidTr="003E5AC9">
        <w:trPr>
          <w:cantSplit/>
        </w:trPr>
        <w:tc>
          <w:tcPr>
            <w:tcW w:w="0" w:type="auto"/>
            <w:vMerge/>
            <w:tcBorders>
              <w:bottom w:val="single" w:sz="4" w:space="0" w:color="auto"/>
            </w:tcBorders>
            <w:shd w:val="clear" w:color="auto" w:fill="FFFFFF"/>
          </w:tcPr>
          <w:p w14:paraId="2A8D8800" w14:textId="77777777" w:rsidR="00D761CC" w:rsidRPr="001024D1" w:rsidRDefault="00D761CC" w:rsidP="00E9044F">
            <w:pPr>
              <w:autoSpaceDE w:val="0"/>
              <w:autoSpaceDN w:val="0"/>
              <w:adjustRightInd w:val="0"/>
              <w:spacing w:after="0" w:line="240" w:lineRule="auto"/>
              <w:jc w:val="center"/>
              <w:rPr>
                <w:rFonts w:cs="Times New Roman"/>
                <w:color w:val="000000"/>
                <w:szCs w:val="24"/>
              </w:rPr>
            </w:pPr>
          </w:p>
        </w:tc>
        <w:tc>
          <w:tcPr>
            <w:tcW w:w="0" w:type="auto"/>
            <w:vMerge/>
            <w:tcBorders>
              <w:bottom w:val="single" w:sz="4" w:space="0" w:color="auto"/>
            </w:tcBorders>
            <w:shd w:val="clear" w:color="auto" w:fill="FFFFFF"/>
          </w:tcPr>
          <w:p w14:paraId="12A72F5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32CFA6B9"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633BCEB0"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08751AB8"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vMerge/>
            <w:tcBorders>
              <w:bottom w:val="single" w:sz="4" w:space="0" w:color="auto"/>
            </w:tcBorders>
            <w:shd w:val="clear" w:color="auto" w:fill="FFFFFF"/>
          </w:tcPr>
          <w:p w14:paraId="0F8EC416"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p>
        </w:tc>
        <w:tc>
          <w:tcPr>
            <w:tcW w:w="0" w:type="auto"/>
            <w:tcBorders>
              <w:top w:val="single" w:sz="4" w:space="0" w:color="auto"/>
              <w:bottom w:val="single" w:sz="4" w:space="0" w:color="auto"/>
            </w:tcBorders>
            <w:shd w:val="clear" w:color="auto" w:fill="FFFFFF"/>
          </w:tcPr>
          <w:p w14:paraId="73053F27"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Statistic</w:t>
            </w:r>
          </w:p>
        </w:tc>
        <w:tc>
          <w:tcPr>
            <w:tcW w:w="0" w:type="auto"/>
            <w:tcBorders>
              <w:top w:val="single" w:sz="4" w:space="0" w:color="auto"/>
              <w:bottom w:val="single" w:sz="4" w:space="0" w:color="auto"/>
            </w:tcBorders>
            <w:shd w:val="clear" w:color="auto" w:fill="FFFFFF"/>
          </w:tcPr>
          <w:p w14:paraId="2B54C018"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Error</w:t>
            </w:r>
          </w:p>
        </w:tc>
        <w:tc>
          <w:tcPr>
            <w:tcW w:w="0" w:type="auto"/>
            <w:tcBorders>
              <w:top w:val="single" w:sz="4" w:space="0" w:color="auto"/>
              <w:bottom w:val="single" w:sz="4" w:space="0" w:color="auto"/>
            </w:tcBorders>
            <w:shd w:val="clear" w:color="auto" w:fill="FFFFFF"/>
          </w:tcPr>
          <w:p w14:paraId="6D5A152F"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Statistic</w:t>
            </w:r>
          </w:p>
        </w:tc>
        <w:tc>
          <w:tcPr>
            <w:tcW w:w="0" w:type="auto"/>
            <w:tcBorders>
              <w:top w:val="single" w:sz="4" w:space="0" w:color="auto"/>
              <w:bottom w:val="single" w:sz="4" w:space="0" w:color="auto"/>
            </w:tcBorders>
            <w:shd w:val="clear" w:color="auto" w:fill="FFFFFF"/>
          </w:tcPr>
          <w:p w14:paraId="33EB9C51" w14:textId="77777777" w:rsidR="00D761CC" w:rsidRPr="001024D1" w:rsidRDefault="00D761CC" w:rsidP="00E9044F">
            <w:pPr>
              <w:autoSpaceDE w:val="0"/>
              <w:autoSpaceDN w:val="0"/>
              <w:adjustRightInd w:val="0"/>
              <w:spacing w:after="0" w:line="240" w:lineRule="auto"/>
              <w:ind w:left="60" w:right="60"/>
              <w:jc w:val="center"/>
              <w:rPr>
                <w:rFonts w:cs="Times New Roman"/>
                <w:color w:val="000000"/>
                <w:szCs w:val="24"/>
              </w:rPr>
            </w:pPr>
            <w:r w:rsidRPr="001024D1">
              <w:rPr>
                <w:rFonts w:cs="Times New Roman"/>
                <w:color w:val="000000"/>
                <w:szCs w:val="24"/>
              </w:rPr>
              <w:t>Std. Error</w:t>
            </w:r>
          </w:p>
        </w:tc>
      </w:tr>
      <w:tr w:rsidR="00D761CC" w:rsidRPr="001024D1" w14:paraId="4D690AFF" w14:textId="77777777" w:rsidTr="003E5AC9">
        <w:trPr>
          <w:cantSplit/>
        </w:trPr>
        <w:tc>
          <w:tcPr>
            <w:tcW w:w="0" w:type="auto"/>
            <w:tcBorders>
              <w:top w:val="single" w:sz="4" w:space="0" w:color="auto"/>
              <w:bottom w:val="single" w:sz="4" w:space="0" w:color="auto"/>
            </w:tcBorders>
            <w:shd w:val="clear" w:color="auto" w:fill="FFFFFF"/>
          </w:tcPr>
          <w:p w14:paraId="4377E0A6" w14:textId="77777777" w:rsidR="00D761CC" w:rsidRPr="001024D1" w:rsidRDefault="00D761CC" w:rsidP="00E9044F">
            <w:pPr>
              <w:autoSpaceDE w:val="0"/>
              <w:autoSpaceDN w:val="0"/>
              <w:adjustRightInd w:val="0"/>
              <w:spacing w:after="0" w:line="240" w:lineRule="auto"/>
              <w:ind w:left="60" w:right="60"/>
              <w:jc w:val="left"/>
              <w:rPr>
                <w:rFonts w:cs="Times New Roman"/>
                <w:color w:val="000000"/>
                <w:szCs w:val="24"/>
              </w:rPr>
            </w:pPr>
            <w:r w:rsidRPr="001024D1">
              <w:rPr>
                <w:rFonts w:cs="Times New Roman"/>
                <w:color w:val="000000"/>
                <w:szCs w:val="24"/>
              </w:rPr>
              <w:t>ACP (Average Collection Period)</w:t>
            </w:r>
          </w:p>
        </w:tc>
        <w:tc>
          <w:tcPr>
            <w:tcW w:w="0" w:type="auto"/>
            <w:tcBorders>
              <w:top w:val="single" w:sz="4" w:space="0" w:color="auto"/>
              <w:bottom w:val="single" w:sz="4" w:space="0" w:color="auto"/>
            </w:tcBorders>
            <w:shd w:val="clear" w:color="auto" w:fill="FFFFFF"/>
            <w:vAlign w:val="center"/>
          </w:tcPr>
          <w:p w14:paraId="68F229BA" w14:textId="51F4E190" w:rsidR="00D761CC" w:rsidRPr="001024D1" w:rsidRDefault="000462AE" w:rsidP="00E9044F">
            <w:pPr>
              <w:autoSpaceDE w:val="0"/>
              <w:autoSpaceDN w:val="0"/>
              <w:adjustRightInd w:val="0"/>
              <w:spacing w:after="0" w:line="240" w:lineRule="auto"/>
              <w:ind w:left="60" w:right="60"/>
              <w:jc w:val="right"/>
              <w:rPr>
                <w:rFonts w:cs="Times New Roman"/>
                <w:color w:val="000000"/>
                <w:szCs w:val="24"/>
              </w:rPr>
            </w:pPr>
            <w:r>
              <w:rPr>
                <w:rFonts w:cs="Times New Roman"/>
                <w:color w:val="000000"/>
                <w:szCs w:val="24"/>
              </w:rPr>
              <w:t>47</w:t>
            </w:r>
            <w:r w:rsidR="00D761CC" w:rsidRPr="001024D1">
              <w:rPr>
                <w:rFonts w:cs="Times New Roman"/>
                <w:color w:val="000000"/>
                <w:szCs w:val="24"/>
              </w:rPr>
              <w:t>0</w:t>
            </w:r>
          </w:p>
        </w:tc>
        <w:tc>
          <w:tcPr>
            <w:tcW w:w="0" w:type="auto"/>
            <w:tcBorders>
              <w:top w:val="single" w:sz="4" w:space="0" w:color="auto"/>
              <w:bottom w:val="single" w:sz="4" w:space="0" w:color="auto"/>
            </w:tcBorders>
            <w:shd w:val="clear" w:color="auto" w:fill="FFFFFF"/>
            <w:vAlign w:val="center"/>
          </w:tcPr>
          <w:p w14:paraId="2D37B43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6.32</w:t>
            </w:r>
          </w:p>
        </w:tc>
        <w:tc>
          <w:tcPr>
            <w:tcW w:w="0" w:type="auto"/>
            <w:tcBorders>
              <w:top w:val="single" w:sz="4" w:space="0" w:color="auto"/>
              <w:bottom w:val="single" w:sz="4" w:space="0" w:color="auto"/>
            </w:tcBorders>
            <w:shd w:val="clear" w:color="auto" w:fill="FFFFFF"/>
            <w:vAlign w:val="center"/>
          </w:tcPr>
          <w:p w14:paraId="4D096E2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567.81</w:t>
            </w:r>
          </w:p>
        </w:tc>
        <w:tc>
          <w:tcPr>
            <w:tcW w:w="0" w:type="auto"/>
            <w:tcBorders>
              <w:top w:val="single" w:sz="4" w:space="0" w:color="auto"/>
              <w:bottom w:val="single" w:sz="4" w:space="0" w:color="auto"/>
            </w:tcBorders>
            <w:shd w:val="clear" w:color="auto" w:fill="FFFFFF"/>
            <w:vAlign w:val="center"/>
          </w:tcPr>
          <w:p w14:paraId="7DD4D07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100.6863</w:t>
            </w:r>
          </w:p>
        </w:tc>
        <w:tc>
          <w:tcPr>
            <w:tcW w:w="0" w:type="auto"/>
            <w:tcBorders>
              <w:top w:val="single" w:sz="4" w:space="0" w:color="auto"/>
              <w:bottom w:val="single" w:sz="4" w:space="0" w:color="auto"/>
            </w:tcBorders>
            <w:shd w:val="clear" w:color="auto" w:fill="FFFFFF"/>
            <w:vAlign w:val="center"/>
          </w:tcPr>
          <w:p w14:paraId="684F86A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91.57433</w:t>
            </w:r>
          </w:p>
        </w:tc>
        <w:tc>
          <w:tcPr>
            <w:tcW w:w="0" w:type="auto"/>
            <w:tcBorders>
              <w:top w:val="single" w:sz="4" w:space="0" w:color="auto"/>
              <w:bottom w:val="single" w:sz="4" w:space="0" w:color="auto"/>
            </w:tcBorders>
            <w:shd w:val="clear" w:color="auto" w:fill="FFFFFF"/>
            <w:vAlign w:val="center"/>
          </w:tcPr>
          <w:p w14:paraId="4DEDB1DF"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2.689</w:t>
            </w:r>
          </w:p>
        </w:tc>
        <w:tc>
          <w:tcPr>
            <w:tcW w:w="0" w:type="auto"/>
            <w:tcBorders>
              <w:top w:val="single" w:sz="4" w:space="0" w:color="auto"/>
              <w:bottom w:val="single" w:sz="4" w:space="0" w:color="auto"/>
            </w:tcBorders>
            <w:shd w:val="clear" w:color="auto" w:fill="FFFFFF"/>
            <w:vAlign w:val="center"/>
          </w:tcPr>
          <w:p w14:paraId="32CDA5DC"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.129</w:t>
            </w:r>
          </w:p>
        </w:tc>
        <w:tc>
          <w:tcPr>
            <w:tcW w:w="0" w:type="auto"/>
            <w:tcBorders>
              <w:top w:val="single" w:sz="4" w:space="0" w:color="auto"/>
              <w:bottom w:val="single" w:sz="4" w:space="0" w:color="auto"/>
            </w:tcBorders>
            <w:shd w:val="clear" w:color="auto" w:fill="FFFFFF"/>
            <w:vAlign w:val="center"/>
          </w:tcPr>
          <w:p w14:paraId="1660A757"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9.219</w:t>
            </w:r>
          </w:p>
        </w:tc>
        <w:tc>
          <w:tcPr>
            <w:tcW w:w="0" w:type="auto"/>
            <w:tcBorders>
              <w:top w:val="single" w:sz="4" w:space="0" w:color="auto"/>
              <w:bottom w:val="single" w:sz="4" w:space="0" w:color="auto"/>
            </w:tcBorders>
            <w:shd w:val="clear" w:color="auto" w:fill="FFFFFF"/>
            <w:vAlign w:val="center"/>
          </w:tcPr>
          <w:p w14:paraId="150073D9" w14:textId="77777777" w:rsidR="00D761CC" w:rsidRPr="001024D1" w:rsidRDefault="00D761CC" w:rsidP="00E9044F">
            <w:pPr>
              <w:autoSpaceDE w:val="0"/>
              <w:autoSpaceDN w:val="0"/>
              <w:adjustRightInd w:val="0"/>
              <w:spacing w:after="0" w:line="240" w:lineRule="auto"/>
              <w:ind w:left="60" w:right="60"/>
              <w:jc w:val="right"/>
              <w:rPr>
                <w:rFonts w:cs="Times New Roman"/>
                <w:color w:val="000000"/>
                <w:szCs w:val="24"/>
              </w:rPr>
            </w:pPr>
            <w:r w:rsidRPr="001024D1">
              <w:rPr>
                <w:rFonts w:cs="Times New Roman"/>
                <w:color w:val="000000"/>
                <w:szCs w:val="24"/>
              </w:rPr>
              <w:t>.256</w:t>
            </w:r>
          </w:p>
        </w:tc>
      </w:tr>
    </w:tbl>
    <w:p w14:paraId="51D7B732" w14:textId="77777777" w:rsidR="00D761CC" w:rsidRPr="001024D1" w:rsidRDefault="00D761CC" w:rsidP="00F5219F">
      <w:pPr>
        <w:autoSpaceDE w:val="0"/>
        <w:autoSpaceDN w:val="0"/>
        <w:adjustRightInd w:val="0"/>
        <w:spacing w:after="0" w:line="360" w:lineRule="auto"/>
        <w:jc w:val="left"/>
        <w:rPr>
          <w:rFonts w:cs="Times New Roman"/>
          <w:szCs w:val="24"/>
        </w:rPr>
      </w:pPr>
    </w:p>
    <w:p w14:paraId="5B9BDBD8" w14:textId="77777777" w:rsidR="00D761CC" w:rsidRPr="001024D1" w:rsidRDefault="00D761CC" w:rsidP="00F5219F">
      <w:pPr>
        <w:pStyle w:val="Heading2"/>
        <w:spacing w:line="360" w:lineRule="auto"/>
        <w:rPr>
          <w:rStyle w:val="Heading2Char"/>
          <w:b/>
          <w:bCs/>
        </w:rPr>
      </w:pPr>
      <w:bookmarkStart w:id="22" w:name="_Toc190927718"/>
      <w:r w:rsidRPr="001024D1">
        <w:t>4.</w:t>
      </w:r>
      <w:r w:rsidR="00294F16" w:rsidRPr="001024D1">
        <w:rPr>
          <w:rStyle w:val="Heading2Char"/>
          <w:b/>
          <w:bCs/>
        </w:rPr>
        <w:t>2</w:t>
      </w:r>
      <w:r w:rsidRPr="001024D1">
        <w:rPr>
          <w:rStyle w:val="Heading2Char"/>
          <w:b/>
          <w:bCs/>
        </w:rPr>
        <w:t xml:space="preserve"> Descriptive Statistics on Financial Sustainability of Listed Non-financial Firms</w:t>
      </w:r>
      <w:bookmarkEnd w:id="22"/>
    </w:p>
    <w:p w14:paraId="054DCFC7" w14:textId="53CD00AA" w:rsidR="00D761CC" w:rsidRPr="001024D1" w:rsidRDefault="00D761CC" w:rsidP="0022056D">
      <w:r w:rsidRPr="001024D1">
        <w:t xml:space="preserve">The </w:t>
      </w:r>
      <w:r w:rsidR="0016381E" w:rsidRPr="001024D1">
        <w:t>findings (</w:t>
      </w:r>
      <w:r w:rsidR="0016381E" w:rsidRPr="001024D1">
        <w:rPr>
          <w:i/>
        </w:rPr>
        <w:t>Table 2</w:t>
      </w:r>
      <w:r w:rsidR="0016381E" w:rsidRPr="001024D1">
        <w:t xml:space="preserve">) revealed that the </w:t>
      </w:r>
      <w:r w:rsidR="0086286F" w:rsidRPr="00AE08FC">
        <w:rPr>
          <w:rFonts w:cs="Times New Roman"/>
        </w:rPr>
        <w:t xml:space="preserve">minimum operating ratio was -19.37 while the maximum operating surplus ratio was 0.96. The negative operating ratio imply that the firms had deficit while the maximum ratio shows close to a balanced or slightly surplus-generating firm. The mean score for operating surplus ratio was 0.2337, implying that most of the listed non-financial firms had a small operating surplus (23.37%). This suggests that, on average, these firms were generating more revenue than their expenses, but the surplus is relatively modest. According to </w:t>
      </w:r>
      <w:proofErr w:type="spellStart"/>
      <w:r w:rsidR="0086286F" w:rsidRPr="00AE08FC">
        <w:rPr>
          <w:rFonts w:cs="Times New Roman"/>
          <w:szCs w:val="24"/>
          <w:shd w:val="clear" w:color="auto" w:fill="FFFFFF"/>
        </w:rPr>
        <w:t>Khramchenko</w:t>
      </w:r>
      <w:proofErr w:type="spellEnd"/>
      <w:r w:rsidR="0086286F" w:rsidRPr="00AE08FC">
        <w:rPr>
          <w:rFonts w:cs="Times New Roman"/>
          <w:szCs w:val="24"/>
          <w:shd w:val="clear" w:color="auto" w:fill="FFFFFF"/>
        </w:rPr>
        <w:t xml:space="preserve"> (2021)</w:t>
      </w:r>
      <w:r w:rsidR="0086286F" w:rsidRPr="00AE08FC">
        <w:rPr>
          <w:rFonts w:cs="Times New Roman"/>
        </w:rPr>
        <w:t xml:space="preserve">, while a firm might operate at a profit, its financial sustainability might not be guaranteed as the profits might not reflect the fulfil potential of the firm. The results also show that the standard deviation for operating surplus ratio was 1.321. This being a high standard deviation, it indicates considerable variability in the operating surplus ratio across the firms. Some firms were operating with significant deficits, while others managed a modest surplus. The negative skewness of -11.666 is extreme, indicating that most firms have operating surplus ratios closer to zero (a balanced or slightly positive performance), while a few firms have very large deficits, pulling the distribution to the left. This is also evidenced by the extremely high kurtosis value of 155.283 which shows that the distribution is </w:t>
      </w:r>
      <w:r w:rsidR="0086286F" w:rsidRPr="00AE08FC">
        <w:rPr>
          <w:rFonts w:cs="Times New Roman"/>
        </w:rPr>
        <w:lastRenderedPageBreak/>
        <w:t xml:space="preserve">heavily peaked with long tails. This indicates that while most firms have ratios close to zero, there are significant outliers with extreme deficits. The results on Operating Surplus Ratio, therefore, shows that, although many firms were sustaining operations with modest surpluses, there were a significant number of firms experiencing substantial deficits, indicating poor financial health. </w:t>
      </w:r>
    </w:p>
    <w:p w14:paraId="1528C4C3" w14:textId="77777777" w:rsidR="00D761CC" w:rsidRPr="001024D1" w:rsidRDefault="0016381E" w:rsidP="00F5219F">
      <w:pPr>
        <w:pStyle w:val="Caption"/>
        <w:spacing w:line="360" w:lineRule="auto"/>
        <w:rPr>
          <w:b w:val="0"/>
          <w:i/>
        </w:rPr>
      </w:pPr>
      <w:bookmarkStart w:id="23" w:name="_Toc180619311"/>
      <w:bookmarkStart w:id="24" w:name="_Toc190927763"/>
      <w:r w:rsidRPr="001024D1">
        <w:rPr>
          <w:b w:val="0"/>
          <w:i/>
        </w:rPr>
        <w:t>Table 2</w:t>
      </w:r>
      <w:r w:rsidR="00D761CC" w:rsidRPr="001024D1">
        <w:rPr>
          <w:b w:val="0"/>
          <w:i/>
        </w:rPr>
        <w:t>: Descriptive Statistics on Financial Sustainability</w:t>
      </w:r>
      <w:bookmarkEnd w:id="23"/>
      <w:bookmarkEnd w:id="24"/>
    </w:p>
    <w:tbl>
      <w:tblPr>
        <w:tblW w:w="0" w:type="auto"/>
        <w:tblInd w:w="-2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54"/>
        <w:gridCol w:w="480"/>
        <w:gridCol w:w="740"/>
        <w:gridCol w:w="647"/>
        <w:gridCol w:w="707"/>
        <w:gridCol w:w="1047"/>
        <w:gridCol w:w="1094"/>
        <w:gridCol w:w="1001"/>
      </w:tblGrid>
      <w:tr w:rsidR="00D761CC" w:rsidRPr="001024D1" w14:paraId="7B4C50EE" w14:textId="77777777" w:rsidTr="0068241F">
        <w:trPr>
          <w:cantSplit/>
        </w:trPr>
        <w:tc>
          <w:tcPr>
            <w:tcW w:w="0" w:type="auto"/>
            <w:tcBorders>
              <w:top w:val="single" w:sz="4" w:space="0" w:color="auto"/>
              <w:bottom w:val="single" w:sz="4" w:space="0" w:color="auto"/>
            </w:tcBorders>
            <w:shd w:val="clear" w:color="auto" w:fill="FFFFFF"/>
            <w:vAlign w:val="bottom"/>
          </w:tcPr>
          <w:p w14:paraId="58111A8C" w14:textId="77777777" w:rsidR="00D761CC" w:rsidRPr="001024D1" w:rsidRDefault="00D761CC" w:rsidP="00E9044F">
            <w:pPr>
              <w:autoSpaceDE w:val="0"/>
              <w:autoSpaceDN w:val="0"/>
              <w:adjustRightInd w:val="0"/>
              <w:spacing w:line="240" w:lineRule="auto"/>
              <w:jc w:val="left"/>
              <w:rPr>
                <w:rFonts w:cs="Times New Roman"/>
                <w:b/>
                <w:szCs w:val="24"/>
              </w:rPr>
            </w:pPr>
            <w:r w:rsidRPr="001024D1">
              <w:rPr>
                <w:rFonts w:cs="Times New Roman"/>
                <w:b/>
                <w:szCs w:val="24"/>
              </w:rPr>
              <w:t>Ratios</w:t>
            </w:r>
          </w:p>
        </w:tc>
        <w:tc>
          <w:tcPr>
            <w:tcW w:w="0" w:type="auto"/>
            <w:tcBorders>
              <w:top w:val="single" w:sz="4" w:space="0" w:color="auto"/>
              <w:bottom w:val="single" w:sz="4" w:space="0" w:color="auto"/>
            </w:tcBorders>
            <w:shd w:val="clear" w:color="auto" w:fill="FFFFFF"/>
            <w:vAlign w:val="bottom"/>
          </w:tcPr>
          <w:p w14:paraId="23343F0F"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N</w:t>
            </w:r>
          </w:p>
        </w:tc>
        <w:tc>
          <w:tcPr>
            <w:tcW w:w="0" w:type="auto"/>
            <w:tcBorders>
              <w:top w:val="single" w:sz="4" w:space="0" w:color="auto"/>
              <w:bottom w:val="single" w:sz="4" w:space="0" w:color="auto"/>
            </w:tcBorders>
            <w:shd w:val="clear" w:color="auto" w:fill="FFFFFF"/>
            <w:vAlign w:val="bottom"/>
          </w:tcPr>
          <w:p w14:paraId="2663DFE4"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Min.</w:t>
            </w:r>
          </w:p>
        </w:tc>
        <w:tc>
          <w:tcPr>
            <w:tcW w:w="0" w:type="auto"/>
            <w:tcBorders>
              <w:top w:val="single" w:sz="4" w:space="0" w:color="auto"/>
              <w:bottom w:val="single" w:sz="4" w:space="0" w:color="auto"/>
            </w:tcBorders>
            <w:shd w:val="clear" w:color="auto" w:fill="FFFFFF"/>
            <w:vAlign w:val="bottom"/>
          </w:tcPr>
          <w:p w14:paraId="60910591"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Max.</w:t>
            </w:r>
          </w:p>
        </w:tc>
        <w:tc>
          <w:tcPr>
            <w:tcW w:w="0" w:type="auto"/>
            <w:tcBorders>
              <w:top w:val="single" w:sz="4" w:space="0" w:color="auto"/>
              <w:bottom w:val="single" w:sz="4" w:space="0" w:color="auto"/>
            </w:tcBorders>
            <w:shd w:val="clear" w:color="auto" w:fill="FFFFFF"/>
            <w:vAlign w:val="bottom"/>
          </w:tcPr>
          <w:p w14:paraId="368F806A"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Mean</w:t>
            </w:r>
          </w:p>
        </w:tc>
        <w:tc>
          <w:tcPr>
            <w:tcW w:w="0" w:type="auto"/>
            <w:tcBorders>
              <w:top w:val="single" w:sz="4" w:space="0" w:color="auto"/>
              <w:bottom w:val="single" w:sz="4" w:space="0" w:color="auto"/>
            </w:tcBorders>
            <w:shd w:val="clear" w:color="auto" w:fill="FFFFFF"/>
            <w:vAlign w:val="bottom"/>
          </w:tcPr>
          <w:p w14:paraId="3A3E3C33"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Std. Dev.</w:t>
            </w:r>
          </w:p>
        </w:tc>
        <w:tc>
          <w:tcPr>
            <w:tcW w:w="1094" w:type="dxa"/>
            <w:tcBorders>
              <w:top w:val="single" w:sz="4" w:space="0" w:color="auto"/>
              <w:bottom w:val="single" w:sz="4" w:space="0" w:color="auto"/>
            </w:tcBorders>
            <w:shd w:val="clear" w:color="auto" w:fill="FFFFFF"/>
            <w:vAlign w:val="bottom"/>
          </w:tcPr>
          <w:p w14:paraId="00983444"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Skewness</w:t>
            </w:r>
          </w:p>
        </w:tc>
        <w:tc>
          <w:tcPr>
            <w:tcW w:w="1001" w:type="dxa"/>
            <w:tcBorders>
              <w:top w:val="single" w:sz="4" w:space="0" w:color="auto"/>
              <w:bottom w:val="single" w:sz="4" w:space="0" w:color="auto"/>
            </w:tcBorders>
            <w:shd w:val="clear" w:color="auto" w:fill="FFFFFF"/>
            <w:vAlign w:val="bottom"/>
          </w:tcPr>
          <w:p w14:paraId="6A19CFF8" w14:textId="77777777" w:rsidR="00D761CC" w:rsidRPr="001024D1" w:rsidRDefault="00D761CC" w:rsidP="00E9044F">
            <w:pPr>
              <w:autoSpaceDE w:val="0"/>
              <w:autoSpaceDN w:val="0"/>
              <w:adjustRightInd w:val="0"/>
              <w:spacing w:line="240" w:lineRule="auto"/>
              <w:ind w:left="60" w:right="60"/>
              <w:jc w:val="center"/>
              <w:rPr>
                <w:rFonts w:cs="Times New Roman"/>
                <w:b/>
                <w:color w:val="000000"/>
                <w:szCs w:val="24"/>
              </w:rPr>
            </w:pPr>
            <w:r w:rsidRPr="001024D1">
              <w:rPr>
                <w:rFonts w:cs="Times New Roman"/>
                <w:b/>
                <w:color w:val="000000"/>
                <w:szCs w:val="24"/>
              </w:rPr>
              <w:t>Kurtosis</w:t>
            </w:r>
          </w:p>
        </w:tc>
      </w:tr>
      <w:tr w:rsidR="00D761CC" w:rsidRPr="001024D1" w14:paraId="687BE5B0" w14:textId="77777777" w:rsidTr="003E5AC9">
        <w:trPr>
          <w:cantSplit/>
        </w:trPr>
        <w:tc>
          <w:tcPr>
            <w:tcW w:w="0" w:type="auto"/>
            <w:tcBorders>
              <w:top w:val="single" w:sz="4" w:space="0" w:color="auto"/>
            </w:tcBorders>
            <w:shd w:val="clear" w:color="auto" w:fill="FFFFFF"/>
          </w:tcPr>
          <w:p w14:paraId="39C9BF16" w14:textId="77777777" w:rsidR="00D761CC" w:rsidRPr="001024D1" w:rsidRDefault="00D761CC" w:rsidP="00E9044F">
            <w:pPr>
              <w:autoSpaceDE w:val="0"/>
              <w:autoSpaceDN w:val="0"/>
              <w:adjustRightInd w:val="0"/>
              <w:spacing w:line="240" w:lineRule="auto"/>
              <w:ind w:left="60" w:right="60"/>
              <w:jc w:val="left"/>
              <w:rPr>
                <w:rFonts w:cs="Times New Roman"/>
                <w:color w:val="000000"/>
                <w:szCs w:val="24"/>
              </w:rPr>
            </w:pPr>
            <w:r w:rsidRPr="001024D1">
              <w:rPr>
                <w:rFonts w:cs="Times New Roman"/>
                <w:color w:val="000000"/>
                <w:szCs w:val="24"/>
              </w:rPr>
              <w:t>Operating Surplus Ratio</w:t>
            </w:r>
          </w:p>
        </w:tc>
        <w:tc>
          <w:tcPr>
            <w:tcW w:w="0" w:type="auto"/>
            <w:tcBorders>
              <w:top w:val="single" w:sz="4" w:space="0" w:color="auto"/>
            </w:tcBorders>
            <w:shd w:val="clear" w:color="auto" w:fill="FFFFFF"/>
            <w:vAlign w:val="center"/>
          </w:tcPr>
          <w:p w14:paraId="0BB475F4" w14:textId="19134DCC" w:rsidR="00D761CC" w:rsidRPr="001024D1" w:rsidRDefault="000462AE" w:rsidP="00E9044F">
            <w:pPr>
              <w:autoSpaceDE w:val="0"/>
              <w:autoSpaceDN w:val="0"/>
              <w:adjustRightInd w:val="0"/>
              <w:spacing w:line="240" w:lineRule="auto"/>
              <w:ind w:left="60" w:right="60"/>
              <w:jc w:val="right"/>
              <w:rPr>
                <w:rFonts w:cs="Times New Roman"/>
                <w:color w:val="000000"/>
                <w:szCs w:val="24"/>
              </w:rPr>
            </w:pPr>
            <w:r>
              <w:rPr>
                <w:rFonts w:cs="Times New Roman"/>
                <w:color w:val="000000"/>
                <w:szCs w:val="24"/>
              </w:rPr>
              <w:t>47</w:t>
            </w:r>
            <w:r w:rsidR="00D761CC" w:rsidRPr="001024D1">
              <w:rPr>
                <w:rFonts w:cs="Times New Roman"/>
                <w:color w:val="000000"/>
                <w:szCs w:val="24"/>
              </w:rPr>
              <w:t>0</w:t>
            </w:r>
          </w:p>
        </w:tc>
        <w:tc>
          <w:tcPr>
            <w:tcW w:w="0" w:type="auto"/>
            <w:tcBorders>
              <w:top w:val="single" w:sz="4" w:space="0" w:color="auto"/>
            </w:tcBorders>
            <w:shd w:val="clear" w:color="auto" w:fill="FFFFFF"/>
            <w:vAlign w:val="center"/>
          </w:tcPr>
          <w:p w14:paraId="251DC5A5"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-19.37</w:t>
            </w:r>
          </w:p>
        </w:tc>
        <w:tc>
          <w:tcPr>
            <w:tcW w:w="0" w:type="auto"/>
            <w:tcBorders>
              <w:top w:val="single" w:sz="4" w:space="0" w:color="auto"/>
            </w:tcBorders>
            <w:shd w:val="clear" w:color="auto" w:fill="FFFFFF"/>
            <w:vAlign w:val="center"/>
          </w:tcPr>
          <w:p w14:paraId="023400AB"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.96</w:t>
            </w:r>
          </w:p>
        </w:tc>
        <w:tc>
          <w:tcPr>
            <w:tcW w:w="0" w:type="auto"/>
            <w:tcBorders>
              <w:top w:val="single" w:sz="4" w:space="0" w:color="auto"/>
            </w:tcBorders>
            <w:shd w:val="clear" w:color="auto" w:fill="FFFFFF"/>
            <w:vAlign w:val="center"/>
          </w:tcPr>
          <w:p w14:paraId="200A5CAA"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.2337</w:t>
            </w:r>
          </w:p>
        </w:tc>
        <w:tc>
          <w:tcPr>
            <w:tcW w:w="0" w:type="auto"/>
            <w:tcBorders>
              <w:top w:val="single" w:sz="4" w:space="0" w:color="auto"/>
            </w:tcBorders>
            <w:shd w:val="clear" w:color="auto" w:fill="FFFFFF"/>
            <w:vAlign w:val="center"/>
          </w:tcPr>
          <w:p w14:paraId="4891B69C"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1.32126</w:t>
            </w:r>
          </w:p>
        </w:tc>
        <w:tc>
          <w:tcPr>
            <w:tcW w:w="0" w:type="auto"/>
            <w:tcBorders>
              <w:top w:val="single" w:sz="4" w:space="0" w:color="auto"/>
            </w:tcBorders>
            <w:shd w:val="clear" w:color="auto" w:fill="FFFFFF"/>
            <w:vAlign w:val="center"/>
          </w:tcPr>
          <w:p w14:paraId="191748C7"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-11.666</w:t>
            </w:r>
          </w:p>
        </w:tc>
        <w:tc>
          <w:tcPr>
            <w:tcW w:w="0" w:type="auto"/>
            <w:tcBorders>
              <w:top w:val="single" w:sz="4" w:space="0" w:color="auto"/>
            </w:tcBorders>
            <w:shd w:val="clear" w:color="auto" w:fill="FFFFFF"/>
            <w:vAlign w:val="center"/>
          </w:tcPr>
          <w:p w14:paraId="2D4FC66C" w14:textId="77777777" w:rsidR="00D761CC" w:rsidRPr="001024D1" w:rsidRDefault="00D761CC" w:rsidP="00E9044F">
            <w:pPr>
              <w:autoSpaceDE w:val="0"/>
              <w:autoSpaceDN w:val="0"/>
              <w:adjustRightInd w:val="0"/>
              <w:spacing w:line="240" w:lineRule="auto"/>
              <w:ind w:left="60" w:right="60"/>
              <w:jc w:val="right"/>
              <w:rPr>
                <w:rFonts w:cs="Times New Roman"/>
                <w:color w:val="000000"/>
                <w:szCs w:val="24"/>
              </w:rPr>
            </w:pPr>
            <w:r w:rsidRPr="001024D1">
              <w:rPr>
                <w:rFonts w:cs="Times New Roman"/>
                <w:color w:val="000000"/>
                <w:szCs w:val="24"/>
              </w:rPr>
              <w:t>155.283</w:t>
            </w:r>
          </w:p>
        </w:tc>
      </w:tr>
    </w:tbl>
    <w:p w14:paraId="7F650342" w14:textId="77777777" w:rsidR="00D761CC" w:rsidRPr="001024D1" w:rsidRDefault="00D761CC" w:rsidP="00F5219F">
      <w:pPr>
        <w:autoSpaceDE w:val="0"/>
        <w:autoSpaceDN w:val="0"/>
        <w:adjustRightInd w:val="0"/>
        <w:spacing w:after="0" w:line="360" w:lineRule="auto"/>
        <w:jc w:val="left"/>
        <w:rPr>
          <w:rFonts w:cs="Times New Roman"/>
          <w:szCs w:val="24"/>
        </w:rPr>
      </w:pPr>
    </w:p>
    <w:p w14:paraId="613AEF30" w14:textId="77777777" w:rsidR="00D761CC" w:rsidRPr="001024D1" w:rsidRDefault="00D761CC" w:rsidP="00F5219F">
      <w:pPr>
        <w:pStyle w:val="Heading2"/>
        <w:spacing w:line="360" w:lineRule="auto"/>
      </w:pPr>
      <w:bookmarkStart w:id="25" w:name="_Toc190927719"/>
      <w:r w:rsidRPr="001024D1">
        <w:t xml:space="preserve">4.3 Trend Analysis </w:t>
      </w:r>
      <w:bookmarkEnd w:id="25"/>
      <w:r w:rsidR="0016381E" w:rsidRPr="001024D1">
        <w:t>of Debtors Management in Listed Non-Financial Firms</w:t>
      </w:r>
    </w:p>
    <w:p w14:paraId="2CF6FA27" w14:textId="77777777" w:rsidR="00D761CC" w:rsidRPr="001024D1" w:rsidRDefault="00D761CC" w:rsidP="00F5219F">
      <w:pPr>
        <w:spacing w:line="360" w:lineRule="auto"/>
      </w:pPr>
      <w:r w:rsidRPr="001024D1">
        <w:t xml:space="preserve">The </w:t>
      </w:r>
      <w:r w:rsidR="0016381E" w:rsidRPr="001024D1">
        <w:t>results</w:t>
      </w:r>
      <w:r w:rsidRPr="001024D1">
        <w:t xml:space="preserve"> </w:t>
      </w:r>
      <w:r w:rsidR="0016381E" w:rsidRPr="001024D1">
        <w:t xml:space="preserve">(Figure </w:t>
      </w:r>
      <w:r w:rsidRPr="001024D1">
        <w:t>2</w:t>
      </w:r>
      <w:r w:rsidR="0016381E" w:rsidRPr="001024D1">
        <w:t>)</w:t>
      </w:r>
      <w:r w:rsidRPr="001024D1">
        <w:t xml:space="preserve"> </w:t>
      </w:r>
      <w:r w:rsidR="0016381E" w:rsidRPr="001024D1">
        <w:t>shows</w:t>
      </w:r>
      <w:r w:rsidRPr="001024D1">
        <w:t xml:space="preserve"> that there was a steady increase in ACP from 2014 to 2015 implying that while most of the firms collected their debts faster in 2014, there was a significant delay in debt collection in 2015. This strained the listed firms’ cash flow and their ability to meet short-term obligations. However, as the results show, the ACP dropped to about 175 days in 2016 and further reduced to about 103 days in 2017. This shows a better debtor management during this period, an indication of efforts by the listed non-financial firms to collect debts more promptly, potentially enhancing liquidity and reducing the risk of bad debts. There was however stabilization and consistency in average collection period between 2017 and 2019, although not as low as in 2014, a range that suggests a controlled and consistent debt collection process among the listed non-financial firms. According to </w:t>
      </w:r>
      <w:proofErr w:type="spellStart"/>
      <w:r w:rsidRPr="001024D1">
        <w:rPr>
          <w:rFonts w:cs="Times New Roman"/>
          <w:szCs w:val="24"/>
        </w:rPr>
        <w:t>Sholikah</w:t>
      </w:r>
      <w:proofErr w:type="spellEnd"/>
      <w:r w:rsidRPr="001024D1">
        <w:rPr>
          <w:rFonts w:cs="Times New Roman"/>
          <w:szCs w:val="24"/>
        </w:rPr>
        <w:t xml:space="preserve"> and </w:t>
      </w:r>
      <w:proofErr w:type="spellStart"/>
      <w:r w:rsidRPr="001024D1">
        <w:rPr>
          <w:rFonts w:cs="Times New Roman"/>
          <w:szCs w:val="24"/>
        </w:rPr>
        <w:t>Miranti</w:t>
      </w:r>
      <w:proofErr w:type="spellEnd"/>
      <w:r w:rsidRPr="001024D1">
        <w:rPr>
          <w:rFonts w:cs="Times New Roman"/>
          <w:szCs w:val="24"/>
        </w:rPr>
        <w:t xml:space="preserve"> (2020)</w:t>
      </w:r>
      <w:r w:rsidRPr="001024D1">
        <w:t xml:space="preserve">, longer average collection period as seen for the listed non-financial firms in 2015 and 2021 suggests inefficient debtors’ management practices, which could derail financial sustainability. As elaborated by </w:t>
      </w:r>
      <w:r w:rsidR="0016381E" w:rsidRPr="001024D1">
        <w:rPr>
          <w:rFonts w:cs="Times New Roman"/>
          <w:szCs w:val="24"/>
          <w:shd w:val="clear" w:color="auto" w:fill="FFFFFF"/>
        </w:rPr>
        <w:t xml:space="preserve">Zheng et al. </w:t>
      </w:r>
      <w:r w:rsidRPr="001024D1">
        <w:rPr>
          <w:rFonts w:cs="Times New Roman"/>
          <w:szCs w:val="24"/>
          <w:shd w:val="clear" w:color="auto" w:fill="FFFFFF"/>
        </w:rPr>
        <w:t>(2022)</w:t>
      </w:r>
      <w:r w:rsidRPr="001024D1">
        <w:t xml:space="preserve">, if customers are taking longer to pay, organizations might face liquidity issues, leading to reliance on external financing, which increases interest costs and financial risk. The shorter collection periods in 2014 and 2017 imply better debtors’ management, where the listed firms collected cash from debtors with ease. According to </w:t>
      </w:r>
      <w:proofErr w:type="spellStart"/>
      <w:r w:rsidRPr="001024D1">
        <w:rPr>
          <w:rFonts w:cs="Times New Roman"/>
          <w:szCs w:val="24"/>
          <w:shd w:val="clear" w:color="auto" w:fill="FFFFFF"/>
        </w:rPr>
        <w:t>Ozili</w:t>
      </w:r>
      <w:proofErr w:type="spellEnd"/>
      <w:r w:rsidRPr="001024D1">
        <w:rPr>
          <w:rFonts w:cs="Times New Roman"/>
          <w:szCs w:val="24"/>
          <w:shd w:val="clear" w:color="auto" w:fill="FFFFFF"/>
        </w:rPr>
        <w:t xml:space="preserve"> and </w:t>
      </w:r>
      <w:proofErr w:type="spellStart"/>
      <w:r w:rsidRPr="001024D1">
        <w:rPr>
          <w:rFonts w:cs="Times New Roman"/>
          <w:szCs w:val="24"/>
          <w:shd w:val="clear" w:color="auto" w:fill="FFFFFF"/>
        </w:rPr>
        <w:t>Iorember</w:t>
      </w:r>
      <w:proofErr w:type="spellEnd"/>
      <w:r w:rsidRPr="001024D1">
        <w:rPr>
          <w:rFonts w:cs="Times New Roman"/>
          <w:szCs w:val="24"/>
          <w:shd w:val="clear" w:color="auto" w:fill="FFFFFF"/>
        </w:rPr>
        <w:t xml:space="preserve"> (2024)</w:t>
      </w:r>
      <w:r w:rsidRPr="001024D1">
        <w:t xml:space="preserve">, shorter ACPs could be influenced by both internal factors where the company puts stringent measures to collect revenues from customers in good time, or by external factors where the economic factors could be favourable to business thus allowing debtors to easily repay what they owe the firms. </w:t>
      </w:r>
    </w:p>
    <w:p w14:paraId="19E76B5C" w14:textId="77777777" w:rsidR="00D761CC" w:rsidRPr="001024D1" w:rsidRDefault="00D761CC" w:rsidP="00E9044F">
      <w:pPr>
        <w:autoSpaceDE w:val="0"/>
        <w:autoSpaceDN w:val="0"/>
        <w:adjustRightInd w:val="0"/>
        <w:spacing w:after="0" w:line="240" w:lineRule="auto"/>
        <w:jc w:val="left"/>
        <w:rPr>
          <w:rFonts w:cs="Times New Roman"/>
          <w:szCs w:val="24"/>
        </w:rPr>
      </w:pPr>
      <w:r w:rsidRPr="001024D1">
        <w:rPr>
          <w:rFonts w:cs="Times New Roman"/>
          <w:noProof/>
          <w:szCs w:val="24"/>
          <w:lang w:eastAsia="en-GB"/>
        </w:rPr>
        <w:lastRenderedPageBreak/>
        <w:drawing>
          <wp:inline distT="0" distB="0" distL="0" distR="0" wp14:anchorId="426EF742" wp14:editId="36106BC8">
            <wp:extent cx="5320665" cy="2899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391" cy="2903629"/>
                    </a:xfrm>
                    <a:prstGeom prst="rect">
                      <a:avLst/>
                    </a:prstGeom>
                    <a:noFill/>
                  </pic:spPr>
                </pic:pic>
              </a:graphicData>
            </a:graphic>
          </wp:inline>
        </w:drawing>
      </w:r>
    </w:p>
    <w:p w14:paraId="5E0E5CF2" w14:textId="77777777" w:rsidR="00D761CC" w:rsidRPr="001024D1" w:rsidRDefault="0016381E" w:rsidP="00E9044F">
      <w:pPr>
        <w:pStyle w:val="Caption"/>
        <w:rPr>
          <w:b w:val="0"/>
          <w:i/>
        </w:rPr>
      </w:pPr>
      <w:bookmarkStart w:id="26" w:name="_Toc180619313"/>
      <w:bookmarkStart w:id="27" w:name="_Toc180619413"/>
      <w:bookmarkStart w:id="28" w:name="_Toc190927765"/>
      <w:r w:rsidRPr="001024D1">
        <w:rPr>
          <w:b w:val="0"/>
          <w:i/>
        </w:rPr>
        <w:t xml:space="preserve">Figure </w:t>
      </w:r>
      <w:r w:rsidR="00D761CC" w:rsidRPr="001024D1">
        <w:rPr>
          <w:b w:val="0"/>
          <w:i/>
        </w:rPr>
        <w:t>2: Trend Analysis for Average Collection Period</w:t>
      </w:r>
      <w:bookmarkEnd w:id="26"/>
      <w:bookmarkEnd w:id="27"/>
      <w:bookmarkEnd w:id="28"/>
    </w:p>
    <w:p w14:paraId="6810966A" w14:textId="77777777" w:rsidR="00D761CC" w:rsidRPr="001024D1" w:rsidRDefault="00D761CC" w:rsidP="00E9044F">
      <w:pPr>
        <w:autoSpaceDE w:val="0"/>
        <w:autoSpaceDN w:val="0"/>
        <w:adjustRightInd w:val="0"/>
        <w:spacing w:after="0" w:line="240" w:lineRule="auto"/>
        <w:jc w:val="left"/>
        <w:rPr>
          <w:rFonts w:cs="Times New Roman"/>
          <w:szCs w:val="24"/>
        </w:rPr>
      </w:pPr>
    </w:p>
    <w:p w14:paraId="5F674CED" w14:textId="77777777" w:rsidR="00D761CC" w:rsidRPr="001024D1" w:rsidRDefault="0016381E" w:rsidP="00F5219F">
      <w:pPr>
        <w:pStyle w:val="Heading2"/>
        <w:spacing w:line="360" w:lineRule="auto"/>
      </w:pPr>
      <w:bookmarkStart w:id="29" w:name="_Toc190927725"/>
      <w:r w:rsidRPr="001024D1">
        <w:t>4.4</w:t>
      </w:r>
      <w:r w:rsidR="00D761CC" w:rsidRPr="001024D1">
        <w:t xml:space="preserve"> Trend Analysis for Financial Sustainability</w:t>
      </w:r>
      <w:bookmarkEnd w:id="29"/>
      <w:r w:rsidRPr="001024D1">
        <w:t xml:space="preserve"> among Listed Non-Financial Firms</w:t>
      </w:r>
    </w:p>
    <w:p w14:paraId="18FF19EF" w14:textId="77777777" w:rsidR="00D761CC" w:rsidRPr="001024D1" w:rsidRDefault="0016381E" w:rsidP="00F5219F">
      <w:pPr>
        <w:spacing w:line="360" w:lineRule="auto"/>
      </w:pPr>
      <w:r w:rsidRPr="001024D1">
        <w:t xml:space="preserve">The </w:t>
      </w:r>
      <w:r w:rsidR="00D761CC" w:rsidRPr="001024D1">
        <w:t xml:space="preserve">results </w:t>
      </w:r>
      <w:r w:rsidRPr="001024D1">
        <w:t>as shown in Figure 3 revealed that</w:t>
      </w:r>
      <w:r w:rsidR="00D761CC" w:rsidRPr="001024D1">
        <w:t xml:space="preserve"> the operating surplus ratio of the listed non-financial firms exhibits a downward trend from 2014 to 2023, with significant fluctuations along the way. A lower operating surplus ratio signals challenges in maintaining financial sustainability, as firms may find it difficult to reinvest in growth or buffer against economic downturns. The observed recovery suggests that firms are adapting to their challenges, but achieving higher financial sustainability will require continued focus on optimizing operations and enhancing revenue streams.</w:t>
      </w:r>
    </w:p>
    <w:p w14:paraId="0D92A6A4" w14:textId="77777777" w:rsidR="00D761CC" w:rsidRPr="001024D1" w:rsidRDefault="00D761CC" w:rsidP="00F5219F">
      <w:pPr>
        <w:autoSpaceDE w:val="0"/>
        <w:autoSpaceDN w:val="0"/>
        <w:adjustRightInd w:val="0"/>
        <w:spacing w:after="0" w:line="360" w:lineRule="auto"/>
        <w:jc w:val="left"/>
        <w:rPr>
          <w:rFonts w:cs="Times New Roman"/>
          <w:szCs w:val="24"/>
        </w:rPr>
      </w:pPr>
      <w:r w:rsidRPr="001024D1">
        <w:rPr>
          <w:noProof/>
          <w:lang w:eastAsia="en-GB"/>
        </w:rPr>
        <w:drawing>
          <wp:inline distT="0" distB="0" distL="0" distR="0" wp14:anchorId="2F03A91B" wp14:editId="3A7B354B">
            <wp:extent cx="5274310" cy="2476500"/>
            <wp:effectExtent l="0" t="0" r="2540" b="0"/>
            <wp:docPr id="19" name="Chart 19">
              <a:extLst xmlns:a="http://schemas.openxmlformats.org/drawingml/2006/main">
                <a:ext uri="{FF2B5EF4-FFF2-40B4-BE49-F238E27FC236}">
                  <a16:creationId xmlns:a16="http://schemas.microsoft.com/office/drawing/2014/main" id="{8738C7A0-F8E9-4346-9F1A-4876D30B6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0F99A0" w14:textId="77777777" w:rsidR="00D761CC" w:rsidRPr="001024D1" w:rsidRDefault="00294F16" w:rsidP="00F5219F">
      <w:pPr>
        <w:pStyle w:val="Caption"/>
        <w:spacing w:line="360" w:lineRule="auto"/>
        <w:rPr>
          <w:b w:val="0"/>
          <w:i/>
        </w:rPr>
      </w:pPr>
      <w:bookmarkStart w:id="30" w:name="_Toc180619317"/>
      <w:bookmarkStart w:id="31" w:name="_Toc180619417"/>
      <w:bookmarkStart w:id="32" w:name="_Toc190927769"/>
      <w:r w:rsidRPr="001024D1">
        <w:rPr>
          <w:rFonts w:cs="Times New Roman"/>
          <w:b w:val="0"/>
          <w:i/>
          <w:szCs w:val="24"/>
        </w:rPr>
        <w:t>Figure 3</w:t>
      </w:r>
      <w:r w:rsidR="00D761CC" w:rsidRPr="001024D1">
        <w:rPr>
          <w:b w:val="0"/>
          <w:i/>
        </w:rPr>
        <w:t>: Trend Analysis for Financial Sustainability</w:t>
      </w:r>
      <w:bookmarkEnd w:id="30"/>
      <w:bookmarkEnd w:id="31"/>
      <w:bookmarkEnd w:id="32"/>
    </w:p>
    <w:p w14:paraId="478563DE" w14:textId="77777777" w:rsidR="00D761CC" w:rsidRPr="001024D1" w:rsidRDefault="00D761CC" w:rsidP="00E9044F">
      <w:pPr>
        <w:spacing w:line="240" w:lineRule="auto"/>
      </w:pPr>
    </w:p>
    <w:p w14:paraId="63552632" w14:textId="77777777" w:rsidR="00D761CC" w:rsidRPr="001024D1" w:rsidRDefault="00294F16" w:rsidP="00E9044F">
      <w:pPr>
        <w:pStyle w:val="Heading2"/>
        <w:spacing w:line="240" w:lineRule="auto"/>
      </w:pPr>
      <w:bookmarkStart w:id="33" w:name="_Toc190927732"/>
      <w:r w:rsidRPr="001024D1">
        <w:lastRenderedPageBreak/>
        <w:t xml:space="preserve">4.5 </w:t>
      </w:r>
      <w:r w:rsidR="00D761CC" w:rsidRPr="001024D1">
        <w:t>Hypotheses Testing</w:t>
      </w:r>
      <w:bookmarkEnd w:id="33"/>
    </w:p>
    <w:p w14:paraId="54A7313E" w14:textId="77777777" w:rsidR="00D761CC" w:rsidRPr="001024D1" w:rsidRDefault="00D761CC" w:rsidP="00E9044F">
      <w:pPr>
        <w:spacing w:line="240" w:lineRule="auto"/>
        <w:ind w:left="1418" w:hanging="698"/>
      </w:pPr>
      <w:r w:rsidRPr="001024D1">
        <w:rPr>
          <w:b/>
        </w:rPr>
        <w:t>H</w:t>
      </w:r>
      <w:r w:rsidR="00294F16" w:rsidRPr="001024D1">
        <w:rPr>
          <w:b/>
          <w:vertAlign w:val="subscript"/>
        </w:rPr>
        <w:t>O</w:t>
      </w:r>
      <w:r w:rsidRPr="001024D1">
        <w:rPr>
          <w:b/>
        </w:rPr>
        <w:t>:</w:t>
      </w:r>
      <w:r w:rsidRPr="001024D1">
        <w:t xml:space="preserve"> </w:t>
      </w:r>
      <w:r w:rsidRPr="001024D1">
        <w:tab/>
      </w:r>
      <w:r w:rsidRPr="001024D1">
        <w:rPr>
          <w:i/>
        </w:rPr>
        <w:t>Debtors management has no significant effect on financial sustainability of non-financial firms listed in stock exchanges within East Africa.</w:t>
      </w:r>
    </w:p>
    <w:p w14:paraId="2D18F2A3" w14:textId="77777777" w:rsidR="00294F16" w:rsidRPr="001024D1" w:rsidRDefault="00294F16" w:rsidP="00E9044F">
      <w:pPr>
        <w:spacing w:line="240" w:lineRule="auto"/>
        <w:ind w:left="1418" w:hanging="698"/>
      </w:pPr>
      <w:r w:rsidRPr="001024D1">
        <w:rPr>
          <w:b/>
        </w:rPr>
        <w:t>H</w:t>
      </w:r>
      <w:r w:rsidRPr="001024D1">
        <w:rPr>
          <w:b/>
          <w:vertAlign w:val="subscript"/>
        </w:rPr>
        <w:t>A</w:t>
      </w:r>
      <w:r w:rsidRPr="001024D1">
        <w:rPr>
          <w:b/>
        </w:rPr>
        <w:t>:</w:t>
      </w:r>
      <w:r w:rsidRPr="001024D1">
        <w:t xml:space="preserve"> </w:t>
      </w:r>
      <w:r w:rsidRPr="001024D1">
        <w:tab/>
      </w:r>
      <w:r w:rsidRPr="001024D1">
        <w:rPr>
          <w:i/>
        </w:rPr>
        <w:t>Debtors management has a significant effect on financial sustainability of non-financial firms listed in stock exchanges within East Africa.</w:t>
      </w:r>
    </w:p>
    <w:p w14:paraId="31212C42" w14:textId="77777777" w:rsidR="00D761CC" w:rsidRPr="001024D1" w:rsidRDefault="00D761CC" w:rsidP="00F5219F">
      <w:pPr>
        <w:autoSpaceDE w:val="0"/>
        <w:autoSpaceDN w:val="0"/>
        <w:adjustRightInd w:val="0"/>
        <w:spacing w:after="0" w:line="360" w:lineRule="auto"/>
        <w:rPr>
          <w:rFonts w:cs="Times New Roman"/>
          <w:szCs w:val="24"/>
        </w:rPr>
      </w:pPr>
      <w:r w:rsidRPr="001024D1">
        <w:rPr>
          <w:rFonts w:cs="Times New Roman"/>
          <w:szCs w:val="24"/>
        </w:rPr>
        <w:t>The hypothesis was tested using the model illustrated below:</w:t>
      </w:r>
    </w:p>
    <w:p w14:paraId="60ABC008" w14:textId="77777777" w:rsidR="00D761CC" w:rsidRPr="001024D1" w:rsidRDefault="00D761CC" w:rsidP="00F5219F">
      <w:pPr>
        <w:autoSpaceDE w:val="0"/>
        <w:autoSpaceDN w:val="0"/>
        <w:adjustRightInd w:val="0"/>
        <w:spacing w:line="360" w:lineRule="auto"/>
        <w:jc w:val="center"/>
        <w:rPr>
          <w:i/>
          <w:szCs w:val="24"/>
        </w:rPr>
      </w:pPr>
      <w:r w:rsidRPr="001024D1">
        <w:rPr>
          <w:szCs w:val="24"/>
        </w:rPr>
        <w:t xml:space="preserve">Y = α + βX + </w:t>
      </w:r>
      <w:r w:rsidRPr="001024D1">
        <w:rPr>
          <w:i/>
          <w:szCs w:val="24"/>
        </w:rPr>
        <w:t>e</w:t>
      </w:r>
    </w:p>
    <w:p w14:paraId="37F2EDDD" w14:textId="1FFF3165" w:rsidR="00D761CC" w:rsidRPr="001024D1" w:rsidRDefault="00D761CC" w:rsidP="00F5219F">
      <w:pPr>
        <w:spacing w:line="360" w:lineRule="auto"/>
      </w:pPr>
      <w:r w:rsidRPr="001024D1">
        <w:t>T</w:t>
      </w:r>
      <w:r w:rsidR="00294F16" w:rsidRPr="001024D1">
        <w:t xml:space="preserve">he results as shown in Table </w:t>
      </w:r>
      <w:r w:rsidR="00AF3646">
        <w:t>3</w:t>
      </w:r>
      <w:r w:rsidRPr="001024D1">
        <w:t xml:space="preserve"> revealed that the F-statistic for the model was 9.2139 at a significant level of 0.0000&lt;0.05. This is an indication that the model was statistically significant to predict the relationship between </w:t>
      </w:r>
      <w:proofErr w:type="gramStart"/>
      <w:r w:rsidRPr="001024D1">
        <w:t>debtors</w:t>
      </w:r>
      <w:proofErr w:type="gramEnd"/>
      <w:r w:rsidRPr="001024D1">
        <w:t xml:space="preserve"> management and financial sustainability of the listed non-financial firms in East Africa. Further, the R-square (R</w:t>
      </w:r>
      <w:r w:rsidRPr="001024D1">
        <w:rPr>
          <w:vertAlign w:val="superscript"/>
        </w:rPr>
        <w:t>2</w:t>
      </w:r>
      <w:r w:rsidRPr="001024D1">
        <w:t xml:space="preserve">) for the model was 0.5208, implying that </w:t>
      </w:r>
      <w:proofErr w:type="gramStart"/>
      <w:r w:rsidRPr="001024D1">
        <w:t>debtors</w:t>
      </w:r>
      <w:proofErr w:type="gramEnd"/>
      <w:r w:rsidRPr="001024D1">
        <w:t xml:space="preserve"> management explained up to 52.1% of variation in financial sustainability of the non-financial firms listed in East Africa. The Beta coefficient (β</w:t>
      </w:r>
      <w:r w:rsidRPr="001024D1">
        <w:rPr>
          <w:vertAlign w:val="subscript"/>
        </w:rPr>
        <w:t>1</w:t>
      </w:r>
      <w:r w:rsidRPr="001024D1">
        <w:t xml:space="preserve">) for the variable (debtors management) was 0.214, an indication that a unit change of </w:t>
      </w:r>
      <w:proofErr w:type="gramStart"/>
      <w:r w:rsidRPr="001024D1">
        <w:t>debtors</w:t>
      </w:r>
      <w:proofErr w:type="gramEnd"/>
      <w:r w:rsidRPr="001024D1">
        <w:t xml:space="preserve"> management would influence financial sustainability of the non-financial firms listed in East Africa by 0.214 units (21.4%). The P-value for cash management was 0.0000&lt;0.05, an indication that </w:t>
      </w:r>
      <w:proofErr w:type="gramStart"/>
      <w:r w:rsidRPr="001024D1">
        <w:t>debtors</w:t>
      </w:r>
      <w:proofErr w:type="gramEnd"/>
      <w:r w:rsidRPr="001024D1">
        <w:t xml:space="preserve"> management significantly influenced financial sustainability of the non-financial firms listed in East Africa. Based on this finding, the study rejected the null hypothesis two (H</w:t>
      </w:r>
      <w:r w:rsidRPr="001024D1">
        <w:rPr>
          <w:vertAlign w:val="subscript"/>
        </w:rPr>
        <w:t>02</w:t>
      </w:r>
      <w:r w:rsidRPr="001024D1">
        <w:t xml:space="preserve">) and concluded that </w:t>
      </w:r>
      <w:proofErr w:type="gramStart"/>
      <w:r w:rsidRPr="001024D1">
        <w:t>debtors</w:t>
      </w:r>
      <w:proofErr w:type="gramEnd"/>
      <w:r w:rsidRPr="001024D1">
        <w:t xml:space="preserve"> management has a significant effect on financial sustainability of non-financial firms listed in East Africa. The findings compare with those of </w:t>
      </w:r>
      <w:r w:rsidRPr="001024D1">
        <w:rPr>
          <w:rFonts w:cs="Times New Roman"/>
          <w:szCs w:val="24"/>
          <w:shd w:val="clear" w:color="auto" w:fill="FFFFFF"/>
        </w:rPr>
        <w:t>Zheng, Zhou, and Iqbal (2022)</w:t>
      </w:r>
      <w:r w:rsidRPr="001024D1">
        <w:t xml:space="preserve"> who established that effective management of debtors was a stronger and significant determinant of the ability of a firm to sustain itself financially by being in a position to meet its financial obligations for a long foreseeable future. Further, </w:t>
      </w:r>
      <w:r w:rsidRPr="001024D1">
        <w:rPr>
          <w:rFonts w:cs="Times New Roman"/>
          <w:szCs w:val="24"/>
          <w:shd w:val="clear" w:color="auto" w:fill="FFFFFF"/>
        </w:rPr>
        <w:t xml:space="preserve">Habib and </w:t>
      </w:r>
      <w:proofErr w:type="spellStart"/>
      <w:r w:rsidRPr="001024D1">
        <w:rPr>
          <w:rFonts w:cs="Times New Roman"/>
          <w:szCs w:val="24"/>
          <w:shd w:val="clear" w:color="auto" w:fill="FFFFFF"/>
        </w:rPr>
        <w:t>Dalwai</w:t>
      </w:r>
      <w:proofErr w:type="spellEnd"/>
      <w:r w:rsidRPr="001024D1">
        <w:rPr>
          <w:rFonts w:cs="Times New Roman"/>
          <w:szCs w:val="24"/>
          <w:shd w:val="clear" w:color="auto" w:fill="FFFFFF"/>
        </w:rPr>
        <w:t xml:space="preserve"> (2024)</w:t>
      </w:r>
      <w:r w:rsidRPr="001024D1">
        <w:t xml:space="preserve"> established that through shorter periods of collect accounts receivables plays a significant role in steering financial performance as it enables the company to have adequate liquidity levels to run its processes. </w:t>
      </w:r>
    </w:p>
    <w:p w14:paraId="7D9C13E5" w14:textId="2B1CBEB1" w:rsidR="00D761CC" w:rsidRPr="001024D1" w:rsidRDefault="00294F16" w:rsidP="00F5219F">
      <w:pPr>
        <w:pStyle w:val="Caption"/>
        <w:spacing w:line="360" w:lineRule="auto"/>
        <w:rPr>
          <w:b w:val="0"/>
          <w:i/>
        </w:rPr>
      </w:pPr>
      <w:bookmarkStart w:id="34" w:name="_Toc190927776"/>
      <w:r w:rsidRPr="001024D1">
        <w:rPr>
          <w:b w:val="0"/>
          <w:i/>
        </w:rPr>
        <w:t xml:space="preserve">Table </w:t>
      </w:r>
      <w:r w:rsidR="00AF3646">
        <w:rPr>
          <w:b w:val="0"/>
          <w:i/>
        </w:rPr>
        <w:t>3</w:t>
      </w:r>
      <w:r w:rsidR="00D761CC" w:rsidRPr="001024D1">
        <w:rPr>
          <w:b w:val="0"/>
          <w:i/>
        </w:rPr>
        <w:t>: Effect of Debtors Management on Financial Sustainability</w:t>
      </w:r>
      <w:bookmarkEnd w:id="34"/>
    </w:p>
    <w:tbl>
      <w:tblPr>
        <w:tblW w:w="5000" w:type="pct"/>
        <w:tblBorders>
          <w:top w:val="single" w:sz="4" w:space="0" w:color="auto"/>
          <w:bottom w:val="single" w:sz="4" w:space="0" w:color="auto"/>
        </w:tblBorders>
        <w:tblLook w:val="04A0" w:firstRow="1" w:lastRow="0" w:firstColumn="1" w:lastColumn="0" w:noHBand="0" w:noVBand="1"/>
      </w:tblPr>
      <w:tblGrid>
        <w:gridCol w:w="3020"/>
        <w:gridCol w:w="1625"/>
        <w:gridCol w:w="1561"/>
        <w:gridCol w:w="1464"/>
        <w:gridCol w:w="1356"/>
      </w:tblGrid>
      <w:tr w:rsidR="00D761CC" w:rsidRPr="001024D1" w14:paraId="4F050899" w14:textId="77777777" w:rsidTr="003E5AC9">
        <w:tc>
          <w:tcPr>
            <w:tcW w:w="3438" w:type="pct"/>
            <w:gridSpan w:val="3"/>
            <w:tcBorders>
              <w:top w:val="single" w:sz="4" w:space="0" w:color="auto"/>
              <w:bottom w:val="single" w:sz="4" w:space="0" w:color="auto"/>
            </w:tcBorders>
          </w:tcPr>
          <w:p w14:paraId="67B42582"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Dependent Variable: Financial Sustainability</w:t>
            </w:r>
          </w:p>
        </w:tc>
        <w:tc>
          <w:tcPr>
            <w:tcW w:w="1562" w:type="pct"/>
            <w:gridSpan w:val="2"/>
            <w:tcBorders>
              <w:top w:val="single" w:sz="4" w:space="0" w:color="auto"/>
              <w:bottom w:val="single" w:sz="4" w:space="0" w:color="auto"/>
            </w:tcBorders>
          </w:tcPr>
          <w:p w14:paraId="050FED08"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Sample: 2014 2023</w:t>
            </w:r>
          </w:p>
        </w:tc>
      </w:tr>
      <w:tr w:rsidR="00D761CC" w:rsidRPr="001024D1" w14:paraId="743B5174" w14:textId="77777777" w:rsidTr="003E5AC9">
        <w:tc>
          <w:tcPr>
            <w:tcW w:w="3438" w:type="pct"/>
            <w:gridSpan w:val="3"/>
            <w:tcBorders>
              <w:top w:val="single" w:sz="4" w:space="0" w:color="auto"/>
            </w:tcBorders>
          </w:tcPr>
          <w:p w14:paraId="0F27B45F" w14:textId="6CD6DBAE"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 xml:space="preserve">Cross-sections included: </w:t>
            </w:r>
            <w:r w:rsidR="000462AE">
              <w:rPr>
                <w:rFonts w:cs="Times New Roman"/>
                <w:szCs w:val="24"/>
              </w:rPr>
              <w:t>47</w:t>
            </w:r>
          </w:p>
        </w:tc>
        <w:tc>
          <w:tcPr>
            <w:tcW w:w="1562" w:type="pct"/>
            <w:gridSpan w:val="2"/>
            <w:tcBorders>
              <w:top w:val="single" w:sz="4" w:space="0" w:color="auto"/>
            </w:tcBorders>
          </w:tcPr>
          <w:p w14:paraId="013F4B60"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Periods included: 10</w:t>
            </w:r>
          </w:p>
        </w:tc>
      </w:tr>
      <w:tr w:rsidR="00D761CC" w:rsidRPr="001024D1" w14:paraId="70468BC2" w14:textId="77777777" w:rsidTr="003E5AC9">
        <w:tc>
          <w:tcPr>
            <w:tcW w:w="5000" w:type="pct"/>
            <w:gridSpan w:val="5"/>
          </w:tcPr>
          <w:p w14:paraId="22B0B618" w14:textId="41FFBEAF"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 xml:space="preserve">Total panel observations: </w:t>
            </w:r>
            <w:r w:rsidR="000462AE">
              <w:rPr>
                <w:rFonts w:cs="Times New Roman"/>
                <w:szCs w:val="24"/>
              </w:rPr>
              <w:t>47</w:t>
            </w:r>
            <w:r w:rsidRPr="001024D1">
              <w:rPr>
                <w:rFonts w:cs="Times New Roman"/>
                <w:szCs w:val="24"/>
              </w:rPr>
              <w:t>0</w:t>
            </w:r>
          </w:p>
        </w:tc>
      </w:tr>
      <w:tr w:rsidR="00D761CC" w:rsidRPr="001024D1" w14:paraId="2A0C274D" w14:textId="77777777" w:rsidTr="003E5AC9">
        <w:tc>
          <w:tcPr>
            <w:tcW w:w="5000" w:type="pct"/>
            <w:gridSpan w:val="5"/>
            <w:tcBorders>
              <w:bottom w:val="single" w:sz="4" w:space="0" w:color="auto"/>
            </w:tcBorders>
          </w:tcPr>
          <w:p w14:paraId="5D6C97E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Linear estimation after one-step weighing matrix</w:t>
            </w:r>
          </w:p>
        </w:tc>
      </w:tr>
      <w:tr w:rsidR="00D761CC" w:rsidRPr="001024D1" w14:paraId="060B639C" w14:textId="77777777" w:rsidTr="003E5AC9">
        <w:tc>
          <w:tcPr>
            <w:tcW w:w="1673" w:type="pct"/>
            <w:tcBorders>
              <w:top w:val="single" w:sz="4" w:space="0" w:color="auto"/>
              <w:bottom w:val="single" w:sz="4" w:space="0" w:color="auto"/>
            </w:tcBorders>
          </w:tcPr>
          <w:p w14:paraId="2F4C7929"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Variable</w:t>
            </w:r>
          </w:p>
        </w:tc>
        <w:tc>
          <w:tcPr>
            <w:tcW w:w="900" w:type="pct"/>
            <w:tcBorders>
              <w:top w:val="single" w:sz="4" w:space="0" w:color="auto"/>
              <w:bottom w:val="single" w:sz="4" w:space="0" w:color="auto"/>
            </w:tcBorders>
          </w:tcPr>
          <w:p w14:paraId="23D0D89D"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Coefficient</w:t>
            </w:r>
          </w:p>
        </w:tc>
        <w:tc>
          <w:tcPr>
            <w:tcW w:w="864" w:type="pct"/>
            <w:tcBorders>
              <w:top w:val="single" w:sz="4" w:space="0" w:color="auto"/>
              <w:bottom w:val="single" w:sz="4" w:space="0" w:color="auto"/>
            </w:tcBorders>
          </w:tcPr>
          <w:p w14:paraId="1E12B3C9"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Std. Error</w:t>
            </w:r>
          </w:p>
        </w:tc>
        <w:tc>
          <w:tcPr>
            <w:tcW w:w="811" w:type="pct"/>
            <w:tcBorders>
              <w:top w:val="single" w:sz="4" w:space="0" w:color="auto"/>
              <w:bottom w:val="single" w:sz="4" w:space="0" w:color="auto"/>
            </w:tcBorders>
          </w:tcPr>
          <w:p w14:paraId="4E87FB10"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t-Statistic</w:t>
            </w:r>
          </w:p>
        </w:tc>
        <w:tc>
          <w:tcPr>
            <w:tcW w:w="752" w:type="pct"/>
            <w:tcBorders>
              <w:top w:val="single" w:sz="4" w:space="0" w:color="auto"/>
              <w:bottom w:val="single" w:sz="4" w:space="0" w:color="auto"/>
            </w:tcBorders>
          </w:tcPr>
          <w:p w14:paraId="51B774DF"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b/>
                <w:szCs w:val="24"/>
              </w:rPr>
              <w:t>Prob.</w:t>
            </w:r>
          </w:p>
        </w:tc>
      </w:tr>
      <w:tr w:rsidR="00D761CC" w:rsidRPr="001024D1" w14:paraId="15032AEE" w14:textId="77777777" w:rsidTr="003E5AC9">
        <w:tc>
          <w:tcPr>
            <w:tcW w:w="1673" w:type="pct"/>
            <w:tcBorders>
              <w:top w:val="single" w:sz="4" w:space="0" w:color="auto"/>
            </w:tcBorders>
          </w:tcPr>
          <w:p w14:paraId="7DF90DEB"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Constant</w:t>
            </w:r>
          </w:p>
        </w:tc>
        <w:tc>
          <w:tcPr>
            <w:tcW w:w="900" w:type="pct"/>
            <w:tcBorders>
              <w:top w:val="single" w:sz="4" w:space="0" w:color="auto"/>
            </w:tcBorders>
          </w:tcPr>
          <w:p w14:paraId="5697DDB1"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0.042683</w:t>
            </w:r>
          </w:p>
        </w:tc>
        <w:tc>
          <w:tcPr>
            <w:tcW w:w="864" w:type="pct"/>
            <w:tcBorders>
              <w:top w:val="single" w:sz="4" w:space="0" w:color="auto"/>
            </w:tcBorders>
          </w:tcPr>
          <w:p w14:paraId="1B20A9B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0.019021</w:t>
            </w:r>
          </w:p>
        </w:tc>
        <w:tc>
          <w:tcPr>
            <w:tcW w:w="811" w:type="pct"/>
            <w:tcBorders>
              <w:top w:val="single" w:sz="4" w:space="0" w:color="auto"/>
            </w:tcBorders>
          </w:tcPr>
          <w:p w14:paraId="4F1C9AB7"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2.239421</w:t>
            </w:r>
          </w:p>
        </w:tc>
        <w:tc>
          <w:tcPr>
            <w:tcW w:w="752" w:type="pct"/>
            <w:tcBorders>
              <w:top w:val="single" w:sz="4" w:space="0" w:color="auto"/>
            </w:tcBorders>
          </w:tcPr>
          <w:p w14:paraId="17683D44"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0.0020</w:t>
            </w:r>
          </w:p>
        </w:tc>
      </w:tr>
      <w:tr w:rsidR="00D761CC" w:rsidRPr="001024D1" w14:paraId="13E8AF0F" w14:textId="77777777" w:rsidTr="003E5AC9">
        <w:tc>
          <w:tcPr>
            <w:tcW w:w="1673" w:type="pct"/>
            <w:tcBorders>
              <w:bottom w:val="single" w:sz="4" w:space="0" w:color="auto"/>
            </w:tcBorders>
          </w:tcPr>
          <w:p w14:paraId="35929C0B"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De</w:t>
            </w:r>
            <w:r w:rsidR="00294F16" w:rsidRPr="001024D1">
              <w:rPr>
                <w:rFonts w:cs="Times New Roman"/>
                <w:szCs w:val="24"/>
              </w:rPr>
              <w:t>btors Management</w:t>
            </w:r>
          </w:p>
        </w:tc>
        <w:tc>
          <w:tcPr>
            <w:tcW w:w="900" w:type="pct"/>
            <w:tcBorders>
              <w:bottom w:val="single" w:sz="4" w:space="0" w:color="auto"/>
            </w:tcBorders>
          </w:tcPr>
          <w:p w14:paraId="5479129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0.214071</w:t>
            </w:r>
          </w:p>
        </w:tc>
        <w:tc>
          <w:tcPr>
            <w:tcW w:w="864" w:type="pct"/>
            <w:tcBorders>
              <w:bottom w:val="single" w:sz="4" w:space="0" w:color="auto"/>
            </w:tcBorders>
          </w:tcPr>
          <w:p w14:paraId="43CACDF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0.016605</w:t>
            </w:r>
          </w:p>
        </w:tc>
        <w:tc>
          <w:tcPr>
            <w:tcW w:w="811" w:type="pct"/>
            <w:tcBorders>
              <w:bottom w:val="single" w:sz="4" w:space="0" w:color="auto"/>
            </w:tcBorders>
          </w:tcPr>
          <w:p w14:paraId="564D90B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12.89103</w:t>
            </w:r>
          </w:p>
        </w:tc>
        <w:tc>
          <w:tcPr>
            <w:tcW w:w="752" w:type="pct"/>
            <w:tcBorders>
              <w:bottom w:val="single" w:sz="4" w:space="0" w:color="auto"/>
            </w:tcBorders>
          </w:tcPr>
          <w:p w14:paraId="78B6B272"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0.0000</w:t>
            </w:r>
          </w:p>
        </w:tc>
      </w:tr>
      <w:tr w:rsidR="00D761CC" w:rsidRPr="001024D1" w14:paraId="2728FBD6" w14:textId="77777777" w:rsidTr="003E5AC9">
        <w:tc>
          <w:tcPr>
            <w:tcW w:w="5000" w:type="pct"/>
            <w:gridSpan w:val="5"/>
            <w:tcBorders>
              <w:top w:val="single" w:sz="4" w:space="0" w:color="auto"/>
              <w:bottom w:val="single" w:sz="4" w:space="0" w:color="auto"/>
            </w:tcBorders>
          </w:tcPr>
          <w:p w14:paraId="60909ECD"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Effects Specification</w:t>
            </w:r>
          </w:p>
        </w:tc>
      </w:tr>
      <w:tr w:rsidR="00D761CC" w:rsidRPr="001024D1" w14:paraId="66F0048C" w14:textId="77777777" w:rsidTr="003E5AC9">
        <w:tc>
          <w:tcPr>
            <w:tcW w:w="5000" w:type="pct"/>
            <w:gridSpan w:val="5"/>
            <w:tcBorders>
              <w:top w:val="single" w:sz="4" w:space="0" w:color="auto"/>
              <w:bottom w:val="single" w:sz="4" w:space="0" w:color="auto"/>
            </w:tcBorders>
          </w:tcPr>
          <w:p w14:paraId="6A5200A7" w14:textId="77777777" w:rsidR="00D761CC" w:rsidRPr="001024D1" w:rsidRDefault="00D761CC" w:rsidP="00E9044F">
            <w:pPr>
              <w:autoSpaceDE w:val="0"/>
              <w:autoSpaceDN w:val="0"/>
              <w:adjustRightInd w:val="0"/>
              <w:spacing w:after="0" w:line="240" w:lineRule="auto"/>
              <w:rPr>
                <w:rFonts w:cs="Times New Roman"/>
                <w:b/>
                <w:szCs w:val="24"/>
              </w:rPr>
            </w:pPr>
            <w:r w:rsidRPr="001024D1">
              <w:rPr>
                <w:rFonts w:cs="Times New Roman"/>
                <w:szCs w:val="24"/>
              </w:rPr>
              <w:lastRenderedPageBreak/>
              <w:t>Cross-section fixed (dummy variables)</w:t>
            </w:r>
          </w:p>
        </w:tc>
      </w:tr>
      <w:tr w:rsidR="00D761CC" w:rsidRPr="001024D1" w14:paraId="7E36C25A" w14:textId="77777777" w:rsidTr="003E5AC9">
        <w:tc>
          <w:tcPr>
            <w:tcW w:w="5000" w:type="pct"/>
            <w:gridSpan w:val="5"/>
            <w:tcBorders>
              <w:top w:val="single" w:sz="4" w:space="0" w:color="auto"/>
              <w:bottom w:val="single" w:sz="4" w:space="0" w:color="auto"/>
            </w:tcBorders>
          </w:tcPr>
          <w:p w14:paraId="20EB4EB2"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Weighted Statistics</w:t>
            </w:r>
          </w:p>
        </w:tc>
      </w:tr>
      <w:tr w:rsidR="00D761CC" w:rsidRPr="001024D1" w14:paraId="70A5EE5C" w14:textId="77777777" w:rsidTr="003E5AC9">
        <w:tc>
          <w:tcPr>
            <w:tcW w:w="1673" w:type="pct"/>
            <w:tcBorders>
              <w:top w:val="single" w:sz="4" w:space="0" w:color="auto"/>
            </w:tcBorders>
          </w:tcPr>
          <w:p w14:paraId="15CADFA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R-Squared</w:t>
            </w:r>
          </w:p>
        </w:tc>
        <w:tc>
          <w:tcPr>
            <w:tcW w:w="900" w:type="pct"/>
            <w:tcBorders>
              <w:top w:val="single" w:sz="4" w:space="0" w:color="auto"/>
            </w:tcBorders>
          </w:tcPr>
          <w:p w14:paraId="22F38F6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0.520847</w:t>
            </w:r>
          </w:p>
        </w:tc>
        <w:tc>
          <w:tcPr>
            <w:tcW w:w="1675" w:type="pct"/>
            <w:gridSpan w:val="2"/>
            <w:tcBorders>
              <w:top w:val="single" w:sz="4" w:space="0" w:color="auto"/>
            </w:tcBorders>
          </w:tcPr>
          <w:p w14:paraId="74D0DB39" w14:textId="77777777" w:rsidR="00D761CC" w:rsidRPr="001024D1" w:rsidRDefault="00D761CC" w:rsidP="00E9044F">
            <w:pPr>
              <w:autoSpaceDE w:val="0"/>
              <w:autoSpaceDN w:val="0"/>
              <w:adjustRightInd w:val="0"/>
              <w:spacing w:after="0" w:line="240" w:lineRule="auto"/>
              <w:rPr>
                <w:rFonts w:cs="Times New Roman"/>
                <w:szCs w:val="24"/>
              </w:rPr>
            </w:pPr>
            <w:r w:rsidRPr="001024D1">
              <w:t>Mean dependent var</w:t>
            </w:r>
          </w:p>
        </w:tc>
        <w:tc>
          <w:tcPr>
            <w:tcW w:w="752" w:type="pct"/>
            <w:tcBorders>
              <w:top w:val="single" w:sz="4" w:space="0" w:color="auto"/>
            </w:tcBorders>
          </w:tcPr>
          <w:p w14:paraId="0B770921"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0.517220</w:t>
            </w:r>
          </w:p>
        </w:tc>
      </w:tr>
      <w:tr w:rsidR="00D761CC" w:rsidRPr="001024D1" w14:paraId="4E6B6074" w14:textId="77777777" w:rsidTr="003E5AC9">
        <w:tc>
          <w:tcPr>
            <w:tcW w:w="1673" w:type="pct"/>
          </w:tcPr>
          <w:p w14:paraId="28B6222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Adjusted R-Squared</w:t>
            </w:r>
          </w:p>
        </w:tc>
        <w:tc>
          <w:tcPr>
            <w:tcW w:w="900" w:type="pct"/>
          </w:tcPr>
          <w:p w14:paraId="6E4A01C5"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0.461905</w:t>
            </w:r>
          </w:p>
        </w:tc>
        <w:tc>
          <w:tcPr>
            <w:tcW w:w="1675" w:type="pct"/>
            <w:gridSpan w:val="2"/>
          </w:tcPr>
          <w:p w14:paraId="2832D236" w14:textId="77777777" w:rsidR="00D761CC" w:rsidRPr="001024D1" w:rsidRDefault="00D761CC" w:rsidP="00E9044F">
            <w:pPr>
              <w:autoSpaceDE w:val="0"/>
              <w:autoSpaceDN w:val="0"/>
              <w:adjustRightInd w:val="0"/>
              <w:spacing w:after="0" w:line="240" w:lineRule="auto"/>
              <w:rPr>
                <w:rFonts w:cs="Times New Roman"/>
                <w:szCs w:val="24"/>
              </w:rPr>
            </w:pPr>
            <w:r w:rsidRPr="001024D1">
              <w:t>S.D. dependent var</w:t>
            </w:r>
          </w:p>
        </w:tc>
        <w:tc>
          <w:tcPr>
            <w:tcW w:w="752" w:type="pct"/>
          </w:tcPr>
          <w:p w14:paraId="40B72DF8"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0.346813</w:t>
            </w:r>
          </w:p>
        </w:tc>
      </w:tr>
      <w:tr w:rsidR="00D761CC" w:rsidRPr="001024D1" w14:paraId="733BAABD" w14:textId="77777777" w:rsidTr="003E5AC9">
        <w:tc>
          <w:tcPr>
            <w:tcW w:w="1673" w:type="pct"/>
          </w:tcPr>
          <w:p w14:paraId="0860286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S.E. of regression</w:t>
            </w:r>
          </w:p>
        </w:tc>
        <w:tc>
          <w:tcPr>
            <w:tcW w:w="900" w:type="pct"/>
          </w:tcPr>
          <w:p w14:paraId="6BFB6863"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0.274418</w:t>
            </w:r>
          </w:p>
        </w:tc>
        <w:tc>
          <w:tcPr>
            <w:tcW w:w="1675" w:type="pct"/>
            <w:gridSpan w:val="2"/>
          </w:tcPr>
          <w:p w14:paraId="26E07DCD" w14:textId="77777777" w:rsidR="00D761CC" w:rsidRPr="001024D1" w:rsidRDefault="00D761CC" w:rsidP="00E9044F">
            <w:pPr>
              <w:autoSpaceDE w:val="0"/>
              <w:autoSpaceDN w:val="0"/>
              <w:adjustRightInd w:val="0"/>
              <w:spacing w:after="0" w:line="240" w:lineRule="auto"/>
              <w:rPr>
                <w:rFonts w:cs="Times New Roman"/>
                <w:szCs w:val="24"/>
              </w:rPr>
            </w:pPr>
            <w:r w:rsidRPr="001024D1">
              <w:t>Sum squared resid</w:t>
            </w:r>
          </w:p>
        </w:tc>
        <w:tc>
          <w:tcPr>
            <w:tcW w:w="752" w:type="pct"/>
          </w:tcPr>
          <w:p w14:paraId="0D46E13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19.61124</w:t>
            </w:r>
          </w:p>
        </w:tc>
      </w:tr>
      <w:tr w:rsidR="00D761CC" w:rsidRPr="001024D1" w14:paraId="2799AD83" w14:textId="77777777" w:rsidTr="003E5AC9">
        <w:tc>
          <w:tcPr>
            <w:tcW w:w="1673" w:type="pct"/>
          </w:tcPr>
          <w:p w14:paraId="5311FCB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F-Statistic</w:t>
            </w:r>
          </w:p>
        </w:tc>
        <w:tc>
          <w:tcPr>
            <w:tcW w:w="900" w:type="pct"/>
          </w:tcPr>
          <w:p w14:paraId="74199DA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9.213904</w:t>
            </w:r>
          </w:p>
        </w:tc>
        <w:tc>
          <w:tcPr>
            <w:tcW w:w="1675" w:type="pct"/>
            <w:gridSpan w:val="2"/>
          </w:tcPr>
          <w:p w14:paraId="15C2C679" w14:textId="2B404661" w:rsidR="00D761CC" w:rsidRPr="001024D1" w:rsidRDefault="00D761CC" w:rsidP="00E9044F">
            <w:pPr>
              <w:autoSpaceDE w:val="0"/>
              <w:autoSpaceDN w:val="0"/>
              <w:adjustRightInd w:val="0"/>
              <w:spacing w:after="0" w:line="240" w:lineRule="auto"/>
              <w:rPr>
                <w:rFonts w:cs="Times New Roman"/>
                <w:szCs w:val="24"/>
              </w:rPr>
            </w:pPr>
          </w:p>
        </w:tc>
        <w:tc>
          <w:tcPr>
            <w:tcW w:w="752" w:type="pct"/>
          </w:tcPr>
          <w:p w14:paraId="6C44D484" w14:textId="42F77B41" w:rsidR="00D761CC" w:rsidRPr="001024D1" w:rsidRDefault="00D761CC" w:rsidP="00E9044F">
            <w:pPr>
              <w:autoSpaceDE w:val="0"/>
              <w:autoSpaceDN w:val="0"/>
              <w:adjustRightInd w:val="0"/>
              <w:spacing w:after="0" w:line="240" w:lineRule="auto"/>
              <w:rPr>
                <w:rFonts w:cs="Times New Roman"/>
                <w:szCs w:val="24"/>
              </w:rPr>
            </w:pPr>
          </w:p>
        </w:tc>
      </w:tr>
      <w:tr w:rsidR="00D761CC" w:rsidRPr="001024D1" w14:paraId="0046293C" w14:textId="77777777" w:rsidTr="003E5AC9">
        <w:tc>
          <w:tcPr>
            <w:tcW w:w="1673" w:type="pct"/>
            <w:tcBorders>
              <w:bottom w:val="single" w:sz="4" w:space="0" w:color="auto"/>
            </w:tcBorders>
          </w:tcPr>
          <w:p w14:paraId="4DA2413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Prob (F-statistic)</w:t>
            </w:r>
          </w:p>
        </w:tc>
        <w:tc>
          <w:tcPr>
            <w:tcW w:w="3327" w:type="pct"/>
            <w:gridSpan w:val="4"/>
            <w:tcBorders>
              <w:bottom w:val="single" w:sz="4" w:space="0" w:color="auto"/>
            </w:tcBorders>
          </w:tcPr>
          <w:p w14:paraId="64ADF2B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0.00000</w:t>
            </w:r>
          </w:p>
        </w:tc>
      </w:tr>
      <w:tr w:rsidR="00D761CC" w:rsidRPr="001024D1" w14:paraId="45BC200B" w14:textId="77777777" w:rsidTr="003E5AC9">
        <w:tc>
          <w:tcPr>
            <w:tcW w:w="5000" w:type="pct"/>
            <w:gridSpan w:val="5"/>
            <w:tcBorders>
              <w:top w:val="single" w:sz="4" w:space="0" w:color="auto"/>
              <w:bottom w:val="single" w:sz="4" w:space="0" w:color="auto"/>
            </w:tcBorders>
          </w:tcPr>
          <w:p w14:paraId="1EA89DD8" w14:textId="77777777" w:rsidR="00D761CC" w:rsidRPr="001024D1" w:rsidRDefault="00D761CC" w:rsidP="00E9044F">
            <w:pPr>
              <w:autoSpaceDE w:val="0"/>
              <w:autoSpaceDN w:val="0"/>
              <w:adjustRightInd w:val="0"/>
              <w:spacing w:after="0" w:line="240" w:lineRule="auto"/>
              <w:jc w:val="center"/>
              <w:rPr>
                <w:rFonts w:cs="Times New Roman"/>
                <w:b/>
                <w:szCs w:val="24"/>
              </w:rPr>
            </w:pPr>
            <w:r w:rsidRPr="001024D1">
              <w:rPr>
                <w:rFonts w:cs="Times New Roman"/>
                <w:b/>
                <w:szCs w:val="24"/>
              </w:rPr>
              <w:t>Unweighted Statistics</w:t>
            </w:r>
          </w:p>
        </w:tc>
      </w:tr>
      <w:tr w:rsidR="00D761CC" w:rsidRPr="001024D1" w14:paraId="0691EB88" w14:textId="77777777" w:rsidTr="003E5AC9">
        <w:tc>
          <w:tcPr>
            <w:tcW w:w="1673" w:type="pct"/>
            <w:tcBorders>
              <w:top w:val="single" w:sz="4" w:space="0" w:color="auto"/>
            </w:tcBorders>
          </w:tcPr>
          <w:p w14:paraId="5D260D2D"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R-squared</w:t>
            </w:r>
          </w:p>
        </w:tc>
        <w:tc>
          <w:tcPr>
            <w:tcW w:w="900" w:type="pct"/>
            <w:tcBorders>
              <w:top w:val="single" w:sz="4" w:space="0" w:color="auto"/>
            </w:tcBorders>
          </w:tcPr>
          <w:p w14:paraId="17D4669E"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0.431032</w:t>
            </w:r>
          </w:p>
        </w:tc>
        <w:tc>
          <w:tcPr>
            <w:tcW w:w="1675" w:type="pct"/>
            <w:gridSpan w:val="2"/>
            <w:tcBorders>
              <w:top w:val="single" w:sz="4" w:space="0" w:color="auto"/>
            </w:tcBorders>
          </w:tcPr>
          <w:p w14:paraId="4A718B1F" w14:textId="77777777" w:rsidR="00D761CC" w:rsidRPr="001024D1" w:rsidRDefault="00D761CC" w:rsidP="00E9044F">
            <w:pPr>
              <w:autoSpaceDE w:val="0"/>
              <w:autoSpaceDN w:val="0"/>
              <w:adjustRightInd w:val="0"/>
              <w:spacing w:after="0" w:line="240" w:lineRule="auto"/>
              <w:rPr>
                <w:rFonts w:cs="Times New Roman"/>
                <w:szCs w:val="24"/>
              </w:rPr>
            </w:pPr>
            <w:r w:rsidRPr="001024D1">
              <w:t>Mean dependent var</w:t>
            </w:r>
          </w:p>
        </w:tc>
        <w:tc>
          <w:tcPr>
            <w:tcW w:w="752" w:type="pct"/>
            <w:tcBorders>
              <w:top w:val="single" w:sz="4" w:space="0" w:color="auto"/>
            </w:tcBorders>
          </w:tcPr>
          <w:p w14:paraId="00F3084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0.263012</w:t>
            </w:r>
          </w:p>
        </w:tc>
      </w:tr>
      <w:tr w:rsidR="00D761CC" w:rsidRPr="001024D1" w14:paraId="0DEB2C17" w14:textId="77777777" w:rsidTr="003E5AC9">
        <w:tc>
          <w:tcPr>
            <w:tcW w:w="1673" w:type="pct"/>
          </w:tcPr>
          <w:p w14:paraId="2705826C"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Sum of squared resid</w:t>
            </w:r>
          </w:p>
        </w:tc>
        <w:tc>
          <w:tcPr>
            <w:tcW w:w="900" w:type="pct"/>
          </w:tcPr>
          <w:p w14:paraId="1969292F" w14:textId="77777777" w:rsidR="00D761CC" w:rsidRPr="001024D1" w:rsidRDefault="00D761CC" w:rsidP="00E9044F">
            <w:pPr>
              <w:autoSpaceDE w:val="0"/>
              <w:autoSpaceDN w:val="0"/>
              <w:adjustRightInd w:val="0"/>
              <w:spacing w:after="0" w:line="240" w:lineRule="auto"/>
              <w:rPr>
                <w:rFonts w:cs="Times New Roman"/>
                <w:szCs w:val="24"/>
              </w:rPr>
            </w:pPr>
            <w:r w:rsidRPr="001024D1">
              <w:rPr>
                <w:rFonts w:cs="Times New Roman"/>
                <w:szCs w:val="24"/>
              </w:rPr>
              <w:t>19.743151</w:t>
            </w:r>
          </w:p>
        </w:tc>
        <w:tc>
          <w:tcPr>
            <w:tcW w:w="1675" w:type="pct"/>
            <w:gridSpan w:val="2"/>
          </w:tcPr>
          <w:p w14:paraId="725DB03F" w14:textId="25951810" w:rsidR="00D761CC" w:rsidRPr="001024D1" w:rsidRDefault="00D761CC" w:rsidP="00E9044F">
            <w:pPr>
              <w:autoSpaceDE w:val="0"/>
              <w:autoSpaceDN w:val="0"/>
              <w:adjustRightInd w:val="0"/>
              <w:spacing w:after="0" w:line="240" w:lineRule="auto"/>
              <w:rPr>
                <w:rFonts w:cs="Times New Roman"/>
                <w:szCs w:val="24"/>
              </w:rPr>
            </w:pPr>
          </w:p>
        </w:tc>
        <w:tc>
          <w:tcPr>
            <w:tcW w:w="752" w:type="pct"/>
          </w:tcPr>
          <w:p w14:paraId="0F3F63FA" w14:textId="5BD8C1F1" w:rsidR="00D761CC" w:rsidRPr="001024D1" w:rsidRDefault="00D761CC" w:rsidP="00E9044F">
            <w:pPr>
              <w:autoSpaceDE w:val="0"/>
              <w:autoSpaceDN w:val="0"/>
              <w:adjustRightInd w:val="0"/>
              <w:spacing w:after="0" w:line="240" w:lineRule="auto"/>
              <w:rPr>
                <w:rFonts w:cs="Times New Roman"/>
                <w:szCs w:val="24"/>
              </w:rPr>
            </w:pPr>
          </w:p>
        </w:tc>
      </w:tr>
    </w:tbl>
    <w:p w14:paraId="12071FA9" w14:textId="77777777" w:rsidR="00D761CC" w:rsidRPr="001024D1" w:rsidRDefault="00D761CC" w:rsidP="00F5219F">
      <w:pPr>
        <w:autoSpaceDE w:val="0"/>
        <w:autoSpaceDN w:val="0"/>
        <w:adjustRightInd w:val="0"/>
        <w:spacing w:after="0" w:line="360" w:lineRule="auto"/>
        <w:rPr>
          <w:rFonts w:cs="Times New Roman"/>
          <w:szCs w:val="24"/>
        </w:rPr>
      </w:pPr>
    </w:p>
    <w:p w14:paraId="36565DCD" w14:textId="77777777" w:rsidR="00D06D43" w:rsidRPr="001024D1" w:rsidRDefault="00D06D43" w:rsidP="00F5219F">
      <w:pPr>
        <w:pStyle w:val="Heading2"/>
        <w:spacing w:line="360" w:lineRule="auto"/>
      </w:pPr>
      <w:bookmarkStart w:id="35" w:name="_Toc190927745"/>
      <w:r w:rsidRPr="001024D1">
        <w:t>4.5 Discussion of Findings</w:t>
      </w:r>
      <w:bookmarkEnd w:id="35"/>
    </w:p>
    <w:p w14:paraId="2A595F49" w14:textId="77777777" w:rsidR="00D06D43" w:rsidRPr="001024D1" w:rsidRDefault="00D06D43" w:rsidP="00F5219F">
      <w:pPr>
        <w:spacing w:line="360" w:lineRule="auto"/>
      </w:pPr>
      <w:r w:rsidRPr="001024D1">
        <w:t xml:space="preserve">The study assessed the impact of </w:t>
      </w:r>
      <w:proofErr w:type="gramStart"/>
      <w:r w:rsidRPr="001024D1">
        <w:t>debtors</w:t>
      </w:r>
      <w:proofErr w:type="gramEnd"/>
      <w:r w:rsidRPr="001024D1">
        <w:t xml:space="preserve"> management on the financial sustainability of non-financial firms listed in East Africa. Debtors management was evaluated through the average collection period (ACP), which measures the time taken by firms to collect payments from customers after making a sale. The findings indicated significant variations in ACP across firms. While some companies collected payments in just a few days, others took well over a year, suggesting inefficiencies in debt collection processes. On average, firms took more than three months to collect payments, which could indicate extended credit terms or challenges in enforcing payment policies. The wide variation in collection periods among firms suggests that while some companies effectively manage their receivables, others struggle with late payments, increasing the risk of cash flow shortages and bad debts. The trend analysis revealed fluctuations in ACP over the study period. Initially, firms had shorter collection periods, but a significant delay was noted in some years, straining cash flows and potentially affecting liquidity. In later years, improvements in debt collection efficiency were observed, but the collection periods remained relatively high compared to earlier years. Economic conditions, particularly the effects of the COVID-19 pandemic, may have contributed to longer collection times in certain periods. However, in recent years, there were signs of improvement, indicating firms' efforts to enhance debtor management practices. The hypothesis testing confirmed that </w:t>
      </w:r>
      <w:proofErr w:type="gramStart"/>
      <w:r w:rsidRPr="001024D1">
        <w:t>debtors</w:t>
      </w:r>
      <w:proofErr w:type="gramEnd"/>
      <w:r w:rsidRPr="001024D1">
        <w:t xml:space="preserve"> management had a statistically significant effect on financial sustainability. Firms with better debt collection practices were more likely to maintain stable financial performance, while those with prolonged collection periods faced liquidity risks.</w:t>
      </w:r>
    </w:p>
    <w:p w14:paraId="41A936E1" w14:textId="77777777" w:rsidR="00D06D43" w:rsidRPr="001024D1" w:rsidRDefault="00D06D43" w:rsidP="00F5219F">
      <w:pPr>
        <w:autoSpaceDE w:val="0"/>
        <w:autoSpaceDN w:val="0"/>
        <w:adjustRightInd w:val="0"/>
        <w:spacing w:after="0" w:line="360" w:lineRule="auto"/>
        <w:rPr>
          <w:rFonts w:cs="Times New Roman"/>
          <w:szCs w:val="24"/>
        </w:rPr>
      </w:pPr>
    </w:p>
    <w:p w14:paraId="13AB3AE5" w14:textId="77777777" w:rsidR="00D761CC" w:rsidRPr="001024D1" w:rsidRDefault="00A41EB5" w:rsidP="00F5219F">
      <w:pPr>
        <w:pStyle w:val="Heading1"/>
        <w:spacing w:line="360" w:lineRule="auto"/>
      </w:pPr>
      <w:bookmarkStart w:id="36" w:name="_Toc521302114"/>
      <w:bookmarkStart w:id="37" w:name="_Toc524011216"/>
      <w:bookmarkStart w:id="38" w:name="_Toc2786447"/>
      <w:bookmarkStart w:id="39" w:name="_Toc19997380"/>
      <w:bookmarkStart w:id="40" w:name="_Toc21684233"/>
      <w:bookmarkStart w:id="41" w:name="_Toc32927186"/>
      <w:bookmarkStart w:id="42" w:name="_Toc144934066"/>
      <w:bookmarkStart w:id="43" w:name="_Toc176664137"/>
      <w:bookmarkStart w:id="44" w:name="_Toc190927741"/>
      <w:r w:rsidRPr="001024D1">
        <w:lastRenderedPageBreak/>
        <w:t>5.0</w:t>
      </w:r>
      <w:r w:rsidR="00D761CC" w:rsidRPr="001024D1">
        <w:t xml:space="preserve"> CONCLUSION AND RECOMMENDATIONS</w:t>
      </w:r>
      <w:bookmarkEnd w:id="36"/>
      <w:bookmarkEnd w:id="37"/>
      <w:bookmarkEnd w:id="38"/>
      <w:bookmarkEnd w:id="39"/>
      <w:bookmarkEnd w:id="40"/>
      <w:bookmarkEnd w:id="41"/>
      <w:bookmarkEnd w:id="42"/>
      <w:bookmarkEnd w:id="43"/>
      <w:bookmarkEnd w:id="44"/>
    </w:p>
    <w:p w14:paraId="2AFF1EE9" w14:textId="77777777" w:rsidR="00D761CC" w:rsidRPr="001024D1" w:rsidRDefault="00D761CC" w:rsidP="00F5219F">
      <w:pPr>
        <w:pStyle w:val="Heading2"/>
        <w:spacing w:line="360" w:lineRule="auto"/>
      </w:pPr>
      <w:bookmarkStart w:id="45" w:name="_Toc190927749"/>
      <w:r w:rsidRPr="001024D1">
        <w:t>5.</w:t>
      </w:r>
      <w:r w:rsidR="00294F16" w:rsidRPr="001024D1">
        <w:t>1</w:t>
      </w:r>
      <w:r w:rsidRPr="001024D1">
        <w:t xml:space="preserve"> Conclusion</w:t>
      </w:r>
      <w:bookmarkEnd w:id="45"/>
    </w:p>
    <w:p w14:paraId="1851A192" w14:textId="77777777" w:rsidR="00D761CC" w:rsidRPr="001024D1" w:rsidRDefault="00D761CC" w:rsidP="00F5219F">
      <w:pPr>
        <w:spacing w:line="360" w:lineRule="auto"/>
      </w:pPr>
      <w:r w:rsidRPr="001024D1">
        <w:t>The study concluded that efficient debtor management is crucial for financial sustainability. Firms that quickly collect receivables enhance their cash flow, reduce reliance on external financing, and improve their ability to meet financial obligations. Conversely, delays in debt collection increase financial risks, particularly the likelihood of bad debts, which can undermine a firm's sustainability. The findings highlight the need for firms to implement effective debtor management strategies to ensure steady cash inflows.</w:t>
      </w:r>
    </w:p>
    <w:p w14:paraId="0EB0181D" w14:textId="77777777" w:rsidR="00D761CC" w:rsidRPr="001024D1" w:rsidRDefault="00D761CC" w:rsidP="00F5219F">
      <w:pPr>
        <w:pStyle w:val="Heading2"/>
        <w:spacing w:line="360" w:lineRule="auto"/>
      </w:pPr>
      <w:bookmarkStart w:id="46" w:name="_Toc190927750"/>
      <w:r w:rsidRPr="001024D1">
        <w:t>5.</w:t>
      </w:r>
      <w:r w:rsidR="00294F16" w:rsidRPr="001024D1">
        <w:t>2</w:t>
      </w:r>
      <w:r w:rsidRPr="001024D1">
        <w:t xml:space="preserve"> Recommendations</w:t>
      </w:r>
      <w:bookmarkEnd w:id="46"/>
    </w:p>
    <w:p w14:paraId="1499BB3F" w14:textId="77777777" w:rsidR="00D761CC" w:rsidRPr="001024D1" w:rsidRDefault="00D761CC" w:rsidP="00F5219F">
      <w:pPr>
        <w:spacing w:line="360" w:lineRule="auto"/>
      </w:pPr>
      <w:r w:rsidRPr="001024D1">
        <w:t>The listed non-financial firms through the management team ought to review their credit terms to ensure that customers adhere to timely payment schedules. Offering discounts for early payments and imposing penalties for late payments could encourage faster debt collection. Further, implementing automated receivables management systems can help firms track outstanding payments, send reminders, and enforce payment terms more effectively. It is also recommended that before extending credit, firms should assess customers' financial stability to minimize the risk of non-payment. This can be done through credit scoring models and background checks. To reduce reliance on delayed payments, firms should explore alternative revenue models such as subscription-based services or upfront payments where feasible.</w:t>
      </w:r>
    </w:p>
    <w:p w14:paraId="68B127E4" w14:textId="77777777" w:rsidR="00D761CC" w:rsidRPr="001024D1" w:rsidRDefault="00D761CC" w:rsidP="00D761CC">
      <w:pPr>
        <w:spacing w:line="276" w:lineRule="auto"/>
        <w:jc w:val="left"/>
        <w:rPr>
          <w:rFonts w:cs="Times New Roman"/>
          <w:szCs w:val="24"/>
        </w:rPr>
      </w:pPr>
    </w:p>
    <w:p w14:paraId="6F544505" w14:textId="77777777" w:rsidR="00D761CC" w:rsidRPr="001024D1" w:rsidRDefault="00D761CC" w:rsidP="00D761CC">
      <w:pPr>
        <w:pStyle w:val="Heading1"/>
        <w:spacing w:before="240" w:after="200"/>
      </w:pPr>
      <w:bookmarkStart w:id="47" w:name="_Toc190927751"/>
      <w:r w:rsidRPr="001024D1">
        <w:t>REFERENCES</w:t>
      </w:r>
      <w:bookmarkEnd w:id="47"/>
    </w:p>
    <w:p w14:paraId="0EE8BFF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bookmarkStart w:id="48" w:name="_Hlk190927311"/>
      <w:bookmarkStart w:id="49" w:name="_Toc498543155"/>
      <w:r w:rsidRPr="001024D1">
        <w:rPr>
          <w:rFonts w:eastAsia="Times New Roman" w:cs="Times New Roman"/>
          <w:bCs/>
          <w:szCs w:val="24"/>
          <w:lang w:eastAsia="en-GB"/>
        </w:rPr>
        <w:t>African Development Bank (AfDB). (2023).</w:t>
      </w:r>
      <w:r w:rsidRPr="001024D1">
        <w:rPr>
          <w:rFonts w:eastAsia="Times New Roman" w:cs="Times New Roman"/>
          <w:szCs w:val="24"/>
          <w:lang w:eastAsia="en-GB"/>
        </w:rPr>
        <w:t xml:space="preserve"> East Africa Economic Outlook 2023. </w:t>
      </w:r>
    </w:p>
    <w:p w14:paraId="12181C0D"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Altaf, N. (2024). Working capital financing, firm performance and financial flexibility: Evidence from Indian hospitality firms. </w:t>
      </w:r>
      <w:r w:rsidRPr="001024D1">
        <w:rPr>
          <w:rFonts w:cs="Times New Roman"/>
          <w:i/>
          <w:iCs/>
          <w:szCs w:val="24"/>
          <w:shd w:val="clear" w:color="auto" w:fill="FFFFFF"/>
        </w:rPr>
        <w:t>Global Business Review</w:t>
      </w:r>
      <w:r w:rsidRPr="001024D1">
        <w:rPr>
          <w:rFonts w:cs="Times New Roman"/>
          <w:szCs w:val="24"/>
          <w:shd w:val="clear" w:color="auto" w:fill="FFFFFF"/>
        </w:rPr>
        <w:t>, </w:t>
      </w:r>
      <w:r w:rsidRPr="001024D1">
        <w:rPr>
          <w:rFonts w:cs="Times New Roman"/>
          <w:i/>
          <w:iCs/>
          <w:szCs w:val="24"/>
          <w:shd w:val="clear" w:color="auto" w:fill="FFFFFF"/>
        </w:rPr>
        <w:t>25</w:t>
      </w:r>
      <w:r w:rsidRPr="001024D1">
        <w:rPr>
          <w:rFonts w:cs="Times New Roman"/>
          <w:szCs w:val="24"/>
          <w:shd w:val="clear" w:color="auto" w:fill="FFFFFF"/>
        </w:rPr>
        <w:t>(2_suppl), S199-S210.</w:t>
      </w:r>
    </w:p>
    <w:p w14:paraId="41F8EB99"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Alvarez, T., Sensini, L., &amp; Vazquez, M. (2021). Working capital management and profitability: Evidence from an emergent economy. </w:t>
      </w:r>
      <w:r w:rsidRPr="001024D1">
        <w:rPr>
          <w:rFonts w:cs="Times New Roman"/>
          <w:i/>
          <w:iCs/>
          <w:szCs w:val="24"/>
          <w:shd w:val="clear" w:color="auto" w:fill="FFFFFF"/>
        </w:rPr>
        <w:t>International Journal of Advances in Management and Economics</w:t>
      </w:r>
      <w:r w:rsidRPr="001024D1">
        <w:rPr>
          <w:rFonts w:cs="Times New Roman"/>
          <w:szCs w:val="24"/>
          <w:shd w:val="clear" w:color="auto" w:fill="FFFFFF"/>
        </w:rPr>
        <w:t>, </w:t>
      </w:r>
      <w:r w:rsidRPr="001024D1">
        <w:rPr>
          <w:rFonts w:cs="Times New Roman"/>
          <w:i/>
          <w:iCs/>
          <w:szCs w:val="24"/>
          <w:shd w:val="clear" w:color="auto" w:fill="FFFFFF"/>
        </w:rPr>
        <w:t>11</w:t>
      </w:r>
      <w:r w:rsidRPr="001024D1">
        <w:rPr>
          <w:rFonts w:cs="Times New Roman"/>
          <w:szCs w:val="24"/>
          <w:shd w:val="clear" w:color="auto" w:fill="FFFFFF"/>
        </w:rPr>
        <w:t>(1), 32-39.</w:t>
      </w:r>
    </w:p>
    <w:p w14:paraId="0573345D"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 xml:space="preserve">Ansari, M. R., Rahim, K., </w:t>
      </w:r>
      <w:proofErr w:type="spellStart"/>
      <w:r w:rsidRPr="001024D1">
        <w:rPr>
          <w:rFonts w:eastAsia="Times New Roman" w:cs="Times New Roman"/>
          <w:szCs w:val="24"/>
          <w:lang w:eastAsia="en-GB"/>
        </w:rPr>
        <w:t>Bhoje</w:t>
      </w:r>
      <w:proofErr w:type="spellEnd"/>
      <w:r w:rsidRPr="001024D1">
        <w:rPr>
          <w:rFonts w:eastAsia="Times New Roman" w:cs="Times New Roman"/>
          <w:szCs w:val="24"/>
          <w:lang w:eastAsia="en-GB"/>
        </w:rPr>
        <w:t>, R., &amp; Bhosale, S. (2022). A study on research design and its types. </w:t>
      </w:r>
      <w:r w:rsidRPr="001024D1">
        <w:rPr>
          <w:rFonts w:eastAsia="Times New Roman" w:cs="Times New Roman"/>
          <w:i/>
          <w:iCs/>
          <w:szCs w:val="24"/>
          <w:lang w:eastAsia="en-GB"/>
        </w:rPr>
        <w:t>International Research Journal of Engineering and Technology (IRJET)</w:t>
      </w:r>
      <w:r w:rsidRPr="001024D1">
        <w:rPr>
          <w:rFonts w:eastAsia="Times New Roman" w:cs="Times New Roman"/>
          <w:szCs w:val="24"/>
          <w:lang w:eastAsia="en-GB"/>
        </w:rPr>
        <w:t>, </w:t>
      </w:r>
      <w:r w:rsidRPr="001024D1">
        <w:rPr>
          <w:rFonts w:eastAsia="Times New Roman" w:cs="Times New Roman"/>
          <w:i/>
          <w:iCs/>
          <w:szCs w:val="24"/>
          <w:lang w:eastAsia="en-GB"/>
        </w:rPr>
        <w:t>9</w:t>
      </w:r>
      <w:r w:rsidRPr="001024D1">
        <w:rPr>
          <w:rFonts w:eastAsia="Times New Roman" w:cs="Times New Roman"/>
          <w:szCs w:val="24"/>
          <w:lang w:eastAsia="en-GB"/>
        </w:rPr>
        <w:t>(7), 1132-1135.</w:t>
      </w:r>
    </w:p>
    <w:p w14:paraId="2FAC76DA" w14:textId="77777777" w:rsidR="001024D1" w:rsidRPr="001024D1" w:rsidRDefault="001024D1" w:rsidP="001024D1">
      <w:pPr>
        <w:autoSpaceDE w:val="0"/>
        <w:autoSpaceDN w:val="0"/>
        <w:adjustRightInd w:val="0"/>
        <w:spacing w:before="240" w:after="240" w:line="240" w:lineRule="auto"/>
        <w:ind w:left="720" w:hanging="720"/>
        <w:rPr>
          <w:rFonts w:cs="Times New Roman"/>
          <w:i/>
          <w:iCs/>
          <w:szCs w:val="24"/>
        </w:rPr>
      </w:pPr>
      <w:r w:rsidRPr="001024D1">
        <w:rPr>
          <w:rFonts w:cs="Times New Roman"/>
          <w:szCs w:val="24"/>
        </w:rPr>
        <w:t xml:space="preserve">Bieniasz, A. &amp; </w:t>
      </w:r>
      <w:proofErr w:type="spellStart"/>
      <w:r w:rsidRPr="001024D1">
        <w:rPr>
          <w:rFonts w:cs="Times New Roman"/>
          <w:szCs w:val="24"/>
        </w:rPr>
        <w:t>Golas</w:t>
      </w:r>
      <w:proofErr w:type="spellEnd"/>
      <w:r w:rsidRPr="001024D1">
        <w:rPr>
          <w:rFonts w:cs="Times New Roman"/>
          <w:szCs w:val="24"/>
        </w:rPr>
        <w:t xml:space="preserve">, Z. (2011). The Influence of Working Capital Management on the </w:t>
      </w:r>
      <w:proofErr w:type="gramStart"/>
      <w:r w:rsidRPr="001024D1">
        <w:rPr>
          <w:rFonts w:cs="Times New Roman"/>
          <w:szCs w:val="24"/>
        </w:rPr>
        <w:t>Food  Industry</w:t>
      </w:r>
      <w:proofErr w:type="gramEnd"/>
      <w:r w:rsidRPr="001024D1">
        <w:rPr>
          <w:rFonts w:cs="Times New Roman"/>
          <w:szCs w:val="24"/>
        </w:rPr>
        <w:t xml:space="preserve"> Enterprises Profitability. </w:t>
      </w:r>
      <w:r w:rsidRPr="001024D1">
        <w:rPr>
          <w:rFonts w:cs="Times New Roman"/>
          <w:i/>
          <w:iCs/>
          <w:szCs w:val="24"/>
        </w:rPr>
        <w:t>Contemporary Economics, 5(4), 68-81.</w:t>
      </w:r>
    </w:p>
    <w:p w14:paraId="06586357" w14:textId="77777777" w:rsidR="001024D1" w:rsidRPr="001024D1" w:rsidRDefault="001024D1" w:rsidP="001024D1">
      <w:pPr>
        <w:spacing w:before="240" w:after="240" w:line="240" w:lineRule="auto"/>
        <w:ind w:left="720" w:hanging="720"/>
        <w:rPr>
          <w:rStyle w:val="HTMLCite"/>
          <w:rFonts w:cs="Times New Roman"/>
          <w:i w:val="0"/>
          <w:szCs w:val="24"/>
        </w:rPr>
      </w:pPr>
      <w:r w:rsidRPr="001024D1">
        <w:rPr>
          <w:rFonts w:cs="Times New Roman"/>
          <w:szCs w:val="24"/>
        </w:rPr>
        <w:lastRenderedPageBreak/>
        <w:t xml:space="preserve">Capital Markets Authority (CMA). (2016). </w:t>
      </w:r>
      <w:r w:rsidRPr="001024D1">
        <w:rPr>
          <w:rFonts w:cs="Times New Roman"/>
          <w:i/>
          <w:szCs w:val="24"/>
        </w:rPr>
        <w:t>Annual Report and Financial Reports</w:t>
      </w:r>
      <w:r w:rsidRPr="001024D1">
        <w:rPr>
          <w:rFonts w:cs="Times New Roman"/>
          <w:szCs w:val="24"/>
        </w:rPr>
        <w:t>; Retrieved on 17</w:t>
      </w:r>
      <w:r w:rsidRPr="001024D1">
        <w:rPr>
          <w:rFonts w:cs="Times New Roman"/>
          <w:szCs w:val="24"/>
          <w:vertAlign w:val="superscript"/>
        </w:rPr>
        <w:t>th</w:t>
      </w:r>
      <w:r w:rsidRPr="001024D1">
        <w:rPr>
          <w:rFonts w:cs="Times New Roman"/>
          <w:szCs w:val="24"/>
        </w:rPr>
        <w:t xml:space="preserve"> January, 2018 from; </w:t>
      </w:r>
      <w:hyperlink r:id="rId9" w:history="1">
        <w:r w:rsidRPr="001024D1">
          <w:rPr>
            <w:rStyle w:val="Hyperlink"/>
            <w:rFonts w:cs="Times New Roman"/>
            <w:szCs w:val="24"/>
          </w:rPr>
          <w:t>https://www.cma.or.ke/index.php/news-and.../cma-annual-reports?...cma-annual-report</w:t>
        </w:r>
      </w:hyperlink>
    </w:p>
    <w:p w14:paraId="07E7A16E"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East African Community (EAC). (2022).</w:t>
      </w:r>
      <w:r w:rsidRPr="001024D1">
        <w:rPr>
          <w:rFonts w:eastAsia="Times New Roman" w:cs="Times New Roman"/>
          <w:szCs w:val="24"/>
          <w:lang w:eastAsia="en-GB"/>
        </w:rPr>
        <w:t xml:space="preserve"> Economic Integration and Financial Market Development Report.</w:t>
      </w:r>
    </w:p>
    <w:p w14:paraId="5C289B8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Enqvist, J., Graham, M., &amp; Nikkinen, J. (2014). </w:t>
      </w:r>
      <w:r w:rsidRPr="001024D1">
        <w:rPr>
          <w:rFonts w:eastAsia="Times New Roman" w:cs="Times New Roman"/>
          <w:szCs w:val="24"/>
          <w:lang w:eastAsia="en-GB"/>
        </w:rPr>
        <w:t xml:space="preserve">The impact of working capital management on firm profitability in different business cycles: Evidence from Finland. </w:t>
      </w:r>
      <w:r w:rsidRPr="001024D1">
        <w:rPr>
          <w:rFonts w:eastAsia="Times New Roman" w:cs="Times New Roman"/>
          <w:i/>
          <w:iCs/>
          <w:szCs w:val="24"/>
          <w:lang w:eastAsia="en-GB"/>
        </w:rPr>
        <w:t>Research in International Business and Finance, 32</w:t>
      </w:r>
      <w:r w:rsidRPr="001024D1">
        <w:rPr>
          <w:rFonts w:eastAsia="Times New Roman" w:cs="Times New Roman"/>
          <w:szCs w:val="24"/>
          <w:lang w:eastAsia="en-GB"/>
        </w:rPr>
        <w:t>, 36–49. https://doi.org/10.1016/j.ribaf.2014.03.005</w:t>
      </w:r>
    </w:p>
    <w:p w14:paraId="1CE27397"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Githaiga, P. N., &amp; Kosgei, J. K. (2023). </w:t>
      </w:r>
      <w:r w:rsidRPr="001024D1">
        <w:rPr>
          <w:rFonts w:eastAsia="Times New Roman" w:cs="Times New Roman"/>
          <w:szCs w:val="24"/>
          <w:lang w:eastAsia="en-GB"/>
        </w:rPr>
        <w:t>Board characteristics and sustainability reporting: a case of listed firms in East Africa. </w:t>
      </w:r>
      <w:r w:rsidRPr="001024D1">
        <w:rPr>
          <w:rFonts w:eastAsia="Times New Roman" w:cs="Times New Roman"/>
          <w:i/>
          <w:iCs/>
          <w:szCs w:val="24"/>
          <w:lang w:eastAsia="en-GB"/>
        </w:rPr>
        <w:t>Corporate Governance: The international journal of business in society</w:t>
      </w:r>
      <w:r w:rsidRPr="001024D1">
        <w:rPr>
          <w:rFonts w:eastAsia="Times New Roman" w:cs="Times New Roman"/>
          <w:szCs w:val="24"/>
          <w:lang w:eastAsia="en-GB"/>
        </w:rPr>
        <w:t>, </w:t>
      </w:r>
      <w:r w:rsidRPr="001024D1">
        <w:rPr>
          <w:rFonts w:eastAsia="Times New Roman" w:cs="Times New Roman"/>
          <w:i/>
          <w:iCs/>
          <w:szCs w:val="24"/>
          <w:lang w:eastAsia="en-GB"/>
        </w:rPr>
        <w:t>23</w:t>
      </w:r>
      <w:r w:rsidRPr="001024D1">
        <w:rPr>
          <w:rFonts w:eastAsia="Times New Roman" w:cs="Times New Roman"/>
          <w:szCs w:val="24"/>
          <w:lang w:eastAsia="en-GB"/>
        </w:rPr>
        <w:t>(1), 3-17.</w:t>
      </w:r>
    </w:p>
    <w:p w14:paraId="36792586"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 xml:space="preserve">Habib, A. M., &amp; </w:t>
      </w:r>
      <w:proofErr w:type="spellStart"/>
      <w:r w:rsidRPr="001024D1">
        <w:rPr>
          <w:rFonts w:cs="Times New Roman"/>
          <w:szCs w:val="24"/>
        </w:rPr>
        <w:t>Dalwai</w:t>
      </w:r>
      <w:proofErr w:type="spellEnd"/>
      <w:r w:rsidRPr="001024D1">
        <w:rPr>
          <w:rFonts w:cs="Times New Roman"/>
          <w:szCs w:val="24"/>
        </w:rPr>
        <w:t xml:space="preserve">, T. (2024). Does the efficiency of a firm’s intellectual capital and working capital management affect its </w:t>
      </w:r>
      <w:proofErr w:type="gramStart"/>
      <w:r w:rsidRPr="001024D1">
        <w:rPr>
          <w:rFonts w:cs="Times New Roman"/>
          <w:szCs w:val="24"/>
        </w:rPr>
        <w:t>performance?.</w:t>
      </w:r>
      <w:proofErr w:type="gramEnd"/>
      <w:r w:rsidRPr="001024D1">
        <w:rPr>
          <w:rFonts w:cs="Times New Roman"/>
          <w:szCs w:val="24"/>
        </w:rPr>
        <w:t> </w:t>
      </w:r>
      <w:r w:rsidRPr="001024D1">
        <w:rPr>
          <w:rFonts w:cs="Times New Roman"/>
          <w:i/>
          <w:iCs/>
          <w:szCs w:val="24"/>
        </w:rPr>
        <w:t>Journal of the Knowledge Economy</w:t>
      </w:r>
      <w:r w:rsidRPr="001024D1">
        <w:rPr>
          <w:rFonts w:cs="Times New Roman"/>
          <w:szCs w:val="24"/>
        </w:rPr>
        <w:t>, </w:t>
      </w:r>
      <w:r w:rsidRPr="001024D1">
        <w:rPr>
          <w:rFonts w:cs="Times New Roman"/>
          <w:i/>
          <w:iCs/>
          <w:szCs w:val="24"/>
        </w:rPr>
        <w:t>15</w:t>
      </w:r>
      <w:r w:rsidRPr="001024D1">
        <w:rPr>
          <w:rFonts w:cs="Times New Roman"/>
          <w:szCs w:val="24"/>
        </w:rPr>
        <w:t>(1), 3202-3238.</w:t>
      </w:r>
    </w:p>
    <w:p w14:paraId="60A14BF6"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 xml:space="preserve">Ibrahim, U. A., &amp; Isiaka, A. (2021). Working capital management and financial performance of </w:t>
      </w:r>
      <w:proofErr w:type="spellStart"/>
      <w:r w:rsidRPr="001024D1">
        <w:rPr>
          <w:rFonts w:cs="Times New Roman"/>
          <w:szCs w:val="24"/>
          <w:shd w:val="clear" w:color="auto" w:fill="FFFFFF"/>
        </w:rPr>
        <w:t>non financial</w:t>
      </w:r>
      <w:proofErr w:type="spellEnd"/>
      <w:r w:rsidRPr="001024D1">
        <w:rPr>
          <w:rFonts w:cs="Times New Roman"/>
          <w:szCs w:val="24"/>
          <w:shd w:val="clear" w:color="auto" w:fill="FFFFFF"/>
        </w:rPr>
        <w:t xml:space="preserve"> quoted companies in Nigeria. </w:t>
      </w:r>
      <w:r w:rsidRPr="001024D1">
        <w:rPr>
          <w:rFonts w:cs="Times New Roman"/>
          <w:i/>
          <w:iCs/>
          <w:szCs w:val="24"/>
          <w:shd w:val="clear" w:color="auto" w:fill="FFFFFF"/>
        </w:rPr>
        <w:t>International Journal of Research in Business and Social Science (2147-4478)</w:t>
      </w:r>
      <w:r w:rsidRPr="001024D1">
        <w:rPr>
          <w:rFonts w:cs="Times New Roman"/>
          <w:szCs w:val="24"/>
          <w:shd w:val="clear" w:color="auto" w:fill="FFFFFF"/>
        </w:rPr>
        <w:t>, </w:t>
      </w:r>
      <w:r w:rsidRPr="001024D1">
        <w:rPr>
          <w:rFonts w:cs="Times New Roman"/>
          <w:i/>
          <w:iCs/>
          <w:szCs w:val="24"/>
          <w:shd w:val="clear" w:color="auto" w:fill="FFFFFF"/>
        </w:rPr>
        <w:t>10</w:t>
      </w:r>
      <w:r w:rsidRPr="001024D1">
        <w:rPr>
          <w:rFonts w:cs="Times New Roman"/>
          <w:szCs w:val="24"/>
          <w:shd w:val="clear" w:color="auto" w:fill="FFFFFF"/>
        </w:rPr>
        <w:t>(3), 241-258.</w:t>
      </w:r>
    </w:p>
    <w:p w14:paraId="26EC04BF"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proofErr w:type="spellStart"/>
      <w:r w:rsidRPr="001024D1">
        <w:rPr>
          <w:rFonts w:eastAsia="Times New Roman" w:cs="Times New Roman"/>
          <w:szCs w:val="24"/>
          <w:lang w:eastAsia="en-GB"/>
        </w:rPr>
        <w:t>Igbojindu</w:t>
      </w:r>
      <w:proofErr w:type="spellEnd"/>
      <w:r w:rsidRPr="001024D1">
        <w:rPr>
          <w:rFonts w:eastAsia="Times New Roman" w:cs="Times New Roman"/>
          <w:szCs w:val="24"/>
          <w:lang w:eastAsia="en-GB"/>
        </w:rPr>
        <w:t>, F. O., &amp; Okafor, G. O. (2023). Debtors management and financial performance of listed pharmaceutical companies in Nigeria. </w:t>
      </w:r>
      <w:r w:rsidRPr="001024D1">
        <w:rPr>
          <w:rFonts w:eastAsia="Times New Roman" w:cs="Times New Roman"/>
          <w:i/>
          <w:iCs/>
          <w:szCs w:val="24"/>
          <w:lang w:eastAsia="en-GB"/>
        </w:rPr>
        <w:t>Journal of Global Accounting</w:t>
      </w:r>
      <w:r w:rsidRPr="001024D1">
        <w:rPr>
          <w:rFonts w:eastAsia="Times New Roman" w:cs="Times New Roman"/>
          <w:szCs w:val="24"/>
          <w:lang w:eastAsia="en-GB"/>
        </w:rPr>
        <w:t>, </w:t>
      </w:r>
      <w:r w:rsidRPr="001024D1">
        <w:rPr>
          <w:rFonts w:eastAsia="Times New Roman" w:cs="Times New Roman"/>
          <w:i/>
          <w:iCs/>
          <w:szCs w:val="24"/>
          <w:lang w:eastAsia="en-GB"/>
        </w:rPr>
        <w:t>9</w:t>
      </w:r>
      <w:r w:rsidRPr="001024D1">
        <w:rPr>
          <w:rFonts w:eastAsia="Times New Roman" w:cs="Times New Roman"/>
          <w:szCs w:val="24"/>
          <w:lang w:eastAsia="en-GB"/>
        </w:rPr>
        <w:t>(4), 302-313.</w:t>
      </w:r>
    </w:p>
    <w:p w14:paraId="477EC7D6"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International Monetary Fund (IMF). (2022).</w:t>
      </w:r>
      <w:r w:rsidRPr="001024D1">
        <w:rPr>
          <w:rFonts w:eastAsia="Times New Roman" w:cs="Times New Roman"/>
          <w:szCs w:val="24"/>
          <w:lang w:eastAsia="en-GB"/>
        </w:rPr>
        <w:t xml:space="preserve"> Sub-Saharan Africa Regional Economic Outlook: Living on the Edge.</w:t>
      </w:r>
    </w:p>
    <w:p w14:paraId="65C53C46"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C27D14">
        <w:rPr>
          <w:rFonts w:eastAsia="Times New Roman" w:cs="Times New Roman"/>
          <w:szCs w:val="24"/>
          <w:lang w:val="de-DE" w:eastAsia="en-GB"/>
        </w:rPr>
        <w:t xml:space="preserve">Jelagat, O., Musenga, M., &amp; Shitseswa, A. (2023). </w:t>
      </w:r>
      <w:r w:rsidRPr="001024D1">
        <w:rPr>
          <w:rFonts w:eastAsia="Times New Roman" w:cs="Times New Roman"/>
          <w:szCs w:val="24"/>
          <w:lang w:eastAsia="en-GB"/>
        </w:rPr>
        <w:t>Effects of Debtors’ Management on Financial Performance of Savings and Credit Cooperative Organizations in Nandi County, Kenya. </w:t>
      </w:r>
      <w:r w:rsidRPr="001024D1">
        <w:rPr>
          <w:rFonts w:eastAsia="Times New Roman" w:cs="Times New Roman"/>
          <w:i/>
          <w:iCs/>
          <w:szCs w:val="24"/>
          <w:lang w:eastAsia="en-GB"/>
        </w:rPr>
        <w:t>African Journal of Empirical Research</w:t>
      </w:r>
      <w:r w:rsidRPr="001024D1">
        <w:rPr>
          <w:rFonts w:eastAsia="Times New Roman" w:cs="Times New Roman"/>
          <w:szCs w:val="24"/>
          <w:lang w:eastAsia="en-GB"/>
        </w:rPr>
        <w:t>, </w:t>
      </w:r>
      <w:r w:rsidRPr="001024D1">
        <w:rPr>
          <w:rFonts w:eastAsia="Times New Roman" w:cs="Times New Roman"/>
          <w:i/>
          <w:iCs/>
          <w:szCs w:val="24"/>
          <w:lang w:eastAsia="en-GB"/>
        </w:rPr>
        <w:t>4</w:t>
      </w:r>
      <w:r w:rsidRPr="001024D1">
        <w:rPr>
          <w:rFonts w:eastAsia="Times New Roman" w:cs="Times New Roman"/>
          <w:szCs w:val="24"/>
          <w:lang w:eastAsia="en-GB"/>
        </w:rPr>
        <w:t>(2), 437-445.</w:t>
      </w:r>
    </w:p>
    <w:p w14:paraId="5AA639F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 xml:space="preserve">Jensen, M. C., &amp; Meckling, W. H. (1976). Theory of the firm: Managerial </w:t>
      </w:r>
      <w:proofErr w:type="spellStart"/>
      <w:r w:rsidRPr="001024D1">
        <w:rPr>
          <w:rFonts w:eastAsia="Times New Roman" w:cs="Times New Roman"/>
          <w:szCs w:val="24"/>
          <w:lang w:eastAsia="en-GB"/>
        </w:rPr>
        <w:t>behavior</w:t>
      </w:r>
      <w:proofErr w:type="spellEnd"/>
      <w:r w:rsidRPr="001024D1">
        <w:rPr>
          <w:rFonts w:eastAsia="Times New Roman" w:cs="Times New Roman"/>
          <w:szCs w:val="24"/>
          <w:lang w:eastAsia="en-GB"/>
        </w:rPr>
        <w:t xml:space="preserve">, agency costs and ownership structure. </w:t>
      </w:r>
      <w:r w:rsidRPr="001024D1">
        <w:rPr>
          <w:rFonts w:eastAsia="Times New Roman" w:cs="Times New Roman"/>
          <w:i/>
          <w:szCs w:val="24"/>
          <w:lang w:eastAsia="en-GB"/>
        </w:rPr>
        <w:t>Journal of Financial Economics, 3</w:t>
      </w:r>
      <w:r w:rsidRPr="001024D1">
        <w:rPr>
          <w:rFonts w:eastAsia="Times New Roman" w:cs="Times New Roman"/>
          <w:szCs w:val="24"/>
          <w:lang w:eastAsia="en-GB"/>
        </w:rPr>
        <w:t xml:space="preserve"> (4) (1976), pp. 305-360</w:t>
      </w:r>
    </w:p>
    <w:p w14:paraId="360AD88E" w14:textId="77777777" w:rsidR="001024D1" w:rsidRPr="001024D1" w:rsidRDefault="001024D1" w:rsidP="001024D1">
      <w:pPr>
        <w:autoSpaceDE w:val="0"/>
        <w:autoSpaceDN w:val="0"/>
        <w:adjustRightInd w:val="0"/>
        <w:spacing w:before="240" w:after="240" w:line="240" w:lineRule="auto"/>
        <w:ind w:left="720" w:hanging="720"/>
        <w:rPr>
          <w:rFonts w:cs="Times New Roman"/>
          <w:i/>
          <w:iCs/>
          <w:szCs w:val="24"/>
        </w:rPr>
      </w:pPr>
      <w:r w:rsidRPr="001024D1">
        <w:rPr>
          <w:rFonts w:cs="Times New Roman"/>
          <w:szCs w:val="24"/>
        </w:rPr>
        <w:t xml:space="preserve">Karaduman, H.A., </w:t>
      </w:r>
      <w:proofErr w:type="spellStart"/>
      <w:r w:rsidRPr="001024D1">
        <w:rPr>
          <w:rFonts w:cs="Times New Roman"/>
          <w:szCs w:val="24"/>
        </w:rPr>
        <w:t>Akbas</w:t>
      </w:r>
      <w:proofErr w:type="spellEnd"/>
      <w:r w:rsidRPr="001024D1">
        <w:rPr>
          <w:rFonts w:cs="Times New Roman"/>
          <w:szCs w:val="24"/>
        </w:rPr>
        <w:t xml:space="preserve">, H.E., </w:t>
      </w:r>
      <w:proofErr w:type="spellStart"/>
      <w:r w:rsidRPr="001024D1">
        <w:rPr>
          <w:rFonts w:cs="Times New Roman"/>
          <w:szCs w:val="24"/>
        </w:rPr>
        <w:t>Ozsozgun</w:t>
      </w:r>
      <w:proofErr w:type="spellEnd"/>
      <w:r w:rsidRPr="001024D1">
        <w:rPr>
          <w:rFonts w:cs="Times New Roman"/>
          <w:szCs w:val="24"/>
        </w:rPr>
        <w:t xml:space="preserve">, A. &amp; Durer, S. (2010). Effects of Accounts Receivables on profitability: The case of selected companies in Istanbul Stock Exchange (2005-2008). </w:t>
      </w:r>
      <w:r w:rsidRPr="001024D1">
        <w:rPr>
          <w:rFonts w:cs="Times New Roman"/>
          <w:i/>
          <w:iCs/>
          <w:szCs w:val="24"/>
        </w:rPr>
        <w:t>International</w:t>
      </w:r>
      <w:r w:rsidRPr="001024D1">
        <w:rPr>
          <w:rFonts w:cs="Times New Roman"/>
          <w:szCs w:val="24"/>
        </w:rPr>
        <w:t xml:space="preserve"> </w:t>
      </w:r>
      <w:r w:rsidRPr="001024D1">
        <w:rPr>
          <w:rFonts w:cs="Times New Roman"/>
          <w:i/>
          <w:iCs/>
          <w:szCs w:val="24"/>
        </w:rPr>
        <w:t>Journal of Economics and Finance Studies, 2(2), 47-54.</w:t>
      </w:r>
    </w:p>
    <w:p w14:paraId="592283EB"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Kaur, H., &amp; Kaur, P. (2021).</w:t>
      </w:r>
      <w:r w:rsidRPr="001024D1">
        <w:rPr>
          <w:rFonts w:eastAsia="Times New Roman" w:cs="Times New Roman"/>
          <w:szCs w:val="24"/>
          <w:lang w:eastAsia="en-GB"/>
        </w:rPr>
        <w:t xml:space="preserve"> Working capital management and firm performance: A mini-review. </w:t>
      </w:r>
      <w:r w:rsidRPr="001024D1">
        <w:rPr>
          <w:rFonts w:eastAsia="Times New Roman" w:cs="Times New Roman"/>
          <w:i/>
          <w:iCs/>
          <w:szCs w:val="24"/>
          <w:lang w:eastAsia="en-GB"/>
        </w:rPr>
        <w:t>Journal of Management Research and Analysis, 8</w:t>
      </w:r>
      <w:r w:rsidRPr="001024D1">
        <w:rPr>
          <w:rFonts w:eastAsia="Times New Roman" w:cs="Times New Roman"/>
          <w:szCs w:val="24"/>
          <w:lang w:eastAsia="en-GB"/>
        </w:rPr>
        <w:t>(2), 55–62.</w:t>
      </w:r>
    </w:p>
    <w:p w14:paraId="1C2BC163"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Khramchenko, A. A. (2021). Modernization and Financial Sustainability of Agricultural Enterprises Based on the Working Capital Management of the Krasnodar Krai. In </w:t>
      </w:r>
      <w:r w:rsidRPr="001024D1">
        <w:rPr>
          <w:rFonts w:cs="Times New Roman"/>
          <w:i/>
          <w:iCs/>
          <w:szCs w:val="24"/>
          <w:shd w:val="clear" w:color="auto" w:fill="FFFFFF"/>
        </w:rPr>
        <w:t xml:space="preserve">The </w:t>
      </w:r>
      <w:r w:rsidRPr="001024D1">
        <w:rPr>
          <w:rFonts w:cs="Times New Roman"/>
          <w:i/>
          <w:iCs/>
          <w:szCs w:val="24"/>
          <w:shd w:val="clear" w:color="auto" w:fill="FFFFFF"/>
        </w:rPr>
        <w:lastRenderedPageBreak/>
        <w:t>Challenge of Sustainability in Agricultural Systems: Volume 2</w:t>
      </w:r>
      <w:r w:rsidRPr="001024D1">
        <w:rPr>
          <w:rFonts w:cs="Times New Roman"/>
          <w:szCs w:val="24"/>
          <w:shd w:val="clear" w:color="auto" w:fill="FFFFFF"/>
        </w:rPr>
        <w:t> (pp. 209-216). Cham: Springer International Publishing.</w:t>
      </w:r>
    </w:p>
    <w:p w14:paraId="55A6C5D6" w14:textId="77777777" w:rsidR="001024D1" w:rsidRPr="001024D1" w:rsidRDefault="001024D1" w:rsidP="001024D1">
      <w:pPr>
        <w:autoSpaceDE w:val="0"/>
        <w:autoSpaceDN w:val="0"/>
        <w:adjustRightInd w:val="0"/>
        <w:spacing w:before="240" w:after="240" w:line="240" w:lineRule="auto"/>
        <w:ind w:left="720" w:hanging="720"/>
        <w:rPr>
          <w:rFonts w:cs="Times New Roman"/>
          <w:szCs w:val="24"/>
        </w:rPr>
      </w:pPr>
      <w:proofErr w:type="spellStart"/>
      <w:r w:rsidRPr="001024D1">
        <w:rPr>
          <w:rFonts w:cs="Times New Roman"/>
          <w:szCs w:val="24"/>
        </w:rPr>
        <w:t>Muchina</w:t>
      </w:r>
      <w:proofErr w:type="spellEnd"/>
      <w:r w:rsidRPr="001024D1">
        <w:rPr>
          <w:rFonts w:cs="Times New Roman"/>
          <w:szCs w:val="24"/>
        </w:rPr>
        <w:t xml:space="preserve">, S. &amp; Kiano, E. (2011). Influence on Working Capital Management on Firms’ Profitability: A Case of SME’s in Kenya. </w:t>
      </w:r>
      <w:r w:rsidRPr="001024D1">
        <w:rPr>
          <w:rFonts w:cs="Times New Roman"/>
          <w:i/>
          <w:iCs/>
          <w:szCs w:val="24"/>
        </w:rPr>
        <w:t>International Business Management</w:t>
      </w:r>
      <w:r w:rsidRPr="001024D1">
        <w:rPr>
          <w:rFonts w:cs="Times New Roman"/>
          <w:szCs w:val="24"/>
        </w:rPr>
        <w:t>, 5 (5), 279-286.</w:t>
      </w:r>
    </w:p>
    <w:p w14:paraId="7A007888"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 xml:space="preserve">Mulenga, M. J., &amp; </w:t>
      </w:r>
      <w:proofErr w:type="spellStart"/>
      <w:r w:rsidRPr="001024D1">
        <w:rPr>
          <w:rFonts w:cs="Times New Roman"/>
          <w:szCs w:val="24"/>
        </w:rPr>
        <w:t>Mndeme</w:t>
      </w:r>
      <w:proofErr w:type="spellEnd"/>
      <w:r w:rsidRPr="001024D1">
        <w:rPr>
          <w:rFonts w:cs="Times New Roman"/>
          <w:szCs w:val="24"/>
        </w:rPr>
        <w:t>, R. K. (2024). The Influence of Working Capital Management on the Financial Performance of the Listed Manufacturing Firms in Tanzania. </w:t>
      </w:r>
      <w:r w:rsidRPr="001024D1">
        <w:rPr>
          <w:rFonts w:cs="Times New Roman"/>
          <w:i/>
          <w:iCs/>
          <w:szCs w:val="24"/>
        </w:rPr>
        <w:t>Business Education Journal</w:t>
      </w:r>
      <w:r w:rsidRPr="001024D1">
        <w:rPr>
          <w:rFonts w:cs="Times New Roman"/>
          <w:szCs w:val="24"/>
        </w:rPr>
        <w:t>, </w:t>
      </w:r>
      <w:r w:rsidRPr="001024D1">
        <w:rPr>
          <w:rFonts w:cs="Times New Roman"/>
          <w:i/>
          <w:iCs/>
          <w:szCs w:val="24"/>
        </w:rPr>
        <w:t>10</w:t>
      </w:r>
      <w:r w:rsidRPr="001024D1">
        <w:rPr>
          <w:rFonts w:cs="Times New Roman"/>
          <w:szCs w:val="24"/>
        </w:rPr>
        <w:t>(2).</w:t>
      </w:r>
    </w:p>
    <w:p w14:paraId="7F1CF8C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Naz, M. A., Ali, R., Rehman, R. U., &amp; Ntim, C. G. (2022). Corporate governance, working capital management, and firm performance: Some new insights from agency theory. </w:t>
      </w:r>
      <w:r w:rsidRPr="001024D1">
        <w:rPr>
          <w:rFonts w:eastAsia="Times New Roman" w:cs="Times New Roman"/>
          <w:i/>
          <w:iCs/>
          <w:szCs w:val="24"/>
          <w:lang w:eastAsia="en-GB"/>
        </w:rPr>
        <w:t>Managerial and Decision Economics</w:t>
      </w:r>
      <w:r w:rsidRPr="001024D1">
        <w:rPr>
          <w:rFonts w:eastAsia="Times New Roman" w:cs="Times New Roman"/>
          <w:szCs w:val="24"/>
          <w:lang w:eastAsia="en-GB"/>
        </w:rPr>
        <w:t>, </w:t>
      </w:r>
      <w:r w:rsidRPr="001024D1">
        <w:rPr>
          <w:rFonts w:eastAsia="Times New Roman" w:cs="Times New Roman"/>
          <w:i/>
          <w:iCs/>
          <w:szCs w:val="24"/>
          <w:lang w:eastAsia="en-GB"/>
        </w:rPr>
        <w:t>43</w:t>
      </w:r>
      <w:r w:rsidRPr="001024D1">
        <w:rPr>
          <w:rFonts w:eastAsia="Times New Roman" w:cs="Times New Roman"/>
          <w:szCs w:val="24"/>
          <w:lang w:eastAsia="en-GB"/>
        </w:rPr>
        <w:t>(5), 1448-1461.</w:t>
      </w:r>
    </w:p>
    <w:p w14:paraId="158108C5" w14:textId="77777777" w:rsidR="001024D1" w:rsidRPr="001024D1" w:rsidRDefault="001024D1" w:rsidP="001024D1">
      <w:pPr>
        <w:spacing w:before="240" w:after="240" w:line="240" w:lineRule="auto"/>
        <w:ind w:left="720" w:hanging="720"/>
        <w:rPr>
          <w:rFonts w:cs="Times New Roman"/>
          <w:szCs w:val="24"/>
        </w:rPr>
      </w:pPr>
      <w:r w:rsidRPr="001024D1">
        <w:rPr>
          <w:rFonts w:cs="Times New Roman"/>
          <w:szCs w:val="24"/>
        </w:rPr>
        <w:t xml:space="preserve">Ngari, A. R., &amp; Kamau, C. G. (2022). The Effect of Working Capital Management Cycle on Profitability of Retail Supermarkets in Mombasa, Kenya: A Case Study of </w:t>
      </w:r>
      <w:proofErr w:type="spellStart"/>
      <w:r w:rsidRPr="001024D1">
        <w:rPr>
          <w:rFonts w:cs="Times New Roman"/>
          <w:szCs w:val="24"/>
        </w:rPr>
        <w:t>Binathman</w:t>
      </w:r>
      <w:proofErr w:type="spellEnd"/>
      <w:r w:rsidRPr="001024D1">
        <w:rPr>
          <w:rFonts w:cs="Times New Roman"/>
          <w:szCs w:val="24"/>
        </w:rPr>
        <w:t xml:space="preserve"> Household Supermarket in Mombasa City. </w:t>
      </w:r>
      <w:r w:rsidRPr="001024D1">
        <w:rPr>
          <w:rFonts w:cs="Times New Roman"/>
          <w:i/>
          <w:iCs/>
          <w:szCs w:val="24"/>
        </w:rPr>
        <w:t>Asian Journal of Economics, Business and Accounting</w:t>
      </w:r>
      <w:r w:rsidRPr="001024D1">
        <w:rPr>
          <w:rFonts w:cs="Times New Roman"/>
          <w:szCs w:val="24"/>
        </w:rPr>
        <w:t>, </w:t>
      </w:r>
      <w:r w:rsidRPr="001024D1">
        <w:rPr>
          <w:rFonts w:cs="Times New Roman"/>
          <w:i/>
          <w:iCs/>
          <w:szCs w:val="24"/>
        </w:rPr>
        <w:t>22</w:t>
      </w:r>
      <w:r w:rsidRPr="001024D1">
        <w:rPr>
          <w:rFonts w:cs="Times New Roman"/>
          <w:szCs w:val="24"/>
        </w:rPr>
        <w:t>(13), 54-70.</w:t>
      </w:r>
    </w:p>
    <w:p w14:paraId="123A27A4"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 xml:space="preserve">Njeru, M., &amp; </w:t>
      </w:r>
      <w:proofErr w:type="spellStart"/>
      <w:r w:rsidRPr="001024D1">
        <w:rPr>
          <w:rFonts w:eastAsia="Times New Roman" w:cs="Times New Roman"/>
          <w:bCs/>
          <w:szCs w:val="24"/>
          <w:lang w:eastAsia="en-GB"/>
        </w:rPr>
        <w:t>Omagwa</w:t>
      </w:r>
      <w:proofErr w:type="spellEnd"/>
      <w:r w:rsidRPr="001024D1">
        <w:rPr>
          <w:rFonts w:eastAsia="Times New Roman" w:cs="Times New Roman"/>
          <w:bCs/>
          <w:szCs w:val="24"/>
          <w:lang w:eastAsia="en-GB"/>
        </w:rPr>
        <w:t>, J. (2018).</w:t>
      </w:r>
      <w:r w:rsidRPr="001024D1">
        <w:rPr>
          <w:rFonts w:eastAsia="Times New Roman" w:cs="Times New Roman"/>
          <w:szCs w:val="24"/>
          <w:lang w:eastAsia="en-GB"/>
        </w:rPr>
        <w:t xml:space="preserve"> Receivables financing and business growth among SMEs in Uganda. </w:t>
      </w:r>
      <w:r w:rsidRPr="001024D1">
        <w:rPr>
          <w:rFonts w:eastAsia="Times New Roman" w:cs="Times New Roman"/>
          <w:i/>
          <w:iCs/>
          <w:szCs w:val="24"/>
          <w:lang w:eastAsia="en-GB"/>
        </w:rPr>
        <w:t>Journal of Finance and Accounting, 6</w:t>
      </w:r>
      <w:r w:rsidRPr="001024D1">
        <w:rPr>
          <w:rFonts w:eastAsia="Times New Roman" w:cs="Times New Roman"/>
          <w:szCs w:val="24"/>
          <w:lang w:eastAsia="en-GB"/>
        </w:rPr>
        <w:t>(3), 112–125.</w:t>
      </w:r>
    </w:p>
    <w:p w14:paraId="5C0F6949"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szCs w:val="24"/>
          <w:lang w:eastAsia="en-GB"/>
        </w:rPr>
        <w:t xml:space="preserve">Nyawira, I., &amp; </w:t>
      </w:r>
      <w:proofErr w:type="spellStart"/>
      <w:r w:rsidRPr="001024D1">
        <w:rPr>
          <w:rFonts w:eastAsia="Times New Roman" w:cs="Times New Roman"/>
          <w:szCs w:val="24"/>
          <w:lang w:eastAsia="en-GB"/>
        </w:rPr>
        <w:t>Omagwa</w:t>
      </w:r>
      <w:proofErr w:type="spellEnd"/>
      <w:r w:rsidRPr="001024D1">
        <w:rPr>
          <w:rFonts w:eastAsia="Times New Roman" w:cs="Times New Roman"/>
          <w:szCs w:val="24"/>
          <w:lang w:eastAsia="en-GB"/>
        </w:rPr>
        <w:t>, J. (2019). Debtors management and financial performance of microfinance institutions in Nyeri county, Kenya. </w:t>
      </w:r>
      <w:r w:rsidRPr="001024D1">
        <w:rPr>
          <w:rFonts w:eastAsia="Times New Roman" w:cs="Times New Roman"/>
          <w:i/>
          <w:iCs/>
          <w:szCs w:val="24"/>
          <w:lang w:eastAsia="en-GB"/>
        </w:rPr>
        <w:t>International Journal of Accounting and Taxation</w:t>
      </w:r>
      <w:r w:rsidRPr="001024D1">
        <w:rPr>
          <w:rFonts w:eastAsia="Times New Roman" w:cs="Times New Roman"/>
          <w:szCs w:val="24"/>
          <w:lang w:eastAsia="en-GB"/>
        </w:rPr>
        <w:t>, </w:t>
      </w:r>
      <w:r w:rsidRPr="001024D1">
        <w:rPr>
          <w:rFonts w:eastAsia="Times New Roman" w:cs="Times New Roman"/>
          <w:i/>
          <w:iCs/>
          <w:szCs w:val="24"/>
          <w:lang w:eastAsia="en-GB"/>
        </w:rPr>
        <w:t>3</w:t>
      </w:r>
      <w:r w:rsidRPr="001024D1">
        <w:rPr>
          <w:rFonts w:eastAsia="Times New Roman" w:cs="Times New Roman"/>
          <w:szCs w:val="24"/>
          <w:lang w:eastAsia="en-GB"/>
        </w:rPr>
        <w:t>(2).</w:t>
      </w:r>
    </w:p>
    <w:p w14:paraId="564703E3"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 xml:space="preserve">Ochieng, D., &amp; </w:t>
      </w:r>
      <w:proofErr w:type="spellStart"/>
      <w:r w:rsidRPr="001024D1">
        <w:rPr>
          <w:rFonts w:eastAsia="Times New Roman" w:cs="Times New Roman"/>
          <w:bCs/>
          <w:szCs w:val="24"/>
          <w:lang w:eastAsia="en-GB"/>
        </w:rPr>
        <w:t>Jagongo</w:t>
      </w:r>
      <w:proofErr w:type="spellEnd"/>
      <w:r w:rsidRPr="001024D1">
        <w:rPr>
          <w:rFonts w:eastAsia="Times New Roman" w:cs="Times New Roman"/>
          <w:bCs/>
          <w:szCs w:val="24"/>
          <w:lang w:eastAsia="en-GB"/>
        </w:rPr>
        <w:t>, A. (2019).</w:t>
      </w:r>
      <w:r w:rsidRPr="001024D1">
        <w:rPr>
          <w:rFonts w:eastAsia="Times New Roman" w:cs="Times New Roman"/>
          <w:szCs w:val="24"/>
          <w:lang w:eastAsia="en-GB"/>
        </w:rPr>
        <w:t xml:space="preserve"> Accounts receivable management and financial performance of commercial and services firms listed at the Nairobi Securities Exchange. </w:t>
      </w:r>
      <w:r w:rsidRPr="001024D1">
        <w:rPr>
          <w:rFonts w:eastAsia="Times New Roman" w:cs="Times New Roman"/>
          <w:i/>
          <w:iCs/>
          <w:szCs w:val="24"/>
          <w:lang w:eastAsia="en-GB"/>
        </w:rPr>
        <w:t>Journal of Accounting and Finance, 7</w:t>
      </w:r>
      <w:r w:rsidRPr="001024D1">
        <w:rPr>
          <w:rFonts w:eastAsia="Times New Roman" w:cs="Times New Roman"/>
          <w:szCs w:val="24"/>
          <w:lang w:eastAsia="en-GB"/>
        </w:rPr>
        <w:t>(2), 89–102.</w:t>
      </w:r>
    </w:p>
    <w:p w14:paraId="7D6D0AA8"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proofErr w:type="spellStart"/>
      <w:r w:rsidRPr="001024D1">
        <w:rPr>
          <w:rFonts w:eastAsia="Times New Roman" w:cs="Times New Roman"/>
          <w:szCs w:val="24"/>
          <w:lang w:eastAsia="en-GB"/>
        </w:rPr>
        <w:t>Orajekwe</w:t>
      </w:r>
      <w:proofErr w:type="spellEnd"/>
      <w:r w:rsidRPr="001024D1">
        <w:rPr>
          <w:rFonts w:eastAsia="Times New Roman" w:cs="Times New Roman"/>
          <w:szCs w:val="24"/>
          <w:lang w:eastAsia="en-GB"/>
        </w:rPr>
        <w:t>, J. C., &amp; Ogbodo, O. C. (2023). Firm-specific characteristics and environmental disclosure of energy firms in Sub-Saharan Africa. </w:t>
      </w:r>
      <w:r w:rsidRPr="001024D1">
        <w:rPr>
          <w:rFonts w:eastAsia="Times New Roman" w:cs="Times New Roman"/>
          <w:i/>
          <w:iCs/>
          <w:szCs w:val="24"/>
          <w:lang w:eastAsia="en-GB"/>
        </w:rPr>
        <w:t>International Journal of Financial, Accounting, and Management</w:t>
      </w:r>
      <w:r w:rsidRPr="001024D1">
        <w:rPr>
          <w:rFonts w:eastAsia="Times New Roman" w:cs="Times New Roman"/>
          <w:szCs w:val="24"/>
          <w:lang w:eastAsia="en-GB"/>
        </w:rPr>
        <w:t>, </w:t>
      </w:r>
      <w:r w:rsidRPr="001024D1">
        <w:rPr>
          <w:rFonts w:eastAsia="Times New Roman" w:cs="Times New Roman"/>
          <w:i/>
          <w:iCs/>
          <w:szCs w:val="24"/>
          <w:lang w:eastAsia="en-GB"/>
        </w:rPr>
        <w:t>5</w:t>
      </w:r>
      <w:r w:rsidRPr="001024D1">
        <w:rPr>
          <w:rFonts w:eastAsia="Times New Roman" w:cs="Times New Roman"/>
          <w:szCs w:val="24"/>
          <w:lang w:eastAsia="en-GB"/>
        </w:rPr>
        <w:t>(2), 251-264.</w:t>
      </w:r>
    </w:p>
    <w:p w14:paraId="5B3EBE26" w14:textId="77777777" w:rsidR="001024D1" w:rsidRPr="001024D1" w:rsidRDefault="001024D1" w:rsidP="001024D1">
      <w:pPr>
        <w:spacing w:before="240" w:after="240" w:line="240" w:lineRule="auto"/>
        <w:ind w:left="720" w:hanging="720"/>
        <w:rPr>
          <w:rFonts w:cs="Times New Roman"/>
          <w:szCs w:val="24"/>
          <w:shd w:val="clear" w:color="auto" w:fill="FFFFFF"/>
        </w:rPr>
      </w:pPr>
      <w:proofErr w:type="spellStart"/>
      <w:r w:rsidRPr="001024D1">
        <w:rPr>
          <w:rFonts w:cs="Times New Roman"/>
          <w:szCs w:val="24"/>
          <w:shd w:val="clear" w:color="auto" w:fill="FFFFFF"/>
        </w:rPr>
        <w:t>Ozili</w:t>
      </w:r>
      <w:proofErr w:type="spellEnd"/>
      <w:r w:rsidRPr="001024D1">
        <w:rPr>
          <w:rFonts w:cs="Times New Roman"/>
          <w:szCs w:val="24"/>
          <w:shd w:val="clear" w:color="auto" w:fill="FFFFFF"/>
        </w:rPr>
        <w:t xml:space="preserve">, P. K., &amp; </w:t>
      </w:r>
      <w:proofErr w:type="spellStart"/>
      <w:r w:rsidRPr="001024D1">
        <w:rPr>
          <w:rFonts w:cs="Times New Roman"/>
          <w:szCs w:val="24"/>
          <w:shd w:val="clear" w:color="auto" w:fill="FFFFFF"/>
        </w:rPr>
        <w:t>Iorember</w:t>
      </w:r>
      <w:proofErr w:type="spellEnd"/>
      <w:r w:rsidRPr="001024D1">
        <w:rPr>
          <w:rFonts w:cs="Times New Roman"/>
          <w:szCs w:val="24"/>
          <w:shd w:val="clear" w:color="auto" w:fill="FFFFFF"/>
        </w:rPr>
        <w:t xml:space="preserve">, P. T. (2024). Financial stability and sustainable development. </w:t>
      </w:r>
      <w:r w:rsidRPr="001024D1">
        <w:rPr>
          <w:rFonts w:cs="Times New Roman"/>
          <w:i/>
          <w:iCs/>
          <w:szCs w:val="24"/>
          <w:shd w:val="clear" w:color="auto" w:fill="FFFFFF"/>
        </w:rPr>
        <w:t>International Journal of Finance &amp; Economics</w:t>
      </w:r>
      <w:r w:rsidRPr="001024D1">
        <w:rPr>
          <w:rFonts w:cs="Times New Roman"/>
          <w:szCs w:val="24"/>
          <w:shd w:val="clear" w:color="auto" w:fill="FFFFFF"/>
        </w:rPr>
        <w:t>, </w:t>
      </w:r>
      <w:r w:rsidRPr="001024D1">
        <w:rPr>
          <w:rFonts w:cs="Times New Roman"/>
          <w:i/>
          <w:iCs/>
          <w:szCs w:val="24"/>
          <w:shd w:val="clear" w:color="auto" w:fill="FFFFFF"/>
        </w:rPr>
        <w:t>29</w:t>
      </w:r>
      <w:r w:rsidRPr="001024D1">
        <w:rPr>
          <w:rFonts w:cs="Times New Roman"/>
          <w:szCs w:val="24"/>
          <w:shd w:val="clear" w:color="auto" w:fill="FFFFFF"/>
        </w:rPr>
        <w:t>(3), 2620-2646.</w:t>
      </w:r>
    </w:p>
    <w:p w14:paraId="1111A008"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Piccoli, P., Bianchini Junior, N., Coser, J., &amp; Moreira, V. R. (2021). Short-term financial sustainability of agricultural cooperatives. </w:t>
      </w:r>
      <w:r w:rsidRPr="001024D1">
        <w:rPr>
          <w:rFonts w:cs="Times New Roman"/>
          <w:i/>
          <w:iCs/>
          <w:szCs w:val="24"/>
          <w:shd w:val="clear" w:color="auto" w:fill="FFFFFF"/>
        </w:rPr>
        <w:t>Agricultural Finance Review</w:t>
      </w:r>
      <w:r w:rsidRPr="001024D1">
        <w:rPr>
          <w:rFonts w:cs="Times New Roman"/>
          <w:szCs w:val="24"/>
          <w:shd w:val="clear" w:color="auto" w:fill="FFFFFF"/>
        </w:rPr>
        <w:t>, </w:t>
      </w:r>
      <w:r w:rsidRPr="001024D1">
        <w:rPr>
          <w:rFonts w:cs="Times New Roman"/>
          <w:i/>
          <w:iCs/>
          <w:szCs w:val="24"/>
          <w:shd w:val="clear" w:color="auto" w:fill="FFFFFF"/>
        </w:rPr>
        <w:t>81</w:t>
      </w:r>
      <w:r w:rsidRPr="001024D1">
        <w:rPr>
          <w:rFonts w:cs="Times New Roman"/>
          <w:szCs w:val="24"/>
          <w:shd w:val="clear" w:color="auto" w:fill="FFFFFF"/>
        </w:rPr>
        <w:t>(3), 444-457.</w:t>
      </w:r>
    </w:p>
    <w:p w14:paraId="6C351FC8" w14:textId="77777777" w:rsidR="001024D1" w:rsidRPr="001024D1" w:rsidRDefault="001024D1" w:rsidP="001024D1">
      <w:pPr>
        <w:spacing w:before="240" w:after="240" w:line="240" w:lineRule="auto"/>
        <w:ind w:left="720" w:hanging="720"/>
        <w:rPr>
          <w:rFonts w:cs="Times New Roman"/>
          <w:szCs w:val="24"/>
        </w:rPr>
      </w:pPr>
      <w:proofErr w:type="spellStart"/>
      <w:r w:rsidRPr="001024D1">
        <w:rPr>
          <w:rFonts w:cs="Times New Roman"/>
          <w:szCs w:val="24"/>
        </w:rPr>
        <w:t>Sholikah</w:t>
      </w:r>
      <w:proofErr w:type="spellEnd"/>
      <w:r w:rsidRPr="001024D1">
        <w:rPr>
          <w:rFonts w:cs="Times New Roman"/>
          <w:szCs w:val="24"/>
        </w:rPr>
        <w:t>, A. M. A., &amp; Miranti, T. (2020). Factors influence financial sustainability banking in Indonesia. </w:t>
      </w:r>
      <w:r w:rsidRPr="001024D1">
        <w:rPr>
          <w:rFonts w:cs="Times New Roman"/>
          <w:i/>
          <w:iCs/>
          <w:szCs w:val="24"/>
        </w:rPr>
        <w:t>Al-</w:t>
      </w:r>
      <w:proofErr w:type="spellStart"/>
      <w:r w:rsidRPr="001024D1">
        <w:rPr>
          <w:rFonts w:cs="Times New Roman"/>
          <w:i/>
          <w:iCs/>
          <w:szCs w:val="24"/>
        </w:rPr>
        <w:t>Tijary</w:t>
      </w:r>
      <w:proofErr w:type="spellEnd"/>
      <w:r w:rsidRPr="001024D1">
        <w:rPr>
          <w:rFonts w:cs="Times New Roman"/>
          <w:i/>
          <w:iCs/>
          <w:szCs w:val="24"/>
        </w:rPr>
        <w:t xml:space="preserve"> </w:t>
      </w:r>
      <w:proofErr w:type="spellStart"/>
      <w:r w:rsidRPr="001024D1">
        <w:rPr>
          <w:rFonts w:cs="Times New Roman"/>
          <w:i/>
          <w:iCs/>
          <w:szCs w:val="24"/>
        </w:rPr>
        <w:t>Jurnal</w:t>
      </w:r>
      <w:proofErr w:type="spellEnd"/>
      <w:r w:rsidRPr="001024D1">
        <w:rPr>
          <w:rFonts w:cs="Times New Roman"/>
          <w:i/>
          <w:iCs/>
          <w:szCs w:val="24"/>
        </w:rPr>
        <w:t xml:space="preserve"> </w:t>
      </w:r>
      <w:proofErr w:type="spellStart"/>
      <w:r w:rsidRPr="001024D1">
        <w:rPr>
          <w:rFonts w:cs="Times New Roman"/>
          <w:i/>
          <w:iCs/>
          <w:szCs w:val="24"/>
        </w:rPr>
        <w:t>Ekonomi</w:t>
      </w:r>
      <w:proofErr w:type="spellEnd"/>
      <w:r w:rsidRPr="001024D1">
        <w:rPr>
          <w:rFonts w:cs="Times New Roman"/>
          <w:i/>
          <w:iCs/>
          <w:szCs w:val="24"/>
        </w:rPr>
        <w:t xml:space="preserve"> Dan Bisnis Islam</w:t>
      </w:r>
      <w:r w:rsidRPr="001024D1">
        <w:rPr>
          <w:rFonts w:cs="Times New Roman"/>
          <w:szCs w:val="24"/>
        </w:rPr>
        <w:t>, </w:t>
      </w:r>
      <w:r w:rsidRPr="001024D1">
        <w:rPr>
          <w:rFonts w:cs="Times New Roman"/>
          <w:i/>
          <w:iCs/>
          <w:szCs w:val="24"/>
        </w:rPr>
        <w:t>6</w:t>
      </w:r>
      <w:r w:rsidRPr="001024D1">
        <w:rPr>
          <w:rFonts w:cs="Times New Roman"/>
          <w:szCs w:val="24"/>
        </w:rPr>
        <w:t>(1), 41-50.</w:t>
      </w:r>
    </w:p>
    <w:p w14:paraId="4D11236E" w14:textId="77777777" w:rsidR="001024D1" w:rsidRPr="001024D1" w:rsidRDefault="001024D1" w:rsidP="001024D1">
      <w:pPr>
        <w:spacing w:before="240" w:after="240" w:line="240" w:lineRule="auto"/>
        <w:ind w:left="720" w:hanging="720"/>
        <w:rPr>
          <w:rFonts w:cs="Times New Roman"/>
          <w:szCs w:val="24"/>
        </w:rPr>
      </w:pPr>
      <w:proofErr w:type="spellStart"/>
      <w:r w:rsidRPr="001024D1">
        <w:rPr>
          <w:rFonts w:cs="Times New Roman"/>
          <w:szCs w:val="24"/>
        </w:rPr>
        <w:t>Tarurhor</w:t>
      </w:r>
      <w:proofErr w:type="spellEnd"/>
      <w:r w:rsidRPr="001024D1">
        <w:rPr>
          <w:rFonts w:cs="Times New Roman"/>
          <w:szCs w:val="24"/>
        </w:rPr>
        <w:t xml:space="preserve">, E. M., &amp; Owolabi, A. A. (2022). Account Receivable </w:t>
      </w:r>
      <w:proofErr w:type="gramStart"/>
      <w:r w:rsidRPr="001024D1">
        <w:rPr>
          <w:rFonts w:cs="Times New Roman"/>
          <w:szCs w:val="24"/>
        </w:rPr>
        <w:t>And</w:t>
      </w:r>
      <w:proofErr w:type="gramEnd"/>
      <w:r w:rsidRPr="001024D1">
        <w:rPr>
          <w:rFonts w:cs="Times New Roman"/>
          <w:szCs w:val="24"/>
        </w:rPr>
        <w:t xml:space="preserve"> Inventory Conversion Management As Determinants Of Corporate Financial Performance: Evidence From Publicly Quoted Nigerian Firms. </w:t>
      </w:r>
      <w:r w:rsidRPr="001024D1">
        <w:rPr>
          <w:rFonts w:cs="Times New Roman"/>
          <w:i/>
          <w:iCs/>
          <w:szCs w:val="24"/>
        </w:rPr>
        <w:t>Finance &amp; Accounting Research Journal</w:t>
      </w:r>
      <w:r w:rsidRPr="001024D1">
        <w:rPr>
          <w:rFonts w:cs="Times New Roman"/>
          <w:szCs w:val="24"/>
        </w:rPr>
        <w:t>, </w:t>
      </w:r>
      <w:r w:rsidRPr="001024D1">
        <w:rPr>
          <w:rFonts w:cs="Times New Roman"/>
          <w:i/>
          <w:iCs/>
          <w:szCs w:val="24"/>
        </w:rPr>
        <w:t>4</w:t>
      </w:r>
      <w:r w:rsidRPr="001024D1">
        <w:rPr>
          <w:rFonts w:cs="Times New Roman"/>
          <w:szCs w:val="24"/>
        </w:rPr>
        <w:t>(5), 271-280.</w:t>
      </w:r>
    </w:p>
    <w:p w14:paraId="258922D5"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proofErr w:type="spellStart"/>
      <w:r w:rsidRPr="001024D1">
        <w:rPr>
          <w:rFonts w:eastAsia="Times New Roman" w:cs="Times New Roman"/>
          <w:bCs/>
          <w:szCs w:val="24"/>
          <w:lang w:eastAsia="en-GB"/>
        </w:rPr>
        <w:lastRenderedPageBreak/>
        <w:t>Tuyishime</w:t>
      </w:r>
      <w:proofErr w:type="spellEnd"/>
      <w:r w:rsidRPr="001024D1">
        <w:rPr>
          <w:rFonts w:eastAsia="Times New Roman" w:cs="Times New Roman"/>
          <w:bCs/>
          <w:szCs w:val="24"/>
          <w:lang w:eastAsia="en-GB"/>
        </w:rPr>
        <w:t xml:space="preserve">, E., &amp; </w:t>
      </w:r>
      <w:proofErr w:type="spellStart"/>
      <w:r w:rsidRPr="001024D1">
        <w:rPr>
          <w:rFonts w:eastAsia="Times New Roman" w:cs="Times New Roman"/>
          <w:bCs/>
          <w:szCs w:val="24"/>
          <w:lang w:eastAsia="en-GB"/>
        </w:rPr>
        <w:t>Mulyungi</w:t>
      </w:r>
      <w:proofErr w:type="spellEnd"/>
      <w:r w:rsidRPr="001024D1">
        <w:rPr>
          <w:rFonts w:eastAsia="Times New Roman" w:cs="Times New Roman"/>
          <w:bCs/>
          <w:szCs w:val="24"/>
          <w:lang w:eastAsia="en-GB"/>
        </w:rPr>
        <w:t>, P. (2018).</w:t>
      </w:r>
      <w:r w:rsidRPr="001024D1">
        <w:rPr>
          <w:rFonts w:eastAsia="Times New Roman" w:cs="Times New Roman"/>
          <w:szCs w:val="24"/>
          <w:lang w:eastAsia="en-GB"/>
        </w:rPr>
        <w:t xml:space="preserve"> Effect of accounts receivable management on financial sustainability of firms in Rwanda: A case of </w:t>
      </w:r>
      <w:proofErr w:type="spellStart"/>
      <w:r w:rsidRPr="001024D1">
        <w:rPr>
          <w:rFonts w:eastAsia="Times New Roman" w:cs="Times New Roman"/>
          <w:szCs w:val="24"/>
          <w:lang w:eastAsia="en-GB"/>
        </w:rPr>
        <w:t>Bralirwa</w:t>
      </w:r>
      <w:proofErr w:type="spellEnd"/>
      <w:r w:rsidRPr="001024D1">
        <w:rPr>
          <w:rFonts w:eastAsia="Times New Roman" w:cs="Times New Roman"/>
          <w:szCs w:val="24"/>
          <w:lang w:eastAsia="en-GB"/>
        </w:rPr>
        <w:t xml:space="preserve"> Ltd and MTN Rwanda. </w:t>
      </w:r>
      <w:r w:rsidRPr="001024D1">
        <w:rPr>
          <w:rFonts w:eastAsia="Times New Roman" w:cs="Times New Roman"/>
          <w:i/>
          <w:iCs/>
          <w:szCs w:val="24"/>
          <w:lang w:eastAsia="en-GB"/>
        </w:rPr>
        <w:t>International Journal of Business and Management, 13</w:t>
      </w:r>
      <w:r w:rsidRPr="001024D1">
        <w:rPr>
          <w:rFonts w:eastAsia="Times New Roman" w:cs="Times New Roman"/>
          <w:szCs w:val="24"/>
          <w:lang w:eastAsia="en-GB"/>
        </w:rPr>
        <w:t>(7), 45–58.</w:t>
      </w:r>
    </w:p>
    <w:p w14:paraId="190A0020"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United Nations Economic Commission for Africa (UNECA). (2023).</w:t>
      </w:r>
      <w:r w:rsidRPr="001024D1">
        <w:rPr>
          <w:rFonts w:eastAsia="Times New Roman" w:cs="Times New Roman"/>
          <w:szCs w:val="24"/>
          <w:lang w:eastAsia="en-GB"/>
        </w:rPr>
        <w:t xml:space="preserve"> Economic Report on Africa: Building Resilience for Sustainable Development.</w:t>
      </w:r>
    </w:p>
    <w:bookmarkEnd w:id="48"/>
    <w:p w14:paraId="2FB38EB0" w14:textId="77777777" w:rsidR="001024D1" w:rsidRPr="001024D1" w:rsidRDefault="001024D1" w:rsidP="001024D1">
      <w:pPr>
        <w:spacing w:before="240" w:after="240" w:line="240" w:lineRule="auto"/>
        <w:ind w:left="720" w:hanging="720"/>
        <w:rPr>
          <w:rFonts w:cs="Times New Roman"/>
          <w:szCs w:val="24"/>
          <w:shd w:val="clear" w:color="auto" w:fill="FFFFFF"/>
        </w:rPr>
      </w:pPr>
      <w:r w:rsidRPr="00C27D14">
        <w:rPr>
          <w:rFonts w:cs="Times New Roman"/>
          <w:szCs w:val="24"/>
          <w:shd w:val="clear" w:color="auto" w:fill="FFFFFF"/>
          <w:lang w:val="de-DE"/>
        </w:rPr>
        <w:t xml:space="preserve">Wang, Z., Akbar, M., &amp; Akbar, A. (2020). </w:t>
      </w:r>
      <w:r w:rsidRPr="001024D1">
        <w:rPr>
          <w:rFonts w:cs="Times New Roman"/>
          <w:szCs w:val="24"/>
          <w:shd w:val="clear" w:color="auto" w:fill="FFFFFF"/>
        </w:rPr>
        <w:t>The interplay between working capital management and a firm’s financial performance across the corporate life cycle. </w:t>
      </w:r>
      <w:r w:rsidRPr="001024D1">
        <w:rPr>
          <w:rFonts w:cs="Times New Roman"/>
          <w:i/>
          <w:iCs/>
          <w:szCs w:val="24"/>
          <w:shd w:val="clear" w:color="auto" w:fill="FFFFFF"/>
        </w:rPr>
        <w:t>Sustainability</w:t>
      </w:r>
      <w:r w:rsidRPr="001024D1">
        <w:rPr>
          <w:rFonts w:cs="Times New Roman"/>
          <w:szCs w:val="24"/>
          <w:shd w:val="clear" w:color="auto" w:fill="FFFFFF"/>
        </w:rPr>
        <w:t>, </w:t>
      </w:r>
      <w:r w:rsidRPr="001024D1">
        <w:rPr>
          <w:rFonts w:cs="Times New Roman"/>
          <w:i/>
          <w:iCs/>
          <w:szCs w:val="24"/>
          <w:shd w:val="clear" w:color="auto" w:fill="FFFFFF"/>
        </w:rPr>
        <w:t>12</w:t>
      </w:r>
      <w:r w:rsidRPr="001024D1">
        <w:rPr>
          <w:rFonts w:cs="Times New Roman"/>
          <w:szCs w:val="24"/>
          <w:shd w:val="clear" w:color="auto" w:fill="FFFFFF"/>
        </w:rPr>
        <w:t>(4), 1661.</w:t>
      </w:r>
    </w:p>
    <w:p w14:paraId="1675BF38" w14:textId="77777777" w:rsidR="001024D1" w:rsidRPr="001024D1" w:rsidRDefault="001024D1" w:rsidP="001024D1">
      <w:pPr>
        <w:spacing w:before="240" w:after="240" w:line="240" w:lineRule="auto"/>
        <w:ind w:left="720" w:hanging="720"/>
        <w:rPr>
          <w:rFonts w:cs="Times New Roman"/>
          <w:szCs w:val="24"/>
          <w:shd w:val="clear" w:color="auto" w:fill="FFFFFF"/>
        </w:rPr>
      </w:pPr>
      <w:r w:rsidRPr="001024D1">
        <w:rPr>
          <w:rFonts w:cs="Times New Roman"/>
          <w:szCs w:val="24"/>
          <w:shd w:val="clear" w:color="auto" w:fill="FFFFFF"/>
        </w:rPr>
        <w:t xml:space="preserve">Wanzala, R. W., &amp; </w:t>
      </w:r>
      <w:proofErr w:type="spellStart"/>
      <w:r w:rsidRPr="001024D1">
        <w:rPr>
          <w:rFonts w:cs="Times New Roman"/>
          <w:szCs w:val="24"/>
          <w:shd w:val="clear" w:color="auto" w:fill="FFFFFF"/>
        </w:rPr>
        <w:t>Obokoh</w:t>
      </w:r>
      <w:proofErr w:type="spellEnd"/>
      <w:r w:rsidRPr="001024D1">
        <w:rPr>
          <w:rFonts w:cs="Times New Roman"/>
          <w:szCs w:val="24"/>
          <w:shd w:val="clear" w:color="auto" w:fill="FFFFFF"/>
        </w:rPr>
        <w:t>, L. (2024). The Effects of Working Capital Management on the Financial Performance of Commercial and Service Firms Listed on the Nairobi Securities Exchange in Kenya. </w:t>
      </w:r>
      <w:r w:rsidRPr="001024D1">
        <w:rPr>
          <w:rFonts w:cs="Times New Roman"/>
          <w:i/>
          <w:iCs/>
          <w:szCs w:val="24"/>
          <w:shd w:val="clear" w:color="auto" w:fill="FFFFFF"/>
        </w:rPr>
        <w:t>Risks</w:t>
      </w:r>
      <w:r w:rsidRPr="001024D1">
        <w:rPr>
          <w:rFonts w:cs="Times New Roman"/>
          <w:szCs w:val="24"/>
          <w:shd w:val="clear" w:color="auto" w:fill="FFFFFF"/>
        </w:rPr>
        <w:t>, </w:t>
      </w:r>
      <w:r w:rsidRPr="001024D1">
        <w:rPr>
          <w:rFonts w:cs="Times New Roman"/>
          <w:i/>
          <w:iCs/>
          <w:szCs w:val="24"/>
          <w:shd w:val="clear" w:color="auto" w:fill="FFFFFF"/>
        </w:rPr>
        <w:t>12</w:t>
      </w:r>
      <w:r w:rsidRPr="001024D1">
        <w:rPr>
          <w:rFonts w:cs="Times New Roman"/>
          <w:szCs w:val="24"/>
          <w:shd w:val="clear" w:color="auto" w:fill="FFFFFF"/>
        </w:rPr>
        <w:t>(8), 119.</w:t>
      </w:r>
    </w:p>
    <w:p w14:paraId="3E35938C"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proofErr w:type="spellStart"/>
      <w:r w:rsidRPr="001024D1">
        <w:rPr>
          <w:rFonts w:eastAsia="Times New Roman" w:cs="Times New Roman"/>
          <w:szCs w:val="24"/>
          <w:lang w:eastAsia="en-GB"/>
        </w:rPr>
        <w:t>Wokeh</w:t>
      </w:r>
      <w:proofErr w:type="spellEnd"/>
      <w:r w:rsidRPr="001024D1">
        <w:rPr>
          <w:rFonts w:eastAsia="Times New Roman" w:cs="Times New Roman"/>
          <w:szCs w:val="24"/>
          <w:lang w:eastAsia="en-GB"/>
        </w:rPr>
        <w:t xml:space="preserve">, P. I. P. (2023). Effect of Debtors Management </w:t>
      </w:r>
      <w:proofErr w:type="gramStart"/>
      <w:r w:rsidRPr="001024D1">
        <w:rPr>
          <w:rFonts w:eastAsia="Times New Roman" w:cs="Times New Roman"/>
          <w:szCs w:val="24"/>
          <w:lang w:eastAsia="en-GB"/>
        </w:rPr>
        <w:t>On</w:t>
      </w:r>
      <w:proofErr w:type="gramEnd"/>
      <w:r w:rsidRPr="001024D1">
        <w:rPr>
          <w:rFonts w:eastAsia="Times New Roman" w:cs="Times New Roman"/>
          <w:szCs w:val="24"/>
          <w:lang w:eastAsia="en-GB"/>
        </w:rPr>
        <w:t xml:space="preserve"> Financial Performance Of Listed Construction and Real Estate Companies in Nigeria. </w:t>
      </w:r>
      <w:r w:rsidRPr="001024D1">
        <w:rPr>
          <w:rFonts w:eastAsia="Times New Roman" w:cs="Times New Roman"/>
          <w:i/>
          <w:iCs/>
          <w:szCs w:val="24"/>
          <w:lang w:eastAsia="en-GB"/>
        </w:rPr>
        <w:t>BW Academic Journal</w:t>
      </w:r>
      <w:r w:rsidRPr="001024D1">
        <w:rPr>
          <w:rFonts w:eastAsia="Times New Roman" w:cs="Times New Roman"/>
          <w:szCs w:val="24"/>
          <w:lang w:eastAsia="en-GB"/>
        </w:rPr>
        <w:t>, 8-8.</w:t>
      </w:r>
    </w:p>
    <w:p w14:paraId="286A3149" w14:textId="77777777" w:rsidR="001024D1" w:rsidRPr="001024D1" w:rsidRDefault="001024D1" w:rsidP="001024D1">
      <w:pPr>
        <w:spacing w:before="100" w:beforeAutospacing="1" w:after="100" w:afterAutospacing="1" w:line="240" w:lineRule="auto"/>
        <w:ind w:left="720" w:hanging="720"/>
        <w:rPr>
          <w:rFonts w:eastAsia="Times New Roman" w:cs="Times New Roman"/>
          <w:szCs w:val="24"/>
          <w:lang w:eastAsia="en-GB"/>
        </w:rPr>
      </w:pPr>
      <w:r w:rsidRPr="001024D1">
        <w:rPr>
          <w:rFonts w:eastAsia="Times New Roman" w:cs="Times New Roman"/>
          <w:bCs/>
          <w:szCs w:val="24"/>
          <w:lang w:eastAsia="en-GB"/>
        </w:rPr>
        <w:t>World Bank. (2021).</w:t>
      </w:r>
      <w:r w:rsidRPr="001024D1">
        <w:rPr>
          <w:rFonts w:eastAsia="Times New Roman" w:cs="Times New Roman"/>
          <w:szCs w:val="24"/>
          <w:lang w:eastAsia="en-GB"/>
        </w:rPr>
        <w:t xml:space="preserve"> The Impact of COVID-19 on Businesses in East Africa: Evidence from Firm Surveys.</w:t>
      </w:r>
    </w:p>
    <w:p w14:paraId="0CF185AE" w14:textId="77777777" w:rsidR="001024D1" w:rsidRPr="001024D1" w:rsidRDefault="001024D1" w:rsidP="001024D1">
      <w:pPr>
        <w:spacing w:before="240" w:after="240" w:line="240" w:lineRule="auto"/>
        <w:ind w:left="720" w:hanging="720"/>
        <w:rPr>
          <w:rFonts w:cs="Times New Roman"/>
          <w:szCs w:val="24"/>
          <w:shd w:val="clear" w:color="auto" w:fill="FFFFFF"/>
        </w:rPr>
      </w:pPr>
      <w:proofErr w:type="spellStart"/>
      <w:r w:rsidRPr="001024D1">
        <w:rPr>
          <w:rFonts w:cs="Times New Roman"/>
          <w:szCs w:val="24"/>
          <w:shd w:val="clear" w:color="auto" w:fill="FFFFFF"/>
        </w:rPr>
        <w:t>Yitayaw</w:t>
      </w:r>
      <w:proofErr w:type="spellEnd"/>
      <w:r w:rsidRPr="001024D1">
        <w:rPr>
          <w:rFonts w:cs="Times New Roman"/>
          <w:szCs w:val="24"/>
          <w:shd w:val="clear" w:color="auto" w:fill="FFFFFF"/>
        </w:rPr>
        <w:t>, M. K. (2021). Determinants of profitability and financial sustainability of saving and credit cooperatives in Eastern Ethiopia. </w:t>
      </w:r>
      <w:r w:rsidRPr="001024D1">
        <w:rPr>
          <w:rFonts w:cs="Times New Roman"/>
          <w:i/>
          <w:iCs/>
          <w:szCs w:val="24"/>
          <w:shd w:val="clear" w:color="auto" w:fill="FFFFFF"/>
        </w:rPr>
        <w:t>International Journal of Rural Management</w:t>
      </w:r>
      <w:r w:rsidRPr="001024D1">
        <w:rPr>
          <w:rFonts w:cs="Times New Roman"/>
          <w:szCs w:val="24"/>
          <w:shd w:val="clear" w:color="auto" w:fill="FFFFFF"/>
        </w:rPr>
        <w:t>, </w:t>
      </w:r>
      <w:r w:rsidRPr="001024D1">
        <w:rPr>
          <w:rFonts w:cs="Times New Roman"/>
          <w:i/>
          <w:iCs/>
          <w:szCs w:val="24"/>
          <w:shd w:val="clear" w:color="auto" w:fill="FFFFFF"/>
        </w:rPr>
        <w:t>17</w:t>
      </w:r>
      <w:r w:rsidRPr="001024D1">
        <w:rPr>
          <w:rFonts w:cs="Times New Roman"/>
          <w:szCs w:val="24"/>
          <w:shd w:val="clear" w:color="auto" w:fill="FFFFFF"/>
        </w:rPr>
        <w:t>(2), 239-261.</w:t>
      </w:r>
    </w:p>
    <w:p w14:paraId="28A2149E" w14:textId="77777777" w:rsidR="001024D1" w:rsidRPr="00E9044F" w:rsidRDefault="001024D1" w:rsidP="001024D1">
      <w:pPr>
        <w:spacing w:before="240" w:after="240" w:line="240" w:lineRule="auto"/>
        <w:ind w:left="720" w:hanging="720"/>
        <w:rPr>
          <w:rFonts w:cs="Times New Roman"/>
          <w:szCs w:val="24"/>
        </w:rPr>
      </w:pPr>
      <w:r w:rsidRPr="001024D1">
        <w:rPr>
          <w:rFonts w:cs="Times New Roman"/>
          <w:szCs w:val="24"/>
        </w:rPr>
        <w:t xml:space="preserve">Zheng, X., Zhou, Y., &amp; Iqbal, S. (2022). Working capital management of SMEs in COVID-19: role of managerial personality traits and overconfidence </w:t>
      </w:r>
      <w:proofErr w:type="spellStart"/>
      <w:r w:rsidRPr="001024D1">
        <w:rPr>
          <w:rFonts w:cs="Times New Roman"/>
          <w:szCs w:val="24"/>
        </w:rPr>
        <w:t>behavior</w:t>
      </w:r>
      <w:proofErr w:type="spellEnd"/>
      <w:r w:rsidRPr="001024D1">
        <w:rPr>
          <w:rFonts w:cs="Times New Roman"/>
          <w:szCs w:val="24"/>
        </w:rPr>
        <w:t>. </w:t>
      </w:r>
      <w:r w:rsidRPr="001024D1">
        <w:rPr>
          <w:rFonts w:cs="Times New Roman"/>
          <w:i/>
          <w:iCs/>
          <w:szCs w:val="24"/>
        </w:rPr>
        <w:t>Economic Analysis and Policy</w:t>
      </w:r>
      <w:r w:rsidRPr="001024D1">
        <w:rPr>
          <w:rFonts w:cs="Times New Roman"/>
          <w:szCs w:val="24"/>
        </w:rPr>
        <w:t>, </w:t>
      </w:r>
      <w:r w:rsidRPr="001024D1">
        <w:rPr>
          <w:rFonts w:cs="Times New Roman"/>
          <w:i/>
          <w:iCs/>
          <w:szCs w:val="24"/>
        </w:rPr>
        <w:t>76</w:t>
      </w:r>
      <w:r w:rsidRPr="001024D1">
        <w:rPr>
          <w:rFonts w:cs="Times New Roman"/>
          <w:szCs w:val="24"/>
        </w:rPr>
        <w:t>, 439-451.</w:t>
      </w:r>
    </w:p>
    <w:bookmarkEnd w:id="49"/>
    <w:p w14:paraId="6CFDB1E9" w14:textId="77777777" w:rsidR="003E5AC9" w:rsidRDefault="003E5AC9" w:rsidP="005A763E">
      <w:pPr>
        <w:spacing w:before="240" w:after="240" w:line="360" w:lineRule="auto"/>
        <w:ind w:left="720" w:hanging="720"/>
      </w:pPr>
    </w:p>
    <w:sectPr w:rsidR="003E5AC9" w:rsidSect="003E5A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C65DB" w14:textId="77777777" w:rsidR="000C4A96" w:rsidRDefault="000C4A96">
      <w:pPr>
        <w:spacing w:after="0" w:line="240" w:lineRule="auto"/>
      </w:pPr>
      <w:r>
        <w:separator/>
      </w:r>
    </w:p>
  </w:endnote>
  <w:endnote w:type="continuationSeparator" w:id="0">
    <w:p w14:paraId="0F959B6C" w14:textId="77777777" w:rsidR="000C4A96" w:rsidRDefault="000C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E98F" w14:textId="77777777" w:rsidR="00B7239C" w:rsidRDefault="00B7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1673B" w14:textId="77777777" w:rsidR="00F5219F" w:rsidRPr="009A163D" w:rsidRDefault="00F5219F" w:rsidP="003E5AC9">
    <w:pPr>
      <w:pStyle w:val="Footer"/>
      <w:jc w:val="center"/>
      <w:rPr>
        <w:rFonts w:cs="Times New Roman"/>
        <w:szCs w:val="24"/>
      </w:rPr>
    </w:pPr>
    <w:r w:rsidRPr="009A163D">
      <w:rPr>
        <w:rFonts w:eastAsiaTheme="minorEastAsia" w:cs="Times New Roman"/>
        <w:szCs w:val="24"/>
      </w:rPr>
      <w:fldChar w:fldCharType="begin"/>
    </w:r>
    <w:r w:rsidRPr="009A163D">
      <w:rPr>
        <w:rFonts w:cs="Times New Roman"/>
        <w:szCs w:val="24"/>
      </w:rPr>
      <w:instrText xml:space="preserve"> PAGE    \* MERGEFORMAT </w:instrText>
    </w:r>
    <w:r w:rsidRPr="009A163D">
      <w:rPr>
        <w:rFonts w:eastAsiaTheme="minorEastAsia" w:cs="Times New Roman"/>
        <w:szCs w:val="24"/>
      </w:rPr>
      <w:fldChar w:fldCharType="separate"/>
    </w:r>
    <w:r w:rsidR="001024D1" w:rsidRPr="001024D1">
      <w:rPr>
        <w:rFonts w:eastAsiaTheme="majorEastAsia" w:cs="Times New Roman"/>
        <w:noProof/>
        <w:szCs w:val="24"/>
      </w:rPr>
      <w:t>15</w:t>
    </w:r>
    <w:r w:rsidRPr="009A163D">
      <w:rPr>
        <w:rFonts w:eastAsiaTheme="majorEastAsia" w:cs="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993A" w14:textId="77777777" w:rsidR="00B7239C" w:rsidRDefault="00B7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43E77" w14:textId="77777777" w:rsidR="000C4A96" w:rsidRDefault="000C4A96">
      <w:pPr>
        <w:spacing w:after="0" w:line="240" w:lineRule="auto"/>
      </w:pPr>
      <w:r>
        <w:separator/>
      </w:r>
    </w:p>
  </w:footnote>
  <w:footnote w:type="continuationSeparator" w:id="0">
    <w:p w14:paraId="0895A1DE" w14:textId="77777777" w:rsidR="000C4A96" w:rsidRDefault="000C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75D2" w14:textId="6C2765E1" w:rsidR="00B7239C" w:rsidRDefault="00B7239C">
    <w:pPr>
      <w:pStyle w:val="Header"/>
    </w:pPr>
    <w:r>
      <w:rPr>
        <w:noProof/>
      </w:rPr>
      <w:pict w14:anchorId="6C71F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0432" w14:textId="18FC5C06" w:rsidR="00B7239C" w:rsidRDefault="00B7239C">
    <w:pPr>
      <w:pStyle w:val="Header"/>
    </w:pPr>
    <w:r>
      <w:rPr>
        <w:noProof/>
      </w:rPr>
      <w:pict w14:anchorId="20BD4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600C" w14:textId="5155080D" w:rsidR="00B7239C" w:rsidRDefault="00B7239C">
    <w:pPr>
      <w:pStyle w:val="Header"/>
    </w:pPr>
    <w:r>
      <w:rPr>
        <w:noProof/>
      </w:rPr>
      <w:pict w14:anchorId="22CA9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07267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D02FC"/>
    <w:multiLevelType w:val="hybridMultilevel"/>
    <w:tmpl w:val="759A0B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8DF3EE0"/>
    <w:multiLevelType w:val="hybridMultilevel"/>
    <w:tmpl w:val="CB70416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7A7E65"/>
    <w:multiLevelType w:val="multilevel"/>
    <w:tmpl w:val="726860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CC"/>
    <w:rsid w:val="000462AE"/>
    <w:rsid w:val="000C4A96"/>
    <w:rsid w:val="000D198F"/>
    <w:rsid w:val="001024D1"/>
    <w:rsid w:val="00162784"/>
    <w:rsid w:val="0016381E"/>
    <w:rsid w:val="001D009F"/>
    <w:rsid w:val="0022056D"/>
    <w:rsid w:val="0023545F"/>
    <w:rsid w:val="002910C1"/>
    <w:rsid w:val="00294F16"/>
    <w:rsid w:val="00302769"/>
    <w:rsid w:val="00357C82"/>
    <w:rsid w:val="003B5831"/>
    <w:rsid w:val="003E5AC9"/>
    <w:rsid w:val="003F09F2"/>
    <w:rsid w:val="00430A70"/>
    <w:rsid w:val="00444A33"/>
    <w:rsid w:val="005A4DE6"/>
    <w:rsid w:val="005A763E"/>
    <w:rsid w:val="005D0F5D"/>
    <w:rsid w:val="005E066F"/>
    <w:rsid w:val="00613105"/>
    <w:rsid w:val="00644691"/>
    <w:rsid w:val="00661758"/>
    <w:rsid w:val="00680AFC"/>
    <w:rsid w:val="0068241F"/>
    <w:rsid w:val="007415CA"/>
    <w:rsid w:val="00757E70"/>
    <w:rsid w:val="007B3A1A"/>
    <w:rsid w:val="007D4334"/>
    <w:rsid w:val="0086286F"/>
    <w:rsid w:val="008C39AC"/>
    <w:rsid w:val="0098363E"/>
    <w:rsid w:val="00A15751"/>
    <w:rsid w:val="00A41EB5"/>
    <w:rsid w:val="00A52A92"/>
    <w:rsid w:val="00A5625E"/>
    <w:rsid w:val="00A5710F"/>
    <w:rsid w:val="00AF0023"/>
    <w:rsid w:val="00AF3646"/>
    <w:rsid w:val="00B7239C"/>
    <w:rsid w:val="00BF6929"/>
    <w:rsid w:val="00C27D14"/>
    <w:rsid w:val="00CD6FE6"/>
    <w:rsid w:val="00D06D43"/>
    <w:rsid w:val="00D646AC"/>
    <w:rsid w:val="00D761CC"/>
    <w:rsid w:val="00DC5DAE"/>
    <w:rsid w:val="00DE0D0B"/>
    <w:rsid w:val="00E55D06"/>
    <w:rsid w:val="00E9044F"/>
    <w:rsid w:val="00EC56B9"/>
    <w:rsid w:val="00EF488C"/>
    <w:rsid w:val="00F202FA"/>
    <w:rsid w:val="00F2266F"/>
    <w:rsid w:val="00F5219F"/>
    <w:rsid w:val="00F8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98920"/>
  <w15:chartTrackingRefBased/>
  <w15:docId w15:val="{5EB77E95-179D-4261-9648-EA745056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1CC"/>
    <w:pPr>
      <w:spacing w:after="200"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D761CC"/>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761CC"/>
    <w:pPr>
      <w:keepNext/>
      <w:keepLines/>
      <w:spacing w:before="200" w:after="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761CC"/>
    <w:pPr>
      <w:keepNext/>
      <w:keepLines/>
      <w:spacing w:before="200" w:after="0"/>
      <w:jc w:val="left"/>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761CC"/>
    <w:pPr>
      <w:keepNext/>
      <w:tabs>
        <w:tab w:val="num" w:pos="2880"/>
      </w:tabs>
      <w:spacing w:before="240" w:after="60" w:line="240" w:lineRule="auto"/>
      <w:ind w:left="2880" w:hanging="720"/>
      <w:jc w:val="left"/>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semiHidden/>
    <w:unhideWhenUsed/>
    <w:qFormat/>
    <w:rsid w:val="00D761CC"/>
    <w:pPr>
      <w:tabs>
        <w:tab w:val="num" w:pos="3600"/>
      </w:tabs>
      <w:spacing w:before="240" w:after="60" w:line="240" w:lineRule="auto"/>
      <w:ind w:left="3600" w:hanging="720"/>
      <w:jc w:val="left"/>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qFormat/>
    <w:rsid w:val="00D761CC"/>
    <w:pPr>
      <w:tabs>
        <w:tab w:val="num" w:pos="4320"/>
      </w:tabs>
      <w:spacing w:before="240" w:after="60" w:line="240" w:lineRule="auto"/>
      <w:ind w:left="4320" w:hanging="720"/>
      <w:jc w:val="left"/>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D761CC"/>
    <w:pPr>
      <w:tabs>
        <w:tab w:val="num" w:pos="5040"/>
      </w:tabs>
      <w:spacing w:before="240" w:after="60" w:line="240" w:lineRule="auto"/>
      <w:ind w:left="5040" w:hanging="720"/>
      <w:jc w:val="left"/>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D761CC"/>
    <w:pPr>
      <w:tabs>
        <w:tab w:val="num" w:pos="5760"/>
      </w:tabs>
      <w:spacing w:before="240" w:after="60" w:line="240" w:lineRule="auto"/>
      <w:ind w:left="5760" w:hanging="720"/>
      <w:jc w:val="left"/>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D761C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CC"/>
    <w:rPr>
      <w:rFonts w:ascii="Times New Roman" w:eastAsiaTheme="majorEastAsia" w:hAnsi="Times New Roman" w:cstheme="majorBidi"/>
      <w:b/>
      <w:bCs/>
      <w:sz w:val="24"/>
      <w:szCs w:val="28"/>
      <w:lang w:val="en-GB"/>
    </w:rPr>
  </w:style>
  <w:style w:type="character" w:customStyle="1" w:styleId="Heading2Char">
    <w:name w:val="Heading 2 Char"/>
    <w:basedOn w:val="DefaultParagraphFont"/>
    <w:link w:val="Heading2"/>
    <w:uiPriority w:val="9"/>
    <w:rsid w:val="00D761CC"/>
    <w:rPr>
      <w:rFonts w:ascii="Times New Roman" w:eastAsiaTheme="majorEastAsia" w:hAnsi="Times New Roman" w:cstheme="majorBidi"/>
      <w:b/>
      <w:bCs/>
      <w:sz w:val="24"/>
      <w:szCs w:val="26"/>
      <w:lang w:val="en-GB"/>
    </w:rPr>
  </w:style>
  <w:style w:type="character" w:customStyle="1" w:styleId="Heading3Char">
    <w:name w:val="Heading 3 Char"/>
    <w:basedOn w:val="DefaultParagraphFont"/>
    <w:link w:val="Heading3"/>
    <w:uiPriority w:val="9"/>
    <w:rsid w:val="00D761CC"/>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semiHidden/>
    <w:rsid w:val="00D761CC"/>
    <w:rPr>
      <w:rFonts w:eastAsiaTheme="minorEastAsia"/>
      <w:b/>
      <w:bCs/>
      <w:sz w:val="28"/>
      <w:szCs w:val="28"/>
    </w:rPr>
  </w:style>
  <w:style w:type="character" w:customStyle="1" w:styleId="Heading5Char">
    <w:name w:val="Heading 5 Char"/>
    <w:basedOn w:val="DefaultParagraphFont"/>
    <w:link w:val="Heading5"/>
    <w:uiPriority w:val="9"/>
    <w:semiHidden/>
    <w:rsid w:val="00D761CC"/>
    <w:rPr>
      <w:rFonts w:eastAsiaTheme="minorEastAsia"/>
      <w:b/>
      <w:bCs/>
      <w:i/>
      <w:iCs/>
      <w:sz w:val="26"/>
      <w:szCs w:val="26"/>
    </w:rPr>
  </w:style>
  <w:style w:type="character" w:customStyle="1" w:styleId="Heading6Char">
    <w:name w:val="Heading 6 Char"/>
    <w:basedOn w:val="DefaultParagraphFont"/>
    <w:link w:val="Heading6"/>
    <w:rsid w:val="00D761C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761CC"/>
    <w:rPr>
      <w:rFonts w:eastAsiaTheme="minorEastAsia"/>
      <w:sz w:val="24"/>
      <w:szCs w:val="24"/>
    </w:rPr>
  </w:style>
  <w:style w:type="character" w:customStyle="1" w:styleId="Heading8Char">
    <w:name w:val="Heading 8 Char"/>
    <w:basedOn w:val="DefaultParagraphFont"/>
    <w:link w:val="Heading8"/>
    <w:uiPriority w:val="9"/>
    <w:semiHidden/>
    <w:rsid w:val="00D761CC"/>
    <w:rPr>
      <w:rFonts w:eastAsiaTheme="minorEastAsia"/>
      <w:i/>
      <w:iCs/>
      <w:sz w:val="24"/>
      <w:szCs w:val="24"/>
    </w:rPr>
  </w:style>
  <w:style w:type="character" w:customStyle="1" w:styleId="Heading9Char">
    <w:name w:val="Heading 9 Char"/>
    <w:basedOn w:val="DefaultParagraphFont"/>
    <w:link w:val="Heading9"/>
    <w:uiPriority w:val="9"/>
    <w:semiHidden/>
    <w:rsid w:val="00D761CC"/>
    <w:rPr>
      <w:rFonts w:asciiTheme="majorHAnsi" w:eastAsiaTheme="majorEastAsia" w:hAnsiTheme="majorHAnsi" w:cstheme="majorBidi"/>
    </w:rPr>
  </w:style>
  <w:style w:type="character" w:styleId="HTMLCite">
    <w:name w:val="HTML Cite"/>
    <w:basedOn w:val="DefaultParagraphFont"/>
    <w:uiPriority w:val="99"/>
    <w:semiHidden/>
    <w:unhideWhenUsed/>
    <w:rsid w:val="00D761CC"/>
    <w:rPr>
      <w:i/>
      <w:iCs/>
    </w:rPr>
  </w:style>
  <w:style w:type="character" w:styleId="Hyperlink">
    <w:name w:val="Hyperlink"/>
    <w:basedOn w:val="DefaultParagraphFont"/>
    <w:uiPriority w:val="99"/>
    <w:unhideWhenUsed/>
    <w:rsid w:val="00D761CC"/>
    <w:rPr>
      <w:color w:val="0563C1" w:themeColor="hyperlink"/>
      <w:u w:val="single"/>
    </w:rPr>
  </w:style>
  <w:style w:type="paragraph" w:styleId="ListParagraph">
    <w:name w:val="List Paragraph"/>
    <w:aliases w:val="normal"/>
    <w:basedOn w:val="Normal"/>
    <w:link w:val="ListParagraphChar"/>
    <w:uiPriority w:val="34"/>
    <w:qFormat/>
    <w:rsid w:val="00D761CC"/>
    <w:pPr>
      <w:ind w:left="720"/>
      <w:contextualSpacing/>
    </w:pPr>
  </w:style>
  <w:style w:type="character" w:customStyle="1" w:styleId="ListParagraphChar">
    <w:name w:val="List Paragraph Char"/>
    <w:aliases w:val="normal Char"/>
    <w:link w:val="ListParagraph"/>
    <w:uiPriority w:val="34"/>
    <w:locked/>
    <w:rsid w:val="00D761CC"/>
    <w:rPr>
      <w:rFonts w:ascii="Times New Roman" w:hAnsi="Times New Roman"/>
      <w:sz w:val="24"/>
      <w:lang w:val="en-GB"/>
    </w:rPr>
  </w:style>
  <w:style w:type="paragraph" w:customStyle="1" w:styleId="Default">
    <w:name w:val="Default"/>
    <w:rsid w:val="00D761C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uiPriority w:val="22"/>
    <w:qFormat/>
    <w:rsid w:val="00D761CC"/>
    <w:rPr>
      <w:b/>
    </w:rPr>
  </w:style>
  <w:style w:type="paragraph" w:styleId="NoSpacing">
    <w:name w:val="No Spacing"/>
    <w:link w:val="NoSpacingChar"/>
    <w:uiPriority w:val="1"/>
    <w:qFormat/>
    <w:rsid w:val="00D761CC"/>
    <w:pPr>
      <w:spacing w:after="0" w:line="240" w:lineRule="auto"/>
    </w:pPr>
    <w:rPr>
      <w:rFonts w:ascii="Calibri" w:eastAsia="Calibri" w:hAnsi="Calibri" w:cs="Times New Roman"/>
      <w:sz w:val="24"/>
      <w:lang w:val="en-GB"/>
    </w:rPr>
  </w:style>
  <w:style w:type="character" w:customStyle="1" w:styleId="NoSpacingChar">
    <w:name w:val="No Spacing Char"/>
    <w:link w:val="NoSpacing"/>
    <w:uiPriority w:val="1"/>
    <w:rsid w:val="00D761CC"/>
    <w:rPr>
      <w:rFonts w:ascii="Calibri" w:eastAsia="Calibri" w:hAnsi="Calibri" w:cs="Times New Roman"/>
      <w:sz w:val="24"/>
      <w:lang w:val="en-GB"/>
    </w:rPr>
  </w:style>
  <w:style w:type="paragraph" w:styleId="Header">
    <w:name w:val="header"/>
    <w:basedOn w:val="Normal"/>
    <w:link w:val="HeaderChar"/>
    <w:uiPriority w:val="99"/>
    <w:unhideWhenUsed/>
    <w:rsid w:val="00D7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CC"/>
    <w:rPr>
      <w:rFonts w:ascii="Times New Roman" w:hAnsi="Times New Roman"/>
      <w:sz w:val="24"/>
      <w:lang w:val="en-GB"/>
    </w:rPr>
  </w:style>
  <w:style w:type="paragraph" w:styleId="Footer">
    <w:name w:val="footer"/>
    <w:basedOn w:val="Normal"/>
    <w:link w:val="FooterChar"/>
    <w:uiPriority w:val="99"/>
    <w:unhideWhenUsed/>
    <w:rsid w:val="00D7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CC"/>
    <w:rPr>
      <w:rFonts w:ascii="Times New Roman" w:hAnsi="Times New Roman"/>
      <w:sz w:val="24"/>
      <w:lang w:val="en-GB"/>
    </w:rPr>
  </w:style>
  <w:style w:type="paragraph" w:styleId="TOCHeading">
    <w:name w:val="TOC Heading"/>
    <w:basedOn w:val="Heading1"/>
    <w:next w:val="Normal"/>
    <w:uiPriority w:val="39"/>
    <w:semiHidden/>
    <w:unhideWhenUsed/>
    <w:qFormat/>
    <w:rsid w:val="00D761CC"/>
    <w:pPr>
      <w:spacing w:line="276" w:lineRule="auto"/>
      <w:jc w:val="left"/>
      <w:outlineLvl w:val="9"/>
    </w:pPr>
    <w:rPr>
      <w:rFonts w:asciiTheme="majorHAnsi" w:hAnsiTheme="majorHAnsi"/>
      <w:color w:val="2E74B5" w:themeColor="accent1" w:themeShade="BF"/>
      <w:sz w:val="28"/>
      <w:lang w:val="en-US" w:eastAsia="ja-JP"/>
    </w:rPr>
  </w:style>
  <w:style w:type="paragraph" w:styleId="TOC1">
    <w:name w:val="toc 1"/>
    <w:basedOn w:val="Normal"/>
    <w:next w:val="Normal"/>
    <w:autoRedefine/>
    <w:uiPriority w:val="39"/>
    <w:unhideWhenUsed/>
    <w:rsid w:val="00D761CC"/>
    <w:pPr>
      <w:tabs>
        <w:tab w:val="right" w:leader="dot" w:pos="8296"/>
      </w:tabs>
      <w:spacing w:after="100"/>
    </w:pPr>
    <w:rPr>
      <w:b/>
      <w:noProof/>
    </w:rPr>
  </w:style>
  <w:style w:type="paragraph" w:styleId="TOC2">
    <w:name w:val="toc 2"/>
    <w:basedOn w:val="Normal"/>
    <w:next w:val="Normal"/>
    <w:autoRedefine/>
    <w:uiPriority w:val="39"/>
    <w:unhideWhenUsed/>
    <w:rsid w:val="00D761CC"/>
    <w:pPr>
      <w:tabs>
        <w:tab w:val="right" w:leader="dot" w:pos="8296"/>
      </w:tabs>
      <w:spacing w:after="100"/>
    </w:pPr>
    <w:rPr>
      <w:noProof/>
    </w:rPr>
  </w:style>
  <w:style w:type="paragraph" w:styleId="TOC3">
    <w:name w:val="toc 3"/>
    <w:basedOn w:val="Normal"/>
    <w:next w:val="Normal"/>
    <w:autoRedefine/>
    <w:uiPriority w:val="39"/>
    <w:unhideWhenUsed/>
    <w:rsid w:val="00D761CC"/>
    <w:pPr>
      <w:spacing w:after="100"/>
      <w:ind w:left="480"/>
    </w:pPr>
  </w:style>
  <w:style w:type="character" w:customStyle="1" w:styleId="BalloonTextChar">
    <w:name w:val="Balloon Text Char"/>
    <w:basedOn w:val="DefaultParagraphFont"/>
    <w:link w:val="BalloonText"/>
    <w:uiPriority w:val="99"/>
    <w:semiHidden/>
    <w:rsid w:val="00D761CC"/>
    <w:rPr>
      <w:rFonts w:ascii="Tahoma" w:hAnsi="Tahoma" w:cs="Tahoma"/>
      <w:sz w:val="16"/>
      <w:szCs w:val="16"/>
      <w:lang w:val="en-GB"/>
    </w:rPr>
  </w:style>
  <w:style w:type="paragraph" w:styleId="BalloonText">
    <w:name w:val="Balloon Text"/>
    <w:basedOn w:val="Normal"/>
    <w:link w:val="BalloonTextChar"/>
    <w:uiPriority w:val="99"/>
    <w:semiHidden/>
    <w:unhideWhenUsed/>
    <w:rsid w:val="00D761C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761CC"/>
    <w:rPr>
      <w:rFonts w:ascii="Segoe UI" w:hAnsi="Segoe UI" w:cs="Segoe UI"/>
      <w:sz w:val="18"/>
      <w:szCs w:val="18"/>
      <w:lang w:val="en-GB"/>
    </w:rPr>
  </w:style>
  <w:style w:type="character" w:customStyle="1" w:styleId="st">
    <w:name w:val="st"/>
    <w:basedOn w:val="DefaultParagraphFont"/>
    <w:rsid w:val="00D761CC"/>
  </w:style>
  <w:style w:type="character" w:styleId="Emphasis">
    <w:name w:val="Emphasis"/>
    <w:basedOn w:val="DefaultParagraphFont"/>
    <w:uiPriority w:val="20"/>
    <w:qFormat/>
    <w:rsid w:val="00D761CC"/>
    <w:rPr>
      <w:i/>
      <w:iCs/>
    </w:rPr>
  </w:style>
  <w:style w:type="table" w:styleId="TableGrid">
    <w:name w:val="Table Grid"/>
    <w:basedOn w:val="TableNormal"/>
    <w:uiPriority w:val="59"/>
    <w:rsid w:val="00D761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761CC"/>
    <w:pPr>
      <w:spacing w:line="240" w:lineRule="auto"/>
    </w:pPr>
    <w:rPr>
      <w:sz w:val="20"/>
      <w:szCs w:val="20"/>
    </w:rPr>
  </w:style>
  <w:style w:type="character" w:customStyle="1" w:styleId="CommentTextChar">
    <w:name w:val="Comment Text Char"/>
    <w:basedOn w:val="DefaultParagraphFont"/>
    <w:link w:val="CommentText"/>
    <w:uiPriority w:val="99"/>
    <w:rsid w:val="00D761CC"/>
    <w:rPr>
      <w:rFonts w:ascii="Times New Roman" w:hAnsi="Times New Roman"/>
      <w:sz w:val="20"/>
      <w:szCs w:val="20"/>
      <w:lang w:val="en-GB"/>
    </w:rPr>
  </w:style>
  <w:style w:type="character" w:customStyle="1" w:styleId="CommentSubjectChar">
    <w:name w:val="Comment Subject Char"/>
    <w:basedOn w:val="CommentTextChar"/>
    <w:link w:val="CommentSubject"/>
    <w:uiPriority w:val="99"/>
    <w:semiHidden/>
    <w:rsid w:val="00D761CC"/>
    <w:rPr>
      <w:rFonts w:ascii="Times New Roman" w:hAnsi="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D761CC"/>
    <w:rPr>
      <w:b/>
      <w:bCs/>
    </w:rPr>
  </w:style>
  <w:style w:type="character" w:customStyle="1" w:styleId="CommentSubjectChar1">
    <w:name w:val="Comment Subject Char1"/>
    <w:basedOn w:val="CommentTextChar"/>
    <w:uiPriority w:val="99"/>
    <w:semiHidden/>
    <w:rsid w:val="00D761CC"/>
    <w:rPr>
      <w:rFonts w:ascii="Times New Roman" w:hAnsi="Times New Roman"/>
      <w:b/>
      <w:bCs/>
      <w:sz w:val="20"/>
      <w:szCs w:val="20"/>
      <w:lang w:val="en-GB"/>
    </w:rPr>
  </w:style>
  <w:style w:type="paragraph" w:styleId="Caption">
    <w:name w:val="caption"/>
    <w:basedOn w:val="Normal"/>
    <w:next w:val="Normal"/>
    <w:uiPriority w:val="35"/>
    <w:unhideWhenUsed/>
    <w:qFormat/>
    <w:rsid w:val="00D761CC"/>
    <w:pPr>
      <w:keepNext/>
      <w:keepLines/>
      <w:spacing w:line="240" w:lineRule="auto"/>
    </w:pPr>
    <w:rPr>
      <w:b/>
      <w:iCs/>
      <w:szCs w:val="18"/>
    </w:rPr>
  </w:style>
  <w:style w:type="paragraph" w:styleId="NormalWeb">
    <w:name w:val="Normal (Web)"/>
    <w:basedOn w:val="Normal"/>
    <w:uiPriority w:val="99"/>
    <w:unhideWhenUsed/>
    <w:rsid w:val="00D761CC"/>
    <w:pPr>
      <w:spacing w:before="100" w:beforeAutospacing="1" w:after="100" w:afterAutospacing="1" w:line="240" w:lineRule="auto"/>
      <w:jc w:val="left"/>
    </w:pPr>
    <w:rPr>
      <w:rFonts w:eastAsia="Times New Roman" w:cs="Times New Roman"/>
      <w:szCs w:val="24"/>
      <w:lang w:eastAsia="en-GB"/>
    </w:rPr>
  </w:style>
  <w:style w:type="character" w:customStyle="1" w:styleId="katex-mathml">
    <w:name w:val="katex-mathml"/>
    <w:basedOn w:val="DefaultParagraphFont"/>
    <w:rsid w:val="00D761CC"/>
  </w:style>
  <w:style w:type="character" w:customStyle="1" w:styleId="mord">
    <w:name w:val="mord"/>
    <w:basedOn w:val="DefaultParagraphFont"/>
    <w:rsid w:val="00D761CC"/>
  </w:style>
  <w:style w:type="character" w:customStyle="1" w:styleId="mrel">
    <w:name w:val="mrel"/>
    <w:basedOn w:val="DefaultParagraphFont"/>
    <w:rsid w:val="00D761CC"/>
  </w:style>
  <w:style w:type="character" w:customStyle="1" w:styleId="vlist-s">
    <w:name w:val="vlist-s"/>
    <w:basedOn w:val="DefaultParagraphFont"/>
    <w:rsid w:val="00D761CC"/>
  </w:style>
  <w:style w:type="character" w:customStyle="1" w:styleId="mbin">
    <w:name w:val="mbin"/>
    <w:basedOn w:val="DefaultParagraphFont"/>
    <w:rsid w:val="00D761CC"/>
  </w:style>
  <w:style w:type="paragraph" w:styleId="TableofFigures">
    <w:name w:val="table of figures"/>
    <w:basedOn w:val="Normal"/>
    <w:next w:val="Normal"/>
    <w:uiPriority w:val="99"/>
    <w:unhideWhenUsed/>
    <w:rsid w:val="00D761CC"/>
    <w:pPr>
      <w:spacing w:after="0"/>
    </w:pPr>
  </w:style>
  <w:style w:type="paragraph" w:styleId="TOC4">
    <w:name w:val="toc 4"/>
    <w:basedOn w:val="Normal"/>
    <w:next w:val="Normal"/>
    <w:autoRedefine/>
    <w:uiPriority w:val="39"/>
    <w:unhideWhenUsed/>
    <w:rsid w:val="00D761CC"/>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D761CC"/>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D761CC"/>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D761CC"/>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D761CC"/>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D761CC"/>
    <w:pPr>
      <w:spacing w:after="100" w:line="259" w:lineRule="auto"/>
      <w:ind w:left="1760"/>
      <w:jc w:val="left"/>
    </w:pPr>
    <w:rPr>
      <w:rFonts w:asciiTheme="minorHAnsi" w:eastAsiaTheme="minorEastAsia" w:hAnsiTheme="minorHAnsi"/>
      <w:sz w:val="22"/>
    </w:rPr>
  </w:style>
  <w:style w:type="character" w:customStyle="1" w:styleId="ms-1">
    <w:name w:val="ms-1"/>
    <w:basedOn w:val="DefaultParagraphFont"/>
    <w:rsid w:val="003E5AC9"/>
  </w:style>
  <w:style w:type="character" w:customStyle="1" w:styleId="max-w-15ch">
    <w:name w:val="max-w-[15ch]"/>
    <w:basedOn w:val="DefaultParagraphFont"/>
    <w:rsid w:val="003E5AC9"/>
  </w:style>
  <w:style w:type="character" w:customStyle="1" w:styleId="-me-1">
    <w:name w:val="-me-1"/>
    <w:basedOn w:val="DefaultParagraphFont"/>
    <w:rsid w:val="003E5AC9"/>
  </w:style>
  <w:style w:type="character" w:styleId="UnresolvedMention">
    <w:name w:val="Unresolved Mention"/>
    <w:basedOn w:val="DefaultParagraphFont"/>
    <w:uiPriority w:val="99"/>
    <w:semiHidden/>
    <w:unhideWhenUsed/>
    <w:rsid w:val="008C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74272">
      <w:bodyDiv w:val="1"/>
      <w:marLeft w:val="0"/>
      <w:marRight w:val="0"/>
      <w:marTop w:val="0"/>
      <w:marBottom w:val="0"/>
      <w:divBdr>
        <w:top w:val="none" w:sz="0" w:space="0" w:color="auto"/>
        <w:left w:val="none" w:sz="0" w:space="0" w:color="auto"/>
        <w:bottom w:val="none" w:sz="0" w:space="0" w:color="auto"/>
        <w:right w:val="none" w:sz="0" w:space="0" w:color="auto"/>
      </w:divBdr>
    </w:div>
    <w:div w:id="721172284">
      <w:bodyDiv w:val="1"/>
      <w:marLeft w:val="0"/>
      <w:marRight w:val="0"/>
      <w:marTop w:val="0"/>
      <w:marBottom w:val="0"/>
      <w:divBdr>
        <w:top w:val="none" w:sz="0" w:space="0" w:color="auto"/>
        <w:left w:val="none" w:sz="0" w:space="0" w:color="auto"/>
        <w:bottom w:val="none" w:sz="0" w:space="0" w:color="auto"/>
        <w:right w:val="none" w:sz="0" w:space="0" w:color="auto"/>
      </w:divBdr>
      <w:divsChild>
        <w:div w:id="1952664917">
          <w:marLeft w:val="0"/>
          <w:marRight w:val="0"/>
          <w:marTop w:val="0"/>
          <w:marBottom w:val="0"/>
          <w:divBdr>
            <w:top w:val="none" w:sz="0" w:space="0" w:color="auto"/>
            <w:left w:val="none" w:sz="0" w:space="0" w:color="auto"/>
            <w:bottom w:val="none" w:sz="0" w:space="0" w:color="auto"/>
            <w:right w:val="none" w:sz="0" w:space="0" w:color="auto"/>
          </w:divBdr>
        </w:div>
        <w:div w:id="1714227275">
          <w:marLeft w:val="0"/>
          <w:marRight w:val="0"/>
          <w:marTop w:val="0"/>
          <w:marBottom w:val="0"/>
          <w:divBdr>
            <w:top w:val="none" w:sz="0" w:space="0" w:color="auto"/>
            <w:left w:val="none" w:sz="0" w:space="0" w:color="auto"/>
            <w:bottom w:val="none" w:sz="0" w:space="0" w:color="auto"/>
            <w:right w:val="none" w:sz="0" w:space="0" w:color="auto"/>
          </w:divBdr>
        </w:div>
      </w:divsChild>
    </w:div>
    <w:div w:id="1139881327">
      <w:bodyDiv w:val="1"/>
      <w:marLeft w:val="0"/>
      <w:marRight w:val="0"/>
      <w:marTop w:val="0"/>
      <w:marBottom w:val="0"/>
      <w:divBdr>
        <w:top w:val="none" w:sz="0" w:space="0" w:color="auto"/>
        <w:left w:val="none" w:sz="0" w:space="0" w:color="auto"/>
        <w:bottom w:val="none" w:sz="0" w:space="0" w:color="auto"/>
        <w:right w:val="none" w:sz="0" w:space="0" w:color="auto"/>
      </w:divBdr>
    </w:div>
    <w:div w:id="1197157129">
      <w:bodyDiv w:val="1"/>
      <w:marLeft w:val="0"/>
      <w:marRight w:val="0"/>
      <w:marTop w:val="0"/>
      <w:marBottom w:val="0"/>
      <w:divBdr>
        <w:top w:val="none" w:sz="0" w:space="0" w:color="auto"/>
        <w:left w:val="none" w:sz="0" w:space="0" w:color="auto"/>
        <w:bottom w:val="none" w:sz="0" w:space="0" w:color="auto"/>
        <w:right w:val="none" w:sz="0" w:space="0" w:color="auto"/>
      </w:divBdr>
    </w:div>
    <w:div w:id="1396009700">
      <w:bodyDiv w:val="1"/>
      <w:marLeft w:val="0"/>
      <w:marRight w:val="0"/>
      <w:marTop w:val="0"/>
      <w:marBottom w:val="0"/>
      <w:divBdr>
        <w:top w:val="none" w:sz="0" w:space="0" w:color="auto"/>
        <w:left w:val="none" w:sz="0" w:space="0" w:color="auto"/>
        <w:bottom w:val="none" w:sz="0" w:space="0" w:color="auto"/>
        <w:right w:val="none" w:sz="0" w:space="0" w:color="auto"/>
      </w:divBdr>
    </w:div>
    <w:div w:id="1641417280">
      <w:bodyDiv w:val="1"/>
      <w:marLeft w:val="0"/>
      <w:marRight w:val="0"/>
      <w:marTop w:val="0"/>
      <w:marBottom w:val="0"/>
      <w:divBdr>
        <w:top w:val="none" w:sz="0" w:space="0" w:color="auto"/>
        <w:left w:val="none" w:sz="0" w:space="0" w:color="auto"/>
        <w:bottom w:val="none" w:sz="0" w:space="0" w:color="auto"/>
        <w:right w:val="none" w:sz="0" w:space="0" w:color="auto"/>
      </w:divBdr>
    </w:div>
    <w:div w:id="1691181462">
      <w:bodyDiv w:val="1"/>
      <w:marLeft w:val="0"/>
      <w:marRight w:val="0"/>
      <w:marTop w:val="0"/>
      <w:marBottom w:val="0"/>
      <w:divBdr>
        <w:top w:val="none" w:sz="0" w:space="0" w:color="auto"/>
        <w:left w:val="none" w:sz="0" w:space="0" w:color="auto"/>
        <w:bottom w:val="none" w:sz="0" w:space="0" w:color="auto"/>
        <w:right w:val="none" w:sz="0" w:space="0" w:color="auto"/>
      </w:divBdr>
    </w:div>
    <w:div w:id="19820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a.or.ke/index.php/news-and.../cma-annual-reports?...cma-annual-report"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njilu\Downloads\WC%20Data%20Collection%20Combined%20-%20J%20Nduk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lumMod val="65000"/>
                  <a:lumOff val="35000"/>
                </a:schemeClr>
              </a:solidFill>
              <a:round/>
            </a:ln>
            <a:effectLst/>
          </c:spPr>
          <c:marker>
            <c:symbol val="none"/>
          </c:marker>
          <c:cat>
            <c:numRef>
              <c:f>'Financial Sustainability'!$S$6:$S$15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'Financial Sustainability'!$X$6:$X$15</c:f>
              <c:numCache>
                <c:formatCode>0.000</c:formatCode>
                <c:ptCount val="10"/>
                <c:pt idx="0">
                  <c:v>1.0376529050937027</c:v>
                </c:pt>
                <c:pt idx="1">
                  <c:v>0.97406285883379551</c:v>
                </c:pt>
                <c:pt idx="2">
                  <c:v>0.56740514516199647</c:v>
                </c:pt>
                <c:pt idx="3">
                  <c:v>0.70159402607252985</c:v>
                </c:pt>
                <c:pt idx="4">
                  <c:v>0.48645218717141309</c:v>
                </c:pt>
                <c:pt idx="5">
                  <c:v>0.36283637009879627</c:v>
                </c:pt>
                <c:pt idx="6">
                  <c:v>0.40029669835023268</c:v>
                </c:pt>
                <c:pt idx="7">
                  <c:v>0.42250903723147021</c:v>
                </c:pt>
                <c:pt idx="8">
                  <c:v>0.53134539480664744</c:v>
                </c:pt>
                <c:pt idx="9">
                  <c:v>0.53264035791310926</c:v>
                </c:pt>
              </c:numCache>
            </c:numRef>
          </c:val>
          <c:smooth val="0"/>
          <c:extLst>
            <c:ext xmlns:c16="http://schemas.microsoft.com/office/drawing/2014/chart" uri="{C3380CC4-5D6E-409C-BE32-E72D297353CC}">
              <c16:uniqueId val="{00000000-27D7-428A-84CE-8768C861E85B}"/>
            </c:ext>
          </c:extLst>
        </c:ser>
        <c:dLbls>
          <c:showLegendKey val="0"/>
          <c:showVal val="0"/>
          <c:showCatName val="0"/>
          <c:showSerName val="0"/>
          <c:showPercent val="0"/>
          <c:showBubbleSize val="0"/>
        </c:dLbls>
        <c:smooth val="0"/>
        <c:axId val="257265312"/>
        <c:axId val="257266624"/>
      </c:lineChart>
      <c:catAx>
        <c:axId val="257265312"/>
        <c:scaling>
          <c:orientation val="minMax"/>
        </c:scaling>
        <c:delete val="0"/>
        <c:axPos val="b"/>
        <c:title>
          <c:tx>
            <c:rich>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1"/>
                  <a:t>Year</a:t>
                </a:r>
              </a:p>
            </c:rich>
          </c:tx>
          <c:overlay val="0"/>
          <c:spPr>
            <a:noFill/>
            <a:ln>
              <a:noFill/>
            </a:ln>
            <a:effectLst/>
          </c:spPr>
          <c:txPr>
            <a:bodyPr rot="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7266624"/>
        <c:crosses val="autoZero"/>
        <c:auto val="1"/>
        <c:lblAlgn val="ctr"/>
        <c:lblOffset val="100"/>
        <c:noMultiLvlLbl val="0"/>
      </c:catAx>
      <c:valAx>
        <c:axId val="257266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1"/>
                  <a:t>Operating Surplus Ratio</a:t>
                </a:r>
              </a:p>
            </c:rich>
          </c:tx>
          <c:layout>
            <c:manualLayout>
              <c:xMode val="edge"/>
              <c:yMode val="edge"/>
              <c:x val="9.7323600973236012E-3"/>
              <c:y val="0.22250738143288673"/>
            </c:manualLayout>
          </c:layout>
          <c:overlay val="0"/>
          <c:spPr>
            <a:noFill/>
            <a:ln>
              <a:noFill/>
            </a:ln>
            <a:effectLst/>
          </c:spPr>
          <c:txPr>
            <a:bodyPr rot="-54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7265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6250</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5</cp:revision>
  <dcterms:created xsi:type="dcterms:W3CDTF">2025-12-10T03:55:00Z</dcterms:created>
  <dcterms:modified xsi:type="dcterms:W3CDTF">2026-01-31T11:39:00Z</dcterms:modified>
</cp:coreProperties>
</file>