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7B3E" w:rsidRDefault="00267B3E">
      <w:pPr>
        <w:ind w:hanging="900"/>
        <w:jc w:val="right"/>
        <w:rPr>
          <w:b/>
          <w:bCs/>
          <w:sz w:val="32"/>
          <w:szCs w:val="32"/>
          <w:lang w:val="en-GB"/>
        </w:rPr>
      </w:pPr>
      <w:r w:rsidRPr="00267B3E">
        <w:rPr>
          <w:b/>
          <w:bCs/>
          <w:sz w:val="32"/>
          <w:szCs w:val="32"/>
          <w:lang w:val="en-GB"/>
        </w:rPr>
        <w:t>Original Research Article</w:t>
      </w:r>
    </w:p>
    <w:p w:rsidR="00267B3E" w:rsidRDefault="00267B3E">
      <w:pPr>
        <w:ind w:hanging="900"/>
        <w:jc w:val="right"/>
        <w:rPr>
          <w:b/>
          <w:bCs/>
          <w:sz w:val="32"/>
          <w:szCs w:val="32"/>
        </w:rPr>
      </w:pPr>
    </w:p>
    <w:p w:rsidR="0076172D" w:rsidRDefault="00E72F9D">
      <w:pPr>
        <w:ind w:hanging="900"/>
        <w:jc w:val="right"/>
        <w:rPr>
          <w:b/>
          <w:bCs/>
          <w:sz w:val="30"/>
          <w:szCs w:val="30"/>
        </w:rPr>
      </w:pPr>
      <w:r>
        <w:rPr>
          <w:b/>
          <w:bCs/>
          <w:sz w:val="32"/>
          <w:szCs w:val="32"/>
        </w:rPr>
        <w:t>Effect of Different pH Level on the Formation of Calcium Oxalate Precipitate in Simulated Urine Environment</w:t>
      </w:r>
      <w:r>
        <w:rPr>
          <w:b/>
          <w:bCs/>
          <w:sz w:val="30"/>
          <w:szCs w:val="30"/>
        </w:rPr>
        <w:t xml:space="preserve"> </w:t>
      </w:r>
    </w:p>
    <w:p w:rsidR="0076172D" w:rsidRDefault="0076172D">
      <w:pPr>
        <w:jc w:val="right"/>
        <w:rPr>
          <w:sz w:val="26"/>
          <w:szCs w:val="26"/>
        </w:rPr>
      </w:pPr>
    </w:p>
    <w:p w:rsidR="0076172D" w:rsidRDefault="0076172D">
      <w:pPr>
        <w:spacing w:line="360" w:lineRule="auto"/>
        <w:rPr>
          <w:i/>
          <w:iCs/>
          <w:sz w:val="20"/>
          <w:szCs w:val="20"/>
        </w:rPr>
      </w:pPr>
      <w:bookmarkStart w:id="0" w:name="_GoBack"/>
      <w:bookmarkEnd w:id="0"/>
    </w:p>
    <w:p w:rsidR="0076172D" w:rsidRDefault="00E72F9D">
      <w:pPr>
        <w:jc w:val="center"/>
        <w:rPr>
          <w:b/>
          <w:bCs/>
          <w:sz w:val="24"/>
          <w:szCs w:val="24"/>
        </w:rPr>
      </w:pPr>
      <w:r>
        <w:rPr>
          <w:b/>
          <w:bCs/>
          <w:sz w:val="24"/>
          <w:szCs w:val="24"/>
        </w:rPr>
        <w:t>______________________________________________________________________</w:t>
      </w:r>
    </w:p>
    <w:p w:rsidR="0076172D" w:rsidRDefault="0076172D">
      <w:pPr>
        <w:jc w:val="center"/>
        <w:rPr>
          <w:b/>
          <w:bCs/>
          <w:sz w:val="24"/>
          <w:szCs w:val="24"/>
        </w:rPr>
      </w:pPr>
    </w:p>
    <w:p w:rsidR="0076172D" w:rsidRDefault="00E72F9D">
      <w:pPr>
        <w:jc w:val="both"/>
        <w:rPr>
          <w:b/>
          <w:bCs/>
        </w:rPr>
      </w:pPr>
      <w:r>
        <w:rPr>
          <w:b/>
          <w:bCs/>
        </w:rPr>
        <w:t>ABSTRACT</w:t>
      </w:r>
    </w:p>
    <w:p w:rsidR="0076172D" w:rsidRDefault="0076172D">
      <w:pPr>
        <w:jc w:val="both"/>
        <w:rPr>
          <w:b/>
          <w:bCs/>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6172D">
        <w:tc>
          <w:tcPr>
            <w:tcW w:w="9360" w:type="dxa"/>
            <w:shd w:val="clear" w:color="auto" w:fill="EFEFEF"/>
            <w:tcMar>
              <w:top w:w="100" w:type="dxa"/>
              <w:left w:w="100" w:type="dxa"/>
              <w:bottom w:w="100" w:type="dxa"/>
              <w:right w:w="100" w:type="dxa"/>
            </w:tcMar>
          </w:tcPr>
          <w:p w:rsidR="0076172D" w:rsidRDefault="00E72F9D">
            <w:pPr>
              <w:jc w:val="both"/>
              <w:rPr>
                <w:b/>
                <w:bCs/>
                <w:sz w:val="20"/>
                <w:szCs w:val="20"/>
              </w:rPr>
            </w:pPr>
            <w:r>
              <w:rPr>
                <w:sz w:val="20"/>
                <w:szCs w:val="20"/>
              </w:rPr>
              <w:t>Kidney stones, particularly those composed of calcium oxalate (</w:t>
            </w:r>
            <w:proofErr w:type="spellStart"/>
            <w:r>
              <w:rPr>
                <w:sz w:val="20"/>
                <w:szCs w:val="20"/>
              </w:rPr>
              <w:t>CaOx</w:t>
            </w:r>
            <w:proofErr w:type="spellEnd"/>
            <w:r>
              <w:rPr>
                <w:sz w:val="20"/>
                <w:szCs w:val="20"/>
              </w:rPr>
              <w:t xml:space="preserve">), are a common urological disorder influenced by urinary chemistry, especially </w:t>
            </w:r>
            <w:proofErr w:type="spellStart"/>
            <w:r>
              <w:rPr>
                <w:sz w:val="20"/>
                <w:szCs w:val="20"/>
              </w:rPr>
              <w:t>pH.</w:t>
            </w:r>
            <w:proofErr w:type="spellEnd"/>
            <w:r>
              <w:rPr>
                <w:sz w:val="20"/>
                <w:szCs w:val="20"/>
              </w:rPr>
              <w:t xml:space="preserve"> This study aimed to inv</w:t>
            </w:r>
            <w:r>
              <w:rPr>
                <w:sz w:val="20"/>
                <w:szCs w:val="20"/>
              </w:rPr>
              <w:t>estigate how pH affects the precipitation of calcium oxalate in a simulated urine environment. Artificial urine solutions were prepared to reflect typical ionic compositions and adjusted to seven pH levels ranging from 5.0 to 8.0. The formation of precipit</w:t>
            </w:r>
            <w:r>
              <w:rPr>
                <w:sz w:val="20"/>
                <w:szCs w:val="20"/>
              </w:rPr>
              <w:t xml:space="preserve">ate after the reaction between calcium chloride and sodium oxalate was recorded by measuring sediment thickness. The results showed that acidic conditions significantly promoted </w:t>
            </w:r>
            <w:proofErr w:type="spellStart"/>
            <w:r>
              <w:rPr>
                <w:sz w:val="20"/>
                <w:szCs w:val="20"/>
              </w:rPr>
              <w:t>CaOx</w:t>
            </w:r>
            <w:proofErr w:type="spellEnd"/>
            <w:r>
              <w:rPr>
                <w:sz w:val="20"/>
                <w:szCs w:val="20"/>
              </w:rPr>
              <w:t xml:space="preserve"> precipitation, whereas near-neutral pH (around 6.5–7.0) minimized it. A s</w:t>
            </w:r>
            <w:r>
              <w:rPr>
                <w:sz w:val="20"/>
                <w:szCs w:val="20"/>
              </w:rPr>
              <w:t>light increase in precipitate under alkaline conditions was observed, which may have resulted from the formation of calcium hydroxide due to the supraphysiological calcium concentration used. These findings support existing research on the inhibitory effec</w:t>
            </w:r>
            <w:r>
              <w:rPr>
                <w:sz w:val="20"/>
                <w:szCs w:val="20"/>
              </w:rPr>
              <w:t xml:space="preserve">t of physiological pH on stone formation and emphasize the importance of maintaining balanced urinary chemistry. </w:t>
            </w:r>
          </w:p>
        </w:tc>
      </w:tr>
    </w:tbl>
    <w:p w:rsidR="0076172D" w:rsidRDefault="0076172D"/>
    <w:p w:rsidR="0076172D" w:rsidRDefault="00E72F9D">
      <w:pPr>
        <w:rPr>
          <w:i/>
          <w:iCs/>
          <w:sz w:val="20"/>
          <w:szCs w:val="20"/>
        </w:rPr>
      </w:pPr>
      <w:r>
        <w:rPr>
          <w:i/>
          <w:iCs/>
          <w:sz w:val="20"/>
          <w:szCs w:val="20"/>
        </w:rPr>
        <w:t>Keyword: Kidney stone, calcium oxalate, citrate, pH, urine, precipitation.</w:t>
      </w:r>
    </w:p>
    <w:p w:rsidR="0076172D" w:rsidRDefault="0076172D"/>
    <w:p w:rsidR="0076172D" w:rsidRDefault="0076172D">
      <w:pPr>
        <w:ind w:left="720" w:hanging="360"/>
        <w:rPr>
          <w:b/>
          <w:bCs/>
        </w:rPr>
        <w:sectPr w:rsidR="0076172D">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144" w:gutter="0"/>
          <w:pgNumType w:start="1"/>
          <w:cols w:space="720"/>
        </w:sectPr>
      </w:pPr>
    </w:p>
    <w:p w:rsidR="0076172D" w:rsidRDefault="00E72F9D">
      <w:pPr>
        <w:rPr>
          <w:b/>
          <w:bCs/>
        </w:rPr>
      </w:pPr>
      <w:r>
        <w:rPr>
          <w:b/>
          <w:bCs/>
        </w:rPr>
        <w:t>1. INTRODUCTION</w:t>
      </w:r>
    </w:p>
    <w:p w:rsidR="0076172D" w:rsidRDefault="00E72F9D">
      <w:pPr>
        <w:jc w:val="both"/>
        <w:rPr>
          <w:sz w:val="20"/>
          <w:szCs w:val="20"/>
        </w:rPr>
      </w:pPr>
      <w:r>
        <w:rPr>
          <w:sz w:val="20"/>
          <w:szCs w:val="20"/>
        </w:rPr>
        <w:t xml:space="preserve">Kidney stone disease is a common urological condition with increasing global prevalence, affecting approximately 10–15% of the population at least once in their lifetime and </w:t>
      </w:r>
      <w:r>
        <w:rPr>
          <w:color w:val="0D0D0D"/>
          <w:sz w:val="20"/>
          <w:szCs w:val="20"/>
          <w:highlight w:val="white"/>
        </w:rPr>
        <w:t>nearly 50% of people who have developed kidney</w:t>
      </w:r>
      <w:r>
        <w:rPr>
          <w:color w:val="0D0D0D"/>
          <w:sz w:val="20"/>
          <w:szCs w:val="20"/>
          <w:highlight w:val="white"/>
        </w:rPr>
        <w:t xml:space="preserve"> stones will develop another stone in 10 years if they do not take steps to prevent a recurrence (</w:t>
      </w:r>
      <w:proofErr w:type="spellStart"/>
      <w:r>
        <w:rPr>
          <w:color w:val="0D0D0D"/>
          <w:sz w:val="20"/>
          <w:szCs w:val="20"/>
          <w:highlight w:val="white"/>
        </w:rPr>
        <w:t>Bershow</w:t>
      </w:r>
      <w:proofErr w:type="spellEnd"/>
      <w:r>
        <w:rPr>
          <w:color w:val="0D0D0D"/>
          <w:sz w:val="20"/>
          <w:szCs w:val="20"/>
          <w:highlight w:val="white"/>
        </w:rPr>
        <w:t>, 2023)</w:t>
      </w:r>
      <w:r>
        <w:rPr>
          <w:sz w:val="20"/>
          <w:szCs w:val="20"/>
        </w:rPr>
        <w:t>. Among the various types of renal calculi, calcium oxalate (</w:t>
      </w:r>
      <w:proofErr w:type="spellStart"/>
      <w:r>
        <w:rPr>
          <w:sz w:val="20"/>
          <w:szCs w:val="20"/>
        </w:rPr>
        <w:t>CaOx</w:t>
      </w:r>
      <w:proofErr w:type="spellEnd"/>
      <w:r>
        <w:rPr>
          <w:sz w:val="20"/>
          <w:szCs w:val="20"/>
        </w:rPr>
        <w:t>) stones are the most prevalent, accounting for around 80% of all cases (Watson</w:t>
      </w:r>
      <w:r>
        <w:rPr>
          <w:sz w:val="20"/>
          <w:szCs w:val="20"/>
        </w:rPr>
        <w:t xml:space="preserve"> &amp; </w:t>
      </w:r>
      <w:proofErr w:type="spellStart"/>
      <w:r>
        <w:rPr>
          <w:sz w:val="20"/>
          <w:szCs w:val="20"/>
        </w:rPr>
        <w:t>Rossiaky</w:t>
      </w:r>
      <w:proofErr w:type="spellEnd"/>
      <w:r>
        <w:rPr>
          <w:sz w:val="20"/>
          <w:szCs w:val="20"/>
        </w:rPr>
        <w:t xml:space="preserve">, 2024). A study by </w:t>
      </w:r>
      <w:proofErr w:type="spellStart"/>
      <w:r>
        <w:rPr>
          <w:sz w:val="20"/>
          <w:szCs w:val="20"/>
        </w:rPr>
        <w:t>Olrando</w:t>
      </w:r>
      <w:proofErr w:type="spellEnd"/>
      <w:r>
        <w:rPr>
          <w:sz w:val="20"/>
          <w:szCs w:val="20"/>
        </w:rPr>
        <w:t xml:space="preserve"> </w:t>
      </w:r>
      <w:r>
        <w:rPr>
          <w:i/>
          <w:iCs/>
          <w:sz w:val="20"/>
          <w:szCs w:val="20"/>
        </w:rPr>
        <w:t>et al</w:t>
      </w:r>
      <w:r>
        <w:rPr>
          <w:sz w:val="20"/>
          <w:szCs w:val="20"/>
        </w:rPr>
        <w:t xml:space="preserve">. (2008) analyzed renal stones collected from Vitoria, Brazil by X-ray diffraction (XRD) and found that </w:t>
      </w:r>
      <w:r>
        <w:rPr>
          <w:sz w:val="20"/>
          <w:szCs w:val="20"/>
          <w:highlight w:val="white"/>
        </w:rPr>
        <w:t>61% of the studied renal stones were composed exclusively of calcium oxalate</w:t>
      </w:r>
      <w:r>
        <w:rPr>
          <w:sz w:val="20"/>
          <w:szCs w:val="20"/>
        </w:rPr>
        <w:t xml:space="preserve">. The formation of </w:t>
      </w:r>
      <w:proofErr w:type="spellStart"/>
      <w:r>
        <w:rPr>
          <w:sz w:val="20"/>
          <w:szCs w:val="20"/>
        </w:rPr>
        <w:t>CaOx</w:t>
      </w:r>
      <w:proofErr w:type="spellEnd"/>
      <w:r>
        <w:rPr>
          <w:sz w:val="20"/>
          <w:szCs w:val="20"/>
        </w:rPr>
        <w:t xml:space="preserve"> stones i</w:t>
      </w:r>
      <w:r>
        <w:rPr>
          <w:sz w:val="20"/>
          <w:szCs w:val="20"/>
        </w:rPr>
        <w:t xml:space="preserve">s a complex physicochemical process influenced by multiple factors, including urinary supersaturation, ion concentration, urinary flow, and the presence of </w:t>
      </w:r>
      <w:r>
        <w:rPr>
          <w:sz w:val="20"/>
          <w:szCs w:val="20"/>
        </w:rPr>
        <w:t>inhibitors such as citrate. Among these variables, urinary pH plays a particularly important role by</w:t>
      </w:r>
      <w:r>
        <w:rPr>
          <w:sz w:val="20"/>
          <w:szCs w:val="20"/>
        </w:rPr>
        <w:t xml:space="preserve"> regulating both the solubility of calcium salts and the activity of crystallization inhibitors (Nazarian </w:t>
      </w:r>
      <w:r>
        <w:rPr>
          <w:i/>
          <w:iCs/>
          <w:sz w:val="20"/>
          <w:szCs w:val="20"/>
        </w:rPr>
        <w:t>et al</w:t>
      </w:r>
      <w:r>
        <w:rPr>
          <w:sz w:val="20"/>
          <w:szCs w:val="20"/>
        </w:rPr>
        <w:t>., 2024).</w:t>
      </w:r>
    </w:p>
    <w:p w:rsidR="0076172D" w:rsidRDefault="00E72F9D">
      <w:pPr>
        <w:jc w:val="both"/>
        <w:rPr>
          <w:sz w:val="20"/>
          <w:szCs w:val="20"/>
        </w:rPr>
      </w:pPr>
      <w:r>
        <w:rPr>
          <w:sz w:val="20"/>
          <w:szCs w:val="20"/>
        </w:rPr>
        <w:t xml:space="preserve">In healthy individuals, urinary pH typically ranges from 5.5 to 7.0, with an average value close to 6.5, and fluctuates throughout the </w:t>
      </w:r>
      <w:r>
        <w:rPr>
          <w:sz w:val="20"/>
          <w:szCs w:val="20"/>
        </w:rPr>
        <w:t xml:space="preserve">day due to diet, metabolism, and circadian rhythms (Worcester </w:t>
      </w:r>
      <w:r>
        <w:rPr>
          <w:i/>
          <w:iCs/>
          <w:sz w:val="20"/>
          <w:szCs w:val="20"/>
        </w:rPr>
        <w:t>et al</w:t>
      </w:r>
      <w:r>
        <w:rPr>
          <w:sz w:val="20"/>
          <w:szCs w:val="20"/>
        </w:rPr>
        <w:t>., 2018). Previous studies have demonstrated that acidic urine environments tend to favor calcium oxalate crystallization, while near-neutral conditions are generally associated with reduce</w:t>
      </w:r>
      <w:r>
        <w:rPr>
          <w:sz w:val="20"/>
          <w:szCs w:val="20"/>
        </w:rPr>
        <w:t>d stone formation (</w:t>
      </w:r>
      <w:proofErr w:type="spellStart"/>
      <w:r>
        <w:rPr>
          <w:sz w:val="20"/>
          <w:szCs w:val="20"/>
        </w:rPr>
        <w:t>Manissorn</w:t>
      </w:r>
      <w:proofErr w:type="spellEnd"/>
      <w:r>
        <w:rPr>
          <w:sz w:val="20"/>
          <w:szCs w:val="20"/>
        </w:rPr>
        <w:t xml:space="preserve"> </w:t>
      </w:r>
      <w:r>
        <w:rPr>
          <w:i/>
          <w:iCs/>
          <w:sz w:val="20"/>
          <w:szCs w:val="20"/>
        </w:rPr>
        <w:t>et al</w:t>
      </w:r>
      <w:r>
        <w:rPr>
          <w:sz w:val="20"/>
          <w:szCs w:val="20"/>
        </w:rPr>
        <w:t xml:space="preserve">., 2017; Ibis </w:t>
      </w:r>
      <w:r>
        <w:rPr>
          <w:i/>
          <w:iCs/>
          <w:sz w:val="20"/>
          <w:szCs w:val="20"/>
        </w:rPr>
        <w:t>et al</w:t>
      </w:r>
      <w:r>
        <w:rPr>
          <w:sz w:val="20"/>
          <w:szCs w:val="20"/>
        </w:rPr>
        <w:t xml:space="preserve">., 2020; Nazarian </w:t>
      </w:r>
      <w:r>
        <w:rPr>
          <w:i/>
          <w:iCs/>
          <w:sz w:val="20"/>
          <w:szCs w:val="20"/>
        </w:rPr>
        <w:t>et al</w:t>
      </w:r>
      <w:r>
        <w:rPr>
          <w:sz w:val="20"/>
          <w:szCs w:val="20"/>
        </w:rPr>
        <w:t xml:space="preserve">., 2024). This effect is closely linked to citrate, a naturally occurring urinary anion that inhibits </w:t>
      </w:r>
      <w:proofErr w:type="spellStart"/>
      <w:r>
        <w:rPr>
          <w:sz w:val="20"/>
          <w:szCs w:val="20"/>
        </w:rPr>
        <w:t>CaOx</w:t>
      </w:r>
      <w:proofErr w:type="spellEnd"/>
      <w:r>
        <w:rPr>
          <w:sz w:val="20"/>
          <w:szCs w:val="20"/>
        </w:rPr>
        <w:t xml:space="preserve"> precipitation by chelating calcium ions and reducing free calcium activit</w:t>
      </w:r>
      <w:r>
        <w:rPr>
          <w:sz w:val="20"/>
          <w:szCs w:val="20"/>
        </w:rPr>
        <w:t xml:space="preserve">y in solution (Leslie &amp; Bashir, 2024). At lower pH, citrate becomes increasingly </w:t>
      </w:r>
      <w:r>
        <w:rPr>
          <w:sz w:val="20"/>
          <w:szCs w:val="20"/>
        </w:rPr>
        <w:lastRenderedPageBreak/>
        <w:t xml:space="preserve">protonated, reducing its ability to bind calcium and thereby promoting </w:t>
      </w:r>
      <w:proofErr w:type="spellStart"/>
      <w:r>
        <w:rPr>
          <w:sz w:val="20"/>
          <w:szCs w:val="20"/>
        </w:rPr>
        <w:t>CaOx</w:t>
      </w:r>
      <w:proofErr w:type="spellEnd"/>
      <w:r>
        <w:rPr>
          <w:sz w:val="20"/>
          <w:szCs w:val="20"/>
        </w:rPr>
        <w:t xml:space="preserve"> supersaturation. </w:t>
      </w:r>
    </w:p>
    <w:p w:rsidR="0076172D" w:rsidRDefault="00E72F9D">
      <w:pPr>
        <w:jc w:val="both"/>
        <w:rPr>
          <w:sz w:val="20"/>
          <w:szCs w:val="20"/>
        </w:rPr>
      </w:pPr>
      <w:r>
        <w:rPr>
          <w:sz w:val="20"/>
          <w:szCs w:val="20"/>
        </w:rPr>
        <w:t>Multiple researches around the world focused on investigating the effect of urine</w:t>
      </w:r>
      <w:r>
        <w:rPr>
          <w:sz w:val="20"/>
          <w:szCs w:val="20"/>
        </w:rPr>
        <w:t xml:space="preserve"> pH on formation of </w:t>
      </w:r>
      <w:proofErr w:type="spellStart"/>
      <w:r>
        <w:rPr>
          <w:sz w:val="20"/>
          <w:szCs w:val="20"/>
        </w:rPr>
        <w:t>CaOx</w:t>
      </w:r>
      <w:proofErr w:type="spellEnd"/>
      <w:r>
        <w:rPr>
          <w:sz w:val="20"/>
          <w:szCs w:val="20"/>
        </w:rPr>
        <w:t xml:space="preserve"> precipitation as well as its physiological and biochemical mechanism. For example, a study from Mahidol University by </w:t>
      </w:r>
      <w:proofErr w:type="spellStart"/>
      <w:r>
        <w:rPr>
          <w:sz w:val="20"/>
          <w:szCs w:val="20"/>
        </w:rPr>
        <w:t>Manissorn</w:t>
      </w:r>
      <w:proofErr w:type="spellEnd"/>
      <w:r>
        <w:rPr>
          <w:sz w:val="20"/>
          <w:szCs w:val="20"/>
        </w:rPr>
        <w:t xml:space="preserve"> </w:t>
      </w:r>
      <w:r>
        <w:rPr>
          <w:i/>
          <w:iCs/>
          <w:sz w:val="20"/>
          <w:szCs w:val="20"/>
        </w:rPr>
        <w:t>et al</w:t>
      </w:r>
      <w:r>
        <w:rPr>
          <w:sz w:val="20"/>
          <w:szCs w:val="20"/>
        </w:rPr>
        <w:t xml:space="preserve">. (2017) investigated the interaction between cells in the ureters and </w:t>
      </w:r>
      <w:proofErr w:type="spellStart"/>
      <w:r>
        <w:rPr>
          <w:sz w:val="20"/>
          <w:szCs w:val="20"/>
        </w:rPr>
        <w:t>CaOx</w:t>
      </w:r>
      <w:proofErr w:type="spellEnd"/>
      <w:r>
        <w:rPr>
          <w:sz w:val="20"/>
          <w:szCs w:val="20"/>
        </w:rPr>
        <w:t xml:space="preserve"> along with the impact </w:t>
      </w:r>
      <w:r>
        <w:rPr>
          <w:sz w:val="20"/>
          <w:szCs w:val="20"/>
        </w:rPr>
        <w:t xml:space="preserve">of pH on formation of such crystals by Fourier–transform infrared (FTIR) spectroscopy. The result indicated that monohydrate </w:t>
      </w:r>
      <w:proofErr w:type="spellStart"/>
      <w:r>
        <w:rPr>
          <w:sz w:val="20"/>
          <w:szCs w:val="20"/>
        </w:rPr>
        <w:t>CaOx</w:t>
      </w:r>
      <w:proofErr w:type="spellEnd"/>
      <w:r>
        <w:rPr>
          <w:sz w:val="20"/>
          <w:szCs w:val="20"/>
        </w:rPr>
        <w:t xml:space="preserve"> precipitate with the largest mass and size formed at highly acidic pH of 4, while the least precipitate emerged in the basic e</w:t>
      </w:r>
      <w:r>
        <w:rPr>
          <w:sz w:val="20"/>
          <w:szCs w:val="20"/>
        </w:rPr>
        <w:t xml:space="preserve">nvironment with pH 8. In addition, another research on the journal </w:t>
      </w:r>
      <w:r>
        <w:rPr>
          <w:i/>
          <w:iCs/>
          <w:sz w:val="20"/>
          <w:szCs w:val="20"/>
        </w:rPr>
        <w:t>Crystals</w:t>
      </w:r>
      <w:r>
        <w:rPr>
          <w:sz w:val="20"/>
          <w:szCs w:val="20"/>
        </w:rPr>
        <w:t xml:space="preserve">, combining experimental and modelling methods, studied the solubility of </w:t>
      </w:r>
      <w:proofErr w:type="spellStart"/>
      <w:r>
        <w:rPr>
          <w:sz w:val="20"/>
          <w:szCs w:val="20"/>
        </w:rPr>
        <w:t>CaOx</w:t>
      </w:r>
      <w:proofErr w:type="spellEnd"/>
      <w:r>
        <w:rPr>
          <w:sz w:val="20"/>
          <w:szCs w:val="20"/>
        </w:rPr>
        <w:t xml:space="preserve"> at different physiologically relevant pH and temperature and found that citrate’s ability to chelate c</w:t>
      </w:r>
      <w:r>
        <w:rPr>
          <w:sz w:val="20"/>
          <w:szCs w:val="20"/>
        </w:rPr>
        <w:t xml:space="preserve">alcium ions and prevent </w:t>
      </w:r>
      <w:proofErr w:type="spellStart"/>
      <w:r>
        <w:rPr>
          <w:sz w:val="20"/>
          <w:szCs w:val="20"/>
        </w:rPr>
        <w:t>CaOx</w:t>
      </w:r>
      <w:proofErr w:type="spellEnd"/>
      <w:r>
        <w:rPr>
          <w:sz w:val="20"/>
          <w:szCs w:val="20"/>
        </w:rPr>
        <w:t xml:space="preserve"> crystals peaked at around pH 6.5 (Ibis </w:t>
      </w:r>
      <w:r>
        <w:rPr>
          <w:i/>
          <w:iCs/>
          <w:sz w:val="20"/>
          <w:szCs w:val="20"/>
        </w:rPr>
        <w:t>et al</w:t>
      </w:r>
      <w:r>
        <w:rPr>
          <w:sz w:val="20"/>
          <w:szCs w:val="20"/>
        </w:rPr>
        <w:t xml:space="preserve">., 2020). Another research by </w:t>
      </w:r>
      <w:proofErr w:type="spellStart"/>
      <w:r>
        <w:rPr>
          <w:sz w:val="20"/>
          <w:szCs w:val="20"/>
        </w:rPr>
        <w:t>Sakhaee</w:t>
      </w:r>
      <w:proofErr w:type="spellEnd"/>
      <w:r>
        <w:rPr>
          <w:sz w:val="20"/>
          <w:szCs w:val="20"/>
        </w:rPr>
        <w:t xml:space="preserve"> and his colleagues in 2009 also showed that kidney stone formation increases under low pH, but this study is more relevant to uric acid stones ra</w:t>
      </w:r>
      <w:r>
        <w:rPr>
          <w:sz w:val="20"/>
          <w:szCs w:val="20"/>
        </w:rPr>
        <w:t xml:space="preserve">ther than </w:t>
      </w:r>
      <w:proofErr w:type="spellStart"/>
      <w:r>
        <w:rPr>
          <w:sz w:val="20"/>
          <w:szCs w:val="20"/>
        </w:rPr>
        <w:t>CaOx</w:t>
      </w:r>
      <w:proofErr w:type="spellEnd"/>
      <w:r>
        <w:rPr>
          <w:sz w:val="20"/>
          <w:szCs w:val="20"/>
        </w:rPr>
        <w:t xml:space="preserve"> (</w:t>
      </w:r>
      <w:proofErr w:type="spellStart"/>
      <w:r>
        <w:rPr>
          <w:sz w:val="20"/>
          <w:szCs w:val="20"/>
        </w:rPr>
        <w:t>Sakhakaee</w:t>
      </w:r>
      <w:proofErr w:type="spellEnd"/>
      <w:r>
        <w:rPr>
          <w:sz w:val="20"/>
          <w:szCs w:val="20"/>
        </w:rPr>
        <w:t xml:space="preserve"> </w:t>
      </w:r>
      <w:r>
        <w:rPr>
          <w:i/>
          <w:iCs/>
          <w:sz w:val="20"/>
          <w:szCs w:val="20"/>
        </w:rPr>
        <w:t>et al</w:t>
      </w:r>
      <w:r>
        <w:rPr>
          <w:sz w:val="20"/>
          <w:szCs w:val="20"/>
        </w:rPr>
        <w:t xml:space="preserve">, 2009). Such studies do not only show that low pH increases risk of calcium oxalate kidney stone formation, but also delve into mechanisms like chelation and interaction among ions. </w:t>
      </w:r>
    </w:p>
    <w:p w:rsidR="0076172D" w:rsidRDefault="00E72F9D">
      <w:pPr>
        <w:jc w:val="both"/>
        <w:rPr>
          <w:sz w:val="20"/>
          <w:szCs w:val="20"/>
        </w:rPr>
      </w:pPr>
      <w:r>
        <w:rPr>
          <w:sz w:val="20"/>
          <w:szCs w:val="20"/>
        </w:rPr>
        <w:t>In Vietnam, although direct studies on th</w:t>
      </w:r>
      <w:r>
        <w:rPr>
          <w:sz w:val="20"/>
          <w:szCs w:val="20"/>
        </w:rPr>
        <w:t>e effect of pH on calcium oxalate precipitation are still limited, there is a considerable body of clinical research related to kidney stones–focusing mainly on recurrence rates, clinical characteristics, treatment methods, and surgical outcomes. For examp</w:t>
      </w:r>
      <w:r>
        <w:rPr>
          <w:sz w:val="20"/>
          <w:szCs w:val="20"/>
        </w:rPr>
        <w:t xml:space="preserve">le, the study </w:t>
      </w:r>
      <w:r>
        <w:rPr>
          <w:i/>
          <w:iCs/>
          <w:sz w:val="20"/>
          <w:szCs w:val="20"/>
        </w:rPr>
        <w:t>“Clinical and subclinical characteristics of patients with recurrent kidney stones”</w:t>
      </w:r>
      <w:r>
        <w:rPr>
          <w:sz w:val="20"/>
          <w:szCs w:val="20"/>
        </w:rPr>
        <w:t xml:space="preserve"> in Ho Chi Minh City examined the size, location, and number of stones, but did not analyze in depth chemical factors such as urinary pH or the role of citrate</w:t>
      </w:r>
      <w:r>
        <w:rPr>
          <w:sz w:val="20"/>
          <w:szCs w:val="20"/>
        </w:rPr>
        <w:t xml:space="preserve"> in precipitation (Nguyen &amp; Bui, 2023). Similarly, the study </w:t>
      </w:r>
      <w:r>
        <w:rPr>
          <w:i/>
          <w:iCs/>
          <w:sz w:val="20"/>
          <w:szCs w:val="20"/>
        </w:rPr>
        <w:t xml:space="preserve">“Flexible </w:t>
      </w:r>
      <w:proofErr w:type="spellStart"/>
      <w:r>
        <w:rPr>
          <w:i/>
          <w:iCs/>
          <w:sz w:val="20"/>
          <w:szCs w:val="20"/>
        </w:rPr>
        <w:t>ureteroscopic</w:t>
      </w:r>
      <w:proofErr w:type="spellEnd"/>
      <w:r>
        <w:rPr>
          <w:i/>
          <w:iCs/>
          <w:sz w:val="20"/>
          <w:szCs w:val="20"/>
        </w:rPr>
        <w:t xml:space="preserve"> lithotripsy at Viet </w:t>
      </w:r>
      <w:proofErr w:type="spellStart"/>
      <w:r>
        <w:rPr>
          <w:i/>
          <w:iCs/>
          <w:sz w:val="20"/>
          <w:szCs w:val="20"/>
        </w:rPr>
        <w:t>Tiep</w:t>
      </w:r>
      <w:proofErr w:type="spellEnd"/>
      <w:r>
        <w:rPr>
          <w:i/>
          <w:iCs/>
          <w:sz w:val="20"/>
          <w:szCs w:val="20"/>
        </w:rPr>
        <w:t xml:space="preserve"> Friendship Hospital”</w:t>
      </w:r>
      <w:r>
        <w:rPr>
          <w:sz w:val="20"/>
          <w:szCs w:val="20"/>
        </w:rPr>
        <w:t xml:space="preserve"> evaluated factors influencing surgical success and stone-free rates (such as size, number, and location), but did not directl</w:t>
      </w:r>
      <w:r>
        <w:rPr>
          <w:sz w:val="20"/>
          <w:szCs w:val="20"/>
        </w:rPr>
        <w:t xml:space="preserve">y consider the effect of the urinary chemical </w:t>
      </w:r>
      <w:r>
        <w:rPr>
          <w:sz w:val="20"/>
          <w:szCs w:val="20"/>
        </w:rPr>
        <w:t>environment (e.g., pH or ionic strength) on precipitation (Pham</w:t>
      </w:r>
      <w:r>
        <w:rPr>
          <w:i/>
          <w:iCs/>
          <w:sz w:val="20"/>
          <w:szCs w:val="20"/>
        </w:rPr>
        <w:t xml:space="preserve"> et al</w:t>
      </w:r>
      <w:r>
        <w:rPr>
          <w:sz w:val="20"/>
          <w:szCs w:val="20"/>
        </w:rPr>
        <w:t>., 2022). In general, research in Vietnam tends to focus more on treatment methods (such as percutaneous lithotripsy or endoscopy) rather tha</w:t>
      </w:r>
      <w:r>
        <w:rPr>
          <w:sz w:val="20"/>
          <w:szCs w:val="20"/>
        </w:rPr>
        <w:t xml:space="preserve">n on the fundamental biochemical mechanisms of stone formation. </w:t>
      </w:r>
    </w:p>
    <w:p w:rsidR="0076172D" w:rsidRDefault="00E72F9D">
      <w:pPr>
        <w:jc w:val="both"/>
        <w:rPr>
          <w:sz w:val="20"/>
          <w:szCs w:val="20"/>
        </w:rPr>
      </w:pPr>
      <w:r>
        <w:rPr>
          <w:sz w:val="20"/>
          <w:szCs w:val="20"/>
        </w:rPr>
        <w:t>Despite these advances, much of the existing literature relies on either clinical observations or advanced analytical techniques such as FTIR and XRD, which may not be readily accessible in e</w:t>
      </w:r>
      <w:r>
        <w:rPr>
          <w:sz w:val="20"/>
          <w:szCs w:val="20"/>
        </w:rPr>
        <w:t>ducational or small-scale laboratory settings. Furthermore, clinical studies often face challenges in isolating the effects of individual chemical parameters due to the complexity of physiological regulation. As a result, simplified in vitro models that si</w:t>
      </w:r>
      <w:r>
        <w:rPr>
          <w:sz w:val="20"/>
          <w:szCs w:val="20"/>
        </w:rPr>
        <w:t>mulate urinary composition remain valuable tools for investigating the fundamental chemical mechanisms underlying stone formation under controlled conditions.</w:t>
      </w:r>
    </w:p>
    <w:p w:rsidR="0076172D" w:rsidRDefault="00E72F9D">
      <w:pPr>
        <w:jc w:val="both"/>
        <w:rPr>
          <w:b/>
          <w:bCs/>
        </w:rPr>
      </w:pPr>
      <w:r>
        <w:rPr>
          <w:sz w:val="20"/>
          <w:szCs w:val="20"/>
        </w:rPr>
        <w:t>Therefore, this study aims to investigate the effect of urinary pH on calcium oxalate precipitati</w:t>
      </w:r>
      <w:r>
        <w:rPr>
          <w:sz w:val="20"/>
          <w:szCs w:val="20"/>
        </w:rPr>
        <w:t xml:space="preserve">on using a simulated urine system with physiologically relevant ionic composition. By systematically varying pH across a range encompassing acidic, neutral, and alkaline conditions, this research seeks to clarify how pH influences </w:t>
      </w:r>
      <w:proofErr w:type="spellStart"/>
      <w:r>
        <w:rPr>
          <w:sz w:val="20"/>
          <w:szCs w:val="20"/>
        </w:rPr>
        <w:t>CaOx</w:t>
      </w:r>
      <w:proofErr w:type="spellEnd"/>
      <w:r>
        <w:rPr>
          <w:sz w:val="20"/>
          <w:szCs w:val="20"/>
        </w:rPr>
        <w:t xml:space="preserve"> precipitation behavi</w:t>
      </w:r>
      <w:r>
        <w:rPr>
          <w:sz w:val="20"/>
          <w:szCs w:val="20"/>
        </w:rPr>
        <w:t>or in a controlled environment. In doing so, the study contributes to a clearer understanding of the chemical factors governing kidney stone formation while highlighting the strengths and limitations of simplified experimental models.</w:t>
      </w:r>
    </w:p>
    <w:p w:rsidR="0076172D" w:rsidRDefault="0076172D">
      <w:pPr>
        <w:rPr>
          <w:b/>
          <w:bCs/>
        </w:rPr>
      </w:pPr>
    </w:p>
    <w:p w:rsidR="0076172D" w:rsidRDefault="00E72F9D">
      <w:pPr>
        <w:rPr>
          <w:b/>
          <w:bCs/>
        </w:rPr>
      </w:pPr>
      <w:r>
        <w:rPr>
          <w:b/>
          <w:bCs/>
        </w:rPr>
        <w:t xml:space="preserve">2. METHODOLOGY </w:t>
      </w:r>
    </w:p>
    <w:p w:rsidR="0076172D" w:rsidRDefault="00E72F9D">
      <w:pPr>
        <w:jc w:val="both"/>
        <w:rPr>
          <w:b/>
          <w:bCs/>
        </w:rPr>
      </w:pPr>
      <w:r>
        <w:rPr>
          <w:b/>
          <w:bCs/>
        </w:rPr>
        <w:t>2.1.</w:t>
      </w:r>
      <w:r>
        <w:rPr>
          <w:b/>
          <w:bCs/>
        </w:rPr>
        <w:t xml:space="preserve"> Quantitative method </w:t>
      </w:r>
    </w:p>
    <w:p w:rsidR="0076172D" w:rsidRDefault="00E72F9D">
      <w:pPr>
        <w:jc w:val="both"/>
        <w:rPr>
          <w:sz w:val="20"/>
          <w:szCs w:val="20"/>
        </w:rPr>
      </w:pPr>
      <w:r>
        <w:rPr>
          <w:sz w:val="20"/>
          <w:szCs w:val="20"/>
        </w:rPr>
        <w:t>In a 24-hour period, a healthy individual typically excretes approximately 800–2000 mL of urine, containing a wide range of dissolved solutes. Major urinary ions include sodium (Na⁺: 40–220 mmol/24 h), potassium (K⁺: 25–125 mmol/24 h)</w:t>
      </w:r>
      <w:r>
        <w:rPr>
          <w:sz w:val="20"/>
          <w:szCs w:val="20"/>
        </w:rPr>
        <w:t xml:space="preserve">, and chloride (Cl⁻: 110–250 mmol/24 </w:t>
      </w:r>
      <w:proofErr w:type="gramStart"/>
      <w:r>
        <w:rPr>
          <w:sz w:val="20"/>
          <w:szCs w:val="20"/>
        </w:rPr>
        <w:t>h)(</w:t>
      </w:r>
      <w:proofErr w:type="spellStart"/>
      <w:proofErr w:type="gramEnd"/>
      <w:r>
        <w:rPr>
          <w:sz w:val="20"/>
          <w:szCs w:val="20"/>
        </w:rPr>
        <w:t>Ferrao</w:t>
      </w:r>
      <w:proofErr w:type="spellEnd"/>
      <w:r>
        <w:rPr>
          <w:sz w:val="20"/>
          <w:szCs w:val="20"/>
        </w:rPr>
        <w:t xml:space="preserve"> </w:t>
      </w:r>
      <w:r>
        <w:rPr>
          <w:i/>
          <w:iCs/>
          <w:sz w:val="20"/>
          <w:szCs w:val="20"/>
        </w:rPr>
        <w:t>et al</w:t>
      </w:r>
      <w:r>
        <w:rPr>
          <w:sz w:val="20"/>
          <w:szCs w:val="20"/>
        </w:rPr>
        <w:t>., 2024). The average concentration of urea in urine is approximately 9.3 g/L (Thomas, 2023), while urinary citrate excretion ranges from 0.6–4.8 mmol/24 h in males and 1.3–6.0 mmol/24 h in females (South</w:t>
      </w:r>
      <w:r>
        <w:rPr>
          <w:sz w:val="20"/>
          <w:szCs w:val="20"/>
        </w:rPr>
        <w:t xml:space="preserve"> Tees Hospitals, 2021</w:t>
      </w:r>
      <w:proofErr w:type="gramStart"/>
      <w:r>
        <w:rPr>
          <w:sz w:val="20"/>
          <w:szCs w:val="20"/>
        </w:rPr>
        <w:t>) .</w:t>
      </w:r>
      <w:proofErr w:type="gramEnd"/>
    </w:p>
    <w:p w:rsidR="0076172D" w:rsidRDefault="00E72F9D">
      <w:pPr>
        <w:spacing w:before="240" w:after="240"/>
        <w:jc w:val="both"/>
        <w:rPr>
          <w:sz w:val="20"/>
          <w:szCs w:val="20"/>
        </w:rPr>
      </w:pPr>
      <w:r>
        <w:rPr>
          <w:sz w:val="20"/>
          <w:szCs w:val="20"/>
        </w:rPr>
        <w:lastRenderedPageBreak/>
        <w:t>Based on these physiological values, a simulated urine solution was prepared by dissolving 610 mg citric acid (C₆H₈O₇), 9.3 g urea [CO(NH</w:t>
      </w:r>
      <w:proofErr w:type="gramStart"/>
      <w:r>
        <w:rPr>
          <w:sz w:val="20"/>
          <w:szCs w:val="20"/>
        </w:rPr>
        <w:t>₂)₂</w:t>
      </w:r>
      <w:proofErr w:type="gramEnd"/>
      <w:r>
        <w:rPr>
          <w:sz w:val="20"/>
          <w:szCs w:val="20"/>
        </w:rPr>
        <w:t>], 5.59 g potassium chloride (</w:t>
      </w:r>
      <w:proofErr w:type="spellStart"/>
      <w:r>
        <w:rPr>
          <w:sz w:val="20"/>
          <w:szCs w:val="20"/>
        </w:rPr>
        <w:t>KCl</w:t>
      </w:r>
      <w:proofErr w:type="spellEnd"/>
      <w:r>
        <w:rPr>
          <w:sz w:val="20"/>
          <w:szCs w:val="20"/>
        </w:rPr>
        <w:t xml:space="preserve">), and 5.844 g sodium chloride (NaCl) in 1 L of distilled </w:t>
      </w:r>
      <w:r>
        <w:rPr>
          <w:sz w:val="20"/>
          <w:szCs w:val="20"/>
        </w:rPr>
        <w:t>water. The final simulated urine solution contained approximately 155 mmol urea, 3.175 mmol citrate, 75 mmol potassium ions, 100 mmol sodium ions, and 175 mmol chloride ions.</w:t>
      </w:r>
    </w:p>
    <w:p w:rsidR="0076172D" w:rsidRDefault="00E72F9D">
      <w:pPr>
        <w:jc w:val="both"/>
        <w:rPr>
          <w:b/>
          <w:bCs/>
          <w:sz w:val="20"/>
          <w:szCs w:val="20"/>
        </w:rPr>
      </w:pPr>
      <w:r>
        <w:rPr>
          <w:b/>
          <w:bCs/>
          <w:sz w:val="20"/>
          <w:szCs w:val="20"/>
        </w:rPr>
        <w:t>Table 1. Amount of substances for preparing simulated urine solution</w:t>
      </w:r>
    </w:p>
    <w:p w:rsidR="0076172D" w:rsidRDefault="0076172D">
      <w:pPr>
        <w:widowControl w:val="0"/>
        <w:spacing w:line="360" w:lineRule="auto"/>
        <w:ind w:right="137"/>
        <w:jc w:val="both"/>
        <w:rPr>
          <w:b/>
          <w:bCs/>
        </w:rPr>
      </w:pPr>
    </w:p>
    <w:tbl>
      <w:tblPr>
        <w:tblStyle w:val="a0"/>
        <w:tblW w:w="4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365"/>
        <w:gridCol w:w="1515"/>
      </w:tblGrid>
      <w:tr w:rsidR="0076172D">
        <w:tc>
          <w:tcPr>
            <w:tcW w:w="14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Substances</w:t>
            </w:r>
          </w:p>
        </w:tc>
        <w:tc>
          <w:tcPr>
            <w:tcW w:w="136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Mass/g</w:t>
            </w:r>
          </w:p>
        </w:tc>
        <w:tc>
          <w:tcPr>
            <w:tcW w:w="151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Amount/mmol</w:t>
            </w:r>
          </w:p>
        </w:tc>
      </w:tr>
      <w:tr w:rsidR="0076172D">
        <w:tc>
          <w:tcPr>
            <w:tcW w:w="14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Distilled water</w:t>
            </w:r>
          </w:p>
        </w:tc>
        <w:tc>
          <w:tcPr>
            <w:tcW w:w="136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1000</w:t>
            </w:r>
          </w:p>
        </w:tc>
        <w:tc>
          <w:tcPr>
            <w:tcW w:w="151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55500</w:t>
            </w:r>
          </w:p>
        </w:tc>
      </w:tr>
      <w:tr w:rsidR="0076172D">
        <w:tc>
          <w:tcPr>
            <w:tcW w:w="14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 xml:space="preserve">Citric acid </w:t>
            </w:r>
          </w:p>
        </w:tc>
        <w:tc>
          <w:tcPr>
            <w:tcW w:w="136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0.610</w:t>
            </w:r>
          </w:p>
        </w:tc>
        <w:tc>
          <w:tcPr>
            <w:tcW w:w="151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3.175</w:t>
            </w:r>
          </w:p>
        </w:tc>
      </w:tr>
      <w:tr w:rsidR="0076172D">
        <w:tc>
          <w:tcPr>
            <w:tcW w:w="14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Urea</w:t>
            </w:r>
          </w:p>
        </w:tc>
        <w:tc>
          <w:tcPr>
            <w:tcW w:w="136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9.3</w:t>
            </w:r>
          </w:p>
        </w:tc>
        <w:tc>
          <w:tcPr>
            <w:tcW w:w="151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155</w:t>
            </w:r>
          </w:p>
        </w:tc>
      </w:tr>
      <w:tr w:rsidR="0076172D">
        <w:tc>
          <w:tcPr>
            <w:tcW w:w="14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Potassium chloride</w:t>
            </w:r>
          </w:p>
        </w:tc>
        <w:tc>
          <w:tcPr>
            <w:tcW w:w="136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5.59</w:t>
            </w:r>
          </w:p>
        </w:tc>
        <w:tc>
          <w:tcPr>
            <w:tcW w:w="151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75</w:t>
            </w:r>
          </w:p>
        </w:tc>
      </w:tr>
      <w:tr w:rsidR="0076172D">
        <w:tc>
          <w:tcPr>
            <w:tcW w:w="14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Sodium chloride</w:t>
            </w:r>
          </w:p>
        </w:tc>
        <w:tc>
          <w:tcPr>
            <w:tcW w:w="136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5.844</w:t>
            </w:r>
          </w:p>
        </w:tc>
        <w:tc>
          <w:tcPr>
            <w:tcW w:w="151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rPr>
                <w:sz w:val="20"/>
                <w:szCs w:val="20"/>
              </w:rPr>
            </w:pPr>
            <w:r>
              <w:rPr>
                <w:sz w:val="20"/>
                <w:szCs w:val="20"/>
              </w:rPr>
              <w:t>100</w:t>
            </w:r>
          </w:p>
        </w:tc>
      </w:tr>
    </w:tbl>
    <w:p w:rsidR="0076172D" w:rsidRDefault="0076172D">
      <w:pPr>
        <w:widowControl w:val="0"/>
        <w:spacing w:line="360" w:lineRule="auto"/>
        <w:ind w:right="137"/>
        <w:jc w:val="both"/>
        <w:rPr>
          <w:b/>
          <w:bCs/>
        </w:rPr>
      </w:pPr>
    </w:p>
    <w:p w:rsidR="0076172D" w:rsidRDefault="00E72F9D">
      <w:pPr>
        <w:jc w:val="both"/>
        <w:rPr>
          <w:sz w:val="20"/>
          <w:szCs w:val="20"/>
        </w:rPr>
      </w:pPr>
      <w:r>
        <w:rPr>
          <w:b/>
          <w:bCs/>
        </w:rPr>
        <w:t>2.2. Experimental method</w:t>
      </w:r>
    </w:p>
    <w:p w:rsidR="0076172D" w:rsidRDefault="00E72F9D">
      <w:pPr>
        <w:jc w:val="both"/>
        <w:rPr>
          <w:sz w:val="20"/>
          <w:szCs w:val="20"/>
        </w:rPr>
      </w:pPr>
      <w:r>
        <w:rPr>
          <w:sz w:val="20"/>
          <w:szCs w:val="20"/>
        </w:rPr>
        <w:t xml:space="preserve">The formation of calcium oxalate precipitate was induced by reacting calcium chloride </w:t>
      </w:r>
      <w:r>
        <w:rPr>
          <w:sz w:val="20"/>
          <w:szCs w:val="20"/>
        </w:rPr>
        <w:t>(</w:t>
      </w:r>
      <w:proofErr w:type="spellStart"/>
      <w:r>
        <w:rPr>
          <w:sz w:val="20"/>
          <w:szCs w:val="20"/>
        </w:rPr>
        <w:t>CaCl</w:t>
      </w:r>
      <w:proofErr w:type="spellEnd"/>
      <w:r>
        <w:rPr>
          <w:sz w:val="20"/>
          <w:szCs w:val="20"/>
        </w:rPr>
        <w:t>₂) with sodium oxalate (</w:t>
      </w:r>
      <w:proofErr w:type="spellStart"/>
      <w:r>
        <w:rPr>
          <w:sz w:val="20"/>
          <w:szCs w:val="20"/>
        </w:rPr>
        <w:t>Na₂C₂O</w:t>
      </w:r>
      <w:proofErr w:type="spellEnd"/>
      <w:r>
        <w:rPr>
          <w:sz w:val="20"/>
          <w:szCs w:val="20"/>
        </w:rPr>
        <w:t>₄). The extent of precipitation was assessed by measuring the thickness of the sediment layer formed at the bottom of each test tube following reaction completion.</w:t>
      </w:r>
    </w:p>
    <w:p w:rsidR="0076172D" w:rsidRDefault="00E72F9D">
      <w:pPr>
        <w:spacing w:before="240" w:after="240"/>
        <w:jc w:val="both"/>
        <w:rPr>
          <w:sz w:val="20"/>
          <w:szCs w:val="20"/>
        </w:rPr>
      </w:pPr>
      <w:r>
        <w:rPr>
          <w:sz w:val="20"/>
          <w:szCs w:val="20"/>
        </w:rPr>
        <w:t xml:space="preserve">In healthy individuals, urinary pH typically ranges from </w:t>
      </w:r>
      <w:r>
        <w:rPr>
          <w:sz w:val="20"/>
          <w:szCs w:val="20"/>
        </w:rPr>
        <w:t xml:space="preserve">5.5 to 7.0, with an average of approximately 6.5, and varies physiologically with factors such as sleep and food intake. In this experiment, identical test tubes containing equal volumes of simulated urine were adjusted to seven pH values ranging from 5.0 </w:t>
      </w:r>
      <w:r>
        <w:rPr>
          <w:sz w:val="20"/>
          <w:szCs w:val="20"/>
        </w:rPr>
        <w:t>to 8.0 at intervals of 0.5. Sodium bicarbonate (</w:t>
      </w:r>
      <w:proofErr w:type="spellStart"/>
      <w:r>
        <w:rPr>
          <w:sz w:val="20"/>
          <w:szCs w:val="20"/>
        </w:rPr>
        <w:t>NaHCO</w:t>
      </w:r>
      <w:proofErr w:type="spellEnd"/>
      <w:r>
        <w:rPr>
          <w:sz w:val="20"/>
          <w:szCs w:val="20"/>
        </w:rPr>
        <w:t xml:space="preserve">₃) was used to increase pH, while diluted hydrochloric acid (HCl) was added to lower </w:t>
      </w:r>
      <w:proofErr w:type="spellStart"/>
      <w:r>
        <w:rPr>
          <w:sz w:val="20"/>
          <w:szCs w:val="20"/>
        </w:rPr>
        <w:t>pH.</w:t>
      </w:r>
      <w:proofErr w:type="spellEnd"/>
    </w:p>
    <w:p w:rsidR="0076172D" w:rsidRDefault="00E72F9D">
      <w:pPr>
        <w:spacing w:before="240" w:after="240"/>
        <w:jc w:val="both"/>
        <w:rPr>
          <w:sz w:val="20"/>
          <w:szCs w:val="20"/>
        </w:rPr>
      </w:pPr>
      <w:r>
        <w:rPr>
          <w:sz w:val="20"/>
          <w:szCs w:val="20"/>
        </w:rPr>
        <w:t xml:space="preserve">Each test tube was first heated to 37 °C to approximate physiological temperature. Subsequently, 1.34 g of sodium </w:t>
      </w:r>
      <w:r>
        <w:rPr>
          <w:sz w:val="20"/>
          <w:szCs w:val="20"/>
        </w:rPr>
        <w:t xml:space="preserve">oxalate and 1.11 g of calcium chloride (corresponding to 10 mmol of each reagent) were added to the solution. The mixtures were stirred thoroughly and allowed to stand until visible precipitation occurred and sedimentation stabilized. The thickness of the </w:t>
      </w:r>
      <w:r>
        <w:rPr>
          <w:sz w:val="20"/>
          <w:szCs w:val="20"/>
        </w:rPr>
        <w:t>sediment layer was then measured as an indirect indicator of precipitate formation. Each experiment was repeated in triplicate, and average values were recorded.</w:t>
      </w:r>
    </w:p>
    <w:p w:rsidR="0076172D" w:rsidRDefault="00E72F9D">
      <w:pPr>
        <w:rPr>
          <w:sz w:val="20"/>
          <w:szCs w:val="20"/>
        </w:rPr>
      </w:pPr>
      <w:r>
        <w:rPr>
          <w:noProof/>
          <w:sz w:val="20"/>
          <w:szCs w:val="20"/>
        </w:rPr>
        <w:drawing>
          <wp:inline distT="114300" distB="114300" distL="114300" distR="114300">
            <wp:extent cx="2576513" cy="152385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576513" cy="1523852"/>
                    </a:xfrm>
                    <a:prstGeom prst="rect">
                      <a:avLst/>
                    </a:prstGeom>
                    <a:ln/>
                  </pic:spPr>
                </pic:pic>
              </a:graphicData>
            </a:graphic>
          </wp:inline>
        </w:drawing>
      </w:r>
    </w:p>
    <w:p w:rsidR="0076172D" w:rsidRDefault="00E72F9D">
      <w:pPr>
        <w:rPr>
          <w:b/>
          <w:bCs/>
          <w:sz w:val="20"/>
          <w:szCs w:val="20"/>
        </w:rPr>
      </w:pPr>
      <w:r>
        <w:rPr>
          <w:b/>
          <w:bCs/>
          <w:sz w:val="20"/>
          <w:szCs w:val="20"/>
        </w:rPr>
        <w:t>Figure 1. Illustration of experimental method</w:t>
      </w:r>
    </w:p>
    <w:p w:rsidR="0076172D" w:rsidRDefault="0076172D"/>
    <w:p w:rsidR="0076172D" w:rsidRDefault="00E72F9D">
      <w:pPr>
        <w:jc w:val="both"/>
        <w:rPr>
          <w:b/>
          <w:bCs/>
        </w:rPr>
      </w:pPr>
      <w:r>
        <w:rPr>
          <w:b/>
          <w:bCs/>
        </w:rPr>
        <w:t xml:space="preserve">3. RESULTS AND DISCUSSION </w:t>
      </w:r>
    </w:p>
    <w:p w:rsidR="0076172D" w:rsidRDefault="00E72F9D">
      <w:pPr>
        <w:widowControl w:val="0"/>
        <w:spacing w:line="360" w:lineRule="auto"/>
        <w:ind w:right="136"/>
        <w:jc w:val="both"/>
        <w:rPr>
          <w:sz w:val="20"/>
          <w:szCs w:val="20"/>
        </w:rPr>
      </w:pPr>
      <w:r>
        <w:rPr>
          <w:sz w:val="20"/>
          <w:szCs w:val="20"/>
        </w:rPr>
        <w:t>The amount of prec</w:t>
      </w:r>
      <w:r>
        <w:rPr>
          <w:sz w:val="20"/>
          <w:szCs w:val="20"/>
        </w:rPr>
        <w:t xml:space="preserve">ipitate measured increases significantly in acidic environments with pH 5.0–6.0, remains relatively low in slightly acidic to neutral environments with pH 6.5–7.0, and slightly increases in basic environments with pH 7.5–8.0. </w:t>
      </w:r>
    </w:p>
    <w:p w:rsidR="0076172D" w:rsidRDefault="00E72F9D">
      <w:pPr>
        <w:widowControl w:val="0"/>
        <w:spacing w:line="360" w:lineRule="auto"/>
        <w:ind w:right="136"/>
        <w:jc w:val="both"/>
        <w:rPr>
          <w:b/>
          <w:bCs/>
          <w:sz w:val="20"/>
          <w:szCs w:val="20"/>
        </w:rPr>
      </w:pPr>
      <w:r>
        <w:rPr>
          <w:b/>
          <w:bCs/>
          <w:sz w:val="20"/>
          <w:szCs w:val="20"/>
        </w:rPr>
        <w:t>Table 2. Results measured fro</w:t>
      </w:r>
      <w:r>
        <w:rPr>
          <w:b/>
          <w:bCs/>
          <w:sz w:val="20"/>
          <w:szCs w:val="20"/>
        </w:rPr>
        <w:t>m 2 experiments (ppt = precipitate, exp = experiment)</w:t>
      </w:r>
    </w:p>
    <w:p w:rsidR="0076172D" w:rsidRDefault="0076172D">
      <w:pPr>
        <w:widowControl w:val="0"/>
        <w:spacing w:line="360" w:lineRule="auto"/>
        <w:ind w:right="136"/>
        <w:jc w:val="both"/>
        <w:rPr>
          <w:sz w:val="20"/>
          <w:szCs w:val="20"/>
        </w:rPr>
      </w:pPr>
    </w:p>
    <w:p w:rsidR="0076172D" w:rsidRDefault="0076172D">
      <w:pPr>
        <w:widowControl w:val="0"/>
        <w:spacing w:line="360" w:lineRule="auto"/>
        <w:ind w:right="136"/>
        <w:jc w:val="both"/>
        <w:rPr>
          <w:sz w:val="20"/>
          <w:szCs w:val="20"/>
        </w:rPr>
      </w:pPr>
    </w:p>
    <w:p w:rsidR="0076172D" w:rsidRDefault="0076172D">
      <w:pPr>
        <w:widowControl w:val="0"/>
        <w:spacing w:line="360" w:lineRule="auto"/>
        <w:ind w:right="136"/>
        <w:jc w:val="both"/>
        <w:rPr>
          <w:sz w:val="20"/>
          <w:szCs w:val="20"/>
        </w:rPr>
      </w:pPr>
    </w:p>
    <w:tbl>
      <w:tblPr>
        <w:tblStyle w:val="a1"/>
        <w:tblW w:w="4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1155"/>
        <w:gridCol w:w="1155"/>
        <w:gridCol w:w="1170"/>
      </w:tblGrid>
      <w:tr w:rsidR="0076172D">
        <w:tc>
          <w:tcPr>
            <w:tcW w:w="8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pH</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Thickness of ppt in 1</w:t>
            </w:r>
            <w:r>
              <w:rPr>
                <w:sz w:val="20"/>
                <w:szCs w:val="20"/>
                <w:vertAlign w:val="superscript"/>
              </w:rPr>
              <w:t>st</w:t>
            </w:r>
            <w:r>
              <w:rPr>
                <w:sz w:val="20"/>
                <w:szCs w:val="20"/>
              </w:rPr>
              <w:t xml:space="preserve"> exp/mm</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Thickness of ppt in 2</w:t>
            </w:r>
            <w:r>
              <w:rPr>
                <w:sz w:val="20"/>
                <w:szCs w:val="20"/>
                <w:vertAlign w:val="superscript"/>
              </w:rPr>
              <w:t>nd</w:t>
            </w:r>
            <w:r>
              <w:rPr>
                <w:sz w:val="20"/>
                <w:szCs w:val="20"/>
              </w:rPr>
              <w:t xml:space="preserve"> exp/mm</w:t>
            </w:r>
          </w:p>
        </w:tc>
        <w:tc>
          <w:tcPr>
            <w:tcW w:w="117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Average thickness of ppt/mm</w:t>
            </w:r>
          </w:p>
        </w:tc>
      </w:tr>
      <w:tr w:rsidR="0076172D">
        <w:tc>
          <w:tcPr>
            <w:tcW w:w="8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5.0</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66</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34</w:t>
            </w:r>
          </w:p>
        </w:tc>
        <w:tc>
          <w:tcPr>
            <w:tcW w:w="117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50.0</w:t>
            </w:r>
          </w:p>
        </w:tc>
      </w:tr>
      <w:tr w:rsidR="0076172D">
        <w:tc>
          <w:tcPr>
            <w:tcW w:w="8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5.5</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38</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35</w:t>
            </w:r>
          </w:p>
        </w:tc>
        <w:tc>
          <w:tcPr>
            <w:tcW w:w="117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36.5</w:t>
            </w:r>
          </w:p>
        </w:tc>
      </w:tr>
      <w:tr w:rsidR="0076172D">
        <w:tc>
          <w:tcPr>
            <w:tcW w:w="8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lastRenderedPageBreak/>
              <w:t>6.0</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29</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27</w:t>
            </w:r>
          </w:p>
        </w:tc>
        <w:tc>
          <w:tcPr>
            <w:tcW w:w="117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28.0</w:t>
            </w:r>
          </w:p>
        </w:tc>
      </w:tr>
      <w:tr w:rsidR="0076172D">
        <w:tc>
          <w:tcPr>
            <w:tcW w:w="8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6.5</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25</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29</w:t>
            </w:r>
          </w:p>
        </w:tc>
        <w:tc>
          <w:tcPr>
            <w:tcW w:w="117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27.0</w:t>
            </w:r>
          </w:p>
        </w:tc>
      </w:tr>
      <w:tr w:rsidR="0076172D">
        <w:tc>
          <w:tcPr>
            <w:tcW w:w="8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7.0</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28</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24</w:t>
            </w:r>
          </w:p>
        </w:tc>
        <w:tc>
          <w:tcPr>
            <w:tcW w:w="117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26.0</w:t>
            </w:r>
          </w:p>
        </w:tc>
      </w:tr>
      <w:tr w:rsidR="0076172D">
        <w:tc>
          <w:tcPr>
            <w:tcW w:w="8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7.5</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33</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29</w:t>
            </w:r>
          </w:p>
        </w:tc>
        <w:tc>
          <w:tcPr>
            <w:tcW w:w="117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31.0</w:t>
            </w:r>
          </w:p>
        </w:tc>
      </w:tr>
      <w:tr w:rsidR="0076172D">
        <w:tc>
          <w:tcPr>
            <w:tcW w:w="84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8.0</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35</w:t>
            </w:r>
          </w:p>
        </w:tc>
        <w:tc>
          <w:tcPr>
            <w:tcW w:w="1155"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30</w:t>
            </w:r>
          </w:p>
        </w:tc>
        <w:tc>
          <w:tcPr>
            <w:tcW w:w="1170" w:type="dxa"/>
            <w:tcMar>
              <w:top w:w="100" w:type="dxa"/>
              <w:left w:w="100" w:type="dxa"/>
              <w:bottom w:w="100" w:type="dxa"/>
              <w:right w:w="100" w:type="dxa"/>
            </w:tcMar>
          </w:tcPr>
          <w:p w:rsidR="0076172D" w:rsidRDefault="00E72F9D">
            <w:pPr>
              <w:widowControl w:val="0"/>
              <w:pBdr>
                <w:top w:val="nil"/>
                <w:left w:val="nil"/>
                <w:bottom w:val="nil"/>
                <w:right w:val="nil"/>
                <w:between w:val="nil"/>
              </w:pBdr>
              <w:spacing w:line="240" w:lineRule="auto"/>
              <w:jc w:val="center"/>
              <w:rPr>
                <w:sz w:val="20"/>
                <w:szCs w:val="20"/>
              </w:rPr>
            </w:pPr>
            <w:r>
              <w:rPr>
                <w:sz w:val="20"/>
                <w:szCs w:val="20"/>
              </w:rPr>
              <w:t>32.5</w:t>
            </w:r>
          </w:p>
        </w:tc>
      </w:tr>
    </w:tbl>
    <w:p w:rsidR="0076172D" w:rsidRDefault="0076172D">
      <w:pPr>
        <w:widowControl w:val="0"/>
        <w:spacing w:line="360" w:lineRule="auto"/>
        <w:ind w:right="136"/>
        <w:jc w:val="both"/>
        <w:rPr>
          <w:sz w:val="20"/>
          <w:szCs w:val="20"/>
        </w:rPr>
      </w:pPr>
    </w:p>
    <w:p w:rsidR="0076172D" w:rsidRDefault="00E72F9D">
      <w:pPr>
        <w:widowControl w:val="0"/>
        <w:spacing w:line="360" w:lineRule="auto"/>
        <w:ind w:right="136"/>
        <w:jc w:val="both"/>
        <w:rPr>
          <w:sz w:val="20"/>
          <w:szCs w:val="20"/>
        </w:rPr>
      </w:pPr>
      <w:r>
        <w:rPr>
          <w:noProof/>
          <w:sz w:val="20"/>
          <w:szCs w:val="20"/>
        </w:rPr>
        <w:drawing>
          <wp:inline distT="114300" distB="114300" distL="114300" distR="114300">
            <wp:extent cx="2743200" cy="1600200"/>
            <wp:effectExtent l="0" t="0" r="0" b="0"/>
            <wp:docPr id="2"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3"/>
                    <a:srcRect/>
                    <a:stretch>
                      <a:fillRect/>
                    </a:stretch>
                  </pic:blipFill>
                  <pic:spPr>
                    <a:xfrm>
                      <a:off x="0" y="0"/>
                      <a:ext cx="2743200" cy="1600200"/>
                    </a:xfrm>
                    <a:prstGeom prst="rect">
                      <a:avLst/>
                    </a:prstGeom>
                    <a:ln/>
                  </pic:spPr>
                </pic:pic>
              </a:graphicData>
            </a:graphic>
          </wp:inline>
        </w:drawing>
      </w:r>
    </w:p>
    <w:p w:rsidR="0076172D" w:rsidRDefault="00E72F9D">
      <w:pPr>
        <w:widowControl w:val="0"/>
        <w:spacing w:line="480" w:lineRule="auto"/>
        <w:ind w:right="136"/>
        <w:jc w:val="both"/>
        <w:rPr>
          <w:sz w:val="20"/>
          <w:szCs w:val="20"/>
        </w:rPr>
      </w:pPr>
      <w:r>
        <w:rPr>
          <w:b/>
          <w:bCs/>
          <w:sz w:val="20"/>
          <w:szCs w:val="20"/>
        </w:rPr>
        <w:t>Figure 2. Post-reaction sediment in the first experiment</w:t>
      </w:r>
    </w:p>
    <w:p w:rsidR="0076172D" w:rsidRDefault="00E72F9D">
      <w:pPr>
        <w:widowControl w:val="0"/>
        <w:spacing w:line="480" w:lineRule="auto"/>
        <w:ind w:right="136"/>
        <w:jc w:val="both"/>
        <w:rPr>
          <w:sz w:val="20"/>
          <w:szCs w:val="20"/>
        </w:rPr>
      </w:pPr>
      <w:r>
        <w:rPr>
          <w:noProof/>
          <w:sz w:val="20"/>
          <w:szCs w:val="20"/>
        </w:rPr>
        <w:drawing>
          <wp:inline distT="114300" distB="114300" distL="114300" distR="114300">
            <wp:extent cx="2743200" cy="1498600"/>
            <wp:effectExtent l="0" t="0" r="0" b="0"/>
            <wp:docPr id="4"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4"/>
                    <a:srcRect/>
                    <a:stretch>
                      <a:fillRect/>
                    </a:stretch>
                  </pic:blipFill>
                  <pic:spPr>
                    <a:xfrm>
                      <a:off x="0" y="0"/>
                      <a:ext cx="2743200" cy="1498600"/>
                    </a:xfrm>
                    <a:prstGeom prst="rect">
                      <a:avLst/>
                    </a:prstGeom>
                    <a:ln/>
                  </pic:spPr>
                </pic:pic>
              </a:graphicData>
            </a:graphic>
          </wp:inline>
        </w:drawing>
      </w:r>
    </w:p>
    <w:p w:rsidR="0076172D" w:rsidRDefault="00E72F9D">
      <w:pPr>
        <w:widowControl w:val="0"/>
        <w:spacing w:line="360" w:lineRule="auto"/>
        <w:ind w:right="136"/>
        <w:jc w:val="both"/>
        <w:rPr>
          <w:sz w:val="20"/>
          <w:szCs w:val="20"/>
        </w:rPr>
      </w:pPr>
      <w:r>
        <w:rPr>
          <w:b/>
          <w:bCs/>
          <w:sz w:val="20"/>
          <w:szCs w:val="20"/>
        </w:rPr>
        <w:t>Figure 3. Post-reaction sediment in the second experiment</w:t>
      </w:r>
    </w:p>
    <w:p w:rsidR="0076172D" w:rsidRDefault="00E72F9D">
      <w:pPr>
        <w:spacing w:before="240" w:after="240"/>
        <w:jc w:val="both"/>
        <w:rPr>
          <w:sz w:val="20"/>
          <w:szCs w:val="20"/>
        </w:rPr>
      </w:pPr>
      <w:r>
        <w:rPr>
          <w:sz w:val="20"/>
          <w:szCs w:val="20"/>
        </w:rPr>
        <w:t xml:space="preserve">The results of this study indicate that acidic urine with pH 5.0–5.5 provides the most favorable environment for the formation of </w:t>
      </w:r>
      <w:proofErr w:type="spellStart"/>
      <w:r>
        <w:rPr>
          <w:sz w:val="20"/>
          <w:szCs w:val="20"/>
        </w:rPr>
        <w:t>CaOx</w:t>
      </w:r>
      <w:proofErr w:type="spellEnd"/>
      <w:r>
        <w:rPr>
          <w:sz w:val="20"/>
          <w:szCs w:val="20"/>
        </w:rPr>
        <w:t xml:space="preserve"> kidney stones, whereas the urine of healthy individuals–typically slightly acidic to neutral–is capable of inhibiting the</w:t>
      </w:r>
      <w:r>
        <w:rPr>
          <w:sz w:val="20"/>
          <w:szCs w:val="20"/>
        </w:rPr>
        <w:t xml:space="preserve"> formation of such stones. The trend can be explained by the interaction between hydrogen ions and citrate in low-pH environments. Under physiological conditions (slightly acidic to neutral pH 6.0–7.0), citrate acts as a natural inhibitor of calcium oxalat</w:t>
      </w:r>
      <w:r>
        <w:rPr>
          <w:sz w:val="20"/>
          <w:szCs w:val="20"/>
        </w:rPr>
        <w:t xml:space="preserve">e precipitation by forming complexes with calcium </w:t>
      </w:r>
      <w:r>
        <w:rPr>
          <w:sz w:val="20"/>
          <w:szCs w:val="20"/>
        </w:rPr>
        <w:t>ions (Leslie &amp; Bashir, 2024). This minimizes the risk of developing kidney stones. At low pH, however, the abundance of hydrogen ions reacts with citrate to form citric acid, a weak acid that only partially</w:t>
      </w:r>
      <w:r>
        <w:rPr>
          <w:sz w:val="20"/>
          <w:szCs w:val="20"/>
        </w:rPr>
        <w:t xml:space="preserve"> dissociates in water (Uddin </w:t>
      </w:r>
      <w:r>
        <w:rPr>
          <w:i/>
          <w:iCs/>
          <w:sz w:val="20"/>
          <w:szCs w:val="20"/>
        </w:rPr>
        <w:t>et al</w:t>
      </w:r>
      <w:r>
        <w:rPr>
          <w:sz w:val="20"/>
          <w:szCs w:val="20"/>
        </w:rPr>
        <w:t>., 1996). This reduces the amount of free citrate available to bind calcium ions Ca</w:t>
      </w:r>
      <w:r>
        <w:rPr>
          <w:sz w:val="20"/>
          <w:szCs w:val="20"/>
          <w:vertAlign w:val="superscript"/>
        </w:rPr>
        <w:t>2+</w:t>
      </w:r>
      <w:r>
        <w:rPr>
          <w:sz w:val="20"/>
          <w:szCs w:val="20"/>
        </w:rPr>
        <w:t>, thereby diminishing its inhibitory effect and promoting stone formation.</w:t>
      </w:r>
    </w:p>
    <w:p w:rsidR="0076172D" w:rsidRDefault="00E72F9D">
      <w:pPr>
        <w:spacing w:before="240" w:after="240"/>
        <w:jc w:val="both"/>
        <w:rPr>
          <w:sz w:val="20"/>
          <w:szCs w:val="20"/>
        </w:rPr>
      </w:pPr>
      <w:r>
        <w:rPr>
          <w:sz w:val="20"/>
          <w:szCs w:val="20"/>
        </w:rPr>
        <w:t>The findings of this study are largely consistent with previou</w:t>
      </w:r>
      <w:r>
        <w:rPr>
          <w:sz w:val="20"/>
          <w:szCs w:val="20"/>
        </w:rPr>
        <w:t>s international research demonstrating that acidic urinary environments promote calcium oxalate (</w:t>
      </w:r>
      <w:proofErr w:type="spellStart"/>
      <w:r>
        <w:rPr>
          <w:sz w:val="20"/>
          <w:szCs w:val="20"/>
        </w:rPr>
        <w:t>CaOx</w:t>
      </w:r>
      <w:proofErr w:type="spellEnd"/>
      <w:r>
        <w:rPr>
          <w:sz w:val="20"/>
          <w:szCs w:val="20"/>
        </w:rPr>
        <w:t xml:space="preserve">) stone formation, while conditions closer to physiological pH exert an inhibitory effect. Early compositional analyses of renal stones, such as the X-ray </w:t>
      </w:r>
      <w:r>
        <w:rPr>
          <w:sz w:val="20"/>
          <w:szCs w:val="20"/>
        </w:rPr>
        <w:t xml:space="preserve">diffraction study conducted by Orlando </w:t>
      </w:r>
      <w:r>
        <w:rPr>
          <w:i/>
          <w:iCs/>
          <w:sz w:val="20"/>
          <w:szCs w:val="20"/>
        </w:rPr>
        <w:t>et al</w:t>
      </w:r>
      <w:r>
        <w:rPr>
          <w:sz w:val="20"/>
          <w:szCs w:val="20"/>
        </w:rPr>
        <w:t xml:space="preserve">. (2008), established that calcium oxalate constitutes the majority of kidney stones, underscoring the clinical relevance of investigating factors influencing </w:t>
      </w:r>
      <w:proofErr w:type="spellStart"/>
      <w:r>
        <w:rPr>
          <w:sz w:val="20"/>
          <w:szCs w:val="20"/>
        </w:rPr>
        <w:t>CaOx</w:t>
      </w:r>
      <w:proofErr w:type="spellEnd"/>
      <w:r>
        <w:rPr>
          <w:sz w:val="20"/>
          <w:szCs w:val="20"/>
        </w:rPr>
        <w:t xml:space="preserve"> precipitation. Similarly, although the work by </w:t>
      </w:r>
      <w:proofErr w:type="spellStart"/>
      <w:r>
        <w:rPr>
          <w:sz w:val="20"/>
          <w:szCs w:val="20"/>
        </w:rPr>
        <w:t>S</w:t>
      </w:r>
      <w:r>
        <w:rPr>
          <w:sz w:val="20"/>
          <w:szCs w:val="20"/>
        </w:rPr>
        <w:t>akhaee</w:t>
      </w:r>
      <w:proofErr w:type="spellEnd"/>
      <w:r>
        <w:rPr>
          <w:sz w:val="20"/>
          <w:szCs w:val="20"/>
        </w:rPr>
        <w:t xml:space="preserve"> </w:t>
      </w:r>
      <w:r>
        <w:rPr>
          <w:i/>
          <w:iCs/>
          <w:sz w:val="20"/>
          <w:szCs w:val="20"/>
        </w:rPr>
        <w:t>et al</w:t>
      </w:r>
      <w:r>
        <w:rPr>
          <w:sz w:val="20"/>
          <w:szCs w:val="20"/>
        </w:rPr>
        <w:t>. (2009) primarily focused on uric acid stones, it highlighted the broader role of urinary pH in stone pathogenesis and provided indirect support for the increased lithogenic risk associated with acidic conditions.</w:t>
      </w:r>
    </w:p>
    <w:p w:rsidR="0076172D" w:rsidRDefault="00E72F9D">
      <w:pPr>
        <w:spacing w:before="240" w:after="240"/>
        <w:jc w:val="both"/>
        <w:rPr>
          <w:sz w:val="20"/>
          <w:szCs w:val="20"/>
        </w:rPr>
      </w:pPr>
      <w:r>
        <w:rPr>
          <w:sz w:val="20"/>
          <w:szCs w:val="20"/>
        </w:rPr>
        <w:t>In contrast to many studies c</w:t>
      </w:r>
      <w:r>
        <w:rPr>
          <w:sz w:val="20"/>
          <w:szCs w:val="20"/>
        </w:rPr>
        <w:t>onducted in Vietnam, which predominantly emphasize clinical characteristics, recurrence rates, and surgical outcomes of kidney stone disease (, this project adopts a biochemical and experimental approach to investigate stone formation mechanisms at the sol</w:t>
      </w:r>
      <w:r>
        <w:rPr>
          <w:sz w:val="20"/>
          <w:szCs w:val="20"/>
        </w:rPr>
        <w:t xml:space="preserve">ution level (Nguyen &amp; Bui 2023; Pham </w:t>
      </w:r>
      <w:r>
        <w:rPr>
          <w:i/>
          <w:iCs/>
          <w:sz w:val="20"/>
          <w:szCs w:val="20"/>
        </w:rPr>
        <w:t>et al</w:t>
      </w:r>
      <w:r>
        <w:rPr>
          <w:sz w:val="20"/>
          <w:szCs w:val="20"/>
        </w:rPr>
        <w:t xml:space="preserve">., 2022). By simulating urinary ionic composition and systematically varying pH, the study provides foundational insight into the chemical conditions governing </w:t>
      </w:r>
      <w:proofErr w:type="spellStart"/>
      <w:r>
        <w:rPr>
          <w:sz w:val="20"/>
          <w:szCs w:val="20"/>
        </w:rPr>
        <w:t>CaOx</w:t>
      </w:r>
      <w:proofErr w:type="spellEnd"/>
      <w:r>
        <w:rPr>
          <w:sz w:val="20"/>
          <w:szCs w:val="20"/>
        </w:rPr>
        <w:t xml:space="preserve"> precipitation, thereby addressing a gap in existi</w:t>
      </w:r>
      <w:r>
        <w:rPr>
          <w:sz w:val="20"/>
          <w:szCs w:val="20"/>
        </w:rPr>
        <w:t>ng domestic research. Although simplified, this model complements clinical studies by offering mechanistic explanations that may inform future preventive strategies and more targeted experimental designs.</w:t>
      </w:r>
    </w:p>
    <w:p w:rsidR="0076172D" w:rsidRDefault="00E72F9D">
      <w:pPr>
        <w:spacing w:before="240" w:after="240"/>
        <w:jc w:val="both"/>
        <w:rPr>
          <w:sz w:val="20"/>
          <w:szCs w:val="20"/>
        </w:rPr>
      </w:pPr>
      <w:r>
        <w:rPr>
          <w:sz w:val="20"/>
          <w:szCs w:val="20"/>
        </w:rPr>
        <w:t xml:space="preserve">Nevertheless, while previous studies have </w:t>
      </w:r>
      <w:r>
        <w:rPr>
          <w:sz w:val="20"/>
          <w:szCs w:val="20"/>
        </w:rPr>
        <w:t xml:space="preserve">demonstrated that alkaline urine reduces the risk </w:t>
      </w:r>
      <w:r>
        <w:rPr>
          <w:sz w:val="20"/>
          <w:szCs w:val="20"/>
        </w:rPr>
        <w:lastRenderedPageBreak/>
        <w:t>of calcium oxalate stone formation, this experiment showed the opposite trend: a slight increase in calcium oxalate precipitation at higher pH values. This discrepancy can be explained by limitations of the</w:t>
      </w:r>
      <w:r>
        <w:rPr>
          <w:sz w:val="20"/>
          <w:szCs w:val="20"/>
        </w:rPr>
        <w:t xml:space="preserve"> experimental method. In addition to calcium oxalate, alkaline conditions may also promote the precipitation of calcium hydroxide, another poorly soluble white compound. In healthy individuals, the average urinary excretion of calcium is about 2.5–7.5 mmol</w:t>
      </w:r>
      <w:r>
        <w:rPr>
          <w:sz w:val="20"/>
          <w:szCs w:val="20"/>
        </w:rPr>
        <w:t xml:space="preserve"> per 1–2 liters of urine, which is not high enough to produce calcium hydroxide precipitates (UCSF, 2023; RCPA, 2024). However, in this study the experimental setup used 0.01 mol (10 mmol) of calcium in each test tube, far exceeding normal urinary levels, </w:t>
      </w:r>
      <w:r>
        <w:rPr>
          <w:sz w:val="20"/>
          <w:szCs w:val="20"/>
        </w:rPr>
        <w:t>thereby facilitating the formation of calcium hydroxide. As a result, the measured precipitate in alkaline conditions may have been greater than the actual amount of calcium oxalate that would form physiologically.</w:t>
      </w:r>
    </w:p>
    <w:p w:rsidR="0076172D" w:rsidRDefault="00E72F9D">
      <w:pPr>
        <w:spacing w:before="240" w:after="240"/>
        <w:jc w:val="both"/>
        <w:rPr>
          <w:sz w:val="20"/>
          <w:szCs w:val="20"/>
        </w:rPr>
      </w:pPr>
      <w:r>
        <w:rPr>
          <w:sz w:val="20"/>
          <w:szCs w:val="20"/>
        </w:rPr>
        <w:t>More mechanistic insights were offered by</w:t>
      </w:r>
      <w:r>
        <w:rPr>
          <w:sz w:val="20"/>
          <w:szCs w:val="20"/>
        </w:rPr>
        <w:t xml:space="preserve"> </w:t>
      </w:r>
      <w:proofErr w:type="spellStart"/>
      <w:r>
        <w:rPr>
          <w:sz w:val="20"/>
          <w:szCs w:val="20"/>
        </w:rPr>
        <w:t>Manissorn</w:t>
      </w:r>
      <w:proofErr w:type="spellEnd"/>
      <w:r>
        <w:rPr>
          <w:sz w:val="20"/>
          <w:szCs w:val="20"/>
        </w:rPr>
        <w:t xml:space="preserve"> </w:t>
      </w:r>
      <w:r>
        <w:rPr>
          <w:i/>
          <w:iCs/>
          <w:sz w:val="20"/>
          <w:szCs w:val="20"/>
        </w:rPr>
        <w:t>et al</w:t>
      </w:r>
      <w:r>
        <w:rPr>
          <w:sz w:val="20"/>
          <w:szCs w:val="20"/>
        </w:rPr>
        <w:t xml:space="preserve">. (2017), who demonstrated that </w:t>
      </w:r>
      <w:proofErr w:type="spellStart"/>
      <w:r>
        <w:rPr>
          <w:sz w:val="20"/>
          <w:szCs w:val="20"/>
        </w:rPr>
        <w:t>CaOx</w:t>
      </w:r>
      <w:proofErr w:type="spellEnd"/>
      <w:r>
        <w:rPr>
          <w:sz w:val="20"/>
          <w:szCs w:val="20"/>
        </w:rPr>
        <w:t xml:space="preserve"> crystal mass and size were greatest under strongly acidic conditions and minimized in alkaline environments, using both cellular interaction models and crystal analysis. Likewise, Ibis</w:t>
      </w:r>
      <w:r>
        <w:rPr>
          <w:i/>
          <w:iCs/>
          <w:sz w:val="20"/>
          <w:szCs w:val="20"/>
        </w:rPr>
        <w:t xml:space="preserve"> et al</w:t>
      </w:r>
      <w:r>
        <w:rPr>
          <w:sz w:val="20"/>
          <w:szCs w:val="20"/>
        </w:rPr>
        <w:t>. (2020) repo</w:t>
      </w:r>
      <w:r>
        <w:rPr>
          <w:sz w:val="20"/>
          <w:szCs w:val="20"/>
        </w:rPr>
        <w:t xml:space="preserve">rted that citrate-mediated inhibition of </w:t>
      </w:r>
      <w:proofErr w:type="spellStart"/>
      <w:r>
        <w:rPr>
          <w:sz w:val="20"/>
          <w:szCs w:val="20"/>
        </w:rPr>
        <w:t>CaOx</w:t>
      </w:r>
      <w:proofErr w:type="spellEnd"/>
      <w:r>
        <w:rPr>
          <w:sz w:val="20"/>
          <w:szCs w:val="20"/>
        </w:rPr>
        <w:t xml:space="preserve"> crystallization was most effective at approximately pH 6.5, corresponding closely to the average physiological urinary pH in healthy individuals. The present study corroborates these findings by showing maximal</w:t>
      </w:r>
      <w:r>
        <w:rPr>
          <w:sz w:val="20"/>
          <w:szCs w:val="20"/>
        </w:rPr>
        <w:t xml:space="preserve"> precipitation at pH 5.0–5.5 and reduced precipitation near neutral pH, reinforcing the role of citrate protonation state and calcium chelation as key biochemical mechanisms governing </w:t>
      </w:r>
      <w:proofErr w:type="spellStart"/>
      <w:r>
        <w:rPr>
          <w:sz w:val="20"/>
          <w:szCs w:val="20"/>
        </w:rPr>
        <w:t>CaOx</w:t>
      </w:r>
      <w:proofErr w:type="spellEnd"/>
      <w:r>
        <w:rPr>
          <w:sz w:val="20"/>
          <w:szCs w:val="20"/>
        </w:rPr>
        <w:t xml:space="preserve"> formation.</w:t>
      </w:r>
    </w:p>
    <w:p w:rsidR="0076172D" w:rsidRDefault="00E72F9D">
      <w:pPr>
        <w:spacing w:before="240" w:after="240"/>
        <w:jc w:val="both"/>
        <w:rPr>
          <w:sz w:val="20"/>
          <w:szCs w:val="20"/>
        </w:rPr>
      </w:pPr>
      <w:r>
        <w:rPr>
          <w:sz w:val="20"/>
          <w:szCs w:val="20"/>
        </w:rPr>
        <w:t>Regression analysis was conducted to examine the relatio</w:t>
      </w:r>
      <w:r>
        <w:rPr>
          <w:sz w:val="20"/>
          <w:szCs w:val="20"/>
        </w:rPr>
        <w:t>nship between urinary pH and precipitate thickness, where precipitate thickness was used as a proxy for the extent of calcium oxalate formation. Several non-linear models were tested due to the expected inverse relationship between hydrogen ion concentrati</w:t>
      </w:r>
      <w:r>
        <w:rPr>
          <w:sz w:val="20"/>
          <w:szCs w:val="20"/>
        </w:rPr>
        <w:t xml:space="preserve">on and calcium oxalate inhibition. While more complex models incorporating additional parameters yielded higher coefficients of </w:t>
      </w:r>
      <w:r>
        <w:rPr>
          <w:sz w:val="20"/>
          <w:szCs w:val="20"/>
        </w:rPr>
        <w:t>determination (R²), these models produced non-physical parameter values and poor visual agreement with the experimental data, su</w:t>
      </w:r>
      <w:r>
        <w:rPr>
          <w:sz w:val="20"/>
          <w:szCs w:val="20"/>
        </w:rPr>
        <w:t xml:space="preserve">ggesting overfitting given the limited sample size. Consequently, a simpler inverse power-law model of the form y = a / </w:t>
      </w:r>
      <w:proofErr w:type="spellStart"/>
      <w:r>
        <w:rPr>
          <w:sz w:val="20"/>
          <w:szCs w:val="20"/>
        </w:rPr>
        <w:t>x</w:t>
      </w:r>
      <w:r>
        <w:rPr>
          <w:sz w:val="20"/>
          <w:szCs w:val="20"/>
          <w:vertAlign w:val="superscript"/>
        </w:rPr>
        <w:t>b</w:t>
      </w:r>
      <w:proofErr w:type="spellEnd"/>
      <w:r>
        <w:rPr>
          <w:sz w:val="20"/>
          <w:szCs w:val="20"/>
        </w:rPr>
        <w:t xml:space="preserve">, with y being the thickness of precipitate obtained and x being pH level, was selected as the most appropriate representation of the </w:t>
      </w:r>
      <w:r>
        <w:rPr>
          <w:sz w:val="20"/>
          <w:szCs w:val="20"/>
        </w:rPr>
        <w:t>data. This model yielded parameters a = 266.13 and b = 1.13, with an R² value of 0.5062. Although the R² indicates moderate explanatory power, the model captures the overall decreasing trend in precipitate thickness with increasing pH and remains chemicall</w:t>
      </w:r>
      <w:r>
        <w:rPr>
          <w:sz w:val="20"/>
          <w:szCs w:val="20"/>
        </w:rPr>
        <w:t>y interpretable. The inverse relationship is consistent with established biochemical mechanisms, whereby increasing pH reduces hydrogen ion concentration, enhances citrate deprotonation, and strengthens calcium–citrate complexation, thereby inhibiting calc</w:t>
      </w:r>
      <w:r>
        <w:rPr>
          <w:sz w:val="20"/>
          <w:szCs w:val="20"/>
        </w:rPr>
        <w:t xml:space="preserve">ium oxalate precipitation. Given the inherent variability of biological systems and the semi-quantitative nature of sediment thickness measurements, the observed fit is considered acceptable and supports the proposed mechanistic interpretation. </w:t>
      </w:r>
    </w:p>
    <w:p w:rsidR="0076172D" w:rsidRDefault="00E72F9D">
      <w:pPr>
        <w:spacing w:before="240" w:after="240"/>
        <w:jc w:val="both"/>
        <w:rPr>
          <w:sz w:val="20"/>
          <w:szCs w:val="20"/>
        </w:rPr>
      </w:pPr>
      <w:r>
        <w:rPr>
          <w:sz w:val="20"/>
          <w:szCs w:val="20"/>
        </w:rPr>
        <w:t>To evaluat</w:t>
      </w:r>
      <w:r>
        <w:rPr>
          <w:sz w:val="20"/>
          <w:szCs w:val="20"/>
        </w:rPr>
        <w:t>e the robustness of the observed inverse relationship, a secondary regression analysis was conducted excluding data points at pH 7.5 and 8.0. These alkaline conditions are more susceptible to the formation of non–calcium oxalate precipitates, such as calci</w:t>
      </w:r>
      <w:r>
        <w:rPr>
          <w:sz w:val="20"/>
          <w:szCs w:val="20"/>
        </w:rPr>
        <w:t xml:space="preserve">um hydroxide or carbonate, which may confound the measurement of true </w:t>
      </w:r>
      <w:proofErr w:type="spellStart"/>
      <w:r>
        <w:rPr>
          <w:sz w:val="20"/>
          <w:szCs w:val="20"/>
        </w:rPr>
        <w:t>CaOx</w:t>
      </w:r>
      <w:proofErr w:type="spellEnd"/>
      <w:r>
        <w:rPr>
          <w:sz w:val="20"/>
          <w:szCs w:val="20"/>
        </w:rPr>
        <w:t xml:space="preserve"> formation. When these data points were omitted, the inverse power-law model y = a / </w:t>
      </w:r>
      <w:proofErr w:type="spellStart"/>
      <w:r>
        <w:rPr>
          <w:sz w:val="20"/>
          <w:szCs w:val="20"/>
        </w:rPr>
        <w:t>x</w:t>
      </w:r>
      <w:r>
        <w:rPr>
          <w:sz w:val="20"/>
          <w:szCs w:val="20"/>
          <w:vertAlign w:val="superscript"/>
        </w:rPr>
        <w:t>b</w:t>
      </w:r>
      <w:proofErr w:type="spellEnd"/>
      <w:r>
        <w:rPr>
          <w:sz w:val="20"/>
          <w:szCs w:val="20"/>
        </w:rPr>
        <w:t>​</w:t>
      </w:r>
      <w:r>
        <w:rPr>
          <w:sz w:val="20"/>
          <w:szCs w:val="20"/>
        </w:rPr>
        <w:t xml:space="preserve"> yielded parameters a = 1730 </w:t>
      </w:r>
      <w:proofErr w:type="gramStart"/>
      <w:r>
        <w:rPr>
          <w:sz w:val="20"/>
          <w:szCs w:val="20"/>
        </w:rPr>
        <w:t>and  b</w:t>
      </w:r>
      <w:proofErr w:type="gramEnd"/>
      <w:r>
        <w:rPr>
          <w:sz w:val="20"/>
          <w:szCs w:val="20"/>
        </w:rPr>
        <w:t xml:space="preserve"> = 2.23, with an improved coefficient of determination R² =</w:t>
      </w:r>
      <w:r>
        <w:rPr>
          <w:sz w:val="20"/>
          <w:szCs w:val="20"/>
        </w:rPr>
        <w:t xml:space="preserve"> 0.9122. The substantially higher R² suggests that within the physiologically relevant pH range, urinary pH more strongly predicts calcium oxalate precipitation. This finding supports the interpretation that the reduced fit observed in the full dataset ari</w:t>
      </w:r>
      <w:r>
        <w:rPr>
          <w:sz w:val="20"/>
          <w:szCs w:val="20"/>
        </w:rPr>
        <w:t>ses from chemical interference under alkaline conditions rather than random experimental error.</w:t>
      </w:r>
    </w:p>
    <w:p w:rsidR="0076172D" w:rsidRDefault="00E72F9D">
      <w:pPr>
        <w:spacing w:before="240" w:after="240"/>
        <w:jc w:val="both"/>
        <w:rPr>
          <w:sz w:val="20"/>
          <w:szCs w:val="20"/>
        </w:rPr>
      </w:pPr>
      <w:r>
        <w:rPr>
          <w:noProof/>
          <w:sz w:val="20"/>
          <w:szCs w:val="20"/>
        </w:rPr>
        <w:lastRenderedPageBreak/>
        <w:drawing>
          <wp:inline distT="114300" distB="114300" distL="114300" distR="114300">
            <wp:extent cx="2690813" cy="304742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690813" cy="3047426"/>
                    </a:xfrm>
                    <a:prstGeom prst="rect">
                      <a:avLst/>
                    </a:prstGeom>
                    <a:ln/>
                  </pic:spPr>
                </pic:pic>
              </a:graphicData>
            </a:graphic>
          </wp:inline>
        </w:drawing>
      </w:r>
    </w:p>
    <w:p w:rsidR="0076172D" w:rsidRDefault="00E72F9D">
      <w:pPr>
        <w:spacing w:before="240" w:after="240"/>
        <w:jc w:val="both"/>
        <w:rPr>
          <w:b/>
          <w:bCs/>
          <w:sz w:val="20"/>
          <w:szCs w:val="20"/>
        </w:rPr>
      </w:pPr>
      <w:r>
        <w:rPr>
          <w:b/>
          <w:bCs/>
          <w:sz w:val="20"/>
          <w:szCs w:val="20"/>
        </w:rPr>
        <w:t xml:space="preserve">Figure 4. Regression lines of thickness of precipitate sediment and sample urine pH against built before </w:t>
      </w:r>
      <w:r>
        <w:rPr>
          <w:b/>
          <w:bCs/>
          <w:color w:val="38761D"/>
          <w:sz w:val="20"/>
          <w:szCs w:val="20"/>
        </w:rPr>
        <w:t>(green)</w:t>
      </w:r>
      <w:r>
        <w:rPr>
          <w:b/>
          <w:bCs/>
          <w:sz w:val="20"/>
          <w:szCs w:val="20"/>
        </w:rPr>
        <w:t xml:space="preserve"> and after </w:t>
      </w:r>
      <w:r>
        <w:rPr>
          <w:b/>
          <w:bCs/>
          <w:color w:val="FF0000"/>
          <w:sz w:val="20"/>
          <w:szCs w:val="20"/>
        </w:rPr>
        <w:t>(red)</w:t>
      </w:r>
      <w:r>
        <w:rPr>
          <w:b/>
          <w:bCs/>
          <w:sz w:val="20"/>
          <w:szCs w:val="20"/>
        </w:rPr>
        <w:t xml:space="preserve"> omitting data points at pH 7.</w:t>
      </w:r>
      <w:r>
        <w:rPr>
          <w:b/>
          <w:bCs/>
          <w:sz w:val="20"/>
          <w:szCs w:val="20"/>
        </w:rPr>
        <w:t>5 and 8.0</w:t>
      </w:r>
    </w:p>
    <w:p w:rsidR="0076172D" w:rsidRDefault="00E72F9D">
      <w:pPr>
        <w:spacing w:before="240" w:after="240"/>
        <w:jc w:val="both"/>
        <w:rPr>
          <w:b/>
          <w:bCs/>
        </w:rPr>
      </w:pPr>
      <w:r>
        <w:rPr>
          <w:sz w:val="20"/>
          <w:szCs w:val="20"/>
        </w:rPr>
        <w:t>From a clinical perspective, these findings provide a chemical basis for preventive strategies that aim to maintain urinary pH within the physiological range. Dietary patterns and metabolic factors known to influence urinary pH and citrate excret</w:t>
      </w:r>
      <w:r>
        <w:rPr>
          <w:sz w:val="20"/>
          <w:szCs w:val="20"/>
        </w:rPr>
        <w:t>ion may therefore play an indirect role in modulating calcium oxalate stone risk. For example, diets rich in fruits and vegetables are associated with increased urinary citrate and higher urinary pH, whereas high animal protein intake is linked to increase</w:t>
      </w:r>
      <w:r>
        <w:rPr>
          <w:sz w:val="20"/>
          <w:szCs w:val="20"/>
        </w:rPr>
        <w:t xml:space="preserve">d acid load and reduced citrate excretion (UCSF, 2023). Although this study does not assess dietary interventions directly, the results support existing preventive approaches that emphasize balanced urinary chemistry rather than extreme pH modification. </w:t>
      </w:r>
    </w:p>
    <w:p w:rsidR="0076172D" w:rsidRDefault="00E72F9D">
      <w:pPr>
        <w:jc w:val="both"/>
        <w:rPr>
          <w:b/>
          <w:bCs/>
        </w:rPr>
      </w:pPr>
      <w:r>
        <w:rPr>
          <w:b/>
          <w:bCs/>
        </w:rPr>
        <w:t>4</w:t>
      </w:r>
      <w:r>
        <w:rPr>
          <w:b/>
          <w:bCs/>
        </w:rPr>
        <w:t xml:space="preserve">. CONCLUSION </w:t>
      </w:r>
    </w:p>
    <w:p w:rsidR="0076172D" w:rsidRDefault="00E72F9D">
      <w:pPr>
        <w:jc w:val="both"/>
        <w:rPr>
          <w:sz w:val="20"/>
          <w:szCs w:val="20"/>
        </w:rPr>
      </w:pPr>
      <w:r>
        <w:rPr>
          <w:sz w:val="20"/>
          <w:szCs w:val="20"/>
        </w:rPr>
        <w:t>This study demonstrates that urinary pH plays a critical role in calcium oxalate (</w:t>
      </w:r>
      <w:proofErr w:type="spellStart"/>
      <w:r>
        <w:rPr>
          <w:sz w:val="20"/>
          <w:szCs w:val="20"/>
        </w:rPr>
        <w:t>CaOx</w:t>
      </w:r>
      <w:proofErr w:type="spellEnd"/>
      <w:r>
        <w:rPr>
          <w:sz w:val="20"/>
          <w:szCs w:val="20"/>
        </w:rPr>
        <w:t>) precipitation, with acidic conditions (pH 5.0–5.5) favoring stone formation and slightly acidic to neutral conditions characteristic of healthy urine exer</w:t>
      </w:r>
      <w:r>
        <w:rPr>
          <w:sz w:val="20"/>
          <w:szCs w:val="20"/>
        </w:rPr>
        <w:t xml:space="preserve">ting a protective effect. The results support </w:t>
      </w:r>
      <w:r>
        <w:rPr>
          <w:sz w:val="20"/>
          <w:szCs w:val="20"/>
        </w:rPr>
        <w:t xml:space="preserve">established biochemical mechanisms in which citrate inhibits </w:t>
      </w:r>
      <w:proofErr w:type="spellStart"/>
      <w:r>
        <w:rPr>
          <w:sz w:val="20"/>
          <w:szCs w:val="20"/>
        </w:rPr>
        <w:t>CaOx</w:t>
      </w:r>
      <w:proofErr w:type="spellEnd"/>
      <w:r>
        <w:rPr>
          <w:sz w:val="20"/>
          <w:szCs w:val="20"/>
        </w:rPr>
        <w:t xml:space="preserve"> crystallization through calcium complexation, an effect that is weakened under acidic conditions due to citrate protonation. Although a slight i</w:t>
      </w:r>
      <w:r>
        <w:rPr>
          <w:sz w:val="20"/>
          <w:szCs w:val="20"/>
        </w:rPr>
        <w:t>ncrease in precipitate was observed under alkaline conditions, this outcome is attributed to experimental limitations, particularly the formation of non-</w:t>
      </w:r>
      <w:proofErr w:type="spellStart"/>
      <w:r>
        <w:rPr>
          <w:sz w:val="20"/>
          <w:szCs w:val="20"/>
        </w:rPr>
        <w:t>CaOx</w:t>
      </w:r>
      <w:proofErr w:type="spellEnd"/>
      <w:r>
        <w:rPr>
          <w:sz w:val="20"/>
          <w:szCs w:val="20"/>
        </w:rPr>
        <w:t xml:space="preserve"> calcium salts at supraphysiological calcium concentrations. Regression analyses further reinforce </w:t>
      </w:r>
      <w:r>
        <w:rPr>
          <w:sz w:val="20"/>
          <w:szCs w:val="20"/>
        </w:rPr>
        <w:t xml:space="preserve">an inverse relationship between pH and </w:t>
      </w:r>
      <w:proofErr w:type="spellStart"/>
      <w:r>
        <w:rPr>
          <w:sz w:val="20"/>
          <w:szCs w:val="20"/>
        </w:rPr>
        <w:t>CaOx</w:t>
      </w:r>
      <w:proofErr w:type="spellEnd"/>
      <w:r>
        <w:rPr>
          <w:sz w:val="20"/>
          <w:szCs w:val="20"/>
        </w:rPr>
        <w:t xml:space="preserve"> precipitation within the physiologically relevant range, with improved model fit upon exclusion of alkaline conditions susceptible to chemical interference. Overall, these findings highlight the importance of uri</w:t>
      </w:r>
      <w:r>
        <w:rPr>
          <w:sz w:val="20"/>
          <w:szCs w:val="20"/>
        </w:rPr>
        <w:t xml:space="preserve">nary pH regulation in kidney stone prevention and underscore the need for more refined experimental techniques to distinguish </w:t>
      </w:r>
      <w:proofErr w:type="spellStart"/>
      <w:r>
        <w:rPr>
          <w:sz w:val="20"/>
          <w:szCs w:val="20"/>
        </w:rPr>
        <w:t>CaOx</w:t>
      </w:r>
      <w:proofErr w:type="spellEnd"/>
      <w:r>
        <w:rPr>
          <w:sz w:val="20"/>
          <w:szCs w:val="20"/>
        </w:rPr>
        <w:t xml:space="preserve"> from other calcium-containing precipitates in alkaline environments.</w:t>
      </w:r>
    </w:p>
    <w:p w:rsidR="0076172D" w:rsidRDefault="0076172D">
      <w:pPr>
        <w:rPr>
          <w:b/>
          <w:bCs/>
        </w:rPr>
      </w:pPr>
    </w:p>
    <w:p w:rsidR="0076172D" w:rsidRDefault="00E72F9D">
      <w:pPr>
        <w:jc w:val="both"/>
        <w:rPr>
          <w:b/>
          <w:bCs/>
        </w:rPr>
      </w:pPr>
      <w:r>
        <w:rPr>
          <w:b/>
          <w:bCs/>
        </w:rPr>
        <w:t xml:space="preserve">5. REFERENCES </w:t>
      </w:r>
    </w:p>
    <w:p w:rsidR="0076172D" w:rsidRDefault="00E72F9D">
      <w:pPr>
        <w:jc w:val="both"/>
        <w:rPr>
          <w:sz w:val="16"/>
          <w:szCs w:val="16"/>
        </w:rPr>
      </w:pPr>
      <w:r>
        <w:rPr>
          <w:sz w:val="20"/>
          <w:szCs w:val="20"/>
        </w:rPr>
        <w:t xml:space="preserve">J. </w:t>
      </w:r>
      <w:proofErr w:type="spellStart"/>
      <w:r>
        <w:rPr>
          <w:sz w:val="20"/>
          <w:szCs w:val="20"/>
        </w:rPr>
        <w:t>Manissorn</w:t>
      </w:r>
      <w:proofErr w:type="spellEnd"/>
      <w:r>
        <w:rPr>
          <w:sz w:val="20"/>
          <w:szCs w:val="20"/>
        </w:rPr>
        <w:t>, K. Fong-</w:t>
      </w:r>
      <w:proofErr w:type="spellStart"/>
      <w:r>
        <w:rPr>
          <w:sz w:val="20"/>
          <w:szCs w:val="20"/>
        </w:rPr>
        <w:t>Ngern</w:t>
      </w:r>
      <w:proofErr w:type="spellEnd"/>
      <w:r>
        <w:rPr>
          <w:sz w:val="20"/>
          <w:szCs w:val="20"/>
        </w:rPr>
        <w:t xml:space="preserve">, P. </w:t>
      </w:r>
      <w:proofErr w:type="spellStart"/>
      <w:r>
        <w:rPr>
          <w:sz w:val="20"/>
          <w:szCs w:val="20"/>
        </w:rPr>
        <w:t>Peerapen</w:t>
      </w:r>
      <w:proofErr w:type="spellEnd"/>
      <w:r>
        <w:rPr>
          <w:sz w:val="20"/>
          <w:szCs w:val="20"/>
        </w:rPr>
        <w:t xml:space="preserve">, V. </w:t>
      </w:r>
      <w:proofErr w:type="spellStart"/>
      <w:r>
        <w:rPr>
          <w:sz w:val="20"/>
          <w:szCs w:val="20"/>
        </w:rPr>
        <w:t>Thongboonkerd</w:t>
      </w:r>
      <w:proofErr w:type="spellEnd"/>
      <w:r>
        <w:rPr>
          <w:sz w:val="20"/>
          <w:szCs w:val="20"/>
        </w:rPr>
        <w:t xml:space="preserve">. (2017). Systematic evaluation for effects of urine pH on calcium oxalate crystallization, crystal–cell adhesion and internalization into renal tubular cells. </w:t>
      </w:r>
      <w:r>
        <w:rPr>
          <w:i/>
          <w:iCs/>
          <w:sz w:val="20"/>
          <w:szCs w:val="20"/>
        </w:rPr>
        <w:t>Scientific Reports</w:t>
      </w:r>
      <w:r>
        <w:rPr>
          <w:sz w:val="20"/>
          <w:szCs w:val="20"/>
        </w:rPr>
        <w:t xml:space="preserve">, 7(1), 1798. </w:t>
      </w:r>
      <w:r>
        <w:rPr>
          <w:rFonts w:ascii="Roboto" w:eastAsia="Roboto" w:hAnsi="Roboto" w:cs="Roboto"/>
          <w:sz w:val="20"/>
          <w:szCs w:val="20"/>
          <w:highlight w:val="white"/>
        </w:rPr>
        <w:t>https://doi.org/10.1038/s41598-017-01953-4</w:t>
      </w:r>
    </w:p>
    <w:p w:rsidR="0076172D" w:rsidRDefault="00E72F9D">
      <w:pPr>
        <w:jc w:val="both"/>
        <w:rPr>
          <w:sz w:val="20"/>
          <w:szCs w:val="20"/>
        </w:rPr>
      </w:pPr>
      <w:r>
        <w:rPr>
          <w:sz w:val="20"/>
          <w:szCs w:val="20"/>
        </w:rPr>
        <w:t xml:space="preserve">F. </w:t>
      </w:r>
      <w:r>
        <w:rPr>
          <w:sz w:val="20"/>
          <w:szCs w:val="20"/>
        </w:rPr>
        <w:t xml:space="preserve">Ibis, P. </w:t>
      </w:r>
      <w:proofErr w:type="spellStart"/>
      <w:r>
        <w:rPr>
          <w:sz w:val="20"/>
          <w:szCs w:val="20"/>
        </w:rPr>
        <w:t>Dhand</w:t>
      </w:r>
      <w:proofErr w:type="spellEnd"/>
      <w:r>
        <w:rPr>
          <w:sz w:val="20"/>
          <w:szCs w:val="20"/>
        </w:rPr>
        <w:t xml:space="preserve">, S. </w:t>
      </w:r>
      <w:proofErr w:type="spellStart"/>
      <w:r>
        <w:rPr>
          <w:sz w:val="20"/>
          <w:szCs w:val="20"/>
        </w:rPr>
        <w:t>Suleymanli</w:t>
      </w:r>
      <w:proofErr w:type="spellEnd"/>
      <w:r>
        <w:rPr>
          <w:sz w:val="20"/>
          <w:szCs w:val="20"/>
        </w:rPr>
        <w:t xml:space="preserve">, Antoine E. D. M., M. van der Heijden, H. J. M. Kramer et al. (2020). A combined experimental and modelling study on solubility of calcium oxalate monohydrate at physiologically relevant pH and temperatures. </w:t>
      </w:r>
      <w:r>
        <w:rPr>
          <w:i/>
          <w:iCs/>
          <w:sz w:val="20"/>
          <w:szCs w:val="20"/>
        </w:rPr>
        <w:t>Crystals</w:t>
      </w:r>
      <w:r>
        <w:rPr>
          <w:sz w:val="20"/>
          <w:szCs w:val="20"/>
        </w:rPr>
        <w:t xml:space="preserve">, 10(10), </w:t>
      </w:r>
      <w:r>
        <w:rPr>
          <w:sz w:val="20"/>
          <w:szCs w:val="20"/>
        </w:rPr>
        <w:t xml:space="preserve">924. </w:t>
      </w:r>
      <w:hyperlink r:id="rId16">
        <w:r>
          <w:rPr>
            <w:sz w:val="20"/>
            <w:szCs w:val="20"/>
          </w:rPr>
          <w:t>https://doi.org/10.3390/cryst10100924</w:t>
        </w:r>
      </w:hyperlink>
    </w:p>
    <w:p w:rsidR="0076172D" w:rsidRDefault="00E72F9D">
      <w:pPr>
        <w:jc w:val="both"/>
        <w:rPr>
          <w:sz w:val="20"/>
          <w:szCs w:val="20"/>
        </w:rPr>
      </w:pPr>
      <w:r>
        <w:rPr>
          <w:sz w:val="20"/>
          <w:szCs w:val="20"/>
        </w:rPr>
        <w:t xml:space="preserve">R. Nazarian, N. Lin, S. </w:t>
      </w:r>
      <w:proofErr w:type="spellStart"/>
      <w:r>
        <w:rPr>
          <w:sz w:val="20"/>
          <w:szCs w:val="20"/>
        </w:rPr>
        <w:t>Thaker</w:t>
      </w:r>
      <w:proofErr w:type="spellEnd"/>
      <w:r>
        <w:rPr>
          <w:sz w:val="20"/>
          <w:szCs w:val="20"/>
        </w:rPr>
        <w:t>, R. Yang, G. C. L. Wong, K. B. Scotland. (2024). What causes calcium oxalate kidney stones to form? An update on recent advan</w:t>
      </w:r>
      <w:r>
        <w:rPr>
          <w:sz w:val="20"/>
          <w:szCs w:val="20"/>
        </w:rPr>
        <w:t xml:space="preserve">ces. </w:t>
      </w:r>
      <w:proofErr w:type="spellStart"/>
      <w:r>
        <w:rPr>
          <w:i/>
          <w:iCs/>
          <w:sz w:val="20"/>
          <w:szCs w:val="20"/>
        </w:rPr>
        <w:t>Uro</w:t>
      </w:r>
      <w:proofErr w:type="spellEnd"/>
      <w:r>
        <w:rPr>
          <w:sz w:val="20"/>
          <w:szCs w:val="20"/>
        </w:rPr>
        <w:t xml:space="preserve">, 5(1), 30–45. </w:t>
      </w:r>
      <w:hyperlink r:id="rId17">
        <w:r>
          <w:rPr>
            <w:sz w:val="20"/>
            <w:szCs w:val="20"/>
          </w:rPr>
          <w:t>https://doi.org/10.3390/uro5010006</w:t>
        </w:r>
      </w:hyperlink>
    </w:p>
    <w:p w:rsidR="0076172D" w:rsidRDefault="00E72F9D">
      <w:pPr>
        <w:jc w:val="both"/>
        <w:rPr>
          <w:sz w:val="20"/>
          <w:szCs w:val="20"/>
        </w:rPr>
      </w:pPr>
      <w:proofErr w:type="spellStart"/>
      <w:r>
        <w:rPr>
          <w:sz w:val="20"/>
          <w:szCs w:val="20"/>
        </w:rPr>
        <w:t>Nguy</w:t>
      </w:r>
      <w:r>
        <w:rPr>
          <w:sz w:val="20"/>
          <w:szCs w:val="20"/>
        </w:rPr>
        <w:t>ễ</w:t>
      </w:r>
      <w:r>
        <w:rPr>
          <w:sz w:val="20"/>
          <w:szCs w:val="20"/>
        </w:rPr>
        <w:t>n</w:t>
      </w:r>
      <w:proofErr w:type="spellEnd"/>
      <w:r>
        <w:rPr>
          <w:sz w:val="20"/>
          <w:szCs w:val="20"/>
        </w:rPr>
        <w:t xml:space="preserve"> M. A., </w:t>
      </w:r>
      <w:proofErr w:type="spellStart"/>
      <w:r>
        <w:rPr>
          <w:sz w:val="20"/>
          <w:szCs w:val="20"/>
        </w:rPr>
        <w:t>Bùi</w:t>
      </w:r>
      <w:proofErr w:type="spellEnd"/>
      <w:r>
        <w:rPr>
          <w:sz w:val="20"/>
          <w:szCs w:val="20"/>
        </w:rPr>
        <w:t xml:space="preserve"> H. T. (2023). </w:t>
      </w:r>
      <w:proofErr w:type="spellStart"/>
      <w:r>
        <w:rPr>
          <w:sz w:val="20"/>
          <w:szCs w:val="20"/>
        </w:rPr>
        <w:t>Nghiên</w:t>
      </w:r>
      <w:proofErr w:type="spellEnd"/>
      <w:r>
        <w:rPr>
          <w:sz w:val="20"/>
          <w:szCs w:val="20"/>
        </w:rPr>
        <w:t xml:space="preserve"> </w:t>
      </w:r>
      <w:proofErr w:type="spellStart"/>
      <w:r>
        <w:rPr>
          <w:sz w:val="20"/>
          <w:szCs w:val="20"/>
        </w:rPr>
        <w:t>c</w:t>
      </w:r>
      <w:r>
        <w:rPr>
          <w:sz w:val="20"/>
          <w:szCs w:val="20"/>
        </w:rPr>
        <w:t>ứ</w:t>
      </w:r>
      <w:r>
        <w:rPr>
          <w:sz w:val="20"/>
          <w:szCs w:val="20"/>
        </w:rPr>
        <w:t>u</w:t>
      </w:r>
      <w:proofErr w:type="spellEnd"/>
      <w:r>
        <w:rPr>
          <w:sz w:val="20"/>
          <w:szCs w:val="20"/>
        </w:rPr>
        <w:t xml:space="preserve"> </w:t>
      </w:r>
      <w:proofErr w:type="spellStart"/>
      <w:r>
        <w:rPr>
          <w:sz w:val="20"/>
          <w:szCs w:val="20"/>
        </w:rPr>
        <w:t>đ</w:t>
      </w:r>
      <w:r>
        <w:rPr>
          <w:sz w:val="20"/>
          <w:szCs w:val="20"/>
        </w:rPr>
        <w:t>ặ</w:t>
      </w:r>
      <w:r>
        <w:rPr>
          <w:sz w:val="20"/>
          <w:szCs w:val="20"/>
        </w:rPr>
        <w:t>c</w:t>
      </w:r>
      <w:proofErr w:type="spellEnd"/>
      <w:r>
        <w:rPr>
          <w:sz w:val="20"/>
          <w:szCs w:val="20"/>
        </w:rPr>
        <w:t xml:space="preserve"> </w:t>
      </w:r>
      <w:proofErr w:type="spellStart"/>
      <w:r>
        <w:rPr>
          <w:sz w:val="20"/>
          <w:szCs w:val="20"/>
        </w:rPr>
        <w:t>đi</w:t>
      </w:r>
      <w:r>
        <w:rPr>
          <w:sz w:val="20"/>
          <w:szCs w:val="20"/>
        </w:rPr>
        <w:t>ể</w:t>
      </w:r>
      <w:r>
        <w:rPr>
          <w:sz w:val="20"/>
          <w:szCs w:val="20"/>
        </w:rPr>
        <w:t>m</w:t>
      </w:r>
      <w:proofErr w:type="spellEnd"/>
      <w:r>
        <w:rPr>
          <w:sz w:val="20"/>
          <w:szCs w:val="20"/>
        </w:rPr>
        <w:t xml:space="preserve"> </w:t>
      </w:r>
      <w:proofErr w:type="spellStart"/>
      <w:r>
        <w:rPr>
          <w:sz w:val="20"/>
          <w:szCs w:val="20"/>
        </w:rPr>
        <w:t>lâm</w:t>
      </w:r>
      <w:proofErr w:type="spellEnd"/>
      <w:r>
        <w:rPr>
          <w:sz w:val="20"/>
          <w:szCs w:val="20"/>
        </w:rPr>
        <w:t xml:space="preserve"> </w:t>
      </w:r>
      <w:proofErr w:type="spellStart"/>
      <w:r>
        <w:rPr>
          <w:sz w:val="20"/>
          <w:szCs w:val="20"/>
        </w:rPr>
        <w:t>sàng</w:t>
      </w:r>
      <w:proofErr w:type="spellEnd"/>
      <w:r>
        <w:rPr>
          <w:sz w:val="20"/>
          <w:szCs w:val="20"/>
        </w:rPr>
        <w:t xml:space="preserve">, </w:t>
      </w:r>
      <w:proofErr w:type="spellStart"/>
      <w:r>
        <w:rPr>
          <w:sz w:val="20"/>
          <w:szCs w:val="20"/>
        </w:rPr>
        <w:t>c</w:t>
      </w:r>
      <w:r>
        <w:rPr>
          <w:sz w:val="20"/>
          <w:szCs w:val="20"/>
        </w:rPr>
        <w:t>ậ</w:t>
      </w:r>
      <w:r>
        <w:rPr>
          <w:sz w:val="20"/>
          <w:szCs w:val="20"/>
        </w:rPr>
        <w:t>n</w:t>
      </w:r>
      <w:proofErr w:type="spellEnd"/>
      <w:r>
        <w:rPr>
          <w:sz w:val="20"/>
          <w:szCs w:val="20"/>
        </w:rPr>
        <w:t xml:space="preserve"> </w:t>
      </w:r>
      <w:proofErr w:type="spellStart"/>
      <w:r>
        <w:rPr>
          <w:sz w:val="20"/>
          <w:szCs w:val="20"/>
        </w:rPr>
        <w:t>lâm</w:t>
      </w:r>
      <w:proofErr w:type="spellEnd"/>
      <w:r>
        <w:rPr>
          <w:sz w:val="20"/>
          <w:szCs w:val="20"/>
        </w:rPr>
        <w:t xml:space="preserve"> </w:t>
      </w:r>
      <w:proofErr w:type="spellStart"/>
      <w:r>
        <w:rPr>
          <w:sz w:val="20"/>
          <w:szCs w:val="20"/>
        </w:rPr>
        <w:t>sàng</w:t>
      </w:r>
      <w:proofErr w:type="spellEnd"/>
      <w:r>
        <w:rPr>
          <w:sz w:val="20"/>
          <w:szCs w:val="20"/>
        </w:rPr>
        <w:t xml:space="preserve"> </w:t>
      </w:r>
      <w:proofErr w:type="spellStart"/>
      <w:r>
        <w:rPr>
          <w:sz w:val="20"/>
          <w:szCs w:val="20"/>
        </w:rPr>
        <w:t>c</w:t>
      </w:r>
      <w:r>
        <w:rPr>
          <w:sz w:val="20"/>
          <w:szCs w:val="20"/>
        </w:rPr>
        <w:t>ủ</w:t>
      </w:r>
      <w:r>
        <w:rPr>
          <w:sz w:val="20"/>
          <w:szCs w:val="20"/>
        </w:rPr>
        <w:t>a</w:t>
      </w:r>
      <w:proofErr w:type="spellEnd"/>
      <w:r>
        <w:rPr>
          <w:sz w:val="20"/>
          <w:szCs w:val="20"/>
        </w:rPr>
        <w:t xml:space="preserve"> </w:t>
      </w:r>
      <w:proofErr w:type="spellStart"/>
      <w:r>
        <w:rPr>
          <w:sz w:val="20"/>
          <w:szCs w:val="20"/>
        </w:rPr>
        <w:t>b</w:t>
      </w:r>
      <w:r>
        <w:rPr>
          <w:sz w:val="20"/>
          <w:szCs w:val="20"/>
        </w:rPr>
        <w:t>ệ</w:t>
      </w:r>
      <w:r>
        <w:rPr>
          <w:sz w:val="20"/>
          <w:szCs w:val="20"/>
        </w:rPr>
        <w:t>nh</w:t>
      </w:r>
      <w:proofErr w:type="spellEnd"/>
      <w:r>
        <w:rPr>
          <w:sz w:val="20"/>
          <w:szCs w:val="20"/>
        </w:rPr>
        <w:t xml:space="preserve"> </w:t>
      </w:r>
      <w:proofErr w:type="spellStart"/>
      <w:r>
        <w:rPr>
          <w:sz w:val="20"/>
          <w:szCs w:val="20"/>
        </w:rPr>
        <w:t>nhân</w:t>
      </w:r>
      <w:proofErr w:type="spellEnd"/>
      <w:r>
        <w:rPr>
          <w:sz w:val="20"/>
          <w:szCs w:val="20"/>
        </w:rPr>
        <w:t xml:space="preserve"> </w:t>
      </w:r>
      <w:proofErr w:type="spellStart"/>
      <w:r>
        <w:rPr>
          <w:sz w:val="20"/>
          <w:szCs w:val="20"/>
        </w:rPr>
        <w:t>có</w:t>
      </w:r>
      <w:proofErr w:type="spellEnd"/>
      <w:r>
        <w:rPr>
          <w:sz w:val="20"/>
          <w:szCs w:val="20"/>
        </w:rPr>
        <w:t xml:space="preserve"> </w:t>
      </w:r>
      <w:proofErr w:type="spellStart"/>
      <w:r>
        <w:rPr>
          <w:sz w:val="20"/>
          <w:szCs w:val="20"/>
        </w:rPr>
        <w:t>s</w:t>
      </w:r>
      <w:r>
        <w:rPr>
          <w:sz w:val="20"/>
          <w:szCs w:val="20"/>
        </w:rPr>
        <w:t>ỏ</w:t>
      </w:r>
      <w:r>
        <w:rPr>
          <w:sz w:val="20"/>
          <w:szCs w:val="20"/>
        </w:rPr>
        <w:t>i</w:t>
      </w:r>
      <w:proofErr w:type="spellEnd"/>
      <w:r>
        <w:rPr>
          <w:sz w:val="20"/>
          <w:szCs w:val="20"/>
        </w:rPr>
        <w:t xml:space="preserve"> </w:t>
      </w:r>
      <w:proofErr w:type="spellStart"/>
      <w:r>
        <w:rPr>
          <w:sz w:val="20"/>
          <w:szCs w:val="20"/>
        </w:rPr>
        <w:t>th</w:t>
      </w:r>
      <w:r>
        <w:rPr>
          <w:sz w:val="20"/>
          <w:szCs w:val="20"/>
        </w:rPr>
        <w:t>ậ</w:t>
      </w:r>
      <w:r>
        <w:rPr>
          <w:sz w:val="20"/>
          <w:szCs w:val="20"/>
        </w:rPr>
        <w:t>n</w:t>
      </w:r>
      <w:proofErr w:type="spellEnd"/>
      <w:r>
        <w:rPr>
          <w:sz w:val="20"/>
          <w:szCs w:val="20"/>
        </w:rPr>
        <w:t xml:space="preserve"> </w:t>
      </w:r>
      <w:proofErr w:type="spellStart"/>
      <w:r>
        <w:rPr>
          <w:sz w:val="20"/>
          <w:szCs w:val="20"/>
        </w:rPr>
        <w:t>tái</w:t>
      </w:r>
      <w:proofErr w:type="spellEnd"/>
      <w:r>
        <w:rPr>
          <w:sz w:val="20"/>
          <w:szCs w:val="20"/>
        </w:rPr>
        <w:t xml:space="preserve"> </w:t>
      </w:r>
      <w:proofErr w:type="spellStart"/>
      <w:r>
        <w:rPr>
          <w:sz w:val="20"/>
          <w:szCs w:val="20"/>
        </w:rPr>
        <w:t>phát</w:t>
      </w:r>
      <w:proofErr w:type="spellEnd"/>
      <w:r>
        <w:rPr>
          <w:sz w:val="20"/>
          <w:szCs w:val="20"/>
        </w:rPr>
        <w:t xml:space="preserve">. </w:t>
      </w:r>
      <w:r>
        <w:rPr>
          <w:i/>
          <w:iCs/>
          <w:sz w:val="20"/>
          <w:szCs w:val="20"/>
        </w:rPr>
        <w:t>Vietnam Medical Journal</w:t>
      </w:r>
      <w:r>
        <w:rPr>
          <w:sz w:val="20"/>
          <w:szCs w:val="20"/>
        </w:rPr>
        <w:t xml:space="preserve">, 521(1), 80–86. </w:t>
      </w:r>
      <w:hyperlink r:id="rId18">
        <w:r>
          <w:rPr>
            <w:sz w:val="20"/>
            <w:szCs w:val="20"/>
          </w:rPr>
          <w:t>https://doi.org/10.51298/vmj.v521i1.3990</w:t>
        </w:r>
      </w:hyperlink>
    </w:p>
    <w:p w:rsidR="0076172D" w:rsidRDefault="00E72F9D">
      <w:pPr>
        <w:jc w:val="both"/>
        <w:rPr>
          <w:sz w:val="20"/>
          <w:szCs w:val="20"/>
        </w:rPr>
      </w:pPr>
      <w:proofErr w:type="spellStart"/>
      <w:r>
        <w:rPr>
          <w:sz w:val="20"/>
          <w:szCs w:val="20"/>
        </w:rPr>
        <w:t>Ph</w:t>
      </w:r>
      <w:r>
        <w:rPr>
          <w:sz w:val="20"/>
          <w:szCs w:val="20"/>
        </w:rPr>
        <w:t>ạ</w:t>
      </w:r>
      <w:r>
        <w:rPr>
          <w:sz w:val="20"/>
          <w:szCs w:val="20"/>
        </w:rPr>
        <w:t>m</w:t>
      </w:r>
      <w:proofErr w:type="spellEnd"/>
      <w:r>
        <w:rPr>
          <w:sz w:val="20"/>
          <w:szCs w:val="20"/>
        </w:rPr>
        <w:t xml:space="preserve"> T. H., </w:t>
      </w:r>
      <w:proofErr w:type="spellStart"/>
      <w:r>
        <w:rPr>
          <w:sz w:val="20"/>
          <w:szCs w:val="20"/>
        </w:rPr>
        <w:t>Nguy</w:t>
      </w:r>
      <w:r>
        <w:rPr>
          <w:sz w:val="20"/>
          <w:szCs w:val="20"/>
        </w:rPr>
        <w:t>ễ</w:t>
      </w:r>
      <w:r>
        <w:rPr>
          <w:sz w:val="20"/>
          <w:szCs w:val="20"/>
        </w:rPr>
        <w:t>n</w:t>
      </w:r>
      <w:proofErr w:type="spellEnd"/>
      <w:r>
        <w:rPr>
          <w:sz w:val="20"/>
          <w:szCs w:val="20"/>
        </w:rPr>
        <w:t xml:space="preserve"> C. B., </w:t>
      </w:r>
      <w:proofErr w:type="spellStart"/>
      <w:r>
        <w:rPr>
          <w:sz w:val="20"/>
          <w:szCs w:val="20"/>
        </w:rPr>
        <w:t>Tr</w:t>
      </w:r>
      <w:r>
        <w:rPr>
          <w:sz w:val="20"/>
          <w:szCs w:val="20"/>
        </w:rPr>
        <w:t>ầ</w:t>
      </w:r>
      <w:r>
        <w:rPr>
          <w:sz w:val="20"/>
          <w:szCs w:val="20"/>
        </w:rPr>
        <w:t>n</w:t>
      </w:r>
      <w:proofErr w:type="spellEnd"/>
      <w:r>
        <w:rPr>
          <w:sz w:val="20"/>
          <w:szCs w:val="20"/>
        </w:rPr>
        <w:t xml:space="preserve"> Đ., </w:t>
      </w:r>
      <w:proofErr w:type="spellStart"/>
      <w:r>
        <w:rPr>
          <w:sz w:val="20"/>
          <w:szCs w:val="20"/>
        </w:rPr>
        <w:t>Ph</w:t>
      </w:r>
      <w:r>
        <w:rPr>
          <w:sz w:val="20"/>
          <w:szCs w:val="20"/>
        </w:rPr>
        <w:t>ạ</w:t>
      </w:r>
      <w:r>
        <w:rPr>
          <w:sz w:val="20"/>
          <w:szCs w:val="20"/>
        </w:rPr>
        <w:t>m</w:t>
      </w:r>
      <w:proofErr w:type="spellEnd"/>
      <w:r>
        <w:rPr>
          <w:sz w:val="20"/>
          <w:szCs w:val="20"/>
        </w:rPr>
        <w:t xml:space="preserve"> V. T. (2022). </w:t>
      </w:r>
      <w:proofErr w:type="spellStart"/>
      <w:r>
        <w:rPr>
          <w:sz w:val="20"/>
          <w:szCs w:val="20"/>
        </w:rPr>
        <w:t>Nghiên</w:t>
      </w:r>
      <w:proofErr w:type="spellEnd"/>
      <w:r>
        <w:rPr>
          <w:sz w:val="20"/>
          <w:szCs w:val="20"/>
        </w:rPr>
        <w:t xml:space="preserve"> </w:t>
      </w:r>
      <w:proofErr w:type="spellStart"/>
      <w:r>
        <w:rPr>
          <w:sz w:val="20"/>
          <w:szCs w:val="20"/>
        </w:rPr>
        <w:t>c</w:t>
      </w:r>
      <w:r>
        <w:rPr>
          <w:sz w:val="20"/>
          <w:szCs w:val="20"/>
        </w:rPr>
        <w:t>ứ</w:t>
      </w:r>
      <w:r>
        <w:rPr>
          <w:sz w:val="20"/>
          <w:szCs w:val="20"/>
        </w:rPr>
        <w:t>u</w:t>
      </w:r>
      <w:proofErr w:type="spellEnd"/>
      <w:r>
        <w:rPr>
          <w:sz w:val="20"/>
          <w:szCs w:val="20"/>
        </w:rPr>
        <w:t xml:space="preserve"> </w:t>
      </w:r>
      <w:proofErr w:type="spellStart"/>
      <w:r>
        <w:rPr>
          <w:sz w:val="20"/>
          <w:szCs w:val="20"/>
        </w:rPr>
        <w:t>các</w:t>
      </w:r>
      <w:proofErr w:type="spellEnd"/>
      <w:r>
        <w:rPr>
          <w:sz w:val="20"/>
          <w:szCs w:val="20"/>
        </w:rPr>
        <w:t xml:space="preserve"> </w:t>
      </w:r>
      <w:proofErr w:type="spellStart"/>
      <w:r>
        <w:rPr>
          <w:sz w:val="20"/>
          <w:szCs w:val="20"/>
        </w:rPr>
        <w:t>y</w:t>
      </w:r>
      <w:r>
        <w:rPr>
          <w:sz w:val="20"/>
          <w:szCs w:val="20"/>
        </w:rPr>
        <w:t>ế</w:t>
      </w:r>
      <w:r>
        <w:rPr>
          <w:sz w:val="20"/>
          <w:szCs w:val="20"/>
        </w:rPr>
        <w:t>u</w:t>
      </w:r>
      <w:proofErr w:type="spellEnd"/>
      <w:r>
        <w:rPr>
          <w:sz w:val="20"/>
          <w:szCs w:val="20"/>
        </w:rPr>
        <w:t xml:space="preserve"> </w:t>
      </w:r>
      <w:proofErr w:type="spellStart"/>
      <w:r>
        <w:rPr>
          <w:sz w:val="20"/>
          <w:szCs w:val="20"/>
        </w:rPr>
        <w:t>t</w:t>
      </w:r>
      <w:r>
        <w:rPr>
          <w:sz w:val="20"/>
          <w:szCs w:val="20"/>
        </w:rPr>
        <w:t>ố</w:t>
      </w:r>
      <w:proofErr w:type="spellEnd"/>
      <w:r>
        <w:rPr>
          <w:sz w:val="20"/>
          <w:szCs w:val="20"/>
        </w:rPr>
        <w:t xml:space="preserve"> </w:t>
      </w:r>
      <w:proofErr w:type="spellStart"/>
      <w:r>
        <w:rPr>
          <w:sz w:val="20"/>
          <w:szCs w:val="20"/>
        </w:rPr>
        <w:t>ả</w:t>
      </w:r>
      <w:r>
        <w:rPr>
          <w:sz w:val="20"/>
          <w:szCs w:val="20"/>
        </w:rPr>
        <w:t>nh</w:t>
      </w:r>
      <w:proofErr w:type="spellEnd"/>
      <w:r>
        <w:rPr>
          <w:sz w:val="20"/>
          <w:szCs w:val="20"/>
        </w:rPr>
        <w:t xml:space="preserve"> </w:t>
      </w:r>
      <w:proofErr w:type="spellStart"/>
      <w:r>
        <w:rPr>
          <w:sz w:val="20"/>
          <w:szCs w:val="20"/>
        </w:rPr>
        <w:t>hư</w:t>
      </w:r>
      <w:r>
        <w:rPr>
          <w:sz w:val="20"/>
          <w:szCs w:val="20"/>
        </w:rPr>
        <w:t>ở</w:t>
      </w:r>
      <w:r>
        <w:rPr>
          <w:sz w:val="20"/>
          <w:szCs w:val="20"/>
        </w:rPr>
        <w:t>ng</w:t>
      </w:r>
      <w:proofErr w:type="spellEnd"/>
      <w:r>
        <w:rPr>
          <w:sz w:val="20"/>
          <w:szCs w:val="20"/>
        </w:rPr>
        <w:t xml:space="preserve"> </w:t>
      </w:r>
      <w:proofErr w:type="spellStart"/>
      <w:r>
        <w:rPr>
          <w:sz w:val="20"/>
          <w:szCs w:val="20"/>
        </w:rPr>
        <w:t>đ</w:t>
      </w:r>
      <w:r>
        <w:rPr>
          <w:sz w:val="20"/>
          <w:szCs w:val="20"/>
        </w:rPr>
        <w:t>ế</w:t>
      </w:r>
      <w:r>
        <w:rPr>
          <w:sz w:val="20"/>
          <w:szCs w:val="20"/>
        </w:rPr>
        <w:t>n</w:t>
      </w:r>
      <w:proofErr w:type="spellEnd"/>
      <w:r>
        <w:rPr>
          <w:sz w:val="20"/>
          <w:szCs w:val="20"/>
        </w:rPr>
        <w:t xml:space="preserve"> </w:t>
      </w:r>
      <w:proofErr w:type="spellStart"/>
      <w:r>
        <w:rPr>
          <w:sz w:val="20"/>
          <w:szCs w:val="20"/>
        </w:rPr>
        <w:t>t</w:t>
      </w:r>
      <w:r>
        <w:rPr>
          <w:sz w:val="20"/>
          <w:szCs w:val="20"/>
        </w:rPr>
        <w:t>ỷ</w:t>
      </w:r>
      <w:proofErr w:type="spellEnd"/>
      <w:r>
        <w:rPr>
          <w:sz w:val="20"/>
          <w:szCs w:val="20"/>
        </w:rPr>
        <w:t xml:space="preserve"> </w:t>
      </w:r>
      <w:proofErr w:type="spellStart"/>
      <w:r>
        <w:rPr>
          <w:sz w:val="20"/>
          <w:szCs w:val="20"/>
        </w:rPr>
        <w:lastRenderedPageBreak/>
        <w:t>l</w:t>
      </w:r>
      <w:r>
        <w:rPr>
          <w:sz w:val="20"/>
          <w:szCs w:val="20"/>
        </w:rPr>
        <w:t>ệ</w:t>
      </w:r>
      <w:proofErr w:type="spellEnd"/>
      <w:r>
        <w:rPr>
          <w:sz w:val="20"/>
          <w:szCs w:val="20"/>
        </w:rPr>
        <w:t xml:space="preserve"> </w:t>
      </w:r>
      <w:proofErr w:type="spellStart"/>
      <w:r>
        <w:rPr>
          <w:sz w:val="20"/>
          <w:szCs w:val="20"/>
        </w:rPr>
        <w:t>thành</w:t>
      </w:r>
      <w:proofErr w:type="spellEnd"/>
      <w:r>
        <w:rPr>
          <w:sz w:val="20"/>
          <w:szCs w:val="20"/>
        </w:rPr>
        <w:t xml:space="preserve"> </w:t>
      </w:r>
      <w:proofErr w:type="spellStart"/>
      <w:r>
        <w:rPr>
          <w:sz w:val="20"/>
          <w:szCs w:val="20"/>
        </w:rPr>
        <w:t>công</w:t>
      </w:r>
      <w:proofErr w:type="spellEnd"/>
      <w:r>
        <w:rPr>
          <w:sz w:val="20"/>
          <w:szCs w:val="20"/>
        </w:rPr>
        <w:t xml:space="preserve"> </w:t>
      </w:r>
      <w:proofErr w:type="spellStart"/>
      <w:r>
        <w:rPr>
          <w:sz w:val="20"/>
          <w:szCs w:val="20"/>
        </w:rPr>
        <w:t>và</w:t>
      </w:r>
      <w:proofErr w:type="spellEnd"/>
      <w:r>
        <w:rPr>
          <w:sz w:val="20"/>
          <w:szCs w:val="20"/>
        </w:rPr>
        <w:t xml:space="preserve"> </w:t>
      </w:r>
      <w:proofErr w:type="spellStart"/>
      <w:r>
        <w:rPr>
          <w:sz w:val="20"/>
          <w:szCs w:val="20"/>
        </w:rPr>
        <w:t>t</w:t>
      </w:r>
      <w:r>
        <w:rPr>
          <w:sz w:val="20"/>
          <w:szCs w:val="20"/>
        </w:rPr>
        <w:t>ỷ</w:t>
      </w:r>
      <w:proofErr w:type="spellEnd"/>
      <w:r>
        <w:rPr>
          <w:sz w:val="20"/>
          <w:szCs w:val="20"/>
        </w:rPr>
        <w:t xml:space="preserve"> </w:t>
      </w:r>
      <w:proofErr w:type="spellStart"/>
      <w:r>
        <w:rPr>
          <w:sz w:val="20"/>
          <w:szCs w:val="20"/>
        </w:rPr>
        <w:t>l</w:t>
      </w:r>
      <w:r>
        <w:rPr>
          <w:sz w:val="20"/>
          <w:szCs w:val="20"/>
        </w:rPr>
        <w:t>ệ</w:t>
      </w:r>
      <w:proofErr w:type="spellEnd"/>
      <w:r>
        <w:rPr>
          <w:sz w:val="20"/>
          <w:szCs w:val="20"/>
        </w:rPr>
        <w:t xml:space="preserve"> </w:t>
      </w:r>
      <w:proofErr w:type="spellStart"/>
      <w:r>
        <w:rPr>
          <w:sz w:val="20"/>
          <w:szCs w:val="20"/>
        </w:rPr>
        <w:t>s</w:t>
      </w:r>
      <w:r>
        <w:rPr>
          <w:sz w:val="20"/>
          <w:szCs w:val="20"/>
        </w:rPr>
        <w:t>ạ</w:t>
      </w:r>
      <w:r>
        <w:rPr>
          <w:sz w:val="20"/>
          <w:szCs w:val="20"/>
        </w:rPr>
        <w:t>ch</w:t>
      </w:r>
      <w:proofErr w:type="spellEnd"/>
      <w:r>
        <w:rPr>
          <w:sz w:val="20"/>
          <w:szCs w:val="20"/>
        </w:rPr>
        <w:t xml:space="preserve"> </w:t>
      </w:r>
      <w:proofErr w:type="spellStart"/>
      <w:r>
        <w:rPr>
          <w:sz w:val="20"/>
          <w:szCs w:val="20"/>
        </w:rPr>
        <w:t>s</w:t>
      </w:r>
      <w:r>
        <w:rPr>
          <w:sz w:val="20"/>
          <w:szCs w:val="20"/>
        </w:rPr>
        <w:t>ỏ</w:t>
      </w:r>
      <w:r>
        <w:rPr>
          <w:sz w:val="20"/>
          <w:szCs w:val="20"/>
        </w:rPr>
        <w:t>i</w:t>
      </w:r>
      <w:proofErr w:type="spellEnd"/>
      <w:r>
        <w:rPr>
          <w:sz w:val="20"/>
          <w:szCs w:val="20"/>
        </w:rPr>
        <w:t xml:space="preserve"> </w:t>
      </w:r>
      <w:proofErr w:type="spellStart"/>
      <w:r>
        <w:rPr>
          <w:sz w:val="20"/>
          <w:szCs w:val="20"/>
        </w:rPr>
        <w:t>c</w:t>
      </w:r>
      <w:r>
        <w:rPr>
          <w:sz w:val="20"/>
          <w:szCs w:val="20"/>
        </w:rPr>
        <w:t>ủ</w:t>
      </w:r>
      <w:r>
        <w:rPr>
          <w:sz w:val="20"/>
          <w:szCs w:val="20"/>
        </w:rPr>
        <w:t>a</w:t>
      </w:r>
      <w:proofErr w:type="spellEnd"/>
      <w:r>
        <w:rPr>
          <w:sz w:val="20"/>
          <w:szCs w:val="20"/>
        </w:rPr>
        <w:t xml:space="preserve"> </w:t>
      </w:r>
      <w:proofErr w:type="spellStart"/>
      <w:r>
        <w:rPr>
          <w:sz w:val="20"/>
          <w:szCs w:val="20"/>
        </w:rPr>
        <w:t>n</w:t>
      </w:r>
      <w:r>
        <w:rPr>
          <w:sz w:val="20"/>
          <w:szCs w:val="20"/>
        </w:rPr>
        <w:t>ộ</w:t>
      </w:r>
      <w:r>
        <w:rPr>
          <w:sz w:val="20"/>
          <w:szCs w:val="20"/>
        </w:rPr>
        <w:t>i</w:t>
      </w:r>
      <w:proofErr w:type="spellEnd"/>
      <w:r>
        <w:rPr>
          <w:sz w:val="20"/>
          <w:szCs w:val="20"/>
        </w:rPr>
        <w:t xml:space="preserve"> </w:t>
      </w:r>
      <w:proofErr w:type="spellStart"/>
      <w:r>
        <w:rPr>
          <w:sz w:val="20"/>
          <w:szCs w:val="20"/>
        </w:rPr>
        <w:t>soi</w:t>
      </w:r>
      <w:proofErr w:type="spellEnd"/>
      <w:r>
        <w:rPr>
          <w:sz w:val="20"/>
          <w:szCs w:val="20"/>
        </w:rPr>
        <w:t xml:space="preserve"> </w:t>
      </w:r>
      <w:proofErr w:type="spellStart"/>
      <w:r>
        <w:rPr>
          <w:sz w:val="20"/>
          <w:szCs w:val="20"/>
        </w:rPr>
        <w:t>n</w:t>
      </w:r>
      <w:r>
        <w:rPr>
          <w:sz w:val="20"/>
          <w:szCs w:val="20"/>
        </w:rPr>
        <w:t>gư</w:t>
      </w:r>
      <w:r>
        <w:rPr>
          <w:sz w:val="20"/>
          <w:szCs w:val="20"/>
        </w:rPr>
        <w:t>ợ</w:t>
      </w:r>
      <w:r>
        <w:rPr>
          <w:sz w:val="20"/>
          <w:szCs w:val="20"/>
        </w:rPr>
        <w:t>c</w:t>
      </w:r>
      <w:proofErr w:type="spellEnd"/>
      <w:r>
        <w:rPr>
          <w:sz w:val="20"/>
          <w:szCs w:val="20"/>
        </w:rPr>
        <w:t xml:space="preserve"> </w:t>
      </w:r>
      <w:proofErr w:type="spellStart"/>
      <w:r>
        <w:rPr>
          <w:sz w:val="20"/>
          <w:szCs w:val="20"/>
        </w:rPr>
        <w:t>dòng</w:t>
      </w:r>
      <w:proofErr w:type="spellEnd"/>
      <w:r>
        <w:rPr>
          <w:sz w:val="20"/>
          <w:szCs w:val="20"/>
        </w:rPr>
        <w:t xml:space="preserve"> </w:t>
      </w:r>
      <w:proofErr w:type="spellStart"/>
      <w:r>
        <w:rPr>
          <w:sz w:val="20"/>
          <w:szCs w:val="20"/>
        </w:rPr>
        <w:t>tán</w:t>
      </w:r>
      <w:proofErr w:type="spellEnd"/>
      <w:r>
        <w:rPr>
          <w:sz w:val="20"/>
          <w:szCs w:val="20"/>
        </w:rPr>
        <w:t xml:space="preserve"> </w:t>
      </w:r>
      <w:proofErr w:type="spellStart"/>
      <w:r>
        <w:rPr>
          <w:sz w:val="20"/>
          <w:szCs w:val="20"/>
        </w:rPr>
        <w:t>s</w:t>
      </w:r>
      <w:r>
        <w:rPr>
          <w:sz w:val="20"/>
          <w:szCs w:val="20"/>
        </w:rPr>
        <w:t>ỏ</w:t>
      </w:r>
      <w:r>
        <w:rPr>
          <w:sz w:val="20"/>
          <w:szCs w:val="20"/>
        </w:rPr>
        <w:t>i</w:t>
      </w:r>
      <w:proofErr w:type="spellEnd"/>
      <w:r>
        <w:rPr>
          <w:sz w:val="20"/>
          <w:szCs w:val="20"/>
        </w:rPr>
        <w:t xml:space="preserve"> </w:t>
      </w:r>
      <w:proofErr w:type="spellStart"/>
      <w:r>
        <w:rPr>
          <w:sz w:val="20"/>
          <w:szCs w:val="20"/>
        </w:rPr>
        <w:t>th</w:t>
      </w:r>
      <w:r>
        <w:rPr>
          <w:sz w:val="20"/>
          <w:szCs w:val="20"/>
        </w:rPr>
        <w:t>ậ</w:t>
      </w:r>
      <w:r>
        <w:rPr>
          <w:sz w:val="20"/>
          <w:szCs w:val="20"/>
        </w:rPr>
        <w:t>n</w:t>
      </w:r>
      <w:proofErr w:type="spellEnd"/>
      <w:r>
        <w:rPr>
          <w:sz w:val="20"/>
          <w:szCs w:val="20"/>
        </w:rPr>
        <w:t xml:space="preserve"> </w:t>
      </w:r>
      <w:proofErr w:type="spellStart"/>
      <w:r>
        <w:rPr>
          <w:sz w:val="20"/>
          <w:szCs w:val="20"/>
        </w:rPr>
        <w:t>v</w:t>
      </w:r>
      <w:r>
        <w:rPr>
          <w:sz w:val="20"/>
          <w:szCs w:val="20"/>
        </w:rPr>
        <w:t>ớ</w:t>
      </w:r>
      <w:r>
        <w:rPr>
          <w:sz w:val="20"/>
          <w:szCs w:val="20"/>
        </w:rPr>
        <w:t>i</w:t>
      </w:r>
      <w:proofErr w:type="spellEnd"/>
      <w:r>
        <w:rPr>
          <w:sz w:val="20"/>
          <w:szCs w:val="20"/>
        </w:rPr>
        <w:t xml:space="preserve"> </w:t>
      </w:r>
      <w:proofErr w:type="spellStart"/>
      <w:r>
        <w:rPr>
          <w:sz w:val="20"/>
          <w:szCs w:val="20"/>
        </w:rPr>
        <w:t>ố</w:t>
      </w:r>
      <w:r>
        <w:rPr>
          <w:sz w:val="20"/>
          <w:szCs w:val="20"/>
        </w:rPr>
        <w:t>ng</w:t>
      </w:r>
      <w:proofErr w:type="spellEnd"/>
      <w:r>
        <w:rPr>
          <w:sz w:val="20"/>
          <w:szCs w:val="20"/>
        </w:rPr>
        <w:t xml:space="preserve"> </w:t>
      </w:r>
      <w:proofErr w:type="spellStart"/>
      <w:r>
        <w:rPr>
          <w:sz w:val="20"/>
          <w:szCs w:val="20"/>
        </w:rPr>
        <w:t>m</w:t>
      </w:r>
      <w:r>
        <w:rPr>
          <w:sz w:val="20"/>
          <w:szCs w:val="20"/>
        </w:rPr>
        <w:t>ề</w:t>
      </w:r>
      <w:r>
        <w:rPr>
          <w:sz w:val="20"/>
          <w:szCs w:val="20"/>
        </w:rPr>
        <w:t>m</w:t>
      </w:r>
      <w:proofErr w:type="spellEnd"/>
      <w:r>
        <w:rPr>
          <w:sz w:val="20"/>
          <w:szCs w:val="20"/>
        </w:rPr>
        <w:t xml:space="preserve"> </w:t>
      </w:r>
      <w:proofErr w:type="spellStart"/>
      <w:r>
        <w:rPr>
          <w:sz w:val="20"/>
          <w:szCs w:val="20"/>
        </w:rPr>
        <w:t>t</w:t>
      </w:r>
      <w:r>
        <w:rPr>
          <w:sz w:val="20"/>
          <w:szCs w:val="20"/>
        </w:rPr>
        <w:t>ạ</w:t>
      </w:r>
      <w:r>
        <w:rPr>
          <w:sz w:val="20"/>
          <w:szCs w:val="20"/>
        </w:rPr>
        <w:t>i</w:t>
      </w:r>
      <w:proofErr w:type="spellEnd"/>
      <w:r>
        <w:rPr>
          <w:sz w:val="20"/>
          <w:szCs w:val="20"/>
        </w:rPr>
        <w:t xml:space="preserve"> </w:t>
      </w:r>
      <w:proofErr w:type="spellStart"/>
      <w:r>
        <w:rPr>
          <w:sz w:val="20"/>
          <w:szCs w:val="20"/>
        </w:rPr>
        <w:t>B</w:t>
      </w:r>
      <w:r>
        <w:rPr>
          <w:sz w:val="20"/>
          <w:szCs w:val="20"/>
        </w:rPr>
        <w:t>ệ</w:t>
      </w:r>
      <w:r>
        <w:rPr>
          <w:sz w:val="20"/>
          <w:szCs w:val="20"/>
        </w:rPr>
        <w:t>nh</w:t>
      </w:r>
      <w:proofErr w:type="spellEnd"/>
      <w:r>
        <w:rPr>
          <w:sz w:val="20"/>
          <w:szCs w:val="20"/>
        </w:rPr>
        <w:t xml:space="preserve"> </w:t>
      </w:r>
      <w:proofErr w:type="spellStart"/>
      <w:r>
        <w:rPr>
          <w:sz w:val="20"/>
          <w:szCs w:val="20"/>
        </w:rPr>
        <w:t>vi</w:t>
      </w:r>
      <w:r>
        <w:rPr>
          <w:sz w:val="20"/>
          <w:szCs w:val="20"/>
        </w:rPr>
        <w:t>ệ</w:t>
      </w:r>
      <w:r>
        <w:rPr>
          <w:sz w:val="20"/>
          <w:szCs w:val="20"/>
        </w:rPr>
        <w:t>n</w:t>
      </w:r>
      <w:proofErr w:type="spellEnd"/>
      <w:r>
        <w:rPr>
          <w:sz w:val="20"/>
          <w:szCs w:val="20"/>
        </w:rPr>
        <w:t xml:space="preserve"> </w:t>
      </w:r>
      <w:proofErr w:type="spellStart"/>
      <w:r>
        <w:rPr>
          <w:sz w:val="20"/>
          <w:szCs w:val="20"/>
        </w:rPr>
        <w:t>H</w:t>
      </w:r>
      <w:r>
        <w:rPr>
          <w:sz w:val="20"/>
          <w:szCs w:val="20"/>
        </w:rPr>
        <w:t>ữ</w:t>
      </w:r>
      <w:r>
        <w:rPr>
          <w:sz w:val="20"/>
          <w:szCs w:val="20"/>
        </w:rPr>
        <w:t>u</w:t>
      </w:r>
      <w:proofErr w:type="spellEnd"/>
      <w:r>
        <w:rPr>
          <w:sz w:val="20"/>
          <w:szCs w:val="20"/>
        </w:rPr>
        <w:t xml:space="preserve"> </w:t>
      </w:r>
      <w:proofErr w:type="spellStart"/>
      <w:r>
        <w:rPr>
          <w:sz w:val="20"/>
          <w:szCs w:val="20"/>
        </w:rPr>
        <w:t>ngh</w:t>
      </w:r>
      <w:r>
        <w:rPr>
          <w:sz w:val="20"/>
          <w:szCs w:val="20"/>
        </w:rPr>
        <w:t>ị</w:t>
      </w:r>
      <w:proofErr w:type="spellEnd"/>
      <w:r>
        <w:rPr>
          <w:sz w:val="20"/>
          <w:szCs w:val="20"/>
        </w:rPr>
        <w:t xml:space="preserve"> </w:t>
      </w:r>
      <w:proofErr w:type="spellStart"/>
      <w:r>
        <w:rPr>
          <w:sz w:val="20"/>
          <w:szCs w:val="20"/>
        </w:rPr>
        <w:t>Vi</w:t>
      </w:r>
      <w:r>
        <w:rPr>
          <w:sz w:val="20"/>
          <w:szCs w:val="20"/>
        </w:rPr>
        <w:t>ệ</w:t>
      </w:r>
      <w:r>
        <w:rPr>
          <w:sz w:val="20"/>
          <w:szCs w:val="20"/>
        </w:rPr>
        <w:t>t</w:t>
      </w:r>
      <w:proofErr w:type="spellEnd"/>
      <w:r>
        <w:rPr>
          <w:sz w:val="20"/>
          <w:szCs w:val="20"/>
        </w:rPr>
        <w:t xml:space="preserve"> </w:t>
      </w:r>
      <w:proofErr w:type="spellStart"/>
      <w:r>
        <w:rPr>
          <w:sz w:val="20"/>
          <w:szCs w:val="20"/>
        </w:rPr>
        <w:t>Ti</w:t>
      </w:r>
      <w:r>
        <w:rPr>
          <w:sz w:val="20"/>
          <w:szCs w:val="20"/>
        </w:rPr>
        <w:t>ệ</w:t>
      </w:r>
      <w:r>
        <w:rPr>
          <w:sz w:val="20"/>
          <w:szCs w:val="20"/>
        </w:rPr>
        <w:t>p</w:t>
      </w:r>
      <w:proofErr w:type="spellEnd"/>
      <w:r>
        <w:rPr>
          <w:sz w:val="20"/>
          <w:szCs w:val="20"/>
        </w:rPr>
        <w:t xml:space="preserve">. </w:t>
      </w:r>
      <w:r>
        <w:rPr>
          <w:i/>
          <w:iCs/>
          <w:sz w:val="20"/>
          <w:szCs w:val="20"/>
        </w:rPr>
        <w:t>Vietnam Medical Journal</w:t>
      </w:r>
      <w:r>
        <w:rPr>
          <w:sz w:val="20"/>
          <w:szCs w:val="20"/>
        </w:rPr>
        <w:t xml:space="preserve">, 511(2), 25–31. </w:t>
      </w:r>
      <w:hyperlink r:id="rId19">
        <w:r>
          <w:rPr>
            <w:sz w:val="20"/>
            <w:szCs w:val="20"/>
          </w:rPr>
          <w:t>https://doi.org/10.51298/vmj.v511i2.2135</w:t>
        </w:r>
      </w:hyperlink>
    </w:p>
    <w:p w:rsidR="0076172D" w:rsidRDefault="00E72F9D">
      <w:pPr>
        <w:jc w:val="both"/>
        <w:rPr>
          <w:sz w:val="20"/>
          <w:szCs w:val="20"/>
        </w:rPr>
      </w:pPr>
      <w:r>
        <w:rPr>
          <w:sz w:val="20"/>
          <w:szCs w:val="20"/>
        </w:rPr>
        <w:t xml:space="preserve">D. </w:t>
      </w:r>
      <w:proofErr w:type="spellStart"/>
      <w:r>
        <w:rPr>
          <w:sz w:val="20"/>
          <w:szCs w:val="20"/>
        </w:rPr>
        <w:t>Skrajnowska</w:t>
      </w:r>
      <w:proofErr w:type="spellEnd"/>
      <w:r>
        <w:rPr>
          <w:sz w:val="20"/>
          <w:szCs w:val="20"/>
        </w:rPr>
        <w:t>, Barbara B.-K. (2024). The Effe</w:t>
      </w:r>
      <w:r>
        <w:rPr>
          <w:sz w:val="20"/>
          <w:szCs w:val="20"/>
        </w:rPr>
        <w:t xml:space="preserve">cts of Diet, Dietary Supplements, Drugs and Exercise on Physical, Diagnostic Values of Urine Characteristics. </w:t>
      </w:r>
      <w:r>
        <w:rPr>
          <w:i/>
          <w:iCs/>
          <w:sz w:val="20"/>
          <w:szCs w:val="20"/>
        </w:rPr>
        <w:t>Nutrients</w:t>
      </w:r>
      <w:r>
        <w:rPr>
          <w:sz w:val="20"/>
          <w:szCs w:val="20"/>
        </w:rPr>
        <w:t xml:space="preserve">, 16(18). </w:t>
      </w:r>
      <w:hyperlink r:id="rId20">
        <w:r>
          <w:rPr>
            <w:sz w:val="20"/>
            <w:szCs w:val="20"/>
          </w:rPr>
          <w:t>https://doi.org/10.3390/nu16183141</w:t>
        </w:r>
      </w:hyperlink>
    </w:p>
    <w:p w:rsidR="0076172D" w:rsidRDefault="00E72F9D">
      <w:pPr>
        <w:jc w:val="both"/>
        <w:rPr>
          <w:sz w:val="20"/>
          <w:szCs w:val="20"/>
        </w:rPr>
      </w:pPr>
      <w:r>
        <w:rPr>
          <w:sz w:val="20"/>
          <w:szCs w:val="20"/>
        </w:rPr>
        <w:t xml:space="preserve">E. M. Worcester, K. J. </w:t>
      </w:r>
      <w:proofErr w:type="spellStart"/>
      <w:r>
        <w:rPr>
          <w:sz w:val="20"/>
          <w:szCs w:val="20"/>
        </w:rPr>
        <w:t>Bergsland</w:t>
      </w:r>
      <w:proofErr w:type="spellEnd"/>
      <w:r>
        <w:rPr>
          <w:sz w:val="20"/>
          <w:szCs w:val="20"/>
        </w:rPr>
        <w:t xml:space="preserve">, D. L. Gillen, F. L. Coe. (2018). Mechanism for higher urine pH in normal women compared with men. </w:t>
      </w:r>
      <w:r>
        <w:rPr>
          <w:i/>
          <w:iCs/>
          <w:sz w:val="20"/>
          <w:szCs w:val="20"/>
        </w:rPr>
        <w:t>American Journal of Physiology-Renal Physiology</w:t>
      </w:r>
      <w:r>
        <w:rPr>
          <w:sz w:val="20"/>
          <w:szCs w:val="20"/>
        </w:rPr>
        <w:t xml:space="preserve">, 314(4), F623–F629. </w:t>
      </w:r>
      <w:hyperlink r:id="rId21">
        <w:r>
          <w:rPr>
            <w:sz w:val="20"/>
            <w:szCs w:val="20"/>
          </w:rPr>
          <w:t>10.1152/ajprenal.00494.2017</w:t>
        </w:r>
      </w:hyperlink>
    </w:p>
    <w:p w:rsidR="0076172D" w:rsidRDefault="00E72F9D">
      <w:pPr>
        <w:jc w:val="both"/>
        <w:rPr>
          <w:sz w:val="20"/>
          <w:szCs w:val="20"/>
        </w:rPr>
      </w:pPr>
      <w:r>
        <w:rPr>
          <w:sz w:val="20"/>
          <w:szCs w:val="20"/>
        </w:rPr>
        <w:t xml:space="preserve">K. </w:t>
      </w:r>
      <w:proofErr w:type="spellStart"/>
      <w:r>
        <w:rPr>
          <w:sz w:val="20"/>
          <w:szCs w:val="20"/>
        </w:rPr>
        <w:t>Sakhaee</w:t>
      </w:r>
      <w:proofErr w:type="spellEnd"/>
      <w:r>
        <w:rPr>
          <w:sz w:val="20"/>
          <w:szCs w:val="20"/>
        </w:rPr>
        <w:t xml:space="preserve">. (2009). </w:t>
      </w:r>
      <w:r>
        <w:rPr>
          <w:color w:val="212121"/>
          <w:sz w:val="20"/>
          <w:szCs w:val="20"/>
        </w:rPr>
        <w:t>Recent advances in the pathophysiology of nephrolithiasis</w:t>
      </w:r>
      <w:r>
        <w:rPr>
          <w:sz w:val="20"/>
          <w:szCs w:val="20"/>
        </w:rPr>
        <w:t xml:space="preserve">. </w:t>
      </w:r>
      <w:r>
        <w:rPr>
          <w:i/>
          <w:iCs/>
          <w:sz w:val="20"/>
          <w:szCs w:val="20"/>
        </w:rPr>
        <w:t>Kidney Int</w:t>
      </w:r>
      <w:r>
        <w:rPr>
          <w:sz w:val="20"/>
          <w:szCs w:val="20"/>
        </w:rPr>
        <w:t xml:space="preserve">, 75(6), 585–595. </w:t>
      </w:r>
      <w:hyperlink r:id="rId22">
        <w:r>
          <w:rPr>
            <w:sz w:val="20"/>
            <w:szCs w:val="20"/>
          </w:rPr>
          <w:t>10.1038/ki.2008.626</w:t>
        </w:r>
      </w:hyperlink>
    </w:p>
    <w:p w:rsidR="0076172D" w:rsidRDefault="00E72F9D">
      <w:pPr>
        <w:jc w:val="both"/>
        <w:rPr>
          <w:sz w:val="20"/>
          <w:szCs w:val="20"/>
          <w:highlight w:val="white"/>
        </w:rPr>
      </w:pPr>
      <w:r>
        <w:rPr>
          <w:sz w:val="20"/>
          <w:szCs w:val="20"/>
        </w:rPr>
        <w:t xml:space="preserve">A. L. </w:t>
      </w:r>
      <w:proofErr w:type="spellStart"/>
      <w:r>
        <w:rPr>
          <w:sz w:val="20"/>
          <w:szCs w:val="20"/>
        </w:rPr>
        <w:t>Ferrao</w:t>
      </w:r>
      <w:proofErr w:type="spellEnd"/>
      <w:r>
        <w:rPr>
          <w:sz w:val="20"/>
          <w:szCs w:val="20"/>
        </w:rPr>
        <w:t xml:space="preserve">, P. </w:t>
      </w:r>
      <w:proofErr w:type="spellStart"/>
      <w:r>
        <w:rPr>
          <w:sz w:val="20"/>
          <w:szCs w:val="20"/>
        </w:rPr>
        <w:t>Pestana</w:t>
      </w:r>
      <w:proofErr w:type="spellEnd"/>
      <w:r>
        <w:rPr>
          <w:sz w:val="20"/>
          <w:szCs w:val="20"/>
        </w:rPr>
        <w:t>, L. Borges, R.</w:t>
      </w:r>
      <w:r>
        <w:rPr>
          <w:sz w:val="20"/>
          <w:szCs w:val="20"/>
        </w:rPr>
        <w:t xml:space="preserve"> </w:t>
      </w:r>
      <w:proofErr w:type="spellStart"/>
      <w:r>
        <w:rPr>
          <w:sz w:val="20"/>
          <w:szCs w:val="20"/>
        </w:rPr>
        <w:t>Palmeira</w:t>
      </w:r>
      <w:proofErr w:type="spellEnd"/>
      <w:r>
        <w:rPr>
          <w:sz w:val="20"/>
          <w:szCs w:val="20"/>
        </w:rPr>
        <w:t xml:space="preserve">-de-Oliveira, A. </w:t>
      </w:r>
      <w:proofErr w:type="spellStart"/>
      <w:r>
        <w:rPr>
          <w:sz w:val="20"/>
          <w:szCs w:val="20"/>
        </w:rPr>
        <w:t>Palmeira</w:t>
      </w:r>
      <w:proofErr w:type="spellEnd"/>
      <w:r>
        <w:rPr>
          <w:sz w:val="20"/>
          <w:szCs w:val="20"/>
        </w:rPr>
        <w:t xml:space="preserve">-de-Oliveira, J. Martinez-de-Oliveira. (2024). Quantification of Ions in Human Urine—A Review for Clinical Laboratories. </w:t>
      </w:r>
      <w:r>
        <w:rPr>
          <w:i/>
          <w:iCs/>
          <w:sz w:val="20"/>
          <w:szCs w:val="20"/>
        </w:rPr>
        <w:t>Biomedicines</w:t>
      </w:r>
      <w:r>
        <w:rPr>
          <w:sz w:val="20"/>
          <w:szCs w:val="20"/>
        </w:rPr>
        <w:t xml:space="preserve">, 12(8). </w:t>
      </w:r>
      <w:hyperlink r:id="rId23">
        <w:r>
          <w:rPr>
            <w:sz w:val="20"/>
            <w:szCs w:val="20"/>
          </w:rPr>
          <w:t>https://doi.org/</w:t>
        </w:r>
        <w:r>
          <w:rPr>
            <w:sz w:val="20"/>
            <w:szCs w:val="20"/>
          </w:rPr>
          <w:t>10.3390/biomedicines12081848</w:t>
        </w:r>
      </w:hyperlink>
    </w:p>
    <w:p w:rsidR="0076172D" w:rsidRDefault="00E72F9D">
      <w:pPr>
        <w:jc w:val="both"/>
        <w:rPr>
          <w:sz w:val="20"/>
          <w:szCs w:val="20"/>
        </w:rPr>
      </w:pPr>
      <w:r>
        <w:rPr>
          <w:sz w:val="20"/>
          <w:szCs w:val="20"/>
        </w:rPr>
        <w:t xml:space="preserve">S. Uddin, A. W. K. </w:t>
      </w:r>
      <w:proofErr w:type="spellStart"/>
      <w:r>
        <w:rPr>
          <w:sz w:val="20"/>
          <w:szCs w:val="20"/>
        </w:rPr>
        <w:t>Khanzada</w:t>
      </w:r>
      <w:proofErr w:type="spellEnd"/>
      <w:r>
        <w:rPr>
          <w:sz w:val="20"/>
          <w:szCs w:val="20"/>
        </w:rPr>
        <w:t xml:space="preserve">, A. T. Mufti. (1996). Dissociation constants of citric acid at different temperatures and different water-organic solvents systems. </w:t>
      </w:r>
      <w:r>
        <w:rPr>
          <w:i/>
          <w:iCs/>
          <w:sz w:val="20"/>
          <w:szCs w:val="20"/>
        </w:rPr>
        <w:t>Journal of Chemistry Society of Pakistan,</w:t>
      </w:r>
      <w:r>
        <w:rPr>
          <w:sz w:val="20"/>
          <w:szCs w:val="20"/>
        </w:rPr>
        <w:t xml:space="preserve"> 18(1), 81–87. </w:t>
      </w:r>
      <w:hyperlink r:id="rId24">
        <w:r>
          <w:rPr>
            <w:sz w:val="20"/>
            <w:szCs w:val="20"/>
          </w:rPr>
          <w:t>https://jcsp.org.pk/ArticleUpload/2754-12520-1-RV.pdf</w:t>
        </w:r>
      </w:hyperlink>
    </w:p>
    <w:p w:rsidR="0076172D" w:rsidRDefault="00E72F9D">
      <w:pPr>
        <w:jc w:val="both"/>
        <w:rPr>
          <w:color w:val="212121"/>
          <w:sz w:val="20"/>
          <w:szCs w:val="20"/>
        </w:rPr>
      </w:pPr>
      <w:r>
        <w:rPr>
          <w:sz w:val="20"/>
          <w:szCs w:val="20"/>
        </w:rPr>
        <w:t xml:space="preserve">S.W. Leslie, K. Bashir. (2024). Hypocitraturia and renal calculi. </w:t>
      </w:r>
      <w:proofErr w:type="spellStart"/>
      <w:r>
        <w:rPr>
          <w:i/>
          <w:iCs/>
          <w:sz w:val="20"/>
          <w:szCs w:val="20"/>
        </w:rPr>
        <w:t>StatPearls</w:t>
      </w:r>
      <w:proofErr w:type="spellEnd"/>
      <w:r>
        <w:rPr>
          <w:sz w:val="20"/>
          <w:szCs w:val="20"/>
        </w:rPr>
        <w:t xml:space="preserve">. </w:t>
      </w:r>
      <w:r>
        <w:rPr>
          <w:color w:val="212121"/>
          <w:sz w:val="20"/>
          <w:szCs w:val="20"/>
        </w:rPr>
        <w:t>PMID: 33232062;</w:t>
      </w:r>
    </w:p>
    <w:p w:rsidR="0076172D" w:rsidRDefault="00E72F9D">
      <w:pPr>
        <w:jc w:val="both"/>
        <w:rPr>
          <w:sz w:val="20"/>
          <w:szCs w:val="20"/>
        </w:rPr>
      </w:pPr>
      <w:hyperlink r:id="rId25">
        <w:r>
          <w:rPr>
            <w:sz w:val="20"/>
            <w:szCs w:val="20"/>
          </w:rPr>
          <w:t>NBK564392</w:t>
        </w:r>
      </w:hyperlink>
    </w:p>
    <w:p w:rsidR="0076172D" w:rsidRDefault="00E72F9D">
      <w:pPr>
        <w:jc w:val="both"/>
        <w:rPr>
          <w:sz w:val="20"/>
          <w:szCs w:val="20"/>
        </w:rPr>
      </w:pPr>
      <w:r>
        <w:rPr>
          <w:sz w:val="20"/>
          <w:szCs w:val="20"/>
        </w:rPr>
        <w:t xml:space="preserve">M. T. D. Orlando, L. </w:t>
      </w:r>
      <w:proofErr w:type="spellStart"/>
      <w:r>
        <w:rPr>
          <w:sz w:val="20"/>
          <w:szCs w:val="20"/>
        </w:rPr>
        <w:t>Kuplich</w:t>
      </w:r>
      <w:proofErr w:type="spellEnd"/>
      <w:r>
        <w:rPr>
          <w:sz w:val="20"/>
          <w:szCs w:val="20"/>
        </w:rPr>
        <w:t xml:space="preserve">, D.O. de Souza, H. </w:t>
      </w:r>
      <w:proofErr w:type="spellStart"/>
      <w:r>
        <w:rPr>
          <w:sz w:val="20"/>
          <w:szCs w:val="20"/>
        </w:rPr>
        <w:t>Belich</w:t>
      </w:r>
      <w:proofErr w:type="spellEnd"/>
      <w:r>
        <w:rPr>
          <w:sz w:val="20"/>
          <w:szCs w:val="20"/>
        </w:rPr>
        <w:t xml:space="preserve">, J. B. </w:t>
      </w:r>
      <w:proofErr w:type="spellStart"/>
      <w:r>
        <w:rPr>
          <w:sz w:val="20"/>
          <w:szCs w:val="20"/>
        </w:rPr>
        <w:t>Depianti</w:t>
      </w:r>
      <w:proofErr w:type="spellEnd"/>
      <w:r>
        <w:rPr>
          <w:sz w:val="20"/>
          <w:szCs w:val="20"/>
        </w:rPr>
        <w:t xml:space="preserve">, C. G. P. Orlando. (2008). Study of calcium oxalate monohydrate of kidney stones by X-ray diffraction. </w:t>
      </w:r>
      <w:r>
        <w:rPr>
          <w:i/>
          <w:iCs/>
          <w:sz w:val="20"/>
          <w:szCs w:val="20"/>
        </w:rPr>
        <w:t>Power Diffraction</w:t>
      </w:r>
      <w:r>
        <w:rPr>
          <w:sz w:val="20"/>
          <w:szCs w:val="20"/>
        </w:rPr>
        <w:t xml:space="preserve">, 23(S1), S59–S64. </w:t>
      </w:r>
      <w:hyperlink r:id="rId26">
        <w:r>
          <w:rPr>
            <w:sz w:val="20"/>
            <w:szCs w:val="20"/>
          </w:rPr>
          <w:t>https://doi.org/10.1154/1.2903738</w:t>
        </w:r>
      </w:hyperlink>
    </w:p>
    <w:p w:rsidR="0076172D" w:rsidRDefault="0076172D">
      <w:pPr>
        <w:jc w:val="both"/>
        <w:rPr>
          <w:b/>
          <w:bCs/>
          <w:sz w:val="20"/>
          <w:szCs w:val="20"/>
        </w:rPr>
      </w:pPr>
    </w:p>
    <w:p w:rsidR="0076172D" w:rsidRDefault="00E72F9D">
      <w:pPr>
        <w:jc w:val="both"/>
        <w:rPr>
          <w:b/>
          <w:bCs/>
          <w:sz w:val="20"/>
          <w:szCs w:val="20"/>
        </w:rPr>
      </w:pPr>
      <w:r>
        <w:rPr>
          <w:b/>
          <w:bCs/>
          <w:sz w:val="20"/>
          <w:szCs w:val="20"/>
        </w:rPr>
        <w:t xml:space="preserve">Reference to web-resource or electronic articles: </w:t>
      </w:r>
    </w:p>
    <w:p w:rsidR="0076172D" w:rsidRDefault="00E72F9D">
      <w:pPr>
        <w:jc w:val="both"/>
        <w:rPr>
          <w:sz w:val="20"/>
          <w:szCs w:val="20"/>
        </w:rPr>
      </w:pPr>
      <w:r>
        <w:rPr>
          <w:sz w:val="20"/>
          <w:szCs w:val="20"/>
        </w:rPr>
        <w:t xml:space="preserve">L. Thomas. (2023). Urine composition: What’s normal? </w:t>
      </w:r>
      <w:r>
        <w:rPr>
          <w:i/>
          <w:iCs/>
          <w:sz w:val="20"/>
          <w:szCs w:val="20"/>
        </w:rPr>
        <w:t>News-Medical</w:t>
      </w:r>
      <w:r>
        <w:rPr>
          <w:sz w:val="20"/>
          <w:szCs w:val="20"/>
        </w:rPr>
        <w:t xml:space="preserve">. </w:t>
      </w:r>
      <w:hyperlink r:id="rId27">
        <w:r>
          <w:rPr>
            <w:sz w:val="20"/>
            <w:szCs w:val="20"/>
          </w:rPr>
          <w:t>https://www.news-medical.net/health/Urine-Composition-Whats-Normal.aspx</w:t>
        </w:r>
      </w:hyperlink>
    </w:p>
    <w:p w:rsidR="0076172D" w:rsidRDefault="00E72F9D">
      <w:pPr>
        <w:jc w:val="both"/>
        <w:rPr>
          <w:sz w:val="20"/>
          <w:szCs w:val="20"/>
        </w:rPr>
      </w:pPr>
      <w:r>
        <w:rPr>
          <w:sz w:val="20"/>
          <w:szCs w:val="20"/>
        </w:rPr>
        <w:t xml:space="preserve">S. Watson, D. </w:t>
      </w:r>
      <w:proofErr w:type="spellStart"/>
      <w:r>
        <w:rPr>
          <w:sz w:val="20"/>
          <w:szCs w:val="20"/>
        </w:rPr>
        <w:t>Rossiaky</w:t>
      </w:r>
      <w:proofErr w:type="spellEnd"/>
      <w:r>
        <w:rPr>
          <w:sz w:val="20"/>
          <w:szCs w:val="20"/>
        </w:rPr>
        <w:t xml:space="preserve">. (2024). 8 Signs and Symptoms of Kidney Stones. </w:t>
      </w:r>
      <w:r>
        <w:rPr>
          <w:i/>
          <w:iCs/>
          <w:sz w:val="20"/>
          <w:szCs w:val="20"/>
        </w:rPr>
        <w:t>Healthline</w:t>
      </w:r>
      <w:r>
        <w:rPr>
          <w:sz w:val="20"/>
          <w:szCs w:val="20"/>
        </w:rPr>
        <w:t>.</w:t>
      </w:r>
    </w:p>
    <w:p w:rsidR="0076172D" w:rsidRDefault="00E72F9D">
      <w:pPr>
        <w:jc w:val="both"/>
        <w:rPr>
          <w:sz w:val="20"/>
          <w:szCs w:val="20"/>
        </w:rPr>
      </w:pPr>
      <w:hyperlink r:id="rId28" w:anchor="summary">
        <w:r>
          <w:rPr>
            <w:sz w:val="20"/>
            <w:szCs w:val="20"/>
          </w:rPr>
          <w:t>https://www.healthline.com/health/symptoms-of-kidney-stones#summary</w:t>
        </w:r>
      </w:hyperlink>
    </w:p>
    <w:p w:rsidR="0076172D" w:rsidRDefault="00E72F9D">
      <w:pPr>
        <w:jc w:val="both"/>
        <w:rPr>
          <w:sz w:val="20"/>
          <w:szCs w:val="20"/>
        </w:rPr>
      </w:pPr>
      <w:r>
        <w:rPr>
          <w:sz w:val="20"/>
          <w:szCs w:val="20"/>
        </w:rPr>
        <w:t xml:space="preserve">S. </w:t>
      </w:r>
      <w:proofErr w:type="spellStart"/>
      <w:r>
        <w:rPr>
          <w:sz w:val="20"/>
          <w:szCs w:val="20"/>
        </w:rPr>
        <w:t>Bershow</w:t>
      </w:r>
      <w:proofErr w:type="spellEnd"/>
      <w:r>
        <w:rPr>
          <w:sz w:val="20"/>
          <w:szCs w:val="20"/>
        </w:rPr>
        <w:t xml:space="preserve">. (2023). Preventing kidney stones before they form. </w:t>
      </w:r>
      <w:r>
        <w:rPr>
          <w:i/>
          <w:iCs/>
          <w:sz w:val="20"/>
          <w:szCs w:val="20"/>
        </w:rPr>
        <w:t xml:space="preserve">Mayo Clinic Health System. </w:t>
      </w:r>
      <w:hyperlink r:id="rId29" w:anchor=":~:text=This%20is%20the%20most%20effective,for%20preventing%20urinary%20tract%20infections.">
        <w:r>
          <w:rPr>
            <w:sz w:val="20"/>
            <w:szCs w:val="20"/>
          </w:rPr>
          <w:t>https://www.mayoclinichealthsystem.org/hometown-health/spea</w:t>
        </w:r>
        <w:r>
          <w:rPr>
            <w:sz w:val="20"/>
            <w:szCs w:val="20"/>
          </w:rPr>
          <w:t>king-of-health/preventing-kidney-stones#:~:text=This%20is%20the%20most%20effective,for%20preventing%20urinary%20tract%20infections.</w:t>
        </w:r>
      </w:hyperlink>
    </w:p>
    <w:p w:rsidR="0076172D" w:rsidRDefault="0076172D">
      <w:pPr>
        <w:jc w:val="both"/>
        <w:rPr>
          <w:b/>
          <w:bCs/>
          <w:sz w:val="20"/>
          <w:szCs w:val="20"/>
        </w:rPr>
      </w:pPr>
    </w:p>
    <w:p w:rsidR="0076172D" w:rsidRDefault="00E72F9D">
      <w:pPr>
        <w:jc w:val="both"/>
        <w:rPr>
          <w:sz w:val="20"/>
          <w:szCs w:val="20"/>
        </w:rPr>
      </w:pPr>
      <w:r>
        <w:rPr>
          <w:b/>
          <w:bCs/>
          <w:sz w:val="20"/>
          <w:szCs w:val="20"/>
        </w:rPr>
        <w:t xml:space="preserve">Reference to organization as author:   </w:t>
      </w:r>
    </w:p>
    <w:p w:rsidR="0076172D" w:rsidRDefault="00E72F9D">
      <w:pPr>
        <w:jc w:val="both"/>
        <w:rPr>
          <w:sz w:val="20"/>
          <w:szCs w:val="20"/>
        </w:rPr>
      </w:pPr>
      <w:r>
        <w:rPr>
          <w:sz w:val="20"/>
          <w:szCs w:val="20"/>
        </w:rPr>
        <w:t xml:space="preserve">South Tees Hospitals NHS Foundation Trust. (2021). Urine citrate. </w:t>
      </w:r>
      <w:hyperlink r:id="rId30">
        <w:r>
          <w:rPr>
            <w:sz w:val="20"/>
            <w:szCs w:val="20"/>
          </w:rPr>
          <w:t>https://www.southtees.nhs.uk/services/pathology/tests/urine-citrate/</w:t>
        </w:r>
      </w:hyperlink>
    </w:p>
    <w:p w:rsidR="0076172D" w:rsidRDefault="00E72F9D">
      <w:pPr>
        <w:jc w:val="both"/>
        <w:rPr>
          <w:sz w:val="20"/>
          <w:szCs w:val="20"/>
        </w:rPr>
      </w:pPr>
      <w:r>
        <w:rPr>
          <w:sz w:val="20"/>
          <w:szCs w:val="20"/>
        </w:rPr>
        <w:t xml:space="preserve">University of California San Francisco. (2023). Calcium - urine. </w:t>
      </w:r>
      <w:r>
        <w:rPr>
          <w:i/>
          <w:iCs/>
          <w:sz w:val="20"/>
          <w:szCs w:val="20"/>
        </w:rPr>
        <w:t>USCF Health</w:t>
      </w:r>
      <w:r>
        <w:rPr>
          <w:sz w:val="20"/>
          <w:szCs w:val="20"/>
        </w:rPr>
        <w:t xml:space="preserve">. </w:t>
      </w:r>
      <w:hyperlink r:id="rId31" w:anchor=":~:text=How%20the%20Test%20will%20Feel,High%20vitamin%20D%20level">
        <w:r>
          <w:rPr>
            <w:sz w:val="20"/>
            <w:szCs w:val="20"/>
          </w:rPr>
          <w:t>https://www.ucsfhealth.org/medical-tests/calcium---urine#:~:text=How%20the%20Test%20will%20Feel,High%20vitamin%20D%20level</w:t>
        </w:r>
      </w:hyperlink>
    </w:p>
    <w:p w:rsidR="0076172D" w:rsidRDefault="00E72F9D">
      <w:pPr>
        <w:jc w:val="both"/>
        <w:rPr>
          <w:sz w:val="20"/>
          <w:szCs w:val="20"/>
        </w:rPr>
      </w:pPr>
      <w:r>
        <w:rPr>
          <w:sz w:val="20"/>
          <w:szCs w:val="20"/>
        </w:rPr>
        <w:t>Royal College of Patholo</w:t>
      </w:r>
      <w:r>
        <w:rPr>
          <w:sz w:val="20"/>
          <w:szCs w:val="20"/>
        </w:rPr>
        <w:t xml:space="preserve">gists of Australasia. (2024). Calcium urine. </w:t>
      </w:r>
      <w:r>
        <w:rPr>
          <w:i/>
          <w:iCs/>
          <w:sz w:val="20"/>
          <w:szCs w:val="20"/>
        </w:rPr>
        <w:t>RCPA Manual</w:t>
      </w:r>
      <w:r>
        <w:rPr>
          <w:sz w:val="20"/>
          <w:szCs w:val="20"/>
        </w:rPr>
        <w:t>.</w:t>
      </w:r>
    </w:p>
    <w:p w:rsidR="0076172D" w:rsidRDefault="00E72F9D">
      <w:pPr>
        <w:jc w:val="both"/>
        <w:rPr>
          <w:sz w:val="20"/>
          <w:szCs w:val="20"/>
        </w:rPr>
      </w:pPr>
      <w:hyperlink r:id="rId32">
        <w:r>
          <w:rPr>
            <w:sz w:val="20"/>
            <w:szCs w:val="20"/>
          </w:rPr>
          <w:t>https://www.rcpa.edu.au/Manuals/RCPA-Manual/Pathology-Tests/C/Calcium-urine</w:t>
        </w:r>
      </w:hyperlink>
    </w:p>
    <w:p w:rsidR="0076172D" w:rsidRDefault="00E72F9D">
      <w:pPr>
        <w:jc w:val="both"/>
        <w:rPr>
          <w:sz w:val="20"/>
          <w:szCs w:val="20"/>
        </w:rPr>
      </w:pPr>
      <w:r>
        <w:rPr>
          <w:sz w:val="20"/>
          <w:szCs w:val="20"/>
        </w:rPr>
        <w:t>University of California Sa</w:t>
      </w:r>
      <w:r>
        <w:rPr>
          <w:sz w:val="20"/>
          <w:szCs w:val="20"/>
        </w:rPr>
        <w:t xml:space="preserve">n Francisco. (2023). Urine pH test. </w:t>
      </w:r>
      <w:r>
        <w:rPr>
          <w:i/>
          <w:iCs/>
          <w:sz w:val="20"/>
          <w:szCs w:val="20"/>
        </w:rPr>
        <w:t>UCSF Health</w:t>
      </w:r>
      <w:r>
        <w:rPr>
          <w:sz w:val="20"/>
          <w:szCs w:val="20"/>
        </w:rPr>
        <w:t xml:space="preserve">. </w:t>
      </w:r>
      <w:hyperlink r:id="rId33" w:anchor=":~:text=A%20diet%20high%20in%20fruits,can%20decrease%20your%20urine%20pH.">
        <w:r>
          <w:rPr>
            <w:sz w:val="20"/>
            <w:szCs w:val="20"/>
          </w:rPr>
          <w:t>https://www.ucsfhealth.org/medical-tests/urine-ph-test</w:t>
        </w:r>
        <w:r>
          <w:rPr>
            <w:sz w:val="20"/>
            <w:szCs w:val="20"/>
          </w:rPr>
          <w:t>#:~:text=A%20diet%20high%20in%20fruits,can%20decrease%20your%20urine%20pH.</w:t>
        </w:r>
      </w:hyperlink>
    </w:p>
    <w:p w:rsidR="0076172D" w:rsidRDefault="0076172D">
      <w:pPr>
        <w:jc w:val="both"/>
        <w:rPr>
          <w:sz w:val="20"/>
          <w:szCs w:val="20"/>
        </w:rPr>
      </w:pPr>
    </w:p>
    <w:sectPr w:rsidR="0076172D">
      <w:headerReference w:type="even" r:id="rId34"/>
      <w:headerReference w:type="default" r:id="rId35"/>
      <w:footerReference w:type="default" r:id="rId36"/>
      <w:headerReference w:type="first" r:id="rId37"/>
      <w:type w:val="continuous"/>
      <w:pgSz w:w="12240" w:h="15840"/>
      <w:pgMar w:top="1440" w:right="1440" w:bottom="1440" w:left="1440" w:header="720" w:footer="720" w:gutter="0"/>
      <w:cols w:num="2" w:space="720" w:equalWidth="0">
        <w:col w:w="4320" w:space="720"/>
        <w:col w:w="432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2F9D" w:rsidRDefault="00E72F9D">
      <w:pPr>
        <w:spacing w:line="240" w:lineRule="auto"/>
      </w:pPr>
      <w:r>
        <w:separator/>
      </w:r>
    </w:p>
  </w:endnote>
  <w:endnote w:type="continuationSeparator" w:id="0">
    <w:p w:rsidR="00E72F9D" w:rsidRDefault="00E72F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A34780F-346C-462C-8263-B5975744F1F4}"/>
  </w:font>
  <w:font w:name="Roboto">
    <w:charset w:val="00"/>
    <w:family w:val="auto"/>
    <w:pitch w:val="variable"/>
    <w:sig w:usb0="E0000AFF" w:usb1="5000217F" w:usb2="00000021" w:usb3="00000000" w:csb0="0000019F" w:csb1="00000000"/>
    <w:embedRegular r:id="rId2" w:fontKey="{315376B2-593F-42AF-AE6C-5D051C8F26F3}"/>
  </w:font>
  <w:font w:name="Calibri">
    <w:panose1 w:val="020F0502020204030204"/>
    <w:charset w:val="00"/>
    <w:family w:val="swiss"/>
    <w:pitch w:val="variable"/>
    <w:sig w:usb0="E4002EFF" w:usb1="C000247B" w:usb2="00000009" w:usb3="00000000" w:csb0="000001FF" w:csb1="00000000"/>
    <w:embedRegular r:id="rId3" w:fontKey="{3BA71BF7-6029-4C7F-91F8-4DF8D059A5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C5E" w:rsidRDefault="00140C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72D" w:rsidRDefault="007617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72D" w:rsidRDefault="0076172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72D" w:rsidRDefault="007617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2F9D" w:rsidRDefault="00E72F9D">
      <w:pPr>
        <w:spacing w:line="240" w:lineRule="auto"/>
      </w:pPr>
      <w:r>
        <w:separator/>
      </w:r>
    </w:p>
  </w:footnote>
  <w:footnote w:type="continuationSeparator" w:id="0">
    <w:p w:rsidR="00E72F9D" w:rsidRDefault="00E72F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C5E" w:rsidRDefault="00140C5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C5E" w:rsidRDefault="00140C5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72D" w:rsidRDefault="00140C5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C5E" w:rsidRDefault="00140C5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C5E" w:rsidRDefault="00140C5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C5E" w:rsidRDefault="00140C5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72D"/>
    <w:rsid w:val="00140C5E"/>
    <w:rsid w:val="00267B3E"/>
    <w:rsid w:val="003B197D"/>
    <w:rsid w:val="00415F42"/>
    <w:rsid w:val="00492F11"/>
    <w:rsid w:val="006A6F66"/>
    <w:rsid w:val="00720692"/>
    <w:rsid w:val="0076172D"/>
    <w:rsid w:val="009F7002"/>
    <w:rsid w:val="00E72F9D"/>
    <w:rsid w:val="00F82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967C733C-2F63-4CCF-8B20-EBA8F1FC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267B3E"/>
    <w:rPr>
      <w:color w:val="0000FF" w:themeColor="hyperlink"/>
      <w:u w:val="single"/>
    </w:rPr>
  </w:style>
  <w:style w:type="character" w:styleId="UnresolvedMention">
    <w:name w:val="Unresolved Mention"/>
    <w:basedOn w:val="DefaultParagraphFont"/>
    <w:uiPriority w:val="99"/>
    <w:semiHidden/>
    <w:unhideWhenUsed/>
    <w:rsid w:val="00267B3E"/>
    <w:rPr>
      <w:color w:val="605E5C"/>
      <w:shd w:val="clear" w:color="auto" w:fill="E1DFDD"/>
    </w:rPr>
  </w:style>
  <w:style w:type="table" w:styleId="TableGrid">
    <w:name w:val="Table Grid"/>
    <w:basedOn w:val="TableNormal"/>
    <w:uiPriority w:val="39"/>
    <w:rsid w:val="00492F11"/>
    <w:pPr>
      <w:spacing w:line="240" w:lineRule="auto"/>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0C5E"/>
    <w:pPr>
      <w:tabs>
        <w:tab w:val="center" w:pos="4680"/>
        <w:tab w:val="right" w:pos="9360"/>
      </w:tabs>
      <w:spacing w:line="240" w:lineRule="auto"/>
    </w:pPr>
  </w:style>
  <w:style w:type="character" w:customStyle="1" w:styleId="HeaderChar">
    <w:name w:val="Header Char"/>
    <w:basedOn w:val="DefaultParagraphFont"/>
    <w:link w:val="Header"/>
    <w:uiPriority w:val="99"/>
    <w:rsid w:val="00140C5E"/>
  </w:style>
  <w:style w:type="paragraph" w:styleId="Footer">
    <w:name w:val="footer"/>
    <w:basedOn w:val="Normal"/>
    <w:link w:val="FooterChar"/>
    <w:uiPriority w:val="99"/>
    <w:unhideWhenUsed/>
    <w:rsid w:val="00140C5E"/>
    <w:pPr>
      <w:tabs>
        <w:tab w:val="center" w:pos="4680"/>
        <w:tab w:val="right" w:pos="9360"/>
      </w:tabs>
      <w:spacing w:line="240" w:lineRule="auto"/>
    </w:pPr>
  </w:style>
  <w:style w:type="character" w:customStyle="1" w:styleId="FooterChar">
    <w:name w:val="Footer Char"/>
    <w:basedOn w:val="DefaultParagraphFont"/>
    <w:link w:val="Footer"/>
    <w:uiPriority w:val="99"/>
    <w:rsid w:val="00140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s://doi.org/10.51298/vmj.v521i1.3990" TargetMode="External"/><Relationship Id="rId26" Type="http://schemas.openxmlformats.org/officeDocument/2006/relationships/hyperlink" Target="https://doi.org/10.1154/1.2903738" TargetMode="External"/><Relationship Id="rId39" Type="http://schemas.openxmlformats.org/officeDocument/2006/relationships/theme" Target="theme/theme1.xml"/><Relationship Id="rId21" Type="http://schemas.openxmlformats.org/officeDocument/2006/relationships/hyperlink" Target="https://doi.org/10.1152/ajprenal.00494.2017" TargetMode="External"/><Relationship Id="rId34" Type="http://schemas.openxmlformats.org/officeDocument/2006/relationships/header" Target="header4.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hyperlink" Target="https://doi.org/10.3390/uro5010006" TargetMode="External"/><Relationship Id="rId25" Type="http://schemas.openxmlformats.org/officeDocument/2006/relationships/hyperlink" Target="https://www.ncbi.nlm.nih.gov/books/NBK564392/" TargetMode="External"/><Relationship Id="rId33" Type="http://schemas.openxmlformats.org/officeDocument/2006/relationships/hyperlink" Target="https://www.ucsfhealth.org/medical-tests/urine-ph-test"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3390/cryst10100924" TargetMode="External"/><Relationship Id="rId20" Type="http://schemas.openxmlformats.org/officeDocument/2006/relationships/hyperlink" Target="https://doi.org/10.3390/nu16183141" TargetMode="External"/><Relationship Id="rId29" Type="http://schemas.openxmlformats.org/officeDocument/2006/relationships/hyperlink" Target="https://www.mayoclinichealthsystem.org/hometown-health/speaking-of-health/preventing-kidney-stones"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jcsp.org.pk/ArticleUpload/2754-12520-1-RV.pdf" TargetMode="External"/><Relationship Id="rId32" Type="http://schemas.openxmlformats.org/officeDocument/2006/relationships/hyperlink" Target="https://www.rcpa.edu.au/Manuals/RCPA-Manual/Pathology-Tests/C/Calcium-urine" TargetMode="External"/><Relationship Id="rId37"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doi.org/10.3390/biomedicines12081848" TargetMode="External"/><Relationship Id="rId28" Type="http://schemas.openxmlformats.org/officeDocument/2006/relationships/hyperlink" Target="https://www.healthline.com/health/symptoms-of-kidney-stones" TargetMode="External"/><Relationship Id="rId36" Type="http://schemas.openxmlformats.org/officeDocument/2006/relationships/footer" Target="footer4.xml"/><Relationship Id="rId10" Type="http://schemas.openxmlformats.org/officeDocument/2006/relationships/header" Target="header3.xml"/><Relationship Id="rId19" Type="http://schemas.openxmlformats.org/officeDocument/2006/relationships/hyperlink" Target="https://doi.org/10.51298/vmj.v511i2.2135" TargetMode="External"/><Relationship Id="rId31" Type="http://schemas.openxmlformats.org/officeDocument/2006/relationships/hyperlink" Target="https://www.ucsfhealth.org/medical-tests/calcium---urine"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gif"/><Relationship Id="rId22" Type="http://schemas.openxmlformats.org/officeDocument/2006/relationships/hyperlink" Target="https://doi.org/10.1038/ki.2008.626" TargetMode="External"/><Relationship Id="rId27" Type="http://schemas.openxmlformats.org/officeDocument/2006/relationships/hyperlink" Target="https://www.news-medical.net/health/Urine-Composition-Whats-Normal.aspx" TargetMode="External"/><Relationship Id="rId30" Type="http://schemas.openxmlformats.org/officeDocument/2006/relationships/hyperlink" Target="https://www.southtees.nhs.uk/services/pathology/tests/urine-citrate/" TargetMode="External"/><Relationship Id="rId35" Type="http://schemas.openxmlformats.org/officeDocument/2006/relationships/header" Target="header5.xml"/><Relationship Id="rId8" Type="http://schemas.openxmlformats.org/officeDocument/2006/relationships/footer" Target="footer1.xm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3688</Words>
  <Characters>21023</Characters>
  <Application>Microsoft Office Word</Application>
  <DocSecurity>0</DocSecurity>
  <Lines>175</Lines>
  <Paragraphs>49</Paragraphs>
  <ScaleCrop>false</ScaleCrop>
  <Company/>
  <LinksUpToDate>false</LinksUpToDate>
  <CharactersWithSpaces>24662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2026-02-13T11:29:00Z</dcterms:created>
  <dcterms:modified xsi:type="dcterms:W3CDTF">2026-02-14T07:09:00Z</dcterms:modified>
</cp:coreProperties>
</file>