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7156" w14:textId="77777777" w:rsidR="005A732F" w:rsidRPr="005A732F" w:rsidRDefault="005A732F" w:rsidP="005A732F">
      <w:pPr>
        <w:spacing w:line="240" w:lineRule="auto"/>
        <w:jc w:val="center"/>
        <w:rPr>
          <w:rFonts w:ascii="Times New Roman" w:hAnsi="Times New Roman" w:cs="Times New Roman"/>
          <w:b/>
          <w:bCs/>
          <w:i/>
          <w:iCs/>
          <w:sz w:val="24"/>
          <w:szCs w:val="24"/>
          <w:u w:val="single"/>
          <w:lang w:val="en-US"/>
        </w:rPr>
      </w:pPr>
      <w:r w:rsidRPr="005A732F">
        <w:rPr>
          <w:rFonts w:ascii="Times New Roman" w:hAnsi="Times New Roman" w:cs="Times New Roman"/>
          <w:b/>
          <w:bCs/>
          <w:i/>
          <w:iCs/>
          <w:sz w:val="24"/>
          <w:szCs w:val="24"/>
          <w:u w:val="single"/>
          <w:lang w:val="en-US"/>
        </w:rPr>
        <w:t>Original Research Article</w:t>
      </w:r>
    </w:p>
    <w:p w14:paraId="6BAF56EA" w14:textId="77777777" w:rsidR="00054FEB" w:rsidRDefault="00054FEB" w:rsidP="00054FEB">
      <w:pPr>
        <w:spacing w:line="240" w:lineRule="auto"/>
        <w:jc w:val="center"/>
        <w:rPr>
          <w:rFonts w:ascii="Times New Roman" w:hAnsi="Times New Roman" w:cs="Times New Roman"/>
          <w:b/>
          <w:bCs/>
          <w:iCs/>
          <w:sz w:val="24"/>
          <w:szCs w:val="24"/>
        </w:rPr>
      </w:pPr>
      <w:r w:rsidRPr="005B6095">
        <w:rPr>
          <w:rFonts w:ascii="Times New Roman" w:hAnsi="Times New Roman" w:cs="Times New Roman"/>
          <w:b/>
          <w:bCs/>
          <w:iCs/>
          <w:sz w:val="24"/>
          <w:szCs w:val="24"/>
        </w:rPr>
        <w:t>COMPREHENSIVE CHARACTERIZATION OF AVOCADO</w:t>
      </w:r>
      <w:r>
        <w:rPr>
          <w:rFonts w:ascii="Times New Roman" w:hAnsi="Times New Roman" w:cs="Times New Roman"/>
          <w:b/>
          <w:bCs/>
          <w:iCs/>
          <w:sz w:val="24"/>
          <w:szCs w:val="24"/>
        </w:rPr>
        <w:t xml:space="preserve"> PEAR</w:t>
      </w:r>
      <w:r w:rsidRPr="005B6095">
        <w:rPr>
          <w:rFonts w:ascii="Times New Roman" w:hAnsi="Times New Roman" w:cs="Times New Roman"/>
          <w:b/>
          <w:bCs/>
          <w:iCs/>
          <w:sz w:val="24"/>
          <w:szCs w:val="24"/>
        </w:rPr>
        <w:t xml:space="preserve"> (</w:t>
      </w:r>
      <w:proofErr w:type="spellStart"/>
      <w:r w:rsidRPr="005B6095">
        <w:rPr>
          <w:rFonts w:ascii="Times New Roman" w:hAnsi="Times New Roman" w:cs="Times New Roman"/>
          <w:b/>
          <w:bCs/>
          <w:i/>
          <w:iCs/>
          <w:sz w:val="24"/>
          <w:szCs w:val="24"/>
        </w:rPr>
        <w:t>Persea</w:t>
      </w:r>
      <w:proofErr w:type="spellEnd"/>
      <w:r w:rsidRPr="005B6095">
        <w:rPr>
          <w:rFonts w:ascii="Times New Roman" w:hAnsi="Times New Roman" w:cs="Times New Roman"/>
          <w:b/>
          <w:bCs/>
          <w:i/>
          <w:iCs/>
          <w:sz w:val="24"/>
          <w:szCs w:val="24"/>
        </w:rPr>
        <w:t xml:space="preserve"> </w:t>
      </w:r>
      <w:proofErr w:type="spellStart"/>
      <w:r w:rsidRPr="005B6095">
        <w:rPr>
          <w:rFonts w:ascii="Times New Roman" w:hAnsi="Times New Roman" w:cs="Times New Roman"/>
          <w:b/>
          <w:bCs/>
          <w:i/>
          <w:iCs/>
          <w:sz w:val="24"/>
          <w:szCs w:val="24"/>
        </w:rPr>
        <w:t>americana</w:t>
      </w:r>
      <w:proofErr w:type="spellEnd"/>
      <w:r w:rsidRPr="005B6095">
        <w:rPr>
          <w:rFonts w:ascii="Times New Roman" w:hAnsi="Times New Roman" w:cs="Times New Roman"/>
          <w:b/>
          <w:bCs/>
          <w:iCs/>
          <w:sz w:val="24"/>
          <w:szCs w:val="24"/>
        </w:rPr>
        <w:t>) SEED POWDER FOR APPLICATION IN BIODEGRADABLE POLYMER COMPOSITES AND FUNCTIONAL MATERIALS</w:t>
      </w:r>
    </w:p>
    <w:p w14:paraId="40A64A6A" w14:textId="77777777" w:rsidR="00054FEB" w:rsidRDefault="00054FEB" w:rsidP="00054FEB">
      <w:pPr>
        <w:spacing w:line="240" w:lineRule="auto"/>
        <w:jc w:val="center"/>
        <w:rPr>
          <w:rFonts w:ascii="Times New Roman" w:hAnsi="Times New Roman" w:cs="Times New Roman"/>
          <w:b/>
          <w:bCs/>
          <w:sz w:val="24"/>
          <w:szCs w:val="24"/>
        </w:rPr>
      </w:pPr>
    </w:p>
    <w:p w14:paraId="449DF3B1" w14:textId="77777777" w:rsidR="00780FB0" w:rsidRPr="005B6095" w:rsidRDefault="00780FB0" w:rsidP="00492CE0">
      <w:pPr>
        <w:spacing w:after="0" w:line="240" w:lineRule="auto"/>
        <w:jc w:val="both"/>
        <w:rPr>
          <w:rFonts w:ascii="Times New Roman" w:hAnsi="Times New Roman" w:cs="Times New Roman"/>
          <w:b/>
          <w:bCs/>
          <w:sz w:val="24"/>
          <w:szCs w:val="24"/>
        </w:rPr>
      </w:pPr>
    </w:p>
    <w:p w14:paraId="7A9A9920" w14:textId="77777777" w:rsidR="008C179F" w:rsidRPr="005B6095" w:rsidRDefault="00F4267E" w:rsidP="00F4267E">
      <w:pPr>
        <w:spacing w:line="240" w:lineRule="auto"/>
        <w:jc w:val="center"/>
        <w:rPr>
          <w:rFonts w:ascii="Times New Roman" w:hAnsi="Times New Roman" w:cs="Times New Roman"/>
          <w:b/>
          <w:bCs/>
          <w:sz w:val="24"/>
          <w:szCs w:val="24"/>
        </w:rPr>
      </w:pPr>
      <w:r w:rsidRPr="005B6095">
        <w:rPr>
          <w:rFonts w:ascii="Times New Roman" w:hAnsi="Times New Roman" w:cs="Times New Roman"/>
          <w:b/>
          <w:bCs/>
          <w:sz w:val="24"/>
          <w:szCs w:val="24"/>
        </w:rPr>
        <w:t>ABSTRACT</w:t>
      </w:r>
    </w:p>
    <w:p w14:paraId="17F159F0" w14:textId="77777777" w:rsidR="00333BA3" w:rsidRPr="005B6095" w:rsidRDefault="00374CF5" w:rsidP="00F4267E">
      <w:pPr>
        <w:spacing w:after="0" w:line="240" w:lineRule="auto"/>
        <w:jc w:val="both"/>
        <w:rPr>
          <w:rFonts w:ascii="Times New Roman" w:hAnsi="Times New Roman" w:cs="Times New Roman"/>
          <w:sz w:val="24"/>
          <w:szCs w:val="24"/>
        </w:rPr>
      </w:pPr>
      <w:r w:rsidRPr="005B6095">
        <w:rPr>
          <w:rFonts w:ascii="Times New Roman" w:hAnsi="Times New Roman" w:cs="Times New Roman"/>
          <w:sz w:val="24"/>
          <w:szCs w:val="24"/>
        </w:rPr>
        <w:t>This study investigated</w:t>
      </w:r>
      <w:r w:rsidR="00931BA0" w:rsidRPr="005B6095">
        <w:rPr>
          <w:rFonts w:ascii="Times New Roman" w:hAnsi="Times New Roman" w:cs="Times New Roman"/>
          <w:sz w:val="24"/>
          <w:szCs w:val="24"/>
        </w:rPr>
        <w:t xml:space="preserve"> the physicochemical, structural, and thermal characteristics of avocado seed powder </w:t>
      </w:r>
      <w:r w:rsidRPr="005B6095">
        <w:rPr>
          <w:rFonts w:ascii="Times New Roman" w:hAnsi="Times New Roman" w:cs="Times New Roman"/>
          <w:sz w:val="24"/>
          <w:szCs w:val="24"/>
        </w:rPr>
        <w:t>for its</w:t>
      </w:r>
      <w:r w:rsidR="00931BA0" w:rsidRPr="005B6095">
        <w:rPr>
          <w:rFonts w:ascii="Times New Roman" w:hAnsi="Times New Roman" w:cs="Times New Roman"/>
          <w:sz w:val="24"/>
          <w:szCs w:val="24"/>
        </w:rPr>
        <w:t xml:space="preserve"> potential</w:t>
      </w:r>
      <w:r w:rsidRPr="005B6095">
        <w:rPr>
          <w:rFonts w:ascii="Times New Roman" w:hAnsi="Times New Roman" w:cs="Times New Roman"/>
          <w:sz w:val="24"/>
          <w:szCs w:val="24"/>
        </w:rPr>
        <w:t xml:space="preserve"> as a</w:t>
      </w:r>
      <w:r w:rsidR="00931BA0" w:rsidRPr="005B6095">
        <w:rPr>
          <w:rFonts w:ascii="Times New Roman" w:hAnsi="Times New Roman" w:cs="Times New Roman"/>
          <w:sz w:val="24"/>
          <w:szCs w:val="24"/>
        </w:rPr>
        <w:t xml:space="preserve"> bio-based material for composite and </w:t>
      </w:r>
      <w:r w:rsidRPr="005B6095">
        <w:rPr>
          <w:rFonts w:ascii="Times New Roman" w:hAnsi="Times New Roman" w:cs="Times New Roman"/>
          <w:sz w:val="24"/>
          <w:szCs w:val="24"/>
        </w:rPr>
        <w:t>other</w:t>
      </w:r>
      <w:r w:rsidR="00931BA0" w:rsidRPr="005B6095">
        <w:rPr>
          <w:rFonts w:ascii="Times New Roman" w:hAnsi="Times New Roman" w:cs="Times New Roman"/>
          <w:sz w:val="24"/>
          <w:szCs w:val="24"/>
        </w:rPr>
        <w:t xml:space="preserve"> applications. </w:t>
      </w:r>
      <w:r w:rsidRPr="005B6095">
        <w:rPr>
          <w:rFonts w:ascii="Times New Roman" w:hAnsi="Times New Roman" w:cs="Times New Roman"/>
          <w:sz w:val="24"/>
          <w:szCs w:val="24"/>
        </w:rPr>
        <w:t>It was observed that the</w:t>
      </w:r>
      <w:r w:rsidR="00931BA0" w:rsidRPr="005B6095">
        <w:rPr>
          <w:rFonts w:ascii="Times New Roman" w:hAnsi="Times New Roman" w:cs="Times New Roman"/>
          <w:sz w:val="24"/>
          <w:szCs w:val="24"/>
        </w:rPr>
        <w:t xml:space="preserve"> seed powder exhibited a mildly acidic pH of 5.3, with limited </w:t>
      </w:r>
      <w:r w:rsidR="009D2BC1" w:rsidRPr="005B6095">
        <w:rPr>
          <w:rFonts w:ascii="Times New Roman" w:hAnsi="Times New Roman" w:cs="Times New Roman"/>
          <w:sz w:val="24"/>
          <w:szCs w:val="24"/>
        </w:rPr>
        <w:t xml:space="preserve">levels of </w:t>
      </w:r>
      <w:r w:rsidR="00931BA0" w:rsidRPr="005B6095">
        <w:rPr>
          <w:rFonts w:ascii="Times New Roman" w:hAnsi="Times New Roman" w:cs="Times New Roman"/>
          <w:sz w:val="24"/>
          <w:szCs w:val="24"/>
        </w:rPr>
        <w:t xml:space="preserve">solubility </w:t>
      </w:r>
      <w:r w:rsidR="009D2BC1" w:rsidRPr="005B6095">
        <w:rPr>
          <w:rFonts w:ascii="Times New Roman" w:hAnsi="Times New Roman" w:cs="Times New Roman"/>
          <w:sz w:val="24"/>
          <w:szCs w:val="24"/>
        </w:rPr>
        <w:t>in different</w:t>
      </w:r>
      <w:r w:rsidR="00931BA0" w:rsidRPr="005B6095">
        <w:rPr>
          <w:rFonts w:ascii="Times New Roman" w:hAnsi="Times New Roman" w:cs="Times New Roman"/>
          <w:sz w:val="24"/>
          <w:szCs w:val="24"/>
        </w:rPr>
        <w:t xml:space="preserve"> solvents</w:t>
      </w:r>
      <w:r w:rsidR="009D2BC1" w:rsidRPr="005B6095">
        <w:rPr>
          <w:rFonts w:ascii="Times New Roman" w:hAnsi="Times New Roman" w:cs="Times New Roman"/>
          <w:sz w:val="24"/>
          <w:szCs w:val="24"/>
        </w:rPr>
        <w:t xml:space="preserve"> emphasizing its viability in vastly </w:t>
      </w:r>
      <w:r w:rsidR="00931BA0" w:rsidRPr="005B6095">
        <w:rPr>
          <w:rFonts w:ascii="Times New Roman" w:hAnsi="Times New Roman" w:cs="Times New Roman"/>
          <w:sz w:val="24"/>
          <w:szCs w:val="24"/>
        </w:rPr>
        <w:t xml:space="preserve">insoluble biopolymers. FTIR analysis confirmed the presence of </w:t>
      </w:r>
      <w:r w:rsidR="00A171A6" w:rsidRPr="005B6095">
        <w:rPr>
          <w:rFonts w:ascii="Times New Roman" w:hAnsi="Times New Roman" w:cs="Times New Roman"/>
          <w:sz w:val="24"/>
          <w:szCs w:val="24"/>
        </w:rPr>
        <w:t>carbonyl</w:t>
      </w:r>
      <w:r w:rsidR="00A171A6">
        <w:rPr>
          <w:rFonts w:ascii="Times New Roman" w:hAnsi="Times New Roman" w:cs="Times New Roman"/>
          <w:sz w:val="24"/>
          <w:szCs w:val="24"/>
        </w:rPr>
        <w:t>,</w:t>
      </w:r>
      <w:r w:rsidR="00A171A6" w:rsidRPr="005B6095">
        <w:rPr>
          <w:rFonts w:ascii="Times New Roman" w:hAnsi="Times New Roman" w:cs="Times New Roman"/>
          <w:sz w:val="24"/>
          <w:szCs w:val="24"/>
        </w:rPr>
        <w:t xml:space="preserve"> </w:t>
      </w:r>
      <w:r w:rsidR="00A171A6">
        <w:rPr>
          <w:rFonts w:ascii="Times New Roman" w:hAnsi="Times New Roman" w:cs="Times New Roman"/>
          <w:sz w:val="24"/>
          <w:szCs w:val="24"/>
        </w:rPr>
        <w:t>hydroxyl</w:t>
      </w:r>
      <w:r w:rsidR="00931BA0" w:rsidRPr="005B6095">
        <w:rPr>
          <w:rFonts w:ascii="Times New Roman" w:hAnsi="Times New Roman" w:cs="Times New Roman"/>
          <w:sz w:val="24"/>
          <w:szCs w:val="24"/>
        </w:rPr>
        <w:t xml:space="preserve">, aromatic, and aliphatic functional groups </w:t>
      </w:r>
      <w:r w:rsidR="009D2BC1" w:rsidRPr="005B6095">
        <w:rPr>
          <w:rFonts w:ascii="Times New Roman" w:hAnsi="Times New Roman" w:cs="Times New Roman"/>
          <w:sz w:val="24"/>
          <w:szCs w:val="24"/>
        </w:rPr>
        <w:t>char</w:t>
      </w:r>
      <w:r w:rsidR="00A87FE1" w:rsidRPr="005B6095">
        <w:rPr>
          <w:rFonts w:ascii="Times New Roman" w:hAnsi="Times New Roman" w:cs="Times New Roman"/>
          <w:sz w:val="24"/>
          <w:szCs w:val="24"/>
        </w:rPr>
        <w:t>acter</w:t>
      </w:r>
      <w:r w:rsidR="009D2BC1" w:rsidRPr="005B6095">
        <w:rPr>
          <w:rFonts w:ascii="Times New Roman" w:hAnsi="Times New Roman" w:cs="Times New Roman"/>
          <w:sz w:val="24"/>
          <w:szCs w:val="24"/>
        </w:rPr>
        <w:t xml:space="preserve">istic of </w:t>
      </w:r>
      <w:r w:rsidR="00931BA0" w:rsidRPr="005B6095">
        <w:rPr>
          <w:rFonts w:ascii="Times New Roman" w:hAnsi="Times New Roman" w:cs="Times New Roman"/>
          <w:sz w:val="24"/>
          <w:szCs w:val="24"/>
        </w:rPr>
        <w:t xml:space="preserve">lignocellulosic biomass. TGA/DTA </w:t>
      </w:r>
      <w:r w:rsidR="009D2BC1" w:rsidRPr="005B6095">
        <w:rPr>
          <w:rFonts w:ascii="Times New Roman" w:hAnsi="Times New Roman" w:cs="Times New Roman"/>
          <w:sz w:val="24"/>
          <w:szCs w:val="24"/>
        </w:rPr>
        <w:t xml:space="preserve">results showed </w:t>
      </w:r>
      <w:r w:rsidR="00931BA0" w:rsidRPr="005B6095">
        <w:rPr>
          <w:rFonts w:ascii="Times New Roman" w:hAnsi="Times New Roman" w:cs="Times New Roman"/>
          <w:sz w:val="24"/>
          <w:szCs w:val="24"/>
        </w:rPr>
        <w:t>major mass loss occurring between 380–550 °C and approximate</w:t>
      </w:r>
      <w:r w:rsidR="009D2BC1" w:rsidRPr="005B6095">
        <w:rPr>
          <w:rFonts w:ascii="Times New Roman" w:hAnsi="Times New Roman" w:cs="Times New Roman"/>
          <w:sz w:val="24"/>
          <w:szCs w:val="24"/>
        </w:rPr>
        <w:t>ly 20% residual mass at 950 °C which is an indication of</w:t>
      </w:r>
      <w:r w:rsidR="00931BA0" w:rsidRPr="005B6095">
        <w:rPr>
          <w:rFonts w:ascii="Times New Roman" w:hAnsi="Times New Roman" w:cs="Times New Roman"/>
          <w:sz w:val="24"/>
          <w:szCs w:val="24"/>
        </w:rPr>
        <w:t xml:space="preserve"> thermal stability and char-forming potential. SEM </w:t>
      </w:r>
      <w:r w:rsidR="006E7203" w:rsidRPr="005B6095">
        <w:rPr>
          <w:rFonts w:ascii="Times New Roman" w:hAnsi="Times New Roman" w:cs="Times New Roman"/>
          <w:sz w:val="24"/>
          <w:szCs w:val="24"/>
        </w:rPr>
        <w:t>imaging</w:t>
      </w:r>
      <w:r w:rsidR="00931BA0" w:rsidRPr="005B6095">
        <w:rPr>
          <w:rFonts w:ascii="Times New Roman" w:hAnsi="Times New Roman" w:cs="Times New Roman"/>
          <w:sz w:val="24"/>
          <w:szCs w:val="24"/>
        </w:rPr>
        <w:t xml:space="preserve"> showed irregular, fibrous, and porous particles with rough surfaces and micro-fractures,</w:t>
      </w:r>
      <w:r w:rsidR="006E7203" w:rsidRPr="005B6095">
        <w:rPr>
          <w:rFonts w:ascii="Times New Roman" w:hAnsi="Times New Roman" w:cs="Times New Roman"/>
          <w:sz w:val="24"/>
          <w:szCs w:val="24"/>
        </w:rPr>
        <w:t xml:space="preserve"> which creates viable </w:t>
      </w:r>
      <w:r w:rsidR="00931BA0" w:rsidRPr="005B6095">
        <w:rPr>
          <w:rFonts w:ascii="Times New Roman" w:hAnsi="Times New Roman" w:cs="Times New Roman"/>
          <w:sz w:val="24"/>
          <w:szCs w:val="24"/>
        </w:rPr>
        <w:t xml:space="preserve">interfacial </w:t>
      </w:r>
      <w:r w:rsidR="006E7203" w:rsidRPr="005B6095">
        <w:rPr>
          <w:rFonts w:ascii="Times New Roman" w:hAnsi="Times New Roman" w:cs="Times New Roman"/>
          <w:sz w:val="24"/>
          <w:szCs w:val="24"/>
        </w:rPr>
        <w:t>adhesion</w:t>
      </w:r>
      <w:r w:rsidR="00931BA0" w:rsidRPr="005B6095">
        <w:rPr>
          <w:rFonts w:ascii="Times New Roman" w:hAnsi="Times New Roman" w:cs="Times New Roman"/>
          <w:sz w:val="24"/>
          <w:szCs w:val="24"/>
        </w:rPr>
        <w:t xml:space="preserve"> in composite matrices. EDX results demonstrated a carbon-rich surf</w:t>
      </w:r>
      <w:r w:rsidR="006E7203" w:rsidRPr="005B6095">
        <w:rPr>
          <w:rFonts w:ascii="Times New Roman" w:hAnsi="Times New Roman" w:cs="Times New Roman"/>
          <w:sz w:val="24"/>
          <w:szCs w:val="24"/>
        </w:rPr>
        <w:t>ace with trace mineral elements</w:t>
      </w:r>
      <w:r w:rsidR="00931BA0" w:rsidRPr="005B6095">
        <w:rPr>
          <w:rFonts w:ascii="Times New Roman" w:hAnsi="Times New Roman" w:cs="Times New Roman"/>
          <w:sz w:val="24"/>
          <w:szCs w:val="24"/>
        </w:rPr>
        <w:t xml:space="preserve">. </w:t>
      </w:r>
      <w:r w:rsidR="00285CC2" w:rsidRPr="005B6095">
        <w:rPr>
          <w:rFonts w:ascii="Times New Roman" w:hAnsi="Times New Roman" w:cs="Times New Roman"/>
          <w:sz w:val="24"/>
          <w:szCs w:val="24"/>
        </w:rPr>
        <w:t>Taken together, these results highlight the potential of avocado seed waste as a possibly viable additive in biodegradable composites, heat-resistant materials, and sustainable bio</w:t>
      </w:r>
      <w:r w:rsidR="008623DC">
        <w:rPr>
          <w:rFonts w:ascii="Times New Roman" w:hAnsi="Times New Roman" w:cs="Times New Roman"/>
          <w:sz w:val="24"/>
          <w:szCs w:val="24"/>
        </w:rPr>
        <w:t>-</w:t>
      </w:r>
      <w:r w:rsidR="00285CC2" w:rsidRPr="005B6095">
        <w:rPr>
          <w:rFonts w:ascii="Times New Roman" w:hAnsi="Times New Roman" w:cs="Times New Roman"/>
          <w:sz w:val="24"/>
          <w:szCs w:val="24"/>
        </w:rPr>
        <w:t>products.</w:t>
      </w:r>
    </w:p>
    <w:p w14:paraId="211402AA" w14:textId="77777777" w:rsidR="00F4267E" w:rsidRDefault="00F4267E" w:rsidP="00492CE0">
      <w:pPr>
        <w:spacing w:after="0" w:line="240" w:lineRule="auto"/>
        <w:jc w:val="both"/>
        <w:rPr>
          <w:rFonts w:ascii="Times New Roman" w:hAnsi="Times New Roman" w:cs="Times New Roman"/>
          <w:b/>
          <w:sz w:val="24"/>
          <w:szCs w:val="24"/>
        </w:rPr>
      </w:pPr>
    </w:p>
    <w:p w14:paraId="17B6E942" w14:textId="77777777" w:rsidR="001D3580" w:rsidRDefault="001D3580" w:rsidP="00492CE0">
      <w:pPr>
        <w:spacing w:after="0" w:line="240" w:lineRule="auto"/>
        <w:jc w:val="both"/>
        <w:rPr>
          <w:rFonts w:ascii="Times New Roman" w:hAnsi="Times New Roman" w:cs="Times New Roman"/>
          <w:b/>
          <w:sz w:val="24"/>
          <w:szCs w:val="24"/>
        </w:rPr>
      </w:pPr>
    </w:p>
    <w:p w14:paraId="5F1F56FA" w14:textId="77777777" w:rsidR="00285CC2" w:rsidRPr="00AA14EE" w:rsidRDefault="00285CC2" w:rsidP="00492CE0">
      <w:pPr>
        <w:spacing w:after="0" w:line="240" w:lineRule="auto"/>
        <w:jc w:val="both"/>
        <w:rPr>
          <w:rFonts w:ascii="Times New Roman" w:hAnsi="Times New Roman" w:cs="Times New Roman"/>
          <w:sz w:val="24"/>
          <w:szCs w:val="24"/>
        </w:rPr>
      </w:pPr>
      <w:r w:rsidRPr="005B6095">
        <w:rPr>
          <w:rFonts w:ascii="Times New Roman" w:hAnsi="Times New Roman" w:cs="Times New Roman"/>
          <w:b/>
          <w:sz w:val="24"/>
          <w:szCs w:val="24"/>
        </w:rPr>
        <w:t>Keywords:</w:t>
      </w:r>
      <w:r w:rsidRPr="005B6095">
        <w:rPr>
          <w:rFonts w:ascii="Times New Roman" w:hAnsi="Times New Roman" w:cs="Times New Roman"/>
          <w:sz w:val="24"/>
          <w:szCs w:val="24"/>
        </w:rPr>
        <w:t xml:space="preserve"> </w:t>
      </w:r>
      <w:r w:rsidRPr="005B6095">
        <w:rPr>
          <w:rFonts w:ascii="Times New Roman" w:hAnsi="Times New Roman" w:cs="Times New Roman"/>
          <w:bCs/>
          <w:iCs/>
          <w:sz w:val="24"/>
          <w:szCs w:val="24"/>
        </w:rPr>
        <w:t xml:space="preserve">Avocado, </w:t>
      </w:r>
      <w:proofErr w:type="spellStart"/>
      <w:r w:rsidRPr="005B6095">
        <w:rPr>
          <w:rFonts w:ascii="Times New Roman" w:hAnsi="Times New Roman" w:cs="Times New Roman"/>
          <w:bCs/>
          <w:i/>
          <w:iCs/>
          <w:sz w:val="24"/>
          <w:szCs w:val="24"/>
        </w:rPr>
        <w:t>Persea</w:t>
      </w:r>
      <w:proofErr w:type="spellEnd"/>
      <w:r w:rsidRPr="005B6095">
        <w:rPr>
          <w:rFonts w:ascii="Times New Roman" w:hAnsi="Times New Roman" w:cs="Times New Roman"/>
          <w:bCs/>
          <w:i/>
          <w:iCs/>
          <w:sz w:val="24"/>
          <w:szCs w:val="24"/>
        </w:rPr>
        <w:t xml:space="preserve"> </w:t>
      </w:r>
      <w:proofErr w:type="spellStart"/>
      <w:r w:rsidR="008623DC">
        <w:rPr>
          <w:rFonts w:ascii="Times New Roman" w:hAnsi="Times New Roman" w:cs="Times New Roman"/>
          <w:bCs/>
          <w:i/>
          <w:iCs/>
          <w:sz w:val="24"/>
          <w:szCs w:val="24"/>
        </w:rPr>
        <w:t>a</w:t>
      </w:r>
      <w:r w:rsidR="004050B5" w:rsidRPr="005B6095">
        <w:rPr>
          <w:rFonts w:ascii="Times New Roman" w:hAnsi="Times New Roman" w:cs="Times New Roman"/>
          <w:bCs/>
          <w:i/>
          <w:iCs/>
          <w:sz w:val="24"/>
          <w:szCs w:val="24"/>
        </w:rPr>
        <w:t>mericana</w:t>
      </w:r>
      <w:proofErr w:type="spellEnd"/>
      <w:r w:rsidR="004050B5" w:rsidRPr="005B6095">
        <w:rPr>
          <w:rFonts w:ascii="Times New Roman" w:hAnsi="Times New Roman" w:cs="Times New Roman"/>
          <w:bCs/>
          <w:iCs/>
          <w:sz w:val="24"/>
          <w:szCs w:val="24"/>
        </w:rPr>
        <w:t>, Biopolymers,</w:t>
      </w:r>
      <w:r w:rsidR="004050B5" w:rsidRPr="005B6095">
        <w:rPr>
          <w:rFonts w:ascii="Times New Roman" w:hAnsi="Times New Roman" w:cs="Times New Roman"/>
          <w:b/>
          <w:bCs/>
          <w:iCs/>
          <w:sz w:val="24"/>
          <w:szCs w:val="24"/>
        </w:rPr>
        <w:t xml:space="preserve"> </w:t>
      </w:r>
      <w:r w:rsidR="008623DC" w:rsidRPr="005B6095">
        <w:rPr>
          <w:rFonts w:ascii="Times New Roman" w:hAnsi="Times New Roman" w:cs="Times New Roman"/>
          <w:sz w:val="24"/>
          <w:szCs w:val="24"/>
        </w:rPr>
        <w:t>Valorisation</w:t>
      </w:r>
      <w:r w:rsidR="001719D4" w:rsidRPr="005B6095">
        <w:rPr>
          <w:rFonts w:ascii="Times New Roman" w:hAnsi="Times New Roman" w:cs="Times New Roman"/>
          <w:sz w:val="24"/>
          <w:szCs w:val="24"/>
        </w:rPr>
        <w:t>, Agro-waste</w:t>
      </w:r>
      <w:r w:rsidR="00F4267E">
        <w:rPr>
          <w:rFonts w:ascii="Times New Roman" w:hAnsi="Times New Roman" w:cs="Times New Roman"/>
          <w:sz w:val="24"/>
          <w:szCs w:val="24"/>
        </w:rPr>
        <w:t>, Lignocellulose</w:t>
      </w:r>
    </w:p>
    <w:p w14:paraId="50589208" w14:textId="77777777" w:rsidR="00F4267E" w:rsidRDefault="00F4267E" w:rsidP="00492CE0">
      <w:pPr>
        <w:spacing w:after="0" w:line="360" w:lineRule="auto"/>
        <w:jc w:val="both"/>
        <w:rPr>
          <w:rFonts w:ascii="Times New Roman" w:hAnsi="Times New Roman" w:cs="Times New Roman"/>
          <w:b/>
          <w:bCs/>
          <w:sz w:val="24"/>
          <w:szCs w:val="24"/>
        </w:rPr>
      </w:pPr>
    </w:p>
    <w:p w14:paraId="70E7153E" w14:textId="77777777" w:rsidR="001D3580" w:rsidRDefault="001D3580" w:rsidP="00492CE0">
      <w:pPr>
        <w:spacing w:after="0" w:line="480" w:lineRule="auto"/>
        <w:jc w:val="both"/>
        <w:rPr>
          <w:rFonts w:ascii="Times New Roman" w:hAnsi="Times New Roman" w:cs="Times New Roman"/>
          <w:b/>
          <w:bCs/>
          <w:sz w:val="24"/>
          <w:szCs w:val="24"/>
        </w:rPr>
      </w:pPr>
    </w:p>
    <w:p w14:paraId="6C26F1A5"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INTRODUCTION</w:t>
      </w:r>
    </w:p>
    <w:p w14:paraId="2D11262D" w14:textId="77777777" w:rsidR="00931BA0" w:rsidRPr="005B6095" w:rsidRDefault="009E0C3B"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As</w:t>
      </w:r>
      <w:r w:rsidR="00931BA0" w:rsidRPr="005B6095">
        <w:rPr>
          <w:rFonts w:ascii="Times New Roman" w:hAnsi="Times New Roman" w:cs="Times New Roman"/>
          <w:sz w:val="24"/>
          <w:szCs w:val="24"/>
        </w:rPr>
        <w:t xml:space="preserve"> </w:t>
      </w:r>
      <w:r w:rsidRPr="005B6095">
        <w:rPr>
          <w:rFonts w:ascii="Times New Roman" w:hAnsi="Times New Roman" w:cs="Times New Roman"/>
          <w:sz w:val="24"/>
          <w:szCs w:val="24"/>
        </w:rPr>
        <w:t xml:space="preserve">the attention on </w:t>
      </w:r>
      <w:r w:rsidR="00931BA0" w:rsidRPr="005B6095">
        <w:rPr>
          <w:rFonts w:ascii="Times New Roman" w:hAnsi="Times New Roman" w:cs="Times New Roman"/>
          <w:sz w:val="24"/>
          <w:szCs w:val="24"/>
        </w:rPr>
        <w:t xml:space="preserve">sustainability and the circular economy </w:t>
      </w:r>
      <w:r w:rsidRPr="005B6095">
        <w:rPr>
          <w:rFonts w:ascii="Times New Roman" w:hAnsi="Times New Roman" w:cs="Times New Roman"/>
          <w:sz w:val="24"/>
          <w:szCs w:val="24"/>
        </w:rPr>
        <w:t xml:space="preserve">keeps increasing globally, </w:t>
      </w:r>
      <w:r w:rsidR="00547A2B" w:rsidRPr="005B6095">
        <w:rPr>
          <w:rFonts w:ascii="Times New Roman" w:hAnsi="Times New Roman" w:cs="Times New Roman"/>
          <w:sz w:val="24"/>
          <w:szCs w:val="24"/>
        </w:rPr>
        <w:t xml:space="preserve">the research into </w:t>
      </w:r>
      <w:r w:rsidR="00931BA0" w:rsidRPr="005B6095">
        <w:rPr>
          <w:rFonts w:ascii="Times New Roman" w:hAnsi="Times New Roman" w:cs="Times New Roman"/>
          <w:sz w:val="24"/>
          <w:szCs w:val="24"/>
        </w:rPr>
        <w:t>innovative uses of agro-waste and underutilized biomaterials</w:t>
      </w:r>
      <w:r w:rsidR="00547A2B" w:rsidRPr="005B6095">
        <w:rPr>
          <w:rFonts w:ascii="Times New Roman" w:hAnsi="Times New Roman" w:cs="Times New Roman"/>
          <w:sz w:val="24"/>
          <w:szCs w:val="24"/>
        </w:rPr>
        <w:t xml:space="preserve"> has intensified</w:t>
      </w:r>
      <w:r w:rsidR="00931BA0" w:rsidRPr="005B6095">
        <w:rPr>
          <w:rFonts w:ascii="Times New Roman" w:hAnsi="Times New Roman" w:cs="Times New Roman"/>
          <w:sz w:val="24"/>
          <w:szCs w:val="24"/>
        </w:rPr>
        <w:t>.</w:t>
      </w:r>
      <w:r w:rsidR="00412742">
        <w:rPr>
          <w:rFonts w:ascii="Times New Roman" w:hAnsi="Times New Roman" w:cs="Times New Roman"/>
          <w:sz w:val="24"/>
          <w:szCs w:val="24"/>
          <w:vertAlign w:val="superscript"/>
        </w:rPr>
        <w:t>1,</w:t>
      </w:r>
      <w:r w:rsidR="00412742" w:rsidRPr="00412742">
        <w:rPr>
          <w:rFonts w:ascii="Times New Roman" w:hAnsi="Times New Roman" w:cs="Times New Roman"/>
          <w:sz w:val="24"/>
          <w:szCs w:val="24"/>
          <w:vertAlign w:val="superscript"/>
        </w:rPr>
        <w:t>2</w:t>
      </w:r>
      <w:r w:rsidR="00931BA0" w:rsidRPr="005B6095">
        <w:rPr>
          <w:rFonts w:ascii="Times New Roman" w:hAnsi="Times New Roman" w:cs="Times New Roman"/>
          <w:sz w:val="24"/>
          <w:szCs w:val="24"/>
        </w:rPr>
        <w:t xml:space="preserve"> Among these, avocado (</w:t>
      </w:r>
      <w:r w:rsidR="00931BA0" w:rsidRPr="005B6095">
        <w:rPr>
          <w:rFonts w:ascii="Times New Roman" w:hAnsi="Times New Roman" w:cs="Times New Roman"/>
          <w:i/>
          <w:sz w:val="24"/>
          <w:szCs w:val="24"/>
        </w:rPr>
        <w:t>Persea americana</w:t>
      </w:r>
      <w:r w:rsidR="00931BA0" w:rsidRPr="005B6095">
        <w:rPr>
          <w:rFonts w:ascii="Times New Roman" w:hAnsi="Times New Roman" w:cs="Times New Roman"/>
          <w:sz w:val="24"/>
          <w:szCs w:val="24"/>
        </w:rPr>
        <w:t>) seeds</w:t>
      </w:r>
      <w:r w:rsidR="00547A2B" w:rsidRPr="005B6095">
        <w:rPr>
          <w:rFonts w:ascii="Times New Roman" w:hAnsi="Times New Roman" w:cs="Times New Roman"/>
          <w:sz w:val="24"/>
          <w:szCs w:val="24"/>
        </w:rPr>
        <w:t xml:space="preserve"> represent a significant quantity of wastes generated during</w:t>
      </w:r>
      <w:r w:rsidR="00931BA0" w:rsidRPr="005B6095">
        <w:rPr>
          <w:rFonts w:ascii="Times New Roman" w:hAnsi="Times New Roman" w:cs="Times New Roman"/>
          <w:sz w:val="24"/>
          <w:szCs w:val="24"/>
        </w:rPr>
        <w:t xml:space="preserve"> fruit processing, </w:t>
      </w:r>
      <w:r w:rsidR="00843547" w:rsidRPr="005B6095">
        <w:rPr>
          <w:rFonts w:ascii="Times New Roman" w:hAnsi="Times New Roman" w:cs="Times New Roman"/>
          <w:sz w:val="24"/>
          <w:szCs w:val="24"/>
        </w:rPr>
        <w:t>which are normally</w:t>
      </w:r>
      <w:r w:rsidR="00931BA0" w:rsidRPr="005B6095">
        <w:rPr>
          <w:rFonts w:ascii="Times New Roman" w:hAnsi="Times New Roman" w:cs="Times New Roman"/>
          <w:sz w:val="24"/>
          <w:szCs w:val="24"/>
        </w:rPr>
        <w:t xml:space="preserve"> </w:t>
      </w:r>
      <w:r w:rsidR="00843547" w:rsidRPr="005B6095">
        <w:rPr>
          <w:rFonts w:ascii="Times New Roman" w:hAnsi="Times New Roman" w:cs="Times New Roman"/>
          <w:sz w:val="24"/>
          <w:szCs w:val="24"/>
        </w:rPr>
        <w:t>disposed</w:t>
      </w:r>
      <w:r w:rsidR="00931BA0" w:rsidRPr="005B6095">
        <w:rPr>
          <w:rFonts w:ascii="Times New Roman" w:hAnsi="Times New Roman" w:cs="Times New Roman"/>
          <w:sz w:val="24"/>
          <w:szCs w:val="24"/>
        </w:rPr>
        <w:t xml:space="preserve"> despite being rich in bioactive compounds and</w:t>
      </w:r>
      <w:r w:rsidR="00843547" w:rsidRPr="005B6095">
        <w:rPr>
          <w:rFonts w:ascii="Times New Roman" w:hAnsi="Times New Roman" w:cs="Times New Roman"/>
          <w:sz w:val="24"/>
          <w:szCs w:val="24"/>
        </w:rPr>
        <w:t xml:space="preserve"> theoretically possible fillers for</w:t>
      </w:r>
      <w:r w:rsidR="00931BA0" w:rsidRPr="005B6095">
        <w:rPr>
          <w:rFonts w:ascii="Times New Roman" w:hAnsi="Times New Roman" w:cs="Times New Roman"/>
          <w:sz w:val="24"/>
          <w:szCs w:val="24"/>
        </w:rPr>
        <w:t xml:space="preserve"> structural</w:t>
      </w:r>
      <w:r w:rsidR="004050B5" w:rsidRPr="005B6095">
        <w:rPr>
          <w:rFonts w:ascii="Times New Roman" w:hAnsi="Times New Roman" w:cs="Times New Roman"/>
          <w:sz w:val="24"/>
          <w:szCs w:val="24"/>
        </w:rPr>
        <w:t>ly reinforce</w:t>
      </w:r>
      <w:r w:rsidR="00843547" w:rsidRPr="005B6095">
        <w:rPr>
          <w:rFonts w:ascii="Times New Roman" w:hAnsi="Times New Roman" w:cs="Times New Roman"/>
          <w:sz w:val="24"/>
          <w:szCs w:val="24"/>
        </w:rPr>
        <w:t>d</w:t>
      </w:r>
      <w:r w:rsidR="00931BA0" w:rsidRPr="005B6095">
        <w:rPr>
          <w:rFonts w:ascii="Times New Roman" w:hAnsi="Times New Roman" w:cs="Times New Roman"/>
          <w:sz w:val="24"/>
          <w:szCs w:val="24"/>
        </w:rPr>
        <w:t xml:space="preserve"> biopolymers.</w:t>
      </w:r>
      <w:r w:rsidR="00412742">
        <w:rPr>
          <w:rFonts w:ascii="Times New Roman" w:hAnsi="Times New Roman" w:cs="Times New Roman"/>
          <w:sz w:val="24"/>
          <w:szCs w:val="24"/>
          <w:vertAlign w:val="superscript"/>
        </w:rPr>
        <w:t>3,</w:t>
      </w:r>
      <w:r w:rsidR="00412742" w:rsidRPr="00412742">
        <w:rPr>
          <w:rFonts w:ascii="Times New Roman" w:hAnsi="Times New Roman" w:cs="Times New Roman"/>
          <w:sz w:val="24"/>
          <w:szCs w:val="24"/>
          <w:vertAlign w:val="superscript"/>
        </w:rPr>
        <w:t>4</w:t>
      </w:r>
      <w:r w:rsidR="00931BA0" w:rsidRPr="005B6095">
        <w:rPr>
          <w:rFonts w:ascii="Times New Roman" w:hAnsi="Times New Roman" w:cs="Times New Roman"/>
          <w:sz w:val="24"/>
          <w:szCs w:val="24"/>
        </w:rPr>
        <w:t xml:space="preserve"> </w:t>
      </w:r>
      <w:r w:rsidR="00A621C8" w:rsidRPr="005B6095">
        <w:rPr>
          <w:rFonts w:ascii="Times New Roman" w:hAnsi="Times New Roman" w:cs="Times New Roman"/>
          <w:sz w:val="24"/>
          <w:szCs w:val="24"/>
        </w:rPr>
        <w:t xml:space="preserve">With the continuous increase in </w:t>
      </w:r>
      <w:r w:rsidR="00931BA0" w:rsidRPr="005B6095">
        <w:rPr>
          <w:rFonts w:ascii="Times New Roman" w:hAnsi="Times New Roman" w:cs="Times New Roman"/>
          <w:sz w:val="24"/>
          <w:szCs w:val="24"/>
        </w:rPr>
        <w:t>global</w:t>
      </w:r>
      <w:r w:rsidR="00A621C8" w:rsidRPr="005B6095">
        <w:rPr>
          <w:rFonts w:ascii="Times New Roman" w:hAnsi="Times New Roman" w:cs="Times New Roman"/>
          <w:sz w:val="24"/>
          <w:szCs w:val="24"/>
        </w:rPr>
        <w:t xml:space="preserve"> production of</w:t>
      </w:r>
      <w:r w:rsidR="00931BA0" w:rsidRPr="005B6095">
        <w:rPr>
          <w:rFonts w:ascii="Times New Roman" w:hAnsi="Times New Roman" w:cs="Times New Roman"/>
          <w:sz w:val="24"/>
          <w:szCs w:val="24"/>
        </w:rPr>
        <w:t xml:space="preserve"> avocado</w:t>
      </w:r>
      <w:r w:rsidR="00A621C8" w:rsidRPr="005B6095">
        <w:rPr>
          <w:rFonts w:ascii="Times New Roman" w:hAnsi="Times New Roman" w:cs="Times New Roman"/>
          <w:sz w:val="24"/>
          <w:szCs w:val="24"/>
        </w:rPr>
        <w:t>s due to its growing demand</w:t>
      </w:r>
      <w:r w:rsidR="00931BA0" w:rsidRPr="005B6095">
        <w:rPr>
          <w:rFonts w:ascii="Times New Roman" w:hAnsi="Times New Roman" w:cs="Times New Roman"/>
          <w:sz w:val="24"/>
          <w:szCs w:val="24"/>
        </w:rPr>
        <w:t xml:space="preserve"> in food, cosmetic, and nutraceutical industries, managing the resulting seed waste has </w:t>
      </w:r>
      <w:r w:rsidR="00A621C8" w:rsidRPr="005B6095">
        <w:rPr>
          <w:rFonts w:ascii="Times New Roman" w:hAnsi="Times New Roman" w:cs="Times New Roman"/>
          <w:sz w:val="24"/>
          <w:szCs w:val="24"/>
        </w:rPr>
        <w:t>led to both</w:t>
      </w:r>
      <w:r w:rsidR="00931BA0" w:rsidRPr="005B6095">
        <w:rPr>
          <w:rFonts w:ascii="Times New Roman" w:hAnsi="Times New Roman" w:cs="Times New Roman"/>
          <w:sz w:val="24"/>
          <w:szCs w:val="24"/>
        </w:rPr>
        <w:t xml:space="preserve"> environmental and economic concern</w:t>
      </w:r>
      <w:r w:rsidR="00A621C8" w:rsidRPr="005B6095">
        <w:rPr>
          <w:rFonts w:ascii="Times New Roman" w:hAnsi="Times New Roman" w:cs="Times New Roman"/>
          <w:sz w:val="24"/>
          <w:szCs w:val="24"/>
        </w:rPr>
        <w:t>s</w:t>
      </w:r>
      <w:r w:rsidR="00931BA0" w:rsidRPr="005B6095">
        <w:rPr>
          <w:rFonts w:ascii="Times New Roman" w:hAnsi="Times New Roman" w:cs="Times New Roman"/>
          <w:sz w:val="24"/>
          <w:szCs w:val="24"/>
        </w:rPr>
        <w:t>.</w:t>
      </w:r>
      <w:r w:rsidR="00412742">
        <w:rPr>
          <w:rFonts w:ascii="Times New Roman" w:hAnsi="Times New Roman" w:cs="Times New Roman"/>
          <w:sz w:val="24"/>
          <w:szCs w:val="24"/>
          <w:vertAlign w:val="superscript"/>
        </w:rPr>
        <w:t>1,</w:t>
      </w:r>
      <w:r w:rsidR="00412742" w:rsidRPr="00412742">
        <w:rPr>
          <w:rFonts w:ascii="Times New Roman" w:hAnsi="Times New Roman" w:cs="Times New Roman"/>
          <w:sz w:val="24"/>
          <w:szCs w:val="24"/>
          <w:vertAlign w:val="superscript"/>
        </w:rPr>
        <w:t>4</w:t>
      </w:r>
      <w:r w:rsidR="00931BA0" w:rsidRPr="005B6095">
        <w:rPr>
          <w:rFonts w:ascii="Times New Roman" w:hAnsi="Times New Roman" w:cs="Times New Roman"/>
          <w:sz w:val="24"/>
          <w:szCs w:val="24"/>
        </w:rPr>
        <w:t xml:space="preserve"> </w:t>
      </w:r>
      <w:r w:rsidR="00E35A20" w:rsidRPr="005B6095">
        <w:rPr>
          <w:rFonts w:ascii="Times New Roman" w:hAnsi="Times New Roman" w:cs="Times New Roman"/>
          <w:sz w:val="24"/>
          <w:szCs w:val="24"/>
        </w:rPr>
        <w:t>Turning</w:t>
      </w:r>
      <w:r w:rsidR="00931BA0" w:rsidRPr="005B6095">
        <w:rPr>
          <w:rFonts w:ascii="Times New Roman" w:hAnsi="Times New Roman" w:cs="Times New Roman"/>
          <w:sz w:val="24"/>
          <w:szCs w:val="24"/>
        </w:rPr>
        <w:t xml:space="preserve"> this lignocellulosic-rich waste into high-value materials </w:t>
      </w:r>
      <w:r w:rsidR="00E35A20" w:rsidRPr="005B6095">
        <w:rPr>
          <w:rFonts w:ascii="Times New Roman" w:hAnsi="Times New Roman" w:cs="Times New Roman"/>
          <w:sz w:val="24"/>
          <w:szCs w:val="24"/>
        </w:rPr>
        <w:t>is in line</w:t>
      </w:r>
      <w:r w:rsidR="00931BA0" w:rsidRPr="005B6095">
        <w:rPr>
          <w:rFonts w:ascii="Times New Roman" w:hAnsi="Times New Roman" w:cs="Times New Roman"/>
          <w:sz w:val="24"/>
          <w:szCs w:val="24"/>
        </w:rPr>
        <w:t xml:space="preserve"> with waste </w:t>
      </w:r>
      <w:r w:rsidR="008623DC" w:rsidRPr="005B6095">
        <w:rPr>
          <w:rFonts w:ascii="Times New Roman" w:hAnsi="Times New Roman" w:cs="Times New Roman"/>
          <w:sz w:val="24"/>
          <w:szCs w:val="24"/>
        </w:rPr>
        <w:t>valorisation</w:t>
      </w:r>
      <w:r w:rsidR="00931BA0" w:rsidRPr="005B6095">
        <w:rPr>
          <w:rFonts w:ascii="Times New Roman" w:hAnsi="Times New Roman" w:cs="Times New Roman"/>
          <w:sz w:val="24"/>
          <w:szCs w:val="24"/>
        </w:rPr>
        <w:t xml:space="preserve"> strategies and sustainable development </w:t>
      </w:r>
      <w:r w:rsidR="00931BA0" w:rsidRPr="005B6095">
        <w:rPr>
          <w:rFonts w:ascii="Times New Roman" w:hAnsi="Times New Roman" w:cs="Times New Roman"/>
          <w:sz w:val="24"/>
          <w:szCs w:val="24"/>
        </w:rPr>
        <w:lastRenderedPageBreak/>
        <w:t>goals.</w:t>
      </w:r>
      <w:r w:rsidR="00412742" w:rsidRPr="00412742">
        <w:rPr>
          <w:rFonts w:ascii="Times New Roman" w:hAnsi="Times New Roman" w:cs="Times New Roman"/>
          <w:sz w:val="24"/>
          <w:szCs w:val="24"/>
          <w:vertAlign w:val="superscript"/>
        </w:rPr>
        <w:t>2,5</w:t>
      </w:r>
      <w:r w:rsidR="00336720" w:rsidRPr="005B6095">
        <w:rPr>
          <w:rFonts w:ascii="Times New Roman" w:hAnsi="Times New Roman" w:cs="Times New Roman"/>
          <w:sz w:val="24"/>
          <w:szCs w:val="24"/>
        </w:rPr>
        <w:t xml:space="preserve"> </w:t>
      </w:r>
      <w:r w:rsidR="00217872" w:rsidRPr="005B6095">
        <w:rPr>
          <w:rFonts w:ascii="Times New Roman" w:hAnsi="Times New Roman" w:cs="Times New Roman"/>
          <w:sz w:val="24"/>
          <w:szCs w:val="24"/>
        </w:rPr>
        <w:t>E</w:t>
      </w:r>
      <w:r w:rsidR="00931BA0" w:rsidRPr="005B6095">
        <w:rPr>
          <w:rFonts w:ascii="Times New Roman" w:hAnsi="Times New Roman" w:cs="Times New Roman"/>
          <w:sz w:val="24"/>
          <w:szCs w:val="24"/>
        </w:rPr>
        <w:t xml:space="preserve">ffective utilization </w:t>
      </w:r>
      <w:r w:rsidR="00217872" w:rsidRPr="005B6095">
        <w:rPr>
          <w:rFonts w:ascii="Times New Roman" w:hAnsi="Times New Roman" w:cs="Times New Roman"/>
          <w:sz w:val="24"/>
          <w:szCs w:val="24"/>
        </w:rPr>
        <w:t xml:space="preserve">of these seed in biopolymer production </w:t>
      </w:r>
      <w:r w:rsidR="00931BA0" w:rsidRPr="005B6095">
        <w:rPr>
          <w:rFonts w:ascii="Times New Roman" w:hAnsi="Times New Roman" w:cs="Times New Roman"/>
          <w:sz w:val="24"/>
          <w:szCs w:val="24"/>
        </w:rPr>
        <w:t xml:space="preserve">requires a detailed understanding of their physicochemical, thermal, and morphological properties to </w:t>
      </w:r>
      <w:r w:rsidR="00217872" w:rsidRPr="005B6095">
        <w:rPr>
          <w:rFonts w:ascii="Times New Roman" w:hAnsi="Times New Roman" w:cs="Times New Roman"/>
          <w:sz w:val="24"/>
          <w:szCs w:val="24"/>
        </w:rPr>
        <w:t xml:space="preserve">aid efficient </w:t>
      </w:r>
      <w:r w:rsidR="00931BA0" w:rsidRPr="005B6095">
        <w:rPr>
          <w:rFonts w:ascii="Times New Roman" w:hAnsi="Times New Roman" w:cs="Times New Roman"/>
          <w:sz w:val="24"/>
          <w:szCs w:val="24"/>
        </w:rPr>
        <w:t>formulation design and performance predictability in end-use applications.</w:t>
      </w:r>
      <w:r w:rsidR="00412742" w:rsidRPr="00412742">
        <w:rPr>
          <w:rFonts w:ascii="Times New Roman" w:hAnsi="Times New Roman" w:cs="Times New Roman"/>
          <w:sz w:val="24"/>
          <w:szCs w:val="24"/>
          <w:vertAlign w:val="superscript"/>
        </w:rPr>
        <w:t>6,7</w:t>
      </w:r>
    </w:p>
    <w:p w14:paraId="05F26118" w14:textId="77777777" w:rsidR="008C179F" w:rsidRPr="005B6095" w:rsidRDefault="00931BA0"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This</w:t>
      </w:r>
      <w:r w:rsidR="003314E4" w:rsidRPr="005B6095">
        <w:rPr>
          <w:rFonts w:ascii="Times New Roman" w:hAnsi="Times New Roman" w:cs="Times New Roman"/>
          <w:sz w:val="24"/>
          <w:szCs w:val="24"/>
        </w:rPr>
        <w:t xml:space="preserve"> </w:t>
      </w:r>
      <w:r w:rsidR="003314E4">
        <w:rPr>
          <w:rFonts w:ascii="Times New Roman" w:hAnsi="Times New Roman" w:cs="Times New Roman"/>
          <w:sz w:val="24"/>
          <w:szCs w:val="24"/>
        </w:rPr>
        <w:t>research contains the following analyses on the avocado seed powder, pH level, solubility analysis, functional group characterization using FTIR spectroscopy,</w:t>
      </w:r>
      <w:r w:rsidRPr="005B6095">
        <w:rPr>
          <w:rFonts w:ascii="Times New Roman" w:hAnsi="Times New Roman" w:cs="Times New Roman"/>
          <w:sz w:val="24"/>
          <w:szCs w:val="24"/>
        </w:rPr>
        <w:t xml:space="preserve"> thermal </w:t>
      </w:r>
      <w:r w:rsidR="003314E4">
        <w:rPr>
          <w:rFonts w:ascii="Times New Roman" w:hAnsi="Times New Roman" w:cs="Times New Roman"/>
          <w:sz w:val="24"/>
          <w:szCs w:val="24"/>
        </w:rPr>
        <w:t>analysis using</w:t>
      </w:r>
      <w:r w:rsidRPr="005B6095">
        <w:rPr>
          <w:rFonts w:ascii="Times New Roman" w:hAnsi="Times New Roman" w:cs="Times New Roman"/>
          <w:sz w:val="24"/>
          <w:szCs w:val="24"/>
        </w:rPr>
        <w:t xml:space="preserve"> </w:t>
      </w:r>
      <w:r w:rsidR="003314E4">
        <w:rPr>
          <w:rFonts w:ascii="Times New Roman" w:hAnsi="Times New Roman" w:cs="Times New Roman"/>
          <w:sz w:val="24"/>
          <w:szCs w:val="24"/>
        </w:rPr>
        <w:t>TGA/DTA</w:t>
      </w:r>
      <w:r w:rsidRPr="005B6095">
        <w:rPr>
          <w:rFonts w:ascii="Times New Roman" w:hAnsi="Times New Roman" w:cs="Times New Roman"/>
          <w:sz w:val="24"/>
          <w:szCs w:val="24"/>
        </w:rPr>
        <w:t xml:space="preserve">, morphology </w:t>
      </w:r>
      <w:r w:rsidR="003314E4">
        <w:rPr>
          <w:rFonts w:ascii="Times New Roman" w:hAnsi="Times New Roman" w:cs="Times New Roman"/>
          <w:sz w:val="24"/>
          <w:szCs w:val="24"/>
        </w:rPr>
        <w:t>study</w:t>
      </w:r>
      <w:r w:rsidR="007E10AB" w:rsidRPr="005B6095">
        <w:rPr>
          <w:rFonts w:ascii="Times New Roman" w:hAnsi="Times New Roman" w:cs="Times New Roman"/>
          <w:sz w:val="24"/>
          <w:szCs w:val="24"/>
        </w:rPr>
        <w:t xml:space="preserve"> </w:t>
      </w:r>
      <w:r w:rsidRPr="005B6095">
        <w:rPr>
          <w:rFonts w:ascii="Times New Roman" w:hAnsi="Times New Roman" w:cs="Times New Roman"/>
          <w:sz w:val="24"/>
          <w:szCs w:val="24"/>
        </w:rPr>
        <w:t xml:space="preserve">using </w:t>
      </w:r>
      <w:r w:rsidR="003314E4">
        <w:rPr>
          <w:rFonts w:ascii="Times New Roman" w:hAnsi="Times New Roman" w:cs="Times New Roman"/>
          <w:sz w:val="24"/>
          <w:szCs w:val="24"/>
        </w:rPr>
        <w:t>SEM</w:t>
      </w:r>
      <w:r w:rsidRPr="005B6095">
        <w:rPr>
          <w:rFonts w:ascii="Times New Roman" w:hAnsi="Times New Roman" w:cs="Times New Roman"/>
          <w:sz w:val="24"/>
          <w:szCs w:val="24"/>
        </w:rPr>
        <w:t xml:space="preserve">, and elemental composition </w:t>
      </w:r>
      <w:r w:rsidR="003314E4">
        <w:rPr>
          <w:rFonts w:ascii="Times New Roman" w:hAnsi="Times New Roman" w:cs="Times New Roman"/>
          <w:sz w:val="24"/>
          <w:szCs w:val="24"/>
        </w:rPr>
        <w:t xml:space="preserve">using </w:t>
      </w:r>
      <w:r w:rsidRPr="005B6095">
        <w:rPr>
          <w:rFonts w:ascii="Times New Roman" w:hAnsi="Times New Roman" w:cs="Times New Roman"/>
          <w:sz w:val="24"/>
          <w:szCs w:val="24"/>
        </w:rPr>
        <w:t>EDX.</w:t>
      </w:r>
      <w:r w:rsidR="003314E4">
        <w:rPr>
          <w:rFonts w:ascii="Times New Roman" w:hAnsi="Times New Roman" w:cs="Times New Roman"/>
          <w:sz w:val="24"/>
          <w:szCs w:val="24"/>
        </w:rPr>
        <w:t xml:space="preserve"> This </w:t>
      </w:r>
      <w:r w:rsidR="009C347A">
        <w:rPr>
          <w:rFonts w:ascii="Times New Roman" w:hAnsi="Times New Roman" w:cs="Times New Roman"/>
          <w:sz w:val="24"/>
          <w:szCs w:val="24"/>
        </w:rPr>
        <w:t>shows its</w:t>
      </w:r>
      <w:r w:rsidR="003314E4">
        <w:rPr>
          <w:rFonts w:ascii="Times New Roman" w:hAnsi="Times New Roman" w:cs="Times New Roman"/>
          <w:sz w:val="24"/>
          <w:szCs w:val="24"/>
        </w:rPr>
        <w:t xml:space="preserve"> viability, chemical reactivity, mechanical strength, and thermal stability which </w:t>
      </w:r>
      <w:r w:rsidR="009C347A">
        <w:rPr>
          <w:rFonts w:ascii="Times New Roman" w:hAnsi="Times New Roman" w:cs="Times New Roman"/>
          <w:sz w:val="24"/>
          <w:szCs w:val="24"/>
        </w:rPr>
        <w:t>provides insight its effect when incorporated in biodegradable composites</w:t>
      </w:r>
      <w:r w:rsidR="00FF6C6A">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8</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10</w:t>
      </w:r>
    </w:p>
    <w:p w14:paraId="3E8399E7" w14:textId="77777777" w:rsidR="001D3580" w:rsidRDefault="001D3580" w:rsidP="00492CE0">
      <w:pPr>
        <w:spacing w:after="0" w:line="480" w:lineRule="auto"/>
        <w:jc w:val="both"/>
        <w:rPr>
          <w:rFonts w:ascii="Times New Roman" w:hAnsi="Times New Roman" w:cs="Times New Roman"/>
          <w:b/>
          <w:bCs/>
          <w:sz w:val="24"/>
          <w:szCs w:val="24"/>
        </w:rPr>
      </w:pPr>
    </w:p>
    <w:p w14:paraId="59B417FF"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MATERIALS AND METHODS</w:t>
      </w:r>
    </w:p>
    <w:p w14:paraId="6D096CBF"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Sample Preparation</w:t>
      </w:r>
    </w:p>
    <w:p w14:paraId="1D9DD6CC" w14:textId="77777777" w:rsidR="002A4B97" w:rsidRPr="005B6095" w:rsidRDefault="00421837" w:rsidP="00492CE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Avocado pear was sourced from</w:t>
      </w:r>
      <w:r w:rsidR="002A4B97" w:rsidRPr="005B6095">
        <w:rPr>
          <w:rFonts w:ascii="Times New Roman" w:hAnsi="Times New Roman" w:cs="Times New Roman"/>
          <w:bCs/>
          <w:sz w:val="24"/>
          <w:szCs w:val="24"/>
        </w:rPr>
        <w:t xml:space="preserve"> </w:t>
      </w:r>
      <w:proofErr w:type="spellStart"/>
      <w:r w:rsidR="00AE724E" w:rsidRPr="005B6095">
        <w:rPr>
          <w:rFonts w:ascii="Times New Roman" w:hAnsi="Times New Roman" w:cs="Times New Roman"/>
          <w:bCs/>
          <w:sz w:val="24"/>
          <w:szCs w:val="24"/>
        </w:rPr>
        <w:t>Ekwulobia</w:t>
      </w:r>
      <w:proofErr w:type="spellEnd"/>
      <w:r w:rsidR="002A4B97" w:rsidRPr="005B6095">
        <w:rPr>
          <w:rFonts w:ascii="Times New Roman" w:hAnsi="Times New Roman" w:cs="Times New Roman"/>
          <w:bCs/>
          <w:sz w:val="24"/>
          <w:szCs w:val="24"/>
        </w:rPr>
        <w:t xml:space="preserve">, Nigeria. The seeds were </w:t>
      </w:r>
      <w:r>
        <w:rPr>
          <w:rFonts w:ascii="Times New Roman" w:hAnsi="Times New Roman" w:cs="Times New Roman"/>
          <w:bCs/>
          <w:sz w:val="24"/>
          <w:szCs w:val="24"/>
        </w:rPr>
        <w:t xml:space="preserve">then </w:t>
      </w:r>
      <w:r w:rsidR="002A4B97" w:rsidRPr="005B6095">
        <w:rPr>
          <w:rFonts w:ascii="Times New Roman" w:hAnsi="Times New Roman" w:cs="Times New Roman"/>
          <w:bCs/>
          <w:sz w:val="24"/>
          <w:szCs w:val="24"/>
        </w:rPr>
        <w:t xml:space="preserve">extracted, washed, sliced, and oven-dried at 60 °C for </w:t>
      </w:r>
      <w:r w:rsidR="00A171A6">
        <w:rPr>
          <w:rFonts w:ascii="Times New Roman" w:hAnsi="Times New Roman" w:cs="Times New Roman"/>
          <w:bCs/>
          <w:sz w:val="24"/>
          <w:szCs w:val="24"/>
        </w:rPr>
        <w:t xml:space="preserve">about </w:t>
      </w:r>
      <w:r w:rsidR="002A4B97" w:rsidRPr="005B6095">
        <w:rPr>
          <w:rFonts w:ascii="Times New Roman" w:hAnsi="Times New Roman" w:cs="Times New Roman"/>
          <w:bCs/>
          <w:sz w:val="24"/>
          <w:szCs w:val="24"/>
        </w:rPr>
        <w:t xml:space="preserve">72 hours. </w:t>
      </w:r>
      <w:r w:rsidR="00AE724E" w:rsidRPr="005B6095">
        <w:rPr>
          <w:rFonts w:ascii="Times New Roman" w:hAnsi="Times New Roman" w:cs="Times New Roman"/>
          <w:bCs/>
          <w:sz w:val="24"/>
          <w:szCs w:val="24"/>
        </w:rPr>
        <w:t>The d</w:t>
      </w:r>
      <w:r w:rsidR="002A4B97" w:rsidRPr="005B6095">
        <w:rPr>
          <w:rFonts w:ascii="Times New Roman" w:hAnsi="Times New Roman" w:cs="Times New Roman"/>
          <w:bCs/>
          <w:sz w:val="24"/>
          <w:szCs w:val="24"/>
        </w:rPr>
        <w:t xml:space="preserve">ried slices were </w:t>
      </w:r>
      <w:r w:rsidR="00AE724E" w:rsidRPr="005B6095">
        <w:rPr>
          <w:rFonts w:ascii="Times New Roman" w:hAnsi="Times New Roman" w:cs="Times New Roman"/>
          <w:bCs/>
          <w:sz w:val="24"/>
          <w:szCs w:val="24"/>
        </w:rPr>
        <w:t>pulverized</w:t>
      </w:r>
      <w:r w:rsidR="002A4B97" w:rsidRPr="005B6095">
        <w:rPr>
          <w:rFonts w:ascii="Times New Roman" w:hAnsi="Times New Roman" w:cs="Times New Roman"/>
          <w:bCs/>
          <w:sz w:val="24"/>
          <w:szCs w:val="24"/>
        </w:rPr>
        <w:t>, sieved to</w:t>
      </w:r>
      <w:r>
        <w:rPr>
          <w:rFonts w:ascii="Times New Roman" w:hAnsi="Times New Roman" w:cs="Times New Roman"/>
          <w:bCs/>
          <w:sz w:val="24"/>
          <w:szCs w:val="24"/>
        </w:rPr>
        <w:t xml:space="preserve"> a particle size of</w:t>
      </w:r>
      <w:r w:rsidR="002A4B97" w:rsidRPr="005B6095">
        <w:rPr>
          <w:rFonts w:ascii="Times New Roman" w:hAnsi="Times New Roman" w:cs="Times New Roman"/>
          <w:bCs/>
          <w:sz w:val="24"/>
          <w:szCs w:val="24"/>
        </w:rPr>
        <w:t xml:space="preserve"> 250 µm, and stored in airtight containers.</w:t>
      </w:r>
    </w:p>
    <w:p w14:paraId="4B4609E1"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pH Measurement</w:t>
      </w:r>
    </w:p>
    <w:p w14:paraId="58F5D84D" w14:textId="77777777" w:rsidR="002A4B97" w:rsidRPr="005B6095" w:rsidRDefault="00F21581"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The pH of the avocado seed powder was determined following procedures adapted from ISO 10390, which specifies a potentiometric method using a suspension in water. 10 g sample of avocado seed powder was weighed into a 100 mL </w:t>
      </w:r>
      <w:r w:rsidR="00A171A6" w:rsidRPr="005B6095">
        <w:rPr>
          <w:rFonts w:ascii="Times New Roman" w:hAnsi="Times New Roman" w:cs="Times New Roman"/>
          <w:bCs/>
          <w:sz w:val="24"/>
          <w:szCs w:val="24"/>
        </w:rPr>
        <w:t>beaker;</w:t>
      </w:r>
      <w:r w:rsidRPr="005B6095">
        <w:rPr>
          <w:rFonts w:ascii="Times New Roman" w:hAnsi="Times New Roman" w:cs="Times New Roman"/>
          <w:bCs/>
          <w:sz w:val="24"/>
          <w:szCs w:val="24"/>
        </w:rPr>
        <w:t xml:space="preserve"> </w:t>
      </w:r>
      <w:r w:rsidR="002A64F0" w:rsidRPr="005B6095">
        <w:rPr>
          <w:rFonts w:ascii="Times New Roman" w:hAnsi="Times New Roman" w:cs="Times New Roman"/>
          <w:bCs/>
          <w:sz w:val="24"/>
          <w:szCs w:val="24"/>
        </w:rPr>
        <w:t>50</w:t>
      </w:r>
      <w:r w:rsidRPr="005B6095">
        <w:rPr>
          <w:rFonts w:ascii="Times New Roman" w:hAnsi="Times New Roman" w:cs="Times New Roman"/>
          <w:bCs/>
          <w:sz w:val="24"/>
          <w:szCs w:val="24"/>
        </w:rPr>
        <w:t xml:space="preserve"> mL </w:t>
      </w:r>
      <w:r w:rsidR="00AE724E" w:rsidRPr="005B6095">
        <w:rPr>
          <w:rFonts w:ascii="Times New Roman" w:hAnsi="Times New Roman" w:cs="Times New Roman"/>
          <w:bCs/>
          <w:sz w:val="24"/>
          <w:szCs w:val="24"/>
        </w:rPr>
        <w:t xml:space="preserve">of </w:t>
      </w:r>
      <w:r w:rsidRPr="005B6095">
        <w:rPr>
          <w:rFonts w:ascii="Times New Roman" w:hAnsi="Times New Roman" w:cs="Times New Roman"/>
          <w:bCs/>
          <w:sz w:val="24"/>
          <w:szCs w:val="24"/>
        </w:rPr>
        <w:t xml:space="preserve">distilled water was </w:t>
      </w:r>
      <w:r w:rsidR="00A171A6">
        <w:rPr>
          <w:rFonts w:ascii="Times New Roman" w:hAnsi="Times New Roman" w:cs="Times New Roman"/>
          <w:bCs/>
          <w:sz w:val="24"/>
          <w:szCs w:val="24"/>
        </w:rPr>
        <w:t xml:space="preserve">then </w:t>
      </w:r>
      <w:r w:rsidRPr="005B6095">
        <w:rPr>
          <w:rFonts w:ascii="Times New Roman" w:hAnsi="Times New Roman" w:cs="Times New Roman"/>
          <w:bCs/>
          <w:sz w:val="24"/>
          <w:szCs w:val="24"/>
        </w:rPr>
        <w:t>added to maintain</w:t>
      </w:r>
      <w:r w:rsidR="002A64F0" w:rsidRPr="005B6095">
        <w:rPr>
          <w:rFonts w:ascii="Times New Roman" w:hAnsi="Times New Roman" w:cs="Times New Roman"/>
          <w:bCs/>
          <w:sz w:val="24"/>
          <w:szCs w:val="24"/>
        </w:rPr>
        <w:t xml:space="preserve"> a solid-to-liquid ratio of 1:</w:t>
      </w:r>
      <w:r w:rsidRPr="005B6095">
        <w:rPr>
          <w:rFonts w:ascii="Times New Roman" w:hAnsi="Times New Roman" w:cs="Times New Roman"/>
          <w:bCs/>
          <w:sz w:val="24"/>
          <w:szCs w:val="24"/>
        </w:rPr>
        <w:t xml:space="preserve">5 (w/v). The mixture was </w:t>
      </w:r>
      <w:r w:rsidR="00A171A6">
        <w:rPr>
          <w:rFonts w:ascii="Times New Roman" w:hAnsi="Times New Roman" w:cs="Times New Roman"/>
          <w:bCs/>
          <w:sz w:val="24"/>
          <w:szCs w:val="24"/>
        </w:rPr>
        <w:t>agitated</w:t>
      </w:r>
      <w:r w:rsidRPr="005B6095">
        <w:rPr>
          <w:rFonts w:ascii="Times New Roman" w:hAnsi="Times New Roman" w:cs="Times New Roman"/>
          <w:bCs/>
          <w:sz w:val="24"/>
          <w:szCs w:val="24"/>
        </w:rPr>
        <w:t xml:space="preserve"> with a glass rod for 60 seconds, and</w:t>
      </w:r>
      <w:r w:rsidR="00A171A6">
        <w:rPr>
          <w:rFonts w:ascii="Times New Roman" w:hAnsi="Times New Roman" w:cs="Times New Roman"/>
          <w:bCs/>
          <w:sz w:val="24"/>
          <w:szCs w:val="24"/>
        </w:rPr>
        <w:t xml:space="preserve"> was then</w:t>
      </w:r>
      <w:r w:rsidRPr="005B6095">
        <w:rPr>
          <w:rFonts w:ascii="Times New Roman" w:hAnsi="Times New Roman" w:cs="Times New Roman"/>
          <w:bCs/>
          <w:sz w:val="24"/>
          <w:szCs w:val="24"/>
        </w:rPr>
        <w:t xml:space="preserve"> allowed to stand at room temperature for 60 minutes to equilibrate.</w:t>
      </w:r>
      <w:r w:rsidR="00DE5960" w:rsidRPr="005B6095">
        <w:rPr>
          <w:rFonts w:ascii="Times New Roman" w:hAnsi="Times New Roman" w:cs="Times New Roman"/>
          <w:bCs/>
          <w:sz w:val="24"/>
          <w:szCs w:val="24"/>
        </w:rPr>
        <w:t xml:space="preserve"> </w:t>
      </w:r>
      <w:r w:rsidRPr="005B6095">
        <w:rPr>
          <w:rFonts w:ascii="Times New Roman" w:hAnsi="Times New Roman" w:cs="Times New Roman"/>
          <w:bCs/>
          <w:sz w:val="24"/>
          <w:szCs w:val="24"/>
        </w:rPr>
        <w:t xml:space="preserve">After equilibration, the pH of the </w:t>
      </w:r>
      <w:r w:rsidR="002943C6">
        <w:rPr>
          <w:rFonts w:ascii="Times New Roman" w:hAnsi="Times New Roman" w:cs="Times New Roman"/>
          <w:bCs/>
          <w:sz w:val="24"/>
          <w:szCs w:val="24"/>
        </w:rPr>
        <w:t xml:space="preserve">mixture </w:t>
      </w:r>
      <w:r w:rsidRPr="005B6095">
        <w:rPr>
          <w:rFonts w:ascii="Times New Roman" w:hAnsi="Times New Roman" w:cs="Times New Roman"/>
          <w:bCs/>
          <w:sz w:val="24"/>
          <w:szCs w:val="24"/>
        </w:rPr>
        <w:t>was</w:t>
      </w:r>
      <w:r w:rsidR="002943C6">
        <w:rPr>
          <w:rFonts w:ascii="Times New Roman" w:hAnsi="Times New Roman" w:cs="Times New Roman"/>
          <w:bCs/>
          <w:sz w:val="24"/>
          <w:szCs w:val="24"/>
        </w:rPr>
        <w:t xml:space="preserve"> then</w:t>
      </w:r>
      <w:r w:rsidRPr="005B6095">
        <w:rPr>
          <w:rFonts w:ascii="Times New Roman" w:hAnsi="Times New Roman" w:cs="Times New Roman"/>
          <w:bCs/>
          <w:sz w:val="24"/>
          <w:szCs w:val="24"/>
        </w:rPr>
        <w:t xml:space="preserve"> measured using a calibrated digital pH meter </w:t>
      </w:r>
      <w:r w:rsidR="002943C6">
        <w:rPr>
          <w:rFonts w:ascii="Times New Roman" w:hAnsi="Times New Roman" w:cs="Times New Roman"/>
          <w:bCs/>
          <w:sz w:val="24"/>
          <w:szCs w:val="24"/>
        </w:rPr>
        <w:t>having</w:t>
      </w:r>
      <w:r w:rsidRPr="005B6095">
        <w:rPr>
          <w:rFonts w:ascii="Times New Roman" w:hAnsi="Times New Roman" w:cs="Times New Roman"/>
          <w:bCs/>
          <w:sz w:val="24"/>
          <w:szCs w:val="24"/>
        </w:rPr>
        <w:t xml:space="preserve"> a glass combination electrode. The </w:t>
      </w:r>
      <w:r w:rsidR="002943C6">
        <w:rPr>
          <w:rFonts w:ascii="Times New Roman" w:hAnsi="Times New Roman" w:cs="Times New Roman"/>
          <w:bCs/>
          <w:sz w:val="24"/>
          <w:szCs w:val="24"/>
        </w:rPr>
        <w:t xml:space="preserve">pH </w:t>
      </w:r>
      <w:r w:rsidRPr="005B6095">
        <w:rPr>
          <w:rFonts w:ascii="Times New Roman" w:hAnsi="Times New Roman" w:cs="Times New Roman"/>
          <w:bCs/>
          <w:sz w:val="24"/>
          <w:szCs w:val="24"/>
        </w:rPr>
        <w:t xml:space="preserve">meter was standardized </w:t>
      </w:r>
      <w:r w:rsidR="002943C6">
        <w:rPr>
          <w:rFonts w:ascii="Times New Roman" w:hAnsi="Times New Roman" w:cs="Times New Roman"/>
          <w:bCs/>
          <w:sz w:val="24"/>
          <w:szCs w:val="24"/>
        </w:rPr>
        <w:t>using</w:t>
      </w:r>
      <w:r w:rsidRPr="005B6095">
        <w:rPr>
          <w:rFonts w:ascii="Times New Roman" w:hAnsi="Times New Roman" w:cs="Times New Roman"/>
          <w:bCs/>
          <w:sz w:val="24"/>
          <w:szCs w:val="24"/>
        </w:rPr>
        <w:t xml:space="preserve"> pH buffer solutions (pH 4.00 and 7.00) before use. </w:t>
      </w:r>
      <w:r w:rsidR="00AE724E" w:rsidRPr="005B6095">
        <w:rPr>
          <w:rFonts w:ascii="Times New Roman" w:hAnsi="Times New Roman" w:cs="Times New Roman"/>
          <w:bCs/>
          <w:sz w:val="24"/>
          <w:szCs w:val="24"/>
        </w:rPr>
        <w:t xml:space="preserve">This </w:t>
      </w:r>
      <w:r w:rsidR="002943C6">
        <w:rPr>
          <w:rFonts w:ascii="Times New Roman" w:hAnsi="Times New Roman" w:cs="Times New Roman"/>
          <w:bCs/>
          <w:sz w:val="24"/>
          <w:szCs w:val="24"/>
        </w:rPr>
        <w:t>analyses were</w:t>
      </w:r>
      <w:r w:rsidR="00AE724E" w:rsidRPr="005B6095">
        <w:rPr>
          <w:rFonts w:ascii="Times New Roman" w:hAnsi="Times New Roman" w:cs="Times New Roman"/>
          <w:bCs/>
          <w:sz w:val="24"/>
          <w:szCs w:val="24"/>
        </w:rPr>
        <w:t xml:space="preserve"> done</w:t>
      </w:r>
      <w:r w:rsidRPr="005B6095">
        <w:rPr>
          <w:rFonts w:ascii="Times New Roman" w:hAnsi="Times New Roman" w:cs="Times New Roman"/>
          <w:bCs/>
          <w:sz w:val="24"/>
          <w:szCs w:val="24"/>
        </w:rPr>
        <w:t xml:space="preserve"> in triplicate</w:t>
      </w:r>
      <w:r w:rsidR="002943C6">
        <w:rPr>
          <w:rFonts w:ascii="Times New Roman" w:hAnsi="Times New Roman" w:cs="Times New Roman"/>
          <w:bCs/>
          <w:sz w:val="24"/>
          <w:szCs w:val="24"/>
        </w:rPr>
        <w:t>s</w:t>
      </w:r>
      <w:r w:rsidRPr="005B6095">
        <w:rPr>
          <w:rFonts w:ascii="Times New Roman" w:hAnsi="Times New Roman" w:cs="Times New Roman"/>
          <w:bCs/>
          <w:sz w:val="24"/>
          <w:szCs w:val="24"/>
        </w:rPr>
        <w:t>, and the mean pH value was recorded.</w:t>
      </w:r>
      <w:r w:rsidR="00412742" w:rsidRPr="00412742">
        <w:rPr>
          <w:rFonts w:ascii="Times New Roman" w:hAnsi="Times New Roman" w:cs="Times New Roman"/>
          <w:bCs/>
          <w:sz w:val="24"/>
          <w:szCs w:val="24"/>
          <w:vertAlign w:val="superscript"/>
        </w:rPr>
        <w:t>11,12</w:t>
      </w:r>
    </w:p>
    <w:p w14:paraId="6A77DA76"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Solubility Test</w:t>
      </w:r>
    </w:p>
    <w:p w14:paraId="1304CE91" w14:textId="77777777" w:rsidR="002A4B97" w:rsidRPr="005B6095" w:rsidRDefault="009104F9"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lastRenderedPageBreak/>
        <w:t>One gram (</w:t>
      </w:r>
      <w:r w:rsidR="002A4B97" w:rsidRPr="005B6095">
        <w:rPr>
          <w:rFonts w:ascii="Times New Roman" w:hAnsi="Times New Roman" w:cs="Times New Roman"/>
          <w:bCs/>
          <w:sz w:val="24"/>
          <w:szCs w:val="24"/>
        </w:rPr>
        <w:t>0</w:t>
      </w:r>
      <w:r w:rsidRPr="005B6095">
        <w:rPr>
          <w:rFonts w:ascii="Times New Roman" w:hAnsi="Times New Roman" w:cs="Times New Roman"/>
          <w:bCs/>
          <w:sz w:val="24"/>
          <w:szCs w:val="24"/>
        </w:rPr>
        <w:t>.5</w:t>
      </w:r>
      <w:r w:rsidR="002A4B97" w:rsidRPr="005B6095">
        <w:rPr>
          <w:rFonts w:ascii="Times New Roman" w:hAnsi="Times New Roman" w:cs="Times New Roman"/>
          <w:bCs/>
          <w:sz w:val="24"/>
          <w:szCs w:val="24"/>
        </w:rPr>
        <w:t> g) of avocado seed powder was measured into six separate 250 mL conical flasks, each contai</w:t>
      </w:r>
      <w:r w:rsidRPr="005B6095">
        <w:rPr>
          <w:rFonts w:ascii="Times New Roman" w:hAnsi="Times New Roman" w:cs="Times New Roman"/>
          <w:bCs/>
          <w:sz w:val="24"/>
          <w:szCs w:val="24"/>
        </w:rPr>
        <w:t>ning 10</w:t>
      </w:r>
      <w:r w:rsidR="002A4B97" w:rsidRPr="005B6095">
        <w:rPr>
          <w:rFonts w:ascii="Times New Roman" w:hAnsi="Times New Roman" w:cs="Times New Roman"/>
          <w:bCs/>
          <w:sz w:val="24"/>
          <w:szCs w:val="24"/>
        </w:rPr>
        <w:t xml:space="preserve"> mL of one of the following solvents: 95% acetone, 95% ethanol, 2 M HCl, 2 M H₂SO₄, distilled water at 23.5 °C, and distilled water at 50 °C. Each mixture was </w:t>
      </w:r>
      <w:r w:rsidR="002943C6">
        <w:rPr>
          <w:rFonts w:ascii="Times New Roman" w:hAnsi="Times New Roman" w:cs="Times New Roman"/>
          <w:bCs/>
          <w:sz w:val="24"/>
          <w:szCs w:val="24"/>
        </w:rPr>
        <w:t>agitated</w:t>
      </w:r>
      <w:r w:rsidR="002A4B97" w:rsidRPr="005B6095">
        <w:rPr>
          <w:rFonts w:ascii="Times New Roman" w:hAnsi="Times New Roman" w:cs="Times New Roman"/>
          <w:bCs/>
          <w:sz w:val="24"/>
          <w:szCs w:val="24"/>
        </w:rPr>
        <w:t xml:space="preserve"> continuously on a mechanical shaker at 150 rpm for 60 minutes. After agitation, the solutions were allowed to stand undisturbed for 10 minutes to settle undissolved particles. </w:t>
      </w:r>
      <w:r w:rsidR="00AA32F8" w:rsidRPr="005B6095">
        <w:rPr>
          <w:rFonts w:ascii="Times New Roman" w:hAnsi="Times New Roman" w:cs="Times New Roman"/>
          <w:bCs/>
          <w:sz w:val="24"/>
          <w:szCs w:val="24"/>
        </w:rPr>
        <w:t>The solutions were then</w:t>
      </w:r>
      <w:r w:rsidR="009546AA" w:rsidRPr="005B6095">
        <w:rPr>
          <w:rFonts w:ascii="Times New Roman" w:hAnsi="Times New Roman" w:cs="Times New Roman"/>
          <w:bCs/>
          <w:sz w:val="24"/>
          <w:szCs w:val="24"/>
        </w:rPr>
        <w:t xml:space="preserve"> observed for the presen</w:t>
      </w:r>
      <w:r w:rsidR="002A4B97" w:rsidRPr="005B6095">
        <w:rPr>
          <w:rFonts w:ascii="Times New Roman" w:hAnsi="Times New Roman" w:cs="Times New Roman"/>
          <w:bCs/>
          <w:sz w:val="24"/>
          <w:szCs w:val="24"/>
        </w:rPr>
        <w:t>ce of sediment to assess the extent of dissolution in each solvent.</w:t>
      </w:r>
    </w:p>
    <w:p w14:paraId="3A754128"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FTIR Analysis</w:t>
      </w:r>
    </w:p>
    <w:p w14:paraId="3F516303" w14:textId="77777777" w:rsidR="002A0645" w:rsidRPr="005B6095" w:rsidRDefault="002A0645"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FTIR analysis followed ASTM E1252. About 1 mg of seed powder was blended with 100 mg </w:t>
      </w:r>
      <w:r w:rsidR="002943C6">
        <w:rPr>
          <w:rFonts w:ascii="Times New Roman" w:hAnsi="Times New Roman" w:cs="Times New Roman"/>
          <w:bCs/>
          <w:sz w:val="24"/>
          <w:szCs w:val="24"/>
        </w:rPr>
        <w:t xml:space="preserve">of </w:t>
      </w:r>
      <w:r w:rsidRPr="005B6095">
        <w:rPr>
          <w:rFonts w:ascii="Times New Roman" w:hAnsi="Times New Roman" w:cs="Times New Roman"/>
          <w:bCs/>
          <w:sz w:val="24"/>
          <w:szCs w:val="24"/>
        </w:rPr>
        <w:t xml:space="preserve">KBr and </w:t>
      </w:r>
      <w:r w:rsidR="002943C6">
        <w:rPr>
          <w:rFonts w:ascii="Times New Roman" w:hAnsi="Times New Roman" w:cs="Times New Roman"/>
          <w:bCs/>
          <w:sz w:val="24"/>
          <w:szCs w:val="24"/>
        </w:rPr>
        <w:t xml:space="preserve">then </w:t>
      </w:r>
      <w:r w:rsidRPr="005B6095">
        <w:rPr>
          <w:rFonts w:ascii="Times New Roman" w:hAnsi="Times New Roman" w:cs="Times New Roman"/>
          <w:bCs/>
          <w:sz w:val="24"/>
          <w:szCs w:val="24"/>
        </w:rPr>
        <w:t>pressed into a pellet. Spectra were recorded using a PerkinElmer Spectrum Two spectrometer. Key absorption peaks were interpreted using reference spectra to identify functional groups. Analyses were run in triplicate</w:t>
      </w:r>
      <w:r w:rsidR="00F11BFE" w:rsidRPr="005B6095">
        <w:rPr>
          <w:rFonts w:ascii="Times New Roman" w:hAnsi="Times New Roman" w:cs="Times New Roman"/>
          <w:bCs/>
          <w:sz w:val="24"/>
          <w:szCs w:val="24"/>
        </w:rPr>
        <w:t xml:space="preserve"> and the average taken</w:t>
      </w:r>
      <w:r w:rsidRPr="005B6095">
        <w:rPr>
          <w:rFonts w:ascii="Times New Roman" w:hAnsi="Times New Roman" w:cs="Times New Roman"/>
          <w:bCs/>
          <w:sz w:val="24"/>
          <w:szCs w:val="24"/>
        </w:rPr>
        <w:t>.</w:t>
      </w:r>
      <w:r w:rsidR="00412742" w:rsidRPr="00412742">
        <w:rPr>
          <w:rFonts w:ascii="Times New Roman" w:hAnsi="Times New Roman" w:cs="Times New Roman"/>
          <w:bCs/>
          <w:sz w:val="24"/>
          <w:szCs w:val="24"/>
          <w:vertAlign w:val="superscript"/>
        </w:rPr>
        <w:t>13-15</w:t>
      </w:r>
    </w:p>
    <w:p w14:paraId="30504EDF" w14:textId="77777777" w:rsidR="002A4B97" w:rsidRPr="005B6095" w:rsidRDefault="002A0645"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SEM–</w:t>
      </w:r>
      <w:r w:rsidR="002A4B97" w:rsidRPr="005B6095">
        <w:rPr>
          <w:rFonts w:ascii="Times New Roman" w:hAnsi="Times New Roman" w:cs="Times New Roman"/>
          <w:b/>
          <w:bCs/>
          <w:sz w:val="24"/>
          <w:szCs w:val="24"/>
        </w:rPr>
        <w:t>EDX Analysis</w:t>
      </w:r>
    </w:p>
    <w:p w14:paraId="13EE8041" w14:textId="77777777" w:rsidR="002A4B97" w:rsidRPr="005B6095" w:rsidRDefault="002A0645"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Combined SEM and EDX analyses were performed in accordance with ASTM E1508 to assess surface morphology and elemental composition of the avocado seed powder. Micrographs w</w:t>
      </w:r>
      <w:r w:rsidR="00543DA7" w:rsidRPr="005B6095">
        <w:rPr>
          <w:rFonts w:ascii="Times New Roman" w:hAnsi="Times New Roman" w:cs="Times New Roman"/>
          <w:bCs/>
          <w:sz w:val="24"/>
          <w:szCs w:val="24"/>
        </w:rPr>
        <w:t>as acquired at magnification</w:t>
      </w:r>
      <w:r w:rsidRPr="005B6095">
        <w:rPr>
          <w:rFonts w:ascii="Times New Roman" w:hAnsi="Times New Roman" w:cs="Times New Roman"/>
          <w:bCs/>
          <w:sz w:val="24"/>
          <w:szCs w:val="24"/>
        </w:rPr>
        <w:t xml:space="preserve"> </w:t>
      </w:r>
      <w:r w:rsidR="00543DA7" w:rsidRPr="005B6095">
        <w:rPr>
          <w:rFonts w:ascii="Times New Roman" w:hAnsi="Times New Roman" w:cs="Times New Roman"/>
          <w:bCs/>
          <w:sz w:val="24"/>
          <w:szCs w:val="24"/>
        </w:rPr>
        <w:t>of</w:t>
      </w:r>
      <w:r w:rsidRPr="005B6095">
        <w:rPr>
          <w:rFonts w:ascii="Times New Roman" w:hAnsi="Times New Roman" w:cs="Times New Roman"/>
          <w:bCs/>
          <w:sz w:val="24"/>
          <w:szCs w:val="24"/>
        </w:rPr>
        <w:t xml:space="preserve"> ×</w:t>
      </w:r>
      <w:r w:rsidR="00543DA7" w:rsidRPr="005B6095">
        <w:rPr>
          <w:rFonts w:ascii="Times New Roman" w:hAnsi="Times New Roman" w:cs="Times New Roman"/>
          <w:bCs/>
          <w:sz w:val="24"/>
          <w:szCs w:val="24"/>
        </w:rPr>
        <w:t>2</w:t>
      </w:r>
      <w:r w:rsidRPr="005B6095">
        <w:rPr>
          <w:rFonts w:ascii="Times New Roman" w:hAnsi="Times New Roman" w:cs="Times New Roman"/>
          <w:bCs/>
          <w:sz w:val="24"/>
          <w:szCs w:val="24"/>
        </w:rPr>
        <w:t xml:space="preserve">000 using secondary electron mode to visualize surface texture, porosity, and particle structure. </w:t>
      </w:r>
      <w:r w:rsidR="002943C6">
        <w:rPr>
          <w:rFonts w:ascii="Times New Roman" w:hAnsi="Times New Roman" w:cs="Times New Roman"/>
          <w:bCs/>
          <w:sz w:val="24"/>
          <w:szCs w:val="24"/>
        </w:rPr>
        <w:t>This was done alongside EDX s</w:t>
      </w:r>
      <w:r w:rsidR="002943C6" w:rsidRPr="005B6095">
        <w:rPr>
          <w:rFonts w:ascii="Times New Roman" w:hAnsi="Times New Roman" w:cs="Times New Roman"/>
          <w:bCs/>
          <w:sz w:val="24"/>
          <w:szCs w:val="24"/>
        </w:rPr>
        <w:t>pectroscopy</w:t>
      </w:r>
      <w:r w:rsidRPr="005B6095">
        <w:rPr>
          <w:rFonts w:ascii="Times New Roman" w:hAnsi="Times New Roman" w:cs="Times New Roman"/>
          <w:bCs/>
          <w:sz w:val="24"/>
          <w:szCs w:val="24"/>
        </w:rPr>
        <w:t xml:space="preserve"> </w:t>
      </w:r>
      <w:r w:rsidR="002943C6">
        <w:rPr>
          <w:rFonts w:ascii="Times New Roman" w:hAnsi="Times New Roman" w:cs="Times New Roman"/>
          <w:bCs/>
          <w:sz w:val="24"/>
          <w:szCs w:val="24"/>
        </w:rPr>
        <w:t xml:space="preserve">which </w:t>
      </w:r>
      <w:r w:rsidR="00543DA7" w:rsidRPr="005B6095">
        <w:rPr>
          <w:rFonts w:ascii="Times New Roman" w:hAnsi="Times New Roman" w:cs="Times New Roman"/>
          <w:bCs/>
          <w:sz w:val="24"/>
          <w:szCs w:val="24"/>
        </w:rPr>
        <w:t>was used</w:t>
      </w:r>
      <w:r w:rsidRPr="005B6095">
        <w:rPr>
          <w:rFonts w:ascii="Times New Roman" w:hAnsi="Times New Roman" w:cs="Times New Roman"/>
          <w:bCs/>
          <w:sz w:val="24"/>
          <w:szCs w:val="24"/>
        </w:rPr>
        <w:t xml:space="preserve"> to identify </w:t>
      </w:r>
      <w:r w:rsidR="00543DA7" w:rsidRPr="005B6095">
        <w:rPr>
          <w:rFonts w:ascii="Times New Roman" w:hAnsi="Times New Roman" w:cs="Times New Roman"/>
          <w:bCs/>
          <w:sz w:val="24"/>
          <w:szCs w:val="24"/>
        </w:rPr>
        <w:t xml:space="preserve">and </w:t>
      </w:r>
      <w:r w:rsidR="002943C6">
        <w:rPr>
          <w:rFonts w:ascii="Times New Roman" w:hAnsi="Times New Roman" w:cs="Times New Roman"/>
          <w:bCs/>
          <w:sz w:val="24"/>
          <w:szCs w:val="24"/>
        </w:rPr>
        <w:t xml:space="preserve">quantify the </w:t>
      </w:r>
      <w:r w:rsidR="00543DA7" w:rsidRPr="005B6095">
        <w:rPr>
          <w:rFonts w:ascii="Times New Roman" w:hAnsi="Times New Roman" w:cs="Times New Roman"/>
          <w:bCs/>
          <w:sz w:val="24"/>
          <w:szCs w:val="24"/>
        </w:rPr>
        <w:t>elemental constituents.</w:t>
      </w:r>
      <w:r w:rsidR="00412742" w:rsidRPr="00412742">
        <w:rPr>
          <w:rFonts w:ascii="Times New Roman" w:hAnsi="Times New Roman" w:cs="Times New Roman"/>
          <w:bCs/>
          <w:sz w:val="24"/>
          <w:szCs w:val="24"/>
          <w:vertAlign w:val="superscript"/>
        </w:rPr>
        <w:t>16</w:t>
      </w:r>
    </w:p>
    <w:p w14:paraId="3FBAFCC7"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TGA</w:t>
      </w:r>
      <w:r w:rsidR="00543DA7" w:rsidRPr="005B6095">
        <w:rPr>
          <w:rFonts w:ascii="Times New Roman" w:hAnsi="Times New Roman" w:cs="Times New Roman"/>
          <w:b/>
          <w:bCs/>
          <w:sz w:val="24"/>
          <w:szCs w:val="24"/>
        </w:rPr>
        <w:t>/DTA</w:t>
      </w:r>
    </w:p>
    <w:p w14:paraId="03803CDB" w14:textId="77777777" w:rsidR="00CF7178" w:rsidRPr="005B6095" w:rsidRDefault="00543DA7"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Thermal analysis of avocado seed powder was conducted using simultaneous TGA/DTA in line with ASTM E1131. Approximately 12.2 mg of </w:t>
      </w:r>
      <w:r w:rsidR="006126D3">
        <w:rPr>
          <w:rFonts w:ascii="Times New Roman" w:hAnsi="Times New Roman" w:cs="Times New Roman"/>
          <w:bCs/>
          <w:sz w:val="24"/>
          <w:szCs w:val="24"/>
        </w:rPr>
        <w:t xml:space="preserve">the </w:t>
      </w:r>
      <w:r w:rsidRPr="005B6095">
        <w:rPr>
          <w:rFonts w:ascii="Times New Roman" w:hAnsi="Times New Roman" w:cs="Times New Roman"/>
          <w:bCs/>
          <w:sz w:val="24"/>
          <w:szCs w:val="24"/>
        </w:rPr>
        <w:t xml:space="preserve">sample was heated from 30 °C to 950 °C at 10 °C/min under nitrogen to prevent oxidation. Mass loss corresponding to moisture evaporation and organic decomposition was recorded via TGA, while DTA recorded the thermal transitions such as endothermic and exothermic changes. All runs were </w:t>
      </w:r>
      <w:r w:rsidR="006126D3">
        <w:rPr>
          <w:rFonts w:ascii="Times New Roman" w:hAnsi="Times New Roman" w:cs="Times New Roman"/>
          <w:bCs/>
          <w:sz w:val="24"/>
          <w:szCs w:val="24"/>
        </w:rPr>
        <w:t>done</w:t>
      </w:r>
      <w:r w:rsidRPr="005B6095">
        <w:rPr>
          <w:rFonts w:ascii="Times New Roman" w:hAnsi="Times New Roman" w:cs="Times New Roman"/>
          <w:bCs/>
          <w:sz w:val="24"/>
          <w:szCs w:val="24"/>
        </w:rPr>
        <w:t xml:space="preserve"> in triplicate</w:t>
      </w:r>
      <w:r w:rsidR="006126D3">
        <w:rPr>
          <w:rFonts w:ascii="Times New Roman" w:hAnsi="Times New Roman" w:cs="Times New Roman"/>
          <w:bCs/>
          <w:sz w:val="24"/>
          <w:szCs w:val="24"/>
        </w:rPr>
        <w:t>s</w:t>
      </w:r>
      <w:r w:rsidRPr="005B6095">
        <w:rPr>
          <w:rFonts w:ascii="Times New Roman" w:hAnsi="Times New Roman" w:cs="Times New Roman"/>
          <w:bCs/>
          <w:sz w:val="24"/>
          <w:szCs w:val="24"/>
        </w:rPr>
        <w:t xml:space="preserve"> to ensure reproducibility</w:t>
      </w:r>
      <w:r w:rsidR="00F6076C" w:rsidRPr="005B6095">
        <w:rPr>
          <w:rFonts w:ascii="Times New Roman" w:hAnsi="Times New Roman" w:cs="Times New Roman"/>
          <w:bCs/>
          <w:sz w:val="24"/>
          <w:szCs w:val="24"/>
        </w:rPr>
        <w:t>.</w:t>
      </w:r>
      <w:r w:rsidR="00412742" w:rsidRPr="00412742">
        <w:rPr>
          <w:rFonts w:ascii="Times New Roman" w:hAnsi="Times New Roman" w:cs="Times New Roman"/>
          <w:bCs/>
          <w:sz w:val="24"/>
          <w:szCs w:val="24"/>
          <w:vertAlign w:val="superscript"/>
        </w:rPr>
        <w:t>17</w:t>
      </w:r>
    </w:p>
    <w:p w14:paraId="69AB59E0" w14:textId="77777777" w:rsidR="001D3580" w:rsidRDefault="001D3580" w:rsidP="00492CE0">
      <w:pPr>
        <w:spacing w:after="0" w:line="480" w:lineRule="auto"/>
        <w:jc w:val="both"/>
        <w:rPr>
          <w:rFonts w:ascii="Times New Roman" w:hAnsi="Times New Roman" w:cs="Times New Roman"/>
          <w:b/>
          <w:bCs/>
          <w:sz w:val="24"/>
          <w:szCs w:val="24"/>
        </w:rPr>
      </w:pPr>
    </w:p>
    <w:p w14:paraId="6DA3C8AE"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RESULTS AND DISCUSSION</w:t>
      </w:r>
    </w:p>
    <w:p w14:paraId="3F56A10A"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pH Test</w:t>
      </w:r>
    </w:p>
    <w:p w14:paraId="796CD0C6" w14:textId="77777777" w:rsidR="007A416A" w:rsidRPr="005B6095" w:rsidRDefault="001C220B"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aqueous suspension of avocado seed powder exhibited a mildly acidic pH of </w:t>
      </w:r>
      <w:r w:rsidRPr="005B6095">
        <w:rPr>
          <w:rFonts w:ascii="Times New Roman" w:hAnsi="Times New Roman" w:cs="Times New Roman"/>
          <w:bCs/>
          <w:sz w:val="24"/>
          <w:szCs w:val="24"/>
        </w:rPr>
        <w:t>5.3</w:t>
      </w:r>
      <w:r w:rsidRPr="005B6095">
        <w:rPr>
          <w:rFonts w:ascii="Times New Roman" w:hAnsi="Times New Roman" w:cs="Times New Roman"/>
          <w:sz w:val="24"/>
          <w:szCs w:val="24"/>
        </w:rPr>
        <w:t>, suggesting the presence of weak organic acids, polyphenols, and other naturally occurring acidic compounds.</w:t>
      </w:r>
      <w:r w:rsidR="00412742" w:rsidRPr="00412742">
        <w:rPr>
          <w:rFonts w:ascii="Times New Roman" w:hAnsi="Times New Roman" w:cs="Times New Roman"/>
          <w:sz w:val="24"/>
          <w:szCs w:val="24"/>
          <w:vertAlign w:val="superscript"/>
        </w:rPr>
        <w:t>11,12,18</w:t>
      </w:r>
      <w:r w:rsidRPr="005B6095">
        <w:rPr>
          <w:rFonts w:ascii="Times New Roman" w:hAnsi="Times New Roman" w:cs="Times New Roman"/>
          <w:sz w:val="24"/>
          <w:szCs w:val="24"/>
        </w:rPr>
        <w:t xml:space="preserve"> </w:t>
      </w:r>
      <w:r w:rsidR="007A416A">
        <w:rPr>
          <w:rFonts w:ascii="Times New Roman" w:hAnsi="Times New Roman" w:cs="Times New Roman"/>
          <w:sz w:val="24"/>
          <w:szCs w:val="24"/>
        </w:rPr>
        <w:t xml:space="preserve">The pH level is consistent with that of </w:t>
      </w:r>
      <w:r w:rsidRPr="005B6095">
        <w:rPr>
          <w:rFonts w:ascii="Times New Roman" w:hAnsi="Times New Roman" w:cs="Times New Roman"/>
          <w:sz w:val="24"/>
          <w:szCs w:val="24"/>
        </w:rPr>
        <w:t xml:space="preserve">plant-based </w:t>
      </w:r>
      <w:r w:rsidR="007A416A">
        <w:rPr>
          <w:rFonts w:ascii="Times New Roman" w:hAnsi="Times New Roman" w:cs="Times New Roman"/>
          <w:sz w:val="24"/>
          <w:szCs w:val="24"/>
        </w:rPr>
        <w:t>biomaterials.</w:t>
      </w:r>
      <w:r w:rsidR="00412742" w:rsidRPr="00412742">
        <w:rPr>
          <w:rFonts w:ascii="Times New Roman" w:hAnsi="Times New Roman" w:cs="Times New Roman"/>
          <w:sz w:val="24"/>
          <w:szCs w:val="24"/>
          <w:vertAlign w:val="superscript"/>
        </w:rPr>
        <w:t>16</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19</w:t>
      </w:r>
      <w:r w:rsidR="007A416A">
        <w:rPr>
          <w:rFonts w:ascii="Times New Roman" w:hAnsi="Times New Roman" w:cs="Times New Roman"/>
          <w:sz w:val="24"/>
          <w:szCs w:val="24"/>
        </w:rPr>
        <w:t xml:space="preserve"> Also its mildly acidic level confers on it </w:t>
      </w:r>
      <w:r w:rsidRPr="005B6095">
        <w:rPr>
          <w:rFonts w:ascii="Times New Roman" w:hAnsi="Times New Roman" w:cs="Times New Roman"/>
          <w:sz w:val="24"/>
          <w:szCs w:val="24"/>
        </w:rPr>
        <w:t>antimicrobial properties and enhance</w:t>
      </w:r>
      <w:r w:rsidR="007A416A">
        <w:rPr>
          <w:rFonts w:ascii="Times New Roman" w:hAnsi="Times New Roman" w:cs="Times New Roman"/>
          <w:sz w:val="24"/>
          <w:szCs w:val="24"/>
        </w:rPr>
        <w:t>d</w:t>
      </w:r>
      <w:r w:rsidRPr="005B6095">
        <w:rPr>
          <w:rFonts w:ascii="Times New Roman" w:hAnsi="Times New Roman" w:cs="Times New Roman"/>
          <w:sz w:val="24"/>
          <w:szCs w:val="24"/>
        </w:rPr>
        <w:t xml:space="preserve"> compatibility with mildly acidic environments, </w:t>
      </w:r>
      <w:r w:rsidR="007A416A">
        <w:rPr>
          <w:rFonts w:ascii="Times New Roman" w:hAnsi="Times New Roman" w:cs="Times New Roman"/>
          <w:sz w:val="24"/>
          <w:szCs w:val="24"/>
        </w:rPr>
        <w:t>this its suitability</w:t>
      </w:r>
      <w:r w:rsidRPr="005B6095">
        <w:rPr>
          <w:rFonts w:ascii="Times New Roman" w:hAnsi="Times New Roman" w:cs="Times New Roman"/>
          <w:sz w:val="24"/>
          <w:szCs w:val="24"/>
        </w:rPr>
        <w:t xml:space="preserve"> </w:t>
      </w:r>
      <w:r w:rsidR="00E370FF" w:rsidRPr="005B6095">
        <w:rPr>
          <w:rFonts w:ascii="Times New Roman" w:hAnsi="Times New Roman" w:cs="Times New Roman"/>
          <w:sz w:val="24"/>
          <w:szCs w:val="24"/>
        </w:rPr>
        <w:t>in food packaging and</w:t>
      </w:r>
      <w:r w:rsidRPr="005B6095">
        <w:rPr>
          <w:rFonts w:ascii="Times New Roman" w:hAnsi="Times New Roman" w:cs="Times New Roman"/>
          <w:sz w:val="24"/>
          <w:szCs w:val="24"/>
        </w:rPr>
        <w:t xml:space="preserve"> cosmetics</w:t>
      </w:r>
      <w:r w:rsidR="007A416A">
        <w:rPr>
          <w:rFonts w:ascii="Times New Roman" w:hAnsi="Times New Roman" w:cs="Times New Roman"/>
          <w:sz w:val="24"/>
          <w:szCs w:val="24"/>
        </w:rPr>
        <w:t xml:space="preserve"> applications</w:t>
      </w:r>
      <w:r w:rsidRPr="005B6095">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20,21</w:t>
      </w:r>
    </w:p>
    <w:p w14:paraId="5E923B75" w14:textId="77777777" w:rsidR="008C179F" w:rsidRPr="005B6095" w:rsidRDefault="007A416A" w:rsidP="00492C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terms of polymer composite application</w:t>
      </w:r>
      <w:r w:rsidR="001C220B" w:rsidRPr="005B6095">
        <w:rPr>
          <w:rFonts w:ascii="Times New Roman" w:hAnsi="Times New Roman" w:cs="Times New Roman"/>
          <w:sz w:val="24"/>
          <w:szCs w:val="24"/>
        </w:rPr>
        <w:t xml:space="preserve">, the </w:t>
      </w:r>
      <w:r>
        <w:rPr>
          <w:rFonts w:ascii="Times New Roman" w:hAnsi="Times New Roman" w:cs="Times New Roman"/>
          <w:sz w:val="24"/>
          <w:szCs w:val="24"/>
        </w:rPr>
        <w:t xml:space="preserve">mild acidity of the seed powder </w:t>
      </w:r>
      <w:r w:rsidR="003D0D00">
        <w:rPr>
          <w:rFonts w:ascii="Times New Roman" w:hAnsi="Times New Roman" w:cs="Times New Roman"/>
          <w:sz w:val="24"/>
          <w:szCs w:val="24"/>
        </w:rPr>
        <w:t xml:space="preserve">influences the </w:t>
      </w:r>
      <w:r>
        <w:rPr>
          <w:rFonts w:ascii="Times New Roman" w:hAnsi="Times New Roman" w:cs="Times New Roman"/>
          <w:sz w:val="24"/>
          <w:szCs w:val="24"/>
        </w:rPr>
        <w:t>interfacial adhesion in</w:t>
      </w:r>
      <w:r w:rsidR="001C220B" w:rsidRPr="005B6095">
        <w:rPr>
          <w:rFonts w:ascii="Times New Roman" w:hAnsi="Times New Roman" w:cs="Times New Roman"/>
          <w:sz w:val="24"/>
          <w:szCs w:val="24"/>
        </w:rPr>
        <w:t xml:space="preserve"> pH-sensitive </w:t>
      </w:r>
      <w:r>
        <w:rPr>
          <w:rFonts w:ascii="Times New Roman" w:hAnsi="Times New Roman" w:cs="Times New Roman"/>
          <w:sz w:val="24"/>
          <w:szCs w:val="24"/>
        </w:rPr>
        <w:t xml:space="preserve">bio-based </w:t>
      </w:r>
      <w:r w:rsidR="001C220B" w:rsidRPr="005B6095">
        <w:rPr>
          <w:rFonts w:ascii="Times New Roman" w:hAnsi="Times New Roman" w:cs="Times New Roman"/>
          <w:sz w:val="24"/>
          <w:szCs w:val="24"/>
        </w:rPr>
        <w:t>polymer matrices</w:t>
      </w:r>
      <w:r>
        <w:rPr>
          <w:rFonts w:ascii="Times New Roman" w:hAnsi="Times New Roman" w:cs="Times New Roman"/>
          <w:sz w:val="24"/>
          <w:szCs w:val="24"/>
        </w:rPr>
        <w:t xml:space="preserve"> when used as the reinforcing filler</w:t>
      </w:r>
      <w:r w:rsidR="003D0D00">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22,23</w:t>
      </w:r>
      <w:r w:rsidR="003D0D00">
        <w:rPr>
          <w:rFonts w:ascii="Times New Roman" w:hAnsi="Times New Roman" w:cs="Times New Roman"/>
          <w:sz w:val="24"/>
          <w:szCs w:val="24"/>
        </w:rPr>
        <w:t xml:space="preserve"> This has significant effect on the</w:t>
      </w:r>
      <w:r w:rsidR="001C220B" w:rsidRPr="005B6095">
        <w:rPr>
          <w:rFonts w:ascii="Times New Roman" w:hAnsi="Times New Roman" w:cs="Times New Roman"/>
          <w:sz w:val="24"/>
          <w:szCs w:val="24"/>
        </w:rPr>
        <w:t xml:space="preserve"> dispersion stability, curing </w:t>
      </w:r>
      <w:r w:rsidR="008623DC" w:rsidRPr="005B6095">
        <w:rPr>
          <w:rFonts w:ascii="Times New Roman" w:hAnsi="Times New Roman" w:cs="Times New Roman"/>
          <w:sz w:val="24"/>
          <w:szCs w:val="24"/>
        </w:rPr>
        <w:t>behaviour</w:t>
      </w:r>
      <w:r w:rsidR="001C220B" w:rsidRPr="005B6095">
        <w:rPr>
          <w:rFonts w:ascii="Times New Roman" w:hAnsi="Times New Roman" w:cs="Times New Roman"/>
          <w:sz w:val="24"/>
          <w:szCs w:val="24"/>
        </w:rPr>
        <w:t>, and long-term performanc</w:t>
      </w:r>
      <w:r w:rsidR="00A61667" w:rsidRPr="005B6095">
        <w:rPr>
          <w:rFonts w:ascii="Times New Roman" w:hAnsi="Times New Roman" w:cs="Times New Roman"/>
          <w:sz w:val="24"/>
          <w:szCs w:val="24"/>
        </w:rPr>
        <w:t>e</w:t>
      </w:r>
      <w:r w:rsidR="003D0D00">
        <w:rPr>
          <w:rFonts w:ascii="Times New Roman" w:hAnsi="Times New Roman" w:cs="Times New Roman"/>
          <w:sz w:val="24"/>
          <w:szCs w:val="24"/>
        </w:rPr>
        <w:t xml:space="preserve"> of the composite system. </w:t>
      </w:r>
      <w:r w:rsidR="00F4467B">
        <w:rPr>
          <w:rFonts w:ascii="Times New Roman" w:hAnsi="Times New Roman" w:cs="Times New Roman"/>
          <w:sz w:val="24"/>
          <w:szCs w:val="24"/>
        </w:rPr>
        <w:t xml:space="preserve">Also compatibilizers and surface modifiers are more efficient due to the </w:t>
      </w:r>
      <w:r w:rsidR="00A61667" w:rsidRPr="005B6095">
        <w:rPr>
          <w:rFonts w:ascii="Times New Roman" w:hAnsi="Times New Roman" w:cs="Times New Roman"/>
          <w:sz w:val="24"/>
          <w:szCs w:val="24"/>
        </w:rPr>
        <w:t>acid-base surface character</w:t>
      </w:r>
      <w:r w:rsidR="00F4467B">
        <w:rPr>
          <w:rFonts w:ascii="Times New Roman" w:hAnsi="Times New Roman" w:cs="Times New Roman"/>
          <w:sz w:val="24"/>
          <w:szCs w:val="24"/>
        </w:rPr>
        <w:t>s</w:t>
      </w:r>
      <w:r w:rsidR="00A61667" w:rsidRPr="005B6095">
        <w:rPr>
          <w:rFonts w:ascii="Times New Roman" w:hAnsi="Times New Roman" w:cs="Times New Roman"/>
          <w:sz w:val="24"/>
          <w:szCs w:val="24"/>
        </w:rPr>
        <w:t xml:space="preserve">, </w:t>
      </w:r>
      <w:r w:rsidR="00F4467B">
        <w:rPr>
          <w:rFonts w:ascii="Times New Roman" w:hAnsi="Times New Roman" w:cs="Times New Roman"/>
          <w:sz w:val="24"/>
          <w:szCs w:val="24"/>
        </w:rPr>
        <w:t xml:space="preserve">which ultimately enhances adhesion between the filler and </w:t>
      </w:r>
      <w:r w:rsidR="001C220B" w:rsidRPr="005B6095">
        <w:rPr>
          <w:rFonts w:ascii="Times New Roman" w:hAnsi="Times New Roman" w:cs="Times New Roman"/>
          <w:sz w:val="24"/>
          <w:szCs w:val="24"/>
        </w:rPr>
        <w:t xml:space="preserve">matrix, </w:t>
      </w:r>
      <w:r w:rsidR="00F4467B">
        <w:rPr>
          <w:rFonts w:ascii="Times New Roman" w:hAnsi="Times New Roman" w:cs="Times New Roman"/>
          <w:sz w:val="24"/>
          <w:szCs w:val="24"/>
        </w:rPr>
        <w:t>leading to improved mechanical properties of the composites.</w:t>
      </w:r>
      <w:r w:rsidR="00412742" w:rsidRPr="00412742">
        <w:rPr>
          <w:rFonts w:ascii="Times New Roman" w:hAnsi="Times New Roman" w:cs="Times New Roman"/>
          <w:sz w:val="24"/>
          <w:szCs w:val="24"/>
          <w:vertAlign w:val="superscript"/>
        </w:rPr>
        <w:t>4,12</w:t>
      </w:r>
    </w:p>
    <w:p w14:paraId="2AFFD757"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Solubility Test</w:t>
      </w:r>
    </w:p>
    <w:p w14:paraId="33F4E44C" w14:textId="77777777" w:rsidR="008C179F" w:rsidRPr="005B6095" w:rsidRDefault="00152C16"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solubility </w:t>
      </w:r>
      <w:r w:rsidR="008623DC"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of avocado seed powder varied </w:t>
      </w:r>
      <w:r w:rsidR="0028314F" w:rsidRPr="005B6095">
        <w:rPr>
          <w:rFonts w:ascii="Times New Roman" w:hAnsi="Times New Roman" w:cs="Times New Roman"/>
          <w:sz w:val="24"/>
          <w:szCs w:val="24"/>
        </w:rPr>
        <w:t>in the different solvents</w:t>
      </w:r>
      <w:r w:rsidRPr="005B6095">
        <w:rPr>
          <w:rFonts w:ascii="Times New Roman" w:hAnsi="Times New Roman" w:cs="Times New Roman"/>
          <w:sz w:val="24"/>
          <w:szCs w:val="24"/>
        </w:rPr>
        <w:t>. Slight dissolution was observed in 23.5 °C distilled water, 2 M HCl, 2 M H₂SO₄, and 95% ethanol, indicating limited interaction between the seed constituents and these polar or mildly acidic media.</w:t>
      </w:r>
      <w:r w:rsidR="00412742" w:rsidRPr="00412742">
        <w:rPr>
          <w:rFonts w:ascii="Times New Roman" w:hAnsi="Times New Roman" w:cs="Times New Roman"/>
          <w:sz w:val="24"/>
          <w:szCs w:val="24"/>
          <w:vertAlign w:val="superscript"/>
        </w:rPr>
        <w:t>4,12,18</w:t>
      </w:r>
      <w:r w:rsidRPr="005B6095">
        <w:rPr>
          <w:rFonts w:ascii="Times New Roman" w:hAnsi="Times New Roman" w:cs="Times New Roman"/>
          <w:sz w:val="24"/>
          <w:szCs w:val="24"/>
        </w:rPr>
        <w:t xml:space="preserve"> In contrast, no visible dissolution occurred in 50 °C distilled water or 95% acetone, suggesting that </w:t>
      </w:r>
      <w:r w:rsidR="0028314F" w:rsidRPr="005B6095">
        <w:rPr>
          <w:rFonts w:ascii="Times New Roman" w:hAnsi="Times New Roman" w:cs="Times New Roman"/>
          <w:sz w:val="24"/>
          <w:szCs w:val="24"/>
        </w:rPr>
        <w:t>higher</w:t>
      </w:r>
      <w:r w:rsidRPr="005B6095">
        <w:rPr>
          <w:rFonts w:ascii="Times New Roman" w:hAnsi="Times New Roman" w:cs="Times New Roman"/>
          <w:sz w:val="24"/>
          <w:szCs w:val="24"/>
        </w:rPr>
        <w:t xml:space="preserve"> temperature may not </w:t>
      </w:r>
      <w:r w:rsidR="0028314F" w:rsidRPr="005B6095">
        <w:rPr>
          <w:rFonts w:ascii="Times New Roman" w:hAnsi="Times New Roman" w:cs="Times New Roman"/>
          <w:sz w:val="24"/>
          <w:szCs w:val="24"/>
        </w:rPr>
        <w:t>improve</w:t>
      </w:r>
      <w:r w:rsidRPr="005B6095">
        <w:rPr>
          <w:rFonts w:ascii="Times New Roman" w:hAnsi="Times New Roman" w:cs="Times New Roman"/>
          <w:sz w:val="24"/>
          <w:szCs w:val="24"/>
        </w:rPr>
        <w:t xml:space="preserve"> aqueous solubility and that the seed’s composition has low affinity for nonpolar organic solvents.</w:t>
      </w:r>
      <w:r w:rsidR="00412742" w:rsidRPr="00412742">
        <w:rPr>
          <w:rFonts w:ascii="Times New Roman" w:hAnsi="Times New Roman" w:cs="Times New Roman"/>
          <w:sz w:val="24"/>
          <w:szCs w:val="24"/>
          <w:vertAlign w:val="superscript"/>
        </w:rPr>
        <w:t>16,20</w:t>
      </w:r>
      <w:r w:rsidRPr="005B6095">
        <w:rPr>
          <w:rFonts w:ascii="Times New Roman" w:hAnsi="Times New Roman" w:cs="Times New Roman"/>
          <w:sz w:val="24"/>
          <w:szCs w:val="24"/>
        </w:rPr>
        <w:t xml:space="preserve"> These </w:t>
      </w:r>
      <w:r w:rsidR="0028314F" w:rsidRPr="005B6095">
        <w:rPr>
          <w:rFonts w:ascii="Times New Roman" w:hAnsi="Times New Roman" w:cs="Times New Roman"/>
          <w:sz w:val="24"/>
          <w:szCs w:val="24"/>
        </w:rPr>
        <w:t>results indicate</w:t>
      </w:r>
      <w:r w:rsidRPr="005B6095">
        <w:rPr>
          <w:rFonts w:ascii="Times New Roman" w:hAnsi="Times New Roman" w:cs="Times New Roman"/>
          <w:sz w:val="24"/>
          <w:szCs w:val="24"/>
        </w:rPr>
        <w:t xml:space="preserve"> that while the seed contains some extractable polar compounds, overall solubility is restricted, </w:t>
      </w:r>
      <w:r w:rsidR="0028314F" w:rsidRPr="005B6095">
        <w:rPr>
          <w:rFonts w:ascii="Times New Roman" w:hAnsi="Times New Roman" w:cs="Times New Roman"/>
          <w:sz w:val="24"/>
          <w:szCs w:val="24"/>
        </w:rPr>
        <w:t>probably</w:t>
      </w:r>
      <w:r w:rsidRPr="005B6095">
        <w:rPr>
          <w:rFonts w:ascii="Times New Roman" w:hAnsi="Times New Roman" w:cs="Times New Roman"/>
          <w:sz w:val="24"/>
          <w:szCs w:val="24"/>
        </w:rPr>
        <w:t xml:space="preserve"> due to a high proportion of insoluble structural polymers.</w:t>
      </w:r>
      <w:r w:rsidR="00412742" w:rsidRPr="00412742">
        <w:rPr>
          <w:rFonts w:ascii="Times New Roman" w:hAnsi="Times New Roman" w:cs="Times New Roman"/>
          <w:sz w:val="24"/>
          <w:szCs w:val="24"/>
          <w:vertAlign w:val="superscript"/>
        </w:rPr>
        <w:t>19,21</w:t>
      </w:r>
    </w:p>
    <w:p w14:paraId="54E6FA38"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FTIR Analysis</w:t>
      </w:r>
    </w:p>
    <w:p w14:paraId="3C1A228A" w14:textId="77777777" w:rsidR="00FF09C8" w:rsidRDefault="00FF09C8" w:rsidP="00492CE0">
      <w:pPr>
        <w:spacing w:after="0" w:line="480" w:lineRule="auto"/>
        <w:jc w:val="both"/>
        <w:rPr>
          <w:rFonts w:ascii="Times New Roman" w:hAnsi="Times New Roman" w:cs="Times New Roman"/>
          <w:sz w:val="24"/>
          <w:szCs w:val="24"/>
        </w:rPr>
      </w:pPr>
      <w:r w:rsidRPr="00FF09C8">
        <w:rPr>
          <w:rFonts w:ascii="Times New Roman" w:hAnsi="Times New Roman" w:cs="Times New Roman"/>
          <w:noProof/>
          <w:sz w:val="24"/>
          <w:szCs w:val="24"/>
          <w:lang w:eastAsia="en-GB"/>
        </w:rPr>
        <w:lastRenderedPageBreak/>
        <w:drawing>
          <wp:inline distT="0" distB="0" distL="0" distR="0" wp14:anchorId="0389C635" wp14:editId="578596C6">
            <wp:extent cx="2453435" cy="2058901"/>
            <wp:effectExtent l="0" t="0" r="4445" b="0"/>
            <wp:docPr id="1" name="Picture 1" descr="C:\Users\user\Desktop\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89" t="8743" r="24307" b="4469"/>
                    <a:stretch/>
                  </pic:blipFill>
                  <pic:spPr bwMode="auto">
                    <a:xfrm>
                      <a:off x="0" y="0"/>
                      <a:ext cx="2467340" cy="2070570"/>
                    </a:xfrm>
                    <a:prstGeom prst="rect">
                      <a:avLst/>
                    </a:prstGeom>
                    <a:noFill/>
                    <a:ln>
                      <a:noFill/>
                    </a:ln>
                    <a:extLst>
                      <a:ext uri="{53640926-AAD7-44D8-BBD7-CCE9431645EC}">
                        <a14:shadowObscured xmlns:a14="http://schemas.microsoft.com/office/drawing/2010/main"/>
                      </a:ext>
                    </a:extLst>
                  </pic:spPr>
                </pic:pic>
              </a:graphicData>
            </a:graphic>
          </wp:inline>
        </w:drawing>
      </w:r>
      <w:r w:rsidRPr="00FF09C8">
        <w:rPr>
          <w:rFonts w:ascii="Times New Roman" w:hAnsi="Times New Roman" w:cs="Times New Roman"/>
          <w:sz w:val="24"/>
          <w:szCs w:val="24"/>
        </w:rPr>
        <w:t xml:space="preserve"> </w:t>
      </w:r>
    </w:p>
    <w:p w14:paraId="51ABED0F" w14:textId="3A2B2E78" w:rsidR="00FF09C8" w:rsidRDefault="00A71EE4"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FF09C8" w:rsidRPr="00FF09C8">
        <w:rPr>
          <w:rFonts w:ascii="Times New Roman" w:hAnsi="Times New Roman" w:cs="Times New Roman"/>
          <w:b/>
          <w:sz w:val="24"/>
          <w:szCs w:val="24"/>
        </w:rPr>
        <w:t xml:space="preserve"> 1:</w:t>
      </w:r>
      <w:r w:rsidR="00FF09C8">
        <w:rPr>
          <w:rFonts w:ascii="Times New Roman" w:hAnsi="Times New Roman" w:cs="Times New Roman"/>
          <w:sz w:val="24"/>
          <w:szCs w:val="24"/>
        </w:rPr>
        <w:t xml:space="preserve"> </w:t>
      </w:r>
      <w:r w:rsidR="00FF09C8" w:rsidRPr="005B6095">
        <w:rPr>
          <w:rFonts w:ascii="Times New Roman" w:hAnsi="Times New Roman" w:cs="Times New Roman"/>
          <w:sz w:val="24"/>
          <w:szCs w:val="24"/>
        </w:rPr>
        <w:t>FTIR spectrum of avocado seed powder</w:t>
      </w:r>
    </w:p>
    <w:p w14:paraId="4BB24BFD" w14:textId="77777777" w:rsidR="00DB07D7" w:rsidRPr="005B6095" w:rsidRDefault="00DB07D7"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The FTIR spectrum of avocado seed powder exhibited broad and well-defined absorption bands characteristic of a lignocellulosic biomaterial.</w:t>
      </w:r>
      <w:r w:rsidR="00412742" w:rsidRPr="00412742">
        <w:rPr>
          <w:rFonts w:ascii="Times New Roman" w:hAnsi="Times New Roman" w:cs="Times New Roman"/>
          <w:sz w:val="24"/>
          <w:szCs w:val="24"/>
          <w:vertAlign w:val="superscript"/>
        </w:rPr>
        <w:t>4,15</w:t>
      </w:r>
      <w:r w:rsidR="0085573E" w:rsidRPr="005B6095">
        <w:rPr>
          <w:rFonts w:ascii="Times New Roman" w:hAnsi="Times New Roman" w:cs="Times New Roman"/>
          <w:sz w:val="24"/>
          <w:szCs w:val="24"/>
        </w:rPr>
        <w:t xml:space="preserve"> S</w:t>
      </w:r>
      <w:r w:rsidRPr="005B6095">
        <w:rPr>
          <w:rFonts w:ascii="Times New Roman" w:hAnsi="Times New Roman" w:cs="Times New Roman"/>
          <w:sz w:val="24"/>
          <w:szCs w:val="24"/>
        </w:rPr>
        <w:t xml:space="preserve">trong peaks in the range of 3263–3586 cm⁻¹ were attributed to O–H </w:t>
      </w:r>
      <w:r w:rsidR="00292284">
        <w:rPr>
          <w:rFonts w:ascii="Times New Roman" w:hAnsi="Times New Roman" w:cs="Times New Roman"/>
          <w:sz w:val="24"/>
          <w:szCs w:val="24"/>
        </w:rPr>
        <w:t>stretching, with the possibility of</w:t>
      </w:r>
      <w:r w:rsidRPr="005B6095">
        <w:rPr>
          <w:rFonts w:ascii="Times New Roman" w:hAnsi="Times New Roman" w:cs="Times New Roman"/>
          <w:sz w:val="24"/>
          <w:szCs w:val="24"/>
        </w:rPr>
        <w:t xml:space="preserve"> N–H s</w:t>
      </w:r>
      <w:r w:rsidR="00292284">
        <w:rPr>
          <w:rFonts w:ascii="Times New Roman" w:hAnsi="Times New Roman" w:cs="Times New Roman"/>
          <w:sz w:val="24"/>
          <w:szCs w:val="24"/>
        </w:rPr>
        <w:t>tretching vibrations, indicative of</w:t>
      </w:r>
      <w:r w:rsidRPr="005B6095">
        <w:rPr>
          <w:rFonts w:ascii="Times New Roman" w:hAnsi="Times New Roman" w:cs="Times New Roman"/>
          <w:sz w:val="24"/>
          <w:szCs w:val="24"/>
        </w:rPr>
        <w:t xml:space="preserve"> the presence of hydroxyl-rich compounds such as cellulose, hemicellulose, and phenolics.</w:t>
      </w:r>
      <w:r w:rsidR="00412742" w:rsidRPr="00412742">
        <w:rPr>
          <w:rFonts w:ascii="Times New Roman" w:hAnsi="Times New Roman" w:cs="Times New Roman"/>
          <w:sz w:val="24"/>
          <w:szCs w:val="24"/>
          <w:vertAlign w:val="superscript"/>
        </w:rPr>
        <w:t>19,21</w:t>
      </w:r>
      <w:r w:rsidRPr="005B6095">
        <w:rPr>
          <w:rFonts w:ascii="Times New Roman" w:hAnsi="Times New Roman" w:cs="Times New Roman"/>
          <w:sz w:val="24"/>
          <w:szCs w:val="24"/>
        </w:rPr>
        <w:t xml:space="preserve"> A sharp absorption at 3009 cm⁻¹ suggested unsaturated C–H stretching, typically associated with alkenes or plant wax residues.</w:t>
      </w:r>
      <w:r w:rsidR="00412742" w:rsidRPr="00412742">
        <w:rPr>
          <w:rFonts w:ascii="Times New Roman" w:hAnsi="Times New Roman" w:cs="Times New Roman"/>
          <w:sz w:val="24"/>
          <w:szCs w:val="24"/>
          <w:vertAlign w:val="superscript"/>
        </w:rPr>
        <w:t>14,15</w:t>
      </w:r>
    </w:p>
    <w:p w14:paraId="121A0633" w14:textId="77777777" w:rsidR="00DB07D7" w:rsidRPr="005B6095" w:rsidRDefault="00DB07D7"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C–H stretching </w:t>
      </w:r>
      <w:r w:rsidR="00292284">
        <w:rPr>
          <w:rFonts w:ascii="Times New Roman" w:hAnsi="Times New Roman" w:cs="Times New Roman"/>
          <w:sz w:val="24"/>
          <w:szCs w:val="24"/>
        </w:rPr>
        <w:t>and bending vibrations were</w:t>
      </w:r>
      <w:r w:rsidRPr="005B6095">
        <w:rPr>
          <w:rFonts w:ascii="Times New Roman" w:hAnsi="Times New Roman" w:cs="Times New Roman"/>
          <w:sz w:val="24"/>
          <w:szCs w:val="24"/>
        </w:rPr>
        <w:t xml:space="preserve"> </w:t>
      </w:r>
      <w:r w:rsidR="00292284">
        <w:rPr>
          <w:rFonts w:ascii="Times New Roman" w:hAnsi="Times New Roman" w:cs="Times New Roman"/>
          <w:sz w:val="24"/>
          <w:szCs w:val="24"/>
        </w:rPr>
        <w:t>detected</w:t>
      </w:r>
      <w:r w:rsidRPr="005B6095">
        <w:rPr>
          <w:rFonts w:ascii="Times New Roman" w:hAnsi="Times New Roman" w:cs="Times New Roman"/>
          <w:sz w:val="24"/>
          <w:szCs w:val="24"/>
        </w:rPr>
        <w:t xml:space="preserve"> between 2605 and 2782 cm⁻¹, supporting the presence of aliphatic chains, likely from lipid components.</w:t>
      </w:r>
      <w:r w:rsidR="00412742" w:rsidRPr="00412742">
        <w:rPr>
          <w:rFonts w:ascii="Times New Roman" w:hAnsi="Times New Roman" w:cs="Times New Roman"/>
          <w:sz w:val="24"/>
          <w:szCs w:val="24"/>
          <w:vertAlign w:val="superscript"/>
        </w:rPr>
        <w:t>12,18</w:t>
      </w:r>
      <w:r w:rsidRPr="005B6095">
        <w:rPr>
          <w:rFonts w:ascii="Times New Roman" w:hAnsi="Times New Roman" w:cs="Times New Roman"/>
          <w:sz w:val="24"/>
          <w:szCs w:val="24"/>
        </w:rPr>
        <w:t xml:space="preserve"> Aromatic skeletal vibrations were evidenced by a pronounced peak at 1619 cm⁻¹ (C=C stretching), along with bands at 762 cm⁻¹ and 1259 cm⁻¹, </w:t>
      </w:r>
      <w:r w:rsidR="00292284">
        <w:rPr>
          <w:rFonts w:ascii="Times New Roman" w:hAnsi="Times New Roman" w:cs="Times New Roman"/>
          <w:sz w:val="24"/>
          <w:szCs w:val="24"/>
        </w:rPr>
        <w:t>which corresponds to</w:t>
      </w:r>
      <w:r w:rsidRPr="005B6095">
        <w:rPr>
          <w:rFonts w:ascii="Times New Roman" w:hAnsi="Times New Roman" w:cs="Times New Roman"/>
          <w:sz w:val="24"/>
          <w:szCs w:val="24"/>
        </w:rPr>
        <w:t xml:space="preserve"> C–H bending and C–O or O–H deformations, respectively—features commonly linked to lignin and polyphenolic structures.</w:t>
      </w:r>
      <w:r w:rsidR="00412742" w:rsidRPr="00412742">
        <w:rPr>
          <w:rFonts w:ascii="Times New Roman" w:hAnsi="Times New Roman" w:cs="Times New Roman"/>
          <w:sz w:val="24"/>
          <w:szCs w:val="24"/>
          <w:vertAlign w:val="superscript"/>
        </w:rPr>
        <w:t>13,20</w:t>
      </w:r>
    </w:p>
    <w:p w14:paraId="0B6C8B7A" w14:textId="77777777" w:rsidR="00DB07D7" w:rsidRPr="005B6095" w:rsidRDefault="00DB07D7"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The region around 1107 cm⁻¹ displayed strong C–O stretching, typical of alcohols and polysaccharides.</w:t>
      </w:r>
      <w:r w:rsidR="00412742" w:rsidRPr="00412742">
        <w:rPr>
          <w:rFonts w:ascii="Times New Roman" w:hAnsi="Times New Roman" w:cs="Times New Roman"/>
          <w:sz w:val="24"/>
          <w:szCs w:val="24"/>
          <w:vertAlign w:val="superscript"/>
        </w:rPr>
        <w:t>4,15</w:t>
      </w:r>
      <w:r w:rsidRPr="005B6095">
        <w:rPr>
          <w:rFonts w:ascii="Times New Roman" w:hAnsi="Times New Roman" w:cs="Times New Roman"/>
          <w:sz w:val="24"/>
          <w:szCs w:val="24"/>
        </w:rPr>
        <w:t xml:space="preserve"> Additional weak bands between 1905 and 2456 cm⁻¹ may represent overtone or combination bands or trace structural features.</w:t>
      </w:r>
      <w:r w:rsidR="00412742" w:rsidRPr="00412742">
        <w:rPr>
          <w:rFonts w:ascii="Times New Roman" w:hAnsi="Times New Roman" w:cs="Times New Roman"/>
          <w:sz w:val="24"/>
          <w:szCs w:val="24"/>
          <w:vertAlign w:val="superscript"/>
        </w:rPr>
        <w:t>14,21</w:t>
      </w:r>
      <w:r w:rsidR="00F104C8">
        <w:rPr>
          <w:rFonts w:ascii="Times New Roman" w:hAnsi="Times New Roman" w:cs="Times New Roman"/>
          <w:sz w:val="24"/>
          <w:szCs w:val="24"/>
        </w:rPr>
        <w:t xml:space="preserve"> </w:t>
      </w:r>
      <w:r w:rsidR="00595FE6">
        <w:rPr>
          <w:rFonts w:ascii="Times New Roman" w:hAnsi="Times New Roman" w:cs="Times New Roman"/>
          <w:sz w:val="24"/>
          <w:szCs w:val="24"/>
        </w:rPr>
        <w:t xml:space="preserve">This result which confirms the presence of aromatics, </w:t>
      </w:r>
      <w:r w:rsidRPr="005B6095">
        <w:rPr>
          <w:rFonts w:ascii="Times New Roman" w:hAnsi="Times New Roman" w:cs="Times New Roman"/>
          <w:sz w:val="24"/>
          <w:szCs w:val="24"/>
        </w:rPr>
        <w:t xml:space="preserve">carbohydrates, </w:t>
      </w:r>
      <w:r w:rsidR="00595FE6">
        <w:rPr>
          <w:rFonts w:ascii="Times New Roman" w:hAnsi="Times New Roman" w:cs="Times New Roman"/>
          <w:sz w:val="24"/>
          <w:szCs w:val="24"/>
        </w:rPr>
        <w:t xml:space="preserve">and lipids reinforces its </w:t>
      </w:r>
      <w:r w:rsidR="00F104C8">
        <w:rPr>
          <w:rFonts w:ascii="Times New Roman" w:hAnsi="Times New Roman" w:cs="Times New Roman"/>
          <w:sz w:val="24"/>
          <w:szCs w:val="24"/>
        </w:rPr>
        <w:t>viability</w:t>
      </w:r>
      <w:r w:rsidR="00595FE6">
        <w:rPr>
          <w:rFonts w:ascii="Times New Roman" w:hAnsi="Times New Roman" w:cs="Times New Roman"/>
          <w:sz w:val="24"/>
          <w:szCs w:val="24"/>
        </w:rPr>
        <w:t xml:space="preserve"> for bio-composite applications</w:t>
      </w:r>
      <w:r w:rsidR="00DA4310">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12</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23</w:t>
      </w:r>
    </w:p>
    <w:p w14:paraId="5E2F7C98"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EDX Analysis</w:t>
      </w:r>
    </w:p>
    <w:p w14:paraId="5ECBB2AD" w14:textId="77777777" w:rsidR="00410544" w:rsidRPr="005B6095" w:rsidRDefault="00CE08B1" w:rsidP="00492C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elemental composition, which was characterized using EDX revealed an abundant weight percentage of iron (83.21 wt.%), which is an indicator of either high mineral content of probable contamination during pulverization.</w:t>
      </w:r>
      <w:r w:rsidR="00700BF7" w:rsidRPr="00700BF7">
        <w:rPr>
          <w:rFonts w:ascii="Times New Roman" w:hAnsi="Times New Roman" w:cs="Times New Roman"/>
          <w:sz w:val="24"/>
          <w:szCs w:val="24"/>
          <w:vertAlign w:val="superscript"/>
        </w:rPr>
        <w:t>24,25</w:t>
      </w:r>
      <w:r w:rsidR="00B674BB" w:rsidRPr="005B6095">
        <w:rPr>
          <w:rFonts w:ascii="Times New Roman" w:hAnsi="Times New Roman" w:cs="Times New Roman"/>
          <w:sz w:val="24"/>
          <w:szCs w:val="24"/>
        </w:rPr>
        <w:t xml:space="preserve"> </w:t>
      </w:r>
      <w:r>
        <w:rPr>
          <w:rFonts w:ascii="Times New Roman" w:hAnsi="Times New Roman" w:cs="Times New Roman"/>
          <w:sz w:val="24"/>
          <w:szCs w:val="24"/>
        </w:rPr>
        <w:t>The next most abundant element was carbon (1</w:t>
      </w:r>
      <w:r w:rsidR="00410544" w:rsidRPr="005B6095">
        <w:rPr>
          <w:rFonts w:ascii="Times New Roman" w:hAnsi="Times New Roman" w:cs="Times New Roman"/>
          <w:sz w:val="24"/>
          <w:szCs w:val="24"/>
        </w:rPr>
        <w:t>4.18</w:t>
      </w:r>
      <w:r w:rsidR="00B674BB" w:rsidRPr="005B6095">
        <w:rPr>
          <w:rFonts w:ascii="Times New Roman" w:hAnsi="Times New Roman" w:cs="Times New Roman"/>
          <w:sz w:val="24"/>
          <w:szCs w:val="24"/>
        </w:rPr>
        <w:t> </w:t>
      </w:r>
      <w:r w:rsidR="00410544" w:rsidRPr="005B6095">
        <w:rPr>
          <w:rFonts w:ascii="Times New Roman" w:hAnsi="Times New Roman" w:cs="Times New Roman"/>
          <w:sz w:val="24"/>
          <w:szCs w:val="24"/>
        </w:rPr>
        <w:t>wt</w:t>
      </w:r>
      <w:r w:rsidR="00236698">
        <w:rPr>
          <w:rFonts w:ascii="Times New Roman" w:hAnsi="Times New Roman" w:cs="Times New Roman"/>
          <w:sz w:val="24"/>
          <w:szCs w:val="24"/>
        </w:rPr>
        <w:t>.</w:t>
      </w:r>
      <w:r w:rsidR="00B674BB" w:rsidRPr="005B6095">
        <w:rPr>
          <w:rFonts w:ascii="Times New Roman" w:hAnsi="Times New Roman" w:cs="Times New Roman"/>
          <w:sz w:val="24"/>
          <w:szCs w:val="24"/>
        </w:rPr>
        <w:t>%</w:t>
      </w:r>
      <w:r>
        <w:rPr>
          <w:rFonts w:ascii="Times New Roman" w:hAnsi="Times New Roman" w:cs="Times New Roman"/>
          <w:sz w:val="24"/>
          <w:szCs w:val="24"/>
        </w:rPr>
        <w:t xml:space="preserve">) which confirmed the </w:t>
      </w:r>
      <w:r w:rsidR="00B674BB" w:rsidRPr="005B6095">
        <w:rPr>
          <w:rFonts w:ascii="Times New Roman" w:hAnsi="Times New Roman" w:cs="Times New Roman"/>
          <w:sz w:val="24"/>
          <w:szCs w:val="24"/>
        </w:rPr>
        <w:t xml:space="preserve">organic nature of the biomass, </w:t>
      </w:r>
      <w:r>
        <w:rPr>
          <w:rFonts w:ascii="Times New Roman" w:hAnsi="Times New Roman" w:cs="Times New Roman"/>
          <w:sz w:val="24"/>
          <w:szCs w:val="24"/>
        </w:rPr>
        <w:t xml:space="preserve">leading to the probable presence of </w:t>
      </w:r>
      <w:r w:rsidR="00B674BB" w:rsidRPr="005B6095">
        <w:rPr>
          <w:rFonts w:ascii="Times New Roman" w:hAnsi="Times New Roman" w:cs="Times New Roman"/>
          <w:sz w:val="24"/>
          <w:szCs w:val="24"/>
        </w:rPr>
        <w:t xml:space="preserve">lignocellulosic and phenolic compounds </w:t>
      </w:r>
      <w:r>
        <w:rPr>
          <w:rFonts w:ascii="Times New Roman" w:hAnsi="Times New Roman" w:cs="Times New Roman"/>
          <w:sz w:val="24"/>
          <w:szCs w:val="24"/>
        </w:rPr>
        <w:t>which was earlier posited by the</w:t>
      </w:r>
      <w:r w:rsidR="00B674BB" w:rsidRPr="005B6095">
        <w:rPr>
          <w:rFonts w:ascii="Times New Roman" w:hAnsi="Times New Roman" w:cs="Times New Roman"/>
          <w:sz w:val="24"/>
          <w:szCs w:val="24"/>
        </w:rPr>
        <w:t xml:space="preserve"> FTIR analysis.</w:t>
      </w:r>
      <w:r w:rsidR="00700BF7" w:rsidRPr="00700BF7">
        <w:rPr>
          <w:rFonts w:ascii="Times New Roman" w:hAnsi="Times New Roman" w:cs="Times New Roman"/>
          <w:sz w:val="24"/>
          <w:szCs w:val="24"/>
          <w:vertAlign w:val="superscript"/>
        </w:rPr>
        <w:t>16,26</w:t>
      </w:r>
      <w:r w:rsidR="005A122E" w:rsidRPr="005B6095">
        <w:rPr>
          <w:rFonts w:ascii="Times New Roman" w:hAnsi="Times New Roman" w:cs="Times New Roman"/>
          <w:sz w:val="24"/>
          <w:szCs w:val="24"/>
        </w:rPr>
        <w:t xml:space="preserve"> </w:t>
      </w:r>
      <w:r>
        <w:rPr>
          <w:rFonts w:ascii="Times New Roman" w:hAnsi="Times New Roman" w:cs="Times New Roman"/>
          <w:sz w:val="24"/>
          <w:szCs w:val="24"/>
        </w:rPr>
        <w:t>The was also recorded trace amounts of silicon</w:t>
      </w:r>
      <w:r w:rsidR="00B674BB" w:rsidRPr="005B6095">
        <w:rPr>
          <w:rFonts w:ascii="Times New Roman" w:hAnsi="Times New Roman" w:cs="Times New Roman"/>
          <w:sz w:val="24"/>
          <w:szCs w:val="24"/>
        </w:rPr>
        <w:t xml:space="preserve">, </w:t>
      </w:r>
      <w:r w:rsidR="00236698" w:rsidRPr="005B6095">
        <w:rPr>
          <w:rFonts w:ascii="Times New Roman" w:hAnsi="Times New Roman" w:cs="Times New Roman"/>
          <w:sz w:val="24"/>
          <w:szCs w:val="24"/>
        </w:rPr>
        <w:t>aluminium</w:t>
      </w:r>
      <w:r>
        <w:rPr>
          <w:rFonts w:ascii="Times New Roman" w:hAnsi="Times New Roman" w:cs="Times New Roman"/>
          <w:sz w:val="24"/>
          <w:szCs w:val="24"/>
        </w:rPr>
        <w:t>, potassium, calcium, magnesium, sodium, phosphorus, chlorine, manganese</w:t>
      </w:r>
      <w:r w:rsidR="00B674BB" w:rsidRPr="005B6095">
        <w:rPr>
          <w:rFonts w:ascii="Times New Roman" w:hAnsi="Times New Roman" w:cs="Times New Roman"/>
          <w:sz w:val="24"/>
          <w:szCs w:val="24"/>
        </w:rPr>
        <w:t xml:space="preserve">, and </w:t>
      </w:r>
      <w:r w:rsidR="00236698" w:rsidRPr="005B6095">
        <w:rPr>
          <w:rFonts w:ascii="Times New Roman" w:hAnsi="Times New Roman" w:cs="Times New Roman"/>
          <w:sz w:val="24"/>
          <w:szCs w:val="24"/>
        </w:rPr>
        <w:t>sulphur</w:t>
      </w:r>
      <w:r w:rsidR="00B674BB" w:rsidRPr="005B6095">
        <w:rPr>
          <w:rFonts w:ascii="Times New Roman" w:hAnsi="Times New Roman" w:cs="Times New Roman"/>
          <w:sz w:val="24"/>
          <w:szCs w:val="24"/>
        </w:rPr>
        <w:t xml:space="preserve">. </w:t>
      </w:r>
      <w:r>
        <w:rPr>
          <w:rFonts w:ascii="Times New Roman" w:hAnsi="Times New Roman" w:cs="Times New Roman"/>
          <w:sz w:val="24"/>
          <w:szCs w:val="24"/>
        </w:rPr>
        <w:t xml:space="preserve">This is characteristic of </w:t>
      </w:r>
      <w:r w:rsidR="00B674BB" w:rsidRPr="005B6095">
        <w:rPr>
          <w:rFonts w:ascii="Times New Roman" w:hAnsi="Times New Roman" w:cs="Times New Roman"/>
          <w:sz w:val="24"/>
          <w:szCs w:val="24"/>
        </w:rPr>
        <w:t>plant-based materials</w:t>
      </w:r>
      <w:r w:rsidR="007061E4">
        <w:rPr>
          <w:rFonts w:ascii="Times New Roman" w:hAnsi="Times New Roman" w:cs="Times New Roman"/>
          <w:sz w:val="24"/>
          <w:szCs w:val="24"/>
        </w:rPr>
        <w:t>.</w:t>
      </w:r>
      <w:r w:rsidR="00700BF7" w:rsidRPr="00700BF7">
        <w:rPr>
          <w:rFonts w:ascii="Times New Roman" w:hAnsi="Times New Roman" w:cs="Times New Roman"/>
          <w:sz w:val="24"/>
          <w:szCs w:val="24"/>
          <w:vertAlign w:val="superscript"/>
        </w:rPr>
        <w:t>25</w:t>
      </w:r>
      <w:r w:rsidR="00337A6A" w:rsidRPr="005B6095">
        <w:rPr>
          <w:rFonts w:ascii="Times New Roman" w:hAnsi="Times New Roman" w:cs="Times New Roman"/>
          <w:sz w:val="24"/>
          <w:szCs w:val="24"/>
        </w:rPr>
        <w:t xml:space="preserve"> </w:t>
      </w:r>
      <w:r w:rsidR="00C979A8">
        <w:rPr>
          <w:rFonts w:ascii="Times New Roman" w:hAnsi="Times New Roman" w:cs="Times New Roman"/>
          <w:sz w:val="24"/>
          <w:szCs w:val="24"/>
        </w:rPr>
        <w:t>Based on these results, t</w:t>
      </w:r>
      <w:r w:rsidR="00B674BB" w:rsidRPr="005B6095">
        <w:rPr>
          <w:rFonts w:ascii="Times New Roman" w:hAnsi="Times New Roman" w:cs="Times New Roman"/>
          <w:sz w:val="24"/>
          <w:szCs w:val="24"/>
        </w:rPr>
        <w:t>he high iron content enhance</w:t>
      </w:r>
      <w:r w:rsidR="00C979A8">
        <w:rPr>
          <w:rFonts w:ascii="Times New Roman" w:hAnsi="Times New Roman" w:cs="Times New Roman"/>
          <w:sz w:val="24"/>
          <w:szCs w:val="24"/>
        </w:rPr>
        <w:t>s</w:t>
      </w:r>
      <w:r w:rsidR="00B674BB" w:rsidRPr="005B6095">
        <w:rPr>
          <w:rFonts w:ascii="Times New Roman" w:hAnsi="Times New Roman" w:cs="Times New Roman"/>
          <w:sz w:val="24"/>
          <w:szCs w:val="24"/>
        </w:rPr>
        <w:t xml:space="preserve"> magnetic </w:t>
      </w:r>
      <w:r w:rsidR="00C979A8">
        <w:rPr>
          <w:rFonts w:ascii="Times New Roman" w:hAnsi="Times New Roman" w:cs="Times New Roman"/>
          <w:sz w:val="24"/>
          <w:szCs w:val="24"/>
        </w:rPr>
        <w:t xml:space="preserve">or thermal </w:t>
      </w:r>
      <w:r w:rsidR="00B674BB" w:rsidRPr="005B6095">
        <w:rPr>
          <w:rFonts w:ascii="Times New Roman" w:hAnsi="Times New Roman" w:cs="Times New Roman"/>
          <w:sz w:val="24"/>
          <w:szCs w:val="24"/>
        </w:rPr>
        <w:t xml:space="preserve">properties, while the </w:t>
      </w:r>
      <w:r w:rsidR="00C979A8">
        <w:rPr>
          <w:rFonts w:ascii="Times New Roman" w:hAnsi="Times New Roman" w:cs="Times New Roman"/>
          <w:sz w:val="24"/>
          <w:szCs w:val="24"/>
        </w:rPr>
        <w:t xml:space="preserve">abundance of carbon makes it viable as a reinforcement </w:t>
      </w:r>
      <w:r w:rsidR="00B674BB" w:rsidRPr="005B6095">
        <w:rPr>
          <w:rFonts w:ascii="Times New Roman" w:hAnsi="Times New Roman" w:cs="Times New Roman"/>
          <w:sz w:val="24"/>
          <w:szCs w:val="24"/>
        </w:rPr>
        <w:t>bio-filler</w:t>
      </w:r>
      <w:r w:rsidR="00700BF7">
        <w:rPr>
          <w:rFonts w:ascii="Times New Roman" w:hAnsi="Times New Roman" w:cs="Times New Roman"/>
          <w:sz w:val="24"/>
          <w:szCs w:val="24"/>
        </w:rPr>
        <w:t>.</w:t>
      </w:r>
      <w:r w:rsidR="00700BF7" w:rsidRPr="00700BF7">
        <w:rPr>
          <w:rFonts w:ascii="Times New Roman" w:hAnsi="Times New Roman" w:cs="Times New Roman"/>
          <w:sz w:val="24"/>
          <w:szCs w:val="24"/>
          <w:vertAlign w:val="superscript"/>
        </w:rPr>
        <w:t>16</w:t>
      </w:r>
    </w:p>
    <w:p w14:paraId="4792806C"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SEM Analysis</w:t>
      </w:r>
    </w:p>
    <w:p w14:paraId="5A558673" w14:textId="77777777" w:rsidR="006C3FCF" w:rsidRDefault="006C3FCF" w:rsidP="00492CE0">
      <w:pPr>
        <w:spacing w:after="0" w:line="480" w:lineRule="auto"/>
        <w:jc w:val="both"/>
        <w:rPr>
          <w:rFonts w:ascii="Times New Roman" w:hAnsi="Times New Roman" w:cs="Times New Roman"/>
          <w:b/>
          <w:sz w:val="24"/>
          <w:szCs w:val="24"/>
        </w:rPr>
      </w:pPr>
      <w:r w:rsidRPr="006C3FCF">
        <w:rPr>
          <w:rFonts w:ascii="Times New Roman" w:hAnsi="Times New Roman" w:cs="Times New Roman"/>
          <w:b/>
          <w:noProof/>
          <w:sz w:val="24"/>
          <w:szCs w:val="24"/>
          <w:lang w:eastAsia="en-GB"/>
        </w:rPr>
        <w:drawing>
          <wp:inline distT="0" distB="0" distL="0" distR="0" wp14:anchorId="3AF61A9F" wp14:editId="012CF20B">
            <wp:extent cx="2299094" cy="2572603"/>
            <wp:effectExtent l="0" t="0" r="6350" b="0"/>
            <wp:docPr id="2" name="Picture 2" descr="C:\Users\use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9425" cy="2584163"/>
                    </a:xfrm>
                    <a:prstGeom prst="rect">
                      <a:avLst/>
                    </a:prstGeom>
                    <a:noFill/>
                    <a:ln>
                      <a:noFill/>
                    </a:ln>
                  </pic:spPr>
                </pic:pic>
              </a:graphicData>
            </a:graphic>
          </wp:inline>
        </w:drawing>
      </w:r>
    </w:p>
    <w:p w14:paraId="1E13D41A" w14:textId="25A27EFF" w:rsidR="006C3FCF" w:rsidRDefault="00A71EE4"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6C3FCF" w:rsidRPr="00FF09C8">
        <w:rPr>
          <w:rFonts w:ascii="Times New Roman" w:hAnsi="Times New Roman" w:cs="Times New Roman"/>
          <w:b/>
          <w:sz w:val="24"/>
          <w:szCs w:val="24"/>
        </w:rPr>
        <w:t xml:space="preserve"> </w:t>
      </w:r>
      <w:r w:rsidR="006A577A">
        <w:rPr>
          <w:rFonts w:ascii="Times New Roman" w:hAnsi="Times New Roman" w:cs="Times New Roman"/>
          <w:b/>
          <w:sz w:val="24"/>
          <w:szCs w:val="24"/>
        </w:rPr>
        <w:t>2</w:t>
      </w:r>
      <w:r w:rsidR="006C3FCF" w:rsidRPr="00FF09C8">
        <w:rPr>
          <w:rFonts w:ascii="Times New Roman" w:hAnsi="Times New Roman" w:cs="Times New Roman"/>
          <w:b/>
          <w:sz w:val="24"/>
          <w:szCs w:val="24"/>
        </w:rPr>
        <w:t>:</w:t>
      </w:r>
      <w:r w:rsidR="006C3FCF">
        <w:rPr>
          <w:rFonts w:ascii="Times New Roman" w:hAnsi="Times New Roman" w:cs="Times New Roman"/>
          <w:sz w:val="24"/>
          <w:szCs w:val="24"/>
        </w:rPr>
        <w:t xml:space="preserve"> SEM image</w:t>
      </w:r>
      <w:r w:rsidR="006C3FCF" w:rsidRPr="005B6095">
        <w:rPr>
          <w:rFonts w:ascii="Times New Roman" w:hAnsi="Times New Roman" w:cs="Times New Roman"/>
          <w:sz w:val="24"/>
          <w:szCs w:val="24"/>
        </w:rPr>
        <w:t xml:space="preserve"> of avocado seed powder</w:t>
      </w:r>
    </w:p>
    <w:p w14:paraId="79BCB99E" w14:textId="77777777" w:rsidR="009F1EC3" w:rsidRPr="005B6095" w:rsidRDefault="009F750D" w:rsidP="00492C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SEM</w:t>
      </w:r>
      <w:r w:rsidR="009F1EC3" w:rsidRPr="005B6095">
        <w:rPr>
          <w:rFonts w:ascii="Times New Roman" w:hAnsi="Times New Roman" w:cs="Times New Roman"/>
          <w:sz w:val="24"/>
          <w:szCs w:val="24"/>
        </w:rPr>
        <w:t xml:space="preserve"> analysis</w:t>
      </w:r>
      <w:r>
        <w:rPr>
          <w:rFonts w:ascii="Times New Roman" w:hAnsi="Times New Roman" w:cs="Times New Roman"/>
          <w:sz w:val="24"/>
          <w:szCs w:val="24"/>
        </w:rPr>
        <w:t xml:space="preserve"> was done at </w:t>
      </w:r>
      <w:r w:rsidR="009F1EC3" w:rsidRPr="005B6095">
        <w:rPr>
          <w:rFonts w:ascii="Times New Roman" w:hAnsi="Times New Roman" w:cs="Times New Roman"/>
          <w:sz w:val="24"/>
          <w:szCs w:val="24"/>
        </w:rPr>
        <w:t>2000× magnification</w:t>
      </w:r>
      <w:r>
        <w:rPr>
          <w:rFonts w:ascii="Times New Roman" w:hAnsi="Times New Roman" w:cs="Times New Roman"/>
          <w:sz w:val="24"/>
          <w:szCs w:val="24"/>
        </w:rPr>
        <w:t>, the results revealed that the</w:t>
      </w:r>
      <w:r w:rsidR="009F1EC3" w:rsidRPr="005B6095">
        <w:rPr>
          <w:rFonts w:ascii="Times New Roman" w:hAnsi="Times New Roman" w:cs="Times New Roman"/>
          <w:sz w:val="24"/>
          <w:szCs w:val="24"/>
        </w:rPr>
        <w:t xml:space="preserve"> particles exhibited </w:t>
      </w:r>
      <w:r>
        <w:rPr>
          <w:rFonts w:ascii="Times New Roman" w:hAnsi="Times New Roman" w:cs="Times New Roman"/>
          <w:sz w:val="24"/>
          <w:szCs w:val="24"/>
        </w:rPr>
        <w:t>irregular, angular shapes having</w:t>
      </w:r>
      <w:r w:rsidR="009F1EC3" w:rsidRPr="005B6095">
        <w:rPr>
          <w:rFonts w:ascii="Times New Roman" w:hAnsi="Times New Roman" w:cs="Times New Roman"/>
          <w:sz w:val="24"/>
          <w:szCs w:val="24"/>
        </w:rPr>
        <w:t xml:space="preserve"> heterogeneous size distribution, </w:t>
      </w:r>
      <w:r>
        <w:rPr>
          <w:rFonts w:ascii="Times New Roman" w:hAnsi="Times New Roman" w:cs="Times New Roman"/>
          <w:sz w:val="24"/>
          <w:szCs w:val="24"/>
        </w:rPr>
        <w:t>which is characteristic of</w:t>
      </w:r>
      <w:r w:rsidR="009F1EC3" w:rsidRPr="005B6095">
        <w:rPr>
          <w:rFonts w:ascii="Times New Roman" w:hAnsi="Times New Roman" w:cs="Times New Roman"/>
          <w:sz w:val="24"/>
          <w:szCs w:val="24"/>
        </w:rPr>
        <w:t xml:space="preserve"> mechanical fragmentation during grinding.</w:t>
      </w:r>
      <w:r w:rsidR="00700BF7" w:rsidRPr="00700BF7">
        <w:rPr>
          <w:rFonts w:ascii="Times New Roman" w:hAnsi="Times New Roman" w:cs="Times New Roman"/>
          <w:sz w:val="24"/>
          <w:szCs w:val="24"/>
          <w:vertAlign w:val="superscript"/>
        </w:rPr>
        <w:t>17</w:t>
      </w:r>
      <w:r w:rsidR="009F1EC3" w:rsidRPr="005B6095">
        <w:rPr>
          <w:rFonts w:ascii="Times New Roman" w:hAnsi="Times New Roman" w:cs="Times New Roman"/>
          <w:sz w:val="24"/>
          <w:szCs w:val="24"/>
        </w:rPr>
        <w:t xml:space="preserve"> Surface textures were notably rough and fibrous, with observable wrinkles and striations across most particles. This surface roughness enhances the potential for mechanical interlocking in composite applications.</w:t>
      </w:r>
    </w:p>
    <w:p w14:paraId="5829C9E0" w14:textId="77777777"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lastRenderedPageBreak/>
        <w:t xml:space="preserve">Microscopic fractures, edge cracks, and internal voids were also evident, indicating brittle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likely induced during drying or </w:t>
      </w:r>
      <w:r w:rsidR="002F3AC0" w:rsidRPr="005B6095">
        <w:rPr>
          <w:rFonts w:ascii="Times New Roman" w:hAnsi="Times New Roman" w:cs="Times New Roman"/>
          <w:sz w:val="24"/>
          <w:szCs w:val="24"/>
        </w:rPr>
        <w:t>grinding</w:t>
      </w:r>
      <w:r w:rsidRPr="005B6095">
        <w:rPr>
          <w:rFonts w:ascii="Times New Roman" w:hAnsi="Times New Roman" w:cs="Times New Roman"/>
          <w:sz w:val="24"/>
          <w:szCs w:val="24"/>
        </w:rPr>
        <w:t>. These morphological defects, while potentially reducing particle strength, may increase surface area and reactivity.</w:t>
      </w:r>
      <w:r w:rsidR="00700BF7" w:rsidRPr="00700BF7">
        <w:rPr>
          <w:rFonts w:ascii="Times New Roman" w:hAnsi="Times New Roman" w:cs="Times New Roman"/>
          <w:sz w:val="24"/>
          <w:szCs w:val="24"/>
          <w:vertAlign w:val="superscript"/>
        </w:rPr>
        <w:t>17,25</w:t>
      </w:r>
      <w:r w:rsidRPr="005B6095">
        <w:rPr>
          <w:rFonts w:ascii="Times New Roman" w:hAnsi="Times New Roman" w:cs="Times New Roman"/>
          <w:sz w:val="24"/>
          <w:szCs w:val="24"/>
        </w:rPr>
        <w:t xml:space="preserve"> Additionally, some particles displayed visible porosity, which could be advantageous for moisture uptake or active-site loading in functional applications.</w:t>
      </w:r>
      <w:r w:rsidR="00700BF7" w:rsidRPr="00700BF7">
        <w:rPr>
          <w:rFonts w:ascii="Times New Roman" w:hAnsi="Times New Roman" w:cs="Times New Roman"/>
          <w:sz w:val="24"/>
          <w:szCs w:val="24"/>
          <w:vertAlign w:val="superscript"/>
        </w:rPr>
        <w:t>26</w:t>
      </w:r>
    </w:p>
    <w:p w14:paraId="56326A5E" w14:textId="77777777" w:rsidR="008C179F"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Mild agglomeration was noted in some regions, where smaller particles adhered to larger fragments. This may affect dispersion uniformity in composite matrices, although surface modification strategies could mitigate such limitations.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Overall, the SEM results highlight a lignocellulosic powder with promising filler characteristics for polymer reinforcement.</w:t>
      </w:r>
    </w:p>
    <w:p w14:paraId="672789BD"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TGA</w:t>
      </w:r>
      <w:r w:rsidR="009F1EC3" w:rsidRPr="005B6095">
        <w:rPr>
          <w:rFonts w:ascii="Times New Roman" w:hAnsi="Times New Roman" w:cs="Times New Roman"/>
          <w:b/>
          <w:bCs/>
          <w:sz w:val="24"/>
          <w:szCs w:val="24"/>
        </w:rPr>
        <w:t>/DTA</w:t>
      </w:r>
      <w:r w:rsidRPr="005B6095">
        <w:rPr>
          <w:rFonts w:ascii="Times New Roman" w:hAnsi="Times New Roman" w:cs="Times New Roman"/>
          <w:b/>
          <w:bCs/>
          <w:sz w:val="24"/>
          <w:szCs w:val="24"/>
        </w:rPr>
        <w:t xml:space="preserve"> Analysis</w:t>
      </w:r>
    </w:p>
    <w:p w14:paraId="72DBFF95" w14:textId="77777777" w:rsidR="006A577A" w:rsidRDefault="006A577A" w:rsidP="00492CE0">
      <w:pPr>
        <w:spacing w:after="0" w:line="480" w:lineRule="auto"/>
        <w:jc w:val="both"/>
        <w:rPr>
          <w:rFonts w:ascii="Times New Roman" w:hAnsi="Times New Roman" w:cs="Times New Roman"/>
          <w:b/>
          <w:sz w:val="24"/>
          <w:szCs w:val="24"/>
        </w:rPr>
      </w:pPr>
      <w:r w:rsidRPr="006A577A">
        <w:rPr>
          <w:rFonts w:ascii="Times New Roman" w:hAnsi="Times New Roman" w:cs="Times New Roman"/>
          <w:b/>
          <w:noProof/>
          <w:sz w:val="24"/>
          <w:szCs w:val="24"/>
          <w:lang w:eastAsia="en-GB"/>
        </w:rPr>
        <w:drawing>
          <wp:inline distT="0" distB="0" distL="0" distR="0" wp14:anchorId="4CA51C34" wp14:editId="7537C44A">
            <wp:extent cx="2649992" cy="3357350"/>
            <wp:effectExtent l="0" t="0" r="0" b="0"/>
            <wp:docPr id="3" name="Picture 3" descr="C:\Users\use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841" b="1574"/>
                    <a:stretch/>
                  </pic:blipFill>
                  <pic:spPr bwMode="auto">
                    <a:xfrm>
                      <a:off x="0" y="0"/>
                      <a:ext cx="2660365" cy="3370491"/>
                    </a:xfrm>
                    <a:prstGeom prst="rect">
                      <a:avLst/>
                    </a:prstGeom>
                    <a:noFill/>
                    <a:ln>
                      <a:noFill/>
                    </a:ln>
                    <a:extLst>
                      <a:ext uri="{53640926-AAD7-44D8-BBD7-CCE9431645EC}">
                        <a14:shadowObscured xmlns:a14="http://schemas.microsoft.com/office/drawing/2010/main"/>
                      </a:ext>
                    </a:extLst>
                  </pic:spPr>
                </pic:pic>
              </a:graphicData>
            </a:graphic>
          </wp:inline>
        </w:drawing>
      </w:r>
    </w:p>
    <w:p w14:paraId="7CE8F4DB" w14:textId="65EEC876" w:rsidR="006A577A" w:rsidRDefault="00A71EE4"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6A577A" w:rsidRPr="00FF09C8">
        <w:rPr>
          <w:rFonts w:ascii="Times New Roman" w:hAnsi="Times New Roman" w:cs="Times New Roman"/>
          <w:b/>
          <w:sz w:val="24"/>
          <w:szCs w:val="24"/>
        </w:rPr>
        <w:t xml:space="preserve"> </w:t>
      </w:r>
      <w:r w:rsidR="006A577A">
        <w:rPr>
          <w:rFonts w:ascii="Times New Roman" w:hAnsi="Times New Roman" w:cs="Times New Roman"/>
          <w:b/>
          <w:sz w:val="24"/>
          <w:szCs w:val="24"/>
        </w:rPr>
        <w:t>3</w:t>
      </w:r>
      <w:r w:rsidR="006A577A" w:rsidRPr="00FF09C8">
        <w:rPr>
          <w:rFonts w:ascii="Times New Roman" w:hAnsi="Times New Roman" w:cs="Times New Roman"/>
          <w:b/>
          <w:sz w:val="24"/>
          <w:szCs w:val="24"/>
        </w:rPr>
        <w:t>:</w:t>
      </w:r>
      <w:r w:rsidR="006A577A">
        <w:rPr>
          <w:rFonts w:ascii="Times New Roman" w:hAnsi="Times New Roman" w:cs="Times New Roman"/>
          <w:sz w:val="24"/>
          <w:szCs w:val="24"/>
        </w:rPr>
        <w:t xml:space="preserve"> </w:t>
      </w:r>
      <w:r w:rsidR="006A577A" w:rsidRPr="006A577A">
        <w:rPr>
          <w:rFonts w:ascii="Times New Roman" w:hAnsi="Times New Roman" w:cs="Times New Roman"/>
          <w:sz w:val="24"/>
          <w:szCs w:val="24"/>
        </w:rPr>
        <w:t xml:space="preserve">TGA/DTA </w:t>
      </w:r>
      <w:r w:rsidR="006A577A">
        <w:rPr>
          <w:rFonts w:ascii="Times New Roman" w:hAnsi="Times New Roman" w:cs="Times New Roman"/>
          <w:sz w:val="24"/>
          <w:szCs w:val="24"/>
        </w:rPr>
        <w:t xml:space="preserve">curve </w:t>
      </w:r>
      <w:r w:rsidR="006A577A" w:rsidRPr="005B6095">
        <w:rPr>
          <w:rFonts w:ascii="Times New Roman" w:hAnsi="Times New Roman" w:cs="Times New Roman"/>
          <w:sz w:val="24"/>
          <w:szCs w:val="24"/>
        </w:rPr>
        <w:t>of avocado seed powder</w:t>
      </w:r>
    </w:p>
    <w:p w14:paraId="10066DF9" w14:textId="77777777"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thermal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of avocado seed powder was assessed using simultaneous TGA/DTA analysis under nitrogen from 30 °C to 950 °C. The TGA profile revealed a multi-phase degradation pattern typical of lignocellulosic biomass.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The initial mass loss between 30–150 °C (~5–8%) corresponded to moisture evaporation and light volatile release, an </w:t>
      </w:r>
      <w:r w:rsidRPr="005B6095">
        <w:rPr>
          <w:rFonts w:ascii="Times New Roman" w:hAnsi="Times New Roman" w:cs="Times New Roman"/>
          <w:sz w:val="24"/>
          <w:szCs w:val="24"/>
        </w:rPr>
        <w:lastRenderedPageBreak/>
        <w:t xml:space="preserve">endothermic </w:t>
      </w:r>
      <w:r w:rsidR="008936EA" w:rsidRPr="005B6095">
        <w:rPr>
          <w:rFonts w:ascii="Times New Roman" w:hAnsi="Times New Roman" w:cs="Times New Roman"/>
          <w:sz w:val="24"/>
          <w:szCs w:val="24"/>
        </w:rPr>
        <w:t>change</w:t>
      </w:r>
      <w:r w:rsidRPr="005B6095">
        <w:rPr>
          <w:rFonts w:ascii="Times New Roman" w:hAnsi="Times New Roman" w:cs="Times New Roman"/>
          <w:sz w:val="24"/>
          <w:szCs w:val="24"/>
        </w:rPr>
        <w:t xml:space="preserve"> indicated by a gentle dip in the DTA curve. This was followed by a gradual decomposition between 150–380 °C, attributed to the breakdown of hemicellulose.</w:t>
      </w:r>
      <w:r w:rsidR="00700BF7" w:rsidRPr="00700BF7">
        <w:rPr>
          <w:rFonts w:ascii="Times New Roman" w:hAnsi="Times New Roman" w:cs="Times New Roman"/>
          <w:sz w:val="24"/>
          <w:szCs w:val="24"/>
          <w:vertAlign w:val="superscript"/>
        </w:rPr>
        <w:t>16,17</w:t>
      </w:r>
    </w:p>
    <w:p w14:paraId="61B59909" w14:textId="77777777"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The most significant degradation occurred between 380–550 °C, marked by a steep drop in the TGA curve due to the thermal decomposition of cellu</w:t>
      </w:r>
      <w:r w:rsidR="008936EA" w:rsidRPr="005B6095">
        <w:rPr>
          <w:rFonts w:ascii="Times New Roman" w:hAnsi="Times New Roman" w:cs="Times New Roman"/>
          <w:sz w:val="24"/>
          <w:szCs w:val="24"/>
        </w:rPr>
        <w:t xml:space="preserve">lose which is </w:t>
      </w:r>
      <w:r w:rsidRPr="005B6095">
        <w:rPr>
          <w:rFonts w:ascii="Times New Roman" w:hAnsi="Times New Roman" w:cs="Times New Roman"/>
          <w:sz w:val="24"/>
          <w:szCs w:val="24"/>
        </w:rPr>
        <w:t>t</w:t>
      </w:r>
      <w:r w:rsidR="008936EA" w:rsidRPr="005B6095">
        <w:rPr>
          <w:rFonts w:ascii="Times New Roman" w:hAnsi="Times New Roman" w:cs="Times New Roman"/>
          <w:sz w:val="24"/>
          <w:szCs w:val="24"/>
        </w:rPr>
        <w:t>he primary structural component</w:t>
      </w:r>
      <w:r w:rsidRPr="005B6095">
        <w:rPr>
          <w:rFonts w:ascii="Times New Roman" w:hAnsi="Times New Roman" w:cs="Times New Roman"/>
          <w:sz w:val="24"/>
          <w:szCs w:val="24"/>
        </w:rPr>
        <w:t xml:space="preserve"> of the seed. The DTA t</w:t>
      </w:r>
      <w:r w:rsidR="008936EA" w:rsidRPr="005B6095">
        <w:rPr>
          <w:rFonts w:ascii="Times New Roman" w:hAnsi="Times New Roman" w:cs="Times New Roman"/>
          <w:sz w:val="24"/>
          <w:szCs w:val="24"/>
        </w:rPr>
        <w:t>race exhibited overlapping endothermic</w:t>
      </w:r>
      <w:r w:rsidRPr="005B6095">
        <w:rPr>
          <w:rFonts w:ascii="Times New Roman" w:hAnsi="Times New Roman" w:cs="Times New Roman"/>
          <w:sz w:val="24"/>
          <w:szCs w:val="24"/>
        </w:rPr>
        <w:t xml:space="preserve"> and exothermic features in this region, suggesting a combination of energy-absorbing bond cleavage and heat-releasing char formation.</w:t>
      </w:r>
      <w:r w:rsidR="00700BF7" w:rsidRPr="00700BF7">
        <w:rPr>
          <w:rFonts w:ascii="Times New Roman" w:hAnsi="Times New Roman" w:cs="Times New Roman"/>
          <w:sz w:val="24"/>
          <w:szCs w:val="24"/>
          <w:vertAlign w:val="superscript"/>
        </w:rPr>
        <w:t>26</w:t>
      </w:r>
      <w:r w:rsidRPr="005B6095">
        <w:rPr>
          <w:rFonts w:ascii="Times New Roman" w:hAnsi="Times New Roman" w:cs="Times New Roman"/>
          <w:sz w:val="24"/>
          <w:szCs w:val="24"/>
        </w:rPr>
        <w:t xml:space="preserve"> Beyond 550 °C, the rate of weight loss slowed noticeably, indicating carbonization of residual matter.</w:t>
      </w:r>
    </w:p>
    <w:p w14:paraId="0EBCD539" w14:textId="77777777" w:rsidR="008C179F"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By 950 °C, the sample stabilized with approximately 20% residual mass, likely consisting of inorganic ash and thermally stable mineral content.</w:t>
      </w:r>
      <w:r w:rsidR="00700BF7" w:rsidRPr="00700BF7">
        <w:rPr>
          <w:rFonts w:ascii="Times New Roman" w:hAnsi="Times New Roman" w:cs="Times New Roman"/>
          <w:sz w:val="24"/>
          <w:szCs w:val="24"/>
          <w:vertAlign w:val="superscript"/>
        </w:rPr>
        <w:t>27</w:t>
      </w:r>
      <w:r w:rsidRPr="005B6095">
        <w:rPr>
          <w:rFonts w:ascii="Times New Roman" w:hAnsi="Times New Roman" w:cs="Times New Roman"/>
          <w:sz w:val="24"/>
          <w:szCs w:val="24"/>
        </w:rPr>
        <w:t xml:space="preserve"> This residue, along with the observed thermal transitions, highlights the avocado seed’s potential for thermoset polymer reinforcement, pyrolytic conversion to bio</w:t>
      </w:r>
      <w:r w:rsidR="00236698">
        <w:rPr>
          <w:rFonts w:ascii="Times New Roman" w:hAnsi="Times New Roman" w:cs="Times New Roman"/>
          <w:sz w:val="24"/>
          <w:szCs w:val="24"/>
        </w:rPr>
        <w:t>-</w:t>
      </w:r>
      <w:r w:rsidRPr="005B6095">
        <w:rPr>
          <w:rFonts w:ascii="Times New Roman" w:hAnsi="Times New Roman" w:cs="Times New Roman"/>
          <w:sz w:val="24"/>
          <w:szCs w:val="24"/>
        </w:rPr>
        <w:t xml:space="preserve">char, and other heat-stable composite applications. The thermal profile confirms a complex organic matrix with staged degradation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supporting its viability as a bio-based filler in thermally processed materials.</w:t>
      </w:r>
    </w:p>
    <w:p w14:paraId="7D4CB535" w14:textId="77777777" w:rsidR="001D3580" w:rsidRDefault="001D3580" w:rsidP="00492CE0">
      <w:pPr>
        <w:spacing w:after="0" w:line="480" w:lineRule="auto"/>
        <w:jc w:val="both"/>
        <w:rPr>
          <w:rFonts w:ascii="Times New Roman" w:hAnsi="Times New Roman" w:cs="Times New Roman"/>
          <w:b/>
          <w:bCs/>
          <w:sz w:val="24"/>
          <w:szCs w:val="24"/>
        </w:rPr>
      </w:pPr>
    </w:p>
    <w:p w14:paraId="02D0B9BA"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CONCLUSION</w:t>
      </w:r>
    </w:p>
    <w:p w14:paraId="1C71D7A2" w14:textId="77777777" w:rsidR="00CF6A81" w:rsidRPr="005B6095" w:rsidRDefault="00CF6A81"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comprehensive physicochemical, structural, and thermal analyses of avocado seed powder confirm its potential as a multifunctional bio-based material. The mildly acidic pH (5.3) </w:t>
      </w:r>
      <w:r w:rsidR="007D693E" w:rsidRPr="005B6095">
        <w:rPr>
          <w:rFonts w:ascii="Times New Roman" w:hAnsi="Times New Roman" w:cs="Times New Roman"/>
          <w:sz w:val="24"/>
          <w:szCs w:val="24"/>
        </w:rPr>
        <w:t>indicates</w:t>
      </w:r>
      <w:r w:rsidRPr="005B6095">
        <w:rPr>
          <w:rFonts w:ascii="Times New Roman" w:hAnsi="Times New Roman" w:cs="Times New Roman"/>
          <w:sz w:val="24"/>
          <w:szCs w:val="24"/>
        </w:rPr>
        <w:t xml:space="preserve"> the presence of organic acids and phenolics, </w:t>
      </w:r>
      <w:r w:rsidR="007D693E" w:rsidRPr="005B6095">
        <w:rPr>
          <w:rFonts w:ascii="Times New Roman" w:hAnsi="Times New Roman" w:cs="Times New Roman"/>
          <w:sz w:val="24"/>
          <w:szCs w:val="24"/>
        </w:rPr>
        <w:t>thus its viability</w:t>
      </w:r>
      <w:r w:rsidRPr="005B6095">
        <w:rPr>
          <w:rFonts w:ascii="Times New Roman" w:hAnsi="Times New Roman" w:cs="Times New Roman"/>
          <w:sz w:val="24"/>
          <w:szCs w:val="24"/>
        </w:rPr>
        <w:t xml:space="preserve"> in pH-sensitive formulations and reinforcing its compatibility with biodegradable polymer matrices.</w:t>
      </w:r>
      <w:r w:rsidR="00700BF7" w:rsidRPr="00700BF7">
        <w:rPr>
          <w:rFonts w:ascii="Times New Roman" w:hAnsi="Times New Roman" w:cs="Times New Roman"/>
          <w:sz w:val="24"/>
          <w:szCs w:val="24"/>
          <w:vertAlign w:val="superscript"/>
        </w:rPr>
        <w:t>24,27</w:t>
      </w:r>
      <w:r w:rsidRPr="005B6095">
        <w:rPr>
          <w:rFonts w:ascii="Times New Roman" w:hAnsi="Times New Roman" w:cs="Times New Roman"/>
          <w:sz w:val="24"/>
          <w:szCs w:val="24"/>
        </w:rPr>
        <w:t xml:space="preserve"> Solubility </w:t>
      </w:r>
      <w:r w:rsidR="007D693E" w:rsidRPr="005B6095">
        <w:rPr>
          <w:rFonts w:ascii="Times New Roman" w:hAnsi="Times New Roman" w:cs="Times New Roman"/>
          <w:sz w:val="24"/>
          <w:szCs w:val="24"/>
        </w:rPr>
        <w:t>results indicate</w:t>
      </w:r>
      <w:r w:rsidRPr="005B6095">
        <w:rPr>
          <w:rFonts w:ascii="Times New Roman" w:hAnsi="Times New Roman" w:cs="Times New Roman"/>
          <w:sz w:val="24"/>
          <w:szCs w:val="24"/>
        </w:rPr>
        <w:t xml:space="preserve"> limited dissolution in most polar solvents and no interaction with acetone or hot water, suggesting a matrix dominated by insoluble biopolymers such as cellulose, hemicellulose, and lignin.</w:t>
      </w:r>
      <w:r w:rsidR="00700BF7" w:rsidRPr="00700BF7">
        <w:rPr>
          <w:rFonts w:ascii="Times New Roman" w:hAnsi="Times New Roman" w:cs="Times New Roman"/>
          <w:sz w:val="24"/>
          <w:szCs w:val="24"/>
          <w:vertAlign w:val="superscript"/>
        </w:rPr>
        <w:t>16,17</w:t>
      </w:r>
    </w:p>
    <w:p w14:paraId="566A2B22" w14:textId="77777777" w:rsidR="00CF6A81" w:rsidRPr="005B6095" w:rsidRDefault="00CF6A81"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FTIR spectra </w:t>
      </w:r>
      <w:r w:rsidR="007D693E" w:rsidRPr="005B6095">
        <w:rPr>
          <w:rFonts w:ascii="Times New Roman" w:hAnsi="Times New Roman" w:cs="Times New Roman"/>
          <w:sz w:val="24"/>
          <w:szCs w:val="24"/>
        </w:rPr>
        <w:t>revealed</w:t>
      </w:r>
      <w:r w:rsidRPr="005B6095">
        <w:rPr>
          <w:rFonts w:ascii="Times New Roman" w:hAnsi="Times New Roman" w:cs="Times New Roman"/>
          <w:sz w:val="24"/>
          <w:szCs w:val="24"/>
        </w:rPr>
        <w:t xml:space="preserve"> characteristic functional groups including hydroxyls, aromatics, and aliphatic chains, indicative of a complex lignocellulosic </w:t>
      </w:r>
      <w:r w:rsidR="007D693E" w:rsidRPr="005B6095">
        <w:rPr>
          <w:rFonts w:ascii="Times New Roman" w:hAnsi="Times New Roman" w:cs="Times New Roman"/>
          <w:sz w:val="24"/>
          <w:szCs w:val="24"/>
        </w:rPr>
        <w:t>structure</w:t>
      </w:r>
      <w:r w:rsidRPr="005B6095">
        <w:rPr>
          <w:rFonts w:ascii="Times New Roman" w:hAnsi="Times New Roman" w:cs="Times New Roman"/>
          <w:sz w:val="24"/>
          <w:szCs w:val="24"/>
        </w:rPr>
        <w:t>.</w:t>
      </w:r>
      <w:r w:rsidR="00700BF7" w:rsidRPr="00700BF7">
        <w:rPr>
          <w:rFonts w:ascii="Times New Roman" w:hAnsi="Times New Roman" w:cs="Times New Roman"/>
          <w:sz w:val="24"/>
          <w:szCs w:val="24"/>
          <w:vertAlign w:val="superscript"/>
        </w:rPr>
        <w:t>27,28</w:t>
      </w:r>
      <w:r w:rsidRPr="005B6095">
        <w:rPr>
          <w:rFonts w:ascii="Times New Roman" w:hAnsi="Times New Roman" w:cs="Times New Roman"/>
          <w:sz w:val="24"/>
          <w:szCs w:val="24"/>
        </w:rPr>
        <w:t xml:space="preserve"> TGA/DTA analysis </w:t>
      </w:r>
      <w:r w:rsidRPr="005B6095">
        <w:rPr>
          <w:rFonts w:ascii="Times New Roman" w:hAnsi="Times New Roman" w:cs="Times New Roman"/>
          <w:sz w:val="24"/>
          <w:szCs w:val="24"/>
        </w:rPr>
        <w:lastRenderedPageBreak/>
        <w:t>showed a distinct multi-stage thermal degradation profile, with major mass loss between 380–550 °C, corresponding to cellulose and lignin decomposition, and a residual mass (~20%) at 950 °C</w:t>
      </w:r>
      <w:r w:rsidR="007D693E" w:rsidRPr="005B6095">
        <w:rPr>
          <w:rFonts w:ascii="Times New Roman" w:hAnsi="Times New Roman" w:cs="Times New Roman"/>
          <w:sz w:val="24"/>
          <w:szCs w:val="24"/>
        </w:rPr>
        <w:t xml:space="preserve"> proving</w:t>
      </w:r>
      <w:r w:rsidRPr="005B6095">
        <w:rPr>
          <w:rFonts w:ascii="Times New Roman" w:hAnsi="Times New Roman" w:cs="Times New Roman"/>
          <w:sz w:val="24"/>
          <w:szCs w:val="24"/>
        </w:rPr>
        <w:t xml:space="preserve"> thermal resilience and potential for bio</w:t>
      </w:r>
      <w:r w:rsidR="00236698">
        <w:rPr>
          <w:rFonts w:ascii="Times New Roman" w:hAnsi="Times New Roman" w:cs="Times New Roman"/>
          <w:sz w:val="24"/>
          <w:szCs w:val="24"/>
        </w:rPr>
        <w:t>-</w:t>
      </w:r>
      <w:r w:rsidRPr="005B6095">
        <w:rPr>
          <w:rFonts w:ascii="Times New Roman" w:hAnsi="Times New Roman" w:cs="Times New Roman"/>
          <w:sz w:val="24"/>
          <w:szCs w:val="24"/>
        </w:rPr>
        <w:t>char or filler applications.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SEM micrographs displayed angular, porous, and fibrous particles with fracture lines and rough textures, supporting strong mechanical interlocking in polymer composites.</w:t>
      </w:r>
      <w:r w:rsidR="00700BF7" w:rsidRPr="00700BF7">
        <w:rPr>
          <w:rFonts w:ascii="Times New Roman" w:hAnsi="Times New Roman" w:cs="Times New Roman"/>
          <w:sz w:val="24"/>
          <w:szCs w:val="24"/>
          <w:vertAlign w:val="superscript"/>
        </w:rPr>
        <w:t>23,29</w:t>
      </w:r>
      <w:r w:rsidRPr="005B6095">
        <w:rPr>
          <w:rFonts w:ascii="Times New Roman" w:hAnsi="Times New Roman" w:cs="Times New Roman"/>
          <w:sz w:val="24"/>
          <w:szCs w:val="24"/>
        </w:rPr>
        <w:t xml:space="preserve"> EDX analysis confirmed the material’s carbon-rich nature with trace minerals typical of plant residues; notably, high surface iron content </w:t>
      </w:r>
      <w:r w:rsidR="008B150F" w:rsidRPr="005B6095">
        <w:rPr>
          <w:rFonts w:ascii="Times New Roman" w:hAnsi="Times New Roman" w:cs="Times New Roman"/>
          <w:sz w:val="24"/>
          <w:szCs w:val="24"/>
        </w:rPr>
        <w:t>could lead to expanded applications</w:t>
      </w:r>
      <w:r w:rsidRPr="005B6095">
        <w:rPr>
          <w:rFonts w:ascii="Times New Roman" w:hAnsi="Times New Roman" w:cs="Times New Roman"/>
          <w:sz w:val="24"/>
          <w:szCs w:val="24"/>
        </w:rPr>
        <w:t>.</w:t>
      </w:r>
      <w:r w:rsidR="00700BF7" w:rsidRPr="00700BF7">
        <w:rPr>
          <w:rFonts w:ascii="Times New Roman" w:hAnsi="Times New Roman" w:cs="Times New Roman"/>
          <w:sz w:val="24"/>
          <w:szCs w:val="24"/>
          <w:vertAlign w:val="superscript"/>
        </w:rPr>
        <w:t>24,25</w:t>
      </w:r>
    </w:p>
    <w:p w14:paraId="42059A8F" w14:textId="77777777" w:rsidR="002A1B4C" w:rsidRDefault="00CF6A81" w:rsidP="003C41DC">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Altogether, the avocado seed powder exhibits a robust combination of chemical complexity, thermal stability, and morphological traits suitable for value-added applications such as biodegradable composite reinforcement, adsorbents, or thermally processed biomateri</w:t>
      </w:r>
      <w:r w:rsidR="002A0CAA">
        <w:rPr>
          <w:rFonts w:ascii="Times New Roman" w:hAnsi="Times New Roman" w:cs="Times New Roman"/>
          <w:sz w:val="24"/>
          <w:szCs w:val="24"/>
        </w:rPr>
        <w:t>als.</w:t>
      </w:r>
    </w:p>
    <w:p w14:paraId="6C07264E" w14:textId="77777777" w:rsidR="003C41DC" w:rsidRDefault="003C41DC" w:rsidP="003C41DC">
      <w:pPr>
        <w:spacing w:after="0" w:line="480" w:lineRule="auto"/>
        <w:jc w:val="both"/>
        <w:rPr>
          <w:rFonts w:ascii="Times New Roman" w:hAnsi="Times New Roman" w:cs="Times New Roman"/>
          <w:sz w:val="24"/>
          <w:szCs w:val="24"/>
        </w:rPr>
      </w:pPr>
    </w:p>
    <w:p w14:paraId="053E26C9" w14:textId="77777777" w:rsidR="00700BF7" w:rsidRPr="00493C38" w:rsidRDefault="00700BF7" w:rsidP="00700BF7">
      <w:pPr>
        <w:spacing w:line="360" w:lineRule="auto"/>
        <w:jc w:val="both"/>
        <w:rPr>
          <w:rFonts w:ascii="Times New Roman" w:hAnsi="Times New Roman" w:cs="Times New Roman"/>
          <w:b/>
          <w:sz w:val="24"/>
          <w:szCs w:val="24"/>
        </w:rPr>
      </w:pPr>
      <w:bookmarkStart w:id="0" w:name="_GoBack"/>
      <w:bookmarkEnd w:id="0"/>
      <w:r w:rsidRPr="00493C38">
        <w:rPr>
          <w:rFonts w:ascii="Times New Roman" w:hAnsi="Times New Roman" w:cs="Times New Roman"/>
          <w:b/>
          <w:sz w:val="24"/>
          <w:szCs w:val="24"/>
        </w:rPr>
        <w:t>REFERENCES</w:t>
      </w:r>
    </w:p>
    <w:p w14:paraId="3C62A956"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r w:rsidRPr="00A6681D">
        <w:rPr>
          <w:rFonts w:ascii="Times New Roman" w:hAnsi="Times New Roman" w:cs="Times New Roman"/>
          <w:sz w:val="24"/>
          <w:szCs w:val="24"/>
        </w:rPr>
        <w:t xml:space="preserve">Mujtaba, </w:t>
      </w:r>
      <w:r>
        <w:rPr>
          <w:rFonts w:ascii="Times New Roman" w:hAnsi="Times New Roman" w:cs="Times New Roman"/>
          <w:sz w:val="24"/>
          <w:szCs w:val="24"/>
        </w:rPr>
        <w:t>L. F.</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Fraceto</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Fazeli, </w:t>
      </w:r>
      <w:r>
        <w:rPr>
          <w:rFonts w:ascii="Times New Roman" w:hAnsi="Times New Roman" w:cs="Times New Roman"/>
          <w:sz w:val="24"/>
          <w:szCs w:val="24"/>
        </w:rPr>
        <w:t>S.</w:t>
      </w:r>
      <w:r w:rsidRPr="00A6681D">
        <w:rPr>
          <w:rFonts w:ascii="Times New Roman" w:hAnsi="Times New Roman" w:cs="Times New Roman"/>
          <w:sz w:val="24"/>
          <w:szCs w:val="24"/>
        </w:rPr>
        <w:t xml:space="preserve"> Mukherjee, </w:t>
      </w:r>
      <w:r>
        <w:rPr>
          <w:rFonts w:ascii="Times New Roman" w:hAnsi="Times New Roman" w:cs="Times New Roman"/>
          <w:sz w:val="24"/>
          <w:szCs w:val="24"/>
        </w:rPr>
        <w:t>S. 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Savassa</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G. A.</w:t>
      </w:r>
      <w:r w:rsidRPr="00A6681D">
        <w:rPr>
          <w:rFonts w:ascii="Times New Roman" w:hAnsi="Times New Roman" w:cs="Times New Roman"/>
          <w:sz w:val="24"/>
          <w:szCs w:val="24"/>
        </w:rPr>
        <w:t xml:space="preserve"> Medeiros, </w:t>
      </w:r>
      <w:r>
        <w:rPr>
          <w:rFonts w:ascii="Times New Roman" w:hAnsi="Times New Roman" w:cs="Times New Roman"/>
          <w:sz w:val="24"/>
          <w:szCs w:val="24"/>
        </w:rPr>
        <w:t>A. E. S.</w:t>
      </w:r>
      <w:r w:rsidRPr="00A6681D">
        <w:rPr>
          <w:rFonts w:ascii="Times New Roman" w:hAnsi="Times New Roman" w:cs="Times New Roman"/>
          <w:sz w:val="24"/>
          <w:szCs w:val="24"/>
        </w:rPr>
        <w:t xml:space="preserve"> Pereira, </w:t>
      </w:r>
      <w:r>
        <w:rPr>
          <w:rFonts w:ascii="Times New Roman" w:hAnsi="Times New Roman" w:cs="Times New Roman"/>
          <w:sz w:val="24"/>
          <w:szCs w:val="24"/>
        </w:rPr>
        <w:t>S. D.</w:t>
      </w:r>
      <w:r w:rsidRPr="00A6681D">
        <w:rPr>
          <w:rFonts w:ascii="Times New Roman" w:hAnsi="Times New Roman" w:cs="Times New Roman"/>
          <w:sz w:val="24"/>
          <w:szCs w:val="24"/>
        </w:rPr>
        <w:t xml:space="preserve"> Mancini, </w:t>
      </w:r>
      <w:r>
        <w:rPr>
          <w:rFonts w:ascii="Times New Roman" w:hAnsi="Times New Roman" w:cs="Times New Roman"/>
          <w:sz w:val="24"/>
          <w:szCs w:val="24"/>
        </w:rPr>
        <w:t>J.</w:t>
      </w:r>
      <w:r w:rsidRPr="00A6681D">
        <w:rPr>
          <w:rFonts w:ascii="Times New Roman" w:hAnsi="Times New Roman" w:cs="Times New Roman"/>
          <w:sz w:val="24"/>
          <w:szCs w:val="24"/>
        </w:rPr>
        <w:t xml:space="preserve"> Lipponen, &amp; F. Vilaplana, </w:t>
      </w:r>
      <w:r w:rsidRPr="00A6681D">
        <w:rPr>
          <w:rFonts w:ascii="Times New Roman" w:hAnsi="Times New Roman" w:cs="Times New Roman"/>
          <w:i/>
          <w:iCs/>
          <w:sz w:val="24"/>
          <w:szCs w:val="24"/>
        </w:rPr>
        <w:t xml:space="preserve">Journal of Cleaner Production,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402</w:t>
      </w:r>
      <w:r>
        <w:rPr>
          <w:rFonts w:ascii="Times New Roman" w:hAnsi="Times New Roman" w:cs="Times New Roman"/>
          <w:sz w:val="24"/>
          <w:szCs w:val="24"/>
        </w:rPr>
        <w:t>, 136815,</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10.1016/j.jclepro.2023.136815</w:t>
      </w:r>
    </w:p>
    <w:p w14:paraId="30072A8D"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A6681D">
        <w:rPr>
          <w:rFonts w:ascii="Times New Roman" w:hAnsi="Times New Roman" w:cs="Times New Roman"/>
          <w:sz w:val="24"/>
          <w:szCs w:val="24"/>
        </w:rPr>
        <w:t xml:space="preserve"> Segers, </w:t>
      </w:r>
      <w:r>
        <w:rPr>
          <w:rFonts w:ascii="Times New Roman" w:hAnsi="Times New Roman" w:cs="Times New Roman"/>
          <w:sz w:val="24"/>
          <w:szCs w:val="24"/>
        </w:rPr>
        <w:t>P.</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Nimmegeers</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Spiller, </w:t>
      </w:r>
      <w:r>
        <w:rPr>
          <w:rFonts w:ascii="Times New Roman" w:hAnsi="Times New Roman" w:cs="Times New Roman"/>
          <w:sz w:val="24"/>
          <w:szCs w:val="24"/>
        </w:rPr>
        <w:t>G.</w:t>
      </w:r>
      <w:r w:rsidRPr="00A6681D">
        <w:rPr>
          <w:rFonts w:ascii="Times New Roman" w:hAnsi="Times New Roman" w:cs="Times New Roman"/>
          <w:sz w:val="24"/>
          <w:szCs w:val="24"/>
        </w:rPr>
        <w:t xml:space="preserve"> Tofani, </w:t>
      </w:r>
      <w:r>
        <w:rPr>
          <w:rFonts w:ascii="Times New Roman" w:hAnsi="Times New Roman" w:cs="Times New Roman"/>
          <w:sz w:val="24"/>
          <w:szCs w:val="24"/>
        </w:rPr>
        <w:t>E.</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Jasiukaitytė-Grojzdek</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E.</w:t>
      </w:r>
      <w:r w:rsidRPr="00A6681D">
        <w:rPr>
          <w:rFonts w:ascii="Times New Roman" w:hAnsi="Times New Roman" w:cs="Times New Roman"/>
          <w:sz w:val="24"/>
          <w:szCs w:val="24"/>
        </w:rPr>
        <w:t xml:space="preserve"> Dace, </w:t>
      </w:r>
      <w:r>
        <w:rPr>
          <w:rFonts w:ascii="Times New Roman" w:hAnsi="Times New Roman" w:cs="Times New Roman"/>
          <w:sz w:val="24"/>
          <w:szCs w:val="24"/>
        </w:rPr>
        <w:t>T.</w:t>
      </w:r>
      <w:r w:rsidRPr="00A6681D">
        <w:rPr>
          <w:rFonts w:ascii="Times New Roman" w:hAnsi="Times New Roman" w:cs="Times New Roman"/>
          <w:sz w:val="24"/>
          <w:szCs w:val="24"/>
        </w:rPr>
        <w:t xml:space="preserve"> Kikas, </w:t>
      </w:r>
      <w:r>
        <w:rPr>
          <w:rFonts w:ascii="Times New Roman" w:hAnsi="Times New Roman" w:cs="Times New Roman"/>
          <w:sz w:val="24"/>
          <w:szCs w:val="24"/>
        </w:rPr>
        <w:t>J. M.</w:t>
      </w:r>
      <w:r w:rsidRPr="00A6681D">
        <w:rPr>
          <w:rFonts w:ascii="Times New Roman" w:hAnsi="Times New Roman" w:cs="Times New Roman"/>
          <w:sz w:val="24"/>
          <w:szCs w:val="24"/>
        </w:rPr>
        <w:t xml:space="preserve"> Marchetti, </w:t>
      </w:r>
      <w:r>
        <w:rPr>
          <w:rFonts w:ascii="Times New Roman" w:hAnsi="Times New Roman" w:cs="Times New Roman"/>
          <w:sz w:val="24"/>
          <w:szCs w:val="24"/>
        </w:rPr>
        <w:t>M.</w:t>
      </w:r>
      <w:r w:rsidRPr="00A6681D">
        <w:rPr>
          <w:rFonts w:ascii="Times New Roman" w:hAnsi="Times New Roman" w:cs="Times New Roman"/>
          <w:sz w:val="24"/>
          <w:szCs w:val="24"/>
        </w:rPr>
        <w:t xml:space="preserve"> Rajić, </w:t>
      </w:r>
      <w:r>
        <w:rPr>
          <w:rFonts w:ascii="Times New Roman" w:hAnsi="Times New Roman" w:cs="Times New Roman"/>
          <w:sz w:val="24"/>
          <w:szCs w:val="24"/>
        </w:rPr>
        <w:t>G.</w:t>
      </w:r>
      <w:r w:rsidRPr="00A6681D">
        <w:rPr>
          <w:rFonts w:ascii="Times New Roman" w:hAnsi="Times New Roman" w:cs="Times New Roman"/>
          <w:sz w:val="24"/>
          <w:szCs w:val="24"/>
        </w:rPr>
        <w:t xml:space="preserve"> Yildiz, &amp; P. Billen, </w:t>
      </w:r>
      <w:r w:rsidRPr="00A6681D">
        <w:rPr>
          <w:rFonts w:ascii="Times New Roman" w:hAnsi="Times New Roman" w:cs="Times New Roman"/>
          <w:i/>
          <w:iCs/>
          <w:sz w:val="24"/>
          <w:szCs w:val="24"/>
        </w:rPr>
        <w:t xml:space="preserve">RSC Sustainability, </w:t>
      </w:r>
      <w:r>
        <w:rPr>
          <w:rFonts w:ascii="Times New Roman" w:hAnsi="Times New Roman" w:cs="Times New Roman"/>
          <w:sz w:val="24"/>
          <w:szCs w:val="24"/>
        </w:rPr>
        <w:t>2024,</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w:t>
      </w:r>
      <w:r>
        <w:rPr>
          <w:rFonts w:ascii="Times New Roman" w:hAnsi="Times New Roman" w:cs="Times New Roman"/>
          <w:sz w:val="24"/>
          <w:szCs w:val="24"/>
        </w:rPr>
        <w:t>(3730),</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10.1039/d4su00342j</w:t>
      </w:r>
    </w:p>
    <w:p w14:paraId="1DF822B0"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A6681D">
        <w:rPr>
          <w:rFonts w:ascii="Times New Roman" w:hAnsi="Times New Roman" w:cs="Times New Roman"/>
          <w:sz w:val="24"/>
          <w:szCs w:val="24"/>
        </w:rPr>
        <w:t xml:space="preserve"> Féliz-Jiménez, &amp; R. Sanchez-Rosario, </w:t>
      </w:r>
      <w:r w:rsidRPr="00A6681D">
        <w:rPr>
          <w:rFonts w:ascii="Times New Roman" w:hAnsi="Times New Roman" w:cs="Times New Roman"/>
          <w:i/>
          <w:iCs/>
          <w:sz w:val="24"/>
          <w:szCs w:val="24"/>
        </w:rPr>
        <w:t xml:space="preserve">Applied Sciences, </w:t>
      </w:r>
      <w:r w:rsidRPr="00A6681D">
        <w:rPr>
          <w:rFonts w:ascii="Times New Roman" w:hAnsi="Times New Roman" w:cs="Times New Roman"/>
          <w:sz w:val="24"/>
          <w:szCs w:val="24"/>
        </w:rPr>
        <w:t>2024</w:t>
      </w:r>
      <w:r>
        <w:rPr>
          <w:rFonts w:ascii="Times New Roman" w:hAnsi="Times New Roman" w:cs="Times New Roman"/>
          <w:sz w:val="24"/>
          <w:szCs w:val="24"/>
        </w:rPr>
        <w:t xml:space="preserve">, </w:t>
      </w:r>
      <w:r w:rsidRPr="00A6681D">
        <w:rPr>
          <w:rFonts w:ascii="Times New Roman" w:hAnsi="Times New Roman" w:cs="Times New Roman"/>
          <w:i/>
          <w:iCs/>
          <w:sz w:val="24"/>
          <w:szCs w:val="24"/>
        </w:rPr>
        <w:t>14</w:t>
      </w:r>
      <w:r w:rsidRPr="00A6681D">
        <w:rPr>
          <w:rFonts w:ascii="Times New Roman" w:hAnsi="Times New Roman" w:cs="Times New Roman"/>
          <w:sz w:val="24"/>
          <w:szCs w:val="24"/>
        </w:rPr>
        <w:t>(21), 10070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10.3390/app142110070</w:t>
      </w:r>
    </w:p>
    <w:p w14:paraId="53578E02"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A6681D">
        <w:rPr>
          <w:rFonts w:ascii="Times New Roman" w:hAnsi="Times New Roman" w:cs="Times New Roman"/>
          <w:sz w:val="24"/>
          <w:szCs w:val="24"/>
        </w:rPr>
        <w:t xml:space="preserve"> Merino, </w:t>
      </w:r>
      <w:r>
        <w:rPr>
          <w:rFonts w:ascii="Times New Roman" w:hAnsi="Times New Roman" w:cs="Times New Roman"/>
          <w:sz w:val="24"/>
          <w:szCs w:val="24"/>
        </w:rPr>
        <w:t>L.</w:t>
      </w:r>
      <w:r w:rsidRPr="00A6681D">
        <w:rPr>
          <w:rFonts w:ascii="Times New Roman" w:hAnsi="Times New Roman" w:cs="Times New Roman"/>
          <w:sz w:val="24"/>
          <w:szCs w:val="24"/>
        </w:rPr>
        <w:t xml:space="preserve"> Bertolacci, </w:t>
      </w:r>
      <w:r>
        <w:rPr>
          <w:rFonts w:ascii="Times New Roman" w:hAnsi="Times New Roman" w:cs="Times New Roman"/>
          <w:sz w:val="24"/>
          <w:szCs w:val="24"/>
        </w:rPr>
        <w:t>U. C.</w:t>
      </w:r>
      <w:r w:rsidRPr="00A6681D">
        <w:rPr>
          <w:rFonts w:ascii="Times New Roman" w:hAnsi="Times New Roman" w:cs="Times New Roman"/>
          <w:sz w:val="24"/>
          <w:szCs w:val="24"/>
        </w:rPr>
        <w:t xml:space="preserve"> Paul, </w:t>
      </w:r>
      <w:r>
        <w:rPr>
          <w:rFonts w:ascii="Times New Roman" w:hAnsi="Times New Roman" w:cs="Times New Roman"/>
          <w:sz w:val="24"/>
          <w:szCs w:val="24"/>
        </w:rPr>
        <w:t>R.</w:t>
      </w:r>
      <w:r w:rsidRPr="00A6681D">
        <w:rPr>
          <w:rFonts w:ascii="Times New Roman" w:hAnsi="Times New Roman" w:cs="Times New Roman"/>
          <w:sz w:val="24"/>
          <w:szCs w:val="24"/>
        </w:rPr>
        <w:t xml:space="preserve"> Simonutti, &amp; A. </w:t>
      </w:r>
      <w:proofErr w:type="spellStart"/>
      <w:r w:rsidRPr="00A6681D">
        <w:rPr>
          <w:rFonts w:ascii="Times New Roman" w:hAnsi="Times New Roman" w:cs="Times New Roman"/>
          <w:sz w:val="24"/>
          <w:szCs w:val="24"/>
        </w:rPr>
        <w:t>Athanassiou</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ACS Applied Materials &amp; Interfaces,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13</w:t>
      </w:r>
      <w:r>
        <w:rPr>
          <w:rFonts w:ascii="Times New Roman" w:hAnsi="Times New Roman" w:cs="Times New Roman"/>
          <w:sz w:val="24"/>
          <w:szCs w:val="24"/>
        </w:rPr>
        <w:t>(33), 38688–38699,</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10.1021/acsami.1c09433</w:t>
      </w:r>
    </w:p>
    <w:p w14:paraId="60EFB4EC" w14:textId="77777777" w:rsidR="00700BF7" w:rsidRPr="00FD297C" w:rsidRDefault="00700BF7" w:rsidP="00700BF7">
      <w:pPr>
        <w:pStyle w:val="ListParagraph"/>
        <w:numPr>
          <w:ilvl w:val="0"/>
          <w:numId w:val="10"/>
        </w:numPr>
        <w:spacing w:line="240" w:lineRule="auto"/>
        <w:jc w:val="both"/>
        <w:rPr>
          <w:rFonts w:ascii="Times New Roman" w:hAnsi="Times New Roman" w:cs="Times New Roman"/>
          <w:sz w:val="24"/>
          <w:szCs w:val="24"/>
        </w:rPr>
      </w:pPr>
      <w:r w:rsidRPr="00FD297C">
        <w:rPr>
          <w:rFonts w:ascii="Times New Roman" w:hAnsi="Times New Roman" w:cs="Times New Roman"/>
          <w:sz w:val="24"/>
          <w:szCs w:val="24"/>
        </w:rPr>
        <w:t xml:space="preserve">S. Barua, G. Shome, S. Dolai, &amp; J. Sarwar, </w:t>
      </w:r>
      <w:r w:rsidRPr="00FD297C">
        <w:rPr>
          <w:rFonts w:ascii="Times New Roman" w:hAnsi="Times New Roman" w:cs="Times New Roman"/>
          <w:i/>
          <w:sz w:val="24"/>
          <w:szCs w:val="24"/>
        </w:rPr>
        <w:t>Springer,</w:t>
      </w:r>
      <w:r w:rsidRPr="00FD297C">
        <w:rPr>
          <w:rFonts w:ascii="Times New Roman" w:hAnsi="Times New Roman" w:cs="Times New Roman"/>
          <w:sz w:val="24"/>
          <w:szCs w:val="24"/>
        </w:rPr>
        <w:t xml:space="preserve"> 2025, 295–334, DOI: 10.1007/978-981-96-2786-8_12</w:t>
      </w:r>
    </w:p>
    <w:p w14:paraId="66FCA589" w14:textId="77777777" w:rsidR="00700BF7" w:rsidRPr="00FD297C" w:rsidRDefault="00700BF7" w:rsidP="00700BF7">
      <w:pPr>
        <w:pStyle w:val="ListParagraph"/>
        <w:numPr>
          <w:ilvl w:val="0"/>
          <w:numId w:val="10"/>
        </w:numPr>
        <w:spacing w:line="240" w:lineRule="auto"/>
        <w:jc w:val="both"/>
        <w:rPr>
          <w:rFonts w:ascii="Times New Roman" w:hAnsi="Times New Roman" w:cs="Times New Roman"/>
          <w:sz w:val="24"/>
          <w:szCs w:val="24"/>
        </w:rPr>
      </w:pPr>
      <w:r w:rsidRPr="00FD297C">
        <w:rPr>
          <w:rFonts w:ascii="Times New Roman" w:hAnsi="Times New Roman" w:cs="Times New Roman"/>
          <w:sz w:val="24"/>
          <w:szCs w:val="24"/>
        </w:rPr>
        <w:t xml:space="preserve">F. J. Stadler, &amp; L. Du, (Eds.). </w:t>
      </w:r>
      <w:r w:rsidRPr="00FD297C">
        <w:rPr>
          <w:rFonts w:ascii="Times New Roman" w:hAnsi="Times New Roman" w:cs="Times New Roman"/>
          <w:i/>
          <w:iCs/>
          <w:sz w:val="24"/>
          <w:szCs w:val="24"/>
        </w:rPr>
        <w:t xml:space="preserve">Polymers, </w:t>
      </w:r>
      <w:r w:rsidRPr="00FD297C">
        <w:rPr>
          <w:rFonts w:ascii="Times New Roman" w:hAnsi="Times New Roman" w:cs="Times New Roman"/>
          <w:sz w:val="24"/>
          <w:szCs w:val="24"/>
        </w:rPr>
        <w:t xml:space="preserve">2021, </w:t>
      </w:r>
      <w:r w:rsidRPr="00FD297C">
        <w:rPr>
          <w:rFonts w:ascii="Times New Roman" w:hAnsi="Times New Roman" w:cs="Times New Roman"/>
          <w:i/>
          <w:iCs/>
          <w:sz w:val="24"/>
          <w:szCs w:val="24"/>
        </w:rPr>
        <w:t>13</w:t>
      </w:r>
      <w:r w:rsidRPr="00FD297C">
        <w:rPr>
          <w:rFonts w:ascii="Times New Roman" w:hAnsi="Times New Roman" w:cs="Times New Roman"/>
          <w:sz w:val="24"/>
          <w:szCs w:val="24"/>
        </w:rPr>
        <w:t>(11), 1737, DOI: 10.3390/polym13111737</w:t>
      </w:r>
    </w:p>
    <w:p w14:paraId="056776E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 T.</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Hayajneh</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 M.</w:t>
      </w:r>
      <w:r w:rsidRPr="00A6681D">
        <w:rPr>
          <w:rFonts w:ascii="Times New Roman" w:hAnsi="Times New Roman" w:cs="Times New Roman"/>
          <w:sz w:val="24"/>
          <w:szCs w:val="24"/>
        </w:rPr>
        <w:t xml:space="preserve"> Al-Shrida, &amp; F. M. AL-</w:t>
      </w:r>
      <w:proofErr w:type="spellStart"/>
      <w:r w:rsidRPr="00A6681D">
        <w:rPr>
          <w:rFonts w:ascii="Times New Roman" w:hAnsi="Times New Roman" w:cs="Times New Roman"/>
          <w:sz w:val="24"/>
          <w:szCs w:val="24"/>
        </w:rPr>
        <w:t>Oqla</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e-Polymers, </w:t>
      </w:r>
      <w:r w:rsidRPr="00A6681D">
        <w:rPr>
          <w:rFonts w:ascii="Times New Roman" w:hAnsi="Times New Roman" w:cs="Times New Roman"/>
          <w:sz w:val="24"/>
          <w:szCs w:val="24"/>
        </w:rPr>
        <w:t>2022</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22</w:t>
      </w:r>
      <w:r>
        <w:rPr>
          <w:rFonts w:ascii="Times New Roman" w:hAnsi="Times New Roman" w:cs="Times New Roman"/>
          <w:sz w:val="24"/>
          <w:szCs w:val="24"/>
        </w:rPr>
        <w:t>(1),</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10.1515/epoly-2022-0062</w:t>
      </w:r>
    </w:p>
    <w:p w14:paraId="6D483DBF"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Torğut</w:t>
      </w:r>
      <w:proofErr w:type="spellEnd"/>
      <w:r w:rsidRPr="00A6681D">
        <w:rPr>
          <w:rFonts w:ascii="Times New Roman" w:hAnsi="Times New Roman" w:cs="Times New Roman"/>
          <w:sz w:val="24"/>
          <w:szCs w:val="24"/>
        </w:rPr>
        <w:t xml:space="preserve">, &amp; N. Gürler, </w:t>
      </w:r>
      <w:r w:rsidRPr="00A6681D">
        <w:rPr>
          <w:rFonts w:ascii="Times New Roman" w:hAnsi="Times New Roman" w:cs="Times New Roman"/>
          <w:i/>
          <w:iCs/>
          <w:sz w:val="24"/>
          <w:szCs w:val="24"/>
        </w:rPr>
        <w:t xml:space="preserve">Journal of Polymer Research, </w:t>
      </w:r>
      <w:r>
        <w:rPr>
          <w:rFonts w:ascii="Times New Roman" w:hAnsi="Times New Roman" w:cs="Times New Roman"/>
          <w:sz w:val="24"/>
          <w:szCs w:val="24"/>
        </w:rPr>
        <w:t>2021,</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28</w:t>
      </w:r>
      <w:r>
        <w:rPr>
          <w:rFonts w:ascii="Times New Roman" w:hAnsi="Times New Roman" w:cs="Times New Roman"/>
          <w:sz w:val="24"/>
          <w:szCs w:val="24"/>
        </w:rPr>
        <w:t>, 452,</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10.1007/s10965-021-02816-3</w:t>
      </w:r>
    </w:p>
    <w:p w14:paraId="0775C87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Pr="00A6681D">
        <w:rPr>
          <w:rFonts w:ascii="Times New Roman" w:hAnsi="Times New Roman" w:cs="Times New Roman"/>
          <w:sz w:val="24"/>
          <w:szCs w:val="24"/>
        </w:rPr>
        <w:t xml:space="preserve"> Hu, </w:t>
      </w:r>
      <w:r>
        <w:rPr>
          <w:rFonts w:ascii="Times New Roman" w:hAnsi="Times New Roman" w:cs="Times New Roman"/>
          <w:sz w:val="24"/>
          <w:szCs w:val="24"/>
        </w:rPr>
        <w:t>T.</w:t>
      </w:r>
      <w:r w:rsidRPr="00A6681D">
        <w:rPr>
          <w:rFonts w:ascii="Times New Roman" w:hAnsi="Times New Roman" w:cs="Times New Roman"/>
          <w:sz w:val="24"/>
          <w:szCs w:val="24"/>
        </w:rPr>
        <w:t xml:space="preserve"> Hong, </w:t>
      </w:r>
      <w:r>
        <w:rPr>
          <w:rFonts w:ascii="Times New Roman" w:hAnsi="Times New Roman" w:cs="Times New Roman"/>
          <w:sz w:val="24"/>
          <w:szCs w:val="24"/>
        </w:rPr>
        <w:t>S.</w:t>
      </w:r>
      <w:r w:rsidRPr="00A6681D">
        <w:rPr>
          <w:rFonts w:ascii="Times New Roman" w:hAnsi="Times New Roman" w:cs="Times New Roman"/>
          <w:sz w:val="24"/>
          <w:szCs w:val="24"/>
        </w:rPr>
        <w:t xml:space="preserve"> Zhou, </w:t>
      </w:r>
      <w:r>
        <w:rPr>
          <w:rFonts w:ascii="Times New Roman" w:hAnsi="Times New Roman" w:cs="Times New Roman"/>
          <w:sz w:val="24"/>
          <w:szCs w:val="24"/>
        </w:rPr>
        <w:t>C.</w:t>
      </w:r>
      <w:r w:rsidRPr="00A6681D">
        <w:rPr>
          <w:rFonts w:ascii="Times New Roman" w:hAnsi="Times New Roman" w:cs="Times New Roman"/>
          <w:sz w:val="24"/>
          <w:szCs w:val="24"/>
        </w:rPr>
        <w:t xml:space="preserve"> He, </w:t>
      </w:r>
      <w:r>
        <w:rPr>
          <w:rFonts w:ascii="Times New Roman" w:hAnsi="Times New Roman" w:cs="Times New Roman"/>
          <w:sz w:val="24"/>
          <w:szCs w:val="24"/>
        </w:rPr>
        <w:t>H.</w:t>
      </w:r>
      <w:r w:rsidRPr="00A6681D">
        <w:rPr>
          <w:rFonts w:ascii="Times New Roman" w:hAnsi="Times New Roman" w:cs="Times New Roman"/>
          <w:sz w:val="24"/>
          <w:szCs w:val="24"/>
        </w:rPr>
        <w:t xml:space="preserve"> He, &amp; S. Wang, </w:t>
      </w:r>
      <w:r w:rsidRPr="00A6681D">
        <w:rPr>
          <w:rFonts w:ascii="Times New Roman" w:hAnsi="Times New Roman" w:cs="Times New Roman"/>
          <w:i/>
          <w:iCs/>
          <w:sz w:val="24"/>
          <w:szCs w:val="24"/>
        </w:rPr>
        <w:t xml:space="preserve">Buildings, </w:t>
      </w:r>
      <w:r w:rsidRPr="00A6681D">
        <w:rPr>
          <w:rFonts w:ascii="Times New Roman" w:hAnsi="Times New Roman" w:cs="Times New Roman"/>
          <w:sz w:val="24"/>
          <w:szCs w:val="24"/>
        </w:rPr>
        <w:t>2024</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14</w:t>
      </w:r>
      <w:r w:rsidRPr="00A6681D">
        <w:rPr>
          <w:rFonts w:ascii="Times New Roman" w:hAnsi="Times New Roman" w:cs="Times New Roman"/>
          <w:sz w:val="24"/>
          <w:szCs w:val="24"/>
        </w:rPr>
        <w:t>(12), 4020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10.3390/buildings14124020</w:t>
      </w:r>
    </w:p>
    <w:p w14:paraId="4C975ADC"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A6681D">
        <w:rPr>
          <w:rFonts w:ascii="Times New Roman" w:hAnsi="Times New Roman" w:cs="Times New Roman"/>
          <w:sz w:val="24"/>
          <w:szCs w:val="24"/>
        </w:rPr>
        <w:t xml:space="preserve"> Ates, &amp; P. Kuz, </w:t>
      </w:r>
      <w:r w:rsidRPr="00A6681D">
        <w:rPr>
          <w:rFonts w:ascii="Times New Roman" w:hAnsi="Times New Roman" w:cs="Times New Roman"/>
          <w:i/>
          <w:iCs/>
          <w:sz w:val="24"/>
          <w:szCs w:val="24"/>
        </w:rPr>
        <w:t xml:space="preserve">Journal of Sustainable Construction Materials and Technologies, </w:t>
      </w:r>
      <w:r w:rsidRPr="00A6681D">
        <w:rPr>
          <w:rFonts w:ascii="Times New Roman" w:hAnsi="Times New Roman" w:cs="Times New Roman"/>
          <w:sz w:val="24"/>
          <w:szCs w:val="24"/>
        </w:rPr>
        <w:t>2020</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5</w:t>
      </w:r>
      <w:r>
        <w:rPr>
          <w:rFonts w:ascii="Times New Roman" w:hAnsi="Times New Roman" w:cs="Times New Roman"/>
          <w:sz w:val="24"/>
          <w:szCs w:val="24"/>
        </w:rPr>
        <w:t>(1), 399–406,</w:t>
      </w:r>
      <w:r w:rsidRPr="00A6681D">
        <w:rPr>
          <w:rFonts w:ascii="Times New Roman" w:hAnsi="Times New Roman" w:cs="Times New Roman"/>
          <w:sz w:val="24"/>
          <w:szCs w:val="24"/>
        </w:rPr>
        <w:t xml:space="preserve"> </w:t>
      </w:r>
      <w:hyperlink r:id="rId11" w:history="1">
        <w:r w:rsidRPr="001D1A25">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Style w:val="Hyperlink"/>
            <w:rFonts w:ascii="Times New Roman" w:hAnsi="Times New Roman" w:cs="Times New Roman"/>
            <w:color w:val="auto"/>
            <w:sz w:val="24"/>
            <w:szCs w:val="24"/>
            <w:u w:val="none"/>
          </w:rPr>
          <w:t>10.29187/jscmt.2020.44</w:t>
        </w:r>
      </w:hyperlink>
    </w:p>
    <w:p w14:paraId="65859285"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C. O.</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Nyakang’i</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E.</w:t>
      </w:r>
      <w:r w:rsidRPr="00A6681D">
        <w:rPr>
          <w:rFonts w:ascii="Times New Roman" w:hAnsi="Times New Roman" w:cs="Times New Roman"/>
          <w:sz w:val="24"/>
          <w:szCs w:val="24"/>
        </w:rPr>
        <w:t xml:space="preserve"> Marete, </w:t>
      </w:r>
      <w:r>
        <w:rPr>
          <w:rFonts w:ascii="Times New Roman" w:hAnsi="Times New Roman" w:cs="Times New Roman"/>
          <w:sz w:val="24"/>
          <w:szCs w:val="24"/>
        </w:rPr>
        <w:t>R. A.</w:t>
      </w:r>
      <w:r w:rsidRPr="00A6681D">
        <w:rPr>
          <w:rFonts w:ascii="Times New Roman" w:hAnsi="Times New Roman" w:cs="Times New Roman"/>
          <w:sz w:val="24"/>
          <w:szCs w:val="24"/>
        </w:rPr>
        <w:t xml:space="preserve"> Ebere, </w:t>
      </w:r>
      <w:r>
        <w:rPr>
          <w:rFonts w:ascii="Times New Roman" w:hAnsi="Times New Roman" w:cs="Times New Roman"/>
          <w:sz w:val="24"/>
          <w:szCs w:val="24"/>
        </w:rPr>
        <w:t>J. M.</w:t>
      </w:r>
      <w:r w:rsidRPr="00A6681D">
        <w:rPr>
          <w:rFonts w:ascii="Times New Roman" w:hAnsi="Times New Roman" w:cs="Times New Roman"/>
          <w:sz w:val="24"/>
          <w:szCs w:val="24"/>
        </w:rPr>
        <w:t xml:space="preserve"> Arimi, &amp; others. </w:t>
      </w:r>
      <w:r w:rsidRPr="00A6681D">
        <w:rPr>
          <w:rFonts w:ascii="Times New Roman" w:hAnsi="Times New Roman" w:cs="Times New Roman"/>
          <w:i/>
          <w:iCs/>
          <w:sz w:val="24"/>
          <w:szCs w:val="24"/>
        </w:rPr>
        <w:t xml:space="preserve">International Journal of Food Science, </w:t>
      </w:r>
      <w:r w:rsidRPr="00A6681D">
        <w:rPr>
          <w:rFonts w:ascii="Times New Roman" w:hAnsi="Times New Roman" w:cs="Times New Roman"/>
          <w:sz w:val="24"/>
          <w:szCs w:val="24"/>
        </w:rPr>
        <w:t>2023</w:t>
      </w:r>
      <w:r>
        <w:rPr>
          <w:rFonts w:ascii="Times New Roman" w:hAnsi="Times New Roman" w:cs="Times New Roman"/>
          <w:sz w:val="24"/>
          <w:szCs w:val="24"/>
        </w:rPr>
        <w:t>, 6860806,</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10.1155/2023/6860806</w:t>
      </w:r>
    </w:p>
    <w:p w14:paraId="5052E809"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Siol</w:t>
      </w:r>
      <w:proofErr w:type="spellEnd"/>
      <w:r w:rsidRPr="00A6681D">
        <w:rPr>
          <w:rFonts w:ascii="Times New Roman" w:hAnsi="Times New Roman" w:cs="Times New Roman"/>
          <w:sz w:val="24"/>
          <w:szCs w:val="24"/>
        </w:rPr>
        <w:t xml:space="preserve">, &amp; A. Sadowska, </w:t>
      </w:r>
      <w:r w:rsidRPr="00A6681D">
        <w:rPr>
          <w:rFonts w:ascii="Times New Roman" w:hAnsi="Times New Roman" w:cs="Times New Roman"/>
          <w:i/>
          <w:iCs/>
          <w:sz w:val="24"/>
          <w:szCs w:val="24"/>
        </w:rPr>
        <w:t xml:space="preserve">Agriculture,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13</w:t>
      </w:r>
      <w:r>
        <w:rPr>
          <w:rFonts w:ascii="Times New Roman" w:hAnsi="Times New Roman" w:cs="Times New Roman"/>
          <w:sz w:val="24"/>
          <w:szCs w:val="24"/>
        </w:rPr>
        <w:t>(2), 316,</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10.3390/agriculture13020316</w:t>
      </w:r>
    </w:p>
    <w:p w14:paraId="179C7471"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lastRenderedPageBreak/>
        <w:t xml:space="preserve">S. A. Khan, S. B. Khan, L. U. Khan, A. Farooq, K. Akhtar, &amp; A. M. Asiri, </w:t>
      </w:r>
      <w:r w:rsidRPr="00C047AE">
        <w:rPr>
          <w:rFonts w:ascii="Times New Roman" w:hAnsi="Times New Roman" w:cs="Times New Roman"/>
          <w:i/>
          <w:sz w:val="24"/>
          <w:szCs w:val="24"/>
        </w:rPr>
        <w:t>Springer,</w:t>
      </w:r>
      <w:r w:rsidRPr="00C047AE">
        <w:rPr>
          <w:rFonts w:ascii="Times New Roman" w:hAnsi="Times New Roman" w:cs="Times New Roman"/>
          <w:sz w:val="24"/>
          <w:szCs w:val="24"/>
        </w:rPr>
        <w:t xml:space="preserve"> 2019, 317–350, DOI: 10.1007/978-3-319-92955-2_9</w:t>
      </w:r>
    </w:p>
    <w:p w14:paraId="682BDE5A" w14:textId="77777777" w:rsidR="00700BF7" w:rsidRPr="003B32BA"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3B32BA">
        <w:rPr>
          <w:rFonts w:ascii="Times New Roman" w:hAnsi="Times New Roman" w:cs="Times New Roman"/>
          <w:sz w:val="24"/>
          <w:szCs w:val="24"/>
        </w:rPr>
        <w:t xml:space="preserve"> Dev, &amp; M. Mukadam, </w:t>
      </w:r>
      <w:r w:rsidRPr="003B32BA">
        <w:rPr>
          <w:rFonts w:ascii="Times New Roman" w:hAnsi="Times New Roman" w:cs="Times New Roman"/>
          <w:i/>
          <w:iCs/>
          <w:sz w:val="24"/>
          <w:szCs w:val="24"/>
        </w:rPr>
        <w:t xml:space="preserve">World Journal of Biology Pharmacy and Health Sciences, </w:t>
      </w:r>
      <w:r w:rsidRPr="003B32BA">
        <w:rPr>
          <w:rFonts w:ascii="Times New Roman" w:hAnsi="Times New Roman" w:cs="Times New Roman"/>
          <w:sz w:val="24"/>
          <w:szCs w:val="24"/>
        </w:rPr>
        <w:t>2025</w:t>
      </w:r>
      <w:r>
        <w:rPr>
          <w:rFonts w:ascii="Times New Roman" w:hAnsi="Times New Roman" w:cs="Times New Roman"/>
          <w:sz w:val="24"/>
          <w:szCs w:val="24"/>
        </w:rPr>
        <w:t>,</w:t>
      </w:r>
      <w:r w:rsidRPr="003B32BA">
        <w:rPr>
          <w:rFonts w:ascii="Times New Roman" w:hAnsi="Times New Roman" w:cs="Times New Roman"/>
          <w:sz w:val="24"/>
          <w:szCs w:val="24"/>
        </w:rPr>
        <w:t xml:space="preserve"> </w:t>
      </w:r>
      <w:r w:rsidRPr="003B32BA">
        <w:rPr>
          <w:rFonts w:ascii="Times New Roman" w:hAnsi="Times New Roman" w:cs="Times New Roman"/>
          <w:i/>
          <w:iCs/>
          <w:sz w:val="24"/>
          <w:szCs w:val="24"/>
        </w:rPr>
        <w:t>21</w:t>
      </w:r>
      <w:r>
        <w:rPr>
          <w:rFonts w:ascii="Times New Roman" w:hAnsi="Times New Roman" w:cs="Times New Roman"/>
          <w:sz w:val="24"/>
          <w:szCs w:val="24"/>
        </w:rPr>
        <w:t>(1), 243–249,</w:t>
      </w:r>
      <w:r w:rsidRPr="003B32BA">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3B32BA">
        <w:rPr>
          <w:rFonts w:ascii="Times New Roman" w:hAnsi="Times New Roman" w:cs="Times New Roman"/>
          <w:sz w:val="24"/>
          <w:szCs w:val="24"/>
        </w:rPr>
        <w:t>10.30574/wjbphs.2025.21.1.0039</w:t>
      </w:r>
    </w:p>
    <w:p w14:paraId="75FE1196"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 xml:space="preserve">I. M. Siddique, </w:t>
      </w:r>
      <w:r w:rsidRPr="00C047AE">
        <w:rPr>
          <w:rFonts w:ascii="Times New Roman" w:hAnsi="Times New Roman" w:cs="Times New Roman"/>
          <w:i/>
          <w:iCs/>
          <w:sz w:val="24"/>
          <w:szCs w:val="24"/>
        </w:rPr>
        <w:t>Chemistry Research Journal,</w:t>
      </w:r>
      <w:r w:rsidRPr="00C047AE">
        <w:rPr>
          <w:rFonts w:ascii="Times New Roman" w:hAnsi="Times New Roman" w:cs="Times New Roman"/>
          <w:sz w:val="24"/>
          <w:szCs w:val="24"/>
        </w:rPr>
        <w:t xml:space="preserve"> 2024</w:t>
      </w:r>
      <w:r w:rsidRPr="00C047AE">
        <w:rPr>
          <w:rFonts w:ascii="Times New Roman" w:hAnsi="Times New Roman" w:cs="Times New Roman"/>
          <w:i/>
          <w:iCs/>
          <w:sz w:val="24"/>
          <w:szCs w:val="24"/>
        </w:rPr>
        <w:t>, 9</w:t>
      </w:r>
      <w:r w:rsidRPr="00C047AE">
        <w:rPr>
          <w:rFonts w:ascii="Times New Roman" w:hAnsi="Times New Roman" w:cs="Times New Roman"/>
          <w:sz w:val="24"/>
          <w:szCs w:val="24"/>
        </w:rPr>
        <w:t>(2), 70–76, https://chemrj.org/download/vol-9-iss-2-2024/chemrj-2024-09-02-70-76.pdf</w:t>
      </w:r>
    </w:p>
    <w:p w14:paraId="2EF5A11A"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A6681D">
        <w:rPr>
          <w:rFonts w:ascii="Times New Roman" w:hAnsi="Times New Roman" w:cs="Times New Roman"/>
          <w:sz w:val="24"/>
          <w:szCs w:val="24"/>
        </w:rPr>
        <w:t xml:space="preserve"> Molina-Balmaceda, </w:t>
      </w:r>
      <w:r>
        <w:rPr>
          <w:rFonts w:ascii="Times New Roman" w:hAnsi="Times New Roman" w:cs="Times New Roman"/>
          <w:sz w:val="24"/>
          <w:szCs w:val="24"/>
        </w:rPr>
        <w:t>V.</w:t>
      </w:r>
      <w:r w:rsidRPr="00A6681D">
        <w:rPr>
          <w:rFonts w:ascii="Times New Roman" w:hAnsi="Times New Roman" w:cs="Times New Roman"/>
          <w:sz w:val="24"/>
          <w:szCs w:val="24"/>
        </w:rPr>
        <w:t xml:space="preserve"> Rojas-Candia, </w:t>
      </w:r>
      <w:r>
        <w:rPr>
          <w:rFonts w:ascii="Times New Roman" w:hAnsi="Times New Roman" w:cs="Times New Roman"/>
          <w:sz w:val="24"/>
          <w:szCs w:val="24"/>
        </w:rPr>
        <w:t>D.</w:t>
      </w:r>
      <w:r w:rsidRPr="00A6681D">
        <w:rPr>
          <w:rFonts w:ascii="Times New Roman" w:hAnsi="Times New Roman" w:cs="Times New Roman"/>
          <w:sz w:val="24"/>
          <w:szCs w:val="24"/>
        </w:rPr>
        <w:t xml:space="preserve"> Arismendi, &amp; P. Richter, </w:t>
      </w:r>
      <w:r w:rsidRPr="00A6681D">
        <w:rPr>
          <w:rFonts w:ascii="Times New Roman" w:hAnsi="Times New Roman" w:cs="Times New Roman"/>
          <w:i/>
          <w:iCs/>
          <w:sz w:val="24"/>
          <w:szCs w:val="24"/>
        </w:rPr>
        <w:t xml:space="preserve">Analytical and Bioanalytical Chemistry, </w:t>
      </w:r>
      <w:r w:rsidRPr="00A6681D">
        <w:rPr>
          <w:rFonts w:ascii="Times New Roman" w:hAnsi="Times New Roman" w:cs="Times New Roman"/>
          <w:sz w:val="24"/>
          <w:szCs w:val="24"/>
        </w:rPr>
        <w:t>2024</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416</w:t>
      </w:r>
      <w:r>
        <w:rPr>
          <w:rFonts w:ascii="Times New Roman" w:hAnsi="Times New Roman" w:cs="Times New Roman"/>
          <w:sz w:val="24"/>
          <w:szCs w:val="24"/>
        </w:rPr>
        <w:t>, 2399–2409,</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10.1007/s00216-024-05203-1</w:t>
      </w:r>
    </w:p>
    <w:p w14:paraId="203234CB"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A6681D">
        <w:rPr>
          <w:rFonts w:ascii="Times New Roman" w:hAnsi="Times New Roman" w:cs="Times New Roman"/>
          <w:sz w:val="24"/>
          <w:szCs w:val="24"/>
        </w:rPr>
        <w:t xml:space="preserve"> Schnitzler, </w:t>
      </w:r>
      <w:r>
        <w:rPr>
          <w:rFonts w:ascii="Times New Roman" w:hAnsi="Times New Roman" w:cs="Times New Roman"/>
          <w:sz w:val="24"/>
          <w:szCs w:val="24"/>
        </w:rPr>
        <w:t>C. D.</w:t>
      </w:r>
      <w:r w:rsidRPr="00A6681D">
        <w:rPr>
          <w:rFonts w:ascii="Times New Roman" w:hAnsi="Times New Roman" w:cs="Times New Roman"/>
          <w:sz w:val="24"/>
          <w:szCs w:val="24"/>
        </w:rPr>
        <w:t xml:space="preserve"> Bet, </w:t>
      </w:r>
      <w:r>
        <w:rPr>
          <w:rFonts w:ascii="Times New Roman" w:hAnsi="Times New Roman" w:cs="Times New Roman"/>
          <w:sz w:val="24"/>
          <w:szCs w:val="24"/>
        </w:rPr>
        <w:t>L. H.</w:t>
      </w:r>
      <w:r w:rsidRPr="00A6681D">
        <w:rPr>
          <w:rFonts w:ascii="Times New Roman" w:hAnsi="Times New Roman" w:cs="Times New Roman"/>
          <w:sz w:val="24"/>
          <w:szCs w:val="24"/>
        </w:rPr>
        <w:t xml:space="preserve"> Waiga, </w:t>
      </w:r>
      <w:r>
        <w:rPr>
          <w:rFonts w:ascii="Times New Roman" w:hAnsi="Times New Roman" w:cs="Times New Roman"/>
          <w:sz w:val="24"/>
          <w:szCs w:val="24"/>
        </w:rPr>
        <w:t>C. S.</w:t>
      </w:r>
      <w:r w:rsidRPr="00A6681D">
        <w:rPr>
          <w:rFonts w:ascii="Times New Roman" w:hAnsi="Times New Roman" w:cs="Times New Roman"/>
          <w:sz w:val="24"/>
          <w:szCs w:val="24"/>
        </w:rPr>
        <w:t xml:space="preserve"> Oliveira, &amp; L. G. Lacerda, </w:t>
      </w:r>
      <w:r w:rsidRPr="00A6681D">
        <w:rPr>
          <w:rFonts w:ascii="Times New Roman" w:hAnsi="Times New Roman" w:cs="Times New Roman"/>
          <w:i/>
          <w:iCs/>
          <w:sz w:val="24"/>
          <w:szCs w:val="24"/>
        </w:rPr>
        <w:t xml:space="preserve">Chemistry Journal of Moldova, </w:t>
      </w:r>
      <w:r w:rsidRPr="00A6681D">
        <w:rPr>
          <w:rFonts w:ascii="Times New Roman" w:hAnsi="Times New Roman" w:cs="Times New Roman"/>
          <w:sz w:val="24"/>
          <w:szCs w:val="24"/>
        </w:rPr>
        <w:t>2017</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12</w:t>
      </w:r>
      <w:r>
        <w:rPr>
          <w:rFonts w:ascii="Times New Roman" w:hAnsi="Times New Roman" w:cs="Times New Roman"/>
          <w:sz w:val="24"/>
          <w:szCs w:val="24"/>
        </w:rPr>
        <w:t>(2), 13–18,</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10.19261/cjm.2017.438</w:t>
      </w:r>
    </w:p>
    <w:p w14:paraId="41201B20"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G. A.</w:t>
      </w:r>
      <w:r w:rsidRPr="00A6681D">
        <w:rPr>
          <w:rFonts w:ascii="Times New Roman" w:hAnsi="Times New Roman" w:cs="Times New Roman"/>
          <w:sz w:val="24"/>
          <w:szCs w:val="24"/>
        </w:rPr>
        <w:t xml:space="preserve"> Chel, &amp; D. </w:t>
      </w:r>
      <w:proofErr w:type="spellStart"/>
      <w:r w:rsidRPr="00A6681D">
        <w:rPr>
          <w:rFonts w:ascii="Times New Roman" w:hAnsi="Times New Roman" w:cs="Times New Roman"/>
          <w:sz w:val="24"/>
          <w:szCs w:val="24"/>
        </w:rPr>
        <w:t>Christianti</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IOP Conference Series: Earth and Environmental Science,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733</w:t>
      </w:r>
      <w:r w:rsidRPr="00A6681D">
        <w:rPr>
          <w:rFonts w:ascii="Times New Roman" w:hAnsi="Times New Roman" w:cs="Times New Roman"/>
          <w:sz w:val="24"/>
          <w:szCs w:val="24"/>
        </w:rPr>
        <w:t>(1</w:t>
      </w:r>
      <w:r>
        <w:rPr>
          <w:rFonts w:ascii="Times New Roman" w:hAnsi="Times New Roman" w:cs="Times New Roman"/>
          <w:sz w:val="24"/>
          <w:szCs w:val="24"/>
        </w:rPr>
        <w:t>), 012090,</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10.1088/1755-1315/733/1/012090</w:t>
      </w:r>
    </w:p>
    <w:p w14:paraId="07BD6A2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H. Y.</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Setyawan</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Sukardi</w:t>
      </w:r>
      <w:proofErr w:type="spellEnd"/>
      <w:r w:rsidRPr="00A6681D">
        <w:rPr>
          <w:rFonts w:ascii="Times New Roman" w:hAnsi="Times New Roman" w:cs="Times New Roman"/>
          <w:sz w:val="24"/>
          <w:szCs w:val="24"/>
        </w:rPr>
        <w:t xml:space="preserve">, &amp; C. A. </w:t>
      </w:r>
      <w:proofErr w:type="spellStart"/>
      <w:r w:rsidRPr="00A6681D">
        <w:rPr>
          <w:rFonts w:ascii="Times New Roman" w:hAnsi="Times New Roman" w:cs="Times New Roman"/>
          <w:sz w:val="24"/>
          <w:szCs w:val="24"/>
        </w:rPr>
        <w:t>Puriwangi</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IOP Conference Series: Earth and Environmental Science,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733</w:t>
      </w:r>
      <w:r w:rsidRPr="00A6681D">
        <w:rPr>
          <w:rFonts w:ascii="Times New Roman" w:hAnsi="Times New Roman" w:cs="Times New Roman"/>
          <w:sz w:val="24"/>
          <w:szCs w:val="24"/>
        </w:rPr>
        <w:t>(1), 012090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10.1088/1755-1315/733/1/012090</w:t>
      </w:r>
    </w:p>
    <w:p w14:paraId="089D1CC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N. C.</w:t>
      </w:r>
      <w:r w:rsidRPr="00A6681D">
        <w:rPr>
          <w:rFonts w:ascii="Times New Roman" w:hAnsi="Times New Roman" w:cs="Times New Roman"/>
          <w:sz w:val="24"/>
          <w:szCs w:val="24"/>
        </w:rPr>
        <w:t xml:space="preserve"> Thanh, </w:t>
      </w:r>
      <w:r>
        <w:rPr>
          <w:rFonts w:ascii="Times New Roman" w:hAnsi="Times New Roman" w:cs="Times New Roman"/>
          <w:sz w:val="24"/>
          <w:szCs w:val="24"/>
        </w:rPr>
        <w:t>N. B. A.</w:t>
      </w:r>
      <w:r w:rsidRPr="00A6681D">
        <w:rPr>
          <w:rFonts w:ascii="Times New Roman" w:hAnsi="Times New Roman" w:cs="Times New Roman"/>
          <w:sz w:val="24"/>
          <w:szCs w:val="24"/>
        </w:rPr>
        <w:t xml:space="preserve"> Duy, </w:t>
      </w:r>
      <w:r>
        <w:rPr>
          <w:rFonts w:ascii="Times New Roman" w:hAnsi="Times New Roman" w:cs="Times New Roman"/>
          <w:sz w:val="24"/>
          <w:szCs w:val="24"/>
        </w:rPr>
        <w:t>H. T. H.</w:t>
      </w:r>
      <w:r w:rsidRPr="00A6681D">
        <w:rPr>
          <w:rFonts w:ascii="Times New Roman" w:hAnsi="Times New Roman" w:cs="Times New Roman"/>
          <w:sz w:val="24"/>
          <w:szCs w:val="24"/>
        </w:rPr>
        <w:t xml:space="preserve"> Xuyen, </w:t>
      </w:r>
      <w:r>
        <w:rPr>
          <w:rFonts w:ascii="Times New Roman" w:hAnsi="Times New Roman" w:cs="Times New Roman"/>
          <w:sz w:val="24"/>
          <w:szCs w:val="24"/>
        </w:rPr>
        <w:t>N. T.</w:t>
      </w:r>
      <w:r w:rsidRPr="00A6681D">
        <w:rPr>
          <w:rFonts w:ascii="Times New Roman" w:hAnsi="Times New Roman" w:cs="Times New Roman"/>
          <w:sz w:val="24"/>
          <w:szCs w:val="24"/>
        </w:rPr>
        <w:t xml:space="preserve"> Huy, </w:t>
      </w:r>
      <w:r>
        <w:rPr>
          <w:rFonts w:ascii="Times New Roman" w:hAnsi="Times New Roman" w:cs="Times New Roman"/>
          <w:sz w:val="24"/>
          <w:szCs w:val="24"/>
        </w:rPr>
        <w:t>B. P.</w:t>
      </w:r>
      <w:r w:rsidRPr="00A6681D">
        <w:rPr>
          <w:rFonts w:ascii="Times New Roman" w:hAnsi="Times New Roman" w:cs="Times New Roman"/>
          <w:sz w:val="24"/>
          <w:szCs w:val="24"/>
        </w:rPr>
        <w:t xml:space="preserve"> Dong, &amp; T. Q. Giang, </w:t>
      </w:r>
      <w:r w:rsidRPr="00A6681D">
        <w:rPr>
          <w:rFonts w:ascii="Times New Roman" w:hAnsi="Times New Roman" w:cs="Times New Roman"/>
          <w:i/>
          <w:iCs/>
          <w:sz w:val="24"/>
          <w:szCs w:val="24"/>
        </w:rPr>
        <w:t xml:space="preserve">Polymer Science, Series A, </w:t>
      </w:r>
      <w:r>
        <w:rPr>
          <w:rFonts w:ascii="Times New Roman" w:hAnsi="Times New Roman" w:cs="Times New Roman"/>
          <w:sz w:val="24"/>
          <w:szCs w:val="24"/>
        </w:rPr>
        <w:t>2024,</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66</w:t>
      </w:r>
      <w:r w:rsidRPr="00A6681D">
        <w:rPr>
          <w:rFonts w:ascii="Times New Roman" w:hAnsi="Times New Roman" w:cs="Times New Roman"/>
          <w:sz w:val="24"/>
          <w:szCs w:val="24"/>
        </w:rPr>
        <w:t>(4), 376–386</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10.1134/S0965545X23600485</w:t>
      </w:r>
    </w:p>
    <w:p w14:paraId="0E64C466"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A6681D">
        <w:rPr>
          <w:rFonts w:ascii="Times New Roman" w:hAnsi="Times New Roman" w:cs="Times New Roman"/>
          <w:sz w:val="24"/>
          <w:szCs w:val="24"/>
        </w:rPr>
        <w:t xml:space="preserve"> Wang, &amp; G. Song, </w:t>
      </w:r>
      <w:r w:rsidRPr="00A6681D">
        <w:rPr>
          <w:rFonts w:ascii="Times New Roman" w:hAnsi="Times New Roman" w:cs="Times New Roman"/>
          <w:i/>
          <w:iCs/>
          <w:sz w:val="24"/>
          <w:szCs w:val="24"/>
        </w:rPr>
        <w:t xml:space="preserve">Nature Sustainability,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6</w:t>
      </w:r>
      <w:r w:rsidRPr="00A6681D">
        <w:rPr>
          <w:rFonts w:ascii="Times New Roman" w:hAnsi="Times New Roman" w:cs="Times New Roman"/>
          <w:sz w:val="24"/>
          <w:szCs w:val="24"/>
        </w:rPr>
        <w:t>, 1295–1296</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10.1038/s41893-023-01191-9</w:t>
      </w:r>
    </w:p>
    <w:p w14:paraId="4ACF3DF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Pr="00A6681D">
        <w:rPr>
          <w:rFonts w:ascii="Times New Roman" w:hAnsi="Times New Roman" w:cs="Times New Roman"/>
          <w:sz w:val="24"/>
          <w:szCs w:val="24"/>
        </w:rPr>
        <w:t xml:space="preserve"> Köse, </w:t>
      </w:r>
      <w:r>
        <w:rPr>
          <w:rFonts w:ascii="Times New Roman" w:hAnsi="Times New Roman" w:cs="Times New Roman"/>
          <w:sz w:val="24"/>
          <w:szCs w:val="24"/>
        </w:rPr>
        <w:t>E.</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Suvacı</w:t>
      </w:r>
      <w:proofErr w:type="spellEnd"/>
      <w:r w:rsidRPr="00A6681D">
        <w:rPr>
          <w:rFonts w:ascii="Times New Roman" w:hAnsi="Times New Roman" w:cs="Times New Roman"/>
          <w:sz w:val="24"/>
          <w:szCs w:val="24"/>
        </w:rPr>
        <w:t xml:space="preserve">, &amp; B. Atlı, </w:t>
      </w:r>
      <w:r w:rsidRPr="00A6681D">
        <w:rPr>
          <w:rFonts w:ascii="Times New Roman" w:hAnsi="Times New Roman" w:cs="Times New Roman"/>
          <w:i/>
          <w:iCs/>
          <w:sz w:val="24"/>
          <w:szCs w:val="24"/>
        </w:rPr>
        <w:t xml:space="preserve">Journal of the Australian Ceramic Society,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59</w:t>
      </w:r>
      <w:r w:rsidRPr="00A6681D">
        <w:rPr>
          <w:rFonts w:ascii="Times New Roman" w:hAnsi="Times New Roman" w:cs="Times New Roman"/>
          <w:sz w:val="24"/>
          <w:szCs w:val="24"/>
        </w:rPr>
        <w:t>, 245–257</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10.1007/s41779-022-00830-2</w:t>
      </w:r>
    </w:p>
    <w:p w14:paraId="0B882BEF"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Ş.</w:t>
      </w:r>
      <w:r w:rsidRPr="00A6681D">
        <w:rPr>
          <w:rFonts w:ascii="Times New Roman" w:hAnsi="Times New Roman" w:cs="Times New Roman"/>
          <w:sz w:val="24"/>
          <w:szCs w:val="24"/>
        </w:rPr>
        <w:t xml:space="preserve"> Yıldızhan, </w:t>
      </w:r>
      <w:r>
        <w:rPr>
          <w:rFonts w:ascii="Times New Roman" w:hAnsi="Times New Roman" w:cs="Times New Roman"/>
          <w:sz w:val="24"/>
          <w:szCs w:val="24"/>
        </w:rPr>
        <w:t>A.</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Çalık</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Özcanlı</w:t>
      </w:r>
      <w:proofErr w:type="spellEnd"/>
      <w:r w:rsidRPr="00A6681D">
        <w:rPr>
          <w:rFonts w:ascii="Times New Roman" w:hAnsi="Times New Roman" w:cs="Times New Roman"/>
          <w:sz w:val="24"/>
          <w:szCs w:val="24"/>
        </w:rPr>
        <w:t xml:space="preserve">, &amp; H. Serin, </w:t>
      </w:r>
      <w:r w:rsidRPr="00A6681D">
        <w:rPr>
          <w:rFonts w:ascii="Times New Roman" w:hAnsi="Times New Roman" w:cs="Times New Roman"/>
          <w:i/>
          <w:iCs/>
          <w:sz w:val="24"/>
          <w:szCs w:val="24"/>
        </w:rPr>
        <w:t xml:space="preserve">European Mechanical Science, </w:t>
      </w:r>
      <w:r w:rsidRPr="00A6681D">
        <w:rPr>
          <w:rFonts w:ascii="Times New Roman" w:hAnsi="Times New Roman" w:cs="Times New Roman"/>
          <w:sz w:val="24"/>
          <w:szCs w:val="24"/>
        </w:rPr>
        <w:t>2018</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w:t>
      </w:r>
      <w:r w:rsidRPr="00A6681D">
        <w:rPr>
          <w:rFonts w:ascii="Times New Roman" w:hAnsi="Times New Roman" w:cs="Times New Roman"/>
          <w:sz w:val="24"/>
          <w:szCs w:val="24"/>
        </w:rPr>
        <w:t>(3), 83–91</w:t>
      </w:r>
      <w:r>
        <w:rPr>
          <w:rFonts w:ascii="Times New Roman" w:hAnsi="Times New Roman" w:cs="Times New Roman"/>
          <w:sz w:val="24"/>
          <w:szCs w:val="24"/>
        </w:rPr>
        <w:t>,</w:t>
      </w:r>
      <w:r w:rsidRPr="00A6681D">
        <w:rPr>
          <w:rFonts w:ascii="Times New Roman" w:hAnsi="Times New Roman" w:cs="Times New Roman"/>
          <w:sz w:val="24"/>
          <w:szCs w:val="24"/>
        </w:rPr>
        <w:t xml:space="preserve"> </w:t>
      </w:r>
      <w:hyperlink r:id="rId12" w:history="1">
        <w:r w:rsidRPr="001D1A25">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Style w:val="Hyperlink"/>
            <w:rFonts w:ascii="Times New Roman" w:hAnsi="Times New Roman" w:cs="Times New Roman"/>
            <w:color w:val="auto"/>
            <w:sz w:val="24"/>
            <w:szCs w:val="24"/>
            <w:u w:val="none"/>
          </w:rPr>
          <w:t>10.26701/ems.369005</w:t>
        </w:r>
      </w:hyperlink>
    </w:p>
    <w:p w14:paraId="020A1A16"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 xml:space="preserve">S. N. Wanjiru, S. A. Opiyo, P. W. Njoroge, &amp; B. Mugendi, </w:t>
      </w:r>
      <w:r w:rsidRPr="00C047AE">
        <w:rPr>
          <w:rFonts w:ascii="Times New Roman" w:hAnsi="Times New Roman" w:cs="Times New Roman"/>
          <w:i/>
          <w:iCs/>
          <w:sz w:val="24"/>
          <w:szCs w:val="24"/>
        </w:rPr>
        <w:t xml:space="preserve">IOSR Journal of Applied Chemistry, </w:t>
      </w:r>
      <w:r w:rsidRPr="00C047AE">
        <w:rPr>
          <w:rFonts w:ascii="Times New Roman" w:hAnsi="Times New Roman" w:cs="Times New Roman"/>
          <w:sz w:val="24"/>
          <w:szCs w:val="24"/>
        </w:rPr>
        <w:t xml:space="preserve">2025, </w:t>
      </w:r>
      <w:r w:rsidRPr="00C047AE">
        <w:rPr>
          <w:rFonts w:ascii="Times New Roman" w:hAnsi="Times New Roman" w:cs="Times New Roman"/>
          <w:i/>
          <w:iCs/>
          <w:sz w:val="24"/>
          <w:szCs w:val="24"/>
        </w:rPr>
        <w:t>18</w:t>
      </w:r>
      <w:r w:rsidRPr="00C047AE">
        <w:rPr>
          <w:rFonts w:ascii="Times New Roman" w:hAnsi="Times New Roman" w:cs="Times New Roman"/>
          <w:sz w:val="24"/>
          <w:szCs w:val="24"/>
        </w:rPr>
        <w:t>(1), 13–20, https://www.iosrjournals.org/iosr-jac/papers/vol18-issue1/Ser-1/D1801011320.pdf</w:t>
      </w:r>
    </w:p>
    <w:p w14:paraId="5897828D"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 S. M.</w:t>
      </w:r>
      <w:r w:rsidRPr="00A6681D">
        <w:rPr>
          <w:rFonts w:ascii="Times New Roman" w:hAnsi="Times New Roman" w:cs="Times New Roman"/>
          <w:sz w:val="24"/>
          <w:szCs w:val="24"/>
        </w:rPr>
        <w:t xml:space="preserve"> Ogbuagu, </w:t>
      </w:r>
      <w:r>
        <w:rPr>
          <w:rFonts w:ascii="Times New Roman" w:hAnsi="Times New Roman" w:cs="Times New Roman"/>
          <w:sz w:val="24"/>
          <w:szCs w:val="24"/>
        </w:rPr>
        <w:t>C. E.</w:t>
      </w:r>
      <w:r w:rsidRPr="00A6681D">
        <w:rPr>
          <w:rFonts w:ascii="Times New Roman" w:hAnsi="Times New Roman" w:cs="Times New Roman"/>
          <w:sz w:val="24"/>
          <w:szCs w:val="24"/>
        </w:rPr>
        <w:t xml:space="preserve"> Ukachukwu, &amp; C. I. Okoye, </w:t>
      </w:r>
      <w:r w:rsidRPr="00A6681D">
        <w:rPr>
          <w:rFonts w:ascii="Times New Roman" w:hAnsi="Times New Roman" w:cs="Times New Roman"/>
          <w:i/>
          <w:iCs/>
          <w:sz w:val="24"/>
          <w:szCs w:val="24"/>
        </w:rPr>
        <w:t xml:space="preserve">Journal of Bio Innovation, </w:t>
      </w:r>
      <w:r>
        <w:rPr>
          <w:rFonts w:ascii="Times New Roman" w:hAnsi="Times New Roman" w:cs="Times New Roman"/>
          <w:sz w:val="24"/>
          <w:szCs w:val="24"/>
        </w:rPr>
        <w:t>2021,</w:t>
      </w:r>
      <w:r w:rsidRPr="00A6681D">
        <w:rPr>
          <w:rFonts w:ascii="Times New Roman" w:hAnsi="Times New Roman" w:cs="Times New Roman"/>
          <w:sz w:val="24"/>
          <w:szCs w:val="24"/>
        </w:rPr>
        <w:t xml:space="preserve"> </w:t>
      </w:r>
      <w:r w:rsidRPr="00C047AE">
        <w:rPr>
          <w:rFonts w:ascii="Times New Roman" w:hAnsi="Times New Roman" w:cs="Times New Roman"/>
          <w:i/>
          <w:iCs/>
          <w:sz w:val="24"/>
          <w:szCs w:val="24"/>
        </w:rPr>
        <w:t>10</w:t>
      </w:r>
      <w:r w:rsidRPr="00C047AE">
        <w:rPr>
          <w:rFonts w:ascii="Times New Roman" w:hAnsi="Times New Roman" w:cs="Times New Roman"/>
          <w:sz w:val="24"/>
          <w:szCs w:val="24"/>
        </w:rPr>
        <w:t>(4), 1035–1043, DOI: 10.46344/</w:t>
      </w:r>
      <w:proofErr w:type="gramStart"/>
      <w:r w:rsidRPr="00C047AE">
        <w:rPr>
          <w:rFonts w:ascii="Times New Roman" w:hAnsi="Times New Roman" w:cs="Times New Roman"/>
          <w:sz w:val="24"/>
          <w:szCs w:val="24"/>
        </w:rPr>
        <w:t>JBINO.2021.v</w:t>
      </w:r>
      <w:proofErr w:type="gramEnd"/>
      <w:r w:rsidRPr="00C047AE">
        <w:rPr>
          <w:rFonts w:ascii="Times New Roman" w:hAnsi="Times New Roman" w:cs="Times New Roman"/>
          <w:sz w:val="24"/>
          <w:szCs w:val="24"/>
        </w:rPr>
        <w:t>10i04.10</w:t>
      </w:r>
    </w:p>
    <w:p w14:paraId="47783CC8"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D. I. Mendoza-Castillo, H. E. Reynel-Ávila, A. Bonilla-</w:t>
      </w:r>
      <w:proofErr w:type="spellStart"/>
      <w:r w:rsidRPr="00C047AE">
        <w:rPr>
          <w:rFonts w:ascii="Times New Roman" w:hAnsi="Times New Roman" w:cs="Times New Roman"/>
          <w:sz w:val="24"/>
          <w:szCs w:val="24"/>
        </w:rPr>
        <w:t>Petriciolet</w:t>
      </w:r>
      <w:proofErr w:type="spellEnd"/>
      <w:r w:rsidRPr="00C047AE">
        <w:rPr>
          <w:rFonts w:ascii="Times New Roman" w:hAnsi="Times New Roman" w:cs="Times New Roman"/>
          <w:sz w:val="24"/>
          <w:szCs w:val="24"/>
        </w:rPr>
        <w:t xml:space="preserve">, C. Pastore, &amp; L. di </w:t>
      </w:r>
      <w:proofErr w:type="spellStart"/>
      <w:r w:rsidRPr="00C047AE">
        <w:rPr>
          <w:rFonts w:ascii="Times New Roman" w:hAnsi="Times New Roman" w:cs="Times New Roman"/>
          <w:sz w:val="24"/>
          <w:szCs w:val="24"/>
        </w:rPr>
        <w:t>Bitonto</w:t>
      </w:r>
      <w:proofErr w:type="spellEnd"/>
      <w:r w:rsidRPr="00C047AE">
        <w:rPr>
          <w:rFonts w:ascii="Times New Roman" w:hAnsi="Times New Roman" w:cs="Times New Roman"/>
          <w:sz w:val="24"/>
          <w:szCs w:val="24"/>
        </w:rPr>
        <w:t xml:space="preserve">, </w:t>
      </w:r>
      <w:r w:rsidRPr="00C047AE">
        <w:rPr>
          <w:rFonts w:ascii="Times New Roman" w:hAnsi="Times New Roman" w:cs="Times New Roman"/>
          <w:i/>
          <w:iCs/>
          <w:sz w:val="24"/>
          <w:szCs w:val="24"/>
        </w:rPr>
        <w:t xml:space="preserve">Bulgarian Chemical Communications, </w:t>
      </w:r>
      <w:r w:rsidRPr="00C047AE">
        <w:rPr>
          <w:rFonts w:ascii="Times New Roman" w:hAnsi="Times New Roman" w:cs="Times New Roman"/>
          <w:sz w:val="24"/>
          <w:szCs w:val="24"/>
        </w:rPr>
        <w:t xml:space="preserve">2019, </w:t>
      </w:r>
      <w:r w:rsidRPr="00C047AE">
        <w:rPr>
          <w:rFonts w:ascii="Times New Roman" w:hAnsi="Times New Roman" w:cs="Times New Roman"/>
          <w:i/>
          <w:iCs/>
          <w:sz w:val="24"/>
          <w:szCs w:val="24"/>
        </w:rPr>
        <w:t>51</w:t>
      </w:r>
      <w:r w:rsidRPr="00C047AE">
        <w:rPr>
          <w:rFonts w:ascii="Times New Roman" w:hAnsi="Times New Roman" w:cs="Times New Roman"/>
          <w:sz w:val="24"/>
          <w:szCs w:val="24"/>
        </w:rPr>
        <w:t>(B), 124–127</w:t>
      </w:r>
    </w:p>
    <w:p w14:paraId="6AC0A22A"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A6681D">
        <w:rPr>
          <w:rFonts w:ascii="Times New Roman" w:hAnsi="Times New Roman" w:cs="Times New Roman"/>
          <w:sz w:val="24"/>
          <w:szCs w:val="24"/>
        </w:rPr>
        <w:t xml:space="preserve"> Kamdem Tamo, </w:t>
      </w:r>
      <w:r>
        <w:rPr>
          <w:rFonts w:ascii="Times New Roman" w:hAnsi="Times New Roman" w:cs="Times New Roman"/>
          <w:sz w:val="24"/>
          <w:szCs w:val="24"/>
        </w:rPr>
        <w:t>I.</w:t>
      </w:r>
      <w:r w:rsidRPr="00A6681D">
        <w:rPr>
          <w:rFonts w:ascii="Times New Roman" w:hAnsi="Times New Roman" w:cs="Times New Roman"/>
          <w:sz w:val="24"/>
          <w:szCs w:val="24"/>
        </w:rPr>
        <w:t xml:space="preserve"> Doench, </w:t>
      </w:r>
      <w:r>
        <w:rPr>
          <w:rFonts w:ascii="Times New Roman" w:hAnsi="Times New Roman" w:cs="Times New Roman"/>
          <w:sz w:val="24"/>
          <w:szCs w:val="24"/>
        </w:rPr>
        <w:t>G.</w:t>
      </w:r>
      <w:r w:rsidRPr="00A6681D">
        <w:rPr>
          <w:rFonts w:ascii="Times New Roman" w:hAnsi="Times New Roman" w:cs="Times New Roman"/>
          <w:sz w:val="24"/>
          <w:szCs w:val="24"/>
        </w:rPr>
        <w:t xml:space="preserve"> Deffo, </w:t>
      </w:r>
      <w:r>
        <w:rPr>
          <w:rFonts w:ascii="Times New Roman" w:hAnsi="Times New Roman" w:cs="Times New Roman"/>
          <w:sz w:val="24"/>
          <w:szCs w:val="24"/>
        </w:rPr>
        <w:t>S. L. Z.</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Jiokenge</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G.</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Doungmof</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C. G.</w:t>
      </w:r>
      <w:r w:rsidRPr="00A6681D">
        <w:rPr>
          <w:rFonts w:ascii="Times New Roman" w:hAnsi="Times New Roman" w:cs="Times New Roman"/>
          <w:sz w:val="24"/>
          <w:szCs w:val="24"/>
        </w:rPr>
        <w:t xml:space="preserve"> Fotsop, </w:t>
      </w:r>
      <w:r>
        <w:rPr>
          <w:rFonts w:ascii="Times New Roman" w:hAnsi="Times New Roman" w:cs="Times New Roman"/>
          <w:sz w:val="24"/>
          <w:szCs w:val="24"/>
        </w:rPr>
        <w:t>R. C. T.</w:t>
      </w:r>
      <w:r w:rsidRPr="00A6681D">
        <w:rPr>
          <w:rFonts w:ascii="Times New Roman" w:hAnsi="Times New Roman" w:cs="Times New Roman"/>
          <w:sz w:val="24"/>
          <w:szCs w:val="24"/>
        </w:rPr>
        <w:t xml:space="preserve"> Temgoua, </w:t>
      </w:r>
      <w:r>
        <w:rPr>
          <w:rFonts w:ascii="Times New Roman" w:hAnsi="Times New Roman" w:cs="Times New Roman"/>
          <w:sz w:val="24"/>
          <w:szCs w:val="24"/>
        </w:rPr>
        <w:t>A.</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Montembault</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A.</w:t>
      </w:r>
      <w:r w:rsidRPr="00A6681D">
        <w:rPr>
          <w:rFonts w:ascii="Times New Roman" w:hAnsi="Times New Roman" w:cs="Times New Roman"/>
          <w:sz w:val="24"/>
          <w:szCs w:val="24"/>
        </w:rPr>
        <w:t xml:space="preserve"> Serghei, </w:t>
      </w:r>
      <w:r>
        <w:rPr>
          <w:rFonts w:ascii="Times New Roman" w:hAnsi="Times New Roman" w:cs="Times New Roman"/>
          <w:sz w:val="24"/>
          <w:szCs w:val="24"/>
        </w:rPr>
        <w:t>E.</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Njanja</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I. K.</w:t>
      </w:r>
      <w:r w:rsidRPr="00A6681D">
        <w:rPr>
          <w:rFonts w:ascii="Times New Roman" w:hAnsi="Times New Roman" w:cs="Times New Roman"/>
          <w:sz w:val="24"/>
          <w:szCs w:val="24"/>
        </w:rPr>
        <w:t xml:space="preserve"> Tonle, &amp; A.</w:t>
      </w:r>
      <w:r>
        <w:rPr>
          <w:rFonts w:ascii="Times New Roman" w:hAnsi="Times New Roman" w:cs="Times New Roman"/>
          <w:sz w:val="24"/>
          <w:szCs w:val="24"/>
        </w:rPr>
        <w:t xml:space="preserve"> </w:t>
      </w:r>
      <w:r w:rsidRPr="00A6681D">
        <w:rPr>
          <w:rFonts w:ascii="Times New Roman" w:hAnsi="Times New Roman" w:cs="Times New Roman"/>
          <w:sz w:val="24"/>
          <w:szCs w:val="24"/>
        </w:rPr>
        <w:t xml:space="preserve">Osorio-Madrazo, </w:t>
      </w:r>
      <w:r w:rsidRPr="00A6681D">
        <w:rPr>
          <w:rFonts w:ascii="Times New Roman" w:hAnsi="Times New Roman" w:cs="Times New Roman"/>
          <w:i/>
          <w:iCs/>
          <w:sz w:val="24"/>
          <w:szCs w:val="24"/>
        </w:rPr>
        <w:t>Journal of Materials Chemistry A</w:t>
      </w:r>
      <w:r>
        <w:rPr>
          <w:rFonts w:ascii="Times New Roman" w:hAnsi="Times New Roman" w:cs="Times New Roman"/>
          <w:i/>
          <w:iCs/>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2025,</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10.1039/D5TA02900G</w:t>
      </w:r>
    </w:p>
    <w:p w14:paraId="7B1A1978"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O. D.</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Enadeghe</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 O.</w:t>
      </w:r>
      <w:r w:rsidRPr="00A6681D">
        <w:rPr>
          <w:rFonts w:ascii="Times New Roman" w:hAnsi="Times New Roman" w:cs="Times New Roman"/>
          <w:sz w:val="24"/>
          <w:szCs w:val="24"/>
        </w:rPr>
        <w:t xml:space="preserve"> Eraga, &amp; J. A. </w:t>
      </w:r>
      <w:proofErr w:type="spellStart"/>
      <w:r w:rsidRPr="00A6681D">
        <w:rPr>
          <w:rFonts w:ascii="Times New Roman" w:hAnsi="Times New Roman" w:cs="Times New Roman"/>
          <w:sz w:val="24"/>
          <w:szCs w:val="24"/>
        </w:rPr>
        <w:t>Obarisiagbon</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Journal of Science and Practice of Pharmacy, </w:t>
      </w:r>
      <w:r>
        <w:rPr>
          <w:rFonts w:ascii="Times New Roman" w:hAnsi="Times New Roman" w:cs="Times New Roman"/>
          <w:sz w:val="24"/>
          <w:szCs w:val="24"/>
        </w:rPr>
        <w:t>2022,</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9</w:t>
      </w:r>
      <w:r w:rsidRPr="00A6681D">
        <w:rPr>
          <w:rFonts w:ascii="Times New Roman" w:hAnsi="Times New Roman" w:cs="Times New Roman"/>
          <w:sz w:val="24"/>
          <w:szCs w:val="24"/>
        </w:rPr>
        <w:t>(1), 447–458</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10.47227/</w:t>
      </w:r>
      <w:proofErr w:type="gramStart"/>
      <w:r w:rsidRPr="00A6681D">
        <w:rPr>
          <w:rFonts w:ascii="Times New Roman" w:hAnsi="Times New Roman" w:cs="Times New Roman"/>
          <w:sz w:val="24"/>
          <w:szCs w:val="24"/>
        </w:rPr>
        <w:t>jsppharm.v</w:t>
      </w:r>
      <w:proofErr w:type="gramEnd"/>
      <w:r w:rsidRPr="00A6681D">
        <w:rPr>
          <w:rFonts w:ascii="Times New Roman" w:hAnsi="Times New Roman" w:cs="Times New Roman"/>
          <w:sz w:val="24"/>
          <w:szCs w:val="24"/>
        </w:rPr>
        <w:t>9i1.1</w:t>
      </w:r>
    </w:p>
    <w:p w14:paraId="3350063B"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A6681D">
        <w:rPr>
          <w:rFonts w:ascii="Times New Roman" w:hAnsi="Times New Roman" w:cs="Times New Roman"/>
          <w:sz w:val="24"/>
          <w:szCs w:val="24"/>
        </w:rPr>
        <w:t xml:space="preserve"> Castro-Dominguez, </w:t>
      </w:r>
      <w:r>
        <w:rPr>
          <w:rFonts w:ascii="Times New Roman" w:hAnsi="Times New Roman" w:cs="Times New Roman"/>
          <w:sz w:val="24"/>
          <w:szCs w:val="24"/>
        </w:rPr>
        <w:t>J. R.</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Gröls</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w:t>
      </w:r>
      <w:r w:rsidRPr="00A6681D">
        <w:rPr>
          <w:rFonts w:ascii="Times New Roman" w:hAnsi="Times New Roman" w:cs="Times New Roman"/>
          <w:sz w:val="24"/>
          <w:szCs w:val="24"/>
        </w:rPr>
        <w:t xml:space="preserve"> Alkandari, </w:t>
      </w:r>
      <w:r>
        <w:rPr>
          <w:rFonts w:ascii="Times New Roman" w:hAnsi="Times New Roman" w:cs="Times New Roman"/>
          <w:sz w:val="24"/>
          <w:szCs w:val="24"/>
        </w:rPr>
        <w:t>L.</w:t>
      </w:r>
      <w:r w:rsidRPr="00A6681D">
        <w:rPr>
          <w:rFonts w:ascii="Times New Roman" w:hAnsi="Times New Roman" w:cs="Times New Roman"/>
          <w:sz w:val="24"/>
          <w:szCs w:val="24"/>
        </w:rPr>
        <w:t xml:space="preserve"> Perge, </w:t>
      </w:r>
      <w:r>
        <w:rPr>
          <w:rFonts w:ascii="Times New Roman" w:hAnsi="Times New Roman" w:cs="Times New Roman"/>
          <w:sz w:val="24"/>
          <w:szCs w:val="24"/>
        </w:rPr>
        <w:t>C.</w:t>
      </w:r>
      <w:r w:rsidRPr="00A6681D">
        <w:rPr>
          <w:rFonts w:ascii="Times New Roman" w:hAnsi="Times New Roman" w:cs="Times New Roman"/>
          <w:sz w:val="24"/>
          <w:szCs w:val="24"/>
        </w:rPr>
        <w:t xml:space="preserve"> Sierra-Avila, </w:t>
      </w:r>
      <w:r>
        <w:rPr>
          <w:rFonts w:ascii="Times New Roman" w:hAnsi="Times New Roman" w:cs="Times New Roman"/>
          <w:sz w:val="24"/>
          <w:szCs w:val="24"/>
        </w:rPr>
        <w:t>H. Z.</w:t>
      </w:r>
      <w:r w:rsidRPr="00A6681D">
        <w:rPr>
          <w:rFonts w:ascii="Times New Roman" w:hAnsi="Times New Roman" w:cs="Times New Roman"/>
          <w:sz w:val="24"/>
          <w:szCs w:val="24"/>
        </w:rPr>
        <w:t xml:space="preserve"> Ramirez, </w:t>
      </w:r>
      <w:r>
        <w:rPr>
          <w:rFonts w:ascii="Times New Roman" w:hAnsi="Times New Roman" w:cs="Times New Roman"/>
          <w:sz w:val="24"/>
          <w:szCs w:val="24"/>
        </w:rPr>
        <w:t>M. L.</w:t>
      </w:r>
      <w:r w:rsidRPr="00A6681D">
        <w:rPr>
          <w:rFonts w:ascii="Times New Roman" w:hAnsi="Times New Roman" w:cs="Times New Roman"/>
          <w:sz w:val="24"/>
          <w:szCs w:val="24"/>
        </w:rPr>
        <w:t xml:space="preserve"> Fontes, </w:t>
      </w:r>
      <w:r>
        <w:rPr>
          <w:rFonts w:ascii="Times New Roman" w:hAnsi="Times New Roman" w:cs="Times New Roman"/>
          <w:sz w:val="24"/>
          <w:szCs w:val="24"/>
        </w:rPr>
        <w:t>C.</w:t>
      </w:r>
      <w:r w:rsidRPr="00A6681D">
        <w:rPr>
          <w:rFonts w:ascii="Times New Roman" w:hAnsi="Times New Roman" w:cs="Times New Roman"/>
          <w:sz w:val="24"/>
          <w:szCs w:val="24"/>
        </w:rPr>
        <w:t xml:space="preserve"> Yamada, </w:t>
      </w:r>
      <w:r>
        <w:rPr>
          <w:rFonts w:ascii="Times New Roman" w:hAnsi="Times New Roman" w:cs="Times New Roman"/>
          <w:sz w:val="24"/>
          <w:szCs w:val="24"/>
        </w:rPr>
        <w:t>S. C.</w:t>
      </w:r>
      <w:r w:rsidRPr="00A6681D">
        <w:rPr>
          <w:rFonts w:ascii="Times New Roman" w:hAnsi="Times New Roman" w:cs="Times New Roman"/>
          <w:sz w:val="24"/>
          <w:szCs w:val="24"/>
        </w:rPr>
        <w:t xml:space="preserve"> Lazarini, </w:t>
      </w:r>
      <w:r>
        <w:rPr>
          <w:rFonts w:ascii="Times New Roman" w:hAnsi="Times New Roman" w:cs="Times New Roman"/>
          <w:sz w:val="24"/>
          <w:szCs w:val="24"/>
        </w:rPr>
        <w:t>J. M.</w:t>
      </w:r>
      <w:r w:rsidRPr="00A6681D">
        <w:rPr>
          <w:rFonts w:ascii="Times New Roman" w:hAnsi="Times New Roman" w:cs="Times New Roman"/>
          <w:sz w:val="24"/>
          <w:szCs w:val="24"/>
        </w:rPr>
        <w:t xml:space="preserve"> Silva, </w:t>
      </w:r>
      <w:r>
        <w:rPr>
          <w:rFonts w:ascii="Times New Roman" w:hAnsi="Times New Roman" w:cs="Times New Roman"/>
          <w:sz w:val="24"/>
          <w:szCs w:val="24"/>
        </w:rPr>
        <w:t>W. R.</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Lustri</w:t>
      </w:r>
      <w:proofErr w:type="spellEnd"/>
      <w:r w:rsidRPr="00A6681D">
        <w:rPr>
          <w:rFonts w:ascii="Times New Roman" w:hAnsi="Times New Roman" w:cs="Times New Roman"/>
          <w:sz w:val="24"/>
          <w:szCs w:val="24"/>
        </w:rPr>
        <w:t xml:space="preserve">, &amp; H. S. Barud, </w:t>
      </w:r>
      <w:r w:rsidRPr="00A6681D">
        <w:rPr>
          <w:rFonts w:ascii="Times New Roman" w:hAnsi="Times New Roman" w:cs="Times New Roman"/>
          <w:i/>
          <w:iCs/>
          <w:sz w:val="24"/>
          <w:szCs w:val="24"/>
        </w:rPr>
        <w:t xml:space="preserve">Biotechnology for Sustainable Materials, </w:t>
      </w:r>
      <w:r w:rsidRPr="00A6681D">
        <w:rPr>
          <w:rFonts w:ascii="Times New Roman" w:hAnsi="Times New Roman" w:cs="Times New Roman"/>
          <w:sz w:val="24"/>
          <w:szCs w:val="24"/>
        </w:rPr>
        <w:t>2025</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1D1A25">
        <w:rPr>
          <w:rFonts w:ascii="Times New Roman" w:hAnsi="Times New Roman" w:cs="Times New Roman"/>
          <w:iCs/>
          <w:sz w:val="24"/>
          <w:szCs w:val="24"/>
        </w:rPr>
        <w:t>2(</w:t>
      </w:r>
      <w:r w:rsidRPr="001D1A25">
        <w:rPr>
          <w:rFonts w:ascii="Times New Roman" w:hAnsi="Times New Roman" w:cs="Times New Roman"/>
          <w:sz w:val="24"/>
          <w:szCs w:val="24"/>
        </w:rPr>
        <w:t>8)</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10.1186/s44316-025-00029-y</w:t>
      </w:r>
    </w:p>
    <w:p w14:paraId="200BE62B" w14:textId="77777777" w:rsidR="00D02EFE" w:rsidRDefault="00D02EFE" w:rsidP="00700BF7">
      <w:pPr>
        <w:spacing w:line="360" w:lineRule="auto"/>
        <w:jc w:val="both"/>
        <w:rPr>
          <w:rFonts w:ascii="Times New Roman" w:hAnsi="Times New Roman" w:cs="Times New Roman"/>
          <w:sz w:val="24"/>
          <w:szCs w:val="24"/>
        </w:rPr>
      </w:pPr>
    </w:p>
    <w:sectPr w:rsidR="00D02E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6980" w14:textId="77777777" w:rsidR="000617E7" w:rsidRDefault="000617E7" w:rsidP="00176B3B">
      <w:pPr>
        <w:spacing w:after="0" w:line="240" w:lineRule="auto"/>
      </w:pPr>
      <w:r>
        <w:separator/>
      </w:r>
    </w:p>
  </w:endnote>
  <w:endnote w:type="continuationSeparator" w:id="0">
    <w:p w14:paraId="59B480E5" w14:textId="77777777" w:rsidR="000617E7" w:rsidRDefault="000617E7" w:rsidP="0017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378A" w14:textId="77777777" w:rsidR="00176B3B" w:rsidRDefault="0017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BE97" w14:textId="77777777" w:rsidR="00176B3B" w:rsidRDefault="00176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1A4D" w14:textId="77777777" w:rsidR="00176B3B" w:rsidRDefault="00176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5B319" w14:textId="77777777" w:rsidR="000617E7" w:rsidRDefault="000617E7" w:rsidP="00176B3B">
      <w:pPr>
        <w:spacing w:after="0" w:line="240" w:lineRule="auto"/>
      </w:pPr>
      <w:r>
        <w:separator/>
      </w:r>
    </w:p>
  </w:footnote>
  <w:footnote w:type="continuationSeparator" w:id="0">
    <w:p w14:paraId="6EF7E800" w14:textId="77777777" w:rsidR="000617E7" w:rsidRDefault="000617E7" w:rsidP="0017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BA8A" w14:textId="3F547D5F" w:rsidR="00176B3B" w:rsidRDefault="00176B3B">
    <w:pPr>
      <w:pStyle w:val="Header"/>
    </w:pPr>
    <w:r>
      <w:rPr>
        <w:noProof/>
      </w:rPr>
      <w:pict w14:anchorId="79DD7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892A" w14:textId="5E4AF352" w:rsidR="00176B3B" w:rsidRDefault="00176B3B">
    <w:pPr>
      <w:pStyle w:val="Header"/>
    </w:pPr>
    <w:r>
      <w:rPr>
        <w:noProof/>
      </w:rPr>
      <w:pict w14:anchorId="4E84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5E9C" w14:textId="3CF4671E" w:rsidR="00176B3B" w:rsidRDefault="00176B3B">
    <w:pPr>
      <w:pStyle w:val="Header"/>
    </w:pPr>
    <w:r>
      <w:rPr>
        <w:noProof/>
      </w:rPr>
      <w:pict w14:anchorId="022E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584"/>
    <w:multiLevelType w:val="multilevel"/>
    <w:tmpl w:val="AB7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20BE"/>
    <w:multiLevelType w:val="hybridMultilevel"/>
    <w:tmpl w:val="C3727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074D8"/>
    <w:multiLevelType w:val="multilevel"/>
    <w:tmpl w:val="AF4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039B"/>
    <w:multiLevelType w:val="multilevel"/>
    <w:tmpl w:val="1EC0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76EF1"/>
    <w:multiLevelType w:val="multilevel"/>
    <w:tmpl w:val="DB9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87B57"/>
    <w:multiLevelType w:val="multilevel"/>
    <w:tmpl w:val="2B6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40A12"/>
    <w:multiLevelType w:val="multilevel"/>
    <w:tmpl w:val="2B0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15A0A"/>
    <w:multiLevelType w:val="multilevel"/>
    <w:tmpl w:val="FAE8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E4612"/>
    <w:multiLevelType w:val="multilevel"/>
    <w:tmpl w:val="AD1E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930E3"/>
    <w:multiLevelType w:val="multilevel"/>
    <w:tmpl w:val="86B8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9"/>
  </w:num>
  <w:num w:numId="6">
    <w:abstractNumId w:val="3"/>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9F"/>
    <w:rsid w:val="00023D23"/>
    <w:rsid w:val="000302CB"/>
    <w:rsid w:val="00036E5A"/>
    <w:rsid w:val="00054FEB"/>
    <w:rsid w:val="000617E7"/>
    <w:rsid w:val="00152C16"/>
    <w:rsid w:val="00152DA9"/>
    <w:rsid w:val="001712F8"/>
    <w:rsid w:val="001719D4"/>
    <w:rsid w:val="00176B3B"/>
    <w:rsid w:val="001A26C2"/>
    <w:rsid w:val="001B1968"/>
    <w:rsid w:val="001C220B"/>
    <w:rsid w:val="001D3580"/>
    <w:rsid w:val="001F3A3B"/>
    <w:rsid w:val="00217872"/>
    <w:rsid w:val="002229E8"/>
    <w:rsid w:val="00236698"/>
    <w:rsid w:val="0028314F"/>
    <w:rsid w:val="00285CC2"/>
    <w:rsid w:val="00292284"/>
    <w:rsid w:val="00293FF3"/>
    <w:rsid w:val="002943C6"/>
    <w:rsid w:val="002973F5"/>
    <w:rsid w:val="002A0645"/>
    <w:rsid w:val="002A0CAA"/>
    <w:rsid w:val="002A1B4C"/>
    <w:rsid w:val="002A380C"/>
    <w:rsid w:val="002A4B97"/>
    <w:rsid w:val="002A64F0"/>
    <w:rsid w:val="002B201C"/>
    <w:rsid w:val="002B44D4"/>
    <w:rsid w:val="002F32E9"/>
    <w:rsid w:val="002F3AC0"/>
    <w:rsid w:val="002F766F"/>
    <w:rsid w:val="00314382"/>
    <w:rsid w:val="00315DB3"/>
    <w:rsid w:val="003314E4"/>
    <w:rsid w:val="00333BA3"/>
    <w:rsid w:val="00336720"/>
    <w:rsid w:val="00337A6A"/>
    <w:rsid w:val="00351B0E"/>
    <w:rsid w:val="00374CF5"/>
    <w:rsid w:val="003C41DC"/>
    <w:rsid w:val="003C44D2"/>
    <w:rsid w:val="003D0D00"/>
    <w:rsid w:val="004050B5"/>
    <w:rsid w:val="00406A2B"/>
    <w:rsid w:val="00410544"/>
    <w:rsid w:val="00412742"/>
    <w:rsid w:val="00421837"/>
    <w:rsid w:val="004733B7"/>
    <w:rsid w:val="00492CE0"/>
    <w:rsid w:val="00493C38"/>
    <w:rsid w:val="004A3200"/>
    <w:rsid w:val="004F21BB"/>
    <w:rsid w:val="00543DA7"/>
    <w:rsid w:val="00547A2B"/>
    <w:rsid w:val="00552487"/>
    <w:rsid w:val="00595FE6"/>
    <w:rsid w:val="005A122E"/>
    <w:rsid w:val="005A732F"/>
    <w:rsid w:val="005B6095"/>
    <w:rsid w:val="005C7A91"/>
    <w:rsid w:val="006126D3"/>
    <w:rsid w:val="00620841"/>
    <w:rsid w:val="006740E1"/>
    <w:rsid w:val="006769FA"/>
    <w:rsid w:val="006A577A"/>
    <w:rsid w:val="006C3FCF"/>
    <w:rsid w:val="006C550B"/>
    <w:rsid w:val="006D5605"/>
    <w:rsid w:val="006E7203"/>
    <w:rsid w:val="00700BF7"/>
    <w:rsid w:val="007061E4"/>
    <w:rsid w:val="00761C14"/>
    <w:rsid w:val="00780FB0"/>
    <w:rsid w:val="0079697C"/>
    <w:rsid w:val="007A416A"/>
    <w:rsid w:val="007B286F"/>
    <w:rsid w:val="007B3A1A"/>
    <w:rsid w:val="007C396C"/>
    <w:rsid w:val="007D693E"/>
    <w:rsid w:val="007E10AB"/>
    <w:rsid w:val="00843547"/>
    <w:rsid w:val="0085573E"/>
    <w:rsid w:val="00862161"/>
    <w:rsid w:val="008623DC"/>
    <w:rsid w:val="008936EA"/>
    <w:rsid w:val="008B150F"/>
    <w:rsid w:val="008B7283"/>
    <w:rsid w:val="008C179F"/>
    <w:rsid w:val="00903FB0"/>
    <w:rsid w:val="00905DD3"/>
    <w:rsid w:val="009104F9"/>
    <w:rsid w:val="00931BA0"/>
    <w:rsid w:val="009546AA"/>
    <w:rsid w:val="009C347A"/>
    <w:rsid w:val="009D2BC1"/>
    <w:rsid w:val="009D4F7D"/>
    <w:rsid w:val="009E0C3B"/>
    <w:rsid w:val="009F1EC3"/>
    <w:rsid w:val="009F750D"/>
    <w:rsid w:val="00A171A6"/>
    <w:rsid w:val="00A3541F"/>
    <w:rsid w:val="00A45079"/>
    <w:rsid w:val="00A57049"/>
    <w:rsid w:val="00A61667"/>
    <w:rsid w:val="00A621C8"/>
    <w:rsid w:val="00A65ACF"/>
    <w:rsid w:val="00A71EE4"/>
    <w:rsid w:val="00A7301C"/>
    <w:rsid w:val="00A75197"/>
    <w:rsid w:val="00A86F1B"/>
    <w:rsid w:val="00A87B7F"/>
    <w:rsid w:val="00A87FE1"/>
    <w:rsid w:val="00AA14EE"/>
    <w:rsid w:val="00AA32F8"/>
    <w:rsid w:val="00AC186E"/>
    <w:rsid w:val="00AE724E"/>
    <w:rsid w:val="00B13129"/>
    <w:rsid w:val="00B674BB"/>
    <w:rsid w:val="00B811C2"/>
    <w:rsid w:val="00BA752F"/>
    <w:rsid w:val="00BB5149"/>
    <w:rsid w:val="00C17E49"/>
    <w:rsid w:val="00C351C6"/>
    <w:rsid w:val="00C57284"/>
    <w:rsid w:val="00C979A8"/>
    <w:rsid w:val="00CB2B72"/>
    <w:rsid w:val="00CE08B1"/>
    <w:rsid w:val="00CF6A81"/>
    <w:rsid w:val="00CF7178"/>
    <w:rsid w:val="00D02EFE"/>
    <w:rsid w:val="00D14AE0"/>
    <w:rsid w:val="00D307E9"/>
    <w:rsid w:val="00DA4310"/>
    <w:rsid w:val="00DB07D7"/>
    <w:rsid w:val="00DC56CA"/>
    <w:rsid w:val="00DE5960"/>
    <w:rsid w:val="00E27051"/>
    <w:rsid w:val="00E35A20"/>
    <w:rsid w:val="00E370FF"/>
    <w:rsid w:val="00E5378B"/>
    <w:rsid w:val="00E55250"/>
    <w:rsid w:val="00E712B1"/>
    <w:rsid w:val="00ED1CC1"/>
    <w:rsid w:val="00F104C8"/>
    <w:rsid w:val="00F11BFE"/>
    <w:rsid w:val="00F21581"/>
    <w:rsid w:val="00F4267E"/>
    <w:rsid w:val="00F4467B"/>
    <w:rsid w:val="00F54426"/>
    <w:rsid w:val="00F6076C"/>
    <w:rsid w:val="00F74195"/>
    <w:rsid w:val="00FF09C8"/>
    <w:rsid w:val="00FF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82D0E"/>
  <w15:chartTrackingRefBased/>
  <w15:docId w15:val="{9EDAF1CC-D30F-45CE-8A04-B4FB97DC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C38"/>
    <w:rPr>
      <w:color w:val="0563C1" w:themeColor="hyperlink"/>
      <w:u w:val="single"/>
    </w:rPr>
  </w:style>
  <w:style w:type="paragraph" w:styleId="ListParagraph">
    <w:name w:val="List Paragraph"/>
    <w:basedOn w:val="Normal"/>
    <w:uiPriority w:val="34"/>
    <w:qFormat/>
    <w:rsid w:val="00D02EFE"/>
    <w:pPr>
      <w:ind w:left="720"/>
      <w:contextualSpacing/>
    </w:pPr>
  </w:style>
  <w:style w:type="table" w:styleId="TableGrid">
    <w:name w:val="Table Grid"/>
    <w:basedOn w:val="TableNormal"/>
    <w:uiPriority w:val="39"/>
    <w:rsid w:val="005524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B3B"/>
  </w:style>
  <w:style w:type="paragraph" w:styleId="Footer">
    <w:name w:val="footer"/>
    <w:basedOn w:val="Normal"/>
    <w:link w:val="FooterChar"/>
    <w:uiPriority w:val="99"/>
    <w:unhideWhenUsed/>
    <w:rsid w:val="0017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4324">
      <w:bodyDiv w:val="1"/>
      <w:marLeft w:val="0"/>
      <w:marRight w:val="0"/>
      <w:marTop w:val="0"/>
      <w:marBottom w:val="0"/>
      <w:divBdr>
        <w:top w:val="none" w:sz="0" w:space="0" w:color="auto"/>
        <w:left w:val="none" w:sz="0" w:space="0" w:color="auto"/>
        <w:bottom w:val="none" w:sz="0" w:space="0" w:color="auto"/>
        <w:right w:val="none" w:sz="0" w:space="0" w:color="auto"/>
      </w:divBdr>
    </w:div>
    <w:div w:id="44138411">
      <w:bodyDiv w:val="1"/>
      <w:marLeft w:val="0"/>
      <w:marRight w:val="0"/>
      <w:marTop w:val="0"/>
      <w:marBottom w:val="0"/>
      <w:divBdr>
        <w:top w:val="none" w:sz="0" w:space="0" w:color="auto"/>
        <w:left w:val="none" w:sz="0" w:space="0" w:color="auto"/>
        <w:bottom w:val="none" w:sz="0" w:space="0" w:color="auto"/>
        <w:right w:val="none" w:sz="0" w:space="0" w:color="auto"/>
      </w:divBdr>
    </w:div>
    <w:div w:id="123549736">
      <w:bodyDiv w:val="1"/>
      <w:marLeft w:val="0"/>
      <w:marRight w:val="0"/>
      <w:marTop w:val="0"/>
      <w:marBottom w:val="0"/>
      <w:divBdr>
        <w:top w:val="none" w:sz="0" w:space="0" w:color="auto"/>
        <w:left w:val="none" w:sz="0" w:space="0" w:color="auto"/>
        <w:bottom w:val="none" w:sz="0" w:space="0" w:color="auto"/>
        <w:right w:val="none" w:sz="0" w:space="0" w:color="auto"/>
      </w:divBdr>
    </w:div>
    <w:div w:id="317656246">
      <w:bodyDiv w:val="1"/>
      <w:marLeft w:val="0"/>
      <w:marRight w:val="0"/>
      <w:marTop w:val="0"/>
      <w:marBottom w:val="0"/>
      <w:divBdr>
        <w:top w:val="none" w:sz="0" w:space="0" w:color="auto"/>
        <w:left w:val="none" w:sz="0" w:space="0" w:color="auto"/>
        <w:bottom w:val="none" w:sz="0" w:space="0" w:color="auto"/>
        <w:right w:val="none" w:sz="0" w:space="0" w:color="auto"/>
      </w:divBdr>
    </w:div>
    <w:div w:id="711656029">
      <w:bodyDiv w:val="1"/>
      <w:marLeft w:val="0"/>
      <w:marRight w:val="0"/>
      <w:marTop w:val="0"/>
      <w:marBottom w:val="0"/>
      <w:divBdr>
        <w:top w:val="none" w:sz="0" w:space="0" w:color="auto"/>
        <w:left w:val="none" w:sz="0" w:space="0" w:color="auto"/>
        <w:bottom w:val="none" w:sz="0" w:space="0" w:color="auto"/>
        <w:right w:val="none" w:sz="0" w:space="0" w:color="auto"/>
      </w:divBdr>
    </w:div>
    <w:div w:id="721828603">
      <w:bodyDiv w:val="1"/>
      <w:marLeft w:val="0"/>
      <w:marRight w:val="0"/>
      <w:marTop w:val="0"/>
      <w:marBottom w:val="0"/>
      <w:divBdr>
        <w:top w:val="none" w:sz="0" w:space="0" w:color="auto"/>
        <w:left w:val="none" w:sz="0" w:space="0" w:color="auto"/>
        <w:bottom w:val="none" w:sz="0" w:space="0" w:color="auto"/>
        <w:right w:val="none" w:sz="0" w:space="0" w:color="auto"/>
      </w:divBdr>
    </w:div>
    <w:div w:id="925067631">
      <w:bodyDiv w:val="1"/>
      <w:marLeft w:val="0"/>
      <w:marRight w:val="0"/>
      <w:marTop w:val="0"/>
      <w:marBottom w:val="0"/>
      <w:divBdr>
        <w:top w:val="none" w:sz="0" w:space="0" w:color="auto"/>
        <w:left w:val="none" w:sz="0" w:space="0" w:color="auto"/>
        <w:bottom w:val="none" w:sz="0" w:space="0" w:color="auto"/>
        <w:right w:val="none" w:sz="0" w:space="0" w:color="auto"/>
      </w:divBdr>
    </w:div>
    <w:div w:id="1007102663">
      <w:bodyDiv w:val="1"/>
      <w:marLeft w:val="0"/>
      <w:marRight w:val="0"/>
      <w:marTop w:val="0"/>
      <w:marBottom w:val="0"/>
      <w:divBdr>
        <w:top w:val="none" w:sz="0" w:space="0" w:color="auto"/>
        <w:left w:val="none" w:sz="0" w:space="0" w:color="auto"/>
        <w:bottom w:val="none" w:sz="0" w:space="0" w:color="auto"/>
        <w:right w:val="none" w:sz="0" w:space="0" w:color="auto"/>
      </w:divBdr>
    </w:div>
    <w:div w:id="1109472982">
      <w:bodyDiv w:val="1"/>
      <w:marLeft w:val="0"/>
      <w:marRight w:val="0"/>
      <w:marTop w:val="0"/>
      <w:marBottom w:val="0"/>
      <w:divBdr>
        <w:top w:val="none" w:sz="0" w:space="0" w:color="auto"/>
        <w:left w:val="none" w:sz="0" w:space="0" w:color="auto"/>
        <w:bottom w:val="none" w:sz="0" w:space="0" w:color="auto"/>
        <w:right w:val="none" w:sz="0" w:space="0" w:color="auto"/>
      </w:divBdr>
    </w:div>
    <w:div w:id="1188299884">
      <w:bodyDiv w:val="1"/>
      <w:marLeft w:val="0"/>
      <w:marRight w:val="0"/>
      <w:marTop w:val="0"/>
      <w:marBottom w:val="0"/>
      <w:divBdr>
        <w:top w:val="none" w:sz="0" w:space="0" w:color="auto"/>
        <w:left w:val="none" w:sz="0" w:space="0" w:color="auto"/>
        <w:bottom w:val="none" w:sz="0" w:space="0" w:color="auto"/>
        <w:right w:val="none" w:sz="0" w:space="0" w:color="auto"/>
      </w:divBdr>
    </w:div>
    <w:div w:id="1346710859">
      <w:bodyDiv w:val="1"/>
      <w:marLeft w:val="0"/>
      <w:marRight w:val="0"/>
      <w:marTop w:val="0"/>
      <w:marBottom w:val="0"/>
      <w:divBdr>
        <w:top w:val="none" w:sz="0" w:space="0" w:color="auto"/>
        <w:left w:val="none" w:sz="0" w:space="0" w:color="auto"/>
        <w:bottom w:val="none" w:sz="0" w:space="0" w:color="auto"/>
        <w:right w:val="none" w:sz="0" w:space="0" w:color="auto"/>
      </w:divBdr>
    </w:div>
    <w:div w:id="1440221616">
      <w:bodyDiv w:val="1"/>
      <w:marLeft w:val="0"/>
      <w:marRight w:val="0"/>
      <w:marTop w:val="0"/>
      <w:marBottom w:val="0"/>
      <w:divBdr>
        <w:top w:val="none" w:sz="0" w:space="0" w:color="auto"/>
        <w:left w:val="none" w:sz="0" w:space="0" w:color="auto"/>
        <w:bottom w:val="none" w:sz="0" w:space="0" w:color="auto"/>
        <w:right w:val="none" w:sz="0" w:space="0" w:color="auto"/>
      </w:divBdr>
    </w:div>
    <w:div w:id="1556161197">
      <w:bodyDiv w:val="1"/>
      <w:marLeft w:val="0"/>
      <w:marRight w:val="0"/>
      <w:marTop w:val="0"/>
      <w:marBottom w:val="0"/>
      <w:divBdr>
        <w:top w:val="none" w:sz="0" w:space="0" w:color="auto"/>
        <w:left w:val="none" w:sz="0" w:space="0" w:color="auto"/>
        <w:bottom w:val="none" w:sz="0" w:space="0" w:color="auto"/>
        <w:right w:val="none" w:sz="0" w:space="0" w:color="auto"/>
      </w:divBdr>
    </w:div>
    <w:div w:id="1867449335">
      <w:bodyDiv w:val="1"/>
      <w:marLeft w:val="0"/>
      <w:marRight w:val="0"/>
      <w:marTop w:val="0"/>
      <w:marBottom w:val="0"/>
      <w:divBdr>
        <w:top w:val="none" w:sz="0" w:space="0" w:color="auto"/>
        <w:left w:val="none" w:sz="0" w:space="0" w:color="auto"/>
        <w:bottom w:val="none" w:sz="0" w:space="0" w:color="auto"/>
        <w:right w:val="none" w:sz="0" w:space="0" w:color="auto"/>
      </w:divBdr>
      <w:divsChild>
        <w:div w:id="264307508">
          <w:marLeft w:val="0"/>
          <w:marRight w:val="0"/>
          <w:marTop w:val="0"/>
          <w:marBottom w:val="0"/>
          <w:divBdr>
            <w:top w:val="none" w:sz="0" w:space="0" w:color="auto"/>
            <w:left w:val="none" w:sz="0" w:space="0" w:color="auto"/>
            <w:bottom w:val="none" w:sz="0" w:space="0" w:color="auto"/>
            <w:right w:val="none" w:sz="0" w:space="0" w:color="auto"/>
          </w:divBdr>
          <w:divsChild>
            <w:div w:id="13460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8087">
      <w:bodyDiv w:val="1"/>
      <w:marLeft w:val="0"/>
      <w:marRight w:val="0"/>
      <w:marTop w:val="0"/>
      <w:marBottom w:val="0"/>
      <w:divBdr>
        <w:top w:val="none" w:sz="0" w:space="0" w:color="auto"/>
        <w:left w:val="none" w:sz="0" w:space="0" w:color="auto"/>
        <w:bottom w:val="none" w:sz="0" w:space="0" w:color="auto"/>
        <w:right w:val="none" w:sz="0" w:space="0" w:color="auto"/>
      </w:divBdr>
    </w:div>
    <w:div w:id="20898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701/ems.3690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187/jscmt.2020.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958B0-9679-4687-BD28-C1349A1D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NMELI ONOCHIE</dc:creator>
  <cp:keywords/>
  <dc:description/>
  <cp:lastModifiedBy>SDI 1084</cp:lastModifiedBy>
  <cp:revision>9</cp:revision>
  <dcterms:created xsi:type="dcterms:W3CDTF">2026-01-16T13:39:00Z</dcterms:created>
  <dcterms:modified xsi:type="dcterms:W3CDTF">2026-01-31T13:21:00Z</dcterms:modified>
</cp:coreProperties>
</file>