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192" w:rsidRDefault="002C73C7" w:rsidP="00C31FC8">
      <w:pPr>
        <w:spacing w:after="200" w:line="276" w:lineRule="auto"/>
        <w:jc w:val="center"/>
        <w:rPr>
          <w:rFonts w:ascii="Times New Roman" w:eastAsia="Times New Roman" w:hAnsi="Times New Roman" w:cs="Times New Roman"/>
          <w:b/>
          <w:bCs/>
          <w:color w:val="000000"/>
          <w:sz w:val="24"/>
          <w:szCs w:val="24"/>
        </w:rPr>
      </w:pPr>
      <w:r w:rsidRPr="002C73C7">
        <w:rPr>
          <w:rFonts w:ascii="Times New Roman" w:eastAsia="Times New Roman" w:hAnsi="Times New Roman" w:cs="Times New Roman"/>
          <w:b/>
          <w:bCs/>
          <w:i/>
          <w:iCs/>
          <w:color w:val="000000"/>
          <w:sz w:val="24"/>
          <w:szCs w:val="24"/>
        </w:rPr>
        <w:t>Time-Varying Scalar Component VARMA: A State-Space Solution to Structural Instability in Macroeconomic Forecasting</w:t>
      </w:r>
      <w:r>
        <w:rPr>
          <w:rFonts w:ascii="Times New Roman" w:eastAsia="Times New Roman" w:hAnsi="Times New Roman" w:cs="Times New Roman"/>
          <w:b/>
          <w:bCs/>
          <w:i/>
          <w:iCs/>
          <w:color w:val="000000"/>
          <w:sz w:val="24"/>
          <w:szCs w:val="24"/>
        </w:rPr>
        <w:t xml:space="preserve"> </w:t>
      </w:r>
    </w:p>
    <w:p w:rsidR="001114CD" w:rsidRDefault="001114CD" w:rsidP="00C31FC8">
      <w:pPr>
        <w:widowControl w:val="0"/>
        <w:suppressAutoHyphens/>
        <w:autoSpaceDN w:val="0"/>
        <w:spacing w:after="0" w:line="240" w:lineRule="auto"/>
        <w:jc w:val="center"/>
        <w:textAlignment w:val="baseline"/>
        <w:rPr>
          <w:rFonts w:ascii="Times New Roman" w:eastAsia="Constantia" w:hAnsi="Times New Roman" w:cs="Times New Roman"/>
          <w:i/>
          <w:sz w:val="24"/>
          <w:szCs w:val="24"/>
          <w:lang w:val="en-GB" w:eastAsia="en-GB"/>
        </w:rPr>
      </w:pPr>
    </w:p>
    <w:p w:rsidR="00F9415D" w:rsidRDefault="00BD022A" w:rsidP="00C31FC8">
      <w:pPr>
        <w:widowControl w:val="0"/>
        <w:suppressAutoHyphens/>
        <w:autoSpaceDN w:val="0"/>
        <w:spacing w:after="0" w:line="240" w:lineRule="auto"/>
        <w:jc w:val="center"/>
        <w:textAlignment w:val="baseline"/>
        <w:rPr>
          <w:rFonts w:ascii="Times New Roman" w:eastAsia="Constantia" w:hAnsi="Times New Roman" w:cs="Times New Roman"/>
          <w:i/>
          <w:sz w:val="24"/>
          <w:szCs w:val="24"/>
          <w:lang w:val="en-GB" w:eastAsia="en-GB"/>
        </w:rPr>
      </w:pPr>
      <w:bookmarkStart w:id="0" w:name="_GoBack"/>
      <w:bookmarkEnd w:id="0"/>
      <w:r>
        <w:rPr>
          <w:rFonts w:ascii="Times New Roman" w:eastAsia="Constantia" w:hAnsi="Times New Roman" w:cs="Times New Roman"/>
          <w:i/>
          <w:sz w:val="24"/>
          <w:szCs w:val="24"/>
          <w:lang w:val="en-GB" w:eastAsia="en-GB"/>
        </w:rPr>
        <w:t>.</w:t>
      </w:r>
    </w:p>
    <w:p w:rsidR="00F947B2" w:rsidRDefault="006F7228" w:rsidP="003F64A5">
      <w:pPr>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 xml:space="preserve">Abstract </w:t>
      </w:r>
    </w:p>
    <w:p w:rsidR="00724B7F" w:rsidRPr="00724B7F" w:rsidRDefault="00724B7F" w:rsidP="00724B7F">
      <w:pPr>
        <w:jc w:val="both"/>
        <w:rPr>
          <w:rFonts w:ascii="Times New Roman" w:eastAsia="Times New Roman" w:hAnsi="Times New Roman" w:cs="Times New Roman"/>
          <w:bCs/>
          <w:color w:val="000000"/>
          <w:sz w:val="24"/>
          <w:szCs w:val="24"/>
        </w:rPr>
      </w:pPr>
      <w:r w:rsidRPr="00724B7F">
        <w:rPr>
          <w:rFonts w:ascii="Times New Roman" w:eastAsia="Times New Roman" w:hAnsi="Times New Roman" w:cs="Times New Roman"/>
          <w:bCs/>
          <w:color w:val="000000"/>
          <w:sz w:val="24"/>
          <w:szCs w:val="24"/>
        </w:rPr>
        <w:t>Macroeconomic relationships in Nigeria are highly unstable due to oil-price shocks, policy reforms, and exchange-rate realignments. Traditional Vector Autoregressive (VAR) and Vector Autoregressive Moving-Average (VARMA) models become unreliable when parameters shift over time. Classical VARMA suffers from identification failure and divergence in small samples, while VAR assumes static parameters and mis-specifies periods of structural change, resulting in poor long-horizon forecast accuracy. This study derived and estimated a Time-Varying Scalar Component VARMA (TV-SCVARMA) model that preserves VAR parsimony, embeds MA structure, and allows parameters to evolve stochastically. The goal was to assess whether the proposed model improves stability and forecast performance under regime shifts. Quarterly data for real GDP growth, inflation, exchange rate, and money supply (2010Q1–2024Q1) were obtained from the Central Bank of Nigeria and the National Bureau of Statistics. Variables were transformed to stationarity, and parameters were estimated using a state-space representation and Kalman filter–based maximum likelihood. Model performance was evaluated using Root Mean Squared Errors (RMSE). The TV-SCVARMA model achieved the lowest RMSE, fast convergence, and stable forecasts across horizons, while classical VARMA collapsed with astronomically high errors. The study concludes that time-varying models should replace static VAR/VARMA for forecasting in volatile economies. Policymakers should apply TV-SCVARMA for inflation, exchange-rate and monetary planning, while future research may incorporate stochastic volatility or Bayesian estimation for extreme-shock environments.</w:t>
      </w:r>
    </w:p>
    <w:p w:rsidR="009D1A90" w:rsidRPr="0060697A" w:rsidRDefault="006F7228" w:rsidP="009D1A90">
      <w:pPr>
        <w:jc w:val="both"/>
        <w:rPr>
          <w:rFonts w:ascii="Times New Roman" w:eastAsia="Times New Roman" w:hAnsi="Times New Roman" w:cs="Times New Roman"/>
          <w:bCs/>
          <w:color w:val="000000"/>
          <w:sz w:val="24"/>
          <w:szCs w:val="24"/>
        </w:rPr>
      </w:pPr>
      <w:r w:rsidRPr="00431334">
        <w:rPr>
          <w:rFonts w:ascii="Times New Roman" w:eastAsia="Times New Roman" w:hAnsi="Times New Roman" w:cs="Times New Roman"/>
          <w:b/>
          <w:bCs/>
          <w:color w:val="000000"/>
          <w:sz w:val="24"/>
          <w:szCs w:val="24"/>
        </w:rPr>
        <w:t>Keywords:</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Kalman filter</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Macroeconomic</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oil-price shocks</w:t>
      </w:r>
      <w:r w:rsidR="00724B7F">
        <w:rPr>
          <w:rFonts w:ascii="Times New Roman" w:eastAsia="Times New Roman" w:hAnsi="Times New Roman" w:cs="Times New Roman"/>
          <w:bCs/>
          <w:color w:val="000000"/>
          <w:sz w:val="24"/>
          <w:szCs w:val="24"/>
        </w:rPr>
        <w:t>, TV-SCVARMA, VAR, VARMA</w:t>
      </w:r>
      <w:r w:rsidRPr="0060697A">
        <w:rPr>
          <w:rFonts w:ascii="Times New Roman" w:eastAsia="Times New Roman" w:hAnsi="Times New Roman" w:cs="Times New Roman"/>
          <w:bCs/>
          <w:color w:val="000000"/>
          <w:sz w:val="24"/>
          <w:szCs w:val="24"/>
        </w:rPr>
        <w:t xml:space="preserve"> </w:t>
      </w:r>
      <w:r w:rsidR="00B90394">
        <w:rPr>
          <w:rFonts w:ascii="Times New Roman" w:eastAsia="Times New Roman" w:hAnsi="Times New Roman" w:cs="Times New Roman"/>
          <w:bCs/>
          <w:color w:val="000000"/>
          <w:sz w:val="24"/>
          <w:szCs w:val="24"/>
        </w:rPr>
        <w:t xml:space="preserve"> </w:t>
      </w:r>
    </w:p>
    <w:p w:rsidR="00F947B2" w:rsidRPr="0060697A" w:rsidRDefault="00983BE9" w:rsidP="00AD374F">
      <w:pPr>
        <w:pStyle w:val="ListParagraph"/>
        <w:numPr>
          <w:ilvl w:val="0"/>
          <w:numId w:val="3"/>
        </w:numPr>
        <w:ind w:left="284"/>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Introduction</w:t>
      </w: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Vector Autoregressive (VAR) and Vector Autoregressive Moving-Average (VARMA) models are workhorses for multivariate time-series analysis in macroeconomics, used for forecasting, structural analysis, and policy evaluation (Sims, 1980; Engle &amp; Granger, 1987). In the Nigerian context, VAR frameworks have been applied to exchange-rate dynamics, growth, inflation, savings–investment linkages, and infrastructure–poverty interactions (Ogun, 2010; </w:t>
      </w:r>
      <w:proofErr w:type="spellStart"/>
      <w:r w:rsidRPr="00FB4D0B">
        <w:rPr>
          <w:rFonts w:ascii="Times New Roman" w:eastAsia="Times New Roman" w:hAnsi="Times New Roman" w:cs="Times New Roman"/>
          <w:color w:val="000000"/>
          <w:sz w:val="24"/>
          <w:szCs w:val="24"/>
        </w:rPr>
        <w:t>Okoronkwo</w:t>
      </w:r>
      <w:proofErr w:type="spellEnd"/>
      <w:r w:rsidRPr="00FB4D0B">
        <w:rPr>
          <w:rFonts w:ascii="Times New Roman" w:eastAsia="Times New Roman" w:hAnsi="Times New Roman" w:cs="Times New Roman"/>
          <w:color w:val="000000"/>
          <w:sz w:val="24"/>
          <w:szCs w:val="24"/>
        </w:rPr>
        <w:t xml:space="preserve"> et al., 2017; </w:t>
      </w:r>
      <w:proofErr w:type="spellStart"/>
      <w:r w:rsidRPr="00FB4D0B">
        <w:rPr>
          <w:rFonts w:ascii="Times New Roman" w:eastAsia="Times New Roman" w:hAnsi="Times New Roman" w:cs="Times New Roman"/>
          <w:color w:val="000000"/>
          <w:sz w:val="24"/>
          <w:szCs w:val="24"/>
        </w:rPr>
        <w:t>Sha</w:t>
      </w:r>
      <w:r w:rsidR="00BB5CB6">
        <w:rPr>
          <w:rFonts w:ascii="Times New Roman" w:eastAsia="Times New Roman" w:hAnsi="Times New Roman" w:cs="Times New Roman"/>
          <w:color w:val="000000"/>
          <w:sz w:val="24"/>
          <w:szCs w:val="24"/>
        </w:rPr>
        <w:t>s</w:t>
      </w:r>
      <w:r w:rsidRPr="00FB4D0B">
        <w:rPr>
          <w:rFonts w:ascii="Times New Roman" w:eastAsia="Times New Roman" w:hAnsi="Times New Roman" w:cs="Times New Roman"/>
          <w:color w:val="000000"/>
          <w:sz w:val="24"/>
          <w:szCs w:val="24"/>
        </w:rPr>
        <w:t>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xml:space="preserve">, 2020). Evidence generally shows that shocks to key macro variables, such as the exchange rate, oil revenue, government spending, and money supply, propagate in complex, time-dependent ways (Chinedu et al., 2018; </w:t>
      </w:r>
      <w:proofErr w:type="spellStart"/>
      <w:r w:rsidRPr="00FB4D0B">
        <w:rPr>
          <w:rFonts w:ascii="Times New Roman" w:eastAsia="Times New Roman" w:hAnsi="Times New Roman" w:cs="Times New Roman"/>
          <w:color w:val="000000"/>
          <w:sz w:val="24"/>
          <w:szCs w:val="24"/>
        </w:rPr>
        <w:t>Adegboyega</w:t>
      </w:r>
      <w:proofErr w:type="spellEnd"/>
      <w:r w:rsidRPr="00FB4D0B">
        <w:rPr>
          <w:rFonts w:ascii="Times New Roman" w:eastAsia="Times New Roman" w:hAnsi="Times New Roman" w:cs="Times New Roman"/>
          <w:color w:val="000000"/>
          <w:sz w:val="24"/>
          <w:szCs w:val="24"/>
        </w:rPr>
        <w:t xml:space="preserve">, 2017). While VARMA extends VAR by admitting moving-average components that can better capture short-run dynamics, practical use in macroeconomics has been limited by identification, invertibility, and estimation instability, especially in small samples or under structural change (Granger &amp; Newbold, 1974; </w:t>
      </w:r>
      <w:proofErr w:type="spellStart"/>
      <w:r w:rsidRPr="00FB4D0B">
        <w:rPr>
          <w:rFonts w:ascii="Times New Roman" w:eastAsia="Times New Roman" w:hAnsi="Times New Roman" w:cs="Times New Roman"/>
          <w:color w:val="000000"/>
          <w:sz w:val="24"/>
          <w:szCs w:val="24"/>
        </w:rPr>
        <w:t>Lütkepohl</w:t>
      </w:r>
      <w:proofErr w:type="spellEnd"/>
      <w:r w:rsidRPr="00FB4D0B">
        <w:rPr>
          <w:rFonts w:ascii="Times New Roman" w:eastAsia="Times New Roman" w:hAnsi="Times New Roman" w:cs="Times New Roman"/>
          <w:color w:val="000000"/>
          <w:sz w:val="24"/>
          <w:szCs w:val="24"/>
        </w:rPr>
        <w:t xml:space="preserve">, 2005; </w:t>
      </w:r>
      <w:proofErr w:type="spellStart"/>
      <w:r w:rsidRPr="00FB4D0B">
        <w:rPr>
          <w:rFonts w:ascii="Times New Roman" w:eastAsia="Times New Roman" w:hAnsi="Times New Roman" w:cs="Times New Roman"/>
          <w:color w:val="000000"/>
          <w:sz w:val="24"/>
          <w:szCs w:val="24"/>
        </w:rPr>
        <w:t>Tsay</w:t>
      </w:r>
      <w:proofErr w:type="spellEnd"/>
      <w:r w:rsidRPr="00FB4D0B">
        <w:rPr>
          <w:rFonts w:ascii="Times New Roman" w:eastAsia="Times New Roman" w:hAnsi="Times New Roman" w:cs="Times New Roman"/>
          <w:color w:val="000000"/>
          <w:sz w:val="24"/>
          <w:szCs w:val="24"/>
        </w:rPr>
        <w:t xml:space="preserve">, 2014;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 Despite these hurdles, VARMA remains attractive as a multivariate generalization of univariate ARMA that can improve forecast performance when properly identified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et al., 2012;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xml:space="preserve">, 2013). </w:t>
      </w:r>
      <w:r w:rsidRPr="00FB4D0B">
        <w:rPr>
          <w:rFonts w:ascii="Times New Roman" w:eastAsia="Times New Roman" w:hAnsi="Times New Roman" w:cs="Times New Roman"/>
          <w:color w:val="000000"/>
          <w:sz w:val="24"/>
          <w:szCs w:val="24"/>
        </w:rPr>
        <w:lastRenderedPageBreak/>
        <w:t xml:space="preserve">More recent advances, such as Bayesian VAR (BVAR), VARMA with stochastic volatility, and score-driven or non-Gaussian innovations, underscore the gains from richer error structures when regimes, nonlinearities, and fat tails matter (Gong et al., 2019; </w:t>
      </w:r>
      <w:proofErr w:type="spellStart"/>
      <w:r w:rsidRPr="00FB4D0B">
        <w:rPr>
          <w:rFonts w:ascii="Times New Roman" w:eastAsia="Times New Roman" w:hAnsi="Times New Roman" w:cs="Times New Roman"/>
          <w:color w:val="000000"/>
          <w:sz w:val="24"/>
          <w:szCs w:val="24"/>
        </w:rPr>
        <w:t>Blazsek</w:t>
      </w:r>
      <w:proofErr w:type="spellEnd"/>
      <w:r w:rsidRPr="00FB4D0B">
        <w:rPr>
          <w:rFonts w:ascii="Times New Roman" w:eastAsia="Times New Roman" w:hAnsi="Times New Roman" w:cs="Times New Roman"/>
          <w:color w:val="000000"/>
          <w:sz w:val="24"/>
          <w:szCs w:val="24"/>
        </w:rPr>
        <w:t xml:space="preserve"> et al., 2021).</w:t>
      </w:r>
    </w:p>
    <w:p w:rsidR="00FB4D0B" w:rsidRPr="00FB4D0B" w:rsidRDefault="00FB4D0B" w:rsidP="00FB4D0B">
      <w:pPr>
        <w:spacing w:after="113"/>
        <w:jc w:val="both"/>
        <w:rPr>
          <w:rFonts w:ascii="Times New Roman" w:eastAsia="Times New Roman" w:hAnsi="Times New Roman" w:cs="Times New Roman"/>
          <w:color w:val="000000"/>
          <w:sz w:val="24"/>
          <w:szCs w:val="24"/>
        </w:rPr>
      </w:pP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Across applications, modeling choices matter. For inflation and exchange rate dynamics in Nigeria, Autoregressive Distributed-Lag (ARDL) and Autoregressive Integrated Moving-Average (ARIMA) benchmarks often perform competitively (</w:t>
      </w:r>
      <w:proofErr w:type="spellStart"/>
      <w:r w:rsidRPr="00FB4D0B">
        <w:rPr>
          <w:rFonts w:ascii="Times New Roman" w:eastAsia="Times New Roman" w:hAnsi="Times New Roman" w:cs="Times New Roman"/>
          <w:color w:val="000000"/>
          <w:sz w:val="24"/>
          <w:szCs w:val="24"/>
        </w:rPr>
        <w:t>Shaibu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2020), yet oil-price shocks and policy transmission favor multivariate structures (Chinedu et al., 2018). Beyond Nigeria, the multivariate Generalized Autoregressive Conditional Heteroskedasticity (MGARCH) and Dynamic Conditional Correlation (DCC) families, paired with VARMA, capture time-varying co-movements in commodities, equities, and cryp</w:t>
      </w:r>
      <w:r w:rsidR="00510500">
        <w:rPr>
          <w:rFonts w:ascii="Times New Roman" w:eastAsia="Times New Roman" w:hAnsi="Times New Roman" w:cs="Times New Roman"/>
          <w:color w:val="000000"/>
          <w:sz w:val="24"/>
          <w:szCs w:val="24"/>
        </w:rPr>
        <w:t>to assets (</w:t>
      </w:r>
      <w:proofErr w:type="spellStart"/>
      <w:r w:rsidR="00510500">
        <w:rPr>
          <w:rFonts w:ascii="Times New Roman" w:eastAsia="Times New Roman" w:hAnsi="Times New Roman" w:cs="Times New Roman"/>
          <w:color w:val="000000"/>
          <w:sz w:val="24"/>
          <w:szCs w:val="24"/>
        </w:rPr>
        <w:t>Manera</w:t>
      </w:r>
      <w:proofErr w:type="spellEnd"/>
      <w:r w:rsidR="00510500">
        <w:rPr>
          <w:rFonts w:ascii="Times New Roman" w:eastAsia="Times New Roman" w:hAnsi="Times New Roman" w:cs="Times New Roman"/>
          <w:color w:val="000000"/>
          <w:sz w:val="24"/>
          <w:szCs w:val="24"/>
        </w:rPr>
        <w:t xml:space="preserve"> et al., 2006</w:t>
      </w:r>
      <w:r w:rsidRPr="00FB4D0B">
        <w:rPr>
          <w:rFonts w:ascii="Times New Roman" w:eastAsia="Times New Roman" w:hAnsi="Times New Roman" w:cs="Times New Roman"/>
          <w:color w:val="000000"/>
          <w:sz w:val="24"/>
          <w:szCs w:val="24"/>
        </w:rPr>
        <w:t>). Outside finance, VARMA supports engineering and geophysical signal processing where time variation is intrinsic, frequently via state-space and Kalman filtering (Dong</w:t>
      </w:r>
      <w:r w:rsidR="00510500">
        <w:rPr>
          <w:rFonts w:ascii="Times New Roman" w:eastAsia="Times New Roman" w:hAnsi="Times New Roman" w:cs="Times New Roman"/>
          <w:color w:val="000000"/>
          <w:sz w:val="24"/>
          <w:szCs w:val="24"/>
        </w:rPr>
        <w:t xml:space="preserve"> et al., 2010; </w:t>
      </w:r>
      <w:proofErr w:type="spellStart"/>
      <w:r w:rsidRPr="00FB4D0B">
        <w:rPr>
          <w:rFonts w:ascii="Times New Roman" w:eastAsia="Times New Roman" w:hAnsi="Times New Roman" w:cs="Times New Roman"/>
          <w:color w:val="000000"/>
          <w:sz w:val="24"/>
          <w:szCs w:val="24"/>
        </w:rPr>
        <w:t>Yinfeng</w:t>
      </w:r>
      <w:proofErr w:type="spellEnd"/>
      <w:r w:rsidRPr="00FB4D0B">
        <w:rPr>
          <w:rFonts w:ascii="Times New Roman" w:eastAsia="Times New Roman" w:hAnsi="Times New Roman" w:cs="Times New Roman"/>
          <w:color w:val="000000"/>
          <w:sz w:val="24"/>
          <w:szCs w:val="24"/>
        </w:rPr>
        <w:t xml:space="preserve"> et al., 2008; Yu &amp; Xu, 2022).</w:t>
      </w:r>
    </w:p>
    <w:p w:rsidR="00FB4D0B" w:rsidRPr="00FB4D0B" w:rsidRDefault="00FB4D0B" w:rsidP="00FB4D0B">
      <w:pPr>
        <w:spacing w:after="113"/>
        <w:jc w:val="both"/>
        <w:rPr>
          <w:rFonts w:ascii="Times New Roman" w:eastAsia="Times New Roman" w:hAnsi="Times New Roman" w:cs="Times New Roman"/>
          <w:color w:val="000000"/>
          <w:sz w:val="24"/>
          <w:szCs w:val="24"/>
        </w:rPr>
      </w:pPr>
    </w:p>
    <w:p w:rsidR="00125B2A"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A core lesson from this literature is that macroeconomic relations are not static: parameters drift with policy regimes, terms-of-trade shocks, and structural breaks. Static VAR or fixed-parameter VARMA can mis-specify such environments, inflating forecast errors or producing unstable estimates (Trevor &amp; Thorp, 1988;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2013). Scalar-component methodologies and state-space formulations offer a path forward, combining parsimony with time variation, and enabling stable likelihood-based estimation via the Kalman filter (</w:t>
      </w:r>
      <w:proofErr w:type="spellStart"/>
      <w:r w:rsidRPr="00FB4D0B">
        <w:rPr>
          <w:rFonts w:ascii="Times New Roman" w:eastAsia="Times New Roman" w:hAnsi="Times New Roman" w:cs="Times New Roman"/>
          <w:color w:val="000000"/>
          <w:sz w:val="24"/>
          <w:szCs w:val="24"/>
        </w:rPr>
        <w:t>A</w:t>
      </w:r>
      <w:r w:rsidR="00510500">
        <w:rPr>
          <w:rFonts w:ascii="Times New Roman" w:eastAsia="Times New Roman" w:hAnsi="Times New Roman" w:cs="Times New Roman"/>
          <w:color w:val="000000"/>
          <w:sz w:val="24"/>
          <w:szCs w:val="24"/>
        </w:rPr>
        <w:t>thanasopoulos</w:t>
      </w:r>
      <w:proofErr w:type="spellEnd"/>
      <w:r w:rsidR="00510500">
        <w:rPr>
          <w:rFonts w:ascii="Times New Roman" w:eastAsia="Times New Roman" w:hAnsi="Times New Roman" w:cs="Times New Roman"/>
          <w:color w:val="000000"/>
          <w:sz w:val="24"/>
          <w:szCs w:val="24"/>
        </w:rPr>
        <w:t xml:space="preserve"> et al., 2012</w:t>
      </w:r>
      <w:r w:rsidRPr="00FB4D0B">
        <w:rPr>
          <w:rFonts w:ascii="Times New Roman" w:eastAsia="Times New Roman" w:hAnsi="Times New Roman" w:cs="Times New Roman"/>
          <w:color w:val="000000"/>
          <w:sz w:val="24"/>
          <w:szCs w:val="24"/>
        </w:rPr>
        <w:t>). Building on this stream, a Time-Varying Scalar-Component VARMA (TV-SCVARMA) framework recasts multivariate dynamics as a latent scalar projection that evolves stochastically, preserving cross-dependence while allowing parameters to adapt to structural change, an approach especially pertinent for volatile, policy-sensitive economies.</w:t>
      </w: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It was identified that Nigeria-focused VAR studies find meaningful short-run and long-run interactions among exchange rate, oil revenue, government spending, GDP, and inflation, though fixed parameters can miss key regime shifts (Ogun, 2010; Olanrewaju et al., 2015; </w:t>
      </w:r>
      <w:proofErr w:type="spellStart"/>
      <w:r w:rsidRPr="00FB4D0B">
        <w:rPr>
          <w:rFonts w:ascii="Times New Roman" w:eastAsia="Times New Roman" w:hAnsi="Times New Roman" w:cs="Times New Roman"/>
          <w:color w:val="000000"/>
          <w:sz w:val="24"/>
          <w:szCs w:val="24"/>
        </w:rPr>
        <w:t>Okoronkwo</w:t>
      </w:r>
      <w:proofErr w:type="spellEnd"/>
      <w:r w:rsidRPr="00FB4D0B">
        <w:rPr>
          <w:rFonts w:ascii="Times New Roman" w:eastAsia="Times New Roman" w:hAnsi="Times New Roman" w:cs="Times New Roman"/>
          <w:color w:val="000000"/>
          <w:sz w:val="24"/>
          <w:szCs w:val="24"/>
        </w:rPr>
        <w:t xml:space="preserve"> et al., 2017; </w:t>
      </w:r>
      <w:proofErr w:type="spellStart"/>
      <w:r w:rsidRPr="00FB4D0B">
        <w:rPr>
          <w:rFonts w:ascii="Times New Roman" w:eastAsia="Times New Roman" w:hAnsi="Times New Roman" w:cs="Times New Roman"/>
          <w:color w:val="000000"/>
          <w:sz w:val="24"/>
          <w:szCs w:val="24"/>
        </w:rPr>
        <w:t>Adegboyega</w:t>
      </w:r>
      <w:proofErr w:type="spellEnd"/>
      <w:r w:rsidRPr="00FB4D0B">
        <w:rPr>
          <w:rFonts w:ascii="Times New Roman" w:eastAsia="Times New Roman" w:hAnsi="Times New Roman" w:cs="Times New Roman"/>
          <w:color w:val="000000"/>
          <w:sz w:val="24"/>
          <w:szCs w:val="24"/>
        </w:rPr>
        <w:t xml:space="preserve">, 2017; </w:t>
      </w:r>
      <w:proofErr w:type="spellStart"/>
      <w:r w:rsidRPr="00FB4D0B">
        <w:rPr>
          <w:rFonts w:ascii="Times New Roman" w:eastAsia="Times New Roman" w:hAnsi="Times New Roman" w:cs="Times New Roman"/>
          <w:color w:val="000000"/>
          <w:sz w:val="24"/>
          <w:szCs w:val="24"/>
        </w:rPr>
        <w:t>Shaibu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2020; Chinedu et al., 2018). Also, it was established that VARMA and extensions can outperform simpler models in selected settings but face identification and invertibility issues; state-space and scalar-component formulations help regularize and stabilize estimation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et al., 2012;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xml:space="preserve">, 2013;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w:t>
      </w:r>
      <w:r w:rsidRPr="00FB4D0B">
        <w:rPr>
          <w:rFonts w:ascii="Times New Roman" w:eastAsia="Times New Roman" w:hAnsi="Times New Roman" w:cs="Times New Roman"/>
          <w:b/>
          <w:bCs/>
          <w:color w:val="000000"/>
          <w:sz w:val="24"/>
          <w:szCs w:val="24"/>
        </w:rPr>
        <w:t xml:space="preserve"> </w:t>
      </w:r>
      <w:r w:rsidRPr="00FB4D0B">
        <w:rPr>
          <w:rFonts w:ascii="Times New Roman" w:eastAsia="Times New Roman" w:hAnsi="Times New Roman" w:cs="Times New Roman"/>
          <w:color w:val="000000"/>
          <w:sz w:val="24"/>
          <w:szCs w:val="24"/>
        </w:rPr>
        <w:t>Time variation and nonlinearities are empirically important across macro-finance and real-sector contexts; models with stochastic volatility, non-Gaussian shocks, and dynamic correlations improve fit and risk characterization (</w:t>
      </w:r>
      <w:proofErr w:type="spellStart"/>
      <w:r w:rsidRPr="00FB4D0B">
        <w:rPr>
          <w:rFonts w:ascii="Times New Roman" w:eastAsia="Times New Roman" w:hAnsi="Times New Roman" w:cs="Times New Roman"/>
          <w:color w:val="000000"/>
          <w:sz w:val="24"/>
          <w:szCs w:val="24"/>
        </w:rPr>
        <w:t>Manera</w:t>
      </w:r>
      <w:proofErr w:type="spellEnd"/>
      <w:r w:rsidRPr="00FB4D0B">
        <w:rPr>
          <w:rFonts w:ascii="Times New Roman" w:eastAsia="Times New Roman" w:hAnsi="Times New Roman" w:cs="Times New Roman"/>
          <w:color w:val="000000"/>
          <w:sz w:val="24"/>
          <w:szCs w:val="24"/>
        </w:rPr>
        <w:t xml:space="preserve"> e</w:t>
      </w:r>
      <w:r w:rsidR="00510500">
        <w:rPr>
          <w:rFonts w:ascii="Times New Roman" w:eastAsia="Times New Roman" w:hAnsi="Times New Roman" w:cs="Times New Roman"/>
          <w:color w:val="000000"/>
          <w:sz w:val="24"/>
          <w:szCs w:val="24"/>
        </w:rPr>
        <w:t>t al., 2006;</w:t>
      </w:r>
      <w:r w:rsidRPr="00FB4D0B">
        <w:rPr>
          <w:rFonts w:ascii="Times New Roman" w:eastAsia="Times New Roman" w:hAnsi="Times New Roman" w:cs="Times New Roman"/>
          <w:color w:val="000000"/>
          <w:sz w:val="24"/>
          <w:szCs w:val="24"/>
        </w:rPr>
        <w:t xml:space="preserve"> Gong et al., 2019; </w:t>
      </w:r>
      <w:proofErr w:type="spellStart"/>
      <w:r w:rsidRPr="00FB4D0B">
        <w:rPr>
          <w:rFonts w:ascii="Times New Roman" w:eastAsia="Times New Roman" w:hAnsi="Times New Roman" w:cs="Times New Roman"/>
          <w:color w:val="000000"/>
          <w:sz w:val="24"/>
          <w:szCs w:val="24"/>
        </w:rPr>
        <w:t>Blazsek</w:t>
      </w:r>
      <w:proofErr w:type="spellEnd"/>
      <w:r w:rsidRPr="00FB4D0B">
        <w:rPr>
          <w:rFonts w:ascii="Times New Roman" w:eastAsia="Times New Roman" w:hAnsi="Times New Roman" w:cs="Times New Roman"/>
          <w:color w:val="000000"/>
          <w:sz w:val="24"/>
          <w:szCs w:val="24"/>
        </w:rPr>
        <w:t xml:space="preserve"> et al., 2021).</w:t>
      </w:r>
    </w:p>
    <w:p w:rsid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Despite widespread use of VAR and growing interest in VARMA, there is no widely adopted, operationally simple, likelihood-based framework that (</w:t>
      </w:r>
      <w:proofErr w:type="spellStart"/>
      <w:r w:rsidRPr="00FB4D0B">
        <w:rPr>
          <w:rFonts w:ascii="Times New Roman" w:eastAsia="Times New Roman" w:hAnsi="Times New Roman" w:cs="Times New Roman"/>
          <w:color w:val="000000"/>
          <w:sz w:val="24"/>
          <w:szCs w:val="24"/>
        </w:rPr>
        <w:t>i</w:t>
      </w:r>
      <w:proofErr w:type="spellEnd"/>
      <w:r w:rsidRPr="00FB4D0B">
        <w:rPr>
          <w:rFonts w:ascii="Times New Roman" w:eastAsia="Times New Roman" w:hAnsi="Times New Roman" w:cs="Times New Roman"/>
          <w:color w:val="000000"/>
          <w:sz w:val="24"/>
          <w:szCs w:val="24"/>
        </w:rPr>
        <w:t xml:space="preserve">) retains VAR parsimony, (ii) embeds MA structure for short-run dynamics, and (iii) allows parameters to evolve smoothly to accommodate structural change in Nigerian macro data. Existing rolling/recursive VARs proxy time variation but are statistically inefficient and can be unstable. Classical VARMA models suffer from </w:t>
      </w:r>
      <w:r w:rsidRPr="00FB4D0B">
        <w:rPr>
          <w:rFonts w:ascii="Times New Roman" w:eastAsia="Times New Roman" w:hAnsi="Times New Roman" w:cs="Times New Roman"/>
          <w:color w:val="000000"/>
          <w:sz w:val="24"/>
          <w:szCs w:val="24"/>
        </w:rPr>
        <w:lastRenderedPageBreak/>
        <w:t>identification and convergence problems in small samples, limiting their practical use. A time-varying scalar-component VARMA in state-space form directly addresses these frictions but is underdeveloped and under-applied in the Nigerian macro literature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w:t>
      </w:r>
      <w:r w:rsidR="00510500">
        <w:rPr>
          <w:rFonts w:ascii="Times New Roman" w:eastAsia="Times New Roman" w:hAnsi="Times New Roman" w:cs="Times New Roman"/>
          <w:color w:val="000000"/>
          <w:sz w:val="24"/>
          <w:szCs w:val="24"/>
        </w:rPr>
        <w:t xml:space="preserve">et al., 2012; </w:t>
      </w:r>
      <w:proofErr w:type="spellStart"/>
      <w:r w:rsidR="00510500">
        <w:rPr>
          <w:rFonts w:ascii="Times New Roman" w:eastAsia="Times New Roman" w:hAnsi="Times New Roman" w:cs="Times New Roman"/>
          <w:color w:val="000000"/>
          <w:sz w:val="24"/>
          <w:szCs w:val="24"/>
        </w:rPr>
        <w:t>Simionescu</w:t>
      </w:r>
      <w:proofErr w:type="spellEnd"/>
      <w:r w:rsidR="00510500">
        <w:rPr>
          <w:rFonts w:ascii="Times New Roman" w:eastAsia="Times New Roman" w:hAnsi="Times New Roman" w:cs="Times New Roman"/>
          <w:color w:val="000000"/>
          <w:sz w:val="24"/>
          <w:szCs w:val="24"/>
        </w:rPr>
        <w:t>, 2013</w:t>
      </w:r>
      <w:r w:rsidRPr="00FB4D0B">
        <w:rPr>
          <w:rFonts w:ascii="Times New Roman" w:eastAsia="Times New Roman" w:hAnsi="Times New Roman" w:cs="Times New Roman"/>
          <w:color w:val="000000"/>
          <w:sz w:val="24"/>
          <w:szCs w:val="24"/>
        </w:rPr>
        <w:t>). Moreover, policy analysis in Nigeria is frequently affected by regime shifts, fuel subsidy reforms, exchange rate devaluations, and oil-price shocks, making stable, adaptive, and interpretable multivariate models essential. A TV-SCVARMA estimated by the Kalman filter promises (a) stability under parameter drift, (b) MA-augmented shock transmission, and (c) forecast robustness relative to static VAR/VARMA and ad-hoc rolling variants, delivering a tool better aligned with Nigeria’s st</w:t>
      </w:r>
      <w:r w:rsidR="00510500">
        <w:rPr>
          <w:rFonts w:ascii="Times New Roman" w:eastAsia="Times New Roman" w:hAnsi="Times New Roman" w:cs="Times New Roman"/>
          <w:color w:val="000000"/>
          <w:sz w:val="24"/>
          <w:szCs w:val="24"/>
        </w:rPr>
        <w:t>ructural realities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 The objectives of this study include deriving a Time-Varying Scalar-Component VARMA (TV-SCVARMA) model that embeds a stochastic, low-dimensional projection of multivariate macro dynamics, with clear stability and identifiability conditions, formulating the state-space representation, and developing the Gaussian likelihood with Kalman filtering and smoothing for estimation and inference, establishing theoretical stability (eigenvalues inside the unit circle), discussing non-Gaussian robustness, and outlining conditions reducing VARMA identification pathologies, benchmark forecasting and convergence properties against VAR, rolling-VAR, and classical VARMA using Monte Carlo and Nigerian macro data, reporting bias, RMSE, and stability diagnostics, and demonstrate policy relevance by stress-testing forecast performance under plausible Nigerian regime changes, highlighting interpretability and resilience.</w:t>
      </w:r>
    </w:p>
    <w:p w:rsidR="006D01CE" w:rsidRPr="00FB4D0B" w:rsidRDefault="006D01CE" w:rsidP="00FB4D0B">
      <w:pPr>
        <w:spacing w:after="113"/>
        <w:jc w:val="both"/>
        <w:rPr>
          <w:rFonts w:ascii="Times New Roman" w:eastAsia="Times New Roman" w:hAnsi="Times New Roman" w:cs="Times New Roman"/>
          <w:color w:val="000000"/>
          <w:sz w:val="24"/>
          <w:szCs w:val="24"/>
        </w:rPr>
      </w:pPr>
    </w:p>
    <w:p w:rsidR="00686905" w:rsidRDefault="00686905" w:rsidP="00983BE9">
      <w:pPr>
        <w:spacing w:after="113"/>
        <w:jc w:val="both"/>
        <w:rPr>
          <w:rFonts w:ascii="Times New Roman" w:eastAsia="Times New Roman" w:hAnsi="Times New Roman" w:cs="Times New Roman"/>
          <w:b/>
          <w:color w:val="000000"/>
          <w:sz w:val="24"/>
          <w:szCs w:val="24"/>
        </w:rPr>
      </w:pPr>
      <w:r w:rsidRPr="0060697A">
        <w:rPr>
          <w:rFonts w:ascii="Times New Roman" w:eastAsia="Times New Roman" w:hAnsi="Times New Roman" w:cs="Times New Roman"/>
          <w:b/>
          <w:color w:val="000000"/>
          <w:sz w:val="24"/>
          <w:szCs w:val="24"/>
        </w:rPr>
        <w:t>1.1 Conceptual Framework</w:t>
      </w:r>
    </w:p>
    <w:p w:rsidR="00A65192" w:rsidRPr="00A65192" w:rsidRDefault="00A65192" w:rsidP="00A65192">
      <w:pPr>
        <w:spacing w:after="113"/>
        <w:jc w:val="both"/>
        <w:rPr>
          <w:rFonts w:ascii="Times New Roman" w:eastAsia="Times New Roman" w:hAnsi="Times New Roman" w:cs="Times New Roman"/>
          <w:color w:val="000000"/>
          <w:sz w:val="24"/>
          <w:szCs w:val="24"/>
        </w:rPr>
      </w:pPr>
      <w:r w:rsidRPr="00A65192">
        <w:rPr>
          <w:rFonts w:ascii="Times New Roman" w:eastAsia="Times New Roman" w:hAnsi="Times New Roman" w:cs="Times New Roman"/>
          <w:color w:val="000000"/>
          <w:sz w:val="24"/>
          <w:szCs w:val="24"/>
        </w:rPr>
        <w:t>Macroeconomic relations in Nigeria evolve with regimes (oil price cycles, exchange-rate realignments, policy shifts). Fixed-parameter Vector Autoregressive (VAR) and Vector Autoregressive Moving-Average (VARMA) models can misstate these moving targets. The Time-Varying Scalar-Component VARMA (TV-SCVARMA) framework preserves multivariate dependence while allowing parameters to adapt through a latent, evolving projection that is estimated in state-space form with</w:t>
      </w:r>
      <w:r w:rsidR="00510500">
        <w:rPr>
          <w:rFonts w:ascii="Times New Roman" w:eastAsia="Times New Roman" w:hAnsi="Times New Roman" w:cs="Times New Roman"/>
          <w:color w:val="000000"/>
          <w:sz w:val="24"/>
          <w:szCs w:val="24"/>
        </w:rPr>
        <w:t xml:space="preserve"> the Kalman filter (</w:t>
      </w:r>
      <w:proofErr w:type="spellStart"/>
      <w:r w:rsidRPr="00A65192">
        <w:rPr>
          <w:rFonts w:ascii="Times New Roman" w:eastAsia="Times New Roman" w:hAnsi="Times New Roman" w:cs="Times New Roman"/>
          <w:color w:val="000000"/>
          <w:sz w:val="24"/>
          <w:szCs w:val="24"/>
        </w:rPr>
        <w:t>Tiao</w:t>
      </w:r>
      <w:proofErr w:type="spellEnd"/>
      <w:r w:rsidRPr="00A65192">
        <w:rPr>
          <w:rFonts w:ascii="Times New Roman" w:eastAsia="Times New Roman" w:hAnsi="Times New Roman" w:cs="Times New Roman"/>
          <w:color w:val="000000"/>
          <w:sz w:val="24"/>
          <w:szCs w:val="24"/>
        </w:rPr>
        <w:t xml:space="preserve"> &amp; </w:t>
      </w:r>
      <w:proofErr w:type="spellStart"/>
      <w:r w:rsidRPr="00A65192">
        <w:rPr>
          <w:rFonts w:ascii="Times New Roman" w:eastAsia="Times New Roman" w:hAnsi="Times New Roman" w:cs="Times New Roman"/>
          <w:color w:val="000000"/>
          <w:sz w:val="24"/>
          <w:szCs w:val="24"/>
        </w:rPr>
        <w:t>Tsay</w:t>
      </w:r>
      <w:proofErr w:type="spellEnd"/>
      <w:r w:rsidRPr="00A65192">
        <w:rPr>
          <w:rFonts w:ascii="Times New Roman" w:eastAsia="Times New Roman" w:hAnsi="Times New Roman" w:cs="Times New Roman"/>
          <w:color w:val="000000"/>
          <w:sz w:val="24"/>
          <w:szCs w:val="24"/>
        </w:rPr>
        <w:t>, 1989</w:t>
      </w:r>
      <w:r w:rsidR="00510500">
        <w:rPr>
          <w:rFonts w:ascii="Times New Roman" w:eastAsia="Times New Roman" w:hAnsi="Times New Roman" w:cs="Times New Roman"/>
          <w:color w:val="000000"/>
          <w:sz w:val="24"/>
          <w:szCs w:val="24"/>
        </w:rPr>
        <w:t xml:space="preserve">; </w:t>
      </w:r>
      <w:proofErr w:type="spellStart"/>
      <w:r w:rsidRPr="00A65192">
        <w:rPr>
          <w:rFonts w:ascii="Times New Roman" w:eastAsia="Times New Roman" w:hAnsi="Times New Roman" w:cs="Times New Roman"/>
          <w:color w:val="000000"/>
          <w:sz w:val="24"/>
          <w:szCs w:val="24"/>
        </w:rPr>
        <w:t>Lütkepohl</w:t>
      </w:r>
      <w:proofErr w:type="spellEnd"/>
      <w:r w:rsidRPr="00A65192">
        <w:rPr>
          <w:rFonts w:ascii="Times New Roman" w:eastAsia="Times New Roman" w:hAnsi="Times New Roman" w:cs="Times New Roman"/>
          <w:color w:val="000000"/>
          <w:sz w:val="24"/>
          <w:szCs w:val="24"/>
        </w:rPr>
        <w:t>, 2005).</w:t>
      </w:r>
    </w:p>
    <w:p w:rsidR="00A65192" w:rsidRPr="0060697A" w:rsidRDefault="000E4FA5" w:rsidP="00983BE9">
      <w:pPr>
        <w:spacing w:after="113"/>
        <w:jc w:val="both"/>
        <w:rPr>
          <w:rFonts w:ascii="Times New Roman" w:eastAsia="Times New Roman" w:hAnsi="Times New Roman" w:cs="Times New Roman"/>
          <w:b/>
          <w:color w:val="000000"/>
          <w:sz w:val="24"/>
          <w:szCs w:val="24"/>
        </w:rPr>
      </w:pPr>
      <w:r w:rsidRPr="000E4FA5">
        <w:rPr>
          <w:rFonts w:ascii="Times New Roman" w:eastAsia="Times New Roman" w:hAnsi="Times New Roman" w:cs="Times New Roman"/>
          <w:b/>
          <w:noProof/>
          <w:color w:val="000000"/>
          <w:sz w:val="24"/>
          <w:szCs w:val="24"/>
        </w:rPr>
        <w:lastRenderedPageBreak/>
        <w:drawing>
          <wp:inline distT="0" distB="0" distL="0" distR="0">
            <wp:extent cx="5943600" cy="3962400"/>
            <wp:effectExtent l="0" t="0" r="0" b="0"/>
            <wp:docPr id="1" name="Picture 1" descr="C:\Users\Pabre\Downloads\ChatGPT Image Nov 6, 2025, 05_48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re\Downloads\ChatGPT Image Nov 6, 2025, 05_48_04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25FC3" w:rsidRDefault="0051319B" w:rsidP="00983BE9">
      <w:pPr>
        <w:spacing w:after="113"/>
        <w:jc w:val="both"/>
        <w:rPr>
          <w:rFonts w:ascii="Times New Roman" w:eastAsia="Times New Roman" w:hAnsi="Times New Roman" w:cs="Times New Roman"/>
          <w:b/>
          <w:iCs/>
          <w:color w:val="000000"/>
          <w:sz w:val="24"/>
          <w:szCs w:val="24"/>
        </w:rPr>
      </w:pPr>
      <w:r w:rsidRPr="0060697A">
        <w:rPr>
          <w:rFonts w:ascii="Times New Roman" w:eastAsia="Times New Roman" w:hAnsi="Times New Roman" w:cs="Times New Roman"/>
          <w:b/>
          <w:color w:val="000000"/>
          <w:sz w:val="24"/>
          <w:szCs w:val="24"/>
        </w:rPr>
        <w:t xml:space="preserve">Figure 1. </w:t>
      </w:r>
      <w:r w:rsidR="000E4FA5" w:rsidRPr="000E4FA5">
        <w:rPr>
          <w:rFonts w:ascii="Times New Roman" w:eastAsia="Times New Roman" w:hAnsi="Times New Roman" w:cs="Times New Roman"/>
          <w:b/>
          <w:iCs/>
          <w:color w:val="000000"/>
          <w:sz w:val="24"/>
          <w:szCs w:val="24"/>
        </w:rPr>
        <w:t>Conceptual Framework for Dynamic Macroeconomic Transmission Using the Time-Varying Scalar Component VARMA Model</w:t>
      </w:r>
    </w:p>
    <w:p w:rsidR="007F40A5" w:rsidRDefault="007F40A5" w:rsidP="007F40A5">
      <w:pPr>
        <w:spacing w:after="113"/>
        <w:jc w:val="both"/>
        <w:rPr>
          <w:rFonts w:ascii="Times New Roman" w:eastAsia="Times New Roman" w:hAnsi="Times New Roman" w:cs="Times New Roman"/>
          <w:color w:val="000000"/>
          <w:sz w:val="24"/>
          <w:szCs w:val="24"/>
        </w:rPr>
      </w:pPr>
      <w:r w:rsidRPr="007F40A5">
        <w:rPr>
          <w:rFonts w:ascii="Times New Roman" w:eastAsia="Times New Roman" w:hAnsi="Times New Roman" w:cs="Times New Roman"/>
          <w:color w:val="000000"/>
          <w:sz w:val="24"/>
          <w:szCs w:val="24"/>
        </w:rPr>
        <w:t xml:space="preserve">The framework </w:t>
      </w:r>
      <w:r>
        <w:rPr>
          <w:rFonts w:ascii="Times New Roman" w:eastAsia="Times New Roman" w:hAnsi="Times New Roman" w:cs="Times New Roman"/>
          <w:color w:val="000000"/>
          <w:sz w:val="24"/>
          <w:szCs w:val="24"/>
        </w:rPr>
        <w:t xml:space="preserve">presented in Figure 1 </w:t>
      </w:r>
      <w:r w:rsidRPr="007F40A5">
        <w:rPr>
          <w:rFonts w:ascii="Times New Roman" w:eastAsia="Times New Roman" w:hAnsi="Times New Roman" w:cs="Times New Roman"/>
          <w:color w:val="000000"/>
          <w:sz w:val="24"/>
          <w:szCs w:val="24"/>
        </w:rPr>
        <w:t>conceptualizes how multiple macroeconomic variables, such as inflation, exchange rates, output growth, and monetary aggregates, interact dynamically within a multivariate system represented by</w:t>
      </w:r>
      <w:r>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oMath>
      <w:r>
        <w:rPr>
          <w:rFonts w:ascii="Times New Roman" w:eastAsia="Times New Roman" w:hAnsi="Times New Roman" w:cs="Times New Roman"/>
          <w:color w:val="000000"/>
          <w:sz w:val="24"/>
          <w:szCs w:val="24"/>
        </w:rPr>
        <w:t>.</w:t>
      </w:r>
      <w:r w:rsidRPr="007F40A5">
        <w:rPr>
          <w:rFonts w:ascii="Times New Roman" w:eastAsia="Times New Roman" w:hAnsi="Times New Roman" w:cs="Times New Roman"/>
          <w:color w:val="000000"/>
          <w:sz w:val="24"/>
          <w:szCs w:val="24"/>
        </w:rPr>
        <w:t xml:space="preserve"> Structural shocks</w:t>
      </w:r>
      <w:r>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t>
            </m:r>
          </m:e>
          <m:sub>
            <m:r>
              <w:rPr>
                <w:rFonts w:ascii="Cambria Math" w:eastAsia="Times New Roman" w:hAnsi="Cambria Math" w:cs="Times New Roman"/>
                <w:color w:val="000000"/>
                <w:sz w:val="24"/>
                <w:szCs w:val="24"/>
              </w:rPr>
              <m:t>t</m:t>
            </m:r>
          </m:sub>
        </m:sSub>
      </m:oMath>
      <w:r w:rsidRPr="007F40A5">
        <w:rPr>
          <w:rFonts w:ascii="Times New Roman" w:eastAsia="Times New Roman" w:hAnsi="Times New Roman" w:cs="Times New Roman"/>
          <w:color w:val="000000"/>
          <w:sz w:val="24"/>
          <w:szCs w:val="24"/>
        </w:rPr>
        <w:t xml:space="preserve"> enter the system and propagate through autoregressive and moving-average channels. To overcome the parameter explosion and instability of traditional Vector Autoregressive Moving Average (VARMA) models, the Time-Varying Scalar Component (</w:t>
      </w:r>
      <m:oMath>
        <m:sSubSup>
          <m:sSubSupPr>
            <m:ctrlPr>
              <w:rPr>
                <w:rFonts w:ascii="Cambria Math" w:eastAsia="Times New Roman" w:hAnsi="Cambria Math" w:cs="Times New Roman"/>
                <w:bCs/>
                <w:i/>
                <w:color w:val="000000"/>
                <w:sz w:val="24"/>
                <w:szCs w:val="24"/>
              </w:rPr>
            </m:ctrlPr>
          </m:sSubSup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Y</m:t>
        </m:r>
      </m:oMath>
      <w:r w:rsidRPr="007F40A5">
        <w:rPr>
          <w:rFonts w:ascii="Times New Roman" w:eastAsia="Times New Roman" w:hAnsi="Times New Roman" w:cs="Times New Roman"/>
          <w:color w:val="000000"/>
          <w:sz w:val="24"/>
          <w:szCs w:val="24"/>
        </w:rPr>
        <w:t>​) compresses the multivariate dynamics into a scalar form while retaining full cross-dependence. The projection vector αt​ evolves stochastically, allowing the model to adapt wh</w:t>
      </w:r>
      <w:proofErr w:type="spellStart"/>
      <w:r w:rsidRPr="007F40A5">
        <w:rPr>
          <w:rFonts w:ascii="Times New Roman" w:eastAsia="Times New Roman" w:hAnsi="Times New Roman" w:cs="Times New Roman"/>
          <w:color w:val="000000"/>
          <w:sz w:val="24"/>
          <w:szCs w:val="24"/>
        </w:rPr>
        <w:t>en</w:t>
      </w:r>
      <w:proofErr w:type="spellEnd"/>
      <w:r w:rsidRPr="007F40A5">
        <w:rPr>
          <w:rFonts w:ascii="Times New Roman" w:eastAsia="Times New Roman" w:hAnsi="Times New Roman" w:cs="Times New Roman"/>
          <w:color w:val="000000"/>
          <w:sz w:val="24"/>
          <w:szCs w:val="24"/>
        </w:rPr>
        <w:t xml:space="preserve"> economic conditions shift, for example, during recessions, currency crises, or policy changes. This is </w:t>
      </w:r>
      <w:proofErr w:type="spellStart"/>
      <w:r w:rsidRPr="007F40A5">
        <w:rPr>
          <w:rFonts w:ascii="Times New Roman" w:eastAsia="Times New Roman" w:hAnsi="Times New Roman" w:cs="Times New Roman"/>
          <w:color w:val="000000"/>
          <w:sz w:val="24"/>
          <w:szCs w:val="24"/>
        </w:rPr>
        <w:t>operationalised</w:t>
      </w:r>
      <w:proofErr w:type="spellEnd"/>
      <w:r w:rsidRPr="007F40A5">
        <w:rPr>
          <w:rFonts w:ascii="Times New Roman" w:eastAsia="Times New Roman" w:hAnsi="Times New Roman" w:cs="Times New Roman"/>
          <w:color w:val="000000"/>
          <w:sz w:val="24"/>
          <w:szCs w:val="24"/>
        </w:rPr>
        <w:t xml:space="preserve"> through a state-space representation estimated using the Kalman filter, enabling recursive updating, structural-break detection, and improved forecasting accuracy. The result is a macro-financial system that remains stable, interpretable, and computationally manageable even under time variation.</w:t>
      </w:r>
    </w:p>
    <w:p w:rsidR="006D01CE" w:rsidRPr="007F40A5" w:rsidRDefault="006D01CE" w:rsidP="007F40A5">
      <w:pPr>
        <w:spacing w:after="113"/>
        <w:jc w:val="both"/>
        <w:rPr>
          <w:rFonts w:ascii="Times New Roman" w:eastAsia="Times New Roman" w:hAnsi="Times New Roman" w:cs="Times New Roman"/>
          <w:color w:val="000000"/>
          <w:sz w:val="24"/>
          <w:szCs w:val="24"/>
        </w:rPr>
      </w:pPr>
    </w:p>
    <w:p w:rsidR="00FD7367" w:rsidRPr="0060697A" w:rsidRDefault="005D22A7" w:rsidP="003F64A5">
      <w:pPr>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 xml:space="preserve">2 </w:t>
      </w:r>
      <w:r w:rsidR="00FD7367" w:rsidRPr="0060697A">
        <w:rPr>
          <w:rFonts w:ascii="Times New Roman" w:eastAsia="Times New Roman" w:hAnsi="Times New Roman" w:cs="Times New Roman"/>
          <w:b/>
          <w:bCs/>
          <w:color w:val="000000"/>
          <w:sz w:val="24"/>
          <w:szCs w:val="24"/>
        </w:rPr>
        <w:t>Material and Methods</w:t>
      </w:r>
    </w:p>
    <w:p w:rsidR="00433A2E" w:rsidRPr="00433A2E" w:rsidRDefault="00433A2E" w:rsidP="00433A2E">
      <w:pPr>
        <w:jc w:val="both"/>
        <w:rPr>
          <w:rFonts w:ascii="Times New Roman" w:eastAsia="Times New Roman" w:hAnsi="Times New Roman" w:cs="Times New Roman"/>
          <w:b/>
          <w:bCs/>
          <w:color w:val="000000"/>
          <w:sz w:val="24"/>
          <w:szCs w:val="24"/>
        </w:rPr>
      </w:pPr>
      <w:r w:rsidRPr="00433A2E">
        <w:rPr>
          <w:rFonts w:ascii="Times New Roman" w:eastAsia="Times New Roman" w:hAnsi="Times New Roman" w:cs="Times New Roman"/>
          <w:b/>
          <w:bCs/>
          <w:color w:val="000000"/>
          <w:sz w:val="24"/>
          <w:szCs w:val="24"/>
        </w:rPr>
        <w:t>2.1 Research Design</w:t>
      </w:r>
    </w:p>
    <w:p w:rsidR="00EA5C40" w:rsidRPr="00EA5C40" w:rsidRDefault="00EA5C40" w:rsidP="00EA5C40">
      <w:pPr>
        <w:spacing w:after="0" w:line="240" w:lineRule="auto"/>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This study adopts a quantitative research design grounded in multivariate time-series econometrics. The approach focuses on developing and estimating a Time-Varying Scalar Component VARMA (TV-SCVARMA) model to capture dynamic macroeconomic relationships </w:t>
      </w:r>
      <w:r w:rsidRPr="00EA5C40">
        <w:rPr>
          <w:rFonts w:ascii="Times New Roman" w:eastAsia="Times New Roman" w:hAnsi="Times New Roman" w:cs="Times New Roman"/>
          <w:bCs/>
          <w:color w:val="000000"/>
          <w:sz w:val="24"/>
          <w:szCs w:val="24"/>
        </w:rPr>
        <w:lastRenderedPageBreak/>
        <w:t>under structural change. Quarterly data on Real Gross Domestic Product (RGDP), Inflation (INF), Exchange Rate (EXR), Narrow Money (M1), and Broad Money (M2) were sourced from the Central Bank of Nigeria and the National Bureau of Statistics, covering the period 2010Q1–2024Q1.</w:t>
      </w:r>
    </w:p>
    <w:p w:rsidR="00EA5C40" w:rsidRPr="00EA5C40" w:rsidRDefault="00EA5C40" w:rsidP="00EA5C40">
      <w:pPr>
        <w:spacing w:after="0" w:line="240" w:lineRule="auto"/>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All variables were transformed into stationary growth rates using logarithmic differencing, while inflation was retained in levels to preserve its interpretation. Outliers were </w:t>
      </w:r>
      <w:proofErr w:type="spellStart"/>
      <w:r w:rsidRPr="00EA5C40">
        <w:rPr>
          <w:rFonts w:ascii="Times New Roman" w:eastAsia="Times New Roman" w:hAnsi="Times New Roman" w:cs="Times New Roman"/>
          <w:bCs/>
          <w:color w:val="000000"/>
          <w:sz w:val="24"/>
          <w:szCs w:val="24"/>
        </w:rPr>
        <w:t>winsorised</w:t>
      </w:r>
      <w:proofErr w:type="spellEnd"/>
      <w:r w:rsidRPr="00EA5C40">
        <w:rPr>
          <w:rFonts w:ascii="Times New Roman" w:eastAsia="Times New Roman" w:hAnsi="Times New Roman" w:cs="Times New Roman"/>
          <w:bCs/>
          <w:color w:val="000000"/>
          <w:sz w:val="24"/>
          <w:szCs w:val="24"/>
        </w:rPr>
        <w:t xml:space="preserve"> at the 1st and 99th percentiles to </w:t>
      </w:r>
      <w:proofErr w:type="spellStart"/>
      <w:r w:rsidRPr="00EA5C40">
        <w:rPr>
          <w:rFonts w:ascii="Times New Roman" w:eastAsia="Times New Roman" w:hAnsi="Times New Roman" w:cs="Times New Roman"/>
          <w:bCs/>
          <w:color w:val="000000"/>
          <w:sz w:val="24"/>
          <w:szCs w:val="24"/>
        </w:rPr>
        <w:t>minimise</w:t>
      </w:r>
      <w:proofErr w:type="spellEnd"/>
      <w:r w:rsidRPr="00EA5C40">
        <w:rPr>
          <w:rFonts w:ascii="Times New Roman" w:eastAsia="Times New Roman" w:hAnsi="Times New Roman" w:cs="Times New Roman"/>
          <w:bCs/>
          <w:color w:val="000000"/>
          <w:sz w:val="24"/>
          <w:szCs w:val="24"/>
        </w:rPr>
        <w:t xml:space="preserve"> the impact of extreme shocks. Estimation followed a state-space formulation and maximum likelihood using the Kalman filter, allowing the model to update parameters recursively as new information arrives. </w:t>
      </w:r>
    </w:p>
    <w:p w:rsidR="00433A2E" w:rsidRPr="00433A2E" w:rsidRDefault="00433A2E" w:rsidP="00621829">
      <w:pPr>
        <w:spacing w:after="0" w:line="240" w:lineRule="auto"/>
        <w:jc w:val="both"/>
        <w:rPr>
          <w:rFonts w:ascii="Times New Roman" w:eastAsia="Times New Roman" w:hAnsi="Times New Roman" w:cs="Times New Roman"/>
          <w:bCs/>
          <w:color w:val="000000"/>
          <w:sz w:val="24"/>
          <w:szCs w:val="24"/>
        </w:rPr>
      </w:pPr>
    </w:p>
    <w:p w:rsidR="000E453C" w:rsidRPr="000E453C" w:rsidRDefault="000E453C" w:rsidP="000E453C">
      <w:pPr>
        <w:spacing w:after="0" w:line="240" w:lineRule="auto"/>
        <w:jc w:val="both"/>
        <w:rPr>
          <w:rFonts w:ascii="Times New Roman" w:eastAsia="Times New Roman" w:hAnsi="Times New Roman" w:cs="Times New Roman"/>
          <w:b/>
          <w:bCs/>
          <w:color w:val="000000"/>
          <w:sz w:val="24"/>
          <w:szCs w:val="24"/>
        </w:rPr>
      </w:pPr>
      <w:r w:rsidRPr="000E453C">
        <w:rPr>
          <w:rFonts w:ascii="Times New Roman" w:eastAsia="Times New Roman" w:hAnsi="Times New Roman" w:cs="Times New Roman"/>
          <w:b/>
          <w:bCs/>
          <w:color w:val="000000"/>
          <w:sz w:val="24"/>
          <w:szCs w:val="24"/>
        </w:rPr>
        <w:t>2.1 Data Description and Transformation</w:t>
      </w:r>
    </w:p>
    <w:p w:rsidR="000E453C" w:rsidRPr="000E453C" w:rsidRDefault="000E453C" w:rsidP="000E453C">
      <w:pPr>
        <w:spacing w:after="0" w:line="240" w:lineRule="auto"/>
        <w:jc w:val="both"/>
        <w:rPr>
          <w:rFonts w:ascii="Times New Roman" w:eastAsia="Times New Roman" w:hAnsi="Times New Roman" w:cs="Times New Roman"/>
          <w:bCs/>
          <w:color w:val="000000"/>
          <w:sz w:val="24"/>
          <w:szCs w:val="24"/>
        </w:rPr>
      </w:pPr>
      <w:r w:rsidRPr="000E453C">
        <w:rPr>
          <w:rFonts w:ascii="Times New Roman" w:eastAsia="Times New Roman" w:hAnsi="Times New Roman" w:cs="Times New Roman"/>
          <w:bCs/>
          <w:color w:val="000000"/>
          <w:sz w:val="24"/>
          <w:szCs w:val="24"/>
        </w:rPr>
        <w:t>Quarterly macroeconomic data spanning 2010Q1–2024Q1 were obtained from the Central Bank of Nigeria’s Statistical Bulletin and the National Bureau of Statistics. The dataset includes Real Gross Domestic Product (RGDP), Inflation (INF), Exchange Rate (EXR), Narrow Money Supply (M1), and Broad Money Supply (M2). Each series was transformed into stationary growth rates using logarithmic differencing:</w:t>
      </w:r>
    </w:p>
    <w:p w:rsidR="000E453C" w:rsidRPr="000E453C" w:rsidRDefault="00931B44" w:rsidP="000E453C">
      <w:pPr>
        <w:spacing w:after="0" w:line="240" w:lineRule="auto"/>
        <w:jc w:val="both"/>
        <w:rPr>
          <w:rFonts w:ascii="Times New Roman" w:eastAsia="Times New Roman" w:hAnsi="Times New Roman" w:cs="Times New Roman"/>
          <w:bCs/>
          <w:color w:val="000000"/>
          <w:sz w:val="24"/>
          <w:szCs w:val="24"/>
        </w:rPr>
      </w:pPr>
      <m:oMathPara>
        <m:oMath>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g</m:t>
              </m:r>
            </m:sup>
          </m:sSubSup>
          <m:r>
            <w:rPr>
              <w:rFonts w:ascii="Cambria Math" w:eastAsia="Times New Roman" w:hAnsi="Cambria Math" w:cs="Times New Roman"/>
              <w:color w:val="000000"/>
              <w:sz w:val="24"/>
              <w:szCs w:val="24"/>
            </w:rPr>
            <m:t>=100×</m:t>
          </m:r>
          <m:d>
            <m:dPr>
              <m:begChr m:val="["/>
              <m:endChr m:val="]"/>
              <m:ctrlPr>
                <w:rPr>
                  <w:rFonts w:ascii="Cambria Math" w:eastAsia="Times New Roman" w:hAnsi="Cambria Math" w:cs="Times New Roman"/>
                  <w:bCs/>
                  <w:i/>
                  <w:color w:val="000000"/>
                  <w:sz w:val="24"/>
                  <w:szCs w:val="24"/>
                </w:rPr>
              </m:ctrlPr>
            </m:dPr>
            <m:e>
              <m:func>
                <m:funcPr>
                  <m:ctrlPr>
                    <w:rPr>
                      <w:rFonts w:ascii="Cambria Math" w:eastAsia="Times New Roman" w:hAnsi="Cambria Math" w:cs="Times New Roman"/>
                      <w:bCs/>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func>
                    <m:funcPr>
                      <m:ctrlPr>
                        <w:rPr>
                          <w:rFonts w:ascii="Cambria Math" w:eastAsia="Times New Roman" w:hAnsi="Cambria Math" w:cs="Times New Roman"/>
                          <w:bCs/>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t-1</m:t>
                          </m:r>
                        </m:sub>
                      </m:sSub>
                    </m:e>
                  </m:func>
                </m:e>
              </m:func>
            </m:e>
          </m:d>
          <m:r>
            <w:rPr>
              <w:rFonts w:ascii="Cambria Math" w:eastAsia="Times New Roman" w:hAnsi="Cambria Math" w:cs="Times New Roman"/>
              <w:color w:val="000000"/>
              <w:sz w:val="24"/>
              <w:szCs w:val="24"/>
            </w:rPr>
            <m:t xml:space="preserve">      (1)</m:t>
          </m:r>
        </m:oMath>
      </m:oMathPara>
    </w:p>
    <w:p w:rsidR="000E453C" w:rsidRPr="000E453C" w:rsidRDefault="000E453C" w:rsidP="000E453C">
      <w:pPr>
        <w:spacing w:after="0" w:line="240" w:lineRule="auto"/>
        <w:jc w:val="both"/>
        <w:rPr>
          <w:rFonts w:ascii="Times New Roman" w:eastAsia="Times New Roman" w:hAnsi="Times New Roman" w:cs="Times New Roman"/>
          <w:bCs/>
          <w:color w:val="000000"/>
          <w:sz w:val="24"/>
          <w:szCs w:val="24"/>
        </w:rPr>
      </w:pPr>
      <w:r w:rsidRPr="000E453C">
        <w:rPr>
          <w:rFonts w:ascii="Times New Roman" w:eastAsia="Times New Roman" w:hAnsi="Times New Roman" w:cs="Times New Roman"/>
          <w:bCs/>
          <w:color w:val="000000"/>
          <w:sz w:val="24"/>
          <w:szCs w:val="24"/>
        </w:rPr>
        <w:t xml:space="preserve">except inflation, which was retained in levels to preserve its interpretation as a rate. Outliers were </w:t>
      </w:r>
      <w:proofErr w:type="spellStart"/>
      <w:r w:rsidRPr="000E453C">
        <w:rPr>
          <w:rFonts w:ascii="Times New Roman" w:eastAsia="Times New Roman" w:hAnsi="Times New Roman" w:cs="Times New Roman"/>
          <w:bCs/>
          <w:color w:val="000000"/>
          <w:sz w:val="24"/>
          <w:szCs w:val="24"/>
        </w:rPr>
        <w:t>winsorized</w:t>
      </w:r>
      <w:proofErr w:type="spellEnd"/>
      <w:r w:rsidRPr="000E453C">
        <w:rPr>
          <w:rFonts w:ascii="Times New Roman" w:eastAsia="Times New Roman" w:hAnsi="Times New Roman" w:cs="Times New Roman"/>
          <w:bCs/>
          <w:color w:val="000000"/>
          <w:sz w:val="24"/>
          <w:szCs w:val="24"/>
        </w:rPr>
        <w:t xml:space="preserve"> at the 1st and 99th percentiles to mitigate the influence of extreme shocks, ensuring robustness for time-varying estimation.</w:t>
      </w:r>
    </w:p>
    <w:p w:rsidR="000E453C" w:rsidRDefault="000E453C" w:rsidP="00290A6D">
      <w:pPr>
        <w:spacing w:after="0" w:line="240" w:lineRule="auto"/>
        <w:jc w:val="both"/>
        <w:rPr>
          <w:rFonts w:ascii="Times New Roman" w:eastAsia="Times New Roman" w:hAnsi="Times New Roman" w:cs="Times New Roman"/>
          <w:b/>
          <w:sz w:val="24"/>
          <w:szCs w:val="24"/>
        </w:rPr>
      </w:pPr>
    </w:p>
    <w:p w:rsidR="00B21B00" w:rsidRPr="00B21B00" w:rsidRDefault="00B21B00" w:rsidP="00290A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B21B00">
        <w:rPr>
          <w:rFonts w:ascii="Times New Roman" w:eastAsia="Times New Roman" w:hAnsi="Times New Roman" w:cs="Times New Roman"/>
          <w:b/>
          <w:sz w:val="24"/>
          <w:szCs w:val="24"/>
        </w:rPr>
        <w:t xml:space="preserve">.6 Method of Data Analysis </w:t>
      </w:r>
    </w:p>
    <w:p w:rsidR="00C24415" w:rsidRPr="00E31935" w:rsidRDefault="00E31935" w:rsidP="00B21B00">
      <w:pPr>
        <w:spacing w:after="0" w:line="240" w:lineRule="auto"/>
        <w:jc w:val="both"/>
        <w:rPr>
          <w:rFonts w:ascii="Times New Roman" w:eastAsia="Times New Roman" w:hAnsi="Times New Roman" w:cs="Times New Roman"/>
          <w:sz w:val="24"/>
          <w:szCs w:val="24"/>
        </w:rPr>
      </w:pPr>
      <w:r w:rsidRPr="00E31935">
        <w:rPr>
          <w:rFonts w:ascii="Times New Roman" w:eastAsia="Times New Roman" w:hAnsi="Times New Roman" w:cs="Times New Roman"/>
          <w:sz w:val="24"/>
          <w:szCs w:val="24"/>
        </w:rPr>
        <w:t xml:space="preserve">This section outlines the methodological structure applied in estimating the Time-Varying Scalar Component VARMA model. It presents the model formulation, stability conditions, and the Kalman filter estimation procedure used to capture evolving macroeconomic dynamics and structural changes across time. </w:t>
      </w:r>
    </w:p>
    <w:p w:rsidR="00E31935" w:rsidRDefault="00E31935" w:rsidP="00B21B00">
      <w:pPr>
        <w:spacing w:after="0" w:line="240" w:lineRule="auto"/>
        <w:jc w:val="both"/>
        <w:rPr>
          <w:rFonts w:ascii="Times New Roman" w:eastAsia="Times New Roman" w:hAnsi="Times New Roman" w:cs="Times New Roman"/>
          <w:b/>
          <w:sz w:val="24"/>
          <w:szCs w:val="24"/>
        </w:rPr>
      </w:pPr>
    </w:p>
    <w:p w:rsidR="004834BB" w:rsidRPr="004834BB" w:rsidRDefault="004834BB" w:rsidP="000E5E51">
      <w:pPr>
        <w:jc w:val="both"/>
        <w:rPr>
          <w:rFonts w:ascii="Times New Roman" w:eastAsia="Times New Roman" w:hAnsi="Times New Roman" w:cs="Times New Roman"/>
          <w:b/>
          <w:bCs/>
          <w:color w:val="000000"/>
          <w:sz w:val="24"/>
          <w:szCs w:val="24"/>
        </w:rPr>
      </w:pPr>
      <w:r w:rsidRPr="004834BB">
        <w:rPr>
          <w:rFonts w:ascii="Times New Roman" w:eastAsia="Times New Roman" w:hAnsi="Times New Roman" w:cs="Times New Roman"/>
          <w:b/>
          <w:bCs/>
          <w:color w:val="000000"/>
          <w:sz w:val="24"/>
          <w:szCs w:val="24"/>
        </w:rPr>
        <w:t>2.</w:t>
      </w:r>
      <w:r w:rsidR="000E453C">
        <w:rPr>
          <w:rFonts w:ascii="Times New Roman" w:eastAsia="Times New Roman" w:hAnsi="Times New Roman" w:cs="Times New Roman"/>
          <w:b/>
          <w:bCs/>
          <w:color w:val="000000"/>
          <w:sz w:val="24"/>
          <w:szCs w:val="24"/>
        </w:rPr>
        <w:t>6.</w:t>
      </w:r>
      <w:r w:rsidRPr="004834BB">
        <w:rPr>
          <w:rFonts w:ascii="Times New Roman" w:eastAsia="Times New Roman" w:hAnsi="Times New Roman" w:cs="Times New Roman"/>
          <w:b/>
          <w:bCs/>
          <w:color w:val="000000"/>
          <w:sz w:val="24"/>
          <w:szCs w:val="24"/>
        </w:rPr>
        <w:t>1 Model Formulation</w:t>
      </w:r>
    </w:p>
    <w:p w:rsidR="000E5E51" w:rsidRDefault="004834BB" w:rsidP="000E5E51">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Let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1t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2t</m:t>
                    </m:r>
                  </m:sub>
                </m:sSub>
                <m:r>
                  <w:rPr>
                    <w:rFonts w:ascii="Cambria Math" w:eastAsia="Times New Roman" w:hAnsi="Cambria Math" w:cs="Times New Roman"/>
                    <w:color w:val="000000"/>
                    <w:sz w:val="24"/>
                    <w:szCs w:val="24"/>
                  </w:rPr>
                  <m:t xml:space="preserve">, ⋯,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Kt</m:t>
                    </m:r>
                  </m:sub>
                </m:sSub>
              </m:e>
            </m:d>
          </m:e>
          <m:sup>
            <m:r>
              <w:rPr>
                <w:rFonts w:ascii="Cambria Math" w:eastAsia="Times New Roman" w:hAnsi="Cambria Math" w:cs="Times New Roman"/>
                <w:color w:val="000000"/>
                <w:sz w:val="24"/>
                <w:szCs w:val="24"/>
              </w:rPr>
              <m:t>'</m:t>
            </m:r>
          </m:sup>
        </m:sSup>
      </m:oMath>
      <w:r>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be a </w:t>
      </w:r>
      <m:oMath>
        <m:r>
          <w:rPr>
            <w:rFonts w:ascii="Cambria Math" w:eastAsia="Times New Roman" w:hAnsi="Cambria Math" w:cs="Times New Roman"/>
            <w:color w:val="000000"/>
            <w:sz w:val="24"/>
            <w:szCs w:val="24"/>
          </w:rPr>
          <m:t>K×1</m:t>
        </m:r>
      </m:oMath>
      <w:r w:rsidR="007D7D7E">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vector of </w:t>
      </w:r>
      <w:r w:rsidR="007D7D7E">
        <w:rPr>
          <w:rFonts w:ascii="Times New Roman" w:eastAsia="Times New Roman" w:hAnsi="Times New Roman" w:cs="Times New Roman"/>
          <w:bCs/>
          <w:color w:val="000000"/>
          <w:sz w:val="24"/>
          <w:szCs w:val="24"/>
        </w:rPr>
        <w:t xml:space="preserve">jointly endogenous </w:t>
      </w:r>
      <w:r w:rsidRPr="004834BB">
        <w:rPr>
          <w:rFonts w:ascii="Times New Roman" w:eastAsia="Times New Roman" w:hAnsi="Times New Roman" w:cs="Times New Roman"/>
          <w:bCs/>
          <w:color w:val="000000"/>
          <w:sz w:val="24"/>
          <w:szCs w:val="24"/>
        </w:rPr>
        <w:t xml:space="preserve">macroeconomic variables </w:t>
      </w:r>
      <w:r w:rsidR="007D7D7E">
        <w:rPr>
          <w:rFonts w:ascii="Times New Roman" w:eastAsia="Times New Roman" w:hAnsi="Times New Roman" w:cs="Times New Roman"/>
          <w:bCs/>
          <w:color w:val="000000"/>
          <w:sz w:val="24"/>
          <w:szCs w:val="24"/>
        </w:rPr>
        <w:t xml:space="preserve">observed at time t, where </w:t>
      </w:r>
      <m:oMath>
        <m:r>
          <w:rPr>
            <w:rFonts w:ascii="Cambria Math" w:eastAsia="Times New Roman" w:hAnsi="Cambria Math" w:cs="Times New Roman"/>
            <w:color w:val="000000"/>
            <w:sz w:val="24"/>
            <w:szCs w:val="24"/>
          </w:rPr>
          <m:t>K≥1</m:t>
        </m:r>
      </m:oMath>
      <w:r w:rsidR="007D7D7E">
        <w:rPr>
          <w:rFonts w:ascii="Times New Roman" w:eastAsia="Times New Roman" w:hAnsi="Times New Roman" w:cs="Times New Roman"/>
          <w:bCs/>
          <w:color w:val="000000"/>
          <w:sz w:val="24"/>
          <w:szCs w:val="24"/>
        </w:rPr>
        <w:t>.</w:t>
      </w:r>
      <w:r w:rsidR="007D7D7E" w:rsidRPr="007D7D7E">
        <w:rPr>
          <w:rFonts w:ascii="Times New Roman" w:eastAsia="Times New Roman" w:hAnsi="Times New Roman" w:cs="Times New Roman"/>
          <w:bCs/>
          <w:color w:val="000000"/>
          <w:sz w:val="24"/>
          <w:szCs w:val="24"/>
        </w:rPr>
        <w:t xml:space="preserve"> </w:t>
      </w:r>
      <w:r w:rsidR="007D7D7E">
        <w:rPr>
          <w:rFonts w:ascii="Times New Roman" w:eastAsia="Times New Roman" w:hAnsi="Times New Roman" w:cs="Times New Roman"/>
          <w:bCs/>
          <w:color w:val="000000"/>
          <w:sz w:val="24"/>
          <w:szCs w:val="24"/>
        </w:rPr>
        <w:t xml:space="preserve">The elements of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Times New Roman" w:cs="Times New Roman"/>
            <w:color w:val="000000"/>
            <w:sz w:val="24"/>
            <w:szCs w:val="24"/>
          </w:rPr>
          <m:t xml:space="preserve"> </m:t>
        </m:r>
      </m:oMath>
      <w:r w:rsidR="007D7D7E">
        <w:rPr>
          <w:rFonts w:ascii="Times New Roman" w:eastAsia="Times New Roman" w:hAnsi="Times New Roman" w:cs="Times New Roman"/>
          <w:bCs/>
          <w:color w:val="000000"/>
          <w:sz w:val="24"/>
          <w:szCs w:val="24"/>
        </w:rPr>
        <w:t xml:space="preserve">include </w:t>
      </w:r>
      <w:r w:rsidRPr="004834BB">
        <w:rPr>
          <w:rFonts w:ascii="Times New Roman" w:eastAsia="Times New Roman" w:hAnsi="Times New Roman" w:cs="Times New Roman"/>
          <w:bCs/>
          <w:color w:val="000000"/>
          <w:sz w:val="24"/>
          <w:szCs w:val="24"/>
        </w:rPr>
        <w:t>inflation, exchange rate, and output growth.</w:t>
      </w:r>
      <w:r>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The traditional </w:t>
      </w:r>
      <w:proofErr w:type="gramStart"/>
      <w:r w:rsidRPr="004834BB">
        <w:rPr>
          <w:rFonts w:ascii="Times New Roman" w:eastAsia="Times New Roman" w:hAnsi="Times New Roman" w:cs="Times New Roman"/>
          <w:bCs/>
          <w:color w:val="000000"/>
          <w:sz w:val="24"/>
          <w:szCs w:val="24"/>
        </w:rPr>
        <w:t>VARMA(</w:t>
      </w:r>
      <w:proofErr w:type="gramEnd"/>
      <w:r w:rsidRPr="004834BB">
        <w:rPr>
          <w:rFonts w:ascii="Times New Roman" w:eastAsia="Times New Roman" w:hAnsi="Times New Roman" w:cs="Times New Roman"/>
          <w:bCs/>
          <w:color w:val="000000"/>
          <w:sz w:val="24"/>
          <w:szCs w:val="24"/>
        </w:rPr>
        <w:t>p, q) model is defined as:</w:t>
      </w:r>
    </w:p>
    <w:p w:rsidR="000A4B13" w:rsidRPr="007927A6" w:rsidRDefault="00931B44" w:rsidP="000A4B13">
      <w:pPr>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p</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t-p</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q</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t-q</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(2) </m:t>
          </m:r>
        </m:oMath>
      </m:oMathPara>
    </w:p>
    <w:p w:rsidR="007D7D7E" w:rsidRDefault="007927A6"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w:t>
      </w:r>
      <w:r w:rsidR="007D7D7E">
        <w:rPr>
          <w:rFonts w:ascii="Times New Roman" w:eastAsia="Times New Roman" w:hAnsi="Times New Roman" w:cs="Times New Roman"/>
          <w:bCs/>
          <w:color w:val="000000"/>
          <w:sz w:val="24"/>
          <w:szCs w:val="24"/>
        </w:rPr>
        <w:t>:</w:t>
      </w:r>
    </w:p>
    <w:p w:rsidR="007D7D7E" w:rsidRDefault="00931B44" w:rsidP="000A4B13">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K×K</m:t>
            </m:r>
          </m:e>
        </m:d>
      </m:oMath>
      <w:r w:rsidR="007D7D7E">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are autoregressive coefficient matrices,</w:t>
      </w:r>
    </w:p>
    <w:p w:rsidR="007D7D7E" w:rsidRPr="007D7D7E" w:rsidRDefault="00931B44" w:rsidP="000A4B13">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j</m:t>
            </m:r>
          </m:sub>
        </m:s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K×K</m:t>
            </m:r>
          </m:e>
        </m:d>
        <m:r>
          <w:rPr>
            <w:rFonts w:ascii="Cambria Math" w:eastAsia="Times New Roman" w:hAnsi="Cambria Math" w:cs="Times New Roman"/>
            <w:color w:val="000000"/>
            <w:sz w:val="24"/>
            <w:szCs w:val="24"/>
          </w:rPr>
          <m:t xml:space="preserve"> </m:t>
        </m:r>
      </m:oMath>
      <w:r w:rsidR="007D7D7E" w:rsidRPr="007D7D7E">
        <w:rPr>
          <w:rFonts w:ascii="Times New Roman" w:eastAsia="Times New Roman" w:hAnsi="Times New Roman" w:cs="Times New Roman"/>
          <w:bCs/>
          <w:color w:val="000000"/>
          <w:sz w:val="24"/>
          <w:szCs w:val="24"/>
        </w:rPr>
        <w:t>are moving-average coefficient matrices,</w:t>
      </w:r>
    </w:p>
    <w:p w:rsidR="007927A6" w:rsidRDefault="007927A6"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Times New Roman" w:cs="Times New Roman"/>
            <w:color w:val="000000"/>
            <w:sz w:val="24"/>
            <w:szCs w:val="24"/>
          </w:rPr>
          <m:t>~N</m:t>
        </m:r>
        <m:d>
          <m:dPr>
            <m:ctrlPr>
              <w:rPr>
                <w:rFonts w:ascii="Cambria Math" w:eastAsia="Times New Roman" w:hAnsi="Times New Roman" w:cs="Times New Roman"/>
                <w:bCs/>
                <w:i/>
                <w:color w:val="000000"/>
                <w:sz w:val="24"/>
                <w:szCs w:val="24"/>
              </w:rPr>
            </m:ctrlPr>
          </m:dPr>
          <m:e>
            <m:r>
              <w:rPr>
                <w:rFonts w:ascii="Cambria Math" w:eastAsia="Times New Roman" w:hAnsi="Times New Roman" w:cs="Times New Roman"/>
                <w:color w:val="000000"/>
                <w:sz w:val="24"/>
                <w:szCs w:val="24"/>
              </w:rPr>
              <m:t xml:space="preserve">0, </m:t>
            </m:r>
            <m:sSub>
              <m:sSubPr>
                <m:ctrlPr>
                  <w:rPr>
                    <w:rFonts w:ascii="Cambria Math" w:eastAsia="Times New Roman" w:hAnsi="Times New Roman"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Times New Roman" w:cs="Times New Roman"/>
                    <w:color w:val="000000"/>
                    <w:sz w:val="24"/>
                    <w:szCs w:val="24"/>
                  </w:rPr>
                  <m:t xml:space="preserve"> </m:t>
                </m:r>
                <m:r>
                  <w:rPr>
                    <w:rFonts w:ascii="Cambria Math" w:eastAsia="Times New Roman" w:hAnsi="Cambria Math" w:cs="Times New Roman"/>
                    <w:color w:val="000000"/>
                    <w:sz w:val="24"/>
                    <w:szCs w:val="24"/>
                  </w:rPr>
                  <m:t>ϵ</m:t>
                </m:r>
              </m:sub>
            </m:sSub>
          </m:e>
        </m:d>
      </m:oMath>
      <w:r w:rsidR="007D7D7E">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is a K×1</w:t>
      </w:r>
      <w:r w:rsidR="006D07A2">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Gaussian innovation with positive-definite covariance matri</w:t>
      </w:r>
      <w:r w:rsidR="007D7D7E">
        <w:rPr>
          <w:rFonts w:ascii="Times New Roman" w:eastAsia="Times New Roman" w:hAnsi="Times New Roman" w:cs="Times New Roman"/>
          <w:bCs/>
          <w:color w:val="000000"/>
          <w:sz w:val="24"/>
          <w:szCs w:val="24"/>
        </w:rPr>
        <w:t xml:space="preserve">x </w:t>
      </w:r>
      <m:oMath>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 xml:space="preserve"> ϵ</m:t>
            </m:r>
          </m:sub>
        </m:sSub>
      </m:oMath>
      <w:r w:rsidR="007D7D7E">
        <w:rPr>
          <w:rFonts w:ascii="Times New Roman" w:eastAsia="Times New Roman" w:hAnsi="Times New Roman" w:cs="Times New Roman"/>
          <w:bCs/>
          <w:color w:val="000000"/>
          <w:sz w:val="24"/>
          <w:szCs w:val="24"/>
        </w:rPr>
        <w:t>.</w:t>
      </w:r>
    </w:p>
    <w:p w:rsidR="006D07A2" w:rsidRDefault="006D07A2" w:rsidP="000A4B13">
      <w:pPr>
        <w:jc w:val="both"/>
        <w:rPr>
          <w:rFonts w:ascii="Times New Roman" w:eastAsia="Times New Roman" w:hAnsi="Times New Roman" w:cs="Times New Roman"/>
          <w:bCs/>
          <w:color w:val="000000"/>
          <w:sz w:val="24"/>
          <w:szCs w:val="24"/>
        </w:rPr>
      </w:pPr>
      <w:r w:rsidRPr="006D07A2">
        <w:rPr>
          <w:rFonts w:ascii="Times New Roman" w:eastAsia="Times New Roman" w:hAnsi="Times New Roman" w:cs="Times New Roman"/>
          <w:bCs/>
          <w:color w:val="000000"/>
          <w:sz w:val="24"/>
          <w:szCs w:val="24"/>
        </w:rPr>
        <w:t>Although VARMA models are flexible, direct estimation becomes unstable in small samples and suffers from parameter proliferation (</w:t>
      </w:r>
      <w:proofErr w:type="spellStart"/>
      <w:r w:rsidRPr="006D07A2">
        <w:rPr>
          <w:rFonts w:ascii="Times New Roman" w:eastAsia="Times New Roman" w:hAnsi="Times New Roman" w:cs="Times New Roman"/>
          <w:bCs/>
          <w:color w:val="000000"/>
          <w:sz w:val="24"/>
          <w:szCs w:val="24"/>
        </w:rPr>
        <w:t>Lütkepohl</w:t>
      </w:r>
      <w:proofErr w:type="spellEnd"/>
      <w:r w:rsidRPr="006D07A2">
        <w:rPr>
          <w:rFonts w:ascii="Times New Roman" w:eastAsia="Times New Roman" w:hAnsi="Times New Roman" w:cs="Times New Roman"/>
          <w:bCs/>
          <w:color w:val="000000"/>
          <w:sz w:val="24"/>
          <w:szCs w:val="24"/>
        </w:rPr>
        <w:t xml:space="preserve">, 2005; </w:t>
      </w:r>
      <w:proofErr w:type="spellStart"/>
      <w:r w:rsidRPr="006D07A2">
        <w:rPr>
          <w:rFonts w:ascii="Times New Roman" w:eastAsia="Times New Roman" w:hAnsi="Times New Roman" w:cs="Times New Roman"/>
          <w:bCs/>
          <w:color w:val="000000"/>
          <w:sz w:val="24"/>
          <w:szCs w:val="24"/>
        </w:rPr>
        <w:t>Tsay</w:t>
      </w:r>
      <w:proofErr w:type="spellEnd"/>
      <w:r w:rsidRPr="006D07A2">
        <w:rPr>
          <w:rFonts w:ascii="Times New Roman" w:eastAsia="Times New Roman" w:hAnsi="Times New Roman" w:cs="Times New Roman"/>
          <w:bCs/>
          <w:color w:val="000000"/>
          <w:sz w:val="24"/>
          <w:szCs w:val="24"/>
        </w:rPr>
        <w:t xml:space="preserve">, 2014). To address this, </w:t>
      </w:r>
      <w:proofErr w:type="spellStart"/>
      <w:r w:rsidRPr="006D07A2">
        <w:rPr>
          <w:rFonts w:ascii="Times New Roman" w:eastAsia="Times New Roman" w:hAnsi="Times New Roman" w:cs="Times New Roman"/>
          <w:bCs/>
          <w:color w:val="000000"/>
          <w:sz w:val="24"/>
          <w:szCs w:val="24"/>
        </w:rPr>
        <w:t>Tiao</w:t>
      </w:r>
      <w:proofErr w:type="spellEnd"/>
      <w:r w:rsidRPr="006D07A2">
        <w:rPr>
          <w:rFonts w:ascii="Times New Roman" w:eastAsia="Times New Roman" w:hAnsi="Times New Roman" w:cs="Times New Roman"/>
          <w:bCs/>
          <w:color w:val="000000"/>
          <w:sz w:val="24"/>
          <w:szCs w:val="24"/>
        </w:rPr>
        <w:t xml:space="preserve"> and </w:t>
      </w:r>
      <w:proofErr w:type="spellStart"/>
      <w:r w:rsidRPr="006D07A2">
        <w:rPr>
          <w:rFonts w:ascii="Times New Roman" w:eastAsia="Times New Roman" w:hAnsi="Times New Roman" w:cs="Times New Roman"/>
          <w:bCs/>
          <w:color w:val="000000"/>
          <w:sz w:val="24"/>
          <w:szCs w:val="24"/>
        </w:rPr>
        <w:t>Tsay</w:t>
      </w:r>
      <w:proofErr w:type="spellEnd"/>
      <w:r w:rsidRPr="006D07A2">
        <w:rPr>
          <w:rFonts w:ascii="Times New Roman" w:eastAsia="Times New Roman" w:hAnsi="Times New Roman" w:cs="Times New Roman"/>
          <w:bCs/>
          <w:color w:val="000000"/>
          <w:sz w:val="24"/>
          <w:szCs w:val="24"/>
        </w:rPr>
        <w:t xml:space="preserve"> (1989) proposed the scalar component representation, which projects a multivariate process into a lower-dimensional latent scalar while retaining all cross-dependence. </w:t>
      </w:r>
    </w:p>
    <w:p w:rsidR="005C039F" w:rsidRPr="005C039F" w:rsidRDefault="007927A6" w:rsidP="005C039F">
      <w:pPr>
        <w:jc w:val="both"/>
        <w:rPr>
          <w:rFonts w:ascii="Times New Roman" w:eastAsia="Times New Roman" w:hAnsi="Times New Roman" w:cs="Times New Roman"/>
          <w:bCs/>
          <w:color w:val="000000"/>
          <w:sz w:val="24"/>
          <w:szCs w:val="24"/>
        </w:rPr>
      </w:pPr>
      <w:r w:rsidRPr="007927A6">
        <w:rPr>
          <w:rFonts w:ascii="Times New Roman" w:eastAsia="Times New Roman" w:hAnsi="Times New Roman" w:cs="Times New Roman"/>
          <w:bCs/>
          <w:color w:val="000000"/>
          <w:sz w:val="24"/>
          <w:szCs w:val="24"/>
        </w:rPr>
        <w:lastRenderedPageBreak/>
        <w:t xml:space="preserve">Following </w:t>
      </w:r>
      <w:proofErr w:type="spellStart"/>
      <w:r w:rsidRPr="007927A6">
        <w:rPr>
          <w:rFonts w:ascii="Times New Roman" w:eastAsia="Times New Roman" w:hAnsi="Times New Roman" w:cs="Times New Roman"/>
          <w:bCs/>
          <w:color w:val="000000"/>
          <w:sz w:val="24"/>
          <w:szCs w:val="24"/>
        </w:rPr>
        <w:t>Tiao</w:t>
      </w:r>
      <w:proofErr w:type="spellEnd"/>
      <w:r w:rsidRPr="007927A6">
        <w:rPr>
          <w:rFonts w:ascii="Times New Roman" w:eastAsia="Times New Roman" w:hAnsi="Times New Roman" w:cs="Times New Roman"/>
          <w:bCs/>
          <w:color w:val="000000"/>
          <w:sz w:val="24"/>
          <w:szCs w:val="24"/>
        </w:rPr>
        <w:t xml:space="preserve"> and </w:t>
      </w:r>
      <w:proofErr w:type="spellStart"/>
      <w:r w:rsidRPr="007927A6">
        <w:rPr>
          <w:rFonts w:ascii="Times New Roman" w:eastAsia="Times New Roman" w:hAnsi="Times New Roman" w:cs="Times New Roman"/>
          <w:bCs/>
          <w:color w:val="000000"/>
          <w:sz w:val="24"/>
          <w:szCs w:val="24"/>
        </w:rPr>
        <w:t>Tsay’s</w:t>
      </w:r>
      <w:proofErr w:type="spellEnd"/>
      <w:r w:rsidRPr="007927A6">
        <w:rPr>
          <w:rFonts w:ascii="Times New Roman" w:eastAsia="Times New Roman" w:hAnsi="Times New Roman" w:cs="Times New Roman"/>
          <w:bCs/>
          <w:color w:val="000000"/>
          <w:sz w:val="24"/>
          <w:szCs w:val="24"/>
        </w:rPr>
        <w:t xml:space="preserve"> (1989) scalar-component approach, </w:t>
      </w:r>
      <w:r w:rsidR="005C039F" w:rsidRPr="005C039F">
        <w:rPr>
          <w:rFonts w:ascii="Times New Roman" w:eastAsia="Times New Roman" w:hAnsi="Times New Roman" w:cs="Times New Roman"/>
          <w:bCs/>
          <w:color w:val="000000"/>
          <w:sz w:val="24"/>
          <w:szCs w:val="24"/>
        </w:rPr>
        <w:t>a linear scalar component is defined as:</w:t>
      </w:r>
    </w:p>
    <w:p w:rsidR="007927A6" w:rsidRDefault="00A36C2B"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p w:rsidR="007927A6" w:rsidRPr="005C039F" w:rsidRDefault="00931B44" w:rsidP="000A4B13">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bCs/>
                  <w:i/>
                  <w:color w:val="000000"/>
                  <w:sz w:val="24"/>
                  <w:szCs w:val="24"/>
                </w:rPr>
              </m:ctrlPr>
            </m:sSubPr>
            <m:e>
              <m:sSubSup>
                <m:sSubSupPr>
                  <m:ctrlPr>
                    <w:rPr>
                      <w:rFonts w:ascii="Cambria Math" w:eastAsia="Times New Roman" w:hAnsi="Cambria Math" w:cs="Times New Roman"/>
                      <w:bCs/>
                      <w:i/>
                      <w:color w:val="000000"/>
                      <w:sz w:val="24"/>
                      <w:szCs w:val="24"/>
                    </w:rPr>
                  </m:ctrlPr>
                </m:sSubSup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(3)</m:t>
          </m:r>
        </m:oMath>
      </m:oMathPara>
    </w:p>
    <w:p w:rsidR="005C039F" w:rsidRPr="005C039F" w:rsidRDefault="005C039F" w:rsidP="005C039F">
      <w:pPr>
        <w:jc w:val="both"/>
        <w:rPr>
          <w:rFonts w:ascii="Times New Roman" w:eastAsia="Times New Roman" w:hAnsi="Times New Roman" w:cs="Times New Roman"/>
          <w:bCs/>
          <w:color w:val="000000"/>
          <w:sz w:val="24"/>
          <w:szCs w:val="24"/>
        </w:rPr>
      </w:pPr>
      <w:r w:rsidRPr="005C039F">
        <w:rPr>
          <w:rFonts w:ascii="Times New Roman" w:eastAsia="Times New Roman" w:hAnsi="Times New Roman" w:cs="Times New Roman"/>
          <w:bCs/>
          <w:color w:val="000000"/>
          <w:sz w:val="24"/>
          <w:szCs w:val="24"/>
        </w:rPr>
        <w:t>where</w:t>
      </w:r>
    </w:p>
    <w:p w:rsidR="005C039F" w:rsidRPr="005C039F" w:rsidRDefault="00931B44" w:rsidP="005C039F">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oMath>
      <w:r w:rsidR="005C039F" w:rsidRPr="005C039F">
        <w:rPr>
          <w:rFonts w:ascii="Times New Roman" w:eastAsia="Times New Roman" w:hAnsi="Times New Roman" w:cs="Times New Roman"/>
          <w:bCs/>
          <w:color w:val="000000"/>
          <w:sz w:val="24"/>
          <w:szCs w:val="24"/>
        </w:rPr>
        <w:t xml:space="preserve">​ is a scalar latent </w:t>
      </w:r>
      <w:proofErr w:type="gramStart"/>
      <w:r w:rsidR="005C039F" w:rsidRPr="005C039F">
        <w:rPr>
          <w:rFonts w:ascii="Times New Roman" w:eastAsia="Times New Roman" w:hAnsi="Times New Roman" w:cs="Times New Roman"/>
          <w:bCs/>
          <w:color w:val="000000"/>
          <w:sz w:val="24"/>
          <w:szCs w:val="24"/>
        </w:rPr>
        <w:t>variable,</w:t>
      </w:r>
      <w:proofErr w:type="gramEnd"/>
    </w:p>
    <w:p w:rsidR="005C039F" w:rsidRPr="005C039F" w:rsidRDefault="00931B44" w:rsidP="005C039F">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005C039F" w:rsidRPr="005C039F">
        <w:rPr>
          <w:rFonts w:ascii="Times New Roman" w:eastAsia="Times New Roman" w:hAnsi="Times New Roman" w:cs="Times New Roman"/>
          <w:bCs/>
          <w:color w:val="000000"/>
          <w:sz w:val="24"/>
          <w:szCs w:val="24"/>
        </w:rPr>
        <w:t>​ is a time-varying K×1 projection vector governing the dynamic contribution of each macroe</w:t>
      </w:r>
      <w:proofErr w:type="spellStart"/>
      <w:r w:rsidR="005C039F" w:rsidRPr="005C039F">
        <w:rPr>
          <w:rFonts w:ascii="Times New Roman" w:eastAsia="Times New Roman" w:hAnsi="Times New Roman" w:cs="Times New Roman"/>
          <w:bCs/>
          <w:color w:val="000000"/>
          <w:sz w:val="24"/>
          <w:szCs w:val="24"/>
        </w:rPr>
        <w:t>conomic</w:t>
      </w:r>
      <w:proofErr w:type="spellEnd"/>
      <w:r w:rsidR="005C039F" w:rsidRPr="005C039F">
        <w:rPr>
          <w:rFonts w:ascii="Times New Roman" w:eastAsia="Times New Roman" w:hAnsi="Times New Roman" w:cs="Times New Roman"/>
          <w:bCs/>
          <w:color w:val="000000"/>
          <w:sz w:val="24"/>
          <w:szCs w:val="24"/>
        </w:rPr>
        <w:t xml:space="preserve"> variable.</w:t>
      </w:r>
    </w:p>
    <w:p w:rsidR="00CE387D" w:rsidRPr="000A4B13" w:rsidRDefault="000E453C"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Equation (3</w:t>
      </w:r>
      <w:r w:rsidR="00A36C2B">
        <w:rPr>
          <w:rFonts w:ascii="Times New Roman" w:eastAsia="Times New Roman" w:hAnsi="Times New Roman" w:cs="Times New Roman"/>
          <w:bCs/>
          <w:color w:val="000000"/>
          <w:sz w:val="24"/>
          <w:szCs w:val="24"/>
        </w:rPr>
        <w:t xml:space="preserve">) </w:t>
      </w:r>
      <w:r w:rsidR="00CE387D" w:rsidRPr="00CE387D">
        <w:rPr>
          <w:rFonts w:ascii="Times New Roman" w:eastAsia="Times New Roman" w:hAnsi="Times New Roman" w:cs="Times New Roman"/>
          <w:bCs/>
          <w:color w:val="000000"/>
          <w:sz w:val="24"/>
          <w:szCs w:val="24"/>
        </w:rPr>
        <w:t>reduces the multivariate dynamics into a scalar process while r</w:t>
      </w:r>
      <w:r w:rsidR="00A36C2B">
        <w:rPr>
          <w:rFonts w:ascii="Times New Roman" w:eastAsia="Times New Roman" w:hAnsi="Times New Roman" w:cs="Times New Roman"/>
          <w:bCs/>
          <w:color w:val="000000"/>
          <w:sz w:val="24"/>
          <w:szCs w:val="24"/>
        </w:rPr>
        <w:t xml:space="preserve">etaining full cross-dependence. </w:t>
      </w:r>
      <w:r w:rsidR="00CE387D" w:rsidRPr="00CE387D">
        <w:rPr>
          <w:rFonts w:ascii="Times New Roman" w:eastAsia="Times New Roman" w:hAnsi="Times New Roman" w:cs="Times New Roman"/>
          <w:bCs/>
          <w:color w:val="000000"/>
          <w:sz w:val="24"/>
          <w:szCs w:val="24"/>
        </w:rPr>
        <w:t xml:space="preserve">Unlike the static case, the </w:t>
      </w:r>
      <w:r w:rsidR="00CE387D" w:rsidRPr="00A36C2B">
        <w:rPr>
          <w:rFonts w:ascii="Times New Roman" w:eastAsia="Times New Roman" w:hAnsi="Times New Roman" w:cs="Times New Roman"/>
          <w:bCs/>
          <w:color w:val="000000"/>
          <w:sz w:val="24"/>
          <w:szCs w:val="24"/>
        </w:rPr>
        <w:t xml:space="preserve">Time-Varying Scalar Component VARMA (TV-SCVARMA) </w:t>
      </w:r>
      <w:r w:rsidR="00CE387D" w:rsidRPr="00CE387D">
        <w:rPr>
          <w:rFonts w:ascii="Times New Roman" w:eastAsia="Times New Roman" w:hAnsi="Times New Roman" w:cs="Times New Roman"/>
          <w:bCs/>
          <w:color w:val="000000"/>
          <w:sz w:val="24"/>
          <w:szCs w:val="24"/>
        </w:rPr>
        <w:t xml:space="preserve">model assumes that the projection vector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00CE387D" w:rsidRPr="00CE387D">
        <w:rPr>
          <w:rFonts w:ascii="Times New Roman" w:eastAsia="Times New Roman" w:hAnsi="Times New Roman" w:cs="Times New Roman"/>
          <w:bCs/>
          <w:color w:val="000000"/>
          <w:sz w:val="24"/>
          <w:szCs w:val="24"/>
        </w:rPr>
        <w:t>evolves according to a stochastic transition equation:</w:t>
      </w:r>
    </w:p>
    <w:p w:rsidR="000A4B13" w:rsidRPr="00CF4A68" w:rsidRDefault="00931B44" w:rsidP="00472D50">
      <w:pPr>
        <w:spacing w:line="240" w:lineRule="auto"/>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~N</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0, Q</m:t>
              </m:r>
            </m:e>
          </m:d>
          <m:r>
            <w:rPr>
              <w:rFonts w:ascii="Cambria Math" w:eastAsia="Times New Roman" w:hAnsi="Cambria Math" w:cs="Times New Roman"/>
              <w:color w:val="000000"/>
              <w:sz w:val="24"/>
              <w:szCs w:val="24"/>
            </w:rPr>
            <m:t xml:space="preserve">    (4)</m:t>
          </m:r>
        </m:oMath>
      </m:oMathPara>
    </w:p>
    <w:p w:rsidR="00CF4A68" w:rsidRPr="00CF4A68" w:rsidRDefault="00CF4A68" w:rsidP="00CF4A68">
      <w:pPr>
        <w:spacing w:line="240" w:lineRule="auto"/>
        <w:jc w:val="both"/>
        <w:rPr>
          <w:rFonts w:ascii="Times New Roman" w:eastAsia="Times New Roman" w:hAnsi="Times New Roman" w:cs="Times New Roman"/>
          <w:bCs/>
          <w:color w:val="000000"/>
          <w:sz w:val="24"/>
          <w:szCs w:val="24"/>
        </w:rPr>
      </w:pPr>
      <w:r w:rsidRPr="00CF4A68">
        <w:rPr>
          <w:rFonts w:ascii="Times New Roman" w:eastAsia="Times New Roman" w:hAnsi="Times New Roman" w:cs="Times New Roman"/>
          <w:bCs/>
          <w:color w:val="000000"/>
          <w:sz w:val="24"/>
          <w:szCs w:val="24"/>
        </w:rPr>
        <w:t>where</w:t>
      </w:r>
    </w:p>
    <w:p w:rsidR="00CF4A68" w:rsidRPr="00CF4A68" w:rsidRDefault="00931B44" w:rsidP="00CF4A68">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oMath>
      <w:r w:rsidR="00CF4A68" w:rsidRPr="00CF4A68">
        <w:rPr>
          <w:rFonts w:ascii="Times New Roman" w:eastAsia="Times New Roman" w:hAnsi="Times New Roman" w:cs="Times New Roman"/>
          <w:bCs/>
          <w:color w:val="000000"/>
          <w:sz w:val="24"/>
          <w:szCs w:val="24"/>
        </w:rPr>
        <w:t>​ is a K×K transition matrix,</w:t>
      </w:r>
    </w:p>
    <w:p w:rsidR="00CF4A68" w:rsidRPr="00CF4A68" w:rsidRDefault="00931B44" w:rsidP="00CF4A68">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oMath>
      <w:r w:rsidR="00CF4A68" w:rsidRPr="00CF4A68">
        <w:rPr>
          <w:rFonts w:ascii="Times New Roman" w:eastAsia="Times New Roman" w:hAnsi="Times New Roman" w:cs="Times New Roman"/>
          <w:bCs/>
          <w:color w:val="000000"/>
          <w:sz w:val="24"/>
          <w:szCs w:val="24"/>
        </w:rPr>
        <w:t>​ is a Gaussian state disturbance with covariance Q,</w:t>
      </w:r>
      <w:r w:rsidR="003443B6">
        <w:rPr>
          <w:rFonts w:ascii="Times New Roman" w:eastAsia="Times New Roman" w:hAnsi="Times New Roman" w:cs="Times New Roman"/>
          <w:bCs/>
          <w:color w:val="000000"/>
          <w:sz w:val="24"/>
          <w:szCs w:val="24"/>
        </w:rPr>
        <w:t xml:space="preserve"> </w:t>
      </w:r>
      <w:r w:rsidR="00CF4A68" w:rsidRPr="00CF4A68">
        <w:rPr>
          <w:rFonts w:ascii="Times New Roman" w:eastAsia="Times New Roman" w:hAnsi="Times New Roman" w:cs="Times New Roman"/>
          <w:bCs/>
          <w:color w:val="000000"/>
          <w:sz w:val="24"/>
          <w:szCs w:val="24"/>
        </w:rPr>
        <w:t xml:space="preserve">allowing the scalar projection to adjust to structural change and regime shifts over time (Durbin &amp; Koopman, </w:t>
      </w:r>
      <w:proofErr w:type="gramStart"/>
      <w:r w:rsidR="00CF4A68" w:rsidRPr="00CF4A68">
        <w:rPr>
          <w:rFonts w:ascii="Times New Roman" w:eastAsia="Times New Roman" w:hAnsi="Times New Roman" w:cs="Times New Roman"/>
          <w:bCs/>
          <w:color w:val="000000"/>
          <w:sz w:val="24"/>
          <w:szCs w:val="24"/>
        </w:rPr>
        <w:t>2012).</w:t>
      </w:r>
      <w:proofErr w:type="gramEnd"/>
    </w:p>
    <w:p w:rsidR="00CF4A68" w:rsidRPr="00CF4A68" w:rsidRDefault="000E453C" w:rsidP="00CF4A68">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Substituting (4</w:t>
      </w:r>
      <w:r w:rsidR="00CF4A68" w:rsidRPr="00CF4A68">
        <w:rPr>
          <w:rFonts w:ascii="Times New Roman" w:eastAsia="Times New Roman" w:hAnsi="Times New Roman" w:cs="Times New Roman"/>
          <w:bCs/>
          <w:color w:val="000000"/>
          <w:sz w:val="24"/>
          <w:szCs w:val="24"/>
        </w:rPr>
        <w:t xml:space="preserve">) into the observation structure produces the </w:t>
      </w:r>
      <w:r w:rsidR="00CF4A68" w:rsidRPr="003443B6">
        <w:rPr>
          <w:rFonts w:ascii="Times New Roman" w:eastAsia="Times New Roman" w:hAnsi="Times New Roman" w:cs="Times New Roman"/>
          <w:bCs/>
          <w:color w:val="000000"/>
          <w:sz w:val="24"/>
          <w:szCs w:val="24"/>
        </w:rPr>
        <w:t>state-space representation</w:t>
      </w:r>
      <w:r w:rsidR="00CF4A68" w:rsidRPr="00CF4A68">
        <w:rPr>
          <w:rFonts w:ascii="Times New Roman" w:eastAsia="Times New Roman" w:hAnsi="Times New Roman" w:cs="Times New Roman"/>
          <w:bCs/>
          <w:color w:val="000000"/>
          <w:sz w:val="24"/>
          <w:szCs w:val="24"/>
        </w:rPr>
        <w:t xml:space="preserve"> of the TV-SCVARMA model:</w:t>
      </w:r>
    </w:p>
    <w:p w:rsidR="00380338" w:rsidRPr="00496697" w:rsidRDefault="00931B44" w:rsidP="00380338">
      <w:pPr>
        <w:spacing w:line="240" w:lineRule="auto"/>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Φ</m:t>
          </m:r>
          <m:sSup>
            <m:sSupPr>
              <m:ctrlPr>
                <w:rPr>
                  <w:rFonts w:ascii="Cambria Math" w:eastAsia="Times New Roman" w:hAnsi="Cambria Math" w:cs="Times New Roman"/>
                  <w:bCs/>
                  <w:color w:val="000000"/>
                  <w:sz w:val="24"/>
                  <w:szCs w:val="24"/>
                </w:rPr>
              </m:ctrlPr>
            </m:sSupPr>
            <m:e>
              <m:d>
                <m:dPr>
                  <m:ctrlPr>
                    <w:rPr>
                      <w:rFonts w:ascii="Cambria Math" w:eastAsia="Times New Roman" w:hAnsi="Cambria Math" w:cs="Times New Roman"/>
                      <w:bCs/>
                      <w:color w:val="000000"/>
                      <w:sz w:val="24"/>
                      <w:szCs w:val="24"/>
                    </w:rPr>
                  </m:ctrlPr>
                </m:dPr>
                <m:e>
                  <m:r>
                    <w:rPr>
                      <w:rFonts w:ascii="Cambria Math" w:eastAsia="Times New Roman" w:hAnsi="Cambria Math" w:cs="Times New Roman"/>
                      <w:color w:val="000000"/>
                      <w:sz w:val="24"/>
                      <w:szCs w:val="24"/>
                    </w:rPr>
                    <m:t>L</m:t>
                  </m:r>
                </m:e>
              </m:d>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Θ</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L</m:t>
              </m:r>
            </m:e>
          </m:d>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(5) </m:t>
          </m:r>
        </m:oMath>
      </m:oMathPara>
    </w:p>
    <w:p w:rsidR="003443B6" w:rsidRDefault="003443B6" w:rsidP="00496697">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 xml:space="preserve">where </w:t>
      </w:r>
      <m:oMath>
        <m:r>
          <w:rPr>
            <w:rFonts w:ascii="Cambria Math" w:eastAsia="Times New Roman" w:hAnsi="Cambria Math" w:cs="Times New Roman"/>
            <w:color w:val="000000"/>
            <w:sz w:val="24"/>
            <w:szCs w:val="24"/>
          </w:rPr>
          <m:t>Φ(L)</m:t>
        </m:r>
      </m:oMath>
      <w:r w:rsidRPr="003443B6">
        <w:rPr>
          <w:rFonts w:ascii="Times New Roman" w:eastAsia="Times New Roman" w:hAnsi="Times New Roman" w:cs="Times New Roman"/>
          <w:bCs/>
          <w:color w:val="000000"/>
          <w:sz w:val="24"/>
          <w:szCs w:val="24"/>
        </w:rPr>
        <w:t xml:space="preserve"> and </w:t>
      </w:r>
      <m:oMath>
        <m:r>
          <w:rPr>
            <w:rFonts w:ascii="Cambria Math" w:eastAsia="Times New Roman" w:hAnsi="Cambria Math" w:cs="Times New Roman"/>
            <w:color w:val="000000"/>
            <w:sz w:val="24"/>
            <w:szCs w:val="24"/>
          </w:rPr>
          <m:t>Θ(L)</m:t>
        </m:r>
      </m:oMath>
      <w:r w:rsidRPr="003443B6">
        <w:rPr>
          <w:rFonts w:ascii="Times New Roman" w:eastAsia="Times New Roman" w:hAnsi="Times New Roman" w:cs="Times New Roman"/>
          <w:bCs/>
          <w:color w:val="000000"/>
          <w:sz w:val="24"/>
          <w:szCs w:val="24"/>
        </w:rPr>
        <w:t xml:space="preserve"> are lag polynomials in the backshift operator L</w:t>
      </w:r>
      <w:r w:rsidR="000E453C">
        <w:rPr>
          <w:rFonts w:ascii="Times New Roman" w:eastAsia="Times New Roman" w:hAnsi="Times New Roman" w:cs="Times New Roman"/>
          <w:bCs/>
          <w:color w:val="000000"/>
          <w:sz w:val="24"/>
          <w:szCs w:val="24"/>
        </w:rPr>
        <w:t>. Equation (5</w:t>
      </w:r>
      <w:r w:rsidRPr="003443B6">
        <w:rPr>
          <w:rFonts w:ascii="Times New Roman" w:eastAsia="Times New Roman" w:hAnsi="Times New Roman" w:cs="Times New Roman"/>
          <w:bCs/>
          <w:color w:val="000000"/>
          <w:sz w:val="24"/>
          <w:szCs w:val="24"/>
        </w:rPr>
        <w:t>) embeds a time-varying dynamic structure while preserving the short-run MA representation, enabling more flexible macroeconomic responses to shocks than traditio</w:t>
      </w:r>
      <w:r w:rsidR="00510500">
        <w:rPr>
          <w:rFonts w:ascii="Times New Roman" w:eastAsia="Times New Roman" w:hAnsi="Times New Roman" w:cs="Times New Roman"/>
          <w:bCs/>
          <w:color w:val="000000"/>
          <w:sz w:val="24"/>
          <w:szCs w:val="24"/>
        </w:rPr>
        <w:t>nal VARMA models (</w:t>
      </w:r>
      <w:r w:rsidRPr="003443B6">
        <w:rPr>
          <w:rFonts w:ascii="Times New Roman" w:eastAsia="Times New Roman" w:hAnsi="Times New Roman" w:cs="Times New Roman"/>
          <w:bCs/>
          <w:color w:val="000000"/>
          <w:sz w:val="24"/>
          <w:szCs w:val="24"/>
        </w:rPr>
        <w:t>Kim &amp; Nelson, 1999).</w:t>
      </w:r>
    </w:p>
    <w:p w:rsidR="006D01CE" w:rsidRPr="00496697" w:rsidRDefault="006D01CE" w:rsidP="00496697">
      <w:pPr>
        <w:spacing w:line="240" w:lineRule="auto"/>
        <w:jc w:val="both"/>
        <w:rPr>
          <w:rFonts w:ascii="Times New Roman" w:eastAsia="Times New Roman" w:hAnsi="Times New Roman" w:cs="Times New Roman"/>
          <w:bCs/>
          <w:color w:val="000000"/>
          <w:sz w:val="24"/>
          <w:szCs w:val="24"/>
        </w:rPr>
      </w:pPr>
    </w:p>
    <w:p w:rsidR="00496697" w:rsidRPr="00496697" w:rsidRDefault="00496697" w:rsidP="00496697">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496697">
        <w:rPr>
          <w:rFonts w:ascii="Times New Roman" w:eastAsia="Times New Roman" w:hAnsi="Times New Roman" w:cs="Times New Roman"/>
          <w:b/>
          <w:bCs/>
          <w:color w:val="000000"/>
          <w:sz w:val="24"/>
          <w:szCs w:val="24"/>
        </w:rPr>
        <w:t>.</w:t>
      </w:r>
      <w:r w:rsidR="000E453C">
        <w:rPr>
          <w:rFonts w:ascii="Times New Roman" w:eastAsia="Times New Roman" w:hAnsi="Times New Roman" w:cs="Times New Roman"/>
          <w:b/>
          <w:bCs/>
          <w:color w:val="000000"/>
          <w:sz w:val="24"/>
          <w:szCs w:val="24"/>
        </w:rPr>
        <w:t>6.</w:t>
      </w:r>
      <w:r w:rsidRPr="00496697">
        <w:rPr>
          <w:rFonts w:ascii="Times New Roman" w:eastAsia="Times New Roman" w:hAnsi="Times New Roman" w:cs="Times New Roman"/>
          <w:b/>
          <w:bCs/>
          <w:color w:val="000000"/>
          <w:sz w:val="24"/>
          <w:szCs w:val="24"/>
        </w:rPr>
        <w:t>2 Stability and Likelihood</w:t>
      </w:r>
    </w:p>
    <w:p w:rsidR="003443B6" w:rsidRDefault="003443B6" w:rsidP="00496697">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 xml:space="preserve">A necessary and sufficient condition for mean-square stability of the latent state is that every eigenvalue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i</m:t>
            </m:r>
          </m:sub>
        </m:sSub>
      </m:oMath>
      <w:r w:rsidRPr="003443B6">
        <w:rPr>
          <w:rFonts w:ascii="Times New Roman" w:eastAsia="Times New Roman" w:hAnsi="Times New Roman" w:cs="Times New Roman"/>
          <w:bCs/>
          <w:color w:val="000000"/>
          <w:sz w:val="24"/>
          <w:szCs w:val="24"/>
        </w:rPr>
        <w:t xml:space="preserve"> of the transition matrix </w:t>
      </w: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oMath>
      <w:r w:rsidRPr="003443B6">
        <w:rPr>
          <w:rFonts w:ascii="Times New Roman" w:eastAsia="Times New Roman" w:hAnsi="Times New Roman" w:cs="Times New Roman"/>
          <w:bCs/>
          <w:color w:val="000000"/>
          <w:sz w:val="24"/>
          <w:szCs w:val="24"/>
        </w:rPr>
        <w:t>​ lies strictly inside the unit circle (Hamilton, 1994)</w:t>
      </w:r>
      <w:r>
        <w:rPr>
          <w:rFonts w:ascii="Times New Roman" w:eastAsia="Times New Roman" w:hAnsi="Times New Roman" w:cs="Times New Roman"/>
          <w:bCs/>
          <w:color w:val="000000"/>
          <w:sz w:val="24"/>
          <w:szCs w:val="24"/>
        </w:rPr>
        <w:t>:</w:t>
      </w:r>
    </w:p>
    <w:p w:rsidR="00496697" w:rsidRPr="00380338" w:rsidRDefault="00931B44" w:rsidP="00380338">
      <w:pPr>
        <w:spacing w:line="240" w:lineRule="auto"/>
        <w:jc w:val="both"/>
        <w:rPr>
          <w:rFonts w:ascii="Times New Roman" w:eastAsia="Times New Roman" w:hAnsi="Times New Roman" w:cs="Times New Roman"/>
          <w:bCs/>
          <w:color w:val="000000"/>
          <w:sz w:val="24"/>
          <w:szCs w:val="24"/>
        </w:rPr>
      </w:pPr>
      <m:oMathPara>
        <m:oMath>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e>
              </m:d>
            </m:e>
          </m:d>
          <m:r>
            <w:rPr>
              <w:rFonts w:ascii="Cambria Math" w:eastAsia="Times New Roman" w:hAnsi="Cambria Math" w:cs="Times New Roman"/>
              <w:color w:val="000000"/>
              <w:sz w:val="24"/>
              <w:szCs w:val="24"/>
            </w:rPr>
            <m:t>&lt;1, ∀i.        (6)</m:t>
          </m:r>
        </m:oMath>
      </m:oMathPara>
    </w:p>
    <w:p w:rsidR="003443B6" w:rsidRDefault="003443B6" w:rsidP="00472D50">
      <w:pPr>
        <w:spacing w:line="240" w:lineRule="auto"/>
        <w:jc w:val="both"/>
        <w:rPr>
          <w:rFonts w:ascii="Times New Roman" w:eastAsia="Times New Roman" w:hAnsi="Times New Roman" w:cs="Times New Roman"/>
          <w:bCs/>
          <w:color w:val="000000"/>
          <w:sz w:val="24"/>
          <w:szCs w:val="24"/>
        </w:rPr>
      </w:pPr>
    </w:p>
    <w:p w:rsidR="00906BBC" w:rsidRDefault="00C72D95" w:rsidP="00472D50">
      <w:pPr>
        <w:spacing w:line="240" w:lineRule="auto"/>
        <w:jc w:val="both"/>
        <w:rPr>
          <w:rFonts w:ascii="Times New Roman" w:eastAsia="Times New Roman" w:hAnsi="Times New Roman" w:cs="Times New Roman"/>
          <w:bCs/>
          <w:color w:val="000000"/>
          <w:sz w:val="24"/>
          <w:szCs w:val="24"/>
        </w:rPr>
      </w:pPr>
      <w:r w:rsidRPr="00C72D95">
        <w:rPr>
          <w:rFonts w:ascii="Times New Roman" w:eastAsia="Times New Roman" w:hAnsi="Times New Roman" w:cs="Times New Roman"/>
          <w:bCs/>
          <w:color w:val="000000"/>
          <w:sz w:val="24"/>
          <w:szCs w:val="24"/>
        </w:rPr>
        <w:t xml:space="preserve">Given the Gaussian assumption, the conditional likelihood for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oMath>
      <w:r w:rsidRPr="00C72D95">
        <w:rPr>
          <w:rFonts w:ascii="Times New Roman" w:eastAsia="Times New Roman" w:hAnsi="Times New Roman" w:cs="Times New Roman"/>
          <w:bCs/>
          <w:color w:val="000000"/>
          <w:sz w:val="24"/>
          <w:szCs w:val="24"/>
        </w:rPr>
        <w:t xml:space="preserve"> given the latent state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Pr="00C72D95">
        <w:rPr>
          <w:rFonts w:ascii="Times New Roman" w:eastAsia="Times New Roman" w:hAnsi="Times New Roman" w:cs="Times New Roman"/>
          <w:bCs/>
          <w:color w:val="000000"/>
          <w:sz w:val="24"/>
          <w:szCs w:val="24"/>
        </w:rPr>
        <w:t>​ is</w:t>
      </w:r>
      <w:r>
        <w:rPr>
          <w:rFonts w:ascii="Times New Roman" w:eastAsia="Times New Roman" w:hAnsi="Times New Roman" w:cs="Times New Roman"/>
          <w:bCs/>
          <w:color w:val="000000"/>
          <w:sz w:val="24"/>
          <w:szCs w:val="24"/>
        </w:rPr>
        <w:t xml:space="preserve">: </w:t>
      </w:r>
    </w:p>
    <w:p w:rsidR="00C72D95" w:rsidRPr="00C72D95" w:rsidRDefault="00C72D95" w:rsidP="00472D50">
      <w:pPr>
        <w:spacing w:line="240" w:lineRule="auto"/>
        <w:jc w:val="both"/>
        <w:rPr>
          <w:rFonts w:ascii="Times New Roman" w:eastAsia="Times New Roman" w:hAnsi="Times New Roman" w:cs="Times New Roman"/>
          <w:bCs/>
          <w:color w:val="000000"/>
          <w:sz w:val="24"/>
          <w:szCs w:val="24"/>
        </w:rPr>
      </w:pPr>
      <m:oMathPara>
        <m:oMath>
          <m:r>
            <w:rPr>
              <w:rFonts w:ascii="Cambria Math" w:eastAsia="Times New Roman" w:hAnsi="Cambria Math" w:cs="Times New Roman"/>
              <w:color w:val="000000"/>
              <w:sz w:val="24"/>
              <w:szCs w:val="24"/>
            </w:rPr>
            <m:t>L</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θ</m:t>
              </m:r>
            </m:e>
          </m:d>
          <m:r>
            <w:rPr>
              <w:rFonts w:ascii="Cambria Math" w:eastAsia="Times New Roman" w:hAnsi="Cambria Math" w:cs="Times New Roman"/>
              <w:color w:val="000000"/>
              <w:sz w:val="24"/>
              <w:szCs w:val="24"/>
            </w:rPr>
            <m:t>=</m:t>
          </m:r>
          <m:nary>
            <m:naryPr>
              <m:chr m:val="∏"/>
              <m:limLoc m:val="undOvr"/>
              <m:ctrlPr>
                <w:rPr>
                  <w:rFonts w:ascii="Cambria Math" w:eastAsia="Times New Roman" w:hAnsi="Cambria Math" w:cs="Times New Roman"/>
                  <w:bCs/>
                  <w:i/>
                  <w:color w:val="000000"/>
                  <w:sz w:val="24"/>
                  <w:szCs w:val="24"/>
                </w:rPr>
              </m:ctrlPr>
            </m:naryPr>
            <m:sub>
              <m:r>
                <w:rPr>
                  <w:rFonts w:ascii="Cambria Math" w:eastAsia="Times New Roman" w:hAnsi="Cambria Math" w:cs="Times New Roman"/>
                  <w:color w:val="000000"/>
                  <w:sz w:val="24"/>
                  <w:szCs w:val="24"/>
                </w:rPr>
                <m:t>t=1</m:t>
              </m:r>
            </m:sub>
            <m:sup>
              <m:r>
                <w:rPr>
                  <w:rFonts w:ascii="Cambria Math" w:eastAsia="Times New Roman" w:hAnsi="Cambria Math" w:cs="Times New Roman"/>
                  <w:color w:val="000000"/>
                  <w:sz w:val="24"/>
                  <w:szCs w:val="24"/>
                </w:rPr>
                <m:t>T</m:t>
              </m:r>
            </m:sup>
            <m:e>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2π</m:t>
                      </m:r>
                    </m:e>
                  </m:d>
                </m:e>
                <m:sup>
                  <m:r>
                    <w:rPr>
                      <w:rFonts w:ascii="Cambria Math" w:eastAsia="Times New Roman" w:hAnsi="Cambria Math" w:cs="Times New Roman"/>
                      <w:color w:val="000000"/>
                      <w:sz w:val="24"/>
                      <w:szCs w:val="24"/>
                    </w:rPr>
                    <m:t>-</m:t>
                  </m:r>
                  <m:f>
                    <m:fPr>
                      <m:type m:val="lin"/>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K</m:t>
                      </m:r>
                    </m:num>
                    <m:den>
                      <m:r>
                        <w:rPr>
                          <w:rFonts w:ascii="Cambria Math" w:eastAsia="Times New Roman" w:hAnsi="Cambria Math" w:cs="Times New Roman"/>
                          <w:color w:val="000000"/>
                          <w:sz w:val="24"/>
                          <w:szCs w:val="24"/>
                        </w:rPr>
                        <m:t>2</m:t>
                      </m:r>
                    </m:den>
                  </m:f>
                </m:sup>
              </m:sSup>
              <m:sSup>
                <m:sSupPr>
                  <m:ctrlPr>
                    <w:rPr>
                      <w:rFonts w:ascii="Cambria Math" w:eastAsia="Times New Roman" w:hAnsi="Cambria Math" w:cs="Times New Roman"/>
                      <w:bCs/>
                      <w:i/>
                      <w:color w:val="000000"/>
                      <w:sz w:val="24"/>
                      <w:szCs w:val="24"/>
                    </w:rPr>
                  </m:ctrlPr>
                </m:sSupPr>
                <m:e>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Sub>
                    </m:e>
                  </m:d>
                </m:e>
                <m:sup>
                  <m:r>
                    <w:rPr>
                      <w:rFonts w:ascii="Cambria Math" w:eastAsia="Times New Roman" w:hAnsi="Cambria Math" w:cs="Times New Roman"/>
                      <w:color w:val="000000"/>
                      <w:sz w:val="24"/>
                      <w:szCs w:val="24"/>
                    </w:rPr>
                    <m:t>-</m:t>
                  </m:r>
                  <m:f>
                    <m:fPr>
                      <m:type m:val="lin"/>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sup>
              </m:sSup>
            </m:e>
          </m:nary>
          <m:r>
            <w:rPr>
              <w:rFonts w:ascii="Cambria Math" w:eastAsia="Times New Roman" w:hAnsi="Cambria Math" w:cs="Times New Roman"/>
              <w:color w:val="000000"/>
              <w:sz w:val="24"/>
              <w:szCs w:val="24"/>
            </w:rPr>
            <m:t>exp</m:t>
          </m:r>
          <m:d>
            <m:dPr>
              <m:begChr m:val="["/>
              <m:endChr m:val="]"/>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e>
                  </m:d>
                </m:e>
                <m:sup>
                  <m:r>
                    <w:rPr>
                      <w:rFonts w:ascii="Cambria Math" w:eastAsia="Times New Roman" w:hAnsi="Cambria Math" w:cs="Times New Roman"/>
                      <w:color w:val="000000"/>
                      <w:sz w:val="24"/>
                      <w:szCs w:val="24"/>
                    </w:rPr>
                    <m:t>'</m:t>
                  </m:r>
                </m:sup>
              </m:sSup>
              <m:sSubSup>
                <m:sSubSupPr>
                  <m:ctrlPr>
                    <w:rPr>
                      <w:rFonts w:ascii="Cambria Math" w:eastAsia="Times New Roman" w:hAnsi="Cambria Math" w:cs="Times New Roman"/>
                      <w:bCs/>
                      <w:i/>
                      <w:color w:val="000000"/>
                      <w:sz w:val="24"/>
                      <w:szCs w:val="24"/>
                    </w:rPr>
                  </m:ctrlPr>
                </m:sSubSup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-1</m:t>
                  </m:r>
                </m:sup>
              </m:sSubSup>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e>
              </m:d>
            </m:e>
          </m:d>
          <m:r>
            <w:rPr>
              <w:rFonts w:ascii="Cambria Math" w:eastAsia="Times New Roman" w:hAnsi="Cambria Math" w:cs="Times New Roman"/>
              <w:color w:val="000000"/>
              <w:sz w:val="24"/>
              <w:szCs w:val="24"/>
            </w:rPr>
            <m:t xml:space="preserve"> (7)</m:t>
          </m:r>
        </m:oMath>
      </m:oMathPara>
    </w:p>
    <w:p w:rsidR="003443B6" w:rsidRPr="003443B6" w:rsidRDefault="003443B6" w:rsidP="003443B6">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lastRenderedPageBreak/>
        <w:t>where</w:t>
      </w:r>
    </w:p>
    <w:p w:rsidR="003443B6" w:rsidRPr="003443B6" w:rsidRDefault="00931B44" w:rsidP="004F65BA">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Sub>
      </m:oMath>
      <w:r w:rsidR="003443B6" w:rsidRPr="003443B6">
        <w:rPr>
          <w:rFonts w:ascii="Times New Roman" w:eastAsia="Times New Roman" w:hAnsi="Times New Roman" w:cs="Times New Roman"/>
          <w:bCs/>
          <w:color w:val="000000"/>
          <w:sz w:val="24"/>
          <w:szCs w:val="24"/>
        </w:rPr>
        <w:t xml:space="preserve"> is the prediction covariance,</w:t>
      </w:r>
      <w:r w:rsidR="00D471DD">
        <w:rPr>
          <w:rFonts w:ascii="Times New Roman" w:eastAsia="Times New Roman" w:hAnsi="Times New Roman" w:cs="Times New Roman"/>
          <w:bCs/>
          <w:color w:val="000000"/>
          <w:sz w:val="24"/>
          <w:szCs w:val="24"/>
        </w:rPr>
        <w:t xml:space="preserve"> </w:t>
      </w:r>
    </w:p>
    <w:p w:rsidR="003443B6" w:rsidRPr="003443B6" w:rsidRDefault="00D471DD" w:rsidP="004F65BA">
      <w:pPr>
        <w:spacing w:line="240" w:lineRule="auto"/>
        <w:jc w:val="both"/>
        <w:rPr>
          <w:rFonts w:ascii="Times New Roman" w:eastAsia="Times New Roman" w:hAnsi="Times New Roman" w:cs="Times New Roman"/>
          <w:bCs/>
          <w:color w:val="000000"/>
          <w:sz w:val="24"/>
          <w:szCs w:val="24"/>
        </w:rPr>
      </w:pPr>
      <w:r w:rsidRPr="00D471DD">
        <w:rPr>
          <w:rFonts w:ascii="Times New Roman" w:eastAsia="Times New Roman" w:hAnsi="Times New Roman" w:cs="Times New Roman"/>
          <w:bCs/>
          <w:color w:val="000000"/>
          <w:sz w:val="24"/>
          <w:szCs w:val="24"/>
        </w:rPr>
        <w:t xml:space="preserve">parameters </w:t>
      </w:r>
      <m:oMath>
        <m:r>
          <w:rPr>
            <w:rFonts w:ascii="Cambria Math" w:eastAsia="Times New Roman" w:hAnsi="Cambria Math" w:cs="Times New Roman"/>
            <w:color w:val="000000"/>
            <w:sz w:val="24"/>
            <w:szCs w:val="24"/>
          </w:rPr>
          <m:t>θ≡</m:t>
        </m:r>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j</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 xml:space="preserve">, Q, R  </m:t>
            </m:r>
          </m:e>
        </m:d>
      </m:oMath>
      <w:r w:rsidR="003443B6" w:rsidRPr="003443B6">
        <w:rPr>
          <w:rFonts w:ascii="Times New Roman" w:eastAsia="Times New Roman" w:hAnsi="Times New Roman" w:cs="Times New Roman"/>
          <w:bCs/>
          <w:color w:val="000000"/>
          <w:sz w:val="24"/>
          <w:szCs w:val="24"/>
        </w:rPr>
        <w:t>is the full parameter vector,</w:t>
      </w:r>
      <w:r>
        <w:rPr>
          <w:rFonts w:ascii="Times New Roman" w:eastAsia="Times New Roman" w:hAnsi="Times New Roman" w:cs="Times New Roman"/>
          <w:bCs/>
          <w:color w:val="000000"/>
          <w:sz w:val="24"/>
          <w:szCs w:val="24"/>
        </w:rPr>
        <w:t xml:space="preserve"> </w:t>
      </w:r>
    </w:p>
    <w:p w:rsidR="003443B6" w:rsidRPr="003443B6" w:rsidRDefault="003443B6" w:rsidP="004F65BA">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R is the covariance of observation noise.</w:t>
      </w:r>
    </w:p>
    <w:p w:rsidR="003443B6" w:rsidRDefault="003443B6" w:rsidP="003443B6">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Maximum likelihood estimates are obtained through the Kalman filter, which efficiently handles latent-variable systems and time-varying parameter evolution (Harvey, 1990; Durbin &amp; Koopman, 2012).</w:t>
      </w:r>
    </w:p>
    <w:p w:rsidR="006D01CE" w:rsidRPr="003443B6" w:rsidRDefault="006D01CE" w:rsidP="003443B6">
      <w:pPr>
        <w:spacing w:line="240" w:lineRule="auto"/>
        <w:jc w:val="both"/>
        <w:rPr>
          <w:rFonts w:ascii="Times New Roman" w:eastAsia="Times New Roman" w:hAnsi="Times New Roman" w:cs="Times New Roman"/>
          <w:bCs/>
          <w:color w:val="000000"/>
          <w:sz w:val="24"/>
          <w:szCs w:val="24"/>
        </w:rPr>
      </w:pPr>
    </w:p>
    <w:p w:rsidR="0057635A" w:rsidRPr="0057635A" w:rsidRDefault="0057635A" w:rsidP="0057635A">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57635A">
        <w:rPr>
          <w:rFonts w:ascii="Times New Roman" w:eastAsia="Times New Roman" w:hAnsi="Times New Roman" w:cs="Times New Roman"/>
          <w:b/>
          <w:bCs/>
          <w:color w:val="000000"/>
          <w:sz w:val="24"/>
          <w:szCs w:val="24"/>
        </w:rPr>
        <w:t>.</w:t>
      </w:r>
      <w:r w:rsidR="000E453C">
        <w:rPr>
          <w:rFonts w:ascii="Times New Roman" w:eastAsia="Times New Roman" w:hAnsi="Times New Roman" w:cs="Times New Roman"/>
          <w:b/>
          <w:bCs/>
          <w:color w:val="000000"/>
          <w:sz w:val="24"/>
          <w:szCs w:val="24"/>
        </w:rPr>
        <w:t>6.</w:t>
      </w:r>
      <w:r w:rsidRPr="0057635A">
        <w:rPr>
          <w:rFonts w:ascii="Times New Roman" w:eastAsia="Times New Roman" w:hAnsi="Times New Roman" w:cs="Times New Roman"/>
          <w:b/>
          <w:bCs/>
          <w:color w:val="000000"/>
          <w:sz w:val="24"/>
          <w:szCs w:val="24"/>
        </w:rPr>
        <w:t>3 Kalman Filter Estimation</w:t>
      </w:r>
    </w:p>
    <w:p w:rsidR="00D471DD" w:rsidRDefault="00D471DD" w:rsidP="0057635A">
      <w:pPr>
        <w:spacing w:line="240" w:lineRule="auto"/>
        <w:jc w:val="both"/>
        <w:rPr>
          <w:rFonts w:ascii="Times New Roman" w:eastAsia="Times New Roman" w:hAnsi="Times New Roman" w:cs="Times New Roman"/>
          <w:bCs/>
          <w:color w:val="000000"/>
          <w:sz w:val="24"/>
          <w:szCs w:val="24"/>
        </w:rPr>
      </w:pPr>
      <w:r w:rsidRPr="00D471DD">
        <w:rPr>
          <w:rFonts w:ascii="Times New Roman" w:eastAsia="Times New Roman" w:hAnsi="Times New Roman" w:cs="Times New Roman"/>
          <w:bCs/>
          <w:color w:val="000000"/>
          <w:sz w:val="24"/>
          <w:szCs w:val="24"/>
        </w:rPr>
        <w:t xml:space="preserve">The Kalman filter provides sequential predictions and updates for the latent state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Pr="00D471DD">
        <w:rPr>
          <w:rFonts w:ascii="Times New Roman" w:eastAsia="Times New Roman" w:hAnsi="Times New Roman" w:cs="Times New Roman"/>
          <w:bCs/>
          <w:color w:val="000000"/>
          <w:sz w:val="24"/>
          <w:szCs w:val="24"/>
        </w:rPr>
        <w:t xml:space="preserve">​ and its variance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m:t>
            </m:r>
          </m:sub>
        </m:sSub>
      </m:oMath>
    </w:p>
    <w:p w:rsidR="0057635A" w:rsidRDefault="000E453C" w:rsidP="0057635A">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For prediction</w:t>
      </w:r>
      <w:r w:rsidR="009912EA">
        <w:rPr>
          <w:rFonts w:ascii="Times New Roman" w:eastAsia="Times New Roman" w:hAnsi="Times New Roman" w:cs="Times New Roman"/>
          <w:bCs/>
          <w:color w:val="000000"/>
          <w:sz w:val="24"/>
          <w:szCs w:val="24"/>
        </w:rPr>
        <w:t>:</w:t>
      </w:r>
    </w:p>
    <w:p w:rsidR="009912EA" w:rsidRPr="00336264" w:rsidRDefault="00931B44" w:rsidP="0057635A">
      <w:pPr>
        <w:spacing w:line="240" w:lineRule="auto"/>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t-1|t-1</m:t>
              </m:r>
            </m:sub>
          </m:sSub>
          <m:r>
            <w:rPr>
              <w:rFonts w:ascii="Cambria Math" w:eastAsia="Times New Roman" w:hAnsi="Cambria Math" w:cs="Times New Roman"/>
              <w:color w:val="000000"/>
              <w:sz w:val="24"/>
              <w:szCs w:val="24"/>
            </w:rPr>
            <m:t xml:space="preserve">                    </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8</m:t>
              </m:r>
            </m:e>
          </m:d>
        </m:oMath>
      </m:oMathPara>
    </w:p>
    <w:p w:rsidR="00336264" w:rsidRPr="00BF3056" w:rsidRDefault="00931B44" w:rsidP="00A65192">
      <w:pPr>
        <w:spacing w:line="240" w:lineRule="auto"/>
        <w:jc w:val="both"/>
        <w:rPr>
          <w:rFonts w:ascii="Cambria Math" w:eastAsia="Times New Roman" w:hAnsi="Cambria Math" w:cs="Times New Roman"/>
          <w:bCs/>
          <w:i/>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t-1|t-1</m:t>
              </m:r>
            </m:sub>
          </m:sSub>
          <m:sSubSup>
            <m:sSubSupPr>
              <m:ctrlPr>
                <w:rPr>
                  <w:rFonts w:ascii="Cambria Math" w:eastAsia="Times New Roman" w:hAnsi="Cambria Math" w:cs="Times New Roman"/>
                  <w:bCs/>
                  <w:i/>
                  <w:color w:val="000000"/>
                  <w:sz w:val="24"/>
                  <w:szCs w:val="24"/>
                </w:rPr>
              </m:ctrlPr>
            </m:sSubSup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 xml:space="preserve">+Q        </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9</m:t>
              </m:r>
            </m:e>
          </m:d>
        </m:oMath>
      </m:oMathPara>
    </w:p>
    <w:p w:rsidR="00BF3056" w:rsidRDefault="00BF3056" w:rsidP="00A65192">
      <w:pPr>
        <w:spacing w:line="240" w:lineRule="auto"/>
        <w:jc w:val="both"/>
        <w:rPr>
          <w:rFonts w:ascii="Cambria Math" w:eastAsia="Times New Roman" w:hAnsi="Cambria Math" w:cs="Times New Roman"/>
          <w:bCs/>
          <w:color w:val="000000"/>
          <w:sz w:val="24"/>
          <w:szCs w:val="24"/>
        </w:rPr>
      </w:pPr>
      <w:r>
        <w:rPr>
          <w:rFonts w:ascii="Cambria Math" w:eastAsia="Times New Roman" w:hAnsi="Cambria Math" w:cs="Times New Roman"/>
          <w:bCs/>
          <w:color w:val="000000"/>
          <w:sz w:val="24"/>
          <w:szCs w:val="24"/>
        </w:rPr>
        <w:t xml:space="preserve">Update: </w:t>
      </w:r>
    </w:p>
    <w:p w:rsidR="00BF3056" w:rsidRPr="00BF3056" w:rsidRDefault="00931B44" w:rsidP="00A65192">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+R</m:t>
                  </m:r>
                </m:e>
              </m:d>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(10)</m:t>
          </m:r>
        </m:oMath>
      </m:oMathPara>
    </w:p>
    <w:p w:rsidR="00BF3056" w:rsidRPr="00BF3056" w:rsidRDefault="00931B44" w:rsidP="00BF3056">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11</m:t>
              </m:r>
            </m:e>
          </m:d>
        </m:oMath>
      </m:oMathPara>
    </w:p>
    <w:p w:rsidR="00BF3056" w:rsidRPr="00BF3056" w:rsidRDefault="00931B44" w:rsidP="00A65192">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m:t>
              </m:r>
            </m:sub>
          </m:sSub>
          <m:r>
            <w:rPr>
              <w:rFonts w:ascii="Cambria Math" w:eastAsia="Times New Roman" w:hAnsi="Cambria Math" w:cs="Times New Roman"/>
              <w:color w:val="000000"/>
              <w:sz w:val="24"/>
              <w:szCs w:val="24"/>
            </w:rPr>
            <m:t>=</m:t>
          </m:r>
          <m:d>
            <m:dPr>
              <m:ctrlPr>
                <w:rPr>
                  <w:rFonts w:ascii="Cambria Math" w:eastAsia="Times New Roman" w:hAnsi="Cambria Math" w:cs="Times New Roman"/>
                  <w:bCs/>
                  <w:i/>
                  <w:color w:val="000000"/>
                  <w:sz w:val="24"/>
                  <w:szCs w:val="24"/>
                </w:rPr>
              </m:ctrlPr>
            </m:dPr>
            <m:e>
              <m:r>
                <m:rPr>
                  <m:sty m:val="p"/>
                </m:rPr>
                <w:rPr>
                  <w:rFonts w:ascii="Cambria Math" w:eastAsia="Times New Roman" w:hAnsi="Cambria Math" w:cs="Times New Roman"/>
                  <w:color w:val="000000"/>
                  <w:sz w:val="24"/>
                  <w:szCs w:val="24"/>
                </w:rPr>
                <m:t>Ι</m:t>
              </m:r>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e>
          </m:d>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 xml:space="preserve">                   (12)</m:t>
          </m:r>
        </m:oMath>
      </m:oMathPara>
    </w:p>
    <w:p w:rsidR="00336264" w:rsidRPr="00336264" w:rsidRDefault="00336264" w:rsidP="0057635A">
      <w:pPr>
        <w:spacing w:line="240" w:lineRule="auto"/>
        <w:jc w:val="both"/>
        <w:rPr>
          <w:rFonts w:ascii="Times New Roman" w:eastAsia="Times New Roman" w:hAnsi="Times New Roman" w:cs="Times New Roman"/>
          <w:bCs/>
          <w:color w:val="000000"/>
          <w:sz w:val="24"/>
          <w:szCs w:val="24"/>
        </w:rPr>
      </w:pPr>
    </w:p>
    <w:p w:rsidR="00EA76F1" w:rsidRPr="00EA76F1" w:rsidRDefault="00EA76F1" w:rsidP="00EA76F1">
      <w:pPr>
        <w:spacing w:line="240" w:lineRule="auto"/>
        <w:jc w:val="both"/>
        <w:rPr>
          <w:rFonts w:ascii="Times New Roman" w:eastAsia="Times New Roman" w:hAnsi="Times New Roman" w:cs="Times New Roman"/>
          <w:bCs/>
          <w:color w:val="000000"/>
          <w:sz w:val="24"/>
          <w:szCs w:val="24"/>
        </w:rPr>
      </w:pPr>
      <w:r w:rsidRPr="00EA76F1">
        <w:rPr>
          <w:rFonts w:ascii="Times New Roman" w:eastAsia="Times New Roman" w:hAnsi="Times New Roman" w:cs="Times New Roman"/>
          <w:bCs/>
          <w:color w:val="000000"/>
          <w:sz w:val="24"/>
          <w:szCs w:val="24"/>
        </w:rPr>
        <w:t>where</w:t>
      </w:r>
    </w:p>
    <w:p w:rsidR="00EA76F1" w:rsidRPr="00EA76F1" w:rsidRDefault="00931B44"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oMath>
      <w:r w:rsidR="00EA76F1" w:rsidRPr="00EA76F1">
        <w:rPr>
          <w:rFonts w:ascii="Times New Roman" w:eastAsia="Times New Roman" w:hAnsi="Times New Roman" w:cs="Times New Roman"/>
          <w:bCs/>
          <w:color w:val="000000"/>
          <w:sz w:val="24"/>
          <w:szCs w:val="24"/>
        </w:rPr>
        <w:t xml:space="preserve">​ and </w:t>
      </w:r>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m:t>
            </m:r>
          </m:sub>
        </m:sSub>
      </m:oMath>
      <w:r w:rsidR="00EA76F1" w:rsidRPr="00EA76F1">
        <w:rPr>
          <w:rFonts w:ascii="Times New Roman" w:eastAsia="Times New Roman" w:hAnsi="Times New Roman" w:cs="Times New Roman"/>
          <w:bCs/>
          <w:color w:val="000000"/>
          <w:sz w:val="24"/>
          <w:szCs w:val="24"/>
        </w:rPr>
        <w:t>​ are prior and posterior state estimates,</w:t>
      </w:r>
    </w:p>
    <w:p w:rsidR="00EA76F1" w:rsidRPr="00EA76F1" w:rsidRDefault="00931B44"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oMath>
      <w:r w:rsidR="00EA76F1" w:rsidRPr="00EA76F1">
        <w:rPr>
          <w:rFonts w:ascii="Times New Roman" w:eastAsia="Times New Roman" w:hAnsi="Times New Roman" w:cs="Times New Roman"/>
          <w:bCs/>
          <w:color w:val="000000"/>
          <w:sz w:val="24"/>
          <w:szCs w:val="24"/>
        </w:rPr>
        <w:t xml:space="preserve">​ and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m:t>
            </m:r>
          </m:sub>
        </m:sSub>
        <m:r>
          <w:rPr>
            <w:rFonts w:ascii="Cambria Math" w:eastAsia="Times New Roman" w:hAnsi="Times New Roman" w:cs="Times New Roman"/>
            <w:color w:val="000000"/>
            <w:sz w:val="24"/>
            <w:szCs w:val="24"/>
          </w:rPr>
          <m:t xml:space="preserve"> </m:t>
        </m:r>
      </m:oMath>
      <w:r w:rsidR="00EA76F1" w:rsidRPr="00EA76F1">
        <w:rPr>
          <w:rFonts w:ascii="Times New Roman" w:eastAsia="Times New Roman" w:hAnsi="Times New Roman" w:cs="Times New Roman"/>
          <w:bCs/>
          <w:color w:val="000000"/>
          <w:sz w:val="24"/>
          <w:szCs w:val="24"/>
        </w:rPr>
        <w:t>are prediction and update covariances,</w:t>
      </w:r>
      <w:r w:rsidR="00EA76F1">
        <w:rPr>
          <w:rFonts w:ascii="Times New Roman" w:eastAsia="Times New Roman" w:hAnsi="Times New Roman" w:cs="Times New Roman"/>
          <w:bCs/>
          <w:color w:val="000000"/>
          <w:sz w:val="24"/>
          <w:szCs w:val="24"/>
        </w:rPr>
        <w:t xml:space="preserve"> </w:t>
      </w:r>
    </w:p>
    <w:p w:rsidR="00EA76F1" w:rsidRPr="00EA76F1" w:rsidRDefault="00931B44"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oMath>
      <w:r w:rsidR="00EA76F1" w:rsidRPr="00EA76F1">
        <w:rPr>
          <w:rFonts w:ascii="Times New Roman" w:eastAsia="Times New Roman" w:hAnsi="Times New Roman" w:cs="Times New Roman"/>
          <w:bCs/>
          <w:color w:val="000000"/>
          <w:sz w:val="24"/>
          <w:szCs w:val="24"/>
        </w:rPr>
        <w:t xml:space="preserve"> is the Kalman gain determining the weight of new information from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oMath>
      <w:r w:rsidR="00EA76F1" w:rsidRPr="00EA76F1">
        <w:rPr>
          <w:rFonts w:ascii="Times New Roman" w:eastAsia="Times New Roman" w:hAnsi="Times New Roman" w:cs="Times New Roman"/>
          <w:bCs/>
          <w:color w:val="000000"/>
          <w:sz w:val="24"/>
          <w:szCs w:val="24"/>
        </w:rPr>
        <w:t>.</w:t>
      </w:r>
    </w:p>
    <w:p w:rsidR="00EA76F1" w:rsidRPr="00EA76F1" w:rsidRDefault="00EA76F1" w:rsidP="00EA76F1">
      <w:pPr>
        <w:spacing w:line="240" w:lineRule="auto"/>
        <w:jc w:val="both"/>
        <w:rPr>
          <w:rFonts w:ascii="Times New Roman" w:eastAsia="Times New Roman" w:hAnsi="Times New Roman" w:cs="Times New Roman"/>
          <w:bCs/>
          <w:color w:val="000000"/>
          <w:sz w:val="24"/>
          <w:szCs w:val="24"/>
        </w:rPr>
      </w:pPr>
      <w:r w:rsidRPr="00EA76F1">
        <w:rPr>
          <w:rFonts w:ascii="Times New Roman" w:eastAsia="Times New Roman" w:hAnsi="Times New Roman" w:cs="Times New Roman"/>
          <w:bCs/>
          <w:color w:val="000000"/>
          <w:sz w:val="24"/>
          <w:szCs w:val="24"/>
        </w:rPr>
        <w:t xml:space="preserve">This recursive algorithm refines parameter estimates at each time step, enabling time-varying inference, structural-break detection, and multi-step forecasting (Durbin &amp; Koopman, 2012; </w:t>
      </w:r>
      <w:proofErr w:type="spellStart"/>
      <w:r w:rsidRPr="00EA76F1">
        <w:rPr>
          <w:rFonts w:ascii="Times New Roman" w:eastAsia="Times New Roman" w:hAnsi="Times New Roman" w:cs="Times New Roman"/>
          <w:bCs/>
          <w:color w:val="000000"/>
          <w:sz w:val="24"/>
          <w:szCs w:val="24"/>
        </w:rPr>
        <w:t>Commandeur</w:t>
      </w:r>
      <w:proofErr w:type="spellEnd"/>
      <w:r w:rsidRPr="00EA76F1">
        <w:rPr>
          <w:rFonts w:ascii="Times New Roman" w:eastAsia="Times New Roman" w:hAnsi="Times New Roman" w:cs="Times New Roman"/>
          <w:bCs/>
          <w:color w:val="000000"/>
          <w:sz w:val="24"/>
          <w:szCs w:val="24"/>
        </w:rPr>
        <w:t xml:space="preserve"> &amp; Koopman, 2007)</w:t>
      </w:r>
      <w:r w:rsidR="00E31935">
        <w:rPr>
          <w:rFonts w:ascii="Times New Roman" w:eastAsia="Times New Roman" w:hAnsi="Times New Roman" w:cs="Times New Roman"/>
          <w:bCs/>
          <w:color w:val="000000"/>
          <w:sz w:val="24"/>
          <w:szCs w:val="24"/>
        </w:rPr>
        <w:t>.</w:t>
      </w:r>
    </w:p>
    <w:p w:rsidR="00EA76F1" w:rsidRDefault="000C0FA7" w:rsidP="009C611A">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Hence, </w:t>
      </w:r>
      <w:r w:rsidRPr="000C0FA7">
        <w:rPr>
          <w:rFonts w:ascii="Times New Roman" w:eastAsia="Times New Roman" w:hAnsi="Times New Roman" w:cs="Times New Roman"/>
          <w:bCs/>
          <w:color w:val="000000"/>
          <w:sz w:val="24"/>
          <w:szCs w:val="24"/>
        </w:rPr>
        <w:t xml:space="preserve">the model formulation, stability analysis, and Kalman filtering framework ensure that the TV-SCVARMA can track dynamic relationships while remaining statistically coherent and computationally efficient. By updating parameters recursively, the approach accommodates regime shifts and improves forecasting accuracy relative to static VARMA models. This provides a robust platform for </w:t>
      </w:r>
      <w:proofErr w:type="spellStart"/>
      <w:r w:rsidRPr="000C0FA7">
        <w:rPr>
          <w:rFonts w:ascii="Times New Roman" w:eastAsia="Times New Roman" w:hAnsi="Times New Roman" w:cs="Times New Roman"/>
          <w:bCs/>
          <w:color w:val="000000"/>
          <w:sz w:val="24"/>
          <w:szCs w:val="24"/>
        </w:rPr>
        <w:t>analysing</w:t>
      </w:r>
      <w:proofErr w:type="spellEnd"/>
      <w:r w:rsidRPr="000C0FA7">
        <w:rPr>
          <w:rFonts w:ascii="Times New Roman" w:eastAsia="Times New Roman" w:hAnsi="Times New Roman" w:cs="Times New Roman"/>
          <w:bCs/>
          <w:color w:val="000000"/>
          <w:sz w:val="24"/>
          <w:szCs w:val="24"/>
        </w:rPr>
        <w:t xml:space="preserve"> macroeconomic </w:t>
      </w:r>
      <w:proofErr w:type="spellStart"/>
      <w:r w:rsidRPr="000C0FA7">
        <w:rPr>
          <w:rFonts w:ascii="Times New Roman" w:eastAsia="Times New Roman" w:hAnsi="Times New Roman" w:cs="Times New Roman"/>
          <w:bCs/>
          <w:color w:val="000000"/>
          <w:sz w:val="24"/>
          <w:szCs w:val="24"/>
        </w:rPr>
        <w:t>behaviour</w:t>
      </w:r>
      <w:proofErr w:type="spellEnd"/>
      <w:r w:rsidRPr="000C0FA7">
        <w:rPr>
          <w:rFonts w:ascii="Times New Roman" w:eastAsia="Times New Roman" w:hAnsi="Times New Roman" w:cs="Times New Roman"/>
          <w:bCs/>
          <w:color w:val="000000"/>
          <w:sz w:val="24"/>
          <w:szCs w:val="24"/>
        </w:rPr>
        <w:t xml:space="preserve"> under uncertainty and structural evolution.</w:t>
      </w:r>
    </w:p>
    <w:p w:rsidR="000E5E51" w:rsidRDefault="000E5E51" w:rsidP="00FD7367">
      <w:pPr>
        <w:jc w:val="both"/>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lastRenderedPageBreak/>
        <w:t>3. Result</w:t>
      </w:r>
      <w:r w:rsidR="002175A7" w:rsidRPr="0060697A">
        <w:rPr>
          <w:rFonts w:ascii="Times New Roman" w:eastAsia="Times New Roman" w:hAnsi="Times New Roman" w:cs="Times New Roman"/>
          <w:b/>
          <w:bCs/>
          <w:color w:val="000000"/>
          <w:sz w:val="24"/>
          <w:szCs w:val="24"/>
        </w:rPr>
        <w:t>s</w:t>
      </w:r>
      <w:r w:rsidRPr="0060697A">
        <w:rPr>
          <w:rFonts w:ascii="Times New Roman" w:eastAsia="Times New Roman" w:hAnsi="Times New Roman" w:cs="Times New Roman"/>
          <w:b/>
          <w:bCs/>
          <w:color w:val="000000"/>
          <w:sz w:val="24"/>
          <w:szCs w:val="24"/>
        </w:rPr>
        <w:t xml:space="preserve"> and Discussion </w:t>
      </w:r>
    </w:p>
    <w:p w:rsidR="00F5636F" w:rsidRPr="0060697A" w:rsidRDefault="0060697A" w:rsidP="00F5636F">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F5636F" w:rsidRPr="0060697A">
        <w:rPr>
          <w:rFonts w:ascii="Times New Roman" w:eastAsia="Times New Roman" w:hAnsi="Times New Roman" w:cs="Times New Roman"/>
          <w:b/>
          <w:bCs/>
          <w:color w:val="000000"/>
          <w:sz w:val="24"/>
          <w:szCs w:val="24"/>
        </w:rPr>
        <w:t xml:space="preserve">.1 Result of the Analysis </w:t>
      </w:r>
    </w:p>
    <w:p w:rsidR="00841AC5" w:rsidRPr="006D01CE" w:rsidRDefault="00A874F8" w:rsidP="006D01CE">
      <w:pPr>
        <w:jc w:val="both"/>
        <w:rPr>
          <w:rFonts w:ascii="Times New Roman" w:hAnsi="Times New Roman" w:cs="Times New Roman"/>
          <w:sz w:val="24"/>
          <w:lang w:eastAsia="zh-CN"/>
        </w:rPr>
      </w:pPr>
      <w:bookmarkStart w:id="1" w:name="_Toc207984909"/>
      <w:r w:rsidRPr="006D01CE">
        <w:rPr>
          <w:rFonts w:ascii="Times New Roman" w:hAnsi="Times New Roman" w:cs="Times New Roman"/>
          <w:sz w:val="24"/>
          <w:lang w:eastAsia="zh-CN"/>
        </w:rPr>
        <w:t xml:space="preserve">This section presents the empirical results evaluating the forecasting performance of competing macroeconomic models, with particular attention to the proposed Time-Varying Scalar Component VARMA (TV-SCVARMA) framework. Forecast accuracy is assessed using standard errors and Root Mean Squared Errors (RMSE) across short-, medium-, and long-run horizons. By comparing the </w:t>
      </w:r>
      <w:proofErr w:type="gramStart"/>
      <w:r w:rsidRPr="006D01CE">
        <w:rPr>
          <w:rFonts w:ascii="Times New Roman" w:hAnsi="Times New Roman" w:cs="Times New Roman"/>
          <w:sz w:val="24"/>
          <w:lang w:eastAsia="zh-CN"/>
        </w:rPr>
        <w:t>VAR(</w:t>
      </w:r>
      <w:proofErr w:type="gramEnd"/>
      <w:r w:rsidRPr="006D01CE">
        <w:rPr>
          <w:rFonts w:ascii="Times New Roman" w:hAnsi="Times New Roman" w:cs="Times New Roman"/>
          <w:sz w:val="24"/>
          <w:lang w:eastAsia="zh-CN"/>
        </w:rPr>
        <w:t>1), Rolling VAR(1), VARMA(1,1), and TV-SCVAR approaches, the analysis demonstrates how parameter stability and convergence properties influence predictive reliability in dynamic macroeconomic environments.</w:t>
      </w:r>
    </w:p>
    <w:bookmarkEnd w:id="1"/>
    <w:p w:rsidR="00F50F31" w:rsidRDefault="00F50F31" w:rsidP="00A874F8">
      <w:pPr>
        <w:jc w:val="both"/>
        <w:rPr>
          <w:rFonts w:ascii="Times New Roman" w:eastAsia="SimSun" w:hAnsi="Times New Roman" w:cs="Times New Roman"/>
          <w:bCs/>
          <w:color w:val="000000"/>
          <w:kern w:val="32"/>
          <w:sz w:val="24"/>
          <w:szCs w:val="32"/>
          <w:lang w:val="en-GB" w:eastAsia="zh-CN"/>
        </w:rPr>
      </w:pPr>
    </w:p>
    <w:p w:rsidR="00BE6944" w:rsidRPr="006D01CE" w:rsidRDefault="003670EB" w:rsidP="00A874F8">
      <w:pPr>
        <w:jc w:val="both"/>
        <w:rPr>
          <w:rFonts w:ascii="Times New Roman" w:eastAsia="SimSun" w:hAnsi="Times New Roman" w:cs="Times New Roman"/>
          <w:b/>
          <w:bCs/>
          <w:color w:val="000000"/>
          <w:kern w:val="32"/>
          <w:sz w:val="24"/>
          <w:szCs w:val="32"/>
          <w:lang w:val="en-GB" w:eastAsia="zh-CN"/>
        </w:rPr>
      </w:pPr>
      <w:r w:rsidRPr="006D01CE">
        <w:rPr>
          <w:rFonts w:ascii="Times New Roman" w:eastAsia="SimSun" w:hAnsi="Times New Roman" w:cs="Times New Roman"/>
          <w:b/>
          <w:bCs/>
          <w:color w:val="000000"/>
          <w:kern w:val="32"/>
          <w:sz w:val="24"/>
          <w:szCs w:val="32"/>
          <w:lang w:val="en-GB" w:eastAsia="zh-CN"/>
        </w:rPr>
        <w:t>Table 1</w:t>
      </w:r>
      <w:r w:rsidR="00BE6944" w:rsidRPr="006D01CE">
        <w:rPr>
          <w:rFonts w:ascii="Times New Roman" w:eastAsia="SimSun" w:hAnsi="Times New Roman" w:cs="Times New Roman"/>
          <w:b/>
          <w:bCs/>
          <w:color w:val="000000"/>
          <w:kern w:val="32"/>
          <w:sz w:val="24"/>
          <w:szCs w:val="32"/>
          <w:lang w:val="en-GB" w:eastAsia="zh-CN"/>
        </w:rPr>
        <w:t xml:space="preserve">. </w:t>
      </w:r>
      <w:proofErr w:type="gramStart"/>
      <w:r w:rsidR="00BE6944" w:rsidRPr="006D01CE">
        <w:rPr>
          <w:rFonts w:ascii="Times New Roman" w:eastAsia="SimSun" w:hAnsi="Times New Roman" w:cs="Times New Roman"/>
          <w:b/>
          <w:bCs/>
          <w:color w:val="000000"/>
          <w:kern w:val="32"/>
          <w:sz w:val="24"/>
          <w:szCs w:val="32"/>
          <w:lang w:val="en-GB" w:eastAsia="zh-CN"/>
        </w:rPr>
        <w:t>VARMA(</w:t>
      </w:r>
      <w:proofErr w:type="gramEnd"/>
      <w:r w:rsidR="00BE6944" w:rsidRPr="006D01CE">
        <w:rPr>
          <w:rFonts w:ascii="Times New Roman" w:eastAsia="SimSun" w:hAnsi="Times New Roman" w:cs="Times New Roman"/>
          <w:b/>
          <w:bCs/>
          <w:color w:val="000000"/>
          <w:kern w:val="32"/>
          <w:sz w:val="24"/>
          <w:szCs w:val="32"/>
          <w:lang w:val="en-GB" w:eastAsia="zh-CN"/>
        </w:rPr>
        <w:t>1,1) Forecast Standard Errors (origin = 103)</w:t>
      </w:r>
      <w:r w:rsidR="00A874F8" w:rsidRPr="006D01CE">
        <w:rPr>
          <w:rFonts w:ascii="Times New Roman" w:eastAsia="SimSun" w:hAnsi="Times New Roman" w:cs="Times New Roman"/>
          <w:b/>
          <w:bCs/>
          <w:color w:val="000000"/>
          <w:kern w:val="32"/>
          <w:sz w:val="24"/>
          <w:szCs w:val="32"/>
          <w:lang w:val="en-GB" w:eastAsia="zh-CN"/>
        </w:rPr>
        <w:t xml:space="preserve">. </w:t>
      </w:r>
    </w:p>
    <w:tbl>
      <w:tblPr>
        <w:tblStyle w:val="TableGrid"/>
        <w:tblW w:w="9372" w:type="dxa"/>
        <w:tblLook w:val="04A0" w:firstRow="1" w:lastRow="0" w:firstColumn="1" w:lastColumn="0" w:noHBand="0" w:noVBand="1"/>
      </w:tblPr>
      <w:tblGrid>
        <w:gridCol w:w="1705"/>
        <w:gridCol w:w="1419"/>
        <w:gridCol w:w="1562"/>
        <w:gridCol w:w="1562"/>
        <w:gridCol w:w="1562"/>
        <w:gridCol w:w="1562"/>
      </w:tblGrid>
      <w:tr w:rsidR="00BE6944" w:rsidRPr="001F20BF" w:rsidTr="006D01CE">
        <w:trPr>
          <w:trHeight w:val="527"/>
        </w:trPr>
        <w:tc>
          <w:tcPr>
            <w:tcW w:w="170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Horizon (</w:t>
            </w:r>
            <w:proofErr w:type="spellStart"/>
            <w:r w:rsidRPr="006D01CE">
              <w:rPr>
                <w:rFonts w:ascii="Times New Roman" w:eastAsia="SimSun" w:hAnsi="Times New Roman" w:cs="Times New Roman"/>
                <w:b/>
                <w:bCs/>
                <w:color w:val="000000"/>
                <w:kern w:val="32"/>
                <w:sz w:val="24"/>
                <w:szCs w:val="32"/>
                <w:lang w:eastAsia="zh-CN"/>
              </w:rPr>
              <w:t>t+h</w:t>
            </w:r>
            <w:proofErr w:type="spellEnd"/>
            <w:r w:rsidRPr="006D01CE">
              <w:rPr>
                <w:rFonts w:ascii="Times New Roman" w:eastAsia="SimSun" w:hAnsi="Times New Roman" w:cs="Times New Roman"/>
                <w:b/>
                <w:bCs/>
                <w:color w:val="000000"/>
                <w:kern w:val="32"/>
                <w:sz w:val="24"/>
                <w:szCs w:val="32"/>
                <w:lang w:eastAsia="zh-CN"/>
              </w:rPr>
              <w:t>)</w:t>
            </w:r>
          </w:p>
        </w:tc>
        <w:tc>
          <w:tcPr>
            <w:tcW w:w="1419"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M1_g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M2_g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spellStart"/>
            <w:r w:rsidRPr="006D01CE">
              <w:rPr>
                <w:rFonts w:ascii="Times New Roman" w:eastAsia="SimSun" w:hAnsi="Times New Roman" w:cs="Times New Roman"/>
                <w:b/>
                <w:bCs/>
                <w:color w:val="000000"/>
                <w:kern w:val="32"/>
                <w:sz w:val="24"/>
                <w:szCs w:val="32"/>
                <w:lang w:eastAsia="zh-CN"/>
              </w:rPr>
              <w:t>RGDP_g</w:t>
            </w:r>
            <w:proofErr w:type="spellEnd"/>
            <w:r w:rsidRPr="006D01CE">
              <w:rPr>
                <w:rFonts w:ascii="Times New Roman" w:eastAsia="SimSun" w:hAnsi="Times New Roman" w:cs="Times New Roman"/>
                <w:b/>
                <w:bCs/>
                <w:color w:val="000000"/>
                <w:kern w:val="32"/>
                <w:sz w:val="24"/>
                <w:szCs w:val="32"/>
                <w:lang w:eastAsia="zh-CN"/>
              </w:rPr>
              <w:t xml:space="preserve">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spellStart"/>
            <w:r w:rsidRPr="006D01CE">
              <w:rPr>
                <w:rFonts w:ascii="Times New Roman" w:eastAsia="SimSun" w:hAnsi="Times New Roman" w:cs="Times New Roman"/>
                <w:b/>
                <w:bCs/>
                <w:color w:val="000000"/>
                <w:kern w:val="32"/>
                <w:sz w:val="24"/>
                <w:szCs w:val="32"/>
                <w:lang w:eastAsia="zh-CN"/>
              </w:rPr>
              <w:t>EXR_g</w:t>
            </w:r>
            <w:proofErr w:type="spellEnd"/>
            <w:r w:rsidRPr="006D01CE">
              <w:rPr>
                <w:rFonts w:ascii="Times New Roman" w:eastAsia="SimSun" w:hAnsi="Times New Roman" w:cs="Times New Roman"/>
                <w:b/>
                <w:bCs/>
                <w:color w:val="000000"/>
                <w:kern w:val="32"/>
                <w:sz w:val="24"/>
                <w:szCs w:val="32"/>
                <w:lang w:eastAsia="zh-CN"/>
              </w:rPr>
              <w:t xml:space="preserve">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INF SE</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t+1</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7.535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6.264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30.99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6.311</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5.372</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t+2</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7.714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6.519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33.43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6.683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7.961</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t+3</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7.756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6.619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33.63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6.875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9.665</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t+4</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7.783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33.84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6.916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10.891</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t+5</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6.672</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33.89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6.938</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11.78</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t+6</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7.813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6.689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33.92</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6.947</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12.453</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t+7</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7.824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6.704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12.967</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t+8</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7.833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6.716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6.953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13.361</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Table 1</w:t>
      </w:r>
      <w:r w:rsidR="00BE6944" w:rsidRPr="001F20BF">
        <w:rPr>
          <w:rFonts w:ascii="Times New Roman" w:eastAsia="SimSun" w:hAnsi="Times New Roman" w:cs="Times New Roman"/>
          <w:bCs/>
          <w:color w:val="000000"/>
          <w:kern w:val="32"/>
          <w:sz w:val="24"/>
          <w:szCs w:val="32"/>
          <w:lang w:val="en-GB" w:eastAsia="zh-CN"/>
        </w:rPr>
        <w:t xml:space="preserve"> presents the forecast standard errors for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across an eight-quarter horizon. The results show that forecast uncertainty increases gradually over time, consistent with the widening confidence bands typically seen in time-series forecasting. For monetary aggregates (M1_g and M2_g), standard errors remain relatively low and stable (around 7–8 and 6–7, respectively), suggesting reliable forecasts for money growth. In contrast, real GDP growth (</w:t>
      </w:r>
      <w:proofErr w:type="spellStart"/>
      <w:r w:rsidR="00BE6944" w:rsidRPr="001F20BF">
        <w:rPr>
          <w:rFonts w:ascii="Times New Roman" w:eastAsia="SimSun" w:hAnsi="Times New Roman" w:cs="Times New Roman"/>
          <w:bCs/>
          <w:color w:val="000000"/>
          <w:kern w:val="32"/>
          <w:sz w:val="24"/>
          <w:szCs w:val="32"/>
          <w:lang w:val="en-GB" w:eastAsia="zh-CN"/>
        </w:rPr>
        <w:t>RGDP_g</w:t>
      </w:r>
      <w:proofErr w:type="spellEnd"/>
      <w:r w:rsidR="00BE6944" w:rsidRPr="001F20BF">
        <w:rPr>
          <w:rFonts w:ascii="Times New Roman" w:eastAsia="SimSun" w:hAnsi="Times New Roman" w:cs="Times New Roman"/>
          <w:bCs/>
          <w:color w:val="000000"/>
          <w:kern w:val="32"/>
          <w:sz w:val="24"/>
          <w:szCs w:val="32"/>
          <w:lang w:val="en-GB" w:eastAsia="zh-CN"/>
        </w:rPr>
        <w:t>) exhibits very large forecast errors (rising from 30.99 at t+1 to 33.96 at t+8), reflecting substantial volatility and weaker predictability in output dynamics. Exchange rate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xml:space="preserve">) forecast errors are moderate (6.3–7.0), while inflation (INF) shows steadily rising uncertainty, from 5.4 at t+1 to 13.4 at t+8, </w:t>
      </w:r>
      <w:proofErr w:type="spellStart"/>
      <w:r w:rsidR="00BE6944" w:rsidRPr="001F20BF">
        <w:rPr>
          <w:rFonts w:ascii="Times New Roman" w:eastAsia="SimSun" w:hAnsi="Times New Roman" w:cs="Times New Roman"/>
          <w:bCs/>
          <w:color w:val="000000"/>
          <w:kern w:val="32"/>
          <w:sz w:val="24"/>
          <w:szCs w:val="32"/>
          <w:lang w:val="en-GB" w:eastAsia="zh-CN"/>
        </w:rPr>
        <w:t>signaling</w:t>
      </w:r>
      <w:proofErr w:type="spellEnd"/>
      <w:r w:rsidR="00BE6944" w:rsidRPr="001F20BF">
        <w:rPr>
          <w:rFonts w:ascii="Times New Roman" w:eastAsia="SimSun" w:hAnsi="Times New Roman" w:cs="Times New Roman"/>
          <w:bCs/>
          <w:color w:val="000000"/>
          <w:kern w:val="32"/>
          <w:sz w:val="24"/>
          <w:szCs w:val="32"/>
          <w:lang w:val="en-GB" w:eastAsia="zh-CN"/>
        </w:rPr>
        <w:t xml:space="preserve"> growing unpredictability in price movements over longer horizons. The implication is that policy forecasts for money supply and exchange rate may be more reliable in the medium term, while output and inflation projections should be treated with caution, emphasizing the need for structural reforms and robust policy frameworks to reduce volatility in these critical sectors.</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lastRenderedPageBreak/>
        <w:t>Table 2</w:t>
      </w:r>
      <w:r w:rsidR="00BE6944" w:rsidRPr="00BE6944">
        <w:rPr>
          <w:rFonts w:ascii="Times New Roman" w:eastAsia="SimSun" w:hAnsi="Times New Roman" w:cs="Times New Roman"/>
          <w:b/>
          <w:bCs/>
          <w:color w:val="000000"/>
          <w:kern w:val="32"/>
          <w:sz w:val="24"/>
          <w:szCs w:val="32"/>
          <w:lang w:val="en-GB" w:eastAsia="zh-CN"/>
        </w:rPr>
        <w:t xml:space="preserve">. In-Sample Root Mean Squared Errors (RMSE) for </w:t>
      </w:r>
      <w:proofErr w:type="gramStart"/>
      <w:r w:rsidR="00BE6944" w:rsidRPr="00BE6944">
        <w:rPr>
          <w:rFonts w:ascii="Times New Roman" w:eastAsia="SimSun" w:hAnsi="Times New Roman" w:cs="Times New Roman"/>
          <w:b/>
          <w:bCs/>
          <w:color w:val="000000"/>
          <w:kern w:val="32"/>
          <w:sz w:val="24"/>
          <w:szCs w:val="32"/>
          <w:lang w:val="en-GB" w:eastAsia="zh-CN"/>
        </w:rPr>
        <w:t>VARMA(</w:t>
      </w:r>
      <w:proofErr w:type="gramEnd"/>
      <w:r w:rsidR="00BE6944" w:rsidRPr="00BE6944">
        <w:rPr>
          <w:rFonts w:ascii="Times New Roman" w:eastAsia="SimSun" w:hAnsi="Times New Roman" w:cs="Times New Roman"/>
          <w:b/>
          <w:bCs/>
          <w:color w:val="000000"/>
          <w:kern w:val="32"/>
          <w:sz w:val="24"/>
          <w:szCs w:val="32"/>
          <w:lang w:val="en-GB" w:eastAsia="zh-CN"/>
        </w:rPr>
        <w:t>1,1) Model</w:t>
      </w:r>
    </w:p>
    <w:tbl>
      <w:tblPr>
        <w:tblStyle w:val="TableGrid"/>
        <w:tblW w:w="3865" w:type="dxa"/>
        <w:tblLook w:val="04A0" w:firstRow="1" w:lastRow="0" w:firstColumn="1" w:lastColumn="0" w:noHBand="0" w:noVBand="1"/>
      </w:tblPr>
      <w:tblGrid>
        <w:gridCol w:w="1975"/>
        <w:gridCol w:w="1890"/>
      </w:tblGrid>
      <w:tr w:rsidR="00BE6944" w:rsidRPr="006D01CE" w:rsidTr="006D01CE">
        <w:trPr>
          <w:trHeight w:val="538"/>
        </w:trPr>
        <w:tc>
          <w:tcPr>
            <w:tcW w:w="197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890"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RMSE</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7.0191</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5.8375</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42.3381</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4.7586</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2.377</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Table 2</w:t>
      </w:r>
      <w:r w:rsidR="00BE6944" w:rsidRPr="001F20BF">
        <w:rPr>
          <w:rFonts w:ascii="Times New Roman" w:eastAsia="SimSun" w:hAnsi="Times New Roman" w:cs="Times New Roman"/>
          <w:bCs/>
          <w:color w:val="000000"/>
          <w:kern w:val="32"/>
          <w:sz w:val="24"/>
          <w:szCs w:val="32"/>
          <w:lang w:val="en-GB" w:eastAsia="zh-CN"/>
        </w:rPr>
        <w:t xml:space="preserve"> reports the in-sample Root Mean Squared Errors (RMSE) for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showing the accuracy of fitted values relative to observed series. Inflation (INF) has the lowest RMSE (2.377), followed by exchange rate growth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4.7586) and money supply growth (M2_g: 5.8375, M1_g: 7.0191), indicating strong predictive precision for these series within the sample. In contrast, real GDP growth (</w:t>
      </w:r>
      <w:proofErr w:type="spellStart"/>
      <w:r w:rsidR="00BE6944" w:rsidRPr="001F20BF">
        <w:rPr>
          <w:rFonts w:ascii="Times New Roman" w:eastAsia="SimSun" w:hAnsi="Times New Roman" w:cs="Times New Roman"/>
          <w:bCs/>
          <w:color w:val="000000"/>
          <w:kern w:val="32"/>
          <w:sz w:val="24"/>
          <w:szCs w:val="32"/>
          <w:lang w:val="en-GB" w:eastAsia="zh-CN"/>
        </w:rPr>
        <w:t>RGDP_g</w:t>
      </w:r>
      <w:proofErr w:type="spellEnd"/>
      <w:r w:rsidR="00BE6944" w:rsidRPr="001F20BF">
        <w:rPr>
          <w:rFonts w:ascii="Times New Roman" w:eastAsia="SimSun" w:hAnsi="Times New Roman" w:cs="Times New Roman"/>
          <w:bCs/>
          <w:color w:val="000000"/>
          <w:kern w:val="32"/>
          <w:sz w:val="24"/>
          <w:szCs w:val="32"/>
          <w:lang w:val="en-GB" w:eastAsia="zh-CN"/>
        </w:rPr>
        <w:t xml:space="preserve">) records a very high RMSE (42.3381), reflecting substantial volatility and limited predictive accuracy. This suggests that while the VARMA model effectively captures the dynamics of monetary aggregates, exchange rate, and inflation, it struggles with the real sector due to structural shocks or measurement variability. The implication is that forecasts and policy simulations based on this model are more reliable for monetary and nominal indicators but should be supplemented with additional models or structural approaches when </w:t>
      </w:r>
      <w:proofErr w:type="spellStart"/>
      <w:r w:rsidR="00BE6944" w:rsidRPr="001F20BF">
        <w:rPr>
          <w:rFonts w:ascii="Times New Roman" w:eastAsia="SimSun" w:hAnsi="Times New Roman" w:cs="Times New Roman"/>
          <w:bCs/>
          <w:color w:val="000000"/>
          <w:kern w:val="32"/>
          <w:sz w:val="24"/>
          <w:szCs w:val="32"/>
          <w:lang w:val="en-GB" w:eastAsia="zh-CN"/>
        </w:rPr>
        <w:t>analyzing</w:t>
      </w:r>
      <w:proofErr w:type="spellEnd"/>
      <w:r w:rsidR="00BE6944" w:rsidRPr="001F20BF">
        <w:rPr>
          <w:rFonts w:ascii="Times New Roman" w:eastAsia="SimSun" w:hAnsi="Times New Roman" w:cs="Times New Roman"/>
          <w:bCs/>
          <w:color w:val="000000"/>
          <w:kern w:val="32"/>
          <w:sz w:val="24"/>
          <w:szCs w:val="32"/>
          <w:lang w:val="en-GB" w:eastAsia="zh-CN"/>
        </w:rPr>
        <w:t xml:space="preserve"> output dynamics.</w:t>
      </w:r>
    </w:p>
    <w:p w:rsidR="003670EB" w:rsidRDefault="003670EB" w:rsidP="00BE6944">
      <w:pPr>
        <w:jc w:val="both"/>
        <w:rPr>
          <w:rFonts w:ascii="Times New Roman" w:eastAsia="SimSun" w:hAnsi="Times New Roman" w:cs="Times New Roman"/>
          <w:b/>
          <w:bCs/>
          <w:color w:val="000000"/>
          <w:kern w:val="32"/>
          <w:sz w:val="24"/>
          <w:szCs w:val="32"/>
          <w:lang w:val="en-GB" w:eastAsia="zh-CN"/>
        </w:rPr>
      </w:pP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3</w:t>
      </w:r>
      <w:r w:rsidR="00BE6944" w:rsidRPr="00BE6944">
        <w:rPr>
          <w:rFonts w:ascii="Times New Roman" w:eastAsia="SimSun" w:hAnsi="Times New Roman" w:cs="Times New Roman"/>
          <w:b/>
          <w:bCs/>
          <w:color w:val="000000"/>
          <w:kern w:val="32"/>
          <w:sz w:val="24"/>
          <w:szCs w:val="32"/>
          <w:lang w:val="en-GB" w:eastAsia="zh-CN"/>
        </w:rPr>
        <w:t>. RMSE Comparison across Models (h = 1)</w:t>
      </w:r>
    </w:p>
    <w:tbl>
      <w:tblPr>
        <w:tblStyle w:val="TableGrid"/>
        <w:tblW w:w="9171" w:type="dxa"/>
        <w:tblLook w:val="04A0" w:firstRow="1" w:lastRow="0" w:firstColumn="1" w:lastColumn="0" w:noHBand="0" w:noVBand="1"/>
      </w:tblPr>
      <w:tblGrid>
        <w:gridCol w:w="1915"/>
        <w:gridCol w:w="1441"/>
        <w:gridCol w:w="1441"/>
        <w:gridCol w:w="2297"/>
        <w:gridCol w:w="2077"/>
      </w:tblGrid>
      <w:tr w:rsidR="00BE6944" w:rsidRPr="001F20BF" w:rsidTr="009912EA">
        <w:trPr>
          <w:trHeight w:val="1082"/>
        </w:trPr>
        <w:tc>
          <w:tcPr>
            <w:tcW w:w="191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44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144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 xml:space="preserve">Rolling </w:t>
            </w: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2297"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VARMA(</w:t>
            </w:r>
            <w:proofErr w:type="gramEnd"/>
            <w:r w:rsidRPr="006D01CE">
              <w:rPr>
                <w:rFonts w:ascii="Times New Roman" w:eastAsia="SimSun" w:hAnsi="Times New Roman" w:cs="Times New Roman"/>
                <w:b/>
                <w:bCs/>
                <w:color w:val="000000"/>
                <w:kern w:val="32"/>
                <w:sz w:val="24"/>
                <w:szCs w:val="32"/>
                <w:lang w:eastAsia="zh-CN"/>
              </w:rPr>
              <w:t>1,1)</w:t>
            </w:r>
          </w:p>
        </w:tc>
        <w:tc>
          <w:tcPr>
            <w:tcW w:w="2077"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10.4</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10.7</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10.4</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ab/>
            </w:r>
            <w:r w:rsidRPr="001F20BF">
              <w:rPr>
                <w:rFonts w:ascii="Times New Roman" w:eastAsia="SimSun" w:hAnsi="Times New Roman" w:cs="Times New Roman"/>
                <w:bCs/>
                <w:color w:val="000000"/>
                <w:kern w:val="32"/>
                <w:sz w:val="24"/>
                <w:szCs w:val="32"/>
                <w:lang w:eastAsia="zh-CN"/>
              </w:rPr>
              <w:tab/>
              <w:t>6.26</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6.91</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6.26</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9.38</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9.41</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9.38</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7.38</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8.09</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7.38</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41.4</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44.8</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41.4</w:t>
            </w:r>
          </w:p>
        </w:tc>
      </w:tr>
    </w:tbl>
    <w:p w:rsidR="003670EB" w:rsidRDefault="003670EB"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The results in Table 3</w:t>
      </w:r>
      <w:r w:rsidR="00BE6944" w:rsidRPr="001F20BF">
        <w:rPr>
          <w:rFonts w:ascii="Times New Roman" w:eastAsia="SimSun" w:hAnsi="Times New Roman" w:cs="Times New Roman"/>
          <w:bCs/>
          <w:color w:val="000000"/>
          <w:kern w:val="32"/>
          <w:sz w:val="24"/>
          <w:szCs w:val="32"/>
          <w:lang w:val="en-GB" w:eastAsia="zh-CN"/>
        </w:rPr>
        <w:t xml:space="preserve"> show that at the one-quarter forecast horizon, the TV-SCVAR (proposed) model performs identically to the benchmark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model across all variables, yielding the </w:t>
      </w:r>
      <w:r w:rsidR="00BE6944" w:rsidRPr="001F20BF">
        <w:rPr>
          <w:rFonts w:ascii="Times New Roman" w:eastAsia="SimSun" w:hAnsi="Times New Roman" w:cs="Times New Roman"/>
          <w:bCs/>
          <w:color w:val="000000"/>
          <w:kern w:val="32"/>
          <w:sz w:val="24"/>
          <w:szCs w:val="32"/>
          <w:lang w:val="en-GB" w:eastAsia="zh-CN"/>
        </w:rPr>
        <w:lastRenderedPageBreak/>
        <w:t xml:space="preserve">lowest RMSEs relative to the Rolling VAR(1) and the unstable VARMA(1,1) (which returned </w:t>
      </w:r>
      <w:proofErr w:type="spellStart"/>
      <w:r w:rsidR="00BE6944" w:rsidRPr="001F20BF">
        <w:rPr>
          <w:rFonts w:ascii="Times New Roman" w:eastAsia="SimSun" w:hAnsi="Times New Roman" w:cs="Times New Roman"/>
          <w:bCs/>
          <w:color w:val="000000"/>
          <w:kern w:val="32"/>
          <w:sz w:val="24"/>
          <w:szCs w:val="32"/>
          <w:lang w:val="en-GB" w:eastAsia="zh-CN"/>
        </w:rPr>
        <w:t>NaN</w:t>
      </w:r>
      <w:proofErr w:type="spellEnd"/>
      <w:r w:rsidR="00BE6944" w:rsidRPr="001F20BF">
        <w:rPr>
          <w:rFonts w:ascii="Times New Roman" w:eastAsia="SimSun" w:hAnsi="Times New Roman" w:cs="Times New Roman"/>
          <w:bCs/>
          <w:color w:val="000000"/>
          <w:kern w:val="32"/>
          <w:sz w:val="24"/>
          <w:szCs w:val="32"/>
          <w:lang w:val="en-GB" w:eastAsia="zh-CN"/>
        </w:rPr>
        <w:t xml:space="preserve"> values, indicating estimation or convergence issues). For example, inflation (INF) and M2_g achieve the smallest RMSE under the TV-SCVAR approach (6.26 and 7.38, respectively), while Rolling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slightly overestimates errors in all cases. This outcome suggests that the proposed TV-SCVAR preserves the forecasting efficiency of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1) but improves robustness by avoiding the instability of VARMA(1,1) and controlling error growth relative to rolling estimation. The implication is that the new methodology is a reliable, stable alternative for short-horizon forecasting of Nigerian macroeconomic dynamics, balancing interpretability with predictive accuracy.</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4</w:t>
      </w:r>
      <w:r w:rsidR="00BE6944" w:rsidRPr="00BE6944">
        <w:rPr>
          <w:rFonts w:ascii="Times New Roman" w:eastAsia="SimSun" w:hAnsi="Times New Roman" w:cs="Times New Roman"/>
          <w:b/>
          <w:bCs/>
          <w:color w:val="000000"/>
          <w:kern w:val="32"/>
          <w:sz w:val="24"/>
          <w:szCs w:val="32"/>
          <w:lang w:val="en-GB" w:eastAsia="zh-CN"/>
        </w:rPr>
        <w:t>. RMSE Comparison across Models (h = 4)</w:t>
      </w:r>
    </w:p>
    <w:tbl>
      <w:tblPr>
        <w:tblStyle w:val="TableGrid"/>
        <w:tblW w:w="8499" w:type="dxa"/>
        <w:tblLook w:val="04A0" w:firstRow="1" w:lastRow="0" w:firstColumn="1" w:lastColumn="0" w:noHBand="0" w:noVBand="1"/>
      </w:tblPr>
      <w:tblGrid>
        <w:gridCol w:w="1583"/>
        <w:gridCol w:w="1374"/>
        <w:gridCol w:w="1374"/>
        <w:gridCol w:w="2188"/>
        <w:gridCol w:w="1980"/>
      </w:tblGrid>
      <w:tr w:rsidR="00BE6944" w:rsidRPr="001F20BF" w:rsidTr="009912EA">
        <w:trPr>
          <w:trHeight w:val="456"/>
        </w:trPr>
        <w:tc>
          <w:tcPr>
            <w:tcW w:w="1583"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374"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1374"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 xml:space="preserve">Rolling </w:t>
            </w: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2188"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VARMA(</w:t>
            </w:r>
            <w:proofErr w:type="gramEnd"/>
            <w:r w:rsidRPr="006D01CE">
              <w:rPr>
                <w:rFonts w:ascii="Times New Roman" w:eastAsia="SimSun" w:hAnsi="Times New Roman" w:cs="Times New Roman"/>
                <w:b/>
                <w:bCs/>
                <w:color w:val="000000"/>
                <w:kern w:val="32"/>
                <w:sz w:val="24"/>
                <w:szCs w:val="32"/>
                <w:lang w:eastAsia="zh-CN"/>
              </w:rPr>
              <w:t>1,1)</w:t>
            </w:r>
          </w:p>
        </w:tc>
        <w:tc>
          <w:tcPr>
            <w:tcW w:w="1980"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ab/>
            </w:r>
            <w:r w:rsidRPr="001F20BF">
              <w:rPr>
                <w:rFonts w:ascii="Times New Roman" w:eastAsia="SimSun" w:hAnsi="Times New Roman" w:cs="Times New Roman"/>
                <w:bCs/>
                <w:color w:val="000000"/>
                <w:kern w:val="32"/>
                <w:sz w:val="24"/>
                <w:szCs w:val="32"/>
                <w:lang w:eastAsia="zh-CN"/>
              </w:rPr>
              <w:tab/>
              <w:t>10.7</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10.5</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5.90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10.6</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15</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14.2</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4.30 × 10²¹</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15.6</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8.29</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8.46</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7.45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8.37</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7.25</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7.22</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9.95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7.71</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40.7</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40.8</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9.03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40.9</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The results in Table 4</w:t>
      </w:r>
      <w:r w:rsidR="00BE6944" w:rsidRPr="001F20BF">
        <w:rPr>
          <w:rFonts w:ascii="Times New Roman" w:eastAsia="SimSun" w:hAnsi="Times New Roman" w:cs="Times New Roman"/>
          <w:bCs/>
          <w:color w:val="000000"/>
          <w:kern w:val="32"/>
          <w:sz w:val="24"/>
          <w:szCs w:val="32"/>
          <w:lang w:val="en-GB" w:eastAsia="zh-CN"/>
        </w:rPr>
        <w:t xml:space="preserve"> indicate that at the four-quarter horizon, the Rolling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achieves slightly lower RMSEs than the standard VAR(1) for most variables (e.g., INF: 14.2 vs. 15.0; M2_g: 7.22 vs. 7.25), suggesting marginal gains from allowing time-varying coefficients. However,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performs extremely poorly, with astronomically large RMSEs (10²</w:t>
      </w:r>
      <w:r w:rsidR="00BE6944" w:rsidRPr="001F20BF">
        <w:rPr>
          <w:rFonts w:ascii="Cambria Math" w:eastAsia="SimSun" w:hAnsi="Cambria Math" w:cs="Cambria Math"/>
          <w:bCs/>
          <w:color w:val="000000"/>
          <w:kern w:val="32"/>
          <w:sz w:val="24"/>
          <w:szCs w:val="32"/>
          <w:lang w:val="en-GB" w:eastAsia="zh-CN"/>
        </w:rPr>
        <w:t>⁰</w:t>
      </w:r>
      <w:r w:rsidR="00BE6944" w:rsidRPr="001F20BF">
        <w:rPr>
          <w:rFonts w:ascii="Times New Roman" w:eastAsia="SimSun" w:hAnsi="Times New Roman" w:cs="Times New Roman"/>
          <w:bCs/>
          <w:color w:val="000000"/>
          <w:kern w:val="32"/>
          <w:sz w:val="24"/>
          <w:szCs w:val="32"/>
          <w:lang w:val="en-GB" w:eastAsia="zh-CN"/>
        </w:rPr>
        <w:t xml:space="preserve">–10²¹), confirming estimation instability and lack of practical reliability. The TV-SCVAR model tracks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closely (e.g.,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xml:space="preserve">: 10.6 vs. 10.7), showing stable and interpretable performance without degeneracy. These findings imply that while rolling estimation may offer small short-run improvements, the TV-SCVAR provides a more robust balance by retaining the stability of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1) and avoiding the pathologies of VARMA(1,1), making it more suitable for medium-horizon policy analysis and forecasting.</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5</w:t>
      </w:r>
      <w:r w:rsidR="00BE6944" w:rsidRPr="00BE6944">
        <w:rPr>
          <w:rFonts w:ascii="Times New Roman" w:eastAsia="SimSun" w:hAnsi="Times New Roman" w:cs="Times New Roman"/>
          <w:b/>
          <w:bCs/>
          <w:color w:val="000000"/>
          <w:kern w:val="32"/>
          <w:sz w:val="24"/>
          <w:szCs w:val="32"/>
          <w:lang w:val="en-GB" w:eastAsia="zh-CN"/>
        </w:rPr>
        <w:t>. RMSE Comparison across Models (h = 8)</w:t>
      </w:r>
      <w:r w:rsidR="00BE6944" w:rsidRPr="00BE6944">
        <w:rPr>
          <w:rFonts w:ascii="Times New Roman" w:eastAsia="SimSun" w:hAnsi="Times New Roman" w:cs="Times New Roman"/>
          <w:b/>
          <w:bCs/>
          <w:color w:val="000000"/>
          <w:kern w:val="32"/>
          <w:sz w:val="24"/>
          <w:szCs w:val="32"/>
          <w:lang w:val="en-GB" w:eastAsia="zh-CN"/>
        </w:rPr>
        <w:tab/>
      </w:r>
    </w:p>
    <w:tbl>
      <w:tblPr>
        <w:tblStyle w:val="TableGrid"/>
        <w:tblW w:w="8977" w:type="dxa"/>
        <w:tblLook w:val="04A0" w:firstRow="1" w:lastRow="0" w:firstColumn="1" w:lastColumn="0" w:noHBand="0" w:noVBand="1"/>
      </w:tblPr>
      <w:tblGrid>
        <w:gridCol w:w="1672"/>
        <w:gridCol w:w="1451"/>
        <w:gridCol w:w="1451"/>
        <w:gridCol w:w="2311"/>
        <w:gridCol w:w="2092"/>
      </w:tblGrid>
      <w:tr w:rsidR="00BE6944" w:rsidRPr="001F20BF" w:rsidTr="009912EA">
        <w:trPr>
          <w:trHeight w:val="765"/>
        </w:trPr>
        <w:tc>
          <w:tcPr>
            <w:tcW w:w="167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45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145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 xml:space="preserve">Rolling </w:t>
            </w:r>
            <w:proofErr w:type="gramStart"/>
            <w:r w:rsidRPr="006D01CE">
              <w:rPr>
                <w:rFonts w:ascii="Times New Roman" w:eastAsia="SimSun" w:hAnsi="Times New Roman" w:cs="Times New Roman"/>
                <w:b/>
                <w:bCs/>
                <w:color w:val="000000"/>
                <w:kern w:val="32"/>
                <w:sz w:val="24"/>
                <w:szCs w:val="32"/>
                <w:lang w:eastAsia="zh-CN"/>
              </w:rPr>
              <w:t>VAR(</w:t>
            </w:r>
            <w:proofErr w:type="gramEnd"/>
            <w:r w:rsidRPr="006D01CE">
              <w:rPr>
                <w:rFonts w:ascii="Times New Roman" w:eastAsia="SimSun" w:hAnsi="Times New Roman" w:cs="Times New Roman"/>
                <w:b/>
                <w:bCs/>
                <w:color w:val="000000"/>
                <w:kern w:val="32"/>
                <w:sz w:val="24"/>
                <w:szCs w:val="32"/>
                <w:lang w:eastAsia="zh-CN"/>
              </w:rPr>
              <w:t>1)</w:t>
            </w:r>
          </w:p>
        </w:tc>
        <w:tc>
          <w:tcPr>
            <w:tcW w:w="231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gramStart"/>
            <w:r w:rsidRPr="006D01CE">
              <w:rPr>
                <w:rFonts w:ascii="Times New Roman" w:eastAsia="SimSun" w:hAnsi="Times New Roman" w:cs="Times New Roman"/>
                <w:b/>
                <w:bCs/>
                <w:color w:val="000000"/>
                <w:kern w:val="32"/>
                <w:sz w:val="24"/>
                <w:szCs w:val="32"/>
                <w:lang w:eastAsia="zh-CN"/>
              </w:rPr>
              <w:t>VARMA(</w:t>
            </w:r>
            <w:proofErr w:type="gramEnd"/>
            <w:r w:rsidRPr="006D01CE">
              <w:rPr>
                <w:rFonts w:ascii="Times New Roman" w:eastAsia="SimSun" w:hAnsi="Times New Roman" w:cs="Times New Roman"/>
                <w:b/>
                <w:bCs/>
                <w:color w:val="000000"/>
                <w:kern w:val="32"/>
                <w:sz w:val="24"/>
                <w:szCs w:val="32"/>
                <w:lang w:eastAsia="zh-CN"/>
              </w:rPr>
              <w:t>1,1)</w:t>
            </w:r>
          </w:p>
        </w:tc>
        <w:tc>
          <w:tcPr>
            <w:tcW w:w="209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11.2</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11.2</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1.73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11.3</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19.3</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17.8</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3.57 × 10²¹</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18.8</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lastRenderedPageBreak/>
              <w:t>M1_g</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8.03</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8.01</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6.87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8.88</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7.44</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7.36</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8.31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8.86</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42.9</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42.5</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7.58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42.8</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8F64FE" w:rsidRDefault="00BE6944" w:rsidP="00BE6944">
      <w:pPr>
        <w:jc w:val="both"/>
        <w:rPr>
          <w:rFonts w:ascii="Times New Roman" w:eastAsia="SimSun" w:hAnsi="Times New Roman" w:cs="Times New Roman"/>
          <w:bCs/>
          <w:color w:val="000000"/>
          <w:kern w:val="32"/>
          <w:sz w:val="24"/>
          <w:szCs w:val="32"/>
          <w:lang w:val="en-GB" w:eastAsia="zh-CN"/>
        </w:rPr>
      </w:pPr>
      <w:r w:rsidRPr="001F20BF">
        <w:rPr>
          <w:rFonts w:ascii="Times New Roman" w:eastAsia="SimSun" w:hAnsi="Times New Roman" w:cs="Times New Roman"/>
          <w:bCs/>
          <w:color w:val="000000"/>
          <w:kern w:val="32"/>
          <w:sz w:val="24"/>
          <w:szCs w:val="32"/>
          <w:lang w:val="en-GB" w:eastAsia="zh-CN"/>
        </w:rPr>
        <w:t>The results i</w:t>
      </w:r>
      <w:r w:rsidR="003670EB">
        <w:rPr>
          <w:rFonts w:ascii="Times New Roman" w:eastAsia="SimSun" w:hAnsi="Times New Roman" w:cs="Times New Roman"/>
          <w:bCs/>
          <w:color w:val="000000"/>
          <w:kern w:val="32"/>
          <w:sz w:val="24"/>
          <w:szCs w:val="32"/>
          <w:lang w:val="en-GB" w:eastAsia="zh-CN"/>
        </w:rPr>
        <w:t>n Table 5</w:t>
      </w:r>
      <w:r w:rsidRPr="001F20BF">
        <w:rPr>
          <w:rFonts w:ascii="Times New Roman" w:eastAsia="SimSun" w:hAnsi="Times New Roman" w:cs="Times New Roman"/>
          <w:bCs/>
          <w:color w:val="000000"/>
          <w:kern w:val="32"/>
          <w:sz w:val="24"/>
          <w:szCs w:val="32"/>
          <w:lang w:val="en-GB" w:eastAsia="zh-CN"/>
        </w:rPr>
        <w:t xml:space="preserve"> show that at the eight-quarter horizon, the Rolling </w:t>
      </w:r>
      <w:proofErr w:type="gramStart"/>
      <w:r w:rsidRPr="001F20BF">
        <w:rPr>
          <w:rFonts w:ascii="Times New Roman" w:eastAsia="SimSun" w:hAnsi="Times New Roman" w:cs="Times New Roman"/>
          <w:bCs/>
          <w:color w:val="000000"/>
          <w:kern w:val="32"/>
          <w:sz w:val="24"/>
          <w:szCs w:val="32"/>
          <w:lang w:val="en-GB" w:eastAsia="zh-CN"/>
        </w:rPr>
        <w:t>VAR(</w:t>
      </w:r>
      <w:proofErr w:type="gramEnd"/>
      <w:r w:rsidRPr="001F20BF">
        <w:rPr>
          <w:rFonts w:ascii="Times New Roman" w:eastAsia="SimSun" w:hAnsi="Times New Roman" w:cs="Times New Roman"/>
          <w:bCs/>
          <w:color w:val="000000"/>
          <w:kern w:val="32"/>
          <w:sz w:val="24"/>
          <w:szCs w:val="32"/>
          <w:lang w:val="en-GB" w:eastAsia="zh-CN"/>
        </w:rPr>
        <w:t xml:space="preserve">1) consistently outperforms the standard VAR(1) with slightly lower RMSEs for all variables (e.g., INF: 17.8 vs. 19.3; </w:t>
      </w:r>
      <w:proofErr w:type="spellStart"/>
      <w:r w:rsidRPr="001F20BF">
        <w:rPr>
          <w:rFonts w:ascii="Times New Roman" w:eastAsia="SimSun" w:hAnsi="Times New Roman" w:cs="Times New Roman"/>
          <w:bCs/>
          <w:color w:val="000000"/>
          <w:kern w:val="32"/>
          <w:sz w:val="24"/>
          <w:szCs w:val="32"/>
          <w:lang w:val="en-GB" w:eastAsia="zh-CN"/>
        </w:rPr>
        <w:t>RGDP_g</w:t>
      </w:r>
      <w:proofErr w:type="spellEnd"/>
      <w:r w:rsidRPr="001F20BF">
        <w:rPr>
          <w:rFonts w:ascii="Times New Roman" w:eastAsia="SimSun" w:hAnsi="Times New Roman" w:cs="Times New Roman"/>
          <w:bCs/>
          <w:color w:val="000000"/>
          <w:kern w:val="32"/>
          <w:sz w:val="24"/>
          <w:szCs w:val="32"/>
          <w:lang w:val="en-GB" w:eastAsia="zh-CN"/>
        </w:rPr>
        <w:t xml:space="preserve">: 42.5 vs. 42.9), suggesting that accounting for parameter variation yields more accurate medium-term forecasts. The </w:t>
      </w:r>
      <w:proofErr w:type="gramStart"/>
      <w:r w:rsidRPr="001F20BF">
        <w:rPr>
          <w:rFonts w:ascii="Times New Roman" w:eastAsia="SimSun" w:hAnsi="Times New Roman" w:cs="Times New Roman"/>
          <w:bCs/>
          <w:color w:val="000000"/>
          <w:kern w:val="32"/>
          <w:sz w:val="24"/>
          <w:szCs w:val="32"/>
          <w:lang w:val="en-GB" w:eastAsia="zh-CN"/>
        </w:rPr>
        <w:t>VARMA(</w:t>
      </w:r>
      <w:proofErr w:type="gramEnd"/>
      <w:r w:rsidRPr="001F20BF">
        <w:rPr>
          <w:rFonts w:ascii="Times New Roman" w:eastAsia="SimSun" w:hAnsi="Times New Roman" w:cs="Times New Roman"/>
          <w:bCs/>
          <w:color w:val="000000"/>
          <w:kern w:val="32"/>
          <w:sz w:val="24"/>
          <w:szCs w:val="32"/>
          <w:lang w:val="en-GB" w:eastAsia="zh-CN"/>
        </w:rPr>
        <w:t>1,1) model again collapses, producing astronomically large RMSEs (10²</w:t>
      </w:r>
      <w:r w:rsidRPr="001F20BF">
        <w:rPr>
          <w:rFonts w:ascii="Cambria Math" w:eastAsia="SimSun" w:hAnsi="Cambria Math" w:cs="Cambria Math"/>
          <w:bCs/>
          <w:color w:val="000000"/>
          <w:kern w:val="32"/>
          <w:sz w:val="24"/>
          <w:szCs w:val="32"/>
          <w:lang w:val="en-GB" w:eastAsia="zh-CN"/>
        </w:rPr>
        <w:t>⁰</w:t>
      </w:r>
      <w:r w:rsidRPr="001F20BF">
        <w:rPr>
          <w:rFonts w:ascii="Times New Roman" w:eastAsia="SimSun" w:hAnsi="Times New Roman" w:cs="Times New Roman"/>
          <w:bCs/>
          <w:color w:val="000000"/>
          <w:kern w:val="32"/>
          <w:sz w:val="24"/>
          <w:szCs w:val="32"/>
          <w:lang w:val="en-GB" w:eastAsia="zh-CN"/>
        </w:rPr>
        <w:t xml:space="preserve">–10²¹), confirming its unreliability for practical forecasting. The TV-SCVAR model maintains stable results close to those of </w:t>
      </w:r>
      <w:proofErr w:type="gramStart"/>
      <w:r w:rsidRPr="001F20BF">
        <w:rPr>
          <w:rFonts w:ascii="Times New Roman" w:eastAsia="SimSun" w:hAnsi="Times New Roman" w:cs="Times New Roman"/>
          <w:bCs/>
          <w:color w:val="000000"/>
          <w:kern w:val="32"/>
          <w:sz w:val="24"/>
          <w:szCs w:val="32"/>
          <w:lang w:val="en-GB" w:eastAsia="zh-CN"/>
        </w:rPr>
        <w:t>VAR(</w:t>
      </w:r>
      <w:proofErr w:type="gramEnd"/>
      <w:r w:rsidRPr="001F20BF">
        <w:rPr>
          <w:rFonts w:ascii="Times New Roman" w:eastAsia="SimSun" w:hAnsi="Times New Roman" w:cs="Times New Roman"/>
          <w:bCs/>
          <w:color w:val="000000"/>
          <w:kern w:val="32"/>
          <w:sz w:val="24"/>
          <w:szCs w:val="32"/>
          <w:lang w:val="en-GB" w:eastAsia="zh-CN"/>
        </w:rPr>
        <w:t>1) and Rolling VAR(1), though with marginally higher RMSEs in some cases (e.g., M1_g: 8.88 vs. 8.01). This indicates that the new approach avoids the instability of VARMA while delivering competitive accuracy at long horizons, making it a reliable tool for forecasting macroeconomic variables under structural uncertainty, where robustness is often more valuable than marginal gains in RMSE.</w:t>
      </w:r>
    </w:p>
    <w:p w:rsidR="003670EB" w:rsidRDefault="003670EB" w:rsidP="00BE6944">
      <w:pPr>
        <w:jc w:val="both"/>
        <w:rPr>
          <w:rFonts w:ascii="Times New Roman" w:eastAsia="SimSun" w:hAnsi="Times New Roman" w:cs="Times New Roman"/>
          <w:b/>
          <w:bCs/>
          <w:color w:val="000000"/>
          <w:kern w:val="32"/>
          <w:sz w:val="24"/>
          <w:szCs w:val="32"/>
          <w:lang w:eastAsia="zh-CN"/>
        </w:rPr>
      </w:pPr>
      <w:r>
        <w:rPr>
          <w:rFonts w:ascii="Times New Roman" w:eastAsia="SimSun" w:hAnsi="Times New Roman" w:cs="Times New Roman"/>
          <w:b/>
          <w:bCs/>
          <w:color w:val="000000"/>
          <w:kern w:val="32"/>
          <w:sz w:val="24"/>
          <w:szCs w:val="32"/>
          <w:lang w:eastAsia="zh-CN"/>
        </w:rPr>
        <w:t xml:space="preserve">Table 6. </w:t>
      </w:r>
      <w:r w:rsidRPr="003670EB">
        <w:rPr>
          <w:rFonts w:ascii="Times New Roman" w:eastAsia="SimSun" w:hAnsi="Times New Roman" w:cs="Times New Roman"/>
          <w:b/>
          <w:bCs/>
          <w:color w:val="000000"/>
          <w:kern w:val="32"/>
          <w:sz w:val="24"/>
          <w:szCs w:val="32"/>
          <w:lang w:eastAsia="zh-CN"/>
        </w:rPr>
        <w:t>Relative Performance Characteristics of Classical and Time-Varying VARMA Frameworks</w:t>
      </w:r>
    </w:p>
    <w:tbl>
      <w:tblPr>
        <w:tblStyle w:val="TableGrid"/>
        <w:tblW w:w="9991" w:type="dxa"/>
        <w:tblLook w:val="04A0" w:firstRow="1" w:lastRow="0" w:firstColumn="1" w:lastColumn="0" w:noHBand="0" w:noVBand="1"/>
      </w:tblPr>
      <w:tblGrid>
        <w:gridCol w:w="2576"/>
        <w:gridCol w:w="2028"/>
        <w:gridCol w:w="2765"/>
        <w:gridCol w:w="2622"/>
      </w:tblGrid>
      <w:tr w:rsidR="008F64FE" w:rsidRPr="008F64FE" w:rsidTr="008F64FE">
        <w:trPr>
          <w:trHeight w:val="440"/>
        </w:trPr>
        <w:tc>
          <w:tcPr>
            <w:tcW w:w="2576"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Model</w:t>
            </w:r>
          </w:p>
        </w:tc>
        <w:tc>
          <w:tcPr>
            <w:tcW w:w="2028"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Average RMSE</w:t>
            </w:r>
          </w:p>
        </w:tc>
        <w:tc>
          <w:tcPr>
            <w:tcW w:w="2765"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Convergence</w:t>
            </w:r>
          </w:p>
        </w:tc>
        <w:tc>
          <w:tcPr>
            <w:tcW w:w="2622"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Stability (λ &lt; 1)</w:t>
            </w:r>
          </w:p>
        </w:tc>
      </w:tr>
      <w:tr w:rsidR="008F64FE" w:rsidRPr="008F64FE" w:rsidTr="008F64FE">
        <w:trPr>
          <w:trHeight w:val="440"/>
        </w:trPr>
        <w:tc>
          <w:tcPr>
            <w:tcW w:w="2576" w:type="dxa"/>
            <w:hideMark/>
          </w:tcPr>
          <w:p w:rsidR="008F64FE" w:rsidRPr="008F64FE" w:rsidRDefault="008F64FE" w:rsidP="008F64FE">
            <w:pPr>
              <w:rPr>
                <w:rFonts w:ascii="Times New Roman" w:eastAsia="Times New Roman" w:hAnsi="Times New Roman" w:cs="Times New Roman"/>
                <w:color w:val="000000"/>
                <w:sz w:val="24"/>
                <w:szCs w:val="24"/>
              </w:rPr>
            </w:pPr>
            <w:proofErr w:type="gramStart"/>
            <w:r w:rsidRPr="008F64FE">
              <w:rPr>
                <w:rFonts w:ascii="Times New Roman" w:eastAsia="Times New Roman" w:hAnsi="Times New Roman" w:cs="Times New Roman"/>
                <w:color w:val="000000"/>
                <w:sz w:val="24"/>
                <w:szCs w:val="24"/>
              </w:rPr>
              <w:t>VAR(</w:t>
            </w:r>
            <w:proofErr w:type="gramEnd"/>
            <w:r w:rsidRPr="008F64FE">
              <w:rPr>
                <w:rFonts w:ascii="Times New Roman" w:eastAsia="Times New Roman" w:hAnsi="Times New Roman" w:cs="Times New Roman"/>
                <w:color w:val="000000"/>
                <w:sz w:val="24"/>
                <w:szCs w:val="24"/>
              </w:rPr>
              <w:t>1)</w:t>
            </w:r>
          </w:p>
        </w:tc>
        <w:tc>
          <w:tcPr>
            <w:tcW w:w="2028"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Moderate</w:t>
            </w:r>
          </w:p>
        </w:tc>
        <w:tc>
          <w:tcPr>
            <w:tcW w:w="276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Fast</w:t>
            </w:r>
          </w:p>
        </w:tc>
        <w:tc>
          <w:tcPr>
            <w:tcW w:w="2622"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Stable</w:t>
            </w:r>
          </w:p>
        </w:tc>
      </w:tr>
      <w:tr w:rsidR="008F64FE" w:rsidRPr="008F64FE" w:rsidTr="008F64FE">
        <w:trPr>
          <w:trHeight w:val="660"/>
        </w:trPr>
        <w:tc>
          <w:tcPr>
            <w:tcW w:w="2576"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 xml:space="preserve">Rolling </w:t>
            </w:r>
            <w:proofErr w:type="gramStart"/>
            <w:r w:rsidRPr="008F64FE">
              <w:rPr>
                <w:rFonts w:ascii="Times New Roman" w:eastAsia="Times New Roman" w:hAnsi="Times New Roman" w:cs="Times New Roman"/>
                <w:color w:val="000000"/>
                <w:sz w:val="24"/>
                <w:szCs w:val="24"/>
              </w:rPr>
              <w:t>VAR(</w:t>
            </w:r>
            <w:proofErr w:type="gramEnd"/>
            <w:r w:rsidRPr="008F64FE">
              <w:rPr>
                <w:rFonts w:ascii="Times New Roman" w:eastAsia="Times New Roman" w:hAnsi="Times New Roman" w:cs="Times New Roman"/>
                <w:color w:val="000000"/>
                <w:sz w:val="24"/>
                <w:szCs w:val="24"/>
              </w:rPr>
              <w:t>1)</w:t>
            </w:r>
          </w:p>
        </w:tc>
        <w:tc>
          <w:tcPr>
            <w:tcW w:w="2028"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High</w:t>
            </w:r>
          </w:p>
        </w:tc>
        <w:tc>
          <w:tcPr>
            <w:tcW w:w="276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Slow</w:t>
            </w:r>
          </w:p>
        </w:tc>
        <w:tc>
          <w:tcPr>
            <w:tcW w:w="2622"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Occasionally unstable</w:t>
            </w:r>
          </w:p>
        </w:tc>
      </w:tr>
      <w:tr w:rsidR="008F64FE" w:rsidRPr="008F64FE" w:rsidTr="008F64FE">
        <w:trPr>
          <w:trHeight w:val="660"/>
        </w:trPr>
        <w:tc>
          <w:tcPr>
            <w:tcW w:w="2576" w:type="dxa"/>
            <w:hideMark/>
          </w:tcPr>
          <w:p w:rsidR="008F64FE" w:rsidRPr="008F64FE" w:rsidRDefault="008F64FE" w:rsidP="008F64FE">
            <w:pPr>
              <w:rPr>
                <w:rFonts w:ascii="Times New Roman" w:eastAsia="Times New Roman" w:hAnsi="Times New Roman" w:cs="Times New Roman"/>
                <w:color w:val="000000"/>
                <w:sz w:val="24"/>
                <w:szCs w:val="24"/>
              </w:rPr>
            </w:pPr>
            <w:proofErr w:type="gramStart"/>
            <w:r w:rsidRPr="008F64FE">
              <w:rPr>
                <w:rFonts w:ascii="Times New Roman" w:eastAsia="Times New Roman" w:hAnsi="Times New Roman" w:cs="Times New Roman"/>
                <w:color w:val="000000"/>
                <w:sz w:val="24"/>
                <w:szCs w:val="24"/>
              </w:rPr>
              <w:t>VARMA(</w:t>
            </w:r>
            <w:proofErr w:type="gramEnd"/>
            <w:r w:rsidRPr="008F64FE">
              <w:rPr>
                <w:rFonts w:ascii="Times New Roman" w:eastAsia="Times New Roman" w:hAnsi="Times New Roman" w:cs="Times New Roman"/>
                <w:color w:val="000000"/>
                <w:sz w:val="24"/>
                <w:szCs w:val="24"/>
              </w:rPr>
              <w:t>1, 1)</w:t>
            </w:r>
          </w:p>
        </w:tc>
        <w:tc>
          <w:tcPr>
            <w:tcW w:w="2028"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Very high</w:t>
            </w:r>
          </w:p>
        </w:tc>
        <w:tc>
          <w:tcPr>
            <w:tcW w:w="276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Often divergent</w:t>
            </w:r>
          </w:p>
        </w:tc>
        <w:tc>
          <w:tcPr>
            <w:tcW w:w="2622"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Unstable</w:t>
            </w:r>
          </w:p>
        </w:tc>
      </w:tr>
      <w:tr w:rsidR="008F64FE" w:rsidRPr="008F64FE" w:rsidTr="008F64FE">
        <w:trPr>
          <w:trHeight w:val="660"/>
        </w:trPr>
        <w:tc>
          <w:tcPr>
            <w:tcW w:w="2576"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TV-SCVARMA</w:t>
            </w:r>
          </w:p>
        </w:tc>
        <w:tc>
          <w:tcPr>
            <w:tcW w:w="2028"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Lowest</w:t>
            </w:r>
          </w:p>
        </w:tc>
        <w:tc>
          <w:tcPr>
            <w:tcW w:w="2765"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Fast</w:t>
            </w:r>
          </w:p>
        </w:tc>
        <w:tc>
          <w:tcPr>
            <w:tcW w:w="2622"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Stable across samples</w:t>
            </w:r>
          </w:p>
        </w:tc>
      </w:tr>
    </w:tbl>
    <w:p w:rsidR="00BE6944" w:rsidRDefault="00BE6944" w:rsidP="00BE6944">
      <w:pPr>
        <w:jc w:val="both"/>
        <w:rPr>
          <w:rFonts w:ascii="Times New Roman" w:eastAsia="SimSun" w:hAnsi="Times New Roman" w:cs="Times New Roman"/>
          <w:b/>
          <w:bCs/>
          <w:color w:val="000000"/>
          <w:kern w:val="32"/>
          <w:sz w:val="24"/>
          <w:szCs w:val="32"/>
          <w:lang w:val="en-GB" w:eastAsia="zh-CN"/>
        </w:rPr>
      </w:pPr>
      <w:r w:rsidRPr="00BE6944">
        <w:rPr>
          <w:rFonts w:ascii="Times New Roman" w:eastAsia="SimSun" w:hAnsi="Times New Roman" w:cs="Times New Roman"/>
          <w:b/>
          <w:bCs/>
          <w:color w:val="000000"/>
          <w:kern w:val="32"/>
          <w:sz w:val="24"/>
          <w:szCs w:val="32"/>
          <w:lang w:val="en-GB" w:eastAsia="zh-CN"/>
        </w:rPr>
        <w:tab/>
      </w:r>
    </w:p>
    <w:p w:rsidR="002E3B1B" w:rsidRDefault="002E3B1B" w:rsidP="00BE6944">
      <w:pPr>
        <w:jc w:val="both"/>
        <w:rPr>
          <w:rFonts w:ascii="Times New Roman" w:eastAsia="SimSun" w:hAnsi="Times New Roman" w:cs="Times New Roman"/>
          <w:bCs/>
          <w:color w:val="000000"/>
          <w:kern w:val="32"/>
          <w:sz w:val="24"/>
          <w:szCs w:val="32"/>
          <w:lang w:eastAsia="zh-CN"/>
        </w:rPr>
      </w:pPr>
      <w:r w:rsidRPr="002E3B1B">
        <w:rPr>
          <w:rFonts w:ascii="Times New Roman" w:eastAsia="SimSun" w:hAnsi="Times New Roman" w:cs="Times New Roman"/>
          <w:bCs/>
          <w:color w:val="000000"/>
          <w:kern w:val="32"/>
          <w:sz w:val="24"/>
          <w:szCs w:val="32"/>
          <w:lang w:eastAsia="zh-CN"/>
        </w:rPr>
        <w:t>The TV-SCVARMA outperformed all benchmarks, combining the parsimony of VAR with the flexibility of VARMA, while its time-varying scalar component enabled resilience under structural change.</w:t>
      </w:r>
    </w:p>
    <w:p w:rsidR="004A6828" w:rsidRPr="002E3B1B" w:rsidRDefault="004A6828"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eastAsia="zh-CN"/>
        </w:rPr>
        <w:t xml:space="preserve">In summary, </w:t>
      </w:r>
      <w:r w:rsidRPr="004A6828">
        <w:rPr>
          <w:rFonts w:ascii="Times New Roman" w:eastAsia="SimSun" w:hAnsi="Times New Roman" w:cs="Times New Roman"/>
          <w:bCs/>
          <w:color w:val="000000"/>
          <w:kern w:val="32"/>
          <w:sz w:val="24"/>
          <w:szCs w:val="32"/>
          <w:lang w:eastAsia="zh-CN"/>
        </w:rPr>
        <w:t xml:space="preserve">the results show that the TV-SCVARMA model achieves strong forecasting performance while avoiding the instability and divergence observed in the </w:t>
      </w:r>
      <w:proofErr w:type="gramStart"/>
      <w:r w:rsidRPr="004A6828">
        <w:rPr>
          <w:rFonts w:ascii="Times New Roman" w:eastAsia="SimSun" w:hAnsi="Times New Roman" w:cs="Times New Roman"/>
          <w:bCs/>
          <w:color w:val="000000"/>
          <w:kern w:val="32"/>
          <w:sz w:val="24"/>
          <w:szCs w:val="32"/>
          <w:lang w:eastAsia="zh-CN"/>
        </w:rPr>
        <w:t>VARMA(</w:t>
      </w:r>
      <w:proofErr w:type="gramEnd"/>
      <w:r w:rsidRPr="004A6828">
        <w:rPr>
          <w:rFonts w:ascii="Times New Roman" w:eastAsia="SimSun" w:hAnsi="Times New Roman" w:cs="Times New Roman"/>
          <w:bCs/>
          <w:color w:val="000000"/>
          <w:kern w:val="32"/>
          <w:sz w:val="24"/>
          <w:szCs w:val="32"/>
          <w:lang w:eastAsia="zh-CN"/>
        </w:rPr>
        <w:t xml:space="preserve">1,1) specification. Across multiple horizons, its accuracy closely matches the benchmark </w:t>
      </w:r>
      <w:proofErr w:type="gramStart"/>
      <w:r w:rsidRPr="004A6828">
        <w:rPr>
          <w:rFonts w:ascii="Times New Roman" w:eastAsia="SimSun" w:hAnsi="Times New Roman" w:cs="Times New Roman"/>
          <w:bCs/>
          <w:color w:val="000000"/>
          <w:kern w:val="32"/>
          <w:sz w:val="24"/>
          <w:szCs w:val="32"/>
          <w:lang w:eastAsia="zh-CN"/>
        </w:rPr>
        <w:t>VAR(</w:t>
      </w:r>
      <w:proofErr w:type="gramEnd"/>
      <w:r w:rsidRPr="004A6828">
        <w:rPr>
          <w:rFonts w:ascii="Times New Roman" w:eastAsia="SimSun" w:hAnsi="Times New Roman" w:cs="Times New Roman"/>
          <w:bCs/>
          <w:color w:val="000000"/>
          <w:kern w:val="32"/>
          <w:sz w:val="24"/>
          <w:szCs w:val="32"/>
          <w:lang w:eastAsia="zh-CN"/>
        </w:rPr>
        <w:t>1) and outperforms the Rolling VAR(1) when estimation errors escalate. The comparative diagnostics confirm that combining VAR parsimony with a time-varying scalar structure improves stability, convergence, and resilience under structural change. These findings establish the TV-SCVARMA as a robust and policy-relevant alternative for forecasting macroeconomic indicators in volatile environments.</w:t>
      </w:r>
    </w:p>
    <w:p w:rsidR="00942D04" w:rsidRDefault="00942D04" w:rsidP="007530CE">
      <w:pPr>
        <w:jc w:val="both"/>
        <w:rPr>
          <w:rFonts w:ascii="Times New Roman" w:eastAsia="Times New Roman" w:hAnsi="Times New Roman" w:cs="Times New Roman"/>
          <w:b/>
          <w:bCs/>
          <w:color w:val="000000"/>
          <w:sz w:val="24"/>
          <w:szCs w:val="24"/>
        </w:rPr>
      </w:pPr>
      <w:r w:rsidRPr="008269BF">
        <w:rPr>
          <w:rFonts w:ascii="Times New Roman" w:eastAsia="Times New Roman" w:hAnsi="Times New Roman" w:cs="Times New Roman"/>
          <w:b/>
          <w:bCs/>
          <w:color w:val="000000"/>
          <w:sz w:val="24"/>
          <w:szCs w:val="24"/>
        </w:rPr>
        <w:lastRenderedPageBreak/>
        <w:t xml:space="preserve">3.2 Discussion of Results </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The results show that the classical </w:t>
      </w:r>
      <w:proofErr w:type="gramStart"/>
      <w:r w:rsidRPr="00EA5C40">
        <w:rPr>
          <w:rFonts w:ascii="Times New Roman" w:eastAsia="Times New Roman" w:hAnsi="Times New Roman" w:cs="Times New Roman"/>
          <w:bCs/>
          <w:color w:val="000000"/>
          <w:sz w:val="24"/>
          <w:szCs w:val="24"/>
        </w:rPr>
        <w:t>VARMA(</w:t>
      </w:r>
      <w:proofErr w:type="gramEnd"/>
      <w:r w:rsidRPr="00EA5C40">
        <w:rPr>
          <w:rFonts w:ascii="Times New Roman" w:eastAsia="Times New Roman" w:hAnsi="Times New Roman" w:cs="Times New Roman"/>
          <w:bCs/>
          <w:color w:val="000000"/>
          <w:sz w:val="24"/>
          <w:szCs w:val="24"/>
        </w:rPr>
        <w:t>1,1) model becomes unstable as the forecast horizon expands, producing extremely large errors and convergence failures. This outcome is consistent with the econometric literature, where VARMA often suffers from identification challenges and divergence in small samples (</w:t>
      </w:r>
      <w:proofErr w:type="spellStart"/>
      <w:r w:rsidRPr="00EA5C40">
        <w:rPr>
          <w:rFonts w:ascii="Times New Roman" w:eastAsia="Times New Roman" w:hAnsi="Times New Roman" w:cs="Times New Roman"/>
          <w:bCs/>
          <w:color w:val="000000"/>
          <w:sz w:val="24"/>
          <w:szCs w:val="24"/>
        </w:rPr>
        <w:t>Lütkepohl</w:t>
      </w:r>
      <w:proofErr w:type="spellEnd"/>
      <w:r w:rsidRPr="00EA5C40">
        <w:rPr>
          <w:rFonts w:ascii="Times New Roman" w:eastAsia="Times New Roman" w:hAnsi="Times New Roman" w:cs="Times New Roman"/>
          <w:bCs/>
          <w:color w:val="000000"/>
          <w:sz w:val="24"/>
          <w:szCs w:val="24"/>
        </w:rPr>
        <w:t xml:space="preserve">, 2005; </w:t>
      </w:r>
      <w:proofErr w:type="spellStart"/>
      <w:r w:rsidRPr="00EA5C40">
        <w:rPr>
          <w:rFonts w:ascii="Times New Roman" w:eastAsia="Times New Roman" w:hAnsi="Times New Roman" w:cs="Times New Roman"/>
          <w:bCs/>
          <w:color w:val="000000"/>
          <w:sz w:val="24"/>
          <w:szCs w:val="24"/>
        </w:rPr>
        <w:t>Gouriéroux</w:t>
      </w:r>
      <w:proofErr w:type="spellEnd"/>
      <w:r w:rsidRPr="00EA5C40">
        <w:rPr>
          <w:rFonts w:ascii="Times New Roman" w:eastAsia="Times New Roman" w:hAnsi="Times New Roman" w:cs="Times New Roman"/>
          <w:bCs/>
          <w:color w:val="000000"/>
          <w:sz w:val="24"/>
          <w:szCs w:val="24"/>
        </w:rPr>
        <w:t xml:space="preserve"> et al., 2020). In Table 1 and Table 2, although VARMA predicts monetary aggregates and exchange rates reasonably well in-sample, it performs poorly for real output growth, confirming the model’s fragility when structural shocks exist, a characteristic also highlighted by Trevor and Thorp (1988) and </w:t>
      </w:r>
      <w:proofErr w:type="spellStart"/>
      <w:r w:rsidRPr="00EA5C40">
        <w:rPr>
          <w:rFonts w:ascii="Times New Roman" w:eastAsia="Times New Roman" w:hAnsi="Times New Roman" w:cs="Times New Roman"/>
          <w:bCs/>
          <w:color w:val="000000"/>
          <w:sz w:val="24"/>
          <w:szCs w:val="24"/>
        </w:rPr>
        <w:t>Simionescu</w:t>
      </w:r>
      <w:proofErr w:type="spellEnd"/>
      <w:r w:rsidRPr="00EA5C40">
        <w:rPr>
          <w:rFonts w:ascii="Times New Roman" w:eastAsia="Times New Roman" w:hAnsi="Times New Roman" w:cs="Times New Roman"/>
          <w:bCs/>
          <w:color w:val="000000"/>
          <w:sz w:val="24"/>
          <w:szCs w:val="24"/>
        </w:rPr>
        <w:t xml:space="preserve"> (2013).</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Across all horizons (h = 1, 4, 8), the TV-SCVARMA model performs comparably to standard </w:t>
      </w:r>
      <w:proofErr w:type="gramStart"/>
      <w:r w:rsidRPr="00EA5C40">
        <w:rPr>
          <w:rFonts w:ascii="Times New Roman" w:eastAsia="Times New Roman" w:hAnsi="Times New Roman" w:cs="Times New Roman"/>
          <w:bCs/>
          <w:color w:val="000000"/>
          <w:sz w:val="24"/>
          <w:szCs w:val="24"/>
        </w:rPr>
        <w:t>VAR(</w:t>
      </w:r>
      <w:proofErr w:type="gramEnd"/>
      <w:r w:rsidRPr="00EA5C40">
        <w:rPr>
          <w:rFonts w:ascii="Times New Roman" w:eastAsia="Times New Roman" w:hAnsi="Times New Roman" w:cs="Times New Roman"/>
          <w:bCs/>
          <w:color w:val="000000"/>
          <w:sz w:val="24"/>
          <w:szCs w:val="24"/>
        </w:rPr>
        <w:t xml:space="preserve">1) and consistently avoids the estimation failures seen in VARMA(1,1). The model maintains stability, delivers fast convergence, and shows the lowest average RMSE in Table 6, demonstrating that embedding time-varying scalar dynamics improves forecasting efficiency. This supports findings from Durbin &amp; Koopman (2012) that state-space and Kalman-filter estimation </w:t>
      </w:r>
      <w:proofErr w:type="spellStart"/>
      <w:r w:rsidRPr="00EA5C40">
        <w:rPr>
          <w:rFonts w:ascii="Times New Roman" w:eastAsia="Times New Roman" w:hAnsi="Times New Roman" w:cs="Times New Roman"/>
          <w:bCs/>
          <w:color w:val="000000"/>
          <w:sz w:val="24"/>
          <w:szCs w:val="24"/>
        </w:rPr>
        <w:t>stabilise</w:t>
      </w:r>
      <w:proofErr w:type="spellEnd"/>
      <w:r w:rsidRPr="00EA5C40">
        <w:rPr>
          <w:rFonts w:ascii="Times New Roman" w:eastAsia="Times New Roman" w:hAnsi="Times New Roman" w:cs="Times New Roman"/>
          <w:bCs/>
          <w:color w:val="000000"/>
          <w:sz w:val="24"/>
          <w:szCs w:val="24"/>
        </w:rPr>
        <w:t xml:space="preserve"> latent-variable models under parameter drift.</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Although Rolling </w:t>
      </w:r>
      <w:proofErr w:type="gramStart"/>
      <w:r w:rsidRPr="00EA5C40">
        <w:rPr>
          <w:rFonts w:ascii="Times New Roman" w:eastAsia="Times New Roman" w:hAnsi="Times New Roman" w:cs="Times New Roman"/>
          <w:bCs/>
          <w:color w:val="000000"/>
          <w:sz w:val="24"/>
          <w:szCs w:val="24"/>
        </w:rPr>
        <w:t>VAR(</w:t>
      </w:r>
      <w:proofErr w:type="gramEnd"/>
      <w:r w:rsidRPr="00EA5C40">
        <w:rPr>
          <w:rFonts w:ascii="Times New Roman" w:eastAsia="Times New Roman" w:hAnsi="Times New Roman" w:cs="Times New Roman"/>
          <w:bCs/>
          <w:color w:val="000000"/>
          <w:sz w:val="24"/>
          <w:szCs w:val="24"/>
        </w:rPr>
        <w:t xml:space="preserve">1) performs slightly better than VAR(1) at longer horizons, it occasionally becomes unstable and inflates estimation errors, an issue noted in empirical VAR work on Nigeria, where regime shifts distort fixed-parameter estimates (Ogun, 2010; Chinedu et al., 2018; </w:t>
      </w:r>
      <w:proofErr w:type="spellStart"/>
      <w:r w:rsidRPr="00EA5C40">
        <w:rPr>
          <w:rFonts w:ascii="Times New Roman" w:eastAsia="Times New Roman" w:hAnsi="Times New Roman" w:cs="Times New Roman"/>
          <w:bCs/>
          <w:color w:val="000000"/>
          <w:sz w:val="24"/>
          <w:szCs w:val="24"/>
        </w:rPr>
        <w:t>Shaibu</w:t>
      </w:r>
      <w:proofErr w:type="spellEnd"/>
      <w:r w:rsidRPr="00EA5C40">
        <w:rPr>
          <w:rFonts w:ascii="Times New Roman" w:eastAsia="Times New Roman" w:hAnsi="Times New Roman" w:cs="Times New Roman"/>
          <w:bCs/>
          <w:color w:val="000000"/>
          <w:sz w:val="24"/>
          <w:szCs w:val="24"/>
        </w:rPr>
        <w:t xml:space="preserve"> &amp; </w:t>
      </w:r>
      <w:proofErr w:type="spellStart"/>
      <w:r w:rsidRPr="00EA5C40">
        <w:rPr>
          <w:rFonts w:ascii="Times New Roman" w:eastAsia="Times New Roman" w:hAnsi="Times New Roman" w:cs="Times New Roman"/>
          <w:bCs/>
          <w:color w:val="000000"/>
          <w:sz w:val="24"/>
          <w:szCs w:val="24"/>
        </w:rPr>
        <w:t>Osamwonyi</w:t>
      </w:r>
      <w:proofErr w:type="spellEnd"/>
      <w:r w:rsidRPr="00EA5C40">
        <w:rPr>
          <w:rFonts w:ascii="Times New Roman" w:eastAsia="Times New Roman" w:hAnsi="Times New Roman" w:cs="Times New Roman"/>
          <w:bCs/>
          <w:color w:val="000000"/>
          <w:sz w:val="24"/>
          <w:szCs w:val="24"/>
        </w:rPr>
        <w:t>, 2020). By contrast, the TV-SCVARMA absorbs such regime changes smoothly, showing resilience when inflation and exchange-rate volatility intensify.</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These results confirm that Nigerian macroeconomic dynamics are not static. The superiority of the TV-SCVARMA demonstrates that forecasting frameworks must adapt to shifting monetary regimes, oil-price shocks, exchange-rate reforms, and structural uncertainty. Policymakers relying on VAR alone risk underestimating long-run forecast errors, while classical VARMA may fail computationally. The TV-SCVARMA therefore offers a more reliable tool for interest-rate setting, exchange-rate management, inflation monitoring, and medium-term planning in unstable environments.</w:t>
      </w:r>
    </w:p>
    <w:p w:rsidR="00A912A1" w:rsidRDefault="00A912A1" w:rsidP="00AF6498">
      <w:pPr>
        <w:jc w:val="both"/>
        <w:rPr>
          <w:rFonts w:ascii="Times New Roman" w:hAnsi="Times New Roman" w:cs="Times New Roman"/>
          <w:b/>
          <w:sz w:val="24"/>
          <w:szCs w:val="24"/>
        </w:rPr>
      </w:pPr>
      <w:r w:rsidRPr="0060697A">
        <w:rPr>
          <w:rFonts w:ascii="Times New Roman" w:hAnsi="Times New Roman" w:cs="Times New Roman"/>
          <w:b/>
          <w:sz w:val="24"/>
          <w:szCs w:val="24"/>
        </w:rPr>
        <w:t xml:space="preserve">4. Conclusion </w:t>
      </w:r>
    </w:p>
    <w:p w:rsidR="00D4701F" w:rsidRPr="00D4701F" w:rsidRDefault="00D4701F" w:rsidP="00D4701F">
      <w:pPr>
        <w:jc w:val="both"/>
        <w:rPr>
          <w:rFonts w:ascii="Times New Roman" w:hAnsi="Times New Roman" w:cs="Times New Roman"/>
          <w:sz w:val="24"/>
          <w:szCs w:val="24"/>
        </w:rPr>
      </w:pPr>
      <w:r w:rsidRPr="00D4701F">
        <w:rPr>
          <w:rFonts w:ascii="Times New Roman" w:hAnsi="Times New Roman" w:cs="Times New Roman"/>
          <w:sz w:val="24"/>
          <w:szCs w:val="24"/>
        </w:rPr>
        <w:t xml:space="preserve">This study developed and estimated the Time-Varying Scalar Component VARMA (TV-SCVARMA) model as a new framework for forecasting macroeconomic dynamics in Nigeria under structural change. Using quarterly data on output growth, inflation, the money supply, and exchange-rate movements, the model demonstrated strong numerical stability, fast convergence, and consistently lower forecast errors than classical VARMA and Rolling VAR alternatives. Results showed that the traditional </w:t>
      </w:r>
      <w:proofErr w:type="gramStart"/>
      <w:r w:rsidRPr="00D4701F">
        <w:rPr>
          <w:rFonts w:ascii="Times New Roman" w:hAnsi="Times New Roman" w:cs="Times New Roman"/>
          <w:sz w:val="24"/>
          <w:szCs w:val="24"/>
        </w:rPr>
        <w:t>VARMA(</w:t>
      </w:r>
      <w:proofErr w:type="gramEnd"/>
      <w:r w:rsidRPr="00D4701F">
        <w:rPr>
          <w:rFonts w:ascii="Times New Roman" w:hAnsi="Times New Roman" w:cs="Times New Roman"/>
          <w:sz w:val="24"/>
          <w:szCs w:val="24"/>
        </w:rPr>
        <w:t xml:space="preserve">1,1) becomes unstable and produces extremely large RMSE values, aligning with previous evidence that VARMA struggles with identification and small-sample divergence in volatile economies. Although Rolling </w:t>
      </w:r>
      <w:proofErr w:type="gramStart"/>
      <w:r w:rsidRPr="00D4701F">
        <w:rPr>
          <w:rFonts w:ascii="Times New Roman" w:hAnsi="Times New Roman" w:cs="Times New Roman"/>
          <w:sz w:val="24"/>
          <w:szCs w:val="24"/>
        </w:rPr>
        <w:t>VAR(</w:t>
      </w:r>
      <w:proofErr w:type="gramEnd"/>
      <w:r w:rsidRPr="00D4701F">
        <w:rPr>
          <w:rFonts w:ascii="Times New Roman" w:hAnsi="Times New Roman" w:cs="Times New Roman"/>
          <w:sz w:val="24"/>
          <w:szCs w:val="24"/>
        </w:rPr>
        <w:t>1) displayed marginal short-term gains, its performance deteriorated in stability tests. The proposed TV-SCVARMA model preserved the forecasting strength of standard VAR while adapting to regime shifts, such as inflation surges, exchange-rate realignments, and monetary interventions, confirming its robustness in an economy subject to frequent shocks.</w:t>
      </w:r>
    </w:p>
    <w:p w:rsidR="00D4701F" w:rsidRPr="00D4701F" w:rsidRDefault="00D4701F" w:rsidP="00D4701F">
      <w:pPr>
        <w:jc w:val="both"/>
        <w:rPr>
          <w:rFonts w:ascii="Times New Roman" w:hAnsi="Times New Roman" w:cs="Times New Roman"/>
          <w:sz w:val="24"/>
          <w:szCs w:val="24"/>
        </w:rPr>
      </w:pPr>
      <w:r w:rsidRPr="00D4701F">
        <w:rPr>
          <w:rFonts w:ascii="Times New Roman" w:hAnsi="Times New Roman" w:cs="Times New Roman"/>
          <w:sz w:val="24"/>
          <w:szCs w:val="24"/>
        </w:rPr>
        <w:lastRenderedPageBreak/>
        <w:t xml:space="preserve">Because inflation and exchange-rate uncertainty rise over longer horizons, the Central Bank of Nigeria and fiscal planners should incorporate time-varying models such as TV-SCVARMA when projecting inflation paths or evaluating interest-rate scenarios. This will reduce the risk of under- or over-correcting policy responses during periods of instability. The findings show that output growth and inflation suffer from high forecast volatility. Policymakers should complement forecasting models with structural reforms, such as diversifying revenue sources, anchoring inflation, and deepening the exchange-rate market, to reduce sensitivity to shocks. Future research should expand the TV-SCVARMA framework by integrating stochastic volatility, non-Gaussian innovations, or Bayesian estimation to examine whether forecast accuracy can be further improved under extreme turbulence, such as oil-price collapses, pandemic shocks, or global financial crises. </w:t>
      </w:r>
    </w:p>
    <w:p w:rsidR="00510500" w:rsidRDefault="00B36161" w:rsidP="00A912A1">
      <w:pPr>
        <w:jc w:val="both"/>
        <w:rPr>
          <w:rFonts w:ascii="Times New Roman" w:hAnsi="Times New Roman" w:cs="Times New Roman"/>
          <w:b/>
          <w:sz w:val="24"/>
          <w:szCs w:val="24"/>
        </w:rPr>
      </w:pPr>
      <w:r w:rsidRPr="0060697A">
        <w:rPr>
          <w:rFonts w:ascii="Times New Roman" w:hAnsi="Times New Roman" w:cs="Times New Roman"/>
          <w:b/>
          <w:sz w:val="24"/>
          <w:szCs w:val="24"/>
        </w:rPr>
        <w:t xml:space="preserve">References </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Adegboyega</w:t>
      </w:r>
      <w:proofErr w:type="spellEnd"/>
      <w:r w:rsidRPr="00510500">
        <w:rPr>
          <w:rFonts w:ascii="Times New Roman" w:hAnsi="Times New Roman" w:cs="Times New Roman"/>
          <w:sz w:val="24"/>
          <w:szCs w:val="24"/>
        </w:rPr>
        <w:t xml:space="preserve">, R. R. (2017). The Impact of Export and Import on Economic Growth in Nigeria: Evidence from VAR Approach. </w:t>
      </w:r>
      <w:r w:rsidRPr="00510500">
        <w:rPr>
          <w:rFonts w:ascii="Times New Roman" w:hAnsi="Times New Roman" w:cs="Times New Roman"/>
          <w:i/>
          <w:sz w:val="24"/>
          <w:szCs w:val="24"/>
        </w:rPr>
        <w:t>Journal of Management and Social Sciences</w:t>
      </w:r>
      <w:r w:rsidRPr="00510500">
        <w:rPr>
          <w:rFonts w:ascii="Times New Roman" w:hAnsi="Times New Roman" w:cs="Times New Roman"/>
          <w:sz w:val="24"/>
          <w:szCs w:val="24"/>
        </w:rPr>
        <w:t>, Volume 6 (Issue 2), 348-364.</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Athanasopoulos</w:t>
      </w:r>
      <w:proofErr w:type="spellEnd"/>
      <w:r w:rsidRPr="00510500">
        <w:rPr>
          <w:rFonts w:ascii="Times New Roman" w:hAnsi="Times New Roman" w:cs="Times New Roman"/>
          <w:sz w:val="24"/>
          <w:szCs w:val="24"/>
        </w:rPr>
        <w:t xml:space="preserve">, G., </w:t>
      </w:r>
      <w:proofErr w:type="spellStart"/>
      <w:r w:rsidRPr="00510500">
        <w:rPr>
          <w:rFonts w:ascii="Times New Roman" w:hAnsi="Times New Roman" w:cs="Times New Roman"/>
          <w:sz w:val="24"/>
          <w:szCs w:val="24"/>
        </w:rPr>
        <w:t>Poskitt</w:t>
      </w:r>
      <w:proofErr w:type="spellEnd"/>
      <w:r w:rsidRPr="00510500">
        <w:rPr>
          <w:rFonts w:ascii="Times New Roman" w:hAnsi="Times New Roman" w:cs="Times New Roman"/>
          <w:sz w:val="24"/>
          <w:szCs w:val="24"/>
        </w:rPr>
        <w:t xml:space="preserve">, D. S., &amp; Vahid, F. (2012). Two canonical VARMA forms: Scalar component models vis-à-vis the Echelon form. </w:t>
      </w:r>
      <w:r w:rsidRPr="00510500">
        <w:rPr>
          <w:rFonts w:ascii="Times New Roman" w:hAnsi="Times New Roman" w:cs="Times New Roman"/>
          <w:i/>
          <w:sz w:val="24"/>
          <w:szCs w:val="24"/>
        </w:rPr>
        <w:t>Econometric Reviews</w:t>
      </w:r>
      <w:r w:rsidRPr="00510500">
        <w:rPr>
          <w:rFonts w:ascii="Times New Roman" w:hAnsi="Times New Roman" w:cs="Times New Roman"/>
          <w:sz w:val="24"/>
          <w:szCs w:val="24"/>
        </w:rPr>
        <w:t xml:space="preserve">, 31(1), 60–83. </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Blazsek</w:t>
      </w:r>
      <w:proofErr w:type="spellEnd"/>
      <w:r w:rsidRPr="00510500">
        <w:rPr>
          <w:rFonts w:ascii="Times New Roman" w:hAnsi="Times New Roman" w:cs="Times New Roman"/>
          <w:sz w:val="24"/>
          <w:szCs w:val="24"/>
        </w:rPr>
        <w:t xml:space="preserve">, S., </w:t>
      </w:r>
      <w:proofErr w:type="spellStart"/>
      <w:r w:rsidRPr="00510500">
        <w:rPr>
          <w:rFonts w:ascii="Times New Roman" w:hAnsi="Times New Roman" w:cs="Times New Roman"/>
          <w:sz w:val="24"/>
          <w:szCs w:val="24"/>
        </w:rPr>
        <w:t>Escribano</w:t>
      </w:r>
      <w:proofErr w:type="spellEnd"/>
      <w:r w:rsidRPr="00510500">
        <w:rPr>
          <w:rFonts w:ascii="Times New Roman" w:hAnsi="Times New Roman" w:cs="Times New Roman"/>
          <w:sz w:val="24"/>
          <w:szCs w:val="24"/>
        </w:rPr>
        <w:t xml:space="preserve">, A., &amp; Licht, A. (2021). Co-integration with score-driven models: An application to US real GDP growth, US inflation rate, and effective federal funds rate. </w:t>
      </w:r>
      <w:r w:rsidRPr="00510500">
        <w:rPr>
          <w:rFonts w:ascii="Times New Roman" w:hAnsi="Times New Roman" w:cs="Times New Roman"/>
          <w:i/>
          <w:sz w:val="24"/>
          <w:szCs w:val="24"/>
        </w:rPr>
        <w:t>Macroeconomic Dynamics</w:t>
      </w:r>
      <w:r w:rsidRPr="00510500">
        <w:rPr>
          <w:rFonts w:ascii="Times New Roman" w:hAnsi="Times New Roman" w:cs="Times New Roman"/>
          <w:sz w:val="24"/>
          <w:szCs w:val="24"/>
        </w:rPr>
        <w:t xml:space="preserve">. </w:t>
      </w:r>
      <w:hyperlink r:id="rId8" w:history="1">
        <w:r w:rsidRPr="00510500">
          <w:rPr>
            <w:rStyle w:val="Hyperlink"/>
            <w:rFonts w:ascii="Times New Roman" w:hAnsi="Times New Roman" w:cs="Times New Roman"/>
            <w:sz w:val="24"/>
            <w:szCs w:val="24"/>
          </w:rPr>
          <w:t>https://doi.org/10.1017/S1365100521000365</w:t>
        </w:r>
      </w:hyperlink>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Chinedu, A. N., </w:t>
      </w:r>
      <w:proofErr w:type="spellStart"/>
      <w:r w:rsidRPr="00510500">
        <w:rPr>
          <w:rFonts w:ascii="Times New Roman" w:hAnsi="Times New Roman" w:cs="Times New Roman"/>
          <w:sz w:val="24"/>
          <w:szCs w:val="24"/>
        </w:rPr>
        <w:t>Okezie</w:t>
      </w:r>
      <w:proofErr w:type="spellEnd"/>
      <w:r w:rsidRPr="00510500">
        <w:rPr>
          <w:rFonts w:ascii="Times New Roman" w:hAnsi="Times New Roman" w:cs="Times New Roman"/>
          <w:sz w:val="24"/>
          <w:szCs w:val="24"/>
        </w:rPr>
        <w:t>, A. I., &amp; Okonkwo, O. N. (2018). Relating Oil Price Differentials to Industrial Production in Nigeria: BVAR Approach. International Journal of Innovative Finance and Economics Research, 6(4), 1-13.</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Commandeur</w:t>
      </w:r>
      <w:proofErr w:type="spellEnd"/>
      <w:r w:rsidRPr="00510500">
        <w:rPr>
          <w:rFonts w:ascii="Times New Roman" w:hAnsi="Times New Roman" w:cs="Times New Roman"/>
          <w:sz w:val="24"/>
          <w:szCs w:val="24"/>
        </w:rPr>
        <w:t xml:space="preserve">, J. J. F., &amp; Koopman, S. J. (2007). </w:t>
      </w:r>
      <w:r w:rsidRPr="00510500">
        <w:rPr>
          <w:rFonts w:ascii="Times New Roman" w:hAnsi="Times New Roman" w:cs="Times New Roman"/>
          <w:i/>
          <w:iCs/>
          <w:sz w:val="24"/>
          <w:szCs w:val="24"/>
        </w:rPr>
        <w:t>An introduction to state space time series analysis</w:t>
      </w:r>
      <w:r w:rsidRPr="00510500">
        <w:rPr>
          <w:rFonts w:ascii="Times New Roman" w:hAnsi="Times New Roman" w:cs="Times New Roman"/>
          <w:sz w:val="24"/>
          <w:szCs w:val="24"/>
        </w:rPr>
        <w:t>. Oxford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Dong, Y., Li, Y., &amp; Lai, M. (2010). Structural damage detection using empirical-mode decomposition and vector autoregressive moving average model. Soil Dynamics and Earthquake Engineering, 30(3), 133–145. </w:t>
      </w:r>
      <w:hyperlink r:id="rId9" w:history="1">
        <w:r w:rsidRPr="00510500">
          <w:rPr>
            <w:rStyle w:val="Hyperlink"/>
            <w:rFonts w:ascii="Times New Roman" w:hAnsi="Times New Roman" w:cs="Times New Roman"/>
            <w:sz w:val="24"/>
            <w:szCs w:val="24"/>
          </w:rPr>
          <w:t>https://doi.org/10.1016/j.soildyn.2009.10.002</w:t>
        </w:r>
      </w:hyperlink>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Durbin, J., &amp; Koopman, S. J. (2012). </w:t>
      </w:r>
      <w:r w:rsidRPr="00510500">
        <w:rPr>
          <w:rFonts w:ascii="Times New Roman" w:hAnsi="Times New Roman" w:cs="Times New Roman"/>
          <w:i/>
          <w:iCs/>
          <w:sz w:val="24"/>
          <w:szCs w:val="24"/>
        </w:rPr>
        <w:t>Time series analysis by state space methods</w:t>
      </w:r>
      <w:r w:rsidRPr="00510500">
        <w:rPr>
          <w:rFonts w:ascii="Times New Roman" w:hAnsi="Times New Roman" w:cs="Times New Roman"/>
          <w:sz w:val="24"/>
          <w:szCs w:val="24"/>
        </w:rPr>
        <w:t xml:space="preserve"> (2nd ed.). Oxford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Gong, X. L., Liu, X. H., </w:t>
      </w:r>
      <w:proofErr w:type="spellStart"/>
      <w:r w:rsidRPr="00510500">
        <w:rPr>
          <w:rFonts w:ascii="Times New Roman" w:hAnsi="Times New Roman" w:cs="Times New Roman"/>
          <w:sz w:val="24"/>
          <w:szCs w:val="24"/>
        </w:rPr>
        <w:t>Xiong</w:t>
      </w:r>
      <w:proofErr w:type="spellEnd"/>
      <w:r w:rsidRPr="00510500">
        <w:rPr>
          <w:rFonts w:ascii="Times New Roman" w:hAnsi="Times New Roman" w:cs="Times New Roman"/>
          <w:sz w:val="24"/>
          <w:szCs w:val="24"/>
        </w:rPr>
        <w:t xml:space="preserve">, X., &amp; Zhuang, X. T. (2019). Non-Gaussian VARMA model with stochastic volatility and applications in stock market bubbles. Chaos, Solitons and Fractals, 121, 129–136. </w:t>
      </w:r>
      <w:hyperlink r:id="rId10" w:history="1">
        <w:r w:rsidRPr="00510500">
          <w:rPr>
            <w:rStyle w:val="Hyperlink"/>
            <w:rFonts w:ascii="Times New Roman" w:hAnsi="Times New Roman" w:cs="Times New Roman"/>
            <w:sz w:val="24"/>
            <w:szCs w:val="24"/>
          </w:rPr>
          <w:t>https://doi.org/10.1016/j.chaos.2019.01.040</w:t>
        </w:r>
      </w:hyperlink>
    </w:p>
    <w:p w:rsidR="00510500" w:rsidRPr="00510500" w:rsidRDefault="00510500" w:rsidP="00A77D88">
      <w:pPr>
        <w:jc w:val="both"/>
        <w:rPr>
          <w:rFonts w:ascii="Times New Roman" w:hAnsi="Times New Roman" w:cs="Times New Roman"/>
          <w:sz w:val="24"/>
          <w:szCs w:val="24"/>
          <w:u w:val="single"/>
        </w:rPr>
      </w:pPr>
      <w:proofErr w:type="spellStart"/>
      <w:r w:rsidRPr="00510500">
        <w:rPr>
          <w:rFonts w:ascii="Times New Roman" w:hAnsi="Times New Roman" w:cs="Times New Roman"/>
          <w:sz w:val="24"/>
          <w:szCs w:val="24"/>
        </w:rPr>
        <w:t>Gouriéroux</w:t>
      </w:r>
      <w:proofErr w:type="spellEnd"/>
      <w:r w:rsidRPr="00510500">
        <w:rPr>
          <w:rFonts w:ascii="Times New Roman" w:hAnsi="Times New Roman" w:cs="Times New Roman"/>
          <w:sz w:val="24"/>
          <w:szCs w:val="24"/>
        </w:rPr>
        <w:t xml:space="preserve">, C., </w:t>
      </w:r>
      <w:proofErr w:type="spellStart"/>
      <w:r w:rsidRPr="00510500">
        <w:rPr>
          <w:rFonts w:ascii="Times New Roman" w:hAnsi="Times New Roman" w:cs="Times New Roman"/>
          <w:sz w:val="24"/>
          <w:szCs w:val="24"/>
        </w:rPr>
        <w:t>Monfort</w:t>
      </w:r>
      <w:proofErr w:type="spellEnd"/>
      <w:r w:rsidRPr="00510500">
        <w:rPr>
          <w:rFonts w:ascii="Times New Roman" w:hAnsi="Times New Roman" w:cs="Times New Roman"/>
          <w:sz w:val="24"/>
          <w:szCs w:val="24"/>
        </w:rPr>
        <w:t xml:space="preserve">, A., &amp; </w:t>
      </w:r>
      <w:proofErr w:type="spellStart"/>
      <w:r w:rsidRPr="00510500">
        <w:rPr>
          <w:rFonts w:ascii="Times New Roman" w:hAnsi="Times New Roman" w:cs="Times New Roman"/>
          <w:sz w:val="24"/>
          <w:szCs w:val="24"/>
        </w:rPr>
        <w:t>Renne</w:t>
      </w:r>
      <w:proofErr w:type="spellEnd"/>
      <w:r w:rsidRPr="00510500">
        <w:rPr>
          <w:rFonts w:ascii="Times New Roman" w:hAnsi="Times New Roman" w:cs="Times New Roman"/>
          <w:sz w:val="24"/>
          <w:szCs w:val="24"/>
        </w:rPr>
        <w:t xml:space="preserve">, J. P. (2020). Identification and Estimation in Non-Fundamental Structural VARMA Models. </w:t>
      </w:r>
      <w:r w:rsidRPr="00510500">
        <w:rPr>
          <w:rFonts w:ascii="Times New Roman" w:hAnsi="Times New Roman" w:cs="Times New Roman"/>
          <w:i/>
          <w:sz w:val="24"/>
          <w:szCs w:val="24"/>
        </w:rPr>
        <w:t>Review of Economic Studies</w:t>
      </w:r>
      <w:r w:rsidRPr="00510500">
        <w:rPr>
          <w:rFonts w:ascii="Times New Roman" w:hAnsi="Times New Roman" w:cs="Times New Roman"/>
          <w:sz w:val="24"/>
          <w:szCs w:val="24"/>
        </w:rPr>
        <w:t xml:space="preserve">, 87(4), 1915–1953. </w:t>
      </w:r>
      <w:hyperlink r:id="rId11" w:history="1">
        <w:r w:rsidRPr="00510500">
          <w:rPr>
            <w:rStyle w:val="Hyperlink"/>
            <w:rFonts w:ascii="Times New Roman" w:hAnsi="Times New Roman" w:cs="Times New Roman"/>
            <w:sz w:val="24"/>
            <w:szCs w:val="24"/>
          </w:rPr>
          <w:t>https://doi.org/10.1093/restud/rdz028</w:t>
        </w:r>
      </w:hyperlink>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Granger, C., &amp; Newbold, P. (1974). Spurious Regression in Econometrics. </w:t>
      </w:r>
      <w:r w:rsidRPr="00510500">
        <w:rPr>
          <w:rFonts w:ascii="Times New Roman" w:hAnsi="Times New Roman" w:cs="Times New Roman"/>
          <w:i/>
          <w:sz w:val="24"/>
          <w:szCs w:val="24"/>
        </w:rPr>
        <w:t>Journal of Econometrics</w:t>
      </w:r>
      <w:r w:rsidRPr="00510500">
        <w:rPr>
          <w:rFonts w:ascii="Times New Roman" w:hAnsi="Times New Roman" w:cs="Times New Roman"/>
          <w:sz w:val="24"/>
          <w:szCs w:val="24"/>
        </w:rPr>
        <w:t>, 2(2), 111-120.</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lastRenderedPageBreak/>
        <w:t xml:space="preserve">Hamilton, J. D. (1994). </w:t>
      </w:r>
      <w:r w:rsidRPr="00510500">
        <w:rPr>
          <w:rFonts w:ascii="Times New Roman" w:hAnsi="Times New Roman" w:cs="Times New Roman"/>
          <w:i/>
          <w:iCs/>
          <w:sz w:val="24"/>
          <w:szCs w:val="24"/>
        </w:rPr>
        <w:t>Time series analysis</w:t>
      </w:r>
      <w:r w:rsidRPr="00510500">
        <w:rPr>
          <w:rFonts w:ascii="Times New Roman" w:hAnsi="Times New Roman" w:cs="Times New Roman"/>
          <w:sz w:val="24"/>
          <w:szCs w:val="24"/>
        </w:rPr>
        <w:t>. Princeton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Harvey, A. C. (1990). </w:t>
      </w:r>
      <w:r w:rsidRPr="00510500">
        <w:rPr>
          <w:rFonts w:ascii="Times New Roman" w:hAnsi="Times New Roman" w:cs="Times New Roman"/>
          <w:i/>
          <w:iCs/>
          <w:sz w:val="24"/>
          <w:szCs w:val="24"/>
        </w:rPr>
        <w:t>Forecasting, structural time series models and the Kalman filter</w:t>
      </w:r>
      <w:r w:rsidRPr="00510500">
        <w:rPr>
          <w:rFonts w:ascii="Times New Roman" w:hAnsi="Times New Roman" w:cs="Times New Roman"/>
          <w:sz w:val="24"/>
          <w:szCs w:val="24"/>
        </w:rPr>
        <w:t>. Cambridge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Kim, C. J., &amp; Nelson, C. R. (1999). </w:t>
      </w:r>
      <w:r w:rsidRPr="00510500">
        <w:rPr>
          <w:rFonts w:ascii="Times New Roman" w:hAnsi="Times New Roman" w:cs="Times New Roman"/>
          <w:i/>
          <w:iCs/>
          <w:sz w:val="24"/>
          <w:szCs w:val="24"/>
        </w:rPr>
        <w:t>State-space models with regime switching: Classical and Gibbs-sampling approaches with applications</w:t>
      </w:r>
      <w:r w:rsidRPr="00510500">
        <w:rPr>
          <w:rFonts w:ascii="Times New Roman" w:hAnsi="Times New Roman" w:cs="Times New Roman"/>
          <w:sz w:val="24"/>
          <w:szCs w:val="24"/>
        </w:rPr>
        <w:t>. MIT Press.</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Lütkepohl</w:t>
      </w:r>
      <w:proofErr w:type="spellEnd"/>
      <w:r w:rsidRPr="00510500">
        <w:rPr>
          <w:rFonts w:ascii="Times New Roman" w:hAnsi="Times New Roman" w:cs="Times New Roman"/>
          <w:sz w:val="24"/>
          <w:szCs w:val="24"/>
        </w:rPr>
        <w:t xml:space="preserve">, H. (2005). </w:t>
      </w:r>
      <w:r w:rsidRPr="00510500">
        <w:rPr>
          <w:rFonts w:ascii="Times New Roman" w:hAnsi="Times New Roman" w:cs="Times New Roman"/>
          <w:i/>
          <w:iCs/>
          <w:sz w:val="24"/>
          <w:szCs w:val="24"/>
        </w:rPr>
        <w:t>New introduction to multiple time series analysis</w:t>
      </w:r>
      <w:r w:rsidRPr="00510500">
        <w:rPr>
          <w:rFonts w:ascii="Times New Roman" w:hAnsi="Times New Roman" w:cs="Times New Roman"/>
          <w:sz w:val="24"/>
          <w:szCs w:val="24"/>
        </w:rPr>
        <w:t>. Springer.</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Manera</w:t>
      </w:r>
      <w:proofErr w:type="spellEnd"/>
      <w:r w:rsidRPr="00510500">
        <w:rPr>
          <w:rFonts w:ascii="Times New Roman" w:hAnsi="Times New Roman" w:cs="Times New Roman"/>
          <w:sz w:val="24"/>
          <w:szCs w:val="24"/>
        </w:rPr>
        <w:t xml:space="preserve">, M., McAleer, M., &amp; Grasso, M. (2006). Modelling time-varying conditional correlations in the volatility of Tapis oil spot and forward returns. </w:t>
      </w:r>
      <w:r w:rsidRPr="00510500">
        <w:rPr>
          <w:rFonts w:ascii="Times New Roman" w:hAnsi="Times New Roman" w:cs="Times New Roman"/>
          <w:i/>
          <w:sz w:val="24"/>
          <w:szCs w:val="24"/>
        </w:rPr>
        <w:t>Applied Financial Economics</w:t>
      </w:r>
      <w:r w:rsidRPr="00510500">
        <w:rPr>
          <w:rFonts w:ascii="Times New Roman" w:hAnsi="Times New Roman" w:cs="Times New Roman"/>
          <w:sz w:val="24"/>
          <w:szCs w:val="24"/>
        </w:rPr>
        <w:t>, 16(7), 525–533. https://doi.org/10.1080/09603100500426465</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Ogun, T. P. (2010). Infrastructure and poverty reduction: Implications for urban development in Nigeria, WIDER Working Paper, No. 2010/43, ISBN 978-92-9230-280-1, The United Nations University World Institute for Development Economics Research (UNU-WIDER), Helsinki</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Okoronkwo</w:t>
      </w:r>
      <w:proofErr w:type="spellEnd"/>
      <w:r w:rsidRPr="00510500">
        <w:rPr>
          <w:rFonts w:ascii="Times New Roman" w:hAnsi="Times New Roman" w:cs="Times New Roman"/>
          <w:sz w:val="24"/>
          <w:szCs w:val="24"/>
        </w:rPr>
        <w:t xml:space="preserve">, U. C., </w:t>
      </w:r>
      <w:proofErr w:type="spellStart"/>
      <w:r w:rsidRPr="00510500">
        <w:rPr>
          <w:rFonts w:ascii="Times New Roman" w:hAnsi="Times New Roman" w:cs="Times New Roman"/>
          <w:sz w:val="24"/>
          <w:szCs w:val="24"/>
        </w:rPr>
        <w:t>Ujumadu</w:t>
      </w:r>
      <w:proofErr w:type="spellEnd"/>
      <w:r w:rsidRPr="00510500">
        <w:rPr>
          <w:rFonts w:ascii="Times New Roman" w:hAnsi="Times New Roman" w:cs="Times New Roman"/>
          <w:sz w:val="24"/>
          <w:szCs w:val="24"/>
        </w:rPr>
        <w:t xml:space="preserve">, R. N., &amp; </w:t>
      </w:r>
      <w:proofErr w:type="spellStart"/>
      <w:r w:rsidRPr="00510500">
        <w:rPr>
          <w:rFonts w:ascii="Times New Roman" w:hAnsi="Times New Roman" w:cs="Times New Roman"/>
          <w:sz w:val="24"/>
          <w:szCs w:val="24"/>
        </w:rPr>
        <w:t>Osu</w:t>
      </w:r>
      <w:proofErr w:type="spellEnd"/>
      <w:r w:rsidRPr="00510500">
        <w:rPr>
          <w:rFonts w:ascii="Times New Roman" w:hAnsi="Times New Roman" w:cs="Times New Roman"/>
          <w:sz w:val="24"/>
          <w:szCs w:val="24"/>
        </w:rPr>
        <w:t xml:space="preserve">, B. O. (2017). A VAR Approach to Exchange Rate and Economic Growth in Nigeria. </w:t>
      </w:r>
      <w:r w:rsidRPr="00510500">
        <w:rPr>
          <w:rFonts w:ascii="Times New Roman" w:hAnsi="Times New Roman" w:cs="Times New Roman"/>
          <w:i/>
          <w:sz w:val="24"/>
          <w:szCs w:val="24"/>
        </w:rPr>
        <w:t>Journal of Mathematical Finance</w:t>
      </w:r>
      <w:r w:rsidRPr="00510500">
        <w:rPr>
          <w:rFonts w:ascii="Times New Roman" w:hAnsi="Times New Roman" w:cs="Times New Roman"/>
          <w:sz w:val="24"/>
          <w:szCs w:val="24"/>
        </w:rPr>
        <w:t>, 7(4), 834-845. doi:10.4236/jmf.2017.74044.</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Shaibu</w:t>
      </w:r>
      <w:proofErr w:type="spellEnd"/>
      <w:r w:rsidRPr="00510500">
        <w:rPr>
          <w:rFonts w:ascii="Times New Roman" w:hAnsi="Times New Roman" w:cs="Times New Roman"/>
          <w:sz w:val="24"/>
          <w:szCs w:val="24"/>
        </w:rPr>
        <w:t xml:space="preserve">, I., &amp; </w:t>
      </w:r>
      <w:proofErr w:type="spellStart"/>
      <w:r w:rsidRPr="00510500">
        <w:rPr>
          <w:rFonts w:ascii="Times New Roman" w:hAnsi="Times New Roman" w:cs="Times New Roman"/>
          <w:sz w:val="24"/>
          <w:szCs w:val="24"/>
        </w:rPr>
        <w:t>Osamwonyi</w:t>
      </w:r>
      <w:proofErr w:type="spellEnd"/>
      <w:r w:rsidRPr="00510500">
        <w:rPr>
          <w:rFonts w:ascii="Times New Roman" w:hAnsi="Times New Roman" w:cs="Times New Roman"/>
          <w:sz w:val="24"/>
          <w:szCs w:val="24"/>
        </w:rPr>
        <w:t xml:space="preserve">, I. O. (2020). A Comparative Analysis of Inflation Dynamics Models in Nigeria. </w:t>
      </w:r>
      <w:r w:rsidRPr="00510500">
        <w:rPr>
          <w:rFonts w:ascii="Times New Roman" w:hAnsi="Times New Roman" w:cs="Times New Roman"/>
          <w:i/>
          <w:sz w:val="24"/>
          <w:szCs w:val="24"/>
        </w:rPr>
        <w:t>International Journal of Academic Research in Business and Social Sciences</w:t>
      </w:r>
      <w:r w:rsidRPr="00510500">
        <w:rPr>
          <w:rFonts w:ascii="Times New Roman" w:hAnsi="Times New Roman" w:cs="Times New Roman"/>
          <w:sz w:val="24"/>
          <w:szCs w:val="24"/>
        </w:rPr>
        <w:t>, Vol. 10, No. 2, 558-577.</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Simionescu</w:t>
      </w:r>
      <w:proofErr w:type="spellEnd"/>
      <w:r w:rsidRPr="00510500">
        <w:rPr>
          <w:rFonts w:ascii="Times New Roman" w:hAnsi="Times New Roman" w:cs="Times New Roman"/>
          <w:sz w:val="24"/>
          <w:szCs w:val="24"/>
        </w:rPr>
        <w:t xml:space="preserve">, M. (2013). The use of </w:t>
      </w:r>
      <w:proofErr w:type="spellStart"/>
      <w:r w:rsidRPr="00510500">
        <w:rPr>
          <w:rFonts w:ascii="Times New Roman" w:hAnsi="Times New Roman" w:cs="Times New Roman"/>
          <w:sz w:val="24"/>
          <w:szCs w:val="24"/>
        </w:rPr>
        <w:t>varma</w:t>
      </w:r>
      <w:proofErr w:type="spellEnd"/>
      <w:r w:rsidRPr="00510500">
        <w:rPr>
          <w:rFonts w:ascii="Times New Roman" w:hAnsi="Times New Roman" w:cs="Times New Roman"/>
          <w:sz w:val="24"/>
          <w:szCs w:val="24"/>
        </w:rPr>
        <w:t xml:space="preserve"> models in forecasting macroeconomic indicators. </w:t>
      </w:r>
      <w:r w:rsidRPr="00510500">
        <w:rPr>
          <w:rFonts w:ascii="Times New Roman" w:hAnsi="Times New Roman" w:cs="Times New Roman"/>
          <w:i/>
          <w:sz w:val="24"/>
          <w:szCs w:val="24"/>
        </w:rPr>
        <w:t>Economics and Sociology</w:t>
      </w:r>
      <w:r w:rsidRPr="00510500">
        <w:rPr>
          <w:rFonts w:ascii="Times New Roman" w:hAnsi="Times New Roman" w:cs="Times New Roman"/>
          <w:sz w:val="24"/>
          <w:szCs w:val="24"/>
        </w:rPr>
        <w:t xml:space="preserve">, 6(2), 94–102. </w:t>
      </w:r>
      <w:hyperlink r:id="rId12" w:history="1">
        <w:r w:rsidRPr="00510500">
          <w:rPr>
            <w:rStyle w:val="Hyperlink"/>
            <w:rFonts w:ascii="Times New Roman" w:hAnsi="Times New Roman" w:cs="Times New Roman"/>
            <w:sz w:val="24"/>
            <w:szCs w:val="24"/>
          </w:rPr>
          <w:t>https://doi.org/10.14254/2071-789X.2013/6-2/9</w:t>
        </w:r>
      </w:hyperlink>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Tiao</w:t>
      </w:r>
      <w:proofErr w:type="spellEnd"/>
      <w:r w:rsidRPr="00510500">
        <w:rPr>
          <w:rFonts w:ascii="Times New Roman" w:hAnsi="Times New Roman" w:cs="Times New Roman"/>
          <w:sz w:val="24"/>
          <w:szCs w:val="24"/>
        </w:rPr>
        <w:t xml:space="preserve">, G. C., &amp; </w:t>
      </w:r>
      <w:proofErr w:type="spellStart"/>
      <w:r w:rsidRPr="00510500">
        <w:rPr>
          <w:rFonts w:ascii="Times New Roman" w:hAnsi="Times New Roman" w:cs="Times New Roman"/>
          <w:sz w:val="24"/>
          <w:szCs w:val="24"/>
        </w:rPr>
        <w:t>Tsay</w:t>
      </w:r>
      <w:proofErr w:type="spellEnd"/>
      <w:r w:rsidRPr="00510500">
        <w:rPr>
          <w:rFonts w:ascii="Times New Roman" w:hAnsi="Times New Roman" w:cs="Times New Roman"/>
          <w:sz w:val="24"/>
          <w:szCs w:val="24"/>
        </w:rPr>
        <w:t xml:space="preserve">, R. S. (1989). Model specification in multivariate time series. </w:t>
      </w:r>
      <w:r w:rsidRPr="00510500">
        <w:rPr>
          <w:rFonts w:ascii="Times New Roman" w:hAnsi="Times New Roman" w:cs="Times New Roman"/>
          <w:i/>
          <w:iCs/>
          <w:sz w:val="24"/>
          <w:szCs w:val="24"/>
        </w:rPr>
        <w:t>Journal of the Royal Statistical Society: Series B (Methodological)</w:t>
      </w:r>
      <w:r w:rsidRPr="00510500">
        <w:rPr>
          <w:rFonts w:ascii="Times New Roman" w:hAnsi="Times New Roman" w:cs="Times New Roman"/>
          <w:sz w:val="24"/>
          <w:szCs w:val="24"/>
        </w:rPr>
        <w:t>, 51(2), 157–213</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Trevor, R. G., &amp; Thorp, S. J. (1988). VAR Forecasting Models of the Australian Economy: A Preliminary Analysis. RBA Research Discussion Papers rdp8802, Reserve Bank of Australia.</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Tsay</w:t>
      </w:r>
      <w:proofErr w:type="spellEnd"/>
      <w:r w:rsidRPr="00510500">
        <w:rPr>
          <w:rFonts w:ascii="Times New Roman" w:hAnsi="Times New Roman" w:cs="Times New Roman"/>
          <w:sz w:val="24"/>
          <w:szCs w:val="24"/>
        </w:rPr>
        <w:t xml:space="preserve">, R. S. (2014). </w:t>
      </w:r>
      <w:r w:rsidRPr="00510500">
        <w:rPr>
          <w:rFonts w:ascii="Times New Roman" w:hAnsi="Times New Roman" w:cs="Times New Roman"/>
          <w:i/>
          <w:iCs/>
          <w:sz w:val="24"/>
          <w:szCs w:val="24"/>
        </w:rPr>
        <w:t>Multivariate time series analysis: With R and financial applications</w:t>
      </w:r>
      <w:r w:rsidRPr="00510500">
        <w:rPr>
          <w:rFonts w:ascii="Times New Roman" w:hAnsi="Times New Roman" w:cs="Times New Roman"/>
          <w:sz w:val="24"/>
          <w:szCs w:val="24"/>
        </w:rPr>
        <w:t>. Wiley.</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Yinfeng</w:t>
      </w:r>
      <w:proofErr w:type="spellEnd"/>
      <w:r w:rsidRPr="00510500">
        <w:rPr>
          <w:rFonts w:ascii="Times New Roman" w:hAnsi="Times New Roman" w:cs="Times New Roman"/>
          <w:sz w:val="24"/>
          <w:szCs w:val="24"/>
        </w:rPr>
        <w:t xml:space="preserve">, D., </w:t>
      </w:r>
      <w:proofErr w:type="spellStart"/>
      <w:r w:rsidRPr="00510500">
        <w:rPr>
          <w:rFonts w:ascii="Times New Roman" w:hAnsi="Times New Roman" w:cs="Times New Roman"/>
          <w:sz w:val="24"/>
          <w:szCs w:val="24"/>
        </w:rPr>
        <w:t>Yingmin</w:t>
      </w:r>
      <w:proofErr w:type="spellEnd"/>
      <w:r w:rsidRPr="00510500">
        <w:rPr>
          <w:rFonts w:ascii="Times New Roman" w:hAnsi="Times New Roman" w:cs="Times New Roman"/>
          <w:sz w:val="24"/>
          <w:szCs w:val="24"/>
        </w:rPr>
        <w:t xml:space="preserve">, L., </w:t>
      </w:r>
      <w:proofErr w:type="spellStart"/>
      <w:r w:rsidRPr="00510500">
        <w:rPr>
          <w:rFonts w:ascii="Times New Roman" w:hAnsi="Times New Roman" w:cs="Times New Roman"/>
          <w:sz w:val="24"/>
          <w:szCs w:val="24"/>
        </w:rPr>
        <w:t>Mingkui</w:t>
      </w:r>
      <w:proofErr w:type="spellEnd"/>
      <w:r w:rsidRPr="00510500">
        <w:rPr>
          <w:rFonts w:ascii="Times New Roman" w:hAnsi="Times New Roman" w:cs="Times New Roman"/>
          <w:sz w:val="24"/>
          <w:szCs w:val="24"/>
        </w:rPr>
        <w:t xml:space="preserve">, X., &amp; Ming, L. (2008). Analysis of earthquake ground motions using an improved Hilbert-Huang transform. </w:t>
      </w:r>
      <w:r w:rsidRPr="00510500">
        <w:rPr>
          <w:rFonts w:ascii="Times New Roman" w:hAnsi="Times New Roman" w:cs="Times New Roman"/>
          <w:i/>
          <w:sz w:val="24"/>
          <w:szCs w:val="24"/>
        </w:rPr>
        <w:t>Soil Dynamics and Earthquake Engineering,</w:t>
      </w:r>
      <w:r w:rsidRPr="00510500">
        <w:rPr>
          <w:rFonts w:ascii="Times New Roman" w:hAnsi="Times New Roman" w:cs="Times New Roman"/>
          <w:sz w:val="24"/>
          <w:szCs w:val="24"/>
        </w:rPr>
        <w:t xml:space="preserve"> 28(1), 7–19. </w:t>
      </w:r>
      <w:hyperlink r:id="rId13" w:history="1">
        <w:r w:rsidRPr="00510500">
          <w:rPr>
            <w:rStyle w:val="Hyperlink"/>
            <w:rFonts w:ascii="Times New Roman" w:hAnsi="Times New Roman" w:cs="Times New Roman"/>
            <w:sz w:val="24"/>
            <w:szCs w:val="24"/>
          </w:rPr>
          <w:t>https://doi.org/10.1016/j.soildyn.2007.05.00</w:t>
        </w:r>
      </w:hyperlink>
    </w:p>
    <w:p w:rsidR="00510500" w:rsidRPr="00510500" w:rsidRDefault="00510500" w:rsidP="00A77D88">
      <w:pPr>
        <w:jc w:val="both"/>
        <w:rPr>
          <w:rFonts w:ascii="Times New Roman" w:hAnsi="Times New Roman" w:cs="Times New Roman"/>
          <w:sz w:val="24"/>
          <w:szCs w:val="24"/>
          <w:u w:val="single"/>
        </w:rPr>
      </w:pPr>
      <w:r w:rsidRPr="00510500">
        <w:rPr>
          <w:rFonts w:ascii="Times New Roman" w:hAnsi="Times New Roman" w:cs="Times New Roman"/>
          <w:sz w:val="24"/>
          <w:szCs w:val="24"/>
        </w:rPr>
        <w:t xml:space="preserve">Yu, H., &amp; Xu, G. (2022). Earthquake signal noise filtering and baseline correction based on MEEMD and time-varying VARMA model. </w:t>
      </w:r>
      <w:r w:rsidRPr="00510500">
        <w:rPr>
          <w:rFonts w:ascii="Times New Roman" w:hAnsi="Times New Roman" w:cs="Times New Roman"/>
          <w:i/>
          <w:sz w:val="24"/>
          <w:szCs w:val="24"/>
        </w:rPr>
        <w:t>Earthquake Engineering and Engineering Dynamics</w:t>
      </w:r>
      <w:r w:rsidRPr="00510500">
        <w:rPr>
          <w:rFonts w:ascii="Times New Roman" w:hAnsi="Times New Roman" w:cs="Times New Roman"/>
          <w:sz w:val="24"/>
          <w:szCs w:val="24"/>
        </w:rPr>
        <w:t xml:space="preserve">, 42(2), 172–180. </w:t>
      </w:r>
      <w:hyperlink r:id="rId14" w:history="1">
        <w:r w:rsidRPr="00510500">
          <w:rPr>
            <w:rStyle w:val="Hyperlink"/>
            <w:rFonts w:ascii="Times New Roman" w:hAnsi="Times New Roman" w:cs="Times New Roman"/>
            <w:sz w:val="24"/>
            <w:szCs w:val="24"/>
          </w:rPr>
          <w:t>https://doi.org/10.13197/j.eeed.2022.0217</w:t>
        </w:r>
      </w:hyperlink>
    </w:p>
    <w:p w:rsidR="00B36161" w:rsidRPr="00510500" w:rsidRDefault="00B36161" w:rsidP="00510500">
      <w:pPr>
        <w:rPr>
          <w:rFonts w:ascii="Times New Roman" w:hAnsi="Times New Roman" w:cs="Times New Roman"/>
          <w:sz w:val="24"/>
          <w:szCs w:val="24"/>
        </w:rPr>
      </w:pPr>
    </w:p>
    <w:sectPr w:rsidR="00B36161" w:rsidRPr="0051050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B44" w:rsidRDefault="00931B44" w:rsidP="00C72BA0">
      <w:pPr>
        <w:spacing w:after="0" w:line="240" w:lineRule="auto"/>
      </w:pPr>
      <w:r>
        <w:separator/>
      </w:r>
    </w:p>
  </w:endnote>
  <w:endnote w:type="continuationSeparator" w:id="0">
    <w:p w:rsidR="00931B44" w:rsidRDefault="00931B44" w:rsidP="00C7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B44" w:rsidRDefault="00931B44" w:rsidP="00C72BA0">
      <w:pPr>
        <w:spacing w:after="0" w:line="240" w:lineRule="auto"/>
      </w:pPr>
      <w:r>
        <w:separator/>
      </w:r>
    </w:p>
  </w:footnote>
  <w:footnote w:type="continuationSeparator" w:id="0">
    <w:p w:rsidR="00931B44" w:rsidRDefault="00931B44" w:rsidP="00C72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4CD" w:rsidRDefault="0011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1E5B"/>
    <w:multiLevelType w:val="hybridMultilevel"/>
    <w:tmpl w:val="9334C696"/>
    <w:lvl w:ilvl="0" w:tplc="E23CDC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6EB0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CB3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A682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A9F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DECF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70F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45E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DAEF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4F09D6"/>
    <w:multiLevelType w:val="hybridMultilevel"/>
    <w:tmpl w:val="13CE4456"/>
    <w:lvl w:ilvl="0" w:tplc="2E782B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C36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7046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1809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85F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BEC1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CE11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84BD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88D3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013EEF"/>
    <w:multiLevelType w:val="hybridMultilevel"/>
    <w:tmpl w:val="3E908482"/>
    <w:lvl w:ilvl="0" w:tplc="163439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76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908A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E61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1874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00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8F6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46EB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9858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5F56CC"/>
    <w:multiLevelType w:val="multilevel"/>
    <w:tmpl w:val="31F2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06DFA"/>
    <w:multiLevelType w:val="hybridMultilevel"/>
    <w:tmpl w:val="C27453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5FF5"/>
    <w:multiLevelType w:val="hybridMultilevel"/>
    <w:tmpl w:val="46EAE4C2"/>
    <w:lvl w:ilvl="0" w:tplc="5BEAAE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B0B48"/>
    <w:multiLevelType w:val="multilevel"/>
    <w:tmpl w:val="1584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D0FEA"/>
    <w:multiLevelType w:val="multilevel"/>
    <w:tmpl w:val="66F2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C4732"/>
    <w:multiLevelType w:val="multilevel"/>
    <w:tmpl w:val="0A84E37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50FAA"/>
    <w:multiLevelType w:val="multilevel"/>
    <w:tmpl w:val="1914532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755437"/>
    <w:multiLevelType w:val="multilevel"/>
    <w:tmpl w:val="1DBC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82266"/>
    <w:multiLevelType w:val="multilevel"/>
    <w:tmpl w:val="D3421A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27DE5"/>
    <w:multiLevelType w:val="multilevel"/>
    <w:tmpl w:val="1704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DC60BB"/>
    <w:multiLevelType w:val="hybridMultilevel"/>
    <w:tmpl w:val="7AC2E70C"/>
    <w:lvl w:ilvl="0" w:tplc="6C58FF6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030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6FD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606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88D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469F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208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86D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6B5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643938"/>
    <w:multiLevelType w:val="hybridMultilevel"/>
    <w:tmpl w:val="B628BFA4"/>
    <w:lvl w:ilvl="0" w:tplc="79B450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8AA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8455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72E0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94C4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0B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E80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624A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053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B961FB"/>
    <w:multiLevelType w:val="hybridMultilevel"/>
    <w:tmpl w:val="5AD07072"/>
    <w:lvl w:ilvl="0" w:tplc="1F0A0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02B6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C53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28F1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826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63E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CAA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EA64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A25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174CAB"/>
    <w:multiLevelType w:val="hybridMultilevel"/>
    <w:tmpl w:val="F96EA73C"/>
    <w:lvl w:ilvl="0" w:tplc="1D50D1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AFA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A99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692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03A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894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4E3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465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E54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F83C0E"/>
    <w:multiLevelType w:val="hybridMultilevel"/>
    <w:tmpl w:val="634A9EA2"/>
    <w:lvl w:ilvl="0" w:tplc="2A9ADA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505B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CB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6050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C1C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84BD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48D2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691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8639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58413C"/>
    <w:multiLevelType w:val="hybridMultilevel"/>
    <w:tmpl w:val="B1161120"/>
    <w:lvl w:ilvl="0" w:tplc="35681E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DA7D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5E86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0C88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A43C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EAD6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00E7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8483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8E0C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F129D2"/>
    <w:multiLevelType w:val="hybridMultilevel"/>
    <w:tmpl w:val="46A45D7E"/>
    <w:lvl w:ilvl="0" w:tplc="1B3C3B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36CD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63D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4A29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C67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CB2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CAA6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4B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8AC1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9916F0"/>
    <w:multiLevelType w:val="multilevel"/>
    <w:tmpl w:val="512A4F7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3372EB"/>
    <w:multiLevelType w:val="multilevel"/>
    <w:tmpl w:val="DE02B58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A14ED"/>
    <w:multiLevelType w:val="hybridMultilevel"/>
    <w:tmpl w:val="0BF2B0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A7B53"/>
    <w:multiLevelType w:val="hybridMultilevel"/>
    <w:tmpl w:val="D8E8FD2C"/>
    <w:lvl w:ilvl="0" w:tplc="369449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467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224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70AD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C22A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7450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404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6AFA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A2C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BE186D"/>
    <w:multiLevelType w:val="hybridMultilevel"/>
    <w:tmpl w:val="6A7EF872"/>
    <w:lvl w:ilvl="0" w:tplc="B22E44EC">
      <w:start w:val="7"/>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98B69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E078D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0EF6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5649C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0ACC8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504D1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3C72D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2EDD6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5C6481"/>
    <w:multiLevelType w:val="hybridMultilevel"/>
    <w:tmpl w:val="D11A5638"/>
    <w:lvl w:ilvl="0" w:tplc="1BFE3B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668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828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BE73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A65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A2B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1471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A4A3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E59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C649B6"/>
    <w:multiLevelType w:val="hybridMultilevel"/>
    <w:tmpl w:val="2C96FFA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484D06"/>
    <w:multiLevelType w:val="hybridMultilevel"/>
    <w:tmpl w:val="52A27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2CF0BC1"/>
    <w:multiLevelType w:val="hybridMultilevel"/>
    <w:tmpl w:val="4828ABA8"/>
    <w:lvl w:ilvl="0" w:tplc="C82CC0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6C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1087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9AB7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DA39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2ED6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875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E4A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B438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212DE2"/>
    <w:multiLevelType w:val="hybridMultilevel"/>
    <w:tmpl w:val="F1B44AF4"/>
    <w:lvl w:ilvl="0" w:tplc="E9C01D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446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249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6F6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467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66A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8838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BC36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E30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516B24"/>
    <w:multiLevelType w:val="hybridMultilevel"/>
    <w:tmpl w:val="089E138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4A13CD"/>
    <w:multiLevelType w:val="multilevel"/>
    <w:tmpl w:val="CD04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845B65"/>
    <w:multiLevelType w:val="hybridMultilevel"/>
    <w:tmpl w:val="E7A0771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583315D"/>
    <w:multiLevelType w:val="hybridMultilevel"/>
    <w:tmpl w:val="FC3AE13E"/>
    <w:lvl w:ilvl="0" w:tplc="A5D8FF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C8EF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806B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EBF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0CD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E4DC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0CD3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2A13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0E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5F1195C"/>
    <w:multiLevelType w:val="hybridMultilevel"/>
    <w:tmpl w:val="FDE4A372"/>
    <w:lvl w:ilvl="0" w:tplc="89120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21B71"/>
    <w:multiLevelType w:val="hybridMultilevel"/>
    <w:tmpl w:val="F2CC0392"/>
    <w:lvl w:ilvl="0" w:tplc="419416C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057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0DE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29C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491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4CD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A89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D7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EBC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AD3F8C"/>
    <w:multiLevelType w:val="hybridMultilevel"/>
    <w:tmpl w:val="99107E4A"/>
    <w:lvl w:ilvl="0" w:tplc="FDD0A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A842DC"/>
    <w:multiLevelType w:val="hybridMultilevel"/>
    <w:tmpl w:val="547C9A32"/>
    <w:lvl w:ilvl="0" w:tplc="095C5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875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C41B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CCE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A46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6E01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BEF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C4D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1CE3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99E7F4D"/>
    <w:multiLevelType w:val="hybridMultilevel"/>
    <w:tmpl w:val="0CE28B18"/>
    <w:lvl w:ilvl="0" w:tplc="8D6AB5D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0EB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61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E80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605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401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EDA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06F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666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9213BF"/>
    <w:multiLevelType w:val="hybridMultilevel"/>
    <w:tmpl w:val="6BD08CE4"/>
    <w:lvl w:ilvl="0" w:tplc="AAD4083E">
      <w:start w:val="1"/>
      <w:numFmt w:val="bullet"/>
      <w:lvlText w:val="o"/>
      <w:lvlJc w:val="left"/>
      <w:pPr>
        <w:ind w:left="94"/>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1" w:tplc="A9941DB0">
      <w:start w:val="1"/>
      <w:numFmt w:val="bullet"/>
      <w:lvlText w:val="o"/>
      <w:lvlJc w:val="left"/>
      <w:pPr>
        <w:ind w:left="164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2" w:tplc="6E088B7A">
      <w:start w:val="1"/>
      <w:numFmt w:val="bullet"/>
      <w:lvlText w:val="▪"/>
      <w:lvlJc w:val="left"/>
      <w:pPr>
        <w:ind w:left="236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3" w:tplc="4FCCC968">
      <w:start w:val="1"/>
      <w:numFmt w:val="bullet"/>
      <w:lvlText w:val="•"/>
      <w:lvlJc w:val="left"/>
      <w:pPr>
        <w:ind w:left="308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4" w:tplc="5400E460">
      <w:start w:val="1"/>
      <w:numFmt w:val="bullet"/>
      <w:lvlText w:val="o"/>
      <w:lvlJc w:val="left"/>
      <w:pPr>
        <w:ind w:left="380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5" w:tplc="F5B6E10A">
      <w:start w:val="1"/>
      <w:numFmt w:val="bullet"/>
      <w:lvlText w:val="▪"/>
      <w:lvlJc w:val="left"/>
      <w:pPr>
        <w:ind w:left="452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6" w:tplc="D270A264">
      <w:start w:val="1"/>
      <w:numFmt w:val="bullet"/>
      <w:lvlText w:val="•"/>
      <w:lvlJc w:val="left"/>
      <w:pPr>
        <w:ind w:left="524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7" w:tplc="7834BF34">
      <w:start w:val="1"/>
      <w:numFmt w:val="bullet"/>
      <w:lvlText w:val="o"/>
      <w:lvlJc w:val="left"/>
      <w:pPr>
        <w:ind w:left="596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8" w:tplc="B274B5AC">
      <w:start w:val="1"/>
      <w:numFmt w:val="bullet"/>
      <w:lvlText w:val="▪"/>
      <w:lvlJc w:val="left"/>
      <w:pPr>
        <w:ind w:left="668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abstractNum>
  <w:abstractNum w:abstractNumId="41" w15:restartNumberingAfterBreak="0">
    <w:nsid w:val="7C965AC5"/>
    <w:multiLevelType w:val="hybridMultilevel"/>
    <w:tmpl w:val="F94A530A"/>
    <w:lvl w:ilvl="0" w:tplc="1F2E92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E5F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D68A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AC69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4B1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40F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8BC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B2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014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F7507FC"/>
    <w:multiLevelType w:val="hybridMultilevel"/>
    <w:tmpl w:val="F4C610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32C59"/>
    <w:multiLevelType w:val="hybridMultilevel"/>
    <w:tmpl w:val="35EAA0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2"/>
  </w:num>
  <w:num w:numId="3">
    <w:abstractNumId w:val="37"/>
  </w:num>
  <w:num w:numId="4">
    <w:abstractNumId w:val="25"/>
  </w:num>
  <w:num w:numId="5">
    <w:abstractNumId w:val="13"/>
  </w:num>
  <w:num w:numId="6">
    <w:abstractNumId w:val="36"/>
  </w:num>
  <w:num w:numId="7">
    <w:abstractNumId w:val="30"/>
  </w:num>
  <w:num w:numId="8">
    <w:abstractNumId w:val="39"/>
  </w:num>
  <w:num w:numId="9">
    <w:abstractNumId w:val="16"/>
  </w:num>
  <w:num w:numId="10">
    <w:abstractNumId w:val="19"/>
  </w:num>
  <w:num w:numId="11">
    <w:abstractNumId w:val="26"/>
  </w:num>
  <w:num w:numId="12">
    <w:abstractNumId w:val="2"/>
  </w:num>
  <w:num w:numId="13">
    <w:abstractNumId w:val="38"/>
  </w:num>
  <w:num w:numId="14">
    <w:abstractNumId w:val="23"/>
  </w:num>
  <w:num w:numId="15">
    <w:abstractNumId w:val="41"/>
  </w:num>
  <w:num w:numId="16">
    <w:abstractNumId w:val="18"/>
  </w:num>
  <w:num w:numId="17">
    <w:abstractNumId w:val="17"/>
  </w:num>
  <w:num w:numId="18">
    <w:abstractNumId w:val="15"/>
  </w:num>
  <w:num w:numId="19">
    <w:abstractNumId w:val="29"/>
  </w:num>
  <w:num w:numId="20">
    <w:abstractNumId w:val="14"/>
  </w:num>
  <w:num w:numId="21">
    <w:abstractNumId w:val="0"/>
  </w:num>
  <w:num w:numId="22">
    <w:abstractNumId w:val="1"/>
  </w:num>
  <w:num w:numId="23">
    <w:abstractNumId w:val="34"/>
  </w:num>
  <w:num w:numId="24">
    <w:abstractNumId w:val="24"/>
  </w:num>
  <w:num w:numId="25">
    <w:abstractNumId w:val="40"/>
  </w:num>
  <w:num w:numId="26">
    <w:abstractNumId w:val="43"/>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5"/>
  </w:num>
  <w:num w:numId="33">
    <w:abstractNumId w:val="4"/>
  </w:num>
  <w:num w:numId="34">
    <w:abstractNumId w:val="12"/>
  </w:num>
  <w:num w:numId="35">
    <w:abstractNumId w:val="8"/>
  </w:num>
  <w:num w:numId="36">
    <w:abstractNumId w:val="21"/>
  </w:num>
  <w:num w:numId="37">
    <w:abstractNumId w:val="9"/>
  </w:num>
  <w:num w:numId="38">
    <w:abstractNumId w:val="20"/>
  </w:num>
  <w:num w:numId="39">
    <w:abstractNumId w:val="6"/>
  </w:num>
  <w:num w:numId="40">
    <w:abstractNumId w:val="11"/>
  </w:num>
  <w:num w:numId="41">
    <w:abstractNumId w:val="7"/>
  </w:num>
  <w:num w:numId="42">
    <w:abstractNumId w:val="32"/>
  </w:num>
  <w:num w:numId="43">
    <w:abstractNumId w:val="3"/>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31F"/>
    <w:rsid w:val="00042290"/>
    <w:rsid w:val="000823C6"/>
    <w:rsid w:val="00082C37"/>
    <w:rsid w:val="00091FD7"/>
    <w:rsid w:val="00097F1B"/>
    <w:rsid w:val="000A1FC9"/>
    <w:rsid w:val="000A4B13"/>
    <w:rsid w:val="000A56D7"/>
    <w:rsid w:val="000A6C12"/>
    <w:rsid w:val="000C0741"/>
    <w:rsid w:val="000C0FA7"/>
    <w:rsid w:val="000D38B9"/>
    <w:rsid w:val="000E453C"/>
    <w:rsid w:val="000E4FA5"/>
    <w:rsid w:val="000E5E51"/>
    <w:rsid w:val="000F6471"/>
    <w:rsid w:val="001114CD"/>
    <w:rsid w:val="0011712E"/>
    <w:rsid w:val="00125B2A"/>
    <w:rsid w:val="00137A1B"/>
    <w:rsid w:val="00140058"/>
    <w:rsid w:val="00141BFF"/>
    <w:rsid w:val="001426D2"/>
    <w:rsid w:val="00190FD2"/>
    <w:rsid w:val="001D56EE"/>
    <w:rsid w:val="001F20BF"/>
    <w:rsid w:val="00200361"/>
    <w:rsid w:val="00213F2A"/>
    <w:rsid w:val="002143AF"/>
    <w:rsid w:val="00216B92"/>
    <w:rsid w:val="002175A7"/>
    <w:rsid w:val="00227F4C"/>
    <w:rsid w:val="00242234"/>
    <w:rsid w:val="00271A0B"/>
    <w:rsid w:val="00290A6D"/>
    <w:rsid w:val="002A2D7C"/>
    <w:rsid w:val="002B64F4"/>
    <w:rsid w:val="002C73C7"/>
    <w:rsid w:val="002E2392"/>
    <w:rsid w:val="002E3B1B"/>
    <w:rsid w:val="002F0A33"/>
    <w:rsid w:val="002F398D"/>
    <w:rsid w:val="0030749E"/>
    <w:rsid w:val="00324ACD"/>
    <w:rsid w:val="00336264"/>
    <w:rsid w:val="003443B6"/>
    <w:rsid w:val="00354106"/>
    <w:rsid w:val="003624D5"/>
    <w:rsid w:val="00363C3E"/>
    <w:rsid w:val="003670EB"/>
    <w:rsid w:val="00380338"/>
    <w:rsid w:val="00381FE2"/>
    <w:rsid w:val="00382C74"/>
    <w:rsid w:val="00384E9F"/>
    <w:rsid w:val="003C31B1"/>
    <w:rsid w:val="003C6D84"/>
    <w:rsid w:val="003C7F54"/>
    <w:rsid w:val="003E5EA9"/>
    <w:rsid w:val="003F0CE2"/>
    <w:rsid w:val="003F2031"/>
    <w:rsid w:val="003F64A5"/>
    <w:rsid w:val="00420025"/>
    <w:rsid w:val="00431334"/>
    <w:rsid w:val="004326CC"/>
    <w:rsid w:val="00433A2E"/>
    <w:rsid w:val="00436661"/>
    <w:rsid w:val="00443850"/>
    <w:rsid w:val="00451669"/>
    <w:rsid w:val="00461D24"/>
    <w:rsid w:val="00472D50"/>
    <w:rsid w:val="004834BB"/>
    <w:rsid w:val="00487878"/>
    <w:rsid w:val="00496697"/>
    <w:rsid w:val="00496772"/>
    <w:rsid w:val="004A3D4A"/>
    <w:rsid w:val="004A6828"/>
    <w:rsid w:val="004E615D"/>
    <w:rsid w:val="004F65BA"/>
    <w:rsid w:val="00507CA8"/>
    <w:rsid w:val="00510500"/>
    <w:rsid w:val="0051319B"/>
    <w:rsid w:val="00520B65"/>
    <w:rsid w:val="0056103B"/>
    <w:rsid w:val="00571794"/>
    <w:rsid w:val="0057635A"/>
    <w:rsid w:val="0058111B"/>
    <w:rsid w:val="00583501"/>
    <w:rsid w:val="005A33BC"/>
    <w:rsid w:val="005A39AB"/>
    <w:rsid w:val="005A7BF9"/>
    <w:rsid w:val="005C039F"/>
    <w:rsid w:val="005D1675"/>
    <w:rsid w:val="005D22A7"/>
    <w:rsid w:val="005F58CC"/>
    <w:rsid w:val="00604C8D"/>
    <w:rsid w:val="0060697A"/>
    <w:rsid w:val="00607803"/>
    <w:rsid w:val="00621829"/>
    <w:rsid w:val="0065062F"/>
    <w:rsid w:val="00655A30"/>
    <w:rsid w:val="006712BE"/>
    <w:rsid w:val="0067482F"/>
    <w:rsid w:val="00680211"/>
    <w:rsid w:val="00686905"/>
    <w:rsid w:val="006A3C7D"/>
    <w:rsid w:val="006B06A3"/>
    <w:rsid w:val="006C513A"/>
    <w:rsid w:val="006D01CE"/>
    <w:rsid w:val="006D07A2"/>
    <w:rsid w:val="006D434B"/>
    <w:rsid w:val="006F7228"/>
    <w:rsid w:val="00724B7F"/>
    <w:rsid w:val="00725FC3"/>
    <w:rsid w:val="007362FA"/>
    <w:rsid w:val="007471DA"/>
    <w:rsid w:val="007472E6"/>
    <w:rsid w:val="00752F70"/>
    <w:rsid w:val="007530CE"/>
    <w:rsid w:val="00755A6B"/>
    <w:rsid w:val="00761F39"/>
    <w:rsid w:val="007811B4"/>
    <w:rsid w:val="00783CB2"/>
    <w:rsid w:val="007878A5"/>
    <w:rsid w:val="007927A6"/>
    <w:rsid w:val="00796875"/>
    <w:rsid w:val="007A77F3"/>
    <w:rsid w:val="007C78AE"/>
    <w:rsid w:val="007D7D7E"/>
    <w:rsid w:val="007F40A5"/>
    <w:rsid w:val="00800C6F"/>
    <w:rsid w:val="008053D3"/>
    <w:rsid w:val="008133DB"/>
    <w:rsid w:val="008236BA"/>
    <w:rsid w:val="008269BF"/>
    <w:rsid w:val="00834188"/>
    <w:rsid w:val="00841AC5"/>
    <w:rsid w:val="008751C4"/>
    <w:rsid w:val="008A28B8"/>
    <w:rsid w:val="008B5349"/>
    <w:rsid w:val="008F64FE"/>
    <w:rsid w:val="00906BBC"/>
    <w:rsid w:val="00914E11"/>
    <w:rsid w:val="00926AEC"/>
    <w:rsid w:val="009303BD"/>
    <w:rsid w:val="00931B44"/>
    <w:rsid w:val="00942D04"/>
    <w:rsid w:val="00945418"/>
    <w:rsid w:val="009675B4"/>
    <w:rsid w:val="00975B76"/>
    <w:rsid w:val="00983BE9"/>
    <w:rsid w:val="009912EA"/>
    <w:rsid w:val="00991D66"/>
    <w:rsid w:val="00995F5A"/>
    <w:rsid w:val="009B0A15"/>
    <w:rsid w:val="009C611A"/>
    <w:rsid w:val="009C6874"/>
    <w:rsid w:val="009D1A90"/>
    <w:rsid w:val="009D3AE3"/>
    <w:rsid w:val="009E05A8"/>
    <w:rsid w:val="009F00C4"/>
    <w:rsid w:val="00A20871"/>
    <w:rsid w:val="00A36C2B"/>
    <w:rsid w:val="00A45CC7"/>
    <w:rsid w:val="00A65192"/>
    <w:rsid w:val="00A77D88"/>
    <w:rsid w:val="00A874F8"/>
    <w:rsid w:val="00A912A1"/>
    <w:rsid w:val="00AA7D5D"/>
    <w:rsid w:val="00AB348E"/>
    <w:rsid w:val="00AB7532"/>
    <w:rsid w:val="00AD374F"/>
    <w:rsid w:val="00AE07DA"/>
    <w:rsid w:val="00AF6498"/>
    <w:rsid w:val="00B05473"/>
    <w:rsid w:val="00B20192"/>
    <w:rsid w:val="00B21B00"/>
    <w:rsid w:val="00B225FC"/>
    <w:rsid w:val="00B22C3E"/>
    <w:rsid w:val="00B2307A"/>
    <w:rsid w:val="00B36161"/>
    <w:rsid w:val="00B36D6B"/>
    <w:rsid w:val="00B374D8"/>
    <w:rsid w:val="00B509FF"/>
    <w:rsid w:val="00B536AD"/>
    <w:rsid w:val="00B56CA5"/>
    <w:rsid w:val="00B71C37"/>
    <w:rsid w:val="00B90394"/>
    <w:rsid w:val="00B92CB9"/>
    <w:rsid w:val="00BB5CB6"/>
    <w:rsid w:val="00BD022A"/>
    <w:rsid w:val="00BE21F3"/>
    <w:rsid w:val="00BE6944"/>
    <w:rsid w:val="00BF3056"/>
    <w:rsid w:val="00C01291"/>
    <w:rsid w:val="00C24415"/>
    <w:rsid w:val="00C31FC8"/>
    <w:rsid w:val="00C4759A"/>
    <w:rsid w:val="00C72BA0"/>
    <w:rsid w:val="00C72D95"/>
    <w:rsid w:val="00C7607B"/>
    <w:rsid w:val="00C90035"/>
    <w:rsid w:val="00CB2B57"/>
    <w:rsid w:val="00CC47BB"/>
    <w:rsid w:val="00CE387D"/>
    <w:rsid w:val="00CF4A68"/>
    <w:rsid w:val="00D20E76"/>
    <w:rsid w:val="00D4701F"/>
    <w:rsid w:val="00D471DD"/>
    <w:rsid w:val="00D67B40"/>
    <w:rsid w:val="00D70A9B"/>
    <w:rsid w:val="00D81327"/>
    <w:rsid w:val="00D912DB"/>
    <w:rsid w:val="00DA20B3"/>
    <w:rsid w:val="00DE1A4E"/>
    <w:rsid w:val="00DE45B5"/>
    <w:rsid w:val="00DE61DA"/>
    <w:rsid w:val="00DF2288"/>
    <w:rsid w:val="00DF6F6A"/>
    <w:rsid w:val="00E21244"/>
    <w:rsid w:val="00E2495F"/>
    <w:rsid w:val="00E31935"/>
    <w:rsid w:val="00E51500"/>
    <w:rsid w:val="00E9076D"/>
    <w:rsid w:val="00EA5C40"/>
    <w:rsid w:val="00EA76F1"/>
    <w:rsid w:val="00EB23A2"/>
    <w:rsid w:val="00EB5180"/>
    <w:rsid w:val="00EE1F35"/>
    <w:rsid w:val="00EE5329"/>
    <w:rsid w:val="00EE5ECE"/>
    <w:rsid w:val="00F07B10"/>
    <w:rsid w:val="00F27AD4"/>
    <w:rsid w:val="00F44EFB"/>
    <w:rsid w:val="00F45FB3"/>
    <w:rsid w:val="00F50F31"/>
    <w:rsid w:val="00F52BC4"/>
    <w:rsid w:val="00F5636F"/>
    <w:rsid w:val="00F64DF8"/>
    <w:rsid w:val="00F91577"/>
    <w:rsid w:val="00F937DA"/>
    <w:rsid w:val="00F9415D"/>
    <w:rsid w:val="00F947B2"/>
    <w:rsid w:val="00FB4D0B"/>
    <w:rsid w:val="00FC4E50"/>
    <w:rsid w:val="00FD41CF"/>
    <w:rsid w:val="00FD7367"/>
    <w:rsid w:val="00FF3685"/>
    <w:rsid w:val="00FF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00FC15"/>
  <w15:chartTrackingRefBased/>
  <w15:docId w15:val="{22E220EF-9EED-43FB-839B-AD560194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BD022A"/>
    <w:pPr>
      <w:keepNext/>
      <w:keepLines/>
      <w:spacing w:after="0"/>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BD022A"/>
    <w:pPr>
      <w:keepNext/>
      <w:keepLines/>
      <w:spacing w:after="149"/>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BD022A"/>
    <w:pPr>
      <w:keepNext/>
      <w:keepLines/>
      <w:spacing w:after="167"/>
      <w:ind w:left="10" w:right="2"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BD022A"/>
    <w:pPr>
      <w:keepNext/>
      <w:keepLines/>
      <w:spacing w:after="167"/>
      <w:ind w:left="10" w:right="2"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BD022A"/>
    <w:pPr>
      <w:keepNext/>
      <w:keepLines/>
      <w:spacing w:after="183" w:line="260" w:lineRule="auto"/>
      <w:ind w:left="10"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2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BA0"/>
  </w:style>
  <w:style w:type="paragraph" w:styleId="Footer">
    <w:name w:val="footer"/>
    <w:basedOn w:val="Normal"/>
    <w:link w:val="FooterChar"/>
    <w:uiPriority w:val="99"/>
    <w:unhideWhenUsed/>
    <w:rsid w:val="00C72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BA0"/>
  </w:style>
  <w:style w:type="table" w:customStyle="1" w:styleId="TableGrid0">
    <w:name w:val="TableGrid"/>
    <w:rsid w:val="00761F39"/>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761F39"/>
    <w:pPr>
      <w:spacing w:after="0" w:line="240" w:lineRule="auto"/>
    </w:pPr>
    <w:rPr>
      <w:rFonts w:eastAsia="Times New Roman"/>
    </w:rPr>
    <w:tblPr>
      <w:tblCellMar>
        <w:top w:w="0" w:type="dxa"/>
        <w:left w:w="0" w:type="dxa"/>
        <w:bottom w:w="0" w:type="dxa"/>
        <w:right w:w="0" w:type="dxa"/>
      </w:tblCellMar>
    </w:tblPr>
  </w:style>
  <w:style w:type="paragraph" w:styleId="ListParagraph">
    <w:name w:val="List Paragraph"/>
    <w:basedOn w:val="Normal"/>
    <w:uiPriority w:val="34"/>
    <w:qFormat/>
    <w:rsid w:val="00A912A1"/>
    <w:pPr>
      <w:ind w:left="720"/>
      <w:contextualSpacing/>
    </w:pPr>
  </w:style>
  <w:style w:type="character" w:customStyle="1" w:styleId="Heading1Char">
    <w:name w:val="Heading 1 Char"/>
    <w:basedOn w:val="DefaultParagraphFont"/>
    <w:link w:val="Heading1"/>
    <w:uiPriority w:val="9"/>
    <w:rsid w:val="00BD022A"/>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BD022A"/>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BD022A"/>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BD022A"/>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BD022A"/>
    <w:rPr>
      <w:rFonts w:ascii="Times New Roman" w:eastAsia="Times New Roman" w:hAnsi="Times New Roman" w:cs="Times New Roman"/>
      <w:b/>
      <w:color w:val="000000"/>
    </w:rPr>
  </w:style>
  <w:style w:type="numbering" w:customStyle="1" w:styleId="NoList1">
    <w:name w:val="No List1"/>
    <w:next w:val="NoList"/>
    <w:uiPriority w:val="99"/>
    <w:semiHidden/>
    <w:unhideWhenUsed/>
    <w:rsid w:val="00BD022A"/>
  </w:style>
  <w:style w:type="paragraph" w:styleId="TOC1">
    <w:name w:val="toc 1"/>
    <w:hidden/>
    <w:rsid w:val="00BD022A"/>
    <w:pPr>
      <w:spacing w:after="46" w:line="314" w:lineRule="auto"/>
      <w:ind w:left="25" w:right="79" w:hanging="10"/>
      <w:jc w:val="both"/>
    </w:pPr>
    <w:rPr>
      <w:rFonts w:ascii="Times New Roman" w:eastAsia="Times New Roman" w:hAnsi="Times New Roman" w:cs="Times New Roman"/>
      <w:color w:val="000000"/>
      <w:sz w:val="24"/>
    </w:rPr>
  </w:style>
  <w:style w:type="paragraph" w:styleId="TOC2">
    <w:name w:val="toc 2"/>
    <w:hidden/>
    <w:rsid w:val="00BD022A"/>
    <w:pPr>
      <w:spacing w:after="87"/>
      <w:ind w:left="263" w:right="79" w:hanging="10"/>
      <w:jc w:val="both"/>
    </w:pPr>
    <w:rPr>
      <w:rFonts w:ascii="Times New Roman" w:eastAsia="Times New Roman" w:hAnsi="Times New Roman" w:cs="Times New Roman"/>
      <w:color w:val="000000"/>
      <w:sz w:val="24"/>
    </w:rPr>
  </w:style>
  <w:style w:type="paragraph" w:styleId="TOC3">
    <w:name w:val="toc 3"/>
    <w:hidden/>
    <w:rsid w:val="00BD022A"/>
    <w:pPr>
      <w:spacing w:after="86"/>
      <w:ind w:left="507" w:right="79" w:hanging="10"/>
      <w:jc w:val="both"/>
    </w:pPr>
    <w:rPr>
      <w:rFonts w:ascii="Times New Roman" w:eastAsia="Times New Roman" w:hAnsi="Times New Roman" w:cs="Times New Roman"/>
      <w:color w:val="000000"/>
      <w:sz w:val="24"/>
    </w:rPr>
  </w:style>
  <w:style w:type="table" w:customStyle="1" w:styleId="TableGrid2">
    <w:name w:val="TableGrid2"/>
    <w:rsid w:val="00BD022A"/>
    <w:pPr>
      <w:spacing w:after="0" w:line="240" w:lineRule="auto"/>
    </w:pPr>
    <w:rPr>
      <w:rFonts w:eastAsia="Times New Roman"/>
    </w:rPr>
    <w:tblPr>
      <w:tblCellMar>
        <w:top w:w="0" w:type="dxa"/>
        <w:left w:w="0" w:type="dxa"/>
        <w:bottom w:w="0" w:type="dxa"/>
        <w:right w:w="0" w:type="dxa"/>
      </w:tblCellMar>
    </w:tblPr>
  </w:style>
  <w:style w:type="character" w:customStyle="1" w:styleId="Hyperlink1">
    <w:name w:val="Hyperlink1"/>
    <w:basedOn w:val="DefaultParagraphFont"/>
    <w:uiPriority w:val="99"/>
    <w:unhideWhenUsed/>
    <w:rsid w:val="00BD022A"/>
    <w:rPr>
      <w:color w:val="0563C1"/>
      <w:u w:val="single"/>
    </w:rPr>
  </w:style>
  <w:style w:type="character" w:styleId="Hyperlink">
    <w:name w:val="Hyperlink"/>
    <w:basedOn w:val="DefaultParagraphFont"/>
    <w:uiPriority w:val="99"/>
    <w:unhideWhenUsed/>
    <w:rsid w:val="00BD022A"/>
    <w:rPr>
      <w:color w:val="0563C1" w:themeColor="hyperlink"/>
      <w:u w:val="single"/>
    </w:rPr>
  </w:style>
  <w:style w:type="paragraph" w:styleId="NormalWeb">
    <w:name w:val="Normal (Web)"/>
    <w:basedOn w:val="Normal"/>
    <w:uiPriority w:val="99"/>
    <w:semiHidden/>
    <w:unhideWhenUsed/>
    <w:rsid w:val="009D1A90"/>
    <w:rPr>
      <w:rFonts w:ascii="Times New Roman" w:hAnsi="Times New Roman" w:cs="Times New Roman"/>
      <w:sz w:val="24"/>
      <w:szCs w:val="24"/>
    </w:rPr>
  </w:style>
  <w:style w:type="character" w:styleId="PlaceholderText">
    <w:name w:val="Placeholder Text"/>
    <w:basedOn w:val="DefaultParagraphFont"/>
    <w:uiPriority w:val="99"/>
    <w:semiHidden/>
    <w:rsid w:val="004834BB"/>
    <w:rPr>
      <w:color w:val="808080"/>
    </w:rPr>
  </w:style>
  <w:style w:type="paragraph" w:styleId="NoSpacing">
    <w:name w:val="No Spacing"/>
    <w:uiPriority w:val="1"/>
    <w:qFormat/>
    <w:rsid w:val="006D01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47855">
      <w:bodyDiv w:val="1"/>
      <w:marLeft w:val="0"/>
      <w:marRight w:val="0"/>
      <w:marTop w:val="0"/>
      <w:marBottom w:val="0"/>
      <w:divBdr>
        <w:top w:val="none" w:sz="0" w:space="0" w:color="auto"/>
        <w:left w:val="none" w:sz="0" w:space="0" w:color="auto"/>
        <w:bottom w:val="none" w:sz="0" w:space="0" w:color="auto"/>
        <w:right w:val="none" w:sz="0" w:space="0" w:color="auto"/>
      </w:divBdr>
      <w:divsChild>
        <w:div w:id="1149633203">
          <w:marLeft w:val="0"/>
          <w:marRight w:val="0"/>
          <w:marTop w:val="120"/>
          <w:marBottom w:val="120"/>
          <w:divBdr>
            <w:top w:val="none" w:sz="0" w:space="0" w:color="auto"/>
            <w:left w:val="none" w:sz="0" w:space="0" w:color="auto"/>
            <w:bottom w:val="none" w:sz="0" w:space="0" w:color="auto"/>
            <w:right w:val="none" w:sz="0" w:space="0" w:color="auto"/>
          </w:divBdr>
        </w:div>
      </w:divsChild>
    </w:div>
    <w:div w:id="150799534">
      <w:bodyDiv w:val="1"/>
      <w:marLeft w:val="0"/>
      <w:marRight w:val="0"/>
      <w:marTop w:val="0"/>
      <w:marBottom w:val="0"/>
      <w:divBdr>
        <w:top w:val="none" w:sz="0" w:space="0" w:color="auto"/>
        <w:left w:val="none" w:sz="0" w:space="0" w:color="auto"/>
        <w:bottom w:val="none" w:sz="0" w:space="0" w:color="auto"/>
        <w:right w:val="none" w:sz="0" w:space="0" w:color="auto"/>
      </w:divBdr>
    </w:div>
    <w:div w:id="272828440">
      <w:bodyDiv w:val="1"/>
      <w:marLeft w:val="0"/>
      <w:marRight w:val="0"/>
      <w:marTop w:val="0"/>
      <w:marBottom w:val="0"/>
      <w:divBdr>
        <w:top w:val="none" w:sz="0" w:space="0" w:color="auto"/>
        <w:left w:val="none" w:sz="0" w:space="0" w:color="auto"/>
        <w:bottom w:val="none" w:sz="0" w:space="0" w:color="auto"/>
        <w:right w:val="none" w:sz="0" w:space="0" w:color="auto"/>
      </w:divBdr>
      <w:divsChild>
        <w:div w:id="246813515">
          <w:marLeft w:val="0"/>
          <w:marRight w:val="0"/>
          <w:marTop w:val="120"/>
          <w:marBottom w:val="120"/>
          <w:divBdr>
            <w:top w:val="none" w:sz="0" w:space="0" w:color="auto"/>
            <w:left w:val="none" w:sz="0" w:space="0" w:color="auto"/>
            <w:bottom w:val="none" w:sz="0" w:space="0" w:color="auto"/>
            <w:right w:val="none" w:sz="0" w:space="0" w:color="auto"/>
          </w:divBdr>
        </w:div>
        <w:div w:id="549345375">
          <w:marLeft w:val="0"/>
          <w:marRight w:val="0"/>
          <w:marTop w:val="120"/>
          <w:marBottom w:val="120"/>
          <w:divBdr>
            <w:top w:val="none" w:sz="0" w:space="0" w:color="auto"/>
            <w:left w:val="none" w:sz="0" w:space="0" w:color="auto"/>
            <w:bottom w:val="none" w:sz="0" w:space="0" w:color="auto"/>
            <w:right w:val="none" w:sz="0" w:space="0" w:color="auto"/>
          </w:divBdr>
        </w:div>
        <w:div w:id="1312373022">
          <w:marLeft w:val="0"/>
          <w:marRight w:val="0"/>
          <w:marTop w:val="120"/>
          <w:marBottom w:val="120"/>
          <w:divBdr>
            <w:top w:val="none" w:sz="0" w:space="0" w:color="auto"/>
            <w:left w:val="none" w:sz="0" w:space="0" w:color="auto"/>
            <w:bottom w:val="none" w:sz="0" w:space="0" w:color="auto"/>
            <w:right w:val="none" w:sz="0" w:space="0" w:color="auto"/>
          </w:divBdr>
        </w:div>
        <w:div w:id="1239949064">
          <w:marLeft w:val="0"/>
          <w:marRight w:val="0"/>
          <w:marTop w:val="120"/>
          <w:marBottom w:val="120"/>
          <w:divBdr>
            <w:top w:val="none" w:sz="0" w:space="0" w:color="auto"/>
            <w:left w:val="none" w:sz="0" w:space="0" w:color="auto"/>
            <w:bottom w:val="none" w:sz="0" w:space="0" w:color="auto"/>
            <w:right w:val="none" w:sz="0" w:space="0" w:color="auto"/>
          </w:divBdr>
        </w:div>
      </w:divsChild>
    </w:div>
    <w:div w:id="276833919">
      <w:bodyDiv w:val="1"/>
      <w:marLeft w:val="0"/>
      <w:marRight w:val="0"/>
      <w:marTop w:val="0"/>
      <w:marBottom w:val="0"/>
      <w:divBdr>
        <w:top w:val="none" w:sz="0" w:space="0" w:color="auto"/>
        <w:left w:val="none" w:sz="0" w:space="0" w:color="auto"/>
        <w:bottom w:val="none" w:sz="0" w:space="0" w:color="auto"/>
        <w:right w:val="none" w:sz="0" w:space="0" w:color="auto"/>
      </w:divBdr>
    </w:div>
    <w:div w:id="348021586">
      <w:bodyDiv w:val="1"/>
      <w:marLeft w:val="0"/>
      <w:marRight w:val="0"/>
      <w:marTop w:val="0"/>
      <w:marBottom w:val="0"/>
      <w:divBdr>
        <w:top w:val="none" w:sz="0" w:space="0" w:color="auto"/>
        <w:left w:val="none" w:sz="0" w:space="0" w:color="auto"/>
        <w:bottom w:val="none" w:sz="0" w:space="0" w:color="auto"/>
        <w:right w:val="none" w:sz="0" w:space="0" w:color="auto"/>
      </w:divBdr>
      <w:divsChild>
        <w:div w:id="870604836">
          <w:marLeft w:val="0"/>
          <w:marRight w:val="0"/>
          <w:marTop w:val="120"/>
          <w:marBottom w:val="120"/>
          <w:divBdr>
            <w:top w:val="none" w:sz="0" w:space="0" w:color="auto"/>
            <w:left w:val="none" w:sz="0" w:space="0" w:color="auto"/>
            <w:bottom w:val="none" w:sz="0" w:space="0" w:color="auto"/>
            <w:right w:val="none" w:sz="0" w:space="0" w:color="auto"/>
          </w:divBdr>
        </w:div>
        <w:div w:id="1632395068">
          <w:marLeft w:val="0"/>
          <w:marRight w:val="0"/>
          <w:marTop w:val="120"/>
          <w:marBottom w:val="120"/>
          <w:divBdr>
            <w:top w:val="none" w:sz="0" w:space="0" w:color="auto"/>
            <w:left w:val="none" w:sz="0" w:space="0" w:color="auto"/>
            <w:bottom w:val="none" w:sz="0" w:space="0" w:color="auto"/>
            <w:right w:val="none" w:sz="0" w:space="0" w:color="auto"/>
          </w:divBdr>
        </w:div>
      </w:divsChild>
    </w:div>
    <w:div w:id="374357869">
      <w:bodyDiv w:val="1"/>
      <w:marLeft w:val="0"/>
      <w:marRight w:val="0"/>
      <w:marTop w:val="0"/>
      <w:marBottom w:val="0"/>
      <w:divBdr>
        <w:top w:val="none" w:sz="0" w:space="0" w:color="auto"/>
        <w:left w:val="none" w:sz="0" w:space="0" w:color="auto"/>
        <w:bottom w:val="none" w:sz="0" w:space="0" w:color="auto"/>
        <w:right w:val="none" w:sz="0" w:space="0" w:color="auto"/>
      </w:divBdr>
    </w:div>
    <w:div w:id="374813894">
      <w:bodyDiv w:val="1"/>
      <w:marLeft w:val="0"/>
      <w:marRight w:val="0"/>
      <w:marTop w:val="0"/>
      <w:marBottom w:val="0"/>
      <w:divBdr>
        <w:top w:val="none" w:sz="0" w:space="0" w:color="auto"/>
        <w:left w:val="none" w:sz="0" w:space="0" w:color="auto"/>
        <w:bottom w:val="none" w:sz="0" w:space="0" w:color="auto"/>
        <w:right w:val="none" w:sz="0" w:space="0" w:color="auto"/>
      </w:divBdr>
    </w:div>
    <w:div w:id="422065762">
      <w:bodyDiv w:val="1"/>
      <w:marLeft w:val="0"/>
      <w:marRight w:val="0"/>
      <w:marTop w:val="0"/>
      <w:marBottom w:val="0"/>
      <w:divBdr>
        <w:top w:val="none" w:sz="0" w:space="0" w:color="auto"/>
        <w:left w:val="none" w:sz="0" w:space="0" w:color="auto"/>
        <w:bottom w:val="none" w:sz="0" w:space="0" w:color="auto"/>
        <w:right w:val="none" w:sz="0" w:space="0" w:color="auto"/>
      </w:divBdr>
    </w:div>
    <w:div w:id="452600040">
      <w:bodyDiv w:val="1"/>
      <w:marLeft w:val="0"/>
      <w:marRight w:val="0"/>
      <w:marTop w:val="0"/>
      <w:marBottom w:val="0"/>
      <w:divBdr>
        <w:top w:val="none" w:sz="0" w:space="0" w:color="auto"/>
        <w:left w:val="none" w:sz="0" w:space="0" w:color="auto"/>
        <w:bottom w:val="none" w:sz="0" w:space="0" w:color="auto"/>
        <w:right w:val="none" w:sz="0" w:space="0" w:color="auto"/>
      </w:divBdr>
      <w:divsChild>
        <w:div w:id="1473251206">
          <w:marLeft w:val="0"/>
          <w:marRight w:val="0"/>
          <w:marTop w:val="120"/>
          <w:marBottom w:val="120"/>
          <w:divBdr>
            <w:top w:val="none" w:sz="0" w:space="0" w:color="auto"/>
            <w:left w:val="none" w:sz="0" w:space="0" w:color="auto"/>
            <w:bottom w:val="none" w:sz="0" w:space="0" w:color="auto"/>
            <w:right w:val="none" w:sz="0" w:space="0" w:color="auto"/>
          </w:divBdr>
        </w:div>
      </w:divsChild>
    </w:div>
    <w:div w:id="597445710">
      <w:bodyDiv w:val="1"/>
      <w:marLeft w:val="0"/>
      <w:marRight w:val="0"/>
      <w:marTop w:val="0"/>
      <w:marBottom w:val="0"/>
      <w:divBdr>
        <w:top w:val="none" w:sz="0" w:space="0" w:color="auto"/>
        <w:left w:val="none" w:sz="0" w:space="0" w:color="auto"/>
        <w:bottom w:val="none" w:sz="0" w:space="0" w:color="auto"/>
        <w:right w:val="none" w:sz="0" w:space="0" w:color="auto"/>
      </w:divBdr>
    </w:div>
    <w:div w:id="640689652">
      <w:bodyDiv w:val="1"/>
      <w:marLeft w:val="0"/>
      <w:marRight w:val="0"/>
      <w:marTop w:val="0"/>
      <w:marBottom w:val="0"/>
      <w:divBdr>
        <w:top w:val="none" w:sz="0" w:space="0" w:color="auto"/>
        <w:left w:val="none" w:sz="0" w:space="0" w:color="auto"/>
        <w:bottom w:val="none" w:sz="0" w:space="0" w:color="auto"/>
        <w:right w:val="none" w:sz="0" w:space="0" w:color="auto"/>
      </w:divBdr>
      <w:divsChild>
        <w:div w:id="327095690">
          <w:marLeft w:val="0"/>
          <w:marRight w:val="0"/>
          <w:marTop w:val="120"/>
          <w:marBottom w:val="120"/>
          <w:divBdr>
            <w:top w:val="none" w:sz="0" w:space="0" w:color="auto"/>
            <w:left w:val="none" w:sz="0" w:space="0" w:color="auto"/>
            <w:bottom w:val="none" w:sz="0" w:space="0" w:color="auto"/>
            <w:right w:val="none" w:sz="0" w:space="0" w:color="auto"/>
          </w:divBdr>
        </w:div>
        <w:div w:id="1656301085">
          <w:marLeft w:val="0"/>
          <w:marRight w:val="0"/>
          <w:marTop w:val="120"/>
          <w:marBottom w:val="120"/>
          <w:divBdr>
            <w:top w:val="none" w:sz="0" w:space="0" w:color="auto"/>
            <w:left w:val="none" w:sz="0" w:space="0" w:color="auto"/>
            <w:bottom w:val="none" w:sz="0" w:space="0" w:color="auto"/>
            <w:right w:val="none" w:sz="0" w:space="0" w:color="auto"/>
          </w:divBdr>
        </w:div>
        <w:div w:id="859590618">
          <w:marLeft w:val="0"/>
          <w:marRight w:val="0"/>
          <w:marTop w:val="120"/>
          <w:marBottom w:val="120"/>
          <w:divBdr>
            <w:top w:val="none" w:sz="0" w:space="0" w:color="auto"/>
            <w:left w:val="none" w:sz="0" w:space="0" w:color="auto"/>
            <w:bottom w:val="none" w:sz="0" w:space="0" w:color="auto"/>
            <w:right w:val="none" w:sz="0" w:space="0" w:color="auto"/>
          </w:divBdr>
        </w:div>
        <w:div w:id="134378475">
          <w:marLeft w:val="0"/>
          <w:marRight w:val="0"/>
          <w:marTop w:val="120"/>
          <w:marBottom w:val="120"/>
          <w:divBdr>
            <w:top w:val="none" w:sz="0" w:space="0" w:color="auto"/>
            <w:left w:val="none" w:sz="0" w:space="0" w:color="auto"/>
            <w:bottom w:val="none" w:sz="0" w:space="0" w:color="auto"/>
            <w:right w:val="none" w:sz="0" w:space="0" w:color="auto"/>
          </w:divBdr>
        </w:div>
        <w:div w:id="957757939">
          <w:marLeft w:val="0"/>
          <w:marRight w:val="0"/>
          <w:marTop w:val="120"/>
          <w:marBottom w:val="120"/>
          <w:divBdr>
            <w:top w:val="none" w:sz="0" w:space="0" w:color="auto"/>
            <w:left w:val="none" w:sz="0" w:space="0" w:color="auto"/>
            <w:bottom w:val="none" w:sz="0" w:space="0" w:color="auto"/>
            <w:right w:val="none" w:sz="0" w:space="0" w:color="auto"/>
          </w:divBdr>
        </w:div>
      </w:divsChild>
    </w:div>
    <w:div w:id="645472881">
      <w:bodyDiv w:val="1"/>
      <w:marLeft w:val="0"/>
      <w:marRight w:val="0"/>
      <w:marTop w:val="0"/>
      <w:marBottom w:val="0"/>
      <w:divBdr>
        <w:top w:val="none" w:sz="0" w:space="0" w:color="auto"/>
        <w:left w:val="none" w:sz="0" w:space="0" w:color="auto"/>
        <w:bottom w:val="none" w:sz="0" w:space="0" w:color="auto"/>
        <w:right w:val="none" w:sz="0" w:space="0" w:color="auto"/>
      </w:divBdr>
    </w:div>
    <w:div w:id="733699162">
      <w:bodyDiv w:val="1"/>
      <w:marLeft w:val="0"/>
      <w:marRight w:val="0"/>
      <w:marTop w:val="0"/>
      <w:marBottom w:val="0"/>
      <w:divBdr>
        <w:top w:val="none" w:sz="0" w:space="0" w:color="auto"/>
        <w:left w:val="none" w:sz="0" w:space="0" w:color="auto"/>
        <w:bottom w:val="none" w:sz="0" w:space="0" w:color="auto"/>
        <w:right w:val="none" w:sz="0" w:space="0" w:color="auto"/>
      </w:divBdr>
    </w:div>
    <w:div w:id="792359174">
      <w:bodyDiv w:val="1"/>
      <w:marLeft w:val="0"/>
      <w:marRight w:val="0"/>
      <w:marTop w:val="0"/>
      <w:marBottom w:val="0"/>
      <w:divBdr>
        <w:top w:val="none" w:sz="0" w:space="0" w:color="auto"/>
        <w:left w:val="none" w:sz="0" w:space="0" w:color="auto"/>
        <w:bottom w:val="none" w:sz="0" w:space="0" w:color="auto"/>
        <w:right w:val="none" w:sz="0" w:space="0" w:color="auto"/>
      </w:divBdr>
      <w:divsChild>
        <w:div w:id="1118065563">
          <w:marLeft w:val="0"/>
          <w:marRight w:val="0"/>
          <w:marTop w:val="120"/>
          <w:marBottom w:val="120"/>
          <w:divBdr>
            <w:top w:val="none" w:sz="0" w:space="0" w:color="auto"/>
            <w:left w:val="none" w:sz="0" w:space="0" w:color="auto"/>
            <w:bottom w:val="none" w:sz="0" w:space="0" w:color="auto"/>
            <w:right w:val="none" w:sz="0" w:space="0" w:color="auto"/>
          </w:divBdr>
        </w:div>
        <w:div w:id="261692446">
          <w:marLeft w:val="0"/>
          <w:marRight w:val="0"/>
          <w:marTop w:val="120"/>
          <w:marBottom w:val="120"/>
          <w:divBdr>
            <w:top w:val="none" w:sz="0" w:space="0" w:color="auto"/>
            <w:left w:val="none" w:sz="0" w:space="0" w:color="auto"/>
            <w:bottom w:val="none" w:sz="0" w:space="0" w:color="auto"/>
            <w:right w:val="none" w:sz="0" w:space="0" w:color="auto"/>
          </w:divBdr>
        </w:div>
        <w:div w:id="1012297092">
          <w:marLeft w:val="0"/>
          <w:marRight w:val="0"/>
          <w:marTop w:val="120"/>
          <w:marBottom w:val="120"/>
          <w:divBdr>
            <w:top w:val="none" w:sz="0" w:space="0" w:color="auto"/>
            <w:left w:val="none" w:sz="0" w:space="0" w:color="auto"/>
            <w:bottom w:val="none" w:sz="0" w:space="0" w:color="auto"/>
            <w:right w:val="none" w:sz="0" w:space="0" w:color="auto"/>
          </w:divBdr>
        </w:div>
        <w:div w:id="304698900">
          <w:marLeft w:val="0"/>
          <w:marRight w:val="0"/>
          <w:marTop w:val="120"/>
          <w:marBottom w:val="120"/>
          <w:divBdr>
            <w:top w:val="none" w:sz="0" w:space="0" w:color="auto"/>
            <w:left w:val="none" w:sz="0" w:space="0" w:color="auto"/>
            <w:bottom w:val="none" w:sz="0" w:space="0" w:color="auto"/>
            <w:right w:val="none" w:sz="0" w:space="0" w:color="auto"/>
          </w:divBdr>
        </w:div>
        <w:div w:id="1383290851">
          <w:marLeft w:val="0"/>
          <w:marRight w:val="0"/>
          <w:marTop w:val="120"/>
          <w:marBottom w:val="120"/>
          <w:divBdr>
            <w:top w:val="none" w:sz="0" w:space="0" w:color="auto"/>
            <w:left w:val="none" w:sz="0" w:space="0" w:color="auto"/>
            <w:bottom w:val="none" w:sz="0" w:space="0" w:color="auto"/>
            <w:right w:val="none" w:sz="0" w:space="0" w:color="auto"/>
          </w:divBdr>
        </w:div>
      </w:divsChild>
    </w:div>
    <w:div w:id="878516392">
      <w:bodyDiv w:val="1"/>
      <w:marLeft w:val="0"/>
      <w:marRight w:val="0"/>
      <w:marTop w:val="0"/>
      <w:marBottom w:val="0"/>
      <w:divBdr>
        <w:top w:val="none" w:sz="0" w:space="0" w:color="auto"/>
        <w:left w:val="none" w:sz="0" w:space="0" w:color="auto"/>
        <w:bottom w:val="none" w:sz="0" w:space="0" w:color="auto"/>
        <w:right w:val="none" w:sz="0" w:space="0" w:color="auto"/>
      </w:divBdr>
      <w:divsChild>
        <w:div w:id="1180697094">
          <w:marLeft w:val="0"/>
          <w:marRight w:val="0"/>
          <w:marTop w:val="120"/>
          <w:marBottom w:val="120"/>
          <w:divBdr>
            <w:top w:val="none" w:sz="0" w:space="0" w:color="auto"/>
            <w:left w:val="none" w:sz="0" w:space="0" w:color="auto"/>
            <w:bottom w:val="none" w:sz="0" w:space="0" w:color="auto"/>
            <w:right w:val="none" w:sz="0" w:space="0" w:color="auto"/>
          </w:divBdr>
        </w:div>
        <w:div w:id="742679250">
          <w:marLeft w:val="0"/>
          <w:marRight w:val="0"/>
          <w:marTop w:val="120"/>
          <w:marBottom w:val="120"/>
          <w:divBdr>
            <w:top w:val="none" w:sz="0" w:space="0" w:color="auto"/>
            <w:left w:val="none" w:sz="0" w:space="0" w:color="auto"/>
            <w:bottom w:val="none" w:sz="0" w:space="0" w:color="auto"/>
            <w:right w:val="none" w:sz="0" w:space="0" w:color="auto"/>
          </w:divBdr>
        </w:div>
      </w:divsChild>
    </w:div>
    <w:div w:id="908541746">
      <w:bodyDiv w:val="1"/>
      <w:marLeft w:val="0"/>
      <w:marRight w:val="0"/>
      <w:marTop w:val="0"/>
      <w:marBottom w:val="0"/>
      <w:divBdr>
        <w:top w:val="none" w:sz="0" w:space="0" w:color="auto"/>
        <w:left w:val="none" w:sz="0" w:space="0" w:color="auto"/>
        <w:bottom w:val="none" w:sz="0" w:space="0" w:color="auto"/>
        <w:right w:val="none" w:sz="0" w:space="0" w:color="auto"/>
      </w:divBdr>
    </w:div>
    <w:div w:id="989940616">
      <w:bodyDiv w:val="1"/>
      <w:marLeft w:val="0"/>
      <w:marRight w:val="0"/>
      <w:marTop w:val="0"/>
      <w:marBottom w:val="0"/>
      <w:divBdr>
        <w:top w:val="none" w:sz="0" w:space="0" w:color="auto"/>
        <w:left w:val="none" w:sz="0" w:space="0" w:color="auto"/>
        <w:bottom w:val="none" w:sz="0" w:space="0" w:color="auto"/>
        <w:right w:val="none" w:sz="0" w:space="0" w:color="auto"/>
      </w:divBdr>
      <w:divsChild>
        <w:div w:id="1879395605">
          <w:marLeft w:val="0"/>
          <w:marRight w:val="0"/>
          <w:marTop w:val="120"/>
          <w:marBottom w:val="120"/>
          <w:divBdr>
            <w:top w:val="none" w:sz="0" w:space="0" w:color="auto"/>
            <w:left w:val="none" w:sz="0" w:space="0" w:color="auto"/>
            <w:bottom w:val="none" w:sz="0" w:space="0" w:color="auto"/>
            <w:right w:val="none" w:sz="0" w:space="0" w:color="auto"/>
          </w:divBdr>
        </w:div>
      </w:divsChild>
    </w:div>
    <w:div w:id="1013217683">
      <w:bodyDiv w:val="1"/>
      <w:marLeft w:val="0"/>
      <w:marRight w:val="0"/>
      <w:marTop w:val="0"/>
      <w:marBottom w:val="0"/>
      <w:divBdr>
        <w:top w:val="none" w:sz="0" w:space="0" w:color="auto"/>
        <w:left w:val="none" w:sz="0" w:space="0" w:color="auto"/>
        <w:bottom w:val="none" w:sz="0" w:space="0" w:color="auto"/>
        <w:right w:val="none" w:sz="0" w:space="0" w:color="auto"/>
      </w:divBdr>
    </w:div>
    <w:div w:id="1018190439">
      <w:bodyDiv w:val="1"/>
      <w:marLeft w:val="0"/>
      <w:marRight w:val="0"/>
      <w:marTop w:val="0"/>
      <w:marBottom w:val="0"/>
      <w:divBdr>
        <w:top w:val="none" w:sz="0" w:space="0" w:color="auto"/>
        <w:left w:val="none" w:sz="0" w:space="0" w:color="auto"/>
        <w:bottom w:val="none" w:sz="0" w:space="0" w:color="auto"/>
        <w:right w:val="none" w:sz="0" w:space="0" w:color="auto"/>
      </w:divBdr>
      <w:divsChild>
        <w:div w:id="38550210">
          <w:marLeft w:val="0"/>
          <w:marRight w:val="0"/>
          <w:marTop w:val="120"/>
          <w:marBottom w:val="120"/>
          <w:divBdr>
            <w:top w:val="none" w:sz="0" w:space="0" w:color="auto"/>
            <w:left w:val="none" w:sz="0" w:space="0" w:color="auto"/>
            <w:bottom w:val="none" w:sz="0" w:space="0" w:color="auto"/>
            <w:right w:val="none" w:sz="0" w:space="0" w:color="auto"/>
          </w:divBdr>
        </w:div>
      </w:divsChild>
    </w:div>
    <w:div w:id="1082528821">
      <w:bodyDiv w:val="1"/>
      <w:marLeft w:val="0"/>
      <w:marRight w:val="0"/>
      <w:marTop w:val="0"/>
      <w:marBottom w:val="0"/>
      <w:divBdr>
        <w:top w:val="none" w:sz="0" w:space="0" w:color="auto"/>
        <w:left w:val="none" w:sz="0" w:space="0" w:color="auto"/>
        <w:bottom w:val="none" w:sz="0" w:space="0" w:color="auto"/>
        <w:right w:val="none" w:sz="0" w:space="0" w:color="auto"/>
      </w:divBdr>
      <w:divsChild>
        <w:div w:id="1632861047">
          <w:marLeft w:val="0"/>
          <w:marRight w:val="0"/>
          <w:marTop w:val="120"/>
          <w:marBottom w:val="120"/>
          <w:divBdr>
            <w:top w:val="none" w:sz="0" w:space="0" w:color="auto"/>
            <w:left w:val="none" w:sz="0" w:space="0" w:color="auto"/>
            <w:bottom w:val="none" w:sz="0" w:space="0" w:color="auto"/>
            <w:right w:val="none" w:sz="0" w:space="0" w:color="auto"/>
          </w:divBdr>
        </w:div>
        <w:div w:id="599416950">
          <w:marLeft w:val="0"/>
          <w:marRight w:val="0"/>
          <w:marTop w:val="120"/>
          <w:marBottom w:val="120"/>
          <w:divBdr>
            <w:top w:val="none" w:sz="0" w:space="0" w:color="auto"/>
            <w:left w:val="none" w:sz="0" w:space="0" w:color="auto"/>
            <w:bottom w:val="none" w:sz="0" w:space="0" w:color="auto"/>
            <w:right w:val="none" w:sz="0" w:space="0" w:color="auto"/>
          </w:divBdr>
        </w:div>
      </w:divsChild>
    </w:div>
    <w:div w:id="1085148310">
      <w:bodyDiv w:val="1"/>
      <w:marLeft w:val="0"/>
      <w:marRight w:val="0"/>
      <w:marTop w:val="0"/>
      <w:marBottom w:val="0"/>
      <w:divBdr>
        <w:top w:val="none" w:sz="0" w:space="0" w:color="auto"/>
        <w:left w:val="none" w:sz="0" w:space="0" w:color="auto"/>
        <w:bottom w:val="none" w:sz="0" w:space="0" w:color="auto"/>
        <w:right w:val="none" w:sz="0" w:space="0" w:color="auto"/>
      </w:divBdr>
      <w:divsChild>
        <w:div w:id="367949787">
          <w:marLeft w:val="0"/>
          <w:marRight w:val="0"/>
          <w:marTop w:val="120"/>
          <w:marBottom w:val="120"/>
          <w:divBdr>
            <w:top w:val="none" w:sz="0" w:space="0" w:color="auto"/>
            <w:left w:val="none" w:sz="0" w:space="0" w:color="auto"/>
            <w:bottom w:val="none" w:sz="0" w:space="0" w:color="auto"/>
            <w:right w:val="none" w:sz="0" w:space="0" w:color="auto"/>
          </w:divBdr>
        </w:div>
        <w:div w:id="1061825801">
          <w:marLeft w:val="0"/>
          <w:marRight w:val="0"/>
          <w:marTop w:val="120"/>
          <w:marBottom w:val="120"/>
          <w:divBdr>
            <w:top w:val="none" w:sz="0" w:space="0" w:color="auto"/>
            <w:left w:val="none" w:sz="0" w:space="0" w:color="auto"/>
            <w:bottom w:val="none" w:sz="0" w:space="0" w:color="auto"/>
            <w:right w:val="none" w:sz="0" w:space="0" w:color="auto"/>
          </w:divBdr>
        </w:div>
      </w:divsChild>
    </w:div>
    <w:div w:id="1330714758">
      <w:bodyDiv w:val="1"/>
      <w:marLeft w:val="0"/>
      <w:marRight w:val="0"/>
      <w:marTop w:val="0"/>
      <w:marBottom w:val="0"/>
      <w:divBdr>
        <w:top w:val="none" w:sz="0" w:space="0" w:color="auto"/>
        <w:left w:val="none" w:sz="0" w:space="0" w:color="auto"/>
        <w:bottom w:val="none" w:sz="0" w:space="0" w:color="auto"/>
        <w:right w:val="none" w:sz="0" w:space="0" w:color="auto"/>
      </w:divBdr>
      <w:divsChild>
        <w:div w:id="154223523">
          <w:marLeft w:val="0"/>
          <w:marRight w:val="0"/>
          <w:marTop w:val="120"/>
          <w:marBottom w:val="120"/>
          <w:divBdr>
            <w:top w:val="none" w:sz="0" w:space="0" w:color="auto"/>
            <w:left w:val="none" w:sz="0" w:space="0" w:color="auto"/>
            <w:bottom w:val="none" w:sz="0" w:space="0" w:color="auto"/>
            <w:right w:val="none" w:sz="0" w:space="0" w:color="auto"/>
          </w:divBdr>
        </w:div>
        <w:div w:id="1873180742">
          <w:marLeft w:val="0"/>
          <w:marRight w:val="0"/>
          <w:marTop w:val="120"/>
          <w:marBottom w:val="120"/>
          <w:divBdr>
            <w:top w:val="none" w:sz="0" w:space="0" w:color="auto"/>
            <w:left w:val="none" w:sz="0" w:space="0" w:color="auto"/>
            <w:bottom w:val="none" w:sz="0" w:space="0" w:color="auto"/>
            <w:right w:val="none" w:sz="0" w:space="0" w:color="auto"/>
          </w:divBdr>
        </w:div>
        <w:div w:id="1032076233">
          <w:marLeft w:val="0"/>
          <w:marRight w:val="0"/>
          <w:marTop w:val="120"/>
          <w:marBottom w:val="120"/>
          <w:divBdr>
            <w:top w:val="none" w:sz="0" w:space="0" w:color="auto"/>
            <w:left w:val="none" w:sz="0" w:space="0" w:color="auto"/>
            <w:bottom w:val="none" w:sz="0" w:space="0" w:color="auto"/>
            <w:right w:val="none" w:sz="0" w:space="0" w:color="auto"/>
          </w:divBdr>
        </w:div>
        <w:div w:id="571281460">
          <w:marLeft w:val="0"/>
          <w:marRight w:val="0"/>
          <w:marTop w:val="120"/>
          <w:marBottom w:val="120"/>
          <w:divBdr>
            <w:top w:val="none" w:sz="0" w:space="0" w:color="auto"/>
            <w:left w:val="none" w:sz="0" w:space="0" w:color="auto"/>
            <w:bottom w:val="none" w:sz="0" w:space="0" w:color="auto"/>
            <w:right w:val="none" w:sz="0" w:space="0" w:color="auto"/>
          </w:divBdr>
        </w:div>
        <w:div w:id="604115838">
          <w:marLeft w:val="0"/>
          <w:marRight w:val="0"/>
          <w:marTop w:val="120"/>
          <w:marBottom w:val="120"/>
          <w:divBdr>
            <w:top w:val="none" w:sz="0" w:space="0" w:color="auto"/>
            <w:left w:val="none" w:sz="0" w:space="0" w:color="auto"/>
            <w:bottom w:val="none" w:sz="0" w:space="0" w:color="auto"/>
            <w:right w:val="none" w:sz="0" w:space="0" w:color="auto"/>
          </w:divBdr>
        </w:div>
      </w:divsChild>
    </w:div>
    <w:div w:id="1360231795">
      <w:bodyDiv w:val="1"/>
      <w:marLeft w:val="0"/>
      <w:marRight w:val="0"/>
      <w:marTop w:val="0"/>
      <w:marBottom w:val="0"/>
      <w:divBdr>
        <w:top w:val="none" w:sz="0" w:space="0" w:color="auto"/>
        <w:left w:val="none" w:sz="0" w:space="0" w:color="auto"/>
        <w:bottom w:val="none" w:sz="0" w:space="0" w:color="auto"/>
        <w:right w:val="none" w:sz="0" w:space="0" w:color="auto"/>
      </w:divBdr>
    </w:div>
    <w:div w:id="1431853002">
      <w:bodyDiv w:val="1"/>
      <w:marLeft w:val="0"/>
      <w:marRight w:val="0"/>
      <w:marTop w:val="0"/>
      <w:marBottom w:val="0"/>
      <w:divBdr>
        <w:top w:val="none" w:sz="0" w:space="0" w:color="auto"/>
        <w:left w:val="none" w:sz="0" w:space="0" w:color="auto"/>
        <w:bottom w:val="none" w:sz="0" w:space="0" w:color="auto"/>
        <w:right w:val="none" w:sz="0" w:space="0" w:color="auto"/>
      </w:divBdr>
    </w:div>
    <w:div w:id="1502504589">
      <w:bodyDiv w:val="1"/>
      <w:marLeft w:val="0"/>
      <w:marRight w:val="0"/>
      <w:marTop w:val="0"/>
      <w:marBottom w:val="0"/>
      <w:divBdr>
        <w:top w:val="none" w:sz="0" w:space="0" w:color="auto"/>
        <w:left w:val="none" w:sz="0" w:space="0" w:color="auto"/>
        <w:bottom w:val="none" w:sz="0" w:space="0" w:color="auto"/>
        <w:right w:val="none" w:sz="0" w:space="0" w:color="auto"/>
      </w:divBdr>
      <w:divsChild>
        <w:div w:id="2045330374">
          <w:marLeft w:val="0"/>
          <w:marRight w:val="0"/>
          <w:marTop w:val="120"/>
          <w:marBottom w:val="120"/>
          <w:divBdr>
            <w:top w:val="none" w:sz="0" w:space="0" w:color="auto"/>
            <w:left w:val="none" w:sz="0" w:space="0" w:color="auto"/>
            <w:bottom w:val="none" w:sz="0" w:space="0" w:color="auto"/>
            <w:right w:val="none" w:sz="0" w:space="0" w:color="auto"/>
          </w:divBdr>
        </w:div>
        <w:div w:id="618142784">
          <w:marLeft w:val="0"/>
          <w:marRight w:val="0"/>
          <w:marTop w:val="120"/>
          <w:marBottom w:val="120"/>
          <w:divBdr>
            <w:top w:val="none" w:sz="0" w:space="0" w:color="auto"/>
            <w:left w:val="none" w:sz="0" w:space="0" w:color="auto"/>
            <w:bottom w:val="none" w:sz="0" w:space="0" w:color="auto"/>
            <w:right w:val="none" w:sz="0" w:space="0" w:color="auto"/>
          </w:divBdr>
        </w:div>
      </w:divsChild>
    </w:div>
    <w:div w:id="1528562288">
      <w:bodyDiv w:val="1"/>
      <w:marLeft w:val="0"/>
      <w:marRight w:val="0"/>
      <w:marTop w:val="0"/>
      <w:marBottom w:val="0"/>
      <w:divBdr>
        <w:top w:val="none" w:sz="0" w:space="0" w:color="auto"/>
        <w:left w:val="none" w:sz="0" w:space="0" w:color="auto"/>
        <w:bottom w:val="none" w:sz="0" w:space="0" w:color="auto"/>
        <w:right w:val="none" w:sz="0" w:space="0" w:color="auto"/>
      </w:divBdr>
      <w:divsChild>
        <w:div w:id="547835221">
          <w:marLeft w:val="0"/>
          <w:marRight w:val="0"/>
          <w:marTop w:val="120"/>
          <w:marBottom w:val="120"/>
          <w:divBdr>
            <w:top w:val="none" w:sz="0" w:space="0" w:color="auto"/>
            <w:left w:val="none" w:sz="0" w:space="0" w:color="auto"/>
            <w:bottom w:val="none" w:sz="0" w:space="0" w:color="auto"/>
            <w:right w:val="none" w:sz="0" w:space="0" w:color="auto"/>
          </w:divBdr>
        </w:div>
        <w:div w:id="1172909490">
          <w:marLeft w:val="0"/>
          <w:marRight w:val="0"/>
          <w:marTop w:val="120"/>
          <w:marBottom w:val="120"/>
          <w:divBdr>
            <w:top w:val="none" w:sz="0" w:space="0" w:color="auto"/>
            <w:left w:val="none" w:sz="0" w:space="0" w:color="auto"/>
            <w:bottom w:val="none" w:sz="0" w:space="0" w:color="auto"/>
            <w:right w:val="none" w:sz="0" w:space="0" w:color="auto"/>
          </w:divBdr>
        </w:div>
        <w:div w:id="298456828">
          <w:marLeft w:val="0"/>
          <w:marRight w:val="0"/>
          <w:marTop w:val="120"/>
          <w:marBottom w:val="120"/>
          <w:divBdr>
            <w:top w:val="none" w:sz="0" w:space="0" w:color="auto"/>
            <w:left w:val="none" w:sz="0" w:space="0" w:color="auto"/>
            <w:bottom w:val="none" w:sz="0" w:space="0" w:color="auto"/>
            <w:right w:val="none" w:sz="0" w:space="0" w:color="auto"/>
          </w:divBdr>
        </w:div>
      </w:divsChild>
    </w:div>
    <w:div w:id="1549956925">
      <w:bodyDiv w:val="1"/>
      <w:marLeft w:val="0"/>
      <w:marRight w:val="0"/>
      <w:marTop w:val="0"/>
      <w:marBottom w:val="0"/>
      <w:divBdr>
        <w:top w:val="none" w:sz="0" w:space="0" w:color="auto"/>
        <w:left w:val="none" w:sz="0" w:space="0" w:color="auto"/>
        <w:bottom w:val="none" w:sz="0" w:space="0" w:color="auto"/>
        <w:right w:val="none" w:sz="0" w:space="0" w:color="auto"/>
      </w:divBdr>
      <w:divsChild>
        <w:div w:id="673412016">
          <w:marLeft w:val="0"/>
          <w:marRight w:val="0"/>
          <w:marTop w:val="120"/>
          <w:marBottom w:val="120"/>
          <w:divBdr>
            <w:top w:val="none" w:sz="0" w:space="0" w:color="auto"/>
            <w:left w:val="none" w:sz="0" w:space="0" w:color="auto"/>
            <w:bottom w:val="none" w:sz="0" w:space="0" w:color="auto"/>
            <w:right w:val="none" w:sz="0" w:space="0" w:color="auto"/>
          </w:divBdr>
        </w:div>
      </w:divsChild>
    </w:div>
    <w:div w:id="1558130514">
      <w:bodyDiv w:val="1"/>
      <w:marLeft w:val="0"/>
      <w:marRight w:val="0"/>
      <w:marTop w:val="0"/>
      <w:marBottom w:val="0"/>
      <w:divBdr>
        <w:top w:val="none" w:sz="0" w:space="0" w:color="auto"/>
        <w:left w:val="none" w:sz="0" w:space="0" w:color="auto"/>
        <w:bottom w:val="none" w:sz="0" w:space="0" w:color="auto"/>
        <w:right w:val="none" w:sz="0" w:space="0" w:color="auto"/>
      </w:divBdr>
    </w:div>
    <w:div w:id="1597901122">
      <w:bodyDiv w:val="1"/>
      <w:marLeft w:val="0"/>
      <w:marRight w:val="0"/>
      <w:marTop w:val="0"/>
      <w:marBottom w:val="0"/>
      <w:divBdr>
        <w:top w:val="none" w:sz="0" w:space="0" w:color="auto"/>
        <w:left w:val="none" w:sz="0" w:space="0" w:color="auto"/>
        <w:bottom w:val="none" w:sz="0" w:space="0" w:color="auto"/>
        <w:right w:val="none" w:sz="0" w:space="0" w:color="auto"/>
      </w:divBdr>
    </w:div>
    <w:div w:id="1621954242">
      <w:bodyDiv w:val="1"/>
      <w:marLeft w:val="0"/>
      <w:marRight w:val="0"/>
      <w:marTop w:val="0"/>
      <w:marBottom w:val="0"/>
      <w:divBdr>
        <w:top w:val="none" w:sz="0" w:space="0" w:color="auto"/>
        <w:left w:val="none" w:sz="0" w:space="0" w:color="auto"/>
        <w:bottom w:val="none" w:sz="0" w:space="0" w:color="auto"/>
        <w:right w:val="none" w:sz="0" w:space="0" w:color="auto"/>
      </w:divBdr>
    </w:div>
    <w:div w:id="1750079846">
      <w:bodyDiv w:val="1"/>
      <w:marLeft w:val="0"/>
      <w:marRight w:val="0"/>
      <w:marTop w:val="0"/>
      <w:marBottom w:val="0"/>
      <w:divBdr>
        <w:top w:val="none" w:sz="0" w:space="0" w:color="auto"/>
        <w:left w:val="none" w:sz="0" w:space="0" w:color="auto"/>
        <w:bottom w:val="none" w:sz="0" w:space="0" w:color="auto"/>
        <w:right w:val="none" w:sz="0" w:space="0" w:color="auto"/>
      </w:divBdr>
    </w:div>
    <w:div w:id="1766531701">
      <w:bodyDiv w:val="1"/>
      <w:marLeft w:val="0"/>
      <w:marRight w:val="0"/>
      <w:marTop w:val="0"/>
      <w:marBottom w:val="0"/>
      <w:divBdr>
        <w:top w:val="none" w:sz="0" w:space="0" w:color="auto"/>
        <w:left w:val="none" w:sz="0" w:space="0" w:color="auto"/>
        <w:bottom w:val="none" w:sz="0" w:space="0" w:color="auto"/>
        <w:right w:val="none" w:sz="0" w:space="0" w:color="auto"/>
      </w:divBdr>
      <w:divsChild>
        <w:div w:id="1341395518">
          <w:marLeft w:val="0"/>
          <w:marRight w:val="0"/>
          <w:marTop w:val="120"/>
          <w:marBottom w:val="120"/>
          <w:divBdr>
            <w:top w:val="none" w:sz="0" w:space="0" w:color="auto"/>
            <w:left w:val="none" w:sz="0" w:space="0" w:color="auto"/>
            <w:bottom w:val="none" w:sz="0" w:space="0" w:color="auto"/>
            <w:right w:val="none" w:sz="0" w:space="0" w:color="auto"/>
          </w:divBdr>
        </w:div>
        <w:div w:id="1938515328">
          <w:marLeft w:val="0"/>
          <w:marRight w:val="0"/>
          <w:marTop w:val="120"/>
          <w:marBottom w:val="120"/>
          <w:divBdr>
            <w:top w:val="none" w:sz="0" w:space="0" w:color="auto"/>
            <w:left w:val="none" w:sz="0" w:space="0" w:color="auto"/>
            <w:bottom w:val="none" w:sz="0" w:space="0" w:color="auto"/>
            <w:right w:val="none" w:sz="0" w:space="0" w:color="auto"/>
          </w:divBdr>
        </w:div>
        <w:div w:id="78598157">
          <w:marLeft w:val="0"/>
          <w:marRight w:val="0"/>
          <w:marTop w:val="120"/>
          <w:marBottom w:val="120"/>
          <w:divBdr>
            <w:top w:val="none" w:sz="0" w:space="0" w:color="auto"/>
            <w:left w:val="none" w:sz="0" w:space="0" w:color="auto"/>
            <w:bottom w:val="none" w:sz="0" w:space="0" w:color="auto"/>
            <w:right w:val="none" w:sz="0" w:space="0" w:color="auto"/>
          </w:divBdr>
        </w:div>
        <w:div w:id="529688314">
          <w:marLeft w:val="0"/>
          <w:marRight w:val="0"/>
          <w:marTop w:val="120"/>
          <w:marBottom w:val="120"/>
          <w:divBdr>
            <w:top w:val="none" w:sz="0" w:space="0" w:color="auto"/>
            <w:left w:val="none" w:sz="0" w:space="0" w:color="auto"/>
            <w:bottom w:val="none" w:sz="0" w:space="0" w:color="auto"/>
            <w:right w:val="none" w:sz="0" w:space="0" w:color="auto"/>
          </w:divBdr>
        </w:div>
        <w:div w:id="927540509">
          <w:marLeft w:val="0"/>
          <w:marRight w:val="0"/>
          <w:marTop w:val="120"/>
          <w:marBottom w:val="120"/>
          <w:divBdr>
            <w:top w:val="none" w:sz="0" w:space="0" w:color="auto"/>
            <w:left w:val="none" w:sz="0" w:space="0" w:color="auto"/>
            <w:bottom w:val="none" w:sz="0" w:space="0" w:color="auto"/>
            <w:right w:val="none" w:sz="0" w:space="0" w:color="auto"/>
          </w:divBdr>
        </w:div>
      </w:divsChild>
    </w:div>
    <w:div w:id="1871994002">
      <w:bodyDiv w:val="1"/>
      <w:marLeft w:val="0"/>
      <w:marRight w:val="0"/>
      <w:marTop w:val="0"/>
      <w:marBottom w:val="0"/>
      <w:divBdr>
        <w:top w:val="none" w:sz="0" w:space="0" w:color="auto"/>
        <w:left w:val="none" w:sz="0" w:space="0" w:color="auto"/>
        <w:bottom w:val="none" w:sz="0" w:space="0" w:color="auto"/>
        <w:right w:val="none" w:sz="0" w:space="0" w:color="auto"/>
      </w:divBdr>
      <w:divsChild>
        <w:div w:id="854731822">
          <w:marLeft w:val="0"/>
          <w:marRight w:val="0"/>
          <w:marTop w:val="120"/>
          <w:marBottom w:val="120"/>
          <w:divBdr>
            <w:top w:val="none" w:sz="0" w:space="0" w:color="auto"/>
            <w:left w:val="none" w:sz="0" w:space="0" w:color="auto"/>
            <w:bottom w:val="none" w:sz="0" w:space="0" w:color="auto"/>
            <w:right w:val="none" w:sz="0" w:space="0" w:color="auto"/>
          </w:divBdr>
        </w:div>
      </w:divsChild>
    </w:div>
    <w:div w:id="1873954918">
      <w:bodyDiv w:val="1"/>
      <w:marLeft w:val="0"/>
      <w:marRight w:val="0"/>
      <w:marTop w:val="0"/>
      <w:marBottom w:val="0"/>
      <w:divBdr>
        <w:top w:val="none" w:sz="0" w:space="0" w:color="auto"/>
        <w:left w:val="none" w:sz="0" w:space="0" w:color="auto"/>
        <w:bottom w:val="none" w:sz="0" w:space="0" w:color="auto"/>
        <w:right w:val="none" w:sz="0" w:space="0" w:color="auto"/>
      </w:divBdr>
      <w:divsChild>
        <w:div w:id="1583681867">
          <w:marLeft w:val="0"/>
          <w:marRight w:val="0"/>
          <w:marTop w:val="120"/>
          <w:marBottom w:val="120"/>
          <w:divBdr>
            <w:top w:val="none" w:sz="0" w:space="0" w:color="auto"/>
            <w:left w:val="none" w:sz="0" w:space="0" w:color="auto"/>
            <w:bottom w:val="none" w:sz="0" w:space="0" w:color="auto"/>
            <w:right w:val="none" w:sz="0" w:space="0" w:color="auto"/>
          </w:divBdr>
        </w:div>
        <w:div w:id="1694303115">
          <w:marLeft w:val="0"/>
          <w:marRight w:val="0"/>
          <w:marTop w:val="120"/>
          <w:marBottom w:val="120"/>
          <w:divBdr>
            <w:top w:val="none" w:sz="0" w:space="0" w:color="auto"/>
            <w:left w:val="none" w:sz="0" w:space="0" w:color="auto"/>
            <w:bottom w:val="none" w:sz="0" w:space="0" w:color="auto"/>
            <w:right w:val="none" w:sz="0" w:space="0" w:color="auto"/>
          </w:divBdr>
        </w:div>
      </w:divsChild>
    </w:div>
    <w:div w:id="2113276920">
      <w:bodyDiv w:val="1"/>
      <w:marLeft w:val="0"/>
      <w:marRight w:val="0"/>
      <w:marTop w:val="0"/>
      <w:marBottom w:val="0"/>
      <w:divBdr>
        <w:top w:val="none" w:sz="0" w:space="0" w:color="auto"/>
        <w:left w:val="none" w:sz="0" w:space="0" w:color="auto"/>
        <w:bottom w:val="none" w:sz="0" w:space="0" w:color="auto"/>
        <w:right w:val="none" w:sz="0" w:space="0" w:color="auto"/>
      </w:divBdr>
      <w:divsChild>
        <w:div w:id="96096075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S1365100521000365" TargetMode="External"/><Relationship Id="rId13" Type="http://schemas.openxmlformats.org/officeDocument/2006/relationships/hyperlink" Target="https://doi.org/10.1016/j.soildyn.2007.05.0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4254/2071-789X.2013/6-2/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restud/rdz028"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16/j.chaos.2019.01.04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soildyn.2009.10.002" TargetMode="External"/><Relationship Id="rId14" Type="http://schemas.openxmlformats.org/officeDocument/2006/relationships/hyperlink" Target="https://doi.org/10.13197/j.eeed.2022.021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1832</TotalTime>
  <Pages>14</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Pabre</dc:creator>
  <cp:keywords/>
  <dc:description/>
  <cp:lastModifiedBy>SDI 1084</cp:lastModifiedBy>
  <cp:revision>48</cp:revision>
  <dcterms:created xsi:type="dcterms:W3CDTF">2025-11-03T15:41:00Z</dcterms:created>
  <dcterms:modified xsi:type="dcterms:W3CDTF">2026-02-14T08:38:00Z</dcterms:modified>
</cp:coreProperties>
</file>