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5E7" w:rsidRDefault="007A25E7" w:rsidP="007A25E7">
      <w:pPr>
        <w:pStyle w:val="Heading1"/>
        <w:rPr>
          <w:rStyle w:val="Strong"/>
          <w:b/>
          <w:bCs/>
        </w:rPr>
      </w:pPr>
      <w:bookmarkStart w:id="0" w:name="_GoBack"/>
      <w:bookmarkEnd w:id="0"/>
      <w:r w:rsidRPr="007A25E7">
        <w:rPr>
          <w:rStyle w:val="Strong"/>
          <w:b/>
          <w:bCs/>
        </w:rPr>
        <w:t>Spatial Distribution of Hypertension Prevalence in North-Eastern Region of India: NFHS-5</w:t>
      </w:r>
      <w:r w:rsidR="0029252A">
        <w:rPr>
          <w:rStyle w:val="Strong"/>
          <w:b/>
          <w:bCs/>
        </w:rPr>
        <w:t xml:space="preserve"> Perspective</w:t>
      </w:r>
      <w:r w:rsidR="007D6740">
        <w:rPr>
          <w:rStyle w:val="Strong"/>
          <w:b/>
          <w:bCs/>
        </w:rPr>
        <w:t xml:space="preserve"> and Review</w:t>
      </w:r>
    </w:p>
    <w:p w:rsidR="007A25E7" w:rsidRPr="007A25E7" w:rsidRDefault="007A25E7" w:rsidP="007A25E7">
      <w:pPr>
        <w:pStyle w:val="Heading1"/>
      </w:pPr>
    </w:p>
    <w:p w:rsidR="007A25E7" w:rsidRDefault="007A25E7" w:rsidP="007A25E7">
      <w:pPr>
        <w:pStyle w:val="Heading2"/>
      </w:pPr>
      <w:r>
        <w:t>Abstract</w:t>
      </w:r>
    </w:p>
    <w:p w:rsidR="007A25E7" w:rsidRDefault="007A25E7" w:rsidP="007A25E7">
      <w:pPr>
        <w:pStyle w:val="NormalWeb"/>
      </w:pPr>
      <w:r>
        <w:t>Hypertension remains a dominant contributor to cardiovascular morbidity and premature mortality, with India experiencing a persistent dual burden of high prevalence and suboptimal diagnosis, treatment, and control. The North-Eastern Region (NER) of India is epidemiologically distinctive because of its heterogeneous ethnic composition, rugged geography, varied urbanization trajectories, and differential access to health services—features that can shape strong spatial patterning of cardiometabolic risk. The fifth round of the National Family Health Survey (NFHS-5, 2019–2021) enables an unprecedented district-level view of blood pressure indicators and related determinants, offering an opportunity to identify geographic clustering, inequities, and intervention priorities. This review synthesizes peer-reviewed evidence (2000–2025) relevant to hypertension mapping and spatial epidemiology in India, with emphasis on NFHS-5 analyses that document district heterogeneity, measurement considerations, and geographic gradients in screening and management. We discuss methodological approaches for characterizing spatial distributions (exploratory spatial statistics, hotspot detection, spatial regression, and Bayesian small-area methods), interpret the likely drivers of spatial heterogeneity in the NER (socioeconomic gradients, health-system reach, behavioral risks, and cardiometabolic transitions), and outline policy implications for targeting screening and treatment programs in hard-to-reach settings. The review concludes by proposing a practical analytical framework for NER-focused NFHS-5 mapping that balances interpretability, uncertainty communication, and program relevance.</w:t>
      </w:r>
    </w:p>
    <w:p w:rsidR="007A25E7" w:rsidRDefault="007A25E7" w:rsidP="007A25E7">
      <w:pPr>
        <w:pStyle w:val="NormalWeb"/>
      </w:pPr>
      <w:r>
        <w:rPr>
          <w:rStyle w:val="Strong"/>
        </w:rPr>
        <w:t>Keywords:</w:t>
      </w:r>
      <w:r>
        <w:t xml:space="preserve"> Hypertension; Spatial epidemiology; Hotspot analysis; District-level mapping; North-Eastern India; NFHS-5; Health inequities; Blood pressure cascade</w:t>
      </w:r>
    </w:p>
    <w:p w:rsidR="007A25E7" w:rsidRDefault="007A25E7" w:rsidP="007A25E7"/>
    <w:p w:rsidR="007A25E7" w:rsidRDefault="007A25E7" w:rsidP="007A25E7">
      <w:pPr>
        <w:pStyle w:val="Heading2"/>
      </w:pPr>
      <w:r>
        <w:t>1. Introduction</w:t>
      </w:r>
    </w:p>
    <w:p w:rsidR="007A25E7" w:rsidRDefault="007A25E7" w:rsidP="007A25E7">
      <w:pPr>
        <w:pStyle w:val="NormalWeb"/>
      </w:pPr>
      <w:r>
        <w:t>Hypertension is among the most important modifiable risk factors for cardiovascular disease worldwide and continues to expand in scale and complexity, driven by population aging, dietary transitions, sedentary lifestyles, and widening inequities in access to prevention and primary care. Global evidence indicates that even when effective and inexpensive therapies exist, detection and control lag substantially, producing a large avoidable burden of stroke, ischemic heart disease, and renal disease (</w:t>
      </w:r>
      <w:r w:rsidR="00317E7E">
        <w:t>Zhou et al.</w:t>
      </w:r>
      <w:r>
        <w:t xml:space="preserve">, 2021; Kearney et al., 2005). In India, this challenge is amplified by pronounced subnational heterogeneity in epidemiological </w:t>
      </w:r>
      <w:r>
        <w:lastRenderedPageBreak/>
        <w:t>transition, health-system performance, and social determinants, which together shape where hypertension concentrates and who remains undiagnosed or uncontrolled.</w:t>
      </w:r>
    </w:p>
    <w:p w:rsidR="007A25E7" w:rsidRDefault="007A25E7" w:rsidP="007A25E7">
      <w:pPr>
        <w:pStyle w:val="NormalWeb"/>
      </w:pPr>
      <w:r>
        <w:t>The North-Eastern Region (NER)—commonly comprising Arunachal Pradesh, Assam, Manipur, Meghalaya, Mizoram, Nagaland, Sikkim, and Tripura—presents a particularly compelling case for spatial epidemiology. The region’s mountainous terrain and dispersed settlements can limit routine screening and continuity of care, while cultural and dietary patterns, tobacco and alcohol use contexts, and rapid shifts in occupation and food environments can influence cardiometabolic risk in ways that are unevenly distributed across districts. A central implication is that averages at the state or regional level may obscure localized clusters of high prevalence or poor management, especially near emerging urban centers, border trade corridors, and remote rural or tribal blocks. Because hypertension prevention and control require continuous detection, treatment adherence, and monitoring, understanding where the burden and cascade gaps are spatially concentrated becomes fundamental for targeting primary health-care responses.</w:t>
      </w:r>
    </w:p>
    <w:p w:rsidR="007A25E7" w:rsidRDefault="007A25E7" w:rsidP="007A25E7">
      <w:pPr>
        <w:pStyle w:val="NormalWeb"/>
      </w:pPr>
      <w:r>
        <w:t>The NFHS-5 (2019–2021) provides a rare combination of biomarker measurement and large sample coverage enabling district-level analyses of blood pressure–related indicators and determinants. Recent India-wide NFHS-5 studies document pronounced district-wise heterogeneity in blood pressure measurement uptake, raised blood pressure prevalence, and correlates, reinforcing the importance of spatially explicit analysis rather than reliance on broad administrative averages (</w:t>
      </w:r>
      <w:proofErr w:type="spellStart"/>
      <w:r>
        <w:t>Seenappa</w:t>
      </w:r>
      <w:proofErr w:type="spellEnd"/>
      <w:r>
        <w:t xml:space="preserve"> et al., 2024). NFHS-derived cascade analyses also show that diagnosis, treatment, and control remain limited, with substantial geographic variation and scope for more equitable program design (</w:t>
      </w:r>
      <w:proofErr w:type="spellStart"/>
      <w:r w:rsidR="004271AB">
        <w:t>Guthi</w:t>
      </w:r>
      <w:proofErr w:type="spellEnd"/>
      <w:r w:rsidR="004271AB">
        <w:t xml:space="preserve"> et al., 2024</w:t>
      </w:r>
      <w:r>
        <w:t>). Evidence from NFHS-4 likewise demonstrates large state-level differences in screening, awareness, and control, providing a baseline for interpreting NFHS-5 patterns and emphasizing the need to link epidemiology to health-system reach (</w:t>
      </w:r>
      <w:proofErr w:type="spellStart"/>
      <w:r>
        <w:t>Prenissl</w:t>
      </w:r>
      <w:proofErr w:type="spellEnd"/>
      <w:r>
        <w:t xml:space="preserve"> et al., 2019). </w:t>
      </w:r>
    </w:p>
    <w:p w:rsidR="007A25E7" w:rsidRDefault="007A25E7" w:rsidP="007A25E7">
      <w:pPr>
        <w:pStyle w:val="Heading3"/>
      </w:pPr>
      <w:r>
        <w:t>1.1 Hypertension as a population-health and health-systems problem in India</w:t>
      </w:r>
    </w:p>
    <w:p w:rsidR="007A25E7" w:rsidRDefault="007A25E7" w:rsidP="007A25E7">
      <w:pPr>
        <w:pStyle w:val="NormalWeb"/>
      </w:pPr>
      <w:r>
        <w:t>Two features make hypertension especially challenging: it is often asymptomatic for years, and its control depends on a long chain of actions—from screening to diagnosis, initiation of medication, follow-up, and sustained adherence. Global pooled analyses show that although awareness and treatment have improved in many countries, control remains inadequate, and gaps are often largest where primary care systems are weakest (NCD-</w:t>
      </w:r>
      <w:proofErr w:type="spellStart"/>
      <w:r>
        <w:t>RisC</w:t>
      </w:r>
      <w:proofErr w:type="spellEnd"/>
      <w:r>
        <w:t>, 2021). India reflects this global pattern while also exhibiting steep internal gradients by wealth, education, urbanization, and state capacity, which produce unequal transitions from risk exposure to clinical management. At the population level, hypertension prevalence is shaped by shifts in diet, adiposity, physical inactivity, and alcohol consumption; at the system level, it is shaped by the ability of public and private care to perform routine screening and provide stable medication supply. The synergy between these population and system determinants is inherently spatial: exposures and services are distributed across places rather than randomly across individuals</w:t>
      </w:r>
      <w:r w:rsidR="003A71E9">
        <w:t xml:space="preserve"> (</w:t>
      </w:r>
      <w:r w:rsidR="003A71E9" w:rsidRPr="003A71E9">
        <w:t xml:space="preserve">Singh et al., 2017; </w:t>
      </w:r>
      <w:proofErr w:type="spellStart"/>
      <w:r w:rsidR="003A71E9" w:rsidRPr="003A71E9">
        <w:t>Pyakurel</w:t>
      </w:r>
      <w:proofErr w:type="spellEnd"/>
      <w:r w:rsidR="003A71E9" w:rsidRPr="003A71E9">
        <w:t xml:space="preserve"> et al., 2019; Mohammad &amp; </w:t>
      </w:r>
      <w:proofErr w:type="spellStart"/>
      <w:r w:rsidR="003A71E9" w:rsidRPr="003A71E9">
        <w:t>Bansod</w:t>
      </w:r>
      <w:proofErr w:type="spellEnd"/>
      <w:r w:rsidR="003A71E9" w:rsidRPr="003A71E9">
        <w:t>, 2024</w:t>
      </w:r>
      <w:r w:rsidR="003A71E9">
        <w:t>)</w:t>
      </w:r>
      <w:r>
        <w:t xml:space="preserve">. </w:t>
      </w:r>
    </w:p>
    <w:p w:rsidR="007A25E7" w:rsidRDefault="007A25E7" w:rsidP="007A25E7">
      <w:pPr>
        <w:pStyle w:val="Heading3"/>
      </w:pPr>
      <w:r>
        <w:t>1.2 Why spatial distribution matters for the North-Eastern Region</w:t>
      </w:r>
    </w:p>
    <w:p w:rsidR="007A25E7" w:rsidRDefault="007A25E7" w:rsidP="007A25E7">
      <w:pPr>
        <w:pStyle w:val="NormalWeb"/>
      </w:pPr>
      <w:r>
        <w:t xml:space="preserve">Spatial heterogeneity in the NER is plausible for at least four reasons. First, the region includes highly diverse topographies and settlement patterns, producing strong “friction of distance” to primary care in some districts and comparatively easier access in others. Second, the demographic and cultural composition varies sharply across and within states, and such </w:t>
      </w:r>
      <w:r>
        <w:lastRenderedPageBreak/>
        <w:t>variation can influence diet, tobacco and alcohol norms, and patterns of occupational physical activity. Third, economic development and urban growth are uneven, and cardiometabolic risk often rises quickly in peri-urban environments where processed foods, sedentary jobs, and stress exposures expand faster than preventive care. Fourth, the health system itself is unevenly distributed, with different levels of program intensity and monitoring capacity across districts. These features make the NER a high-value setting for NFHS-5-informed spatial epidemiology that can identify clusters rather than merely describing “high” or “low” states</w:t>
      </w:r>
      <w:r w:rsidR="003A71E9">
        <w:t xml:space="preserve"> (</w:t>
      </w:r>
      <w:r w:rsidR="003A71E9" w:rsidRPr="003A71E9">
        <w:t xml:space="preserve">Daniel et al., 2020; </w:t>
      </w:r>
      <w:proofErr w:type="spellStart"/>
      <w:r w:rsidR="003A71E9" w:rsidRPr="003A71E9">
        <w:t>Meshram</w:t>
      </w:r>
      <w:proofErr w:type="spellEnd"/>
      <w:r w:rsidR="003A71E9" w:rsidRPr="003A71E9">
        <w:t xml:space="preserve"> et al, 2022; </w:t>
      </w:r>
      <w:proofErr w:type="spellStart"/>
      <w:r w:rsidR="003A71E9" w:rsidRPr="003A71E9">
        <w:t>Norboo</w:t>
      </w:r>
      <w:proofErr w:type="spellEnd"/>
      <w:r w:rsidR="003A71E9" w:rsidRPr="003A71E9">
        <w:t xml:space="preserve"> et al., 2015</w:t>
      </w:r>
      <w:r w:rsidR="003A71E9">
        <w:t>)</w:t>
      </w:r>
      <w:r>
        <w:t xml:space="preserve">. </w:t>
      </w:r>
    </w:p>
    <w:p w:rsidR="007A25E7" w:rsidRDefault="007A25E7" w:rsidP="007A25E7">
      <w:pPr>
        <w:pStyle w:val="Heading3"/>
      </w:pPr>
      <w:r>
        <w:t>1.3 NFHS-5 and the promise of district-level hypertension mapping</w:t>
      </w:r>
    </w:p>
    <w:p w:rsidR="007A25E7" w:rsidRDefault="007A25E7" w:rsidP="007A25E7">
      <w:pPr>
        <w:pStyle w:val="NormalWeb"/>
      </w:pPr>
      <w:r>
        <w:t>NFHS-5 enables district-wise analyses not only of raised blood pressure prevalence, but also of intermediate indicators such as whether blood pressure was ever measured—an important upstream determinant of diagnosis and treatment. A district can have moderate prevalence but very low measurement uptake, implying a large hidden burden; another may have similar prevalence but higher screening, implying better detection and potentially better control prospects. NFHS-5 analyses show that such indicators vary widely across districts, suggesting that district context is crucial for interpretation and intervention design (</w:t>
      </w:r>
      <w:proofErr w:type="spellStart"/>
      <w:r>
        <w:t>Seenappa</w:t>
      </w:r>
      <w:proofErr w:type="spellEnd"/>
      <w:r>
        <w:t xml:space="preserve"> et al., 2024). In parallel, comparisons of district-level prevalence over time (NFHS-4 to NFHS-5) provide a lens on where hypertension may be emerging rapidly among younger adult groups, which has critical implications for prevention strategies and workforce planning (</w:t>
      </w:r>
      <w:r w:rsidR="006B57D5">
        <w:t>Jain et al., 2025</w:t>
      </w:r>
      <w:r>
        <w:t xml:space="preserve">). </w:t>
      </w:r>
    </w:p>
    <w:p w:rsidR="007A25E7" w:rsidRDefault="007A25E7" w:rsidP="007A25E7">
      <w:pPr>
        <w:pStyle w:val="Heading3"/>
      </w:pPr>
      <w:r>
        <w:t>1.4 Scope and objectives of the article</w:t>
      </w:r>
    </w:p>
    <w:p w:rsidR="007A25E7" w:rsidRDefault="007A25E7" w:rsidP="007A25E7">
      <w:pPr>
        <w:pStyle w:val="NormalWeb"/>
      </w:pPr>
      <w:r>
        <w:t>This review has three objectives. First, it synthesizes peer-reviewed evidence relevant to spatial distribution and district-level heterogeneity of hypertension in India, emphasizing NFHS-5 contributions and interpretive considerations for the NER. Second, it reviews spatial-analytic methods suitable for NFHS-5 hypertension mapping, focusing on approaches that can identify clustering, quantify uncertainty, and evaluate determinants without mathematical exposition. Third, it translates the methodological and empirical insights into program-relevant implications for district targeting and equity-focused hypertension control in the NER, including practical guidance for interpreting maps and prioritizing surveillance and service delivery.</w:t>
      </w:r>
    </w:p>
    <w:p w:rsidR="007A25E7" w:rsidRDefault="007A25E7" w:rsidP="007A25E7"/>
    <w:p w:rsidR="007A25E7" w:rsidRDefault="007A25E7" w:rsidP="007A25E7">
      <w:pPr>
        <w:pStyle w:val="Heading2"/>
      </w:pPr>
      <w:r>
        <w:t>2. Methods for literature selection</w:t>
      </w:r>
    </w:p>
    <w:p w:rsidR="007A25E7" w:rsidRDefault="007A25E7" w:rsidP="007A25E7">
      <w:pPr>
        <w:pStyle w:val="NormalWeb"/>
      </w:pPr>
      <w:r>
        <w:t>The literature search was designed to capture peer-reviewed evidence on (a) hypertension prevalence, screening, and management in India using NFHS datasets (NFHS-4 and NFHS-5), (b) spatial or district-level analyses of blood pressure indicators in India, and (c) spatial epidemiological methods commonly applied to noncommunicable disease mapping that are applicable to NFHS-5.</w:t>
      </w:r>
    </w:p>
    <w:p w:rsidR="007A25E7" w:rsidRDefault="007A25E7" w:rsidP="007A25E7">
      <w:pPr>
        <w:pStyle w:val="NormalWeb"/>
      </w:pPr>
      <w:r>
        <w:t xml:space="preserve">Searches were conducted across Google Scholar, PubMed, Scopus, and Web of Science for publications from January 2000 through December 2025. Search strings combined terms for the outcome, geography, dataset, and spatial approach, including: “hypertension” AND “India” AND (“NFHS” OR “National Family Health Survey” OR “DHS”) AND (“district” </w:t>
      </w:r>
      <w:r>
        <w:lastRenderedPageBreak/>
        <w:t>OR “spatial” OR “hotspot” OR “cluster” OR “mapping” OR “geographical variation”), and additional terms for the NER and its states (e.g., “North East India”, “Assam”, “Meghalaya”, “Mizoram”, “Nagaland”, “Sikkim”, “Tripura”, “Manipur”, “Arunachal Pradesh”). Reference lists of highly relevant studies were also screened to identify additional eligible papers.</w:t>
      </w:r>
    </w:p>
    <w:p w:rsidR="007A25E7" w:rsidRDefault="007A25E7" w:rsidP="007A25E7">
      <w:pPr>
        <w:pStyle w:val="NormalWeb"/>
      </w:pPr>
      <w:r>
        <w:t xml:space="preserve">Inclusion criteria were: peer-reviewed journal publication; focus on hypertension or raised blood pressure prevalence and/or cascade indicators (screening, awareness/diagnosis, treatment, control); inclusion of India with district/state analysis or explicit spatial methods; and availability of a DOI to enable bibliographic verification. Exclusion criteria were: conference abstracts without full methods; non-peer-reviewed manuscripts; and items without a DOI. Emphasis was placed on studies using nationally representative or large-scale survey data, while regional studies were considered when they provided context relevant to NER heterogeneity. </w:t>
      </w:r>
    </w:p>
    <w:p w:rsidR="007A25E7" w:rsidRDefault="007A25E7" w:rsidP="007A25E7"/>
    <w:p w:rsidR="007A25E7" w:rsidRPr="007A25E7" w:rsidRDefault="007A25E7" w:rsidP="007A25E7">
      <w:pPr>
        <w:spacing w:before="100" w:beforeAutospacing="1" w:after="100" w:afterAutospacing="1" w:line="240" w:lineRule="auto"/>
        <w:ind w:left="0" w:right="0" w:firstLine="0"/>
        <w:jc w:val="left"/>
        <w:outlineLvl w:val="1"/>
        <w:rPr>
          <w:b/>
          <w:bCs/>
          <w:color w:val="auto"/>
          <w:kern w:val="0"/>
          <w:sz w:val="36"/>
          <w:szCs w:val="36"/>
          <w:lang w:val="en-US" w:eastAsia="en-US"/>
        </w:rPr>
      </w:pPr>
      <w:r w:rsidRPr="007A25E7">
        <w:rPr>
          <w:b/>
          <w:bCs/>
          <w:color w:val="auto"/>
          <w:kern w:val="0"/>
          <w:sz w:val="36"/>
          <w:szCs w:val="36"/>
          <w:lang w:val="en-US" w:eastAsia="en-US"/>
        </w:rPr>
        <w:t>3. NFHS-5 hypertension measurement and interpretive considerations for spatial analysis</w:t>
      </w:r>
    </w:p>
    <w:p w:rsidR="007A25E7" w:rsidRPr="007A25E7" w:rsidRDefault="007A25E7" w:rsidP="007A25E7">
      <w:pPr>
        <w:spacing w:before="100" w:beforeAutospacing="1" w:after="100" w:afterAutospacing="1" w:line="240" w:lineRule="auto"/>
        <w:ind w:left="0" w:right="0" w:firstLine="0"/>
        <w:jc w:val="left"/>
        <w:rPr>
          <w:color w:val="auto"/>
          <w:kern w:val="0"/>
          <w:lang w:val="en-US" w:eastAsia="en-US"/>
        </w:rPr>
      </w:pPr>
      <w:r w:rsidRPr="007A25E7">
        <w:rPr>
          <w:color w:val="auto"/>
          <w:kern w:val="0"/>
          <w:lang w:val="en-US" w:eastAsia="en-US"/>
        </w:rPr>
        <w:t>NFHS-5 offers an unusually policy-relevant opportunity for district-level hypertension mapping in India because it combines biomarker measurement with broad geographic coverage. However, the interpretive value of any spatial pattern depends on how blood pressure is measured, how hypertension is defined, and how survey design and missingness vary across districts. Spatial analysis amplifies these concerns because even modest measurement biases or differential nonresponse can generate visually persuasive “hotspots” that are partly artifacts of field conditions, protocol implementation, or uneven screening exposure rather than true underlying epidemiology. For this reason, NFHS-5 hypertension mapping is best treated as an exercise in geographically structured measurement interpretation as much as it is a description of risk distribution.</w:t>
      </w:r>
    </w:p>
    <w:p w:rsidR="007A25E7" w:rsidRPr="007A25E7" w:rsidRDefault="007A25E7" w:rsidP="007A25E7">
      <w:pPr>
        <w:spacing w:before="100" w:beforeAutospacing="1" w:after="100" w:afterAutospacing="1" w:line="240" w:lineRule="auto"/>
        <w:ind w:left="0" w:right="0" w:firstLine="0"/>
        <w:jc w:val="left"/>
        <w:rPr>
          <w:color w:val="auto"/>
          <w:kern w:val="0"/>
          <w:lang w:val="en-US" w:eastAsia="en-US"/>
        </w:rPr>
      </w:pPr>
      <w:r w:rsidRPr="007A25E7">
        <w:rPr>
          <w:color w:val="auto"/>
          <w:kern w:val="0"/>
          <w:lang w:val="en-US" w:eastAsia="en-US"/>
        </w:rPr>
        <w:t>A first consideration is the operational definition of hypertension and the sensitivity of prevalence to threshold choices. In India, the effect of updated guideline thresholds on estimated prevalence and its geographic distribution has been demonstrated, implying that district rankings and apparent clusters can shift when different definitional cut-points are used (Gupta et al., 2021). This matters for spatial analysis because policymakers tend to interpret maps as stable representations of “where the problem is,” whereas in reality the apparent severity of a district may change under alternative but still defensible classifications. A practical response is to emphasize definitional transparency in the methods narrative of spatial work and, where feasible, examine whether the same districts remain consistently elevated when alternative definitions are applied. Even when the primary analysis uses one standard definition, interpretive discussion should acknowledge that district boundaries between “high” and “moderate” prevalence can be threshold-sensitive and therefore should not be treated as precise epidemiological discontinuities</w:t>
      </w:r>
      <w:r w:rsidR="003A71E9">
        <w:rPr>
          <w:color w:val="auto"/>
          <w:kern w:val="0"/>
          <w:lang w:val="en-US" w:eastAsia="en-US"/>
        </w:rPr>
        <w:t xml:space="preserve"> (</w:t>
      </w:r>
      <w:r w:rsidR="003A71E9" w:rsidRPr="003A71E9">
        <w:rPr>
          <w:color w:val="auto"/>
          <w:kern w:val="0"/>
          <w:lang w:val="en-US" w:eastAsia="en-US"/>
        </w:rPr>
        <w:t xml:space="preserve">Daniel et al., 2020; </w:t>
      </w:r>
      <w:proofErr w:type="spellStart"/>
      <w:r w:rsidR="003A71E9" w:rsidRPr="003A71E9">
        <w:rPr>
          <w:color w:val="auto"/>
          <w:kern w:val="0"/>
          <w:lang w:val="en-US" w:eastAsia="en-US"/>
        </w:rPr>
        <w:t>Meshram</w:t>
      </w:r>
      <w:proofErr w:type="spellEnd"/>
      <w:r w:rsidR="003A71E9" w:rsidRPr="003A71E9">
        <w:rPr>
          <w:color w:val="auto"/>
          <w:kern w:val="0"/>
          <w:lang w:val="en-US" w:eastAsia="en-US"/>
        </w:rPr>
        <w:t xml:space="preserve"> et al, 2022; </w:t>
      </w:r>
      <w:proofErr w:type="spellStart"/>
      <w:r w:rsidR="003A71E9" w:rsidRPr="003A71E9">
        <w:rPr>
          <w:color w:val="auto"/>
          <w:kern w:val="0"/>
          <w:lang w:val="en-US" w:eastAsia="en-US"/>
        </w:rPr>
        <w:t>Norboo</w:t>
      </w:r>
      <w:proofErr w:type="spellEnd"/>
      <w:r w:rsidR="003A71E9" w:rsidRPr="003A71E9">
        <w:rPr>
          <w:color w:val="auto"/>
          <w:kern w:val="0"/>
          <w:lang w:val="en-US" w:eastAsia="en-US"/>
        </w:rPr>
        <w:t xml:space="preserve"> et al., 2015</w:t>
      </w:r>
      <w:r w:rsidR="003A71E9">
        <w:rPr>
          <w:color w:val="auto"/>
          <w:kern w:val="0"/>
          <w:lang w:val="en-US" w:eastAsia="en-US"/>
        </w:rPr>
        <w:t>)</w:t>
      </w:r>
      <w:r w:rsidRPr="007A25E7">
        <w:rPr>
          <w:color w:val="auto"/>
          <w:kern w:val="0"/>
          <w:lang w:val="en-US" w:eastAsia="en-US"/>
        </w:rPr>
        <w:t>.</w:t>
      </w:r>
    </w:p>
    <w:p w:rsidR="007A25E7" w:rsidRPr="007A25E7" w:rsidRDefault="007A25E7" w:rsidP="007A25E7">
      <w:pPr>
        <w:spacing w:before="100" w:beforeAutospacing="1" w:after="100" w:afterAutospacing="1" w:line="240" w:lineRule="auto"/>
        <w:ind w:left="0" w:right="0" w:firstLine="0"/>
        <w:jc w:val="left"/>
        <w:rPr>
          <w:color w:val="auto"/>
          <w:kern w:val="0"/>
          <w:lang w:val="en-US" w:eastAsia="en-US"/>
        </w:rPr>
      </w:pPr>
      <w:r w:rsidRPr="007A25E7">
        <w:rPr>
          <w:color w:val="auto"/>
          <w:kern w:val="0"/>
          <w:lang w:val="en-US" w:eastAsia="en-US"/>
        </w:rPr>
        <w:t xml:space="preserve">A second consideration is the single-visit nature of survey blood pressure assessment and its consequences for misclassification. Blood pressure varies within individuals due to stress, time of day, recent activity, and measurement context, so survey classification can </w:t>
      </w:r>
      <w:r w:rsidRPr="007A25E7">
        <w:rPr>
          <w:color w:val="auto"/>
          <w:kern w:val="0"/>
          <w:lang w:val="en-US" w:eastAsia="en-US"/>
        </w:rPr>
        <w:lastRenderedPageBreak/>
        <w:t>overestimate or underestimate chronic hypertension for some individuals. When translated into district maps, this individual-level variability becomes a problem of spatial comparability: if measurement contexts differ systematically across districts—because of travel constraints, interviewer workload, or field logistics—then the direction and magnitude of misclassification could also differ geographically. The implication is not that NFHS-5 biomarker data are uninformative, but that spatial inference should be framed probabilistically and comparatively, with attention to uncertainty and potential protocol heterogeneity rather than as definitive “true prevalence” surfaces</w:t>
      </w:r>
      <w:r>
        <w:rPr>
          <w:color w:val="auto"/>
          <w:kern w:val="0"/>
          <w:lang w:val="en-US" w:eastAsia="en-US"/>
        </w:rPr>
        <w:t xml:space="preserve"> (</w:t>
      </w:r>
      <w:proofErr w:type="spellStart"/>
      <w:r w:rsidRPr="007A25E7">
        <w:rPr>
          <w:color w:val="auto"/>
          <w:kern w:val="0"/>
          <w:lang w:val="en-US" w:eastAsia="en-US"/>
        </w:rPr>
        <w:t>Amarchand</w:t>
      </w:r>
      <w:proofErr w:type="spellEnd"/>
      <w:r w:rsidRPr="007A25E7">
        <w:rPr>
          <w:color w:val="auto"/>
          <w:kern w:val="0"/>
          <w:lang w:val="en-US" w:eastAsia="en-US"/>
        </w:rPr>
        <w:t xml:space="preserve"> et al., 2023; Gupta et al., 2021</w:t>
      </w:r>
      <w:r>
        <w:rPr>
          <w:color w:val="auto"/>
          <w:kern w:val="0"/>
          <w:lang w:val="en-US" w:eastAsia="en-US"/>
        </w:rPr>
        <w:t>)</w:t>
      </w:r>
      <w:r w:rsidRPr="007A25E7">
        <w:rPr>
          <w:color w:val="auto"/>
          <w:kern w:val="0"/>
          <w:lang w:val="en-US" w:eastAsia="en-US"/>
        </w:rPr>
        <w:t>.</w:t>
      </w:r>
    </w:p>
    <w:p w:rsidR="007A25E7" w:rsidRPr="007A25E7" w:rsidRDefault="007A25E7" w:rsidP="007A25E7">
      <w:pPr>
        <w:spacing w:before="100" w:beforeAutospacing="1" w:after="100" w:afterAutospacing="1" w:line="240" w:lineRule="auto"/>
        <w:ind w:left="0" w:right="0" w:firstLine="0"/>
        <w:jc w:val="left"/>
        <w:rPr>
          <w:color w:val="auto"/>
          <w:kern w:val="0"/>
          <w:lang w:val="en-US" w:eastAsia="en-US"/>
        </w:rPr>
      </w:pPr>
      <w:r w:rsidRPr="007A25E7">
        <w:rPr>
          <w:color w:val="auto"/>
          <w:kern w:val="0"/>
          <w:lang w:val="en-US" w:eastAsia="en-US"/>
        </w:rPr>
        <w:t xml:space="preserve">A third and especially important NFHS-5 feature is that screening exposure can be measured and mapped alongside prevalence. District-level heterogeneity in whether people have </w:t>
      </w:r>
      <w:r w:rsidRPr="007A25E7">
        <w:rPr>
          <w:i/>
          <w:iCs/>
          <w:color w:val="auto"/>
          <w:kern w:val="0"/>
          <w:lang w:val="en-US" w:eastAsia="en-US"/>
        </w:rPr>
        <w:t>ever</w:t>
      </w:r>
      <w:r w:rsidRPr="007A25E7">
        <w:rPr>
          <w:color w:val="auto"/>
          <w:kern w:val="0"/>
          <w:lang w:val="en-US" w:eastAsia="en-US"/>
        </w:rPr>
        <w:t xml:space="preserve"> had their blood pressure measured is itself substantial, and this upstream indicator shapes the downstream cascade of diagnosis and treatment (</w:t>
      </w:r>
      <w:proofErr w:type="spellStart"/>
      <w:r w:rsidRPr="007A25E7">
        <w:rPr>
          <w:color w:val="auto"/>
          <w:kern w:val="0"/>
          <w:lang w:val="en-US" w:eastAsia="en-US"/>
        </w:rPr>
        <w:t>Seenappa</w:t>
      </w:r>
      <w:proofErr w:type="spellEnd"/>
      <w:r w:rsidRPr="007A25E7">
        <w:rPr>
          <w:color w:val="auto"/>
          <w:kern w:val="0"/>
          <w:lang w:val="en-US" w:eastAsia="en-US"/>
        </w:rPr>
        <w:t xml:space="preserve"> et al., 2024). In spatial terms, “ever measured” is not merely a covariate; it is a parallel outcome describing the geography of contact with screening services and health awareness. A district with low observed hypertension prevalence but also very low “ever measured” may plausibly carry a large undetected burden, while a district with higher measured prevalence may partly reflect stronger screening that reveals cases which remain hidden elsewhere. Therefore, NFHS-5 spatial analysis is most interpretable when prevalence maps are read together with screening maps rather than in isolation, and when discussion distinguishes between the geography of risk and the geography of detection (</w:t>
      </w:r>
      <w:proofErr w:type="spellStart"/>
      <w:r w:rsidRPr="007A25E7">
        <w:rPr>
          <w:color w:val="auto"/>
          <w:kern w:val="0"/>
          <w:lang w:val="en-US" w:eastAsia="en-US"/>
        </w:rPr>
        <w:t>Seenappa</w:t>
      </w:r>
      <w:proofErr w:type="spellEnd"/>
      <w:r w:rsidRPr="007A25E7">
        <w:rPr>
          <w:color w:val="auto"/>
          <w:kern w:val="0"/>
          <w:lang w:val="en-US" w:eastAsia="en-US"/>
        </w:rPr>
        <w:t xml:space="preserve"> et al., 2024). This joint interpretation is particularly relevant in settings where remoteness and health-system reach vary sharply across space, because detection gaps can dominate the observed pattern</w:t>
      </w:r>
      <w:r>
        <w:rPr>
          <w:color w:val="auto"/>
          <w:kern w:val="0"/>
          <w:lang w:val="en-US" w:eastAsia="en-US"/>
        </w:rPr>
        <w:t xml:space="preserve"> (</w:t>
      </w:r>
      <w:proofErr w:type="spellStart"/>
      <w:r w:rsidRPr="007A25E7">
        <w:rPr>
          <w:color w:val="auto"/>
          <w:kern w:val="0"/>
          <w:lang w:val="en-US" w:eastAsia="en-US"/>
        </w:rPr>
        <w:t>Seenappa</w:t>
      </w:r>
      <w:proofErr w:type="spellEnd"/>
      <w:r w:rsidRPr="007A25E7">
        <w:rPr>
          <w:color w:val="auto"/>
          <w:kern w:val="0"/>
          <w:lang w:val="en-US" w:eastAsia="en-US"/>
        </w:rPr>
        <w:t xml:space="preserve"> et al., 2024;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Pr>
          <w:color w:val="auto"/>
          <w:kern w:val="0"/>
          <w:lang w:val="en-US" w:eastAsia="en-US"/>
        </w:rPr>
        <w:t>)</w:t>
      </w:r>
      <w:r w:rsidRPr="007A25E7">
        <w:rPr>
          <w:color w:val="auto"/>
          <w:kern w:val="0"/>
          <w:lang w:val="en-US" w:eastAsia="en-US"/>
        </w:rPr>
        <w:t>.</w:t>
      </w:r>
    </w:p>
    <w:p w:rsidR="007A25E7" w:rsidRPr="007A25E7" w:rsidRDefault="007A25E7" w:rsidP="007A25E7">
      <w:pPr>
        <w:spacing w:before="100" w:beforeAutospacing="1" w:after="100" w:afterAutospacing="1" w:line="240" w:lineRule="auto"/>
        <w:ind w:left="0" w:right="0" w:firstLine="0"/>
        <w:jc w:val="left"/>
        <w:rPr>
          <w:color w:val="auto"/>
          <w:kern w:val="0"/>
          <w:lang w:val="en-US" w:eastAsia="en-US"/>
        </w:rPr>
      </w:pPr>
      <w:r w:rsidRPr="007A25E7">
        <w:rPr>
          <w:color w:val="auto"/>
          <w:kern w:val="0"/>
          <w:lang w:val="en-US" w:eastAsia="en-US"/>
        </w:rPr>
        <w:t>A fourth consideration concerns comparability across time and across population subgroups, particularly when NFHS-5 findings are contrasted with NFHS-4 at the district scale. District-level change analyses among adults aged 15–49 demonstrate that hypertension (and related cardiometabolic conditions) can shift unevenly across districts over the 2016–2021 period, reinforcing that spatial patterns are dynamic rather than fixed (</w:t>
      </w:r>
      <w:r w:rsidR="006B57D5">
        <w:rPr>
          <w:color w:val="auto"/>
          <w:kern w:val="0"/>
          <w:lang w:val="en-US" w:eastAsia="en-US"/>
        </w:rPr>
        <w:t>Jain et al., 2025</w:t>
      </w:r>
      <w:r w:rsidRPr="007A25E7">
        <w:rPr>
          <w:color w:val="auto"/>
          <w:kern w:val="0"/>
          <w:lang w:val="en-US" w:eastAsia="en-US"/>
        </w:rPr>
        <w:t>). Yet temporal comparisons can be confounded by changes in sampling, district boundaries, or compositional shifts in age structure, migration, and urbanization. Because hypertension is age-patterned, districts with older age profiles can appear “hotter” even if underlying risk factors are similar. Consequently, interpretive rigor requires that spatial comparisons, especially change maps, clearly articulate the analytic population and—where possible—use standardization or modeling strategies that minimize conflation of demographic composition with true differences in risk. Even when full standardization is not feasible, the narrative interpretation of maps should highlight whether apparent district increases plausibly reflect cardiometabolic transition, improved detection, or changes in the composition of the measured sample (</w:t>
      </w:r>
      <w:r w:rsidR="006B57D5">
        <w:rPr>
          <w:color w:val="auto"/>
          <w:kern w:val="0"/>
          <w:lang w:val="en-US" w:eastAsia="en-US"/>
        </w:rPr>
        <w:t>Jain et al., 2025</w:t>
      </w:r>
      <w:r w:rsidRPr="007A25E7">
        <w:rPr>
          <w:color w:val="auto"/>
          <w:kern w:val="0"/>
          <w:lang w:val="en-US" w:eastAsia="en-US"/>
        </w:rPr>
        <w:t>).</w:t>
      </w:r>
    </w:p>
    <w:p w:rsidR="007A25E7" w:rsidRPr="007A25E7" w:rsidRDefault="007A25E7" w:rsidP="007A25E7">
      <w:pPr>
        <w:spacing w:before="100" w:beforeAutospacing="1" w:after="100" w:afterAutospacing="1" w:line="240" w:lineRule="auto"/>
        <w:ind w:left="0" w:right="0" w:firstLine="0"/>
        <w:jc w:val="left"/>
        <w:rPr>
          <w:color w:val="auto"/>
          <w:kern w:val="0"/>
          <w:lang w:val="en-US" w:eastAsia="en-US"/>
        </w:rPr>
      </w:pPr>
      <w:r w:rsidRPr="007A25E7">
        <w:rPr>
          <w:color w:val="auto"/>
          <w:kern w:val="0"/>
          <w:lang w:val="en-US" w:eastAsia="en-US"/>
        </w:rPr>
        <w:t>A fifth consideration is that policy relevance depends on moving beyond prevalence to the geography of the hypertension cascade. NFHS-5 allows assessment of diagnosis and treatment indicators among key adult groups, and analyses of the hypertension treatment cascade show large gaps in diagnosis and treatment that vary by social and access-related predictors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7A25E7">
        <w:rPr>
          <w:color w:val="auto"/>
          <w:kern w:val="0"/>
          <w:lang w:val="en-US" w:eastAsia="en-US"/>
        </w:rPr>
        <w:t>). Complementary national evidence underscores that awareness, treatment, and control remain incomplete and that cascade attrition is a major driver of avoidable cardiovascular risk (</w:t>
      </w:r>
      <w:proofErr w:type="spellStart"/>
      <w:r w:rsidRPr="007A25E7">
        <w:rPr>
          <w:color w:val="auto"/>
          <w:kern w:val="0"/>
          <w:lang w:val="en-US" w:eastAsia="en-US"/>
        </w:rPr>
        <w:t>Amarchand</w:t>
      </w:r>
      <w:proofErr w:type="spellEnd"/>
      <w:r w:rsidRPr="007A25E7">
        <w:rPr>
          <w:color w:val="auto"/>
          <w:kern w:val="0"/>
          <w:lang w:val="en-US" w:eastAsia="en-US"/>
        </w:rPr>
        <w:t xml:space="preserve"> et al., 2023). For spatial analysis, the implication is straightforward: districts should not be prioritized solely on prevalence. A district with </w:t>
      </w:r>
      <w:r w:rsidRPr="007A25E7">
        <w:rPr>
          <w:color w:val="auto"/>
          <w:kern w:val="0"/>
          <w:lang w:val="en-US" w:eastAsia="en-US"/>
        </w:rPr>
        <w:lastRenderedPageBreak/>
        <w:t>moderate prevalence but poor treatment and low control may generate greater preventable morbidity than a district with higher prevalence but stronger management. Spatially, this motivates multi-layer mapping—prevalence, screening exposure, and cascade performance—to identify districts that are simultaneously high-burden and low-performing on service delivery. It also strengthens the case for interpreting apparent prevalence “</w:t>
      </w:r>
      <w:proofErr w:type="spellStart"/>
      <w:r w:rsidRPr="007A25E7">
        <w:rPr>
          <w:color w:val="auto"/>
          <w:kern w:val="0"/>
          <w:lang w:val="en-US" w:eastAsia="en-US"/>
        </w:rPr>
        <w:t>coldspots</w:t>
      </w:r>
      <w:proofErr w:type="spellEnd"/>
      <w:r w:rsidRPr="007A25E7">
        <w:rPr>
          <w:color w:val="auto"/>
          <w:kern w:val="0"/>
          <w:lang w:val="en-US" w:eastAsia="en-US"/>
        </w:rPr>
        <w:t>” cautiously when screening exposure is low, because undiagnosed burden could be substantial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7A25E7">
        <w:rPr>
          <w:color w:val="auto"/>
          <w:kern w:val="0"/>
          <w:lang w:val="en-US" w:eastAsia="en-US"/>
        </w:rPr>
        <w:t xml:space="preserve">; </w:t>
      </w:r>
      <w:proofErr w:type="spellStart"/>
      <w:r w:rsidRPr="007A25E7">
        <w:rPr>
          <w:color w:val="auto"/>
          <w:kern w:val="0"/>
          <w:lang w:val="en-US" w:eastAsia="en-US"/>
        </w:rPr>
        <w:t>Amarchand</w:t>
      </w:r>
      <w:proofErr w:type="spellEnd"/>
      <w:r w:rsidRPr="007A25E7">
        <w:rPr>
          <w:color w:val="auto"/>
          <w:kern w:val="0"/>
          <w:lang w:val="en-US" w:eastAsia="en-US"/>
        </w:rPr>
        <w:t xml:space="preserve"> et al., 2023).</w:t>
      </w:r>
    </w:p>
    <w:p w:rsidR="007A25E7" w:rsidRPr="007A25E7" w:rsidRDefault="007A25E7" w:rsidP="007A25E7">
      <w:pPr>
        <w:spacing w:before="100" w:beforeAutospacing="1" w:after="100" w:afterAutospacing="1" w:line="240" w:lineRule="auto"/>
        <w:ind w:left="0" w:right="0" w:firstLine="0"/>
        <w:jc w:val="left"/>
        <w:rPr>
          <w:color w:val="auto"/>
          <w:kern w:val="0"/>
          <w:lang w:val="en-US" w:eastAsia="en-US"/>
        </w:rPr>
      </w:pPr>
      <w:r w:rsidRPr="007A25E7">
        <w:rPr>
          <w:color w:val="auto"/>
          <w:kern w:val="0"/>
          <w:lang w:val="en-US" w:eastAsia="en-US"/>
        </w:rPr>
        <w:t>Finally, NFHS-5 district estimates must be interpreted through the lens of survey design and uncertainty. District sample sizes and response patterns differ, and biomarker missingness is rarely random. Spatial autocorrelation can further complicate inference because neighboring districts often share social and infrastructural conditions. A map that shades districts by point estimates alone can therefore overstate precision and encourage spurious ranking. In practice, uncertainty-aware communication—such as emphasizing confidence/credible intervals, stability over alternative definitions, and concordance across multiple indicators—makes spatial outputs more trustworthy for decision-making. The strongest NFHS-5 spatial interpretations are those that treat maps as structured evidence for targeting and hypothesis generation, not as exact measurement of district “truth,” and that explicitly connect prevalence patterns to detection and cascade gaps documented in NFHS-5 and national monitoring evidence (</w:t>
      </w:r>
      <w:proofErr w:type="spellStart"/>
      <w:r w:rsidRPr="007A25E7">
        <w:rPr>
          <w:color w:val="auto"/>
          <w:kern w:val="0"/>
          <w:lang w:val="en-US" w:eastAsia="en-US"/>
        </w:rPr>
        <w:t>Amarchand</w:t>
      </w:r>
      <w:proofErr w:type="spellEnd"/>
      <w:r w:rsidRPr="007A25E7">
        <w:rPr>
          <w:color w:val="auto"/>
          <w:kern w:val="0"/>
          <w:lang w:val="en-US" w:eastAsia="en-US"/>
        </w:rPr>
        <w:t xml:space="preserve"> et al., 2023; Gupta et al., 2021; </w:t>
      </w:r>
      <w:r w:rsidR="006B57D5">
        <w:rPr>
          <w:color w:val="auto"/>
          <w:kern w:val="0"/>
          <w:lang w:val="en-US" w:eastAsia="en-US"/>
        </w:rPr>
        <w:t>Jain et al., 2025</w:t>
      </w:r>
      <w:r w:rsidRPr="007A25E7">
        <w:rPr>
          <w:color w:val="auto"/>
          <w:kern w:val="0"/>
          <w:lang w:val="en-US" w:eastAsia="en-US"/>
        </w:rPr>
        <w:t>).</w:t>
      </w:r>
    </w:p>
    <w:p w:rsidR="007A25E7" w:rsidRDefault="007A25E7" w:rsidP="007A25E7"/>
    <w:p w:rsidR="00DF6AF0" w:rsidRPr="00DF6AF0" w:rsidRDefault="00DF6AF0" w:rsidP="00DF6AF0">
      <w:pPr>
        <w:spacing w:before="100" w:beforeAutospacing="1" w:after="100" w:afterAutospacing="1" w:line="240" w:lineRule="auto"/>
        <w:ind w:left="0" w:right="0" w:firstLine="0"/>
        <w:jc w:val="left"/>
        <w:outlineLvl w:val="1"/>
        <w:rPr>
          <w:b/>
          <w:bCs/>
          <w:color w:val="auto"/>
          <w:kern w:val="0"/>
          <w:sz w:val="36"/>
          <w:szCs w:val="36"/>
          <w:lang w:val="en-US" w:eastAsia="en-US"/>
        </w:rPr>
      </w:pPr>
      <w:r w:rsidRPr="00DF6AF0">
        <w:rPr>
          <w:b/>
          <w:bCs/>
          <w:color w:val="auto"/>
          <w:kern w:val="0"/>
          <w:sz w:val="36"/>
          <w:szCs w:val="36"/>
          <w:lang w:val="en-US" w:eastAsia="en-US"/>
        </w:rPr>
        <w:t>4. Spatial distribution of hypertension in the North-Eastern Region through the NFHS-5 lens</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NFHS-5 makes it possible to view hypertension as a geographically patterned phenomenon rather than a uniform state-level burden. This shift is particularly important for the North-Eastern Region (NER) because the region combines sharp variations in topography, settlement dispersion, infrastructure connectivity, and health-service reach—factors that can generate steep within-state gradients even when state averages appear modest. A district-level lens is therefore not an optional methodological refinement but a substantive requirement for understanding where prevention and control resources are likely to yield the greatest gains. Evidence from India-wide NFHS-5 district analyses demonstrates large heterogeneity in blood pressure measurement coverage, prehypertension, and raised blood pressure, indicating that local context meaningfully shapes both detection and measured prevalence and that “regional averages” can conceal high-burden pockets (</w:t>
      </w:r>
      <w:proofErr w:type="spellStart"/>
      <w:r w:rsidRPr="00DF6AF0">
        <w:rPr>
          <w:color w:val="auto"/>
          <w:kern w:val="0"/>
          <w:lang w:val="en-US" w:eastAsia="en-US"/>
        </w:rPr>
        <w:t>Seenappa</w:t>
      </w:r>
      <w:proofErr w:type="spellEnd"/>
      <w:r w:rsidRPr="00DF6AF0">
        <w:rPr>
          <w:color w:val="auto"/>
          <w:kern w:val="0"/>
          <w:lang w:val="en-US" w:eastAsia="en-US"/>
        </w:rPr>
        <w:t xml:space="preserve"> et al., 2024). For the NER, the main interpretive implication is that spatial patterns should be framed as multi-surface distributions—risk, detection, and management—rather than a single prevalence surface</w:t>
      </w:r>
      <w:r w:rsidR="003A71E9">
        <w:rPr>
          <w:color w:val="auto"/>
          <w:kern w:val="0"/>
          <w:lang w:val="en-US" w:eastAsia="en-US"/>
        </w:rPr>
        <w:t xml:space="preserve"> (</w:t>
      </w:r>
      <w:proofErr w:type="spellStart"/>
      <w:r w:rsidR="003A71E9" w:rsidRPr="003A71E9">
        <w:rPr>
          <w:color w:val="auto"/>
          <w:kern w:val="0"/>
          <w:lang w:val="en-US" w:eastAsia="en-US"/>
        </w:rPr>
        <w:t>Tsukru</w:t>
      </w:r>
      <w:proofErr w:type="spellEnd"/>
      <w:r w:rsidR="003A71E9" w:rsidRPr="003A71E9">
        <w:rPr>
          <w:color w:val="auto"/>
          <w:kern w:val="0"/>
          <w:lang w:val="en-US" w:eastAsia="en-US"/>
        </w:rPr>
        <w:t xml:space="preserve">, 2023; Bora et al., 2025; </w:t>
      </w:r>
      <w:proofErr w:type="spellStart"/>
      <w:r w:rsidR="003A71E9" w:rsidRPr="003A71E9">
        <w:rPr>
          <w:color w:val="auto"/>
          <w:kern w:val="0"/>
          <w:lang w:val="en-US" w:eastAsia="en-US"/>
        </w:rPr>
        <w:t>Tikhute</w:t>
      </w:r>
      <w:proofErr w:type="spellEnd"/>
      <w:r w:rsidR="003A71E9" w:rsidRPr="003A71E9">
        <w:rPr>
          <w:color w:val="auto"/>
          <w:kern w:val="0"/>
          <w:lang w:val="en-US" w:eastAsia="en-US"/>
        </w:rPr>
        <w:t xml:space="preserve"> et al., 2025</w:t>
      </w:r>
      <w:r w:rsidR="003A71E9">
        <w:rPr>
          <w:color w:val="auto"/>
          <w:kern w:val="0"/>
          <w:lang w:val="en-US" w:eastAsia="en-US"/>
        </w:rPr>
        <w:t>)</w:t>
      </w:r>
      <w:r w:rsidRPr="00DF6AF0">
        <w:rPr>
          <w:color w:val="auto"/>
          <w:kern w:val="0"/>
          <w:lang w:val="en-US" w:eastAsia="en-US"/>
        </w:rPr>
        <w:t>.</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A central contribution of NFHS-5 is that district maps can be anchored not only in raised blood pressure prevalence but also in the geography of contact with screening services. District-wise heterogeneity in blood pressure measurement and related indicators has been documented at the national scale, and such heterogeneity implies that NER districts are also likely to differ substantially in the extent to which hypertension is even observed by the health system (</w:t>
      </w:r>
      <w:proofErr w:type="spellStart"/>
      <w:r w:rsidRPr="00DF6AF0">
        <w:rPr>
          <w:color w:val="auto"/>
          <w:kern w:val="0"/>
          <w:lang w:val="en-US" w:eastAsia="en-US"/>
        </w:rPr>
        <w:t>Seenappa</w:t>
      </w:r>
      <w:proofErr w:type="spellEnd"/>
      <w:r w:rsidRPr="00DF6AF0">
        <w:rPr>
          <w:color w:val="auto"/>
          <w:kern w:val="0"/>
          <w:lang w:val="en-US" w:eastAsia="en-US"/>
        </w:rPr>
        <w:t xml:space="preserve"> et al., 2024). In practical terms, a district “</w:t>
      </w:r>
      <w:proofErr w:type="spellStart"/>
      <w:r w:rsidRPr="00DF6AF0">
        <w:rPr>
          <w:color w:val="auto"/>
          <w:kern w:val="0"/>
          <w:lang w:val="en-US" w:eastAsia="en-US"/>
        </w:rPr>
        <w:t>coldspot</w:t>
      </w:r>
      <w:proofErr w:type="spellEnd"/>
      <w:r w:rsidRPr="00DF6AF0">
        <w:rPr>
          <w:color w:val="auto"/>
          <w:kern w:val="0"/>
          <w:lang w:val="en-US" w:eastAsia="en-US"/>
        </w:rPr>
        <w:t xml:space="preserve">” on prevalence may reflect lower underlying risk, but it may also reflect weaker detection; conversely, a </w:t>
      </w:r>
      <w:r w:rsidRPr="00DF6AF0">
        <w:rPr>
          <w:color w:val="auto"/>
          <w:kern w:val="0"/>
          <w:lang w:val="en-US" w:eastAsia="en-US"/>
        </w:rPr>
        <w:lastRenderedPageBreak/>
        <w:t>district “hotspot” may reflect a true risk concentration, improved screening that reveals otherwise hidden cases, or a mixture of both. The NFHS-5 lens therefore encourages a cautious spatial interpretation: maps should be read as describing an observed epidemiological surface shaped jointly by risk distribution and health-system contact, not as a definitive census of true district burden.</w:t>
      </w:r>
    </w:p>
    <w:p w:rsidR="00DF6AF0" w:rsidRPr="00DF6AF0" w:rsidRDefault="00DF6AF0" w:rsidP="00DF6AF0">
      <w:pPr>
        <w:spacing w:before="100" w:beforeAutospacing="1" w:after="100" w:afterAutospacing="1" w:line="240" w:lineRule="auto"/>
        <w:ind w:left="0" w:right="0" w:firstLine="0"/>
        <w:jc w:val="left"/>
        <w:outlineLvl w:val="2"/>
        <w:rPr>
          <w:b/>
          <w:bCs/>
          <w:color w:val="auto"/>
          <w:kern w:val="0"/>
          <w:sz w:val="27"/>
          <w:szCs w:val="27"/>
          <w:lang w:val="en-US" w:eastAsia="en-US"/>
        </w:rPr>
      </w:pPr>
      <w:r w:rsidRPr="00DF6AF0">
        <w:rPr>
          <w:b/>
          <w:bCs/>
          <w:color w:val="auto"/>
          <w:kern w:val="0"/>
          <w:sz w:val="27"/>
          <w:szCs w:val="27"/>
          <w:lang w:val="en-US" w:eastAsia="en-US"/>
        </w:rPr>
        <w:t>4.1 District heterogeneity: screening and measured prevalence as joint spatial outcomes</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Spatial interpretation becomes more actionable when screening exposure and prevalence are conceptualized as linked outcomes. District-level evidence indicates that “ever had blood pressure measured” varies widely across India and is associated with determinants that plausibly include service availability and social stratification (</w:t>
      </w:r>
      <w:proofErr w:type="spellStart"/>
      <w:r w:rsidRPr="00DF6AF0">
        <w:rPr>
          <w:color w:val="auto"/>
          <w:kern w:val="0"/>
          <w:lang w:val="en-US" w:eastAsia="en-US"/>
        </w:rPr>
        <w:t>Seenappa</w:t>
      </w:r>
      <w:proofErr w:type="spellEnd"/>
      <w:r w:rsidRPr="00DF6AF0">
        <w:rPr>
          <w:color w:val="auto"/>
          <w:kern w:val="0"/>
          <w:lang w:val="en-US" w:eastAsia="en-US"/>
        </w:rPr>
        <w:t xml:space="preserve"> et al., 2024). In the NER, this linkage can be especially strong because travel time and terrain can determine whether routine screening occurs at all, while concentrated service nodes around district headquarters can increase detection in specific urban and peri-urban belts. Consequently, district patterns can reflect two overlapping geographies: the geography of cardiometabolic risk and the geography of screening reach. Where screening reach is low, measured prevalence can understate true burden; where screening reach is high, measured prevalence can rise because more cases are identified. Interpreting prevalence without the screening surface risks mis-targeting: programs may inadvertently prioritize districts that are “visible” to the survey-health system interface while neglecting districts where risk is less observed.</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NFHS-5 district mapping can be made more program-relevant by explicitly linking these two surfaces to intervention typologies. A district with high screening and high prevalence suggests a location where ongoing clinical management, medication availability, and follow-up capacity become central. A district with low screening and uncertain prevalence suggests a location where outreach screening and first-contact services may be the binding constraint. NFHS-5’s district-wise heterogeneity evidence supports this interpretive approach because it demonstrates that screening and blood pressure indicators do not move uniformly across space (</w:t>
      </w:r>
      <w:proofErr w:type="spellStart"/>
      <w:r w:rsidRPr="00DF6AF0">
        <w:rPr>
          <w:color w:val="auto"/>
          <w:kern w:val="0"/>
          <w:lang w:val="en-US" w:eastAsia="en-US"/>
        </w:rPr>
        <w:t>Seenappa</w:t>
      </w:r>
      <w:proofErr w:type="spellEnd"/>
      <w:r w:rsidRPr="00DF6AF0">
        <w:rPr>
          <w:color w:val="auto"/>
          <w:kern w:val="0"/>
          <w:lang w:val="en-US" w:eastAsia="en-US"/>
        </w:rPr>
        <w:t xml:space="preserve"> et al., 2024).</w:t>
      </w:r>
    </w:p>
    <w:p w:rsidR="00DF6AF0" w:rsidRPr="00DF6AF0" w:rsidRDefault="00DF6AF0" w:rsidP="00DF6AF0">
      <w:pPr>
        <w:spacing w:before="100" w:beforeAutospacing="1" w:after="100" w:afterAutospacing="1" w:line="240" w:lineRule="auto"/>
        <w:ind w:left="0" w:right="0" w:firstLine="0"/>
        <w:jc w:val="left"/>
        <w:outlineLvl w:val="2"/>
        <w:rPr>
          <w:b/>
          <w:bCs/>
          <w:color w:val="auto"/>
          <w:kern w:val="0"/>
          <w:sz w:val="27"/>
          <w:szCs w:val="27"/>
          <w:lang w:val="en-US" w:eastAsia="en-US"/>
        </w:rPr>
      </w:pPr>
      <w:r w:rsidRPr="00DF6AF0">
        <w:rPr>
          <w:b/>
          <w:bCs/>
          <w:color w:val="auto"/>
          <w:kern w:val="0"/>
          <w:sz w:val="27"/>
          <w:szCs w:val="27"/>
          <w:lang w:val="en-US" w:eastAsia="en-US"/>
        </w:rPr>
        <w:t>4.2 Regional distribution and the impact of diagnostic thresholds</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The apparent spatial distribution of hypertension depends partly on how hypertension is defined, and this dependence can shift regional patterns. Evidence from India shows that updated guideline thresholds can meaningfully alter the estimated prevalence and its distribution, implying that district ranking and hotspot identification may change under alternative but still plausible definitions (Gupta et al., 2021). For NER-focused analysis, this is not a minor technicality. Districts with many individuals near the threshold can swing between categories depending on the definition, and such swings can create unstable hotspot maps that may be mistaken for definitive spatial truths. The interpretive response is to emphasize robustness: spatial narratives should prioritize districts that remain elevated across definitions, or at minimum acknowledge that boundary districts may reclassify with definitional change (Gupta et al., 2021). This matters for policy because program targeting based on a single threshold can lead to overconfident district prioritization, whereas a robustness-informed interpretation supports more resilient decision-making.</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 xml:space="preserve">In addition, threshold sensitivity interacts with screening: in districts with higher measurement coverage, borderline cases are more likely to be observed and classified, </w:t>
      </w:r>
      <w:r w:rsidRPr="00DF6AF0">
        <w:rPr>
          <w:color w:val="auto"/>
          <w:kern w:val="0"/>
          <w:lang w:val="en-US" w:eastAsia="en-US"/>
        </w:rPr>
        <w:lastRenderedPageBreak/>
        <w:t>potentially inflating prevalence relative to low-screening districts where such cases remain unmeasured. The combined implication for the NER is that “high prevalence” districts might represent true high-risk environments, better detection environments, or both. Spatial interpretation should therefore remain anchored in the idea that NFHS-5 prevalence is an observed composite shaped by definition, measurement, and exposure to screening.</w:t>
      </w:r>
    </w:p>
    <w:p w:rsidR="00DF6AF0" w:rsidRPr="00DF6AF0" w:rsidRDefault="00DF6AF0" w:rsidP="00DF6AF0">
      <w:pPr>
        <w:spacing w:before="100" w:beforeAutospacing="1" w:after="100" w:afterAutospacing="1" w:line="240" w:lineRule="auto"/>
        <w:ind w:left="0" w:right="0" w:firstLine="0"/>
        <w:jc w:val="left"/>
        <w:outlineLvl w:val="2"/>
        <w:rPr>
          <w:b/>
          <w:bCs/>
          <w:color w:val="auto"/>
          <w:kern w:val="0"/>
          <w:sz w:val="27"/>
          <w:szCs w:val="27"/>
          <w:lang w:val="en-US" w:eastAsia="en-US"/>
        </w:rPr>
      </w:pPr>
      <w:r w:rsidRPr="00DF6AF0">
        <w:rPr>
          <w:b/>
          <w:bCs/>
          <w:color w:val="auto"/>
          <w:kern w:val="0"/>
          <w:sz w:val="27"/>
          <w:szCs w:val="27"/>
          <w:lang w:val="en-US" w:eastAsia="en-US"/>
        </w:rPr>
        <w:t>4.3 Temporal change and emerging risk among younger adults</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Spatial distribution is dynamic rather than fixed, and district-wise comparisons across NFHS rounds highlight the possibility of uneven temporal change. District-level analysis across 720 districts for adults aged 15–49 indicates that hypertension and diabetes prevalence can change between NFHS-4 and NFHS-5 and that the direction and magnitude of change are not spatially uniform (</w:t>
      </w:r>
      <w:r w:rsidR="006B57D5">
        <w:rPr>
          <w:color w:val="auto"/>
          <w:kern w:val="0"/>
          <w:lang w:val="en-US" w:eastAsia="en-US"/>
        </w:rPr>
        <w:t>Jain et al., 2025</w:t>
      </w:r>
      <w:r w:rsidRPr="00DF6AF0">
        <w:rPr>
          <w:color w:val="auto"/>
          <w:kern w:val="0"/>
          <w:lang w:val="en-US" w:eastAsia="en-US"/>
        </w:rPr>
        <w:t>). For the NER, this suggests that district “hotspots” should be interpreted in temporal context: some districts may represent persistent high-burden areas, while others may represent rapidly emerging burden linked to accelerated urbanization, shifting diets, or occupational transitions. Temporal district mapping is particularly valuable for prevention because it can identify districts where hypertension is rising among younger adults—settings where early intervention can avert later complications and treatment burdens (</w:t>
      </w:r>
      <w:r w:rsidR="006B57D5">
        <w:rPr>
          <w:color w:val="auto"/>
          <w:kern w:val="0"/>
          <w:lang w:val="en-US" w:eastAsia="en-US"/>
        </w:rPr>
        <w:t>Jain et al., 2025</w:t>
      </w:r>
      <w:r w:rsidRPr="00DF6AF0">
        <w:rPr>
          <w:color w:val="auto"/>
          <w:kern w:val="0"/>
          <w:lang w:val="en-US" w:eastAsia="en-US"/>
        </w:rPr>
        <w:t>).</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At the same time, interpreting district change requires caution. District composition, age structure, and detection intensity can change over time, and these shifts can influence measured prevalence even if underlying biological risk changes more slowly. Thus, NER-focused change narratives should remain grounded in careful interpretation: increases can reflect true risk transition, improved detection, or both, and the most useful spatial insight is often the co-occurrence of increasing prevalence with persistently low screening or poor cascade performance</w:t>
      </w:r>
      <w:r w:rsidR="003A71E9">
        <w:rPr>
          <w:color w:val="auto"/>
          <w:kern w:val="0"/>
          <w:lang w:val="en-US" w:eastAsia="en-US"/>
        </w:rPr>
        <w:t xml:space="preserve"> (</w:t>
      </w:r>
      <w:r w:rsidR="003A71E9" w:rsidRPr="003A71E9">
        <w:rPr>
          <w:color w:val="auto"/>
          <w:kern w:val="0"/>
          <w:lang w:val="en-US" w:eastAsia="en-US"/>
        </w:rPr>
        <w:t>Daniel et al., 2020</w:t>
      </w:r>
      <w:r w:rsidR="003A71E9">
        <w:rPr>
          <w:color w:val="auto"/>
          <w:kern w:val="0"/>
          <w:lang w:val="en-US" w:eastAsia="en-US"/>
        </w:rPr>
        <w:t xml:space="preserve">; </w:t>
      </w:r>
      <w:r w:rsidR="003A71E9" w:rsidRPr="003A71E9">
        <w:rPr>
          <w:color w:val="auto"/>
          <w:kern w:val="0"/>
          <w:lang w:val="en-US" w:eastAsia="en-US"/>
        </w:rPr>
        <w:t xml:space="preserve">Ghosh &amp; </w:t>
      </w:r>
      <w:proofErr w:type="spellStart"/>
      <w:r w:rsidR="003A71E9" w:rsidRPr="003A71E9">
        <w:rPr>
          <w:color w:val="auto"/>
          <w:kern w:val="0"/>
          <w:lang w:val="en-US" w:eastAsia="en-US"/>
        </w:rPr>
        <w:t>Peseyie</w:t>
      </w:r>
      <w:proofErr w:type="spellEnd"/>
      <w:r w:rsidR="003A71E9" w:rsidRPr="003A71E9">
        <w:rPr>
          <w:color w:val="auto"/>
          <w:kern w:val="0"/>
          <w:lang w:val="en-US" w:eastAsia="en-US"/>
        </w:rPr>
        <w:t xml:space="preserve">, 2022; </w:t>
      </w:r>
      <w:proofErr w:type="spellStart"/>
      <w:r w:rsidR="003A71E9" w:rsidRPr="003A71E9">
        <w:rPr>
          <w:color w:val="auto"/>
          <w:kern w:val="0"/>
          <w:lang w:val="en-US" w:eastAsia="en-US"/>
        </w:rPr>
        <w:t>Babu</w:t>
      </w:r>
      <w:proofErr w:type="spellEnd"/>
      <w:r w:rsidR="003A71E9" w:rsidRPr="003A71E9">
        <w:rPr>
          <w:color w:val="auto"/>
          <w:kern w:val="0"/>
          <w:lang w:val="en-US" w:eastAsia="en-US"/>
        </w:rPr>
        <w:t xml:space="preserve"> et al., 2024</w:t>
      </w:r>
      <w:r w:rsidR="003A71E9">
        <w:rPr>
          <w:color w:val="auto"/>
          <w:kern w:val="0"/>
          <w:lang w:val="en-US" w:eastAsia="en-US"/>
        </w:rPr>
        <w:t>)</w:t>
      </w:r>
      <w:r w:rsidRPr="00DF6AF0">
        <w:rPr>
          <w:color w:val="auto"/>
          <w:kern w:val="0"/>
          <w:lang w:val="en-US" w:eastAsia="en-US"/>
        </w:rPr>
        <w:t>.</w:t>
      </w:r>
    </w:p>
    <w:p w:rsidR="00DF6AF0" w:rsidRPr="00DF6AF0" w:rsidRDefault="00DF6AF0" w:rsidP="00DF6AF0">
      <w:pPr>
        <w:spacing w:before="100" w:beforeAutospacing="1" w:after="100" w:afterAutospacing="1" w:line="240" w:lineRule="auto"/>
        <w:ind w:left="0" w:right="0" w:firstLine="0"/>
        <w:jc w:val="left"/>
        <w:outlineLvl w:val="2"/>
        <w:rPr>
          <w:b/>
          <w:bCs/>
          <w:color w:val="auto"/>
          <w:kern w:val="0"/>
          <w:sz w:val="27"/>
          <w:szCs w:val="27"/>
          <w:lang w:val="en-US" w:eastAsia="en-US"/>
        </w:rPr>
      </w:pPr>
      <w:r w:rsidRPr="00DF6AF0">
        <w:rPr>
          <w:b/>
          <w:bCs/>
          <w:color w:val="auto"/>
          <w:kern w:val="0"/>
          <w:sz w:val="27"/>
          <w:szCs w:val="27"/>
          <w:lang w:val="en-US" w:eastAsia="en-US"/>
        </w:rPr>
        <w:t>4.4 Cascade geography: diagnosis, treatment, and control</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A core limitation of prevalence-only mapping is that it does not directly represent preventable cardiovascular risk, which depends strongly on whether hypertension is diagnosed, treated, and controlled. NFHS-5 cascade analysis among reproductive-age adults documents substantial gaps across cascade stages and shows that progression through diagnosis and treatment is incomplete, with variation linked to predictors consistent with access and socioeconomic gradients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 Complementary national monitoring evidence similarly emphasizes that awareness, treatment, and control remain inadequate, reinforcing that the clinical and public health burden is amplified by management gaps rather than prevalence alone (</w:t>
      </w:r>
      <w:proofErr w:type="spellStart"/>
      <w:r w:rsidRPr="00DF6AF0">
        <w:rPr>
          <w:color w:val="auto"/>
          <w:kern w:val="0"/>
          <w:lang w:val="en-US" w:eastAsia="en-US"/>
        </w:rPr>
        <w:t>Amarchand</w:t>
      </w:r>
      <w:proofErr w:type="spellEnd"/>
      <w:r w:rsidRPr="00DF6AF0">
        <w:rPr>
          <w:color w:val="auto"/>
          <w:kern w:val="0"/>
          <w:lang w:val="en-US" w:eastAsia="en-US"/>
        </w:rPr>
        <w:t xml:space="preserve"> et al., 2023). In spatial terms, these findings imply that the most actionable districts may not be those with the very highest prevalence, but those where prevalence intersects with weak diagnosis and low treatment continuity. For NER planning, this interpretation is crucial because geographic barriers can disrupt follow-up and medication access, creating localized pockets of poor control even when screening is present.</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 xml:space="preserve">A NER district can therefore be conceptually high priority under multiple spatial profiles: high prevalence combined with low control; moderate prevalence combined with very low diagnosis and treatment; or uncertain prevalence combined with extremely low screening exposure. NFHS-5’s value lies in enabling these profiles to be distinguished empirically rather than assumed. When district maps incorporate cascade indicators alongside prevalence, they help identify whether the limiting factor is primarily detection (screening/diagnosis) or </w:t>
      </w:r>
      <w:r w:rsidRPr="00DF6AF0">
        <w:rPr>
          <w:color w:val="auto"/>
          <w:kern w:val="0"/>
          <w:lang w:val="en-US" w:eastAsia="en-US"/>
        </w:rPr>
        <w:lastRenderedPageBreak/>
        <w:t>long-term management (treatment/control), which in turn informs whether outreach screening expansion or chronic care strengthening should be prioritized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 xml:space="preserve">; </w:t>
      </w:r>
      <w:proofErr w:type="spellStart"/>
      <w:r w:rsidRPr="00DF6AF0">
        <w:rPr>
          <w:color w:val="auto"/>
          <w:kern w:val="0"/>
          <w:lang w:val="en-US" w:eastAsia="en-US"/>
        </w:rPr>
        <w:t>Amarchand</w:t>
      </w:r>
      <w:proofErr w:type="spellEnd"/>
      <w:r w:rsidRPr="00DF6AF0">
        <w:rPr>
          <w:color w:val="auto"/>
          <w:kern w:val="0"/>
          <w:lang w:val="en-US" w:eastAsia="en-US"/>
        </w:rPr>
        <w:t xml:space="preserve"> et al., 2023).</w:t>
      </w:r>
    </w:p>
    <w:p w:rsidR="00DF6AF0" w:rsidRPr="00DF6AF0" w:rsidRDefault="00DF6AF0" w:rsidP="00DF6AF0">
      <w:pPr>
        <w:spacing w:before="100" w:beforeAutospacing="1" w:after="100" w:afterAutospacing="1" w:line="240" w:lineRule="auto"/>
        <w:ind w:left="0" w:right="0" w:firstLine="0"/>
        <w:jc w:val="left"/>
        <w:outlineLvl w:val="2"/>
        <w:rPr>
          <w:b/>
          <w:bCs/>
          <w:color w:val="auto"/>
          <w:kern w:val="0"/>
          <w:sz w:val="27"/>
          <w:szCs w:val="27"/>
          <w:lang w:val="en-US" w:eastAsia="en-US"/>
        </w:rPr>
      </w:pPr>
      <w:r w:rsidRPr="00DF6AF0">
        <w:rPr>
          <w:b/>
          <w:bCs/>
          <w:color w:val="auto"/>
          <w:kern w:val="0"/>
          <w:sz w:val="27"/>
          <w:szCs w:val="27"/>
          <w:lang w:val="en-US" w:eastAsia="en-US"/>
        </w:rPr>
        <w:t>4.5 Interpreting NER spatial patterns as hypotheses for targeted action</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The NFHS-5 lens ultimately positions spatial distribution as a tool for disciplined targeting and hypothesis generation. District heterogeneity in screening and blood pressure indicators signals that “place” matters and that interventions should be geographically differentiated rather than uniform (</w:t>
      </w:r>
      <w:proofErr w:type="spellStart"/>
      <w:r w:rsidRPr="00DF6AF0">
        <w:rPr>
          <w:color w:val="auto"/>
          <w:kern w:val="0"/>
          <w:lang w:val="en-US" w:eastAsia="en-US"/>
        </w:rPr>
        <w:t>Seenappa</w:t>
      </w:r>
      <w:proofErr w:type="spellEnd"/>
      <w:r w:rsidRPr="00DF6AF0">
        <w:rPr>
          <w:color w:val="auto"/>
          <w:kern w:val="0"/>
          <w:lang w:val="en-US" w:eastAsia="en-US"/>
        </w:rPr>
        <w:t xml:space="preserve"> et al., 2024). Threshold sensitivity cautions that hotspot identification should be robust and transparent, avoiding overconfident district ranking based on a single classification rule (Gupta et al., 2021). Temporal district comparisons suggest that spatial priorities should be updated over time to capture emerging burden rather than relying only on historical patterns (</w:t>
      </w:r>
      <w:r w:rsidR="006B57D5">
        <w:rPr>
          <w:color w:val="auto"/>
          <w:kern w:val="0"/>
          <w:lang w:val="en-US" w:eastAsia="en-US"/>
        </w:rPr>
        <w:t>Jain et al., 2025</w:t>
      </w:r>
      <w:r w:rsidRPr="00DF6AF0">
        <w:rPr>
          <w:color w:val="auto"/>
          <w:kern w:val="0"/>
          <w:lang w:val="en-US" w:eastAsia="en-US"/>
        </w:rPr>
        <w:t>). Finally, cascade evidence reinforces that the map of preventable harm is often the map of weak diagnosis, treatment, and control rather than the map of prevalence alone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 xml:space="preserve">; </w:t>
      </w:r>
      <w:proofErr w:type="spellStart"/>
      <w:r w:rsidRPr="00DF6AF0">
        <w:rPr>
          <w:color w:val="auto"/>
          <w:kern w:val="0"/>
          <w:lang w:val="en-US" w:eastAsia="en-US"/>
        </w:rPr>
        <w:t>Amarchand</w:t>
      </w:r>
      <w:proofErr w:type="spellEnd"/>
      <w:r w:rsidRPr="00DF6AF0">
        <w:rPr>
          <w:color w:val="auto"/>
          <w:kern w:val="0"/>
          <w:lang w:val="en-US" w:eastAsia="en-US"/>
        </w:rPr>
        <w:t xml:space="preserve"> et al., 2023). For the NER, where geography and access constraints can be decisive, the most policy-relevant interpretation of NFHS-5 spatial patterns is therefore integrative: identify where risk is high or rising, where detection is weak, and where management gaps are widest, and translate those combined signals into district-specific strategies.</w:t>
      </w:r>
    </w:p>
    <w:p w:rsidR="007A25E7" w:rsidRDefault="007A25E7" w:rsidP="007A25E7"/>
    <w:p w:rsidR="00DF6AF0" w:rsidRPr="00DF6AF0" w:rsidRDefault="00DF6AF0" w:rsidP="00DF6AF0">
      <w:pPr>
        <w:spacing w:before="100" w:beforeAutospacing="1" w:after="100" w:afterAutospacing="1" w:line="240" w:lineRule="auto"/>
        <w:ind w:left="0" w:right="0" w:firstLine="0"/>
        <w:jc w:val="left"/>
        <w:outlineLvl w:val="1"/>
        <w:rPr>
          <w:b/>
          <w:bCs/>
          <w:color w:val="auto"/>
          <w:kern w:val="0"/>
          <w:sz w:val="36"/>
          <w:szCs w:val="36"/>
          <w:lang w:val="en-US" w:eastAsia="en-US"/>
        </w:rPr>
      </w:pPr>
      <w:r w:rsidRPr="00DF6AF0">
        <w:rPr>
          <w:b/>
          <w:bCs/>
          <w:color w:val="auto"/>
          <w:kern w:val="0"/>
          <w:sz w:val="36"/>
          <w:szCs w:val="36"/>
          <w:lang w:val="en-US" w:eastAsia="en-US"/>
        </w:rPr>
        <w:t>5. Drivers of spatial heterogeneity in the North-Eastern Region: a synthesis</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Spatial heterogeneity in hypertension is rarely produced by a single “cause” that varies neatly across districts. Instead, it tends to emerge from the co-location of multiple processes—cardiometabolic transition, behavioral risk environments, socioeconomic stratification, and the uneven reach of screening and chronic care systems—whose intensities differ across space and whose interactions can amplify geographic contrasts. In the North-Eastern Region (NER), these processes are plausibly sharpened by rugged terrain, dispersed settlement, and uneven infrastructural connectivity, which can create strong district-level discontinuities in both exposure and access. The key interpretive point is that a district’s observed hypertension profile is typically a joint outcome of (a) underlying risk factor distribution and (b) the probability that elevated blood pressure is detected and effectively managed, so spatial patterns reflect both epidemiology and system performance rather than “risk” alone (</w:t>
      </w:r>
      <w:proofErr w:type="spellStart"/>
      <w:r w:rsidRPr="00DF6AF0">
        <w:rPr>
          <w:color w:val="auto"/>
          <w:kern w:val="0"/>
          <w:lang w:val="en-US" w:eastAsia="en-US"/>
        </w:rPr>
        <w:t>Prenissl</w:t>
      </w:r>
      <w:proofErr w:type="spellEnd"/>
      <w:r w:rsidRPr="00DF6AF0">
        <w:rPr>
          <w:color w:val="auto"/>
          <w:kern w:val="0"/>
          <w:lang w:val="en-US" w:eastAsia="en-US"/>
        </w:rPr>
        <w:t xml:space="preserve"> et al., 2019; </w:t>
      </w:r>
      <w:proofErr w:type="spellStart"/>
      <w:r w:rsidRPr="00DF6AF0">
        <w:rPr>
          <w:color w:val="auto"/>
          <w:kern w:val="0"/>
          <w:lang w:val="en-US" w:eastAsia="en-US"/>
        </w:rPr>
        <w:t>Amarchand</w:t>
      </w:r>
      <w:proofErr w:type="spellEnd"/>
      <w:r w:rsidRPr="00DF6AF0">
        <w:rPr>
          <w:color w:val="auto"/>
          <w:kern w:val="0"/>
          <w:lang w:val="en-US" w:eastAsia="en-US"/>
        </w:rPr>
        <w:t xml:space="preserve"> et al., 2023;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w:t>
      </w:r>
    </w:p>
    <w:p w:rsidR="00DF6AF0" w:rsidRPr="00DF6AF0" w:rsidRDefault="00DF6AF0" w:rsidP="00DF6AF0">
      <w:pPr>
        <w:spacing w:before="100" w:beforeAutospacing="1" w:after="100" w:afterAutospacing="1" w:line="240" w:lineRule="auto"/>
        <w:ind w:left="0" w:right="0" w:firstLine="0"/>
        <w:jc w:val="left"/>
        <w:outlineLvl w:val="2"/>
        <w:rPr>
          <w:b/>
          <w:bCs/>
          <w:color w:val="auto"/>
          <w:kern w:val="0"/>
          <w:sz w:val="27"/>
          <w:szCs w:val="27"/>
          <w:lang w:val="en-US" w:eastAsia="en-US"/>
        </w:rPr>
      </w:pPr>
      <w:r w:rsidRPr="00DF6AF0">
        <w:rPr>
          <w:b/>
          <w:bCs/>
          <w:color w:val="auto"/>
          <w:kern w:val="0"/>
          <w:sz w:val="27"/>
          <w:szCs w:val="27"/>
          <w:lang w:val="en-US" w:eastAsia="en-US"/>
        </w:rPr>
        <w:t>5.1 Epidemiological transition, adiposity, and metabolic risk gradients</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A foundational driver of spatial patterning is heterogeneous cardiometabolic transition. As districts experience shifts in livelihoods, diet, and physical activity, blood pressure risk can rise rapidly, often in ways that are geographically uneven. Evidence from rural India demonstrates substantial regional variation in overweight/obesity, hypertension, and diabetes and shows that these conditions cluster with correlates that reflect broader transitions in living conditions and lifestyles (</w:t>
      </w:r>
      <w:proofErr w:type="spellStart"/>
      <w:r w:rsidRPr="00DF6AF0">
        <w:rPr>
          <w:color w:val="auto"/>
          <w:kern w:val="0"/>
          <w:lang w:val="en-US" w:eastAsia="en-US"/>
        </w:rPr>
        <w:t>Meshram</w:t>
      </w:r>
      <w:proofErr w:type="spellEnd"/>
      <w:r w:rsidRPr="00DF6AF0">
        <w:rPr>
          <w:color w:val="auto"/>
          <w:kern w:val="0"/>
          <w:lang w:val="en-US" w:eastAsia="en-US"/>
        </w:rPr>
        <w:t xml:space="preserve"> et al., 2016). While the NER contains many rural and semi-urban settings, it is not epidemiologically static; pockets of economic change and </w:t>
      </w:r>
      <w:r w:rsidRPr="00DF6AF0">
        <w:rPr>
          <w:color w:val="auto"/>
          <w:kern w:val="0"/>
          <w:lang w:val="en-US" w:eastAsia="en-US"/>
        </w:rPr>
        <w:lastRenderedPageBreak/>
        <w:t>urban expansion can produce localized increases in adiposity and metabolic risk that outpace surrounding areas. This can yield a spatial mosaic in which some districts show higher hypertension prevalence because of accelerated transition, while neighboring districts remain closer to earlier risk profiles. Importantly, such gradients are not only “urban versus rural.” They can appear within rural settings where connectivity, market integration, and food environments differ across districts, meaning that hypertension “hotspots” may emerge in unexpected places rather than only in metropolitan centers (</w:t>
      </w:r>
      <w:proofErr w:type="spellStart"/>
      <w:r w:rsidRPr="00DF6AF0">
        <w:rPr>
          <w:color w:val="auto"/>
          <w:kern w:val="0"/>
          <w:lang w:val="en-US" w:eastAsia="en-US"/>
        </w:rPr>
        <w:t>Meshram</w:t>
      </w:r>
      <w:proofErr w:type="spellEnd"/>
      <w:r w:rsidRPr="00DF6AF0">
        <w:rPr>
          <w:color w:val="auto"/>
          <w:kern w:val="0"/>
          <w:lang w:val="en-US" w:eastAsia="en-US"/>
        </w:rPr>
        <w:t xml:space="preserve"> et al., 2016</w:t>
      </w:r>
      <w:r w:rsidR="003A71E9">
        <w:rPr>
          <w:color w:val="auto"/>
          <w:kern w:val="0"/>
          <w:lang w:val="en-US" w:eastAsia="en-US"/>
        </w:rPr>
        <w:t xml:space="preserve">; </w:t>
      </w:r>
      <w:proofErr w:type="spellStart"/>
      <w:r w:rsidR="003A71E9" w:rsidRPr="003A71E9">
        <w:rPr>
          <w:color w:val="auto"/>
          <w:kern w:val="0"/>
          <w:lang w:val="en-US" w:eastAsia="en-US"/>
        </w:rPr>
        <w:t>Tikhute</w:t>
      </w:r>
      <w:proofErr w:type="spellEnd"/>
      <w:r w:rsidR="003A71E9" w:rsidRPr="003A71E9">
        <w:rPr>
          <w:color w:val="auto"/>
          <w:kern w:val="0"/>
          <w:lang w:val="en-US" w:eastAsia="en-US"/>
        </w:rPr>
        <w:t xml:space="preserve"> et al., 2025; Ghosh &amp; </w:t>
      </w:r>
      <w:proofErr w:type="spellStart"/>
      <w:r w:rsidR="003A71E9" w:rsidRPr="003A71E9">
        <w:rPr>
          <w:color w:val="auto"/>
          <w:kern w:val="0"/>
          <w:lang w:val="en-US" w:eastAsia="en-US"/>
        </w:rPr>
        <w:t>Peseyie</w:t>
      </w:r>
      <w:proofErr w:type="spellEnd"/>
      <w:r w:rsidR="003A71E9" w:rsidRPr="003A71E9">
        <w:rPr>
          <w:color w:val="auto"/>
          <w:kern w:val="0"/>
          <w:lang w:val="en-US" w:eastAsia="en-US"/>
        </w:rPr>
        <w:t xml:space="preserve">, 2022; </w:t>
      </w:r>
      <w:proofErr w:type="spellStart"/>
      <w:r w:rsidR="003A71E9" w:rsidRPr="003A71E9">
        <w:rPr>
          <w:color w:val="auto"/>
          <w:kern w:val="0"/>
          <w:lang w:val="en-US" w:eastAsia="en-US"/>
        </w:rPr>
        <w:t>Babu</w:t>
      </w:r>
      <w:proofErr w:type="spellEnd"/>
      <w:r w:rsidR="003A71E9" w:rsidRPr="003A71E9">
        <w:rPr>
          <w:color w:val="auto"/>
          <w:kern w:val="0"/>
          <w:lang w:val="en-US" w:eastAsia="en-US"/>
        </w:rPr>
        <w:t xml:space="preserve"> et al., 2024</w:t>
      </w:r>
      <w:r w:rsidRPr="00DF6AF0">
        <w:rPr>
          <w:color w:val="auto"/>
          <w:kern w:val="0"/>
          <w:lang w:val="en-US" w:eastAsia="en-US"/>
        </w:rPr>
        <w:t>).</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A second implication is that transition-related gradients may be age-structured and cohort-driven. Districts with rapid transition can exhibit earlier onset of elevated blood pressure among working-age adults, creating longer lifetime exposure and potentially higher cardiovascular risk even if prevalence differences appear modest at a single point in time. Spatial analyses that interpret district patterns should therefore treat observed prevalence not merely as a present burden but as a marker of where transition may be producing earlier and more persistent exposure—an issue that can shape future health-system demand for chronic care.</w:t>
      </w:r>
    </w:p>
    <w:p w:rsidR="00DF6AF0" w:rsidRPr="00DF6AF0" w:rsidRDefault="00DF6AF0" w:rsidP="00DF6AF0">
      <w:pPr>
        <w:spacing w:before="100" w:beforeAutospacing="1" w:after="100" w:afterAutospacing="1" w:line="240" w:lineRule="auto"/>
        <w:ind w:left="0" w:right="0" w:firstLine="0"/>
        <w:jc w:val="left"/>
        <w:outlineLvl w:val="2"/>
        <w:rPr>
          <w:b/>
          <w:bCs/>
          <w:color w:val="auto"/>
          <w:kern w:val="0"/>
          <w:sz w:val="27"/>
          <w:szCs w:val="27"/>
          <w:lang w:val="en-US" w:eastAsia="en-US"/>
        </w:rPr>
      </w:pPr>
      <w:r w:rsidRPr="00DF6AF0">
        <w:rPr>
          <w:b/>
          <w:bCs/>
          <w:color w:val="auto"/>
          <w:kern w:val="0"/>
          <w:sz w:val="27"/>
          <w:szCs w:val="27"/>
          <w:lang w:val="en-US" w:eastAsia="en-US"/>
        </w:rPr>
        <w:t>5.2 Behavioral risk environments as spatially patterned exposures</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Behavioral risks relevant to hypertension—especially those linked to diet quality, sedentary time, tobacco use, and alcohol use—tend to be spatially clustered because they are influenced by local norms, availability, pricing, and enforcement contexts. In the NER, cultural heterogeneity and market access can vary sharply across short distances, which increases the plausibility of district-level clustering of behavioral risks and therefore blood pressure outcomes. Yet behavior is also mediated by socioeconomic position and by access to preventive services, complicating spatial interpretation: the same behavior may produce different observed hypertension profiles depending on whether screening and diagnosis are common in that district. In this sense, behavioral environments and health-system reach interact. When screening is limited, the mapping of hypertension will under-represent the consequences of risky environments; when screening expands, the underlying risk becomes more visible and measured prevalence can rise even if risk behaviors are unchanged.</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This visibility dynamic becomes particularly important when spatial heterogeneity is interpreted for policy. Districts that appear low-prevalence may still face high behavioral risk burdens that have not yet translated into observed hypertension due to younger age structure or limited detection. Conversely, districts with strong screening may appear to have higher burden because the system is better at finding cases. Therefore, synthesizing drivers requires resisting simplistic conclusions that attribute district differences solely to “lifestyle choices,” and instead recognizing that behavior-related risks are filtered through detection systems and social structure (</w:t>
      </w:r>
      <w:proofErr w:type="spellStart"/>
      <w:r w:rsidRPr="00DF6AF0">
        <w:rPr>
          <w:color w:val="auto"/>
          <w:kern w:val="0"/>
          <w:lang w:val="en-US" w:eastAsia="en-US"/>
        </w:rPr>
        <w:t>Prenissl</w:t>
      </w:r>
      <w:proofErr w:type="spellEnd"/>
      <w:r w:rsidRPr="00DF6AF0">
        <w:rPr>
          <w:color w:val="auto"/>
          <w:kern w:val="0"/>
          <w:lang w:val="en-US" w:eastAsia="en-US"/>
        </w:rPr>
        <w:t xml:space="preserve"> et al., 2019;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w:t>
      </w:r>
    </w:p>
    <w:p w:rsidR="00DF6AF0" w:rsidRPr="00DF6AF0" w:rsidRDefault="00DF6AF0" w:rsidP="00DF6AF0">
      <w:pPr>
        <w:spacing w:before="100" w:beforeAutospacing="1" w:after="100" w:afterAutospacing="1" w:line="240" w:lineRule="auto"/>
        <w:ind w:left="0" w:right="0" w:firstLine="0"/>
        <w:jc w:val="left"/>
        <w:outlineLvl w:val="2"/>
        <w:rPr>
          <w:b/>
          <w:bCs/>
          <w:color w:val="auto"/>
          <w:kern w:val="0"/>
          <w:sz w:val="27"/>
          <w:szCs w:val="27"/>
          <w:lang w:val="en-US" w:eastAsia="en-US"/>
        </w:rPr>
      </w:pPr>
      <w:r w:rsidRPr="00DF6AF0">
        <w:rPr>
          <w:b/>
          <w:bCs/>
          <w:color w:val="auto"/>
          <w:kern w:val="0"/>
          <w:sz w:val="27"/>
          <w:szCs w:val="27"/>
          <w:lang w:val="en-US" w:eastAsia="en-US"/>
        </w:rPr>
        <w:t>5.3 Health-system reach, screening, and continuity as spatial determinants of the cascade</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 xml:space="preserve">A dominant and often underappreciated driver of spatial heterogeneity is the geography of the hypertension care cascade. Hypertension is uniquely sensitive to system reach because it is frequently asymptomatic, so without routine screening and follow-up infrastructure, a large share of cases </w:t>
      </w:r>
      <w:proofErr w:type="gramStart"/>
      <w:r w:rsidRPr="00DF6AF0">
        <w:rPr>
          <w:color w:val="auto"/>
          <w:kern w:val="0"/>
          <w:lang w:val="en-US" w:eastAsia="en-US"/>
        </w:rPr>
        <w:t>remain</w:t>
      </w:r>
      <w:proofErr w:type="gramEnd"/>
      <w:r w:rsidRPr="00DF6AF0">
        <w:rPr>
          <w:color w:val="auto"/>
          <w:kern w:val="0"/>
          <w:lang w:val="en-US" w:eastAsia="en-US"/>
        </w:rPr>
        <w:t xml:space="preserve"> undiagnosed or uncontrolled. Nationally representative evidence demonstrates substantial gaps in screening, awareness, treatment, and control in India, </w:t>
      </w:r>
      <w:r w:rsidRPr="00DF6AF0">
        <w:rPr>
          <w:color w:val="auto"/>
          <w:kern w:val="0"/>
          <w:lang w:val="en-US" w:eastAsia="en-US"/>
        </w:rPr>
        <w:lastRenderedPageBreak/>
        <w:t>indicating that health-system performance strongly shapes the burden of uncontrolled blood pressure (</w:t>
      </w:r>
      <w:proofErr w:type="spellStart"/>
      <w:r w:rsidRPr="00DF6AF0">
        <w:rPr>
          <w:color w:val="auto"/>
          <w:kern w:val="0"/>
          <w:lang w:val="en-US" w:eastAsia="en-US"/>
        </w:rPr>
        <w:t>Prenissl</w:t>
      </w:r>
      <w:proofErr w:type="spellEnd"/>
      <w:r w:rsidRPr="00DF6AF0">
        <w:rPr>
          <w:color w:val="auto"/>
          <w:kern w:val="0"/>
          <w:lang w:val="en-US" w:eastAsia="en-US"/>
        </w:rPr>
        <w:t xml:space="preserve"> et al., 2019). More recent evidence reinforces that cascade attrition remains a central feature of India’s hypertension landscape and that gaps persist even when measured prevalence is known (</w:t>
      </w:r>
      <w:proofErr w:type="spellStart"/>
      <w:r w:rsidRPr="00DF6AF0">
        <w:rPr>
          <w:color w:val="auto"/>
          <w:kern w:val="0"/>
          <w:lang w:val="en-US" w:eastAsia="en-US"/>
        </w:rPr>
        <w:t>Amarchand</w:t>
      </w:r>
      <w:proofErr w:type="spellEnd"/>
      <w:r w:rsidRPr="00DF6AF0">
        <w:rPr>
          <w:color w:val="auto"/>
          <w:kern w:val="0"/>
          <w:lang w:val="en-US" w:eastAsia="en-US"/>
        </w:rPr>
        <w:t xml:space="preserve"> et al., 2023). NFHS-5-based cascade analysis similarly indicates incomplete progression through diagnosis and treatment among key adult groups, underscoring that hypertension is simultaneously a risk-factor problem and a care-delivery problem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In the NER, geographic constraints can intensify these dynamics. Districts with comparable underlying risk profiles can diverge in observed prevalence and, more importantly, in preventable harm if continuity of care differs. For example, medication access disruptions, long travel times for refills, workforce shortages, or uneven outreach can reduce sustained treatment and control even where screening exists. From a spatial perspective, this creates districts where the “true” high priority is not necessarily the highest prevalence but the combination of meaningful prevalence with poor treatment continuity and low control—because that combination implies the greatest avoidable cardiovascular risk (</w:t>
      </w:r>
      <w:proofErr w:type="spellStart"/>
      <w:r w:rsidRPr="00DF6AF0">
        <w:rPr>
          <w:color w:val="auto"/>
          <w:kern w:val="0"/>
          <w:lang w:val="en-US" w:eastAsia="en-US"/>
        </w:rPr>
        <w:t>Amarchand</w:t>
      </w:r>
      <w:proofErr w:type="spellEnd"/>
      <w:r w:rsidRPr="00DF6AF0">
        <w:rPr>
          <w:color w:val="auto"/>
          <w:kern w:val="0"/>
          <w:lang w:val="en-US" w:eastAsia="en-US"/>
        </w:rPr>
        <w:t xml:space="preserve"> et al., 2023;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 Consequently, drivers of spatial heterogeneity should be framed as cascade geography: where the system detects, where it initiates treatment, and where it succeeds in long-term control.</w:t>
      </w:r>
    </w:p>
    <w:p w:rsidR="00DF6AF0" w:rsidRPr="00DF6AF0" w:rsidRDefault="00DF6AF0" w:rsidP="00DF6AF0">
      <w:pPr>
        <w:spacing w:before="100" w:beforeAutospacing="1" w:after="100" w:afterAutospacing="1" w:line="240" w:lineRule="auto"/>
        <w:ind w:left="0" w:right="0" w:firstLine="0"/>
        <w:jc w:val="left"/>
        <w:outlineLvl w:val="2"/>
        <w:rPr>
          <w:b/>
          <w:bCs/>
          <w:color w:val="auto"/>
          <w:kern w:val="0"/>
          <w:sz w:val="27"/>
          <w:szCs w:val="27"/>
          <w:lang w:val="en-US" w:eastAsia="en-US"/>
        </w:rPr>
      </w:pPr>
      <w:r w:rsidRPr="00DF6AF0">
        <w:rPr>
          <w:b/>
          <w:bCs/>
          <w:color w:val="auto"/>
          <w:kern w:val="0"/>
          <w:sz w:val="27"/>
          <w:szCs w:val="27"/>
          <w:lang w:val="en-US" w:eastAsia="en-US"/>
        </w:rPr>
        <w:t>5.4 Socioeconomic stratification and inequity within and across districts</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Socioeconomic gradients shape both risk exposure and access to care, and their spatial distribution can produce sharp district contrasts. Inequality can operate through multiple channels: education and income influence health literacy and care-seeking; wealth influences diet and sedentary occupations; and social advantage often correlates with proximity to facilities and the ability to absorb travel and opportunity costs. Evidence from India shows that screening and cascade outcomes vary meaningfully, implying that social position and service access are critical for explaining why some subpopulations remain undiagnosed or untreated (</w:t>
      </w:r>
      <w:proofErr w:type="spellStart"/>
      <w:r w:rsidRPr="00DF6AF0">
        <w:rPr>
          <w:color w:val="auto"/>
          <w:kern w:val="0"/>
          <w:lang w:val="en-US" w:eastAsia="en-US"/>
        </w:rPr>
        <w:t>Prenissl</w:t>
      </w:r>
      <w:proofErr w:type="spellEnd"/>
      <w:r w:rsidRPr="00DF6AF0">
        <w:rPr>
          <w:color w:val="auto"/>
          <w:kern w:val="0"/>
          <w:lang w:val="en-US" w:eastAsia="en-US"/>
        </w:rPr>
        <w:t xml:space="preserve"> et al., 2019;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 In spatial terms, districts that concentrate deprivation may show lower observed prevalence not because risk is absent, but because screening and diagnosis are limited; districts that concentrate affluence may show higher measured prevalence due to a combination of higher metabolic risk and higher detection. The result is a complex spatial surface in which both high- and low-prevalence districts can be inequitable, but in different ways—one through high risk and another through hidden risk and unmet need.</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This also implies that district-level spatial heterogeneity cannot be fully explained by “place” alone; it reflects the geographic distribution of social composition. Therefore, a synthesis of drivers should treat district patterns as compositional and contextual at once. The most credible interpretation links observed spatial variation to plausible mixtures of transition, behavioral environments, and cascade performance, while recognizing that socioeconomic stratification influences each pathway simultaneously (</w:t>
      </w:r>
      <w:proofErr w:type="spellStart"/>
      <w:r w:rsidRPr="00DF6AF0">
        <w:rPr>
          <w:color w:val="auto"/>
          <w:kern w:val="0"/>
          <w:lang w:val="en-US" w:eastAsia="en-US"/>
        </w:rPr>
        <w:t>Prenissl</w:t>
      </w:r>
      <w:proofErr w:type="spellEnd"/>
      <w:r w:rsidRPr="00DF6AF0">
        <w:rPr>
          <w:color w:val="auto"/>
          <w:kern w:val="0"/>
          <w:lang w:val="en-US" w:eastAsia="en-US"/>
        </w:rPr>
        <w:t xml:space="preserve"> et al., 2019; </w:t>
      </w:r>
      <w:proofErr w:type="spellStart"/>
      <w:r w:rsidRPr="00DF6AF0">
        <w:rPr>
          <w:color w:val="auto"/>
          <w:kern w:val="0"/>
          <w:lang w:val="en-US" w:eastAsia="en-US"/>
        </w:rPr>
        <w:t>Amarchand</w:t>
      </w:r>
      <w:proofErr w:type="spellEnd"/>
      <w:r w:rsidRPr="00DF6AF0">
        <w:rPr>
          <w:color w:val="auto"/>
          <w:kern w:val="0"/>
          <w:lang w:val="en-US" w:eastAsia="en-US"/>
        </w:rPr>
        <w:t xml:space="preserve"> et al., 2023;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w:t>
      </w:r>
    </w:p>
    <w:p w:rsidR="00DF6AF0" w:rsidRPr="00DF6AF0" w:rsidRDefault="00DF6AF0" w:rsidP="00DF6AF0">
      <w:pPr>
        <w:spacing w:before="100" w:beforeAutospacing="1" w:after="100" w:afterAutospacing="1" w:line="240" w:lineRule="auto"/>
        <w:ind w:left="0" w:right="0" w:firstLine="0"/>
        <w:jc w:val="left"/>
        <w:outlineLvl w:val="2"/>
        <w:rPr>
          <w:b/>
          <w:bCs/>
          <w:color w:val="auto"/>
          <w:kern w:val="0"/>
          <w:sz w:val="27"/>
          <w:szCs w:val="27"/>
          <w:lang w:val="en-US" w:eastAsia="en-US"/>
        </w:rPr>
      </w:pPr>
      <w:r w:rsidRPr="00DF6AF0">
        <w:rPr>
          <w:b/>
          <w:bCs/>
          <w:color w:val="auto"/>
          <w:kern w:val="0"/>
          <w:sz w:val="27"/>
          <w:szCs w:val="27"/>
          <w:lang w:val="en-US" w:eastAsia="en-US"/>
        </w:rPr>
        <w:t>5.5 Interaction and amplification: why drivers rarely act independently</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 xml:space="preserve">The most policy-relevant insight from synthesizing these drivers is that they can amplify each other spatially. Districts experiencing rapid transition may simultaneously face growing metabolic risk and increasing demand for chronic care. If those same districts have weak </w:t>
      </w:r>
      <w:r w:rsidRPr="00DF6AF0">
        <w:rPr>
          <w:color w:val="auto"/>
          <w:kern w:val="0"/>
          <w:lang w:val="en-US" w:eastAsia="en-US"/>
        </w:rPr>
        <w:lastRenderedPageBreak/>
        <w:t>screening and continuity systems, they can become emerging high-burden areas with large uncontrolled hypertension risk. Conversely, districts with better primary care may reveal higher prevalence through detection while achieving better control, producing a spatial pattern in which measured prevalence and preventable harm are not aligned. This mismatch is consistent with the broader evidence that cascade gaps remain central in India and must be considered alongside prevalence (</w:t>
      </w:r>
      <w:proofErr w:type="spellStart"/>
      <w:r w:rsidRPr="00DF6AF0">
        <w:rPr>
          <w:color w:val="auto"/>
          <w:kern w:val="0"/>
          <w:lang w:val="en-US" w:eastAsia="en-US"/>
        </w:rPr>
        <w:t>Prenissl</w:t>
      </w:r>
      <w:proofErr w:type="spellEnd"/>
      <w:r w:rsidRPr="00DF6AF0">
        <w:rPr>
          <w:color w:val="auto"/>
          <w:kern w:val="0"/>
          <w:lang w:val="en-US" w:eastAsia="en-US"/>
        </w:rPr>
        <w:t xml:space="preserve"> et al., 2019; </w:t>
      </w:r>
      <w:proofErr w:type="spellStart"/>
      <w:r w:rsidRPr="00DF6AF0">
        <w:rPr>
          <w:color w:val="auto"/>
          <w:kern w:val="0"/>
          <w:lang w:val="en-US" w:eastAsia="en-US"/>
        </w:rPr>
        <w:t>Amarchand</w:t>
      </w:r>
      <w:proofErr w:type="spellEnd"/>
      <w:r w:rsidRPr="00DF6AF0">
        <w:rPr>
          <w:color w:val="auto"/>
          <w:kern w:val="0"/>
          <w:lang w:val="en-US" w:eastAsia="en-US"/>
        </w:rPr>
        <w:t xml:space="preserve"> et al., 2023; </w:t>
      </w:r>
      <w:proofErr w:type="spellStart"/>
      <w:r w:rsidR="004271AB">
        <w:rPr>
          <w:color w:val="auto"/>
          <w:kern w:val="0"/>
          <w:lang w:val="en-US" w:eastAsia="en-US"/>
        </w:rPr>
        <w:t>Guthi</w:t>
      </w:r>
      <w:proofErr w:type="spellEnd"/>
      <w:r w:rsidR="004271AB">
        <w:rPr>
          <w:color w:val="auto"/>
          <w:kern w:val="0"/>
          <w:lang w:val="en-US" w:eastAsia="en-US"/>
        </w:rPr>
        <w:t xml:space="preserve"> et al., 2024</w:t>
      </w:r>
      <w:r w:rsidRPr="00DF6AF0">
        <w:rPr>
          <w:color w:val="auto"/>
          <w:kern w:val="0"/>
          <w:lang w:val="en-US" w:eastAsia="en-US"/>
        </w:rPr>
        <w:t>). For the NER, where geographic constraints can exacerbate discontinuities in service reach, these interaction effects are especially likely to produce clustered pockets of unmet need that are invisible in state-level summaries but detectable in district-informed analyses.</w:t>
      </w:r>
    </w:p>
    <w:p w:rsidR="007A25E7" w:rsidRDefault="007A25E7" w:rsidP="007A25E7"/>
    <w:p w:rsidR="007A25E7" w:rsidRDefault="007A25E7" w:rsidP="007A25E7">
      <w:pPr>
        <w:pStyle w:val="Heading2"/>
      </w:pPr>
      <w:r>
        <w:t>6. Spatial-analytic approaches suitable for NFHS-5 hypertension mapping in the NER</w:t>
      </w:r>
    </w:p>
    <w:p w:rsidR="007A25E7" w:rsidRDefault="007A25E7" w:rsidP="007A25E7">
      <w:pPr>
        <w:pStyle w:val="NormalWeb"/>
      </w:pPr>
      <w:r>
        <w:t>Spatial epidemiology is most useful when it moves beyond “visual mapping” to a structured assessment of clustering, uncertainty, and determinants. Several well-established approaches can be applied to NFHS-5 district data without excessive complexity.</w:t>
      </w:r>
    </w:p>
    <w:p w:rsidR="007A25E7" w:rsidRDefault="007A25E7" w:rsidP="007A25E7">
      <w:pPr>
        <w:pStyle w:val="Heading3"/>
      </w:pPr>
      <w:r>
        <w:t>6.1 Exploratory spatial data analysis: identifying clustering and local outliers</w:t>
      </w:r>
    </w:p>
    <w:p w:rsidR="007A25E7" w:rsidRDefault="007A25E7" w:rsidP="007A25E7">
      <w:pPr>
        <w:pStyle w:val="NormalWeb"/>
      </w:pPr>
      <w:r>
        <w:t>Exploratory methods test whether districts with high (or low) values cluster more than would be expected by chance. Local Indicators of Spatial Association (LISA) are widely used to detect local clusters and outliers and can help differentiate high–high clusters (hotspots) from high–low outliers (districts that are high relative to neighbors) (</w:t>
      </w:r>
      <w:proofErr w:type="spellStart"/>
      <w:r>
        <w:t>Anselin</w:t>
      </w:r>
      <w:proofErr w:type="spellEnd"/>
      <w:r>
        <w:t>, 1995). In NER analyses, LISA-style outputs can be programmatically important because high–low outliers may indicate local program weaknesses or unique exposure environments, while high–high clusters suggest regional drivers or shared service constraints.</w:t>
      </w:r>
    </w:p>
    <w:p w:rsidR="007A25E7" w:rsidRDefault="007A25E7" w:rsidP="007A25E7">
      <w:pPr>
        <w:pStyle w:val="NormalWeb"/>
      </w:pPr>
      <w:proofErr w:type="spellStart"/>
      <w:r>
        <w:t>Getis</w:t>
      </w:r>
      <w:proofErr w:type="spellEnd"/>
      <w:r>
        <w:t xml:space="preserve">–Ord statistics are another common class used to detect hotspot and </w:t>
      </w:r>
      <w:proofErr w:type="spellStart"/>
      <w:r>
        <w:t>coldspot</w:t>
      </w:r>
      <w:proofErr w:type="spellEnd"/>
      <w:r>
        <w:t xml:space="preserve"> patterns, often producing intuitive outputs for public health communication when used responsibly (</w:t>
      </w:r>
      <w:proofErr w:type="spellStart"/>
      <w:r>
        <w:t>Getis</w:t>
      </w:r>
      <w:proofErr w:type="spellEnd"/>
      <w:r>
        <w:t xml:space="preserve"> &amp; Ord, 1992). For NFHS-5 hypertension mapping, these methods should ideally be applied not only to prevalence but also to screening and control indicators, because the most actionable hotspots may be “high prevalence + low control” or “low screening + high risk factor burden” rather than prevalence alone.</w:t>
      </w:r>
    </w:p>
    <w:p w:rsidR="007A25E7" w:rsidRDefault="007A25E7" w:rsidP="007A25E7">
      <w:pPr>
        <w:pStyle w:val="Heading3"/>
      </w:pPr>
      <w:r>
        <w:t>6.2 Spatial scan methods for cluster detection and prioritization</w:t>
      </w:r>
    </w:p>
    <w:p w:rsidR="007A25E7" w:rsidRDefault="007A25E7" w:rsidP="007A25E7">
      <w:pPr>
        <w:pStyle w:val="NormalWeb"/>
      </w:pPr>
      <w:r>
        <w:t>Spatial scan statistics are frequently used for identifying statistically significant clusters while accounting for multiple testing, and they can be adapted for different outcome types (</w:t>
      </w:r>
      <w:proofErr w:type="spellStart"/>
      <w:r>
        <w:t>Kulldorff</w:t>
      </w:r>
      <w:proofErr w:type="spellEnd"/>
      <w:r>
        <w:t>, 1997). For NER planning, scan outputs can be translated into prioritization tiers, but the interpretive caveat is that clusters may be influenced by population size and the spatial window choice. In small NER states, careful parameter selection and sensitivity checks are necessary to avoid clusters that are artifacts of small denominators.</w:t>
      </w:r>
    </w:p>
    <w:p w:rsidR="007A25E7" w:rsidRDefault="007A25E7" w:rsidP="007A25E7">
      <w:pPr>
        <w:pStyle w:val="Heading3"/>
      </w:pPr>
      <w:r>
        <w:t>6.3 Spatial regression and contextual determinants</w:t>
      </w:r>
    </w:p>
    <w:p w:rsidR="007A25E7" w:rsidRDefault="007A25E7" w:rsidP="007A25E7">
      <w:pPr>
        <w:pStyle w:val="NormalWeb"/>
      </w:pPr>
      <w:r>
        <w:lastRenderedPageBreak/>
        <w:t>Spatial regression approaches evaluate whether associations between determinants (e.g., wealth, urbanization proxies, obesity prevalence, tobacco use) and hypertension outcomes persist after accounting for spatial dependence. The value in NER analyses is that many determinants are spatially autocorrelated: districts near each other share environment and infrastructure, so conventional regression can underestimate uncertainty. Spatially informed models reduce the risk of overstating precision and help identify determinants that are robust to spatial correlation.</w:t>
      </w:r>
    </w:p>
    <w:p w:rsidR="007A25E7" w:rsidRDefault="007A25E7" w:rsidP="007A25E7">
      <w:pPr>
        <w:pStyle w:val="Heading3"/>
      </w:pPr>
      <w:r>
        <w:t>6.4 Bayesian small-area modeling and uncertainty communication</w:t>
      </w:r>
    </w:p>
    <w:p w:rsidR="007A25E7" w:rsidRDefault="007A25E7" w:rsidP="007A25E7">
      <w:pPr>
        <w:pStyle w:val="NormalWeb"/>
      </w:pPr>
      <w:r>
        <w:t>Small-area models are often used when district sample sizes vary or when extreme values may be driven by noise. Bayesian disease mapping models, including conditional autoregressive structures, are classic tools for smoothing risk surfaces while preserving meaningful geographic variation (</w:t>
      </w:r>
      <w:proofErr w:type="spellStart"/>
      <w:r>
        <w:t>Besag</w:t>
      </w:r>
      <w:proofErr w:type="spellEnd"/>
      <w:r>
        <w:t xml:space="preserve"> et al., 1991). For NFHS-5 district mapping in the NER—where some districts may have smaller effective samples—these approaches can produce more stable estimates and allow explicit communication of uncertainty. The major advantage for policy is that uncertainty can be mapped directly: districts can be prioritized not only by estimated prevalence, but also by probability of exceeding a threshold, supporting risk-based decision-making.</w:t>
      </w:r>
    </w:p>
    <w:p w:rsidR="007A25E7" w:rsidRDefault="007A25E7" w:rsidP="007A25E7">
      <w:pPr>
        <w:pStyle w:val="NormalWeb"/>
      </w:pPr>
      <w:r>
        <w:t>Computational approaches such as Integrated Nested Laplace Approximation (INLA) have become popular for fitting latent Gaussian spatial models efficiently, enabling practical application to large survey datasets (Rue et al., 2009). While technical implementation is beyond the scope of this narrative review, the conceptual takeaway is straightforward: if NER district estimates are noisy, smoothing and uncertainty modeling can be more informative than raw “league tables” of districts.</w:t>
      </w:r>
    </w:p>
    <w:p w:rsidR="007A25E7" w:rsidRDefault="007A25E7" w:rsidP="007A25E7">
      <w:pPr>
        <w:pStyle w:val="Heading3"/>
      </w:pPr>
      <w:r>
        <w:t>6.5 A program-oriented mapping strategy for the NER</w:t>
      </w:r>
    </w:p>
    <w:p w:rsidR="007A25E7" w:rsidRDefault="007A25E7" w:rsidP="007A25E7">
      <w:pPr>
        <w:pStyle w:val="NormalWeb"/>
      </w:pPr>
      <w:r>
        <w:t>A pragmatic NER-focused NFHS-5 spatial workflow can be conceptualized as three linked maps: (1) age-standardized hypertension prevalence (risk surface), (2) screening or “ever measured” prevalence (detection surface), and (3) cascade performance (treatment/control surface). Districts can then be interpreted in typologies such as “high risk, low detection,” “high risk, low control,” or “emerging risk with rising trend,” each corresponding to different interventions. District-level temporal comparisons can supplement this by distinguishing persistent hotspots from rapidly emerging districts (</w:t>
      </w:r>
      <w:r w:rsidR="006B57D5">
        <w:t>Jain et al., 2025</w:t>
      </w:r>
      <w:r>
        <w:t xml:space="preserve">; </w:t>
      </w:r>
      <w:proofErr w:type="spellStart"/>
      <w:r>
        <w:t>Seenappa</w:t>
      </w:r>
      <w:proofErr w:type="spellEnd"/>
      <w:r>
        <w:t xml:space="preserve"> et al., 2024). </w:t>
      </w:r>
    </w:p>
    <w:p w:rsidR="007A25E7" w:rsidRDefault="007A25E7" w:rsidP="007A25E7"/>
    <w:p w:rsidR="00DF6AF0" w:rsidRPr="00DF6AF0" w:rsidRDefault="00DF6AF0" w:rsidP="00DF6AF0">
      <w:pPr>
        <w:spacing w:before="100" w:beforeAutospacing="1" w:after="100" w:afterAutospacing="1" w:line="240" w:lineRule="auto"/>
        <w:ind w:left="0" w:right="0" w:firstLine="0"/>
        <w:jc w:val="left"/>
        <w:outlineLvl w:val="1"/>
        <w:rPr>
          <w:b/>
          <w:bCs/>
          <w:color w:val="auto"/>
          <w:kern w:val="0"/>
          <w:sz w:val="36"/>
          <w:szCs w:val="36"/>
          <w:lang w:val="en-US" w:eastAsia="en-US"/>
        </w:rPr>
      </w:pPr>
      <w:r w:rsidRPr="00DF6AF0">
        <w:rPr>
          <w:b/>
          <w:bCs/>
          <w:color w:val="auto"/>
          <w:kern w:val="0"/>
          <w:sz w:val="36"/>
          <w:szCs w:val="36"/>
          <w:lang w:val="en-US" w:eastAsia="en-US"/>
        </w:rPr>
        <w:t>7. Policy and program implications for the North-Eastern Region</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 xml:space="preserve">The principal policy value of NFHS-5 spatial evidence is that it converts hypertension from an abstract “state burden” into a district-governance problem with clear prioritization possibilities. For the North-Eastern Region (NER), where geography, settlement dispersion, and service reach vary sharply, this reframing matters because uniform strategies risk allocating effort to districts that are easiest to serve rather than to districts where preventable risk is highest. District-wise heterogeneity in blood pressure measurement and raised blood </w:t>
      </w:r>
      <w:r w:rsidRPr="00DF6AF0">
        <w:rPr>
          <w:color w:val="auto"/>
          <w:kern w:val="0"/>
          <w:lang w:val="en-US" w:eastAsia="en-US"/>
        </w:rPr>
        <w:lastRenderedPageBreak/>
        <w:t>pressure indicators documented in NFHS-5-based work implies that both detection and measured burden can differ widely at sub-state scales, making district targeting and microplanning essential rather than optional (</w:t>
      </w:r>
      <w:proofErr w:type="spellStart"/>
      <w:r w:rsidRPr="00DF6AF0">
        <w:rPr>
          <w:color w:val="auto"/>
          <w:kern w:val="0"/>
          <w:lang w:val="en-US" w:eastAsia="en-US"/>
        </w:rPr>
        <w:t>Seenappa</w:t>
      </w:r>
      <w:proofErr w:type="spellEnd"/>
      <w:r w:rsidRPr="00DF6AF0">
        <w:rPr>
          <w:color w:val="auto"/>
          <w:kern w:val="0"/>
          <w:lang w:val="en-US" w:eastAsia="en-US"/>
        </w:rPr>
        <w:t xml:space="preserve"> et al., 2024). When spatial patterns are translated into action, the central question becomes not only “where is prevalence high?” but also “where will investments in screening, continuity of medication, and follow-up avert the most future cardiovascular events?”</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A first implication is that screening strategies should be spatially optimized using a typology that separates low detection from high underlying risk. NFHS-5 district-wise evidence on blood pressure measurement coverage suggests that a nontrivial share of geographic variation may reflect differences in whether populations have had any meaningful contact with screening (</w:t>
      </w:r>
      <w:proofErr w:type="spellStart"/>
      <w:r w:rsidRPr="00DF6AF0">
        <w:rPr>
          <w:color w:val="auto"/>
          <w:kern w:val="0"/>
          <w:lang w:val="en-US" w:eastAsia="en-US"/>
        </w:rPr>
        <w:t>Seenappa</w:t>
      </w:r>
      <w:proofErr w:type="spellEnd"/>
      <w:r w:rsidRPr="00DF6AF0">
        <w:rPr>
          <w:color w:val="auto"/>
          <w:kern w:val="0"/>
          <w:lang w:val="en-US" w:eastAsia="en-US"/>
        </w:rPr>
        <w:t xml:space="preserve"> et al., 2024). In NER conditions, the operational response is to treat screening as an outreach logistics problem in addition to a facility-based service. Districts characterized by low measurement coverage should be prioritized for mobile screening days, integration of blood pressure measurement into routine community outreach, and systematic opportunistic screening in all points of contact with primary care. The key program design choice is to avoid “one-time camps” that inflate short-run activity metrics without building continuity; instead, screening expansion should be tied to a clear pathway for confirmatory measurement, initiation of treatment when indicated, and follow-up tracking. Spatial targeting allows such continuity-building efforts to be concentrated where the detection gap is greatest, which is likely to yield more equitable diagnosis and earlier entry into care</w:t>
      </w:r>
      <w:r w:rsidR="003A71E9">
        <w:rPr>
          <w:color w:val="auto"/>
          <w:kern w:val="0"/>
          <w:lang w:val="en-US" w:eastAsia="en-US"/>
        </w:rPr>
        <w:t xml:space="preserve"> (</w:t>
      </w:r>
      <w:proofErr w:type="spellStart"/>
      <w:r w:rsidR="003A71E9" w:rsidRPr="003A71E9">
        <w:rPr>
          <w:color w:val="auto"/>
          <w:kern w:val="0"/>
          <w:lang w:val="en-US" w:eastAsia="en-US"/>
        </w:rPr>
        <w:t>Lalnuneng</w:t>
      </w:r>
      <w:proofErr w:type="spellEnd"/>
      <w:r w:rsidR="003A71E9" w:rsidRPr="003A71E9">
        <w:rPr>
          <w:color w:val="auto"/>
          <w:kern w:val="0"/>
          <w:lang w:val="en-US" w:eastAsia="en-US"/>
        </w:rPr>
        <w:t xml:space="preserve">, 2022; </w:t>
      </w:r>
      <w:proofErr w:type="spellStart"/>
      <w:r w:rsidR="003A71E9" w:rsidRPr="003A71E9">
        <w:rPr>
          <w:color w:val="auto"/>
          <w:kern w:val="0"/>
          <w:lang w:val="en-US" w:eastAsia="en-US"/>
        </w:rPr>
        <w:t>Basu</w:t>
      </w:r>
      <w:proofErr w:type="spellEnd"/>
      <w:r w:rsidR="003A71E9" w:rsidRPr="003A71E9">
        <w:rPr>
          <w:color w:val="auto"/>
          <w:kern w:val="0"/>
          <w:lang w:val="en-US" w:eastAsia="en-US"/>
        </w:rPr>
        <w:t xml:space="preserve"> et al., 2023</w:t>
      </w:r>
      <w:r w:rsidR="003A71E9">
        <w:rPr>
          <w:color w:val="auto"/>
          <w:kern w:val="0"/>
          <w:lang w:val="en-US" w:eastAsia="en-US"/>
        </w:rPr>
        <w:t>)</w:t>
      </w:r>
      <w:r w:rsidRPr="00DF6AF0">
        <w:rPr>
          <w:color w:val="auto"/>
          <w:kern w:val="0"/>
          <w:lang w:val="en-US" w:eastAsia="en-US"/>
        </w:rPr>
        <w:t>.</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A second implication is that district prioritization should be guided by the geography of uncontrolled hypertension rather than prevalence alone. National evidence from monitoring survey work underscores that hypertension awareness, treatment, and control are incomplete and that cascade attrition is a dominant source of preventable harm (</w:t>
      </w:r>
      <w:proofErr w:type="spellStart"/>
      <w:r w:rsidRPr="00DF6AF0">
        <w:rPr>
          <w:color w:val="auto"/>
          <w:kern w:val="0"/>
          <w:lang w:val="en-US" w:eastAsia="en-US"/>
        </w:rPr>
        <w:t>Amarchand</w:t>
      </w:r>
      <w:proofErr w:type="spellEnd"/>
      <w:r w:rsidRPr="00DF6AF0">
        <w:rPr>
          <w:color w:val="auto"/>
          <w:kern w:val="0"/>
          <w:lang w:val="en-US" w:eastAsia="en-US"/>
        </w:rPr>
        <w:t xml:space="preserve"> et al., 2023). In practice, this means that districts should be evaluated on their likely “preventable burden” profile: a district with moderate prevalence but very weak control can contribute disproportionately to stroke and heart disease incidence compared with a district with higher prevalence but stronger management. For NER planning, the operational translation is to strengthen chronic care systems—regular follow-up, stable medication access, and retention—especially in districts where geography and access constraints plausibly disrupt continuity. Such strengthening can include decentralized medication refills, community-linked follow-up mechanisms, and service delivery models that reduce travel frequency for stable patients. Even when these elements are discussed without introducing new citations, the evidence base supporting the priority of control is clear: the persistence of incomplete awareness and control implies that improving the cascade is not a secondary refinement but a primary pathway to reducing morbidity (</w:t>
      </w:r>
      <w:proofErr w:type="spellStart"/>
      <w:r w:rsidR="003A71E9" w:rsidRPr="003A71E9">
        <w:rPr>
          <w:color w:val="auto"/>
          <w:kern w:val="0"/>
          <w:lang w:val="en-US" w:eastAsia="en-US"/>
        </w:rPr>
        <w:t>Pyakurel</w:t>
      </w:r>
      <w:proofErr w:type="spellEnd"/>
      <w:r w:rsidR="003A71E9" w:rsidRPr="003A71E9">
        <w:rPr>
          <w:color w:val="auto"/>
          <w:kern w:val="0"/>
          <w:lang w:val="en-US" w:eastAsia="en-US"/>
        </w:rPr>
        <w:t xml:space="preserve"> et al., 2019; Mohammad &amp; </w:t>
      </w:r>
      <w:proofErr w:type="spellStart"/>
      <w:r w:rsidR="003A71E9" w:rsidRPr="003A71E9">
        <w:rPr>
          <w:color w:val="auto"/>
          <w:kern w:val="0"/>
          <w:lang w:val="en-US" w:eastAsia="en-US"/>
        </w:rPr>
        <w:t>Bansod</w:t>
      </w:r>
      <w:proofErr w:type="spellEnd"/>
      <w:r w:rsidR="003A71E9" w:rsidRPr="003A71E9">
        <w:rPr>
          <w:color w:val="auto"/>
          <w:kern w:val="0"/>
          <w:lang w:val="en-US" w:eastAsia="en-US"/>
        </w:rPr>
        <w:t>, 2024; Daniel et al., 2020</w:t>
      </w:r>
      <w:r w:rsidR="003A71E9">
        <w:rPr>
          <w:color w:val="auto"/>
          <w:kern w:val="0"/>
          <w:lang w:val="en-US" w:eastAsia="en-US"/>
        </w:rPr>
        <w:t xml:space="preserve">; </w:t>
      </w:r>
      <w:proofErr w:type="spellStart"/>
      <w:r w:rsidRPr="00DF6AF0">
        <w:rPr>
          <w:color w:val="auto"/>
          <w:kern w:val="0"/>
          <w:lang w:val="en-US" w:eastAsia="en-US"/>
        </w:rPr>
        <w:t>Amarchand</w:t>
      </w:r>
      <w:proofErr w:type="spellEnd"/>
      <w:r w:rsidRPr="00DF6AF0">
        <w:rPr>
          <w:color w:val="auto"/>
          <w:kern w:val="0"/>
          <w:lang w:val="en-US" w:eastAsia="en-US"/>
        </w:rPr>
        <w:t xml:space="preserve"> et al., 2023).</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 xml:space="preserve">A third implication is that resource allocation should explicitly incorporate uncertainty and avoid punitive district ranking. District maps can create a false sense of precision if point estimates are presented as definitive. For NER district governance, an uncertainty-aware approach helps prevent overreaction to small differences between neighboring districts and encourages learning-oriented interpretation. The practical policy approach is to define priority tiers rather than strict ranks, with decision thresholds that are stable under plausible measurement variability. Districts can be categorized based on converging evidence from multiple indicators—detection coverage, measured prevalence, and care performance—so that a district is flagged because it consistently shows unmet need rather than because it </w:t>
      </w:r>
      <w:r w:rsidRPr="00DF6AF0">
        <w:rPr>
          <w:color w:val="auto"/>
          <w:kern w:val="0"/>
          <w:lang w:val="en-US" w:eastAsia="en-US"/>
        </w:rPr>
        <w:lastRenderedPageBreak/>
        <w:t>appears marginally higher on a single metric. This approach also supports fairer inter-district dialogue: the purpose of spatial evidence becomes collective improvement and equitable planning rather than competition.</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A fourth implication is that spatial evidence should be linked to a forward-looking prevention agenda by using temporal change as an early warning signal. District-level change analysis across NFHS rounds shows that hypertension prevalence among adults aged 15–49 can shift over time and that these shifts are not geographically uniform (</w:t>
      </w:r>
      <w:r w:rsidR="006B57D5">
        <w:rPr>
          <w:color w:val="auto"/>
          <w:kern w:val="0"/>
          <w:lang w:val="en-US" w:eastAsia="en-US"/>
        </w:rPr>
        <w:t>Jain et al., 2025</w:t>
      </w:r>
      <w:r w:rsidRPr="00DF6AF0">
        <w:rPr>
          <w:color w:val="auto"/>
          <w:kern w:val="0"/>
          <w:lang w:val="en-US" w:eastAsia="en-US"/>
        </w:rPr>
        <w:t>). For the NER, this suggests that district targeting should not be static: emerging districts with increasing prevalence among working-age adults require early and targeted interventions that combine screening expansion with prevention messaging and risk-factor management. The program payoff of acting on emerging trends is substantial, because earlier onset implies longer cumulative exposure and a higher lifetime probability of complications. Operationally, this means that districts showing rising burden among younger adults should receive intensified workplace and community screening, stronger follow-up systems, and prevention-oriented counseling embedded in routine primary care. The core planning advantage is that temporal spatial evidence can shift the system from reactive management of complications to proactive containment of future burden (</w:t>
      </w:r>
      <w:r w:rsidR="006B57D5">
        <w:rPr>
          <w:color w:val="auto"/>
          <w:kern w:val="0"/>
          <w:lang w:val="en-US" w:eastAsia="en-US"/>
        </w:rPr>
        <w:t>Jain et al., 2025</w:t>
      </w:r>
      <w:r w:rsidRPr="00DF6AF0">
        <w:rPr>
          <w:color w:val="auto"/>
          <w:kern w:val="0"/>
          <w:lang w:val="en-US" w:eastAsia="en-US"/>
        </w:rPr>
        <w:t>).</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A fifth implication concerns implementation in hard-to-reach settings, where geography is not merely a backdrop but an active determinant of who is reached and who remains untreated. Spatial heterogeneity in measurement coverage implies that service reach is uneven, and uneven reach can map onto terrain and connectivity constraints that are especially salient in the NER (</w:t>
      </w:r>
      <w:proofErr w:type="spellStart"/>
      <w:r w:rsidRPr="00DF6AF0">
        <w:rPr>
          <w:color w:val="auto"/>
          <w:kern w:val="0"/>
          <w:lang w:val="en-US" w:eastAsia="en-US"/>
        </w:rPr>
        <w:t>Seenappa</w:t>
      </w:r>
      <w:proofErr w:type="spellEnd"/>
      <w:r w:rsidRPr="00DF6AF0">
        <w:rPr>
          <w:color w:val="auto"/>
          <w:kern w:val="0"/>
          <w:lang w:val="en-US" w:eastAsia="en-US"/>
        </w:rPr>
        <w:t xml:space="preserve"> et al., 2024). Programs should therefore define district-specific service delivery adaptations rather than relying exclusively on facility-based models. These adaptations may include scheduled outreach circuits, community-linked refill points, and follow-up designs that account for seasonal accessibility. The key is to align service design with travel realities so that treatment adherence and monitoring do not depend on repeated long-distance facility visits, which can be a binding constraint in remote districts.</w:t>
      </w:r>
    </w:p>
    <w:p w:rsidR="00DF6AF0" w:rsidRPr="00DF6AF0" w:rsidRDefault="00DF6AF0" w:rsidP="00DF6AF0">
      <w:pPr>
        <w:spacing w:before="100" w:beforeAutospacing="1" w:after="100" w:afterAutospacing="1" w:line="240" w:lineRule="auto"/>
        <w:ind w:left="0" w:right="0" w:firstLine="0"/>
        <w:jc w:val="left"/>
        <w:rPr>
          <w:color w:val="auto"/>
          <w:kern w:val="0"/>
          <w:lang w:val="en-US" w:eastAsia="en-US"/>
        </w:rPr>
      </w:pPr>
      <w:r w:rsidRPr="00DF6AF0">
        <w:rPr>
          <w:color w:val="auto"/>
          <w:kern w:val="0"/>
          <w:lang w:val="en-US" w:eastAsia="en-US"/>
        </w:rPr>
        <w:t>Finally, spatial evidence should be communicated ethically and used to strengthen accountability without stigmatization. District maps can inadvertently frame hypertension as a “community failure” rather than as a reflection of structural determinants and health-system constraints. An ethical communication approach emphasizes that hotspots are signals of unmet need and a rationale for supportive resource allocation, not labels of blame. This matters for the NER, where cultural diversity and historical marginalization can make stigmatizing narratives particularly harmful. In practical terms, district results should be presented with contextual explanation and with a focus on actionable gaps—especially detection and control—so that mapped patterns drive constructive planning and equitable investment. The combined message of NFHS-5 district heterogeneity and national cascade gaps is that improvement is feasible when resources and delivery models are aligned to the spatial distribution of unmet need (</w:t>
      </w:r>
      <w:proofErr w:type="spellStart"/>
      <w:r w:rsidRPr="00DF6AF0">
        <w:rPr>
          <w:color w:val="auto"/>
          <w:kern w:val="0"/>
          <w:lang w:val="en-US" w:eastAsia="en-US"/>
        </w:rPr>
        <w:t>Seenappa</w:t>
      </w:r>
      <w:proofErr w:type="spellEnd"/>
      <w:r w:rsidRPr="00DF6AF0">
        <w:rPr>
          <w:color w:val="auto"/>
          <w:kern w:val="0"/>
          <w:lang w:val="en-US" w:eastAsia="en-US"/>
        </w:rPr>
        <w:t xml:space="preserve"> et al., 2024; </w:t>
      </w:r>
      <w:proofErr w:type="spellStart"/>
      <w:r w:rsidRPr="00DF6AF0">
        <w:rPr>
          <w:color w:val="auto"/>
          <w:kern w:val="0"/>
          <w:lang w:val="en-US" w:eastAsia="en-US"/>
        </w:rPr>
        <w:t>Amarchand</w:t>
      </w:r>
      <w:proofErr w:type="spellEnd"/>
      <w:r w:rsidRPr="00DF6AF0">
        <w:rPr>
          <w:color w:val="auto"/>
          <w:kern w:val="0"/>
          <w:lang w:val="en-US" w:eastAsia="en-US"/>
        </w:rPr>
        <w:t xml:space="preserve"> et al., 2023), and that emerging trends among younger adults warrant early and geographically targeted prevention responses (</w:t>
      </w:r>
      <w:r w:rsidR="006B57D5">
        <w:rPr>
          <w:color w:val="auto"/>
          <w:kern w:val="0"/>
          <w:lang w:val="en-US" w:eastAsia="en-US"/>
        </w:rPr>
        <w:t>Jain et al., 2025</w:t>
      </w:r>
      <w:r w:rsidRPr="00DF6AF0">
        <w:rPr>
          <w:color w:val="auto"/>
          <w:kern w:val="0"/>
          <w:lang w:val="en-US" w:eastAsia="en-US"/>
        </w:rPr>
        <w:t>).</w:t>
      </w:r>
    </w:p>
    <w:p w:rsidR="00BB4C3B" w:rsidRDefault="00BB4C3B" w:rsidP="007A25E7">
      <w:pPr>
        <w:pStyle w:val="Heading2"/>
      </w:pPr>
    </w:p>
    <w:p w:rsidR="007A25E7" w:rsidRDefault="007A25E7" w:rsidP="007A25E7">
      <w:pPr>
        <w:pStyle w:val="Heading2"/>
      </w:pPr>
      <w:r>
        <w:t>8. Conclusions</w:t>
      </w:r>
    </w:p>
    <w:p w:rsidR="007A25E7" w:rsidRDefault="007A25E7" w:rsidP="007A25E7">
      <w:pPr>
        <w:pStyle w:val="NormalWeb"/>
      </w:pPr>
      <w:r>
        <w:lastRenderedPageBreak/>
        <w:t>NFHS-5 provides a powerful platform for understanding the spatial distribution of hypertension and its management gaps in India, and it is particularly valuable for the North-Eastern Region where geography, diversity, and health-system reach can produce highly localized patterns. The central message from the reviewed evidence is that district-level heterogeneity is large and programmatically meaningful: screening uptake, measured prevalence, and cascade performance do not move together uniformly across space. Consequently, NER hypertension strategies should be spatially explicit, pairing prevalence mapping with screening and cascade mapping, and should prioritize districts based on combinations of high risk and low service reach rather than prevalence alone. Spatial epidemiological methods—ranging from exploratory clustering to uncertainty-aware small-area modeling—can translate NFHS-5 data into actionable district typologies that guide targeted screening, continuous treatment support, and equity-focused primary care strengthening.</w:t>
      </w:r>
    </w:p>
    <w:p w:rsidR="007A25E7" w:rsidRDefault="007A25E7" w:rsidP="007A25E7"/>
    <w:p w:rsidR="007A25E7" w:rsidRDefault="007A25E7" w:rsidP="007A25E7">
      <w:pPr>
        <w:pStyle w:val="Heading2"/>
      </w:pPr>
      <w:r>
        <w:t>9. Limitations</w:t>
      </w:r>
    </w:p>
    <w:p w:rsidR="007A25E7" w:rsidRDefault="007A25E7" w:rsidP="007A25E7">
      <w:pPr>
        <w:pStyle w:val="NormalWeb"/>
      </w:pPr>
      <w:r>
        <w:t>This review is constrained by the availability and scope of peer-reviewed NFHS-5 spatial analyses that explicitly focus on the North-Eastern Region; much of the relevant evidence is pan-India and must be interpreted for NER context rather than directly estimated for NER-only subgroups. In addition, hypertension measurement in household surveys reflects standardized single-visit protocols rather than clinical diagnosis, and district estimates can be sensitive to sample size variation and measurement conditions. Finally, spatial associations observed in cross-sectional survey analyses cannot by themselves establish causality, and careful triangulation with health-system and contextual data is required before attributing geographic patterns to specific drivers.</w:t>
      </w:r>
    </w:p>
    <w:p w:rsidR="007A25E7" w:rsidRDefault="007A25E7" w:rsidP="007A25E7"/>
    <w:p w:rsidR="007A25E7" w:rsidRDefault="007A25E7" w:rsidP="007A25E7">
      <w:pPr>
        <w:pStyle w:val="Heading2"/>
      </w:pPr>
      <w:r>
        <w:t>References</w:t>
      </w:r>
    </w:p>
    <w:p w:rsidR="00317E7E" w:rsidRDefault="00317E7E" w:rsidP="00317E7E">
      <w:pPr>
        <w:spacing w:before="240" w:after="240" w:line="240" w:lineRule="auto"/>
        <w:ind w:left="0" w:right="0" w:firstLine="0"/>
        <w:jc w:val="left"/>
        <w:rPr>
          <w:color w:val="auto"/>
          <w:kern w:val="0"/>
          <w:lang w:val="en-US" w:eastAsia="en-US"/>
        </w:rPr>
      </w:pPr>
    </w:p>
    <w:p w:rsidR="00317E7E" w:rsidRPr="00317E7E" w:rsidRDefault="00317E7E" w:rsidP="00317E7E">
      <w:pPr>
        <w:spacing w:before="240" w:after="240" w:line="240" w:lineRule="auto"/>
        <w:ind w:left="0" w:firstLine="0"/>
      </w:pPr>
      <w:proofErr w:type="spellStart"/>
      <w:r w:rsidRPr="00317E7E">
        <w:rPr>
          <w:kern w:val="0"/>
          <w:lang w:val="en-US"/>
        </w:rPr>
        <w:t>Amarchand</w:t>
      </w:r>
      <w:proofErr w:type="spellEnd"/>
      <w:r w:rsidRPr="00317E7E">
        <w:rPr>
          <w:kern w:val="0"/>
          <w:lang w:val="en-US"/>
        </w:rPr>
        <w:t xml:space="preserve">, R., </w:t>
      </w:r>
      <w:proofErr w:type="spellStart"/>
      <w:r w:rsidRPr="00317E7E">
        <w:rPr>
          <w:kern w:val="0"/>
          <w:lang w:val="en-US"/>
        </w:rPr>
        <w:t>Kulothungan</w:t>
      </w:r>
      <w:proofErr w:type="spellEnd"/>
      <w:r w:rsidRPr="00317E7E">
        <w:rPr>
          <w:kern w:val="0"/>
          <w:lang w:val="en-US"/>
        </w:rPr>
        <w:t xml:space="preserve">, V., Krishnan, A., &amp; Mathur, P. (2023). Hypertension treatment cascade in India: results from national noncommunicable disease monitoring survey. </w:t>
      </w:r>
      <w:r w:rsidRPr="00317E7E">
        <w:rPr>
          <w:i/>
          <w:iCs/>
          <w:kern w:val="0"/>
          <w:lang w:val="en-US"/>
        </w:rPr>
        <w:t>Journal of Human Hypertension</w:t>
      </w:r>
      <w:r w:rsidRPr="00317E7E">
        <w:rPr>
          <w:kern w:val="0"/>
          <w:lang w:val="en-US"/>
        </w:rPr>
        <w:t xml:space="preserve">, </w:t>
      </w:r>
      <w:r w:rsidRPr="00317E7E">
        <w:rPr>
          <w:i/>
          <w:iCs/>
          <w:kern w:val="0"/>
          <w:lang w:val="en-US"/>
        </w:rPr>
        <w:t>37</w:t>
      </w:r>
      <w:r w:rsidRPr="00317E7E">
        <w:rPr>
          <w:kern w:val="0"/>
          <w:lang w:val="en-US"/>
        </w:rPr>
        <w:t xml:space="preserve">(5), 394-404. </w:t>
      </w:r>
      <w:hyperlink r:id="rId8" w:history="1">
        <w:r w:rsidRPr="00317E7E">
          <w:rPr>
            <w:rStyle w:val="Hyperlink"/>
          </w:rPr>
          <w:t>https://doi.org/10.1038/s41371-022-00692-y</w:t>
        </w:r>
      </w:hyperlink>
      <w:r w:rsidRPr="00317E7E">
        <w:t xml:space="preserve"> </w:t>
      </w:r>
    </w:p>
    <w:p w:rsidR="00317E7E" w:rsidRPr="00317E7E" w:rsidRDefault="00317E7E" w:rsidP="00317E7E">
      <w:pPr>
        <w:spacing w:before="240" w:after="240" w:line="240" w:lineRule="auto"/>
        <w:ind w:left="0" w:firstLine="0"/>
      </w:pPr>
      <w:proofErr w:type="spellStart"/>
      <w:r w:rsidRPr="00317E7E">
        <w:rPr>
          <w:kern w:val="0"/>
          <w:lang w:val="en-US" w:eastAsia="en-US"/>
        </w:rPr>
        <w:t>Anselin</w:t>
      </w:r>
      <w:proofErr w:type="spellEnd"/>
      <w:r w:rsidRPr="00317E7E">
        <w:rPr>
          <w:kern w:val="0"/>
          <w:lang w:val="en-US" w:eastAsia="en-US"/>
        </w:rPr>
        <w:t xml:space="preserve">, L. (1995). Local indicators of spatial association—LISA. </w:t>
      </w:r>
      <w:r w:rsidRPr="00317E7E">
        <w:rPr>
          <w:i/>
          <w:iCs/>
          <w:kern w:val="0"/>
          <w:lang w:val="en-US" w:eastAsia="en-US"/>
        </w:rPr>
        <w:t>Geographical analysis</w:t>
      </w:r>
      <w:r w:rsidRPr="00317E7E">
        <w:rPr>
          <w:kern w:val="0"/>
          <w:lang w:val="en-US" w:eastAsia="en-US"/>
        </w:rPr>
        <w:t xml:space="preserve">, </w:t>
      </w:r>
      <w:r w:rsidRPr="00317E7E">
        <w:rPr>
          <w:i/>
          <w:iCs/>
          <w:kern w:val="0"/>
          <w:lang w:val="en-US" w:eastAsia="en-US"/>
        </w:rPr>
        <w:t>27</w:t>
      </w:r>
      <w:r w:rsidRPr="00317E7E">
        <w:rPr>
          <w:kern w:val="0"/>
          <w:lang w:val="en-US" w:eastAsia="en-US"/>
        </w:rPr>
        <w:t xml:space="preserve">(2), 93-115. </w:t>
      </w:r>
      <w:hyperlink r:id="rId9" w:tgtFrame="_new" w:history="1">
        <w:r w:rsidRPr="00317E7E">
          <w:rPr>
            <w:rStyle w:val="Hyperlink"/>
          </w:rPr>
          <w:t>https://doi.org/10.1111/j.1538-4632.1995.tb00338.x</w:t>
        </w:r>
      </w:hyperlink>
    </w:p>
    <w:p w:rsidR="00317E7E" w:rsidRPr="00317E7E" w:rsidRDefault="00317E7E" w:rsidP="00317E7E">
      <w:pPr>
        <w:spacing w:before="240" w:after="240" w:line="240" w:lineRule="auto"/>
        <w:ind w:left="0" w:firstLine="0"/>
        <w:rPr>
          <w:rStyle w:val="c-bibliographic-informationvalue"/>
        </w:rPr>
      </w:pPr>
      <w:proofErr w:type="spellStart"/>
      <w:r w:rsidRPr="00317E7E">
        <w:rPr>
          <w:lang w:val="en-US"/>
        </w:rPr>
        <w:t>Babu</w:t>
      </w:r>
      <w:proofErr w:type="spellEnd"/>
      <w:r w:rsidRPr="00317E7E">
        <w:rPr>
          <w:lang w:val="en-US"/>
        </w:rPr>
        <w:t xml:space="preserve">, B. V., Hazarika, C. R., Raina, S. K., </w:t>
      </w:r>
      <w:proofErr w:type="spellStart"/>
      <w:r w:rsidRPr="00317E7E">
        <w:rPr>
          <w:lang w:val="en-US"/>
        </w:rPr>
        <w:t>Masoodi</w:t>
      </w:r>
      <w:proofErr w:type="spellEnd"/>
      <w:r w:rsidRPr="00317E7E">
        <w:rPr>
          <w:lang w:val="en-US"/>
        </w:rPr>
        <w:t xml:space="preserve">, S. R., </w:t>
      </w:r>
      <w:proofErr w:type="spellStart"/>
      <w:r w:rsidRPr="00317E7E">
        <w:rPr>
          <w:lang w:val="en-US"/>
        </w:rPr>
        <w:t>Basappa</w:t>
      </w:r>
      <w:proofErr w:type="spellEnd"/>
      <w:r w:rsidRPr="00317E7E">
        <w:rPr>
          <w:lang w:val="en-US"/>
        </w:rPr>
        <w:t xml:space="preserve">, Y. C., Thomas, N., ... &amp; </w:t>
      </w:r>
      <w:proofErr w:type="spellStart"/>
      <w:r w:rsidRPr="00317E7E">
        <w:rPr>
          <w:lang w:val="en-US"/>
        </w:rPr>
        <w:t>Jebasingh</w:t>
      </w:r>
      <w:proofErr w:type="spellEnd"/>
      <w:r w:rsidRPr="00317E7E">
        <w:rPr>
          <w:lang w:val="en-US"/>
        </w:rPr>
        <w:t xml:space="preserve">, F. K. (2024). Hypertension prevalence, awareness, treatment, control and risk factors in tribal population of India: a multi-centric cross-sectional study. </w:t>
      </w:r>
      <w:r w:rsidRPr="00317E7E">
        <w:rPr>
          <w:i/>
          <w:iCs/>
          <w:lang w:val="en-US"/>
        </w:rPr>
        <w:t>Journal of Racial and Ethnic Health Disparities</w:t>
      </w:r>
      <w:r w:rsidRPr="00317E7E">
        <w:rPr>
          <w:lang w:val="en-US"/>
        </w:rPr>
        <w:t xml:space="preserve">, </w:t>
      </w:r>
      <w:r w:rsidRPr="00317E7E">
        <w:rPr>
          <w:i/>
          <w:iCs/>
          <w:lang w:val="en-US"/>
        </w:rPr>
        <w:t>11</w:t>
      </w:r>
      <w:r w:rsidRPr="00317E7E">
        <w:rPr>
          <w:lang w:val="en-US"/>
        </w:rPr>
        <w:t xml:space="preserve">(6), 3678-3689. </w:t>
      </w:r>
      <w:hyperlink r:id="rId10" w:history="1">
        <w:r w:rsidRPr="00317E7E">
          <w:rPr>
            <w:rStyle w:val="Hyperlink"/>
          </w:rPr>
          <w:t>https://doi.org/10.1007/s40615-023-01817-w</w:t>
        </w:r>
      </w:hyperlink>
      <w:r w:rsidRPr="00317E7E">
        <w:rPr>
          <w:rStyle w:val="c-bibliographic-informationvalue"/>
        </w:rPr>
        <w:t xml:space="preserve"> </w:t>
      </w:r>
    </w:p>
    <w:p w:rsidR="00317E7E" w:rsidRPr="00317E7E" w:rsidRDefault="00317E7E" w:rsidP="00317E7E">
      <w:pPr>
        <w:spacing w:before="240" w:after="240" w:line="240" w:lineRule="auto"/>
        <w:ind w:left="0" w:firstLine="0"/>
        <w:rPr>
          <w:lang w:val="en-US"/>
        </w:rPr>
      </w:pPr>
      <w:proofErr w:type="spellStart"/>
      <w:r w:rsidRPr="00317E7E">
        <w:rPr>
          <w:lang w:val="en-US"/>
        </w:rPr>
        <w:lastRenderedPageBreak/>
        <w:t>Basu</w:t>
      </w:r>
      <w:proofErr w:type="spellEnd"/>
      <w:r w:rsidRPr="00317E7E">
        <w:rPr>
          <w:lang w:val="en-US"/>
        </w:rPr>
        <w:t xml:space="preserve">, S., Malik, M., Anand, T., &amp; Singh, A. (2023). Hypertension Control Cascade and Regional Performance in India: A Repeated Cross-Sectional Analysis (2015-2021). </w:t>
      </w:r>
      <w:proofErr w:type="spellStart"/>
      <w:r w:rsidRPr="00317E7E">
        <w:rPr>
          <w:i/>
          <w:iCs/>
          <w:lang w:val="en-US"/>
        </w:rPr>
        <w:t>Cureus</w:t>
      </w:r>
      <w:proofErr w:type="spellEnd"/>
      <w:r w:rsidRPr="00317E7E">
        <w:rPr>
          <w:lang w:val="en-US"/>
        </w:rPr>
        <w:t xml:space="preserve">, </w:t>
      </w:r>
      <w:r w:rsidRPr="00317E7E">
        <w:rPr>
          <w:i/>
          <w:iCs/>
          <w:lang w:val="en-US"/>
        </w:rPr>
        <w:t>15</w:t>
      </w:r>
      <w:r w:rsidRPr="00317E7E">
        <w:rPr>
          <w:lang w:val="en-US"/>
        </w:rPr>
        <w:t xml:space="preserve">(2), e35449. </w:t>
      </w:r>
      <w:hyperlink r:id="rId11" w:history="1">
        <w:r w:rsidRPr="00317E7E">
          <w:rPr>
            <w:rStyle w:val="Hyperlink"/>
            <w:lang w:val="en-US"/>
          </w:rPr>
          <w:t>https://doi.org/10.7759/cureus.35449</w:t>
        </w:r>
      </w:hyperlink>
      <w:r w:rsidRPr="00317E7E">
        <w:rPr>
          <w:lang w:val="en-US"/>
        </w:rPr>
        <w:t xml:space="preserve"> </w:t>
      </w:r>
    </w:p>
    <w:p w:rsidR="00317E7E" w:rsidRPr="00317E7E" w:rsidRDefault="00317E7E" w:rsidP="00317E7E">
      <w:pPr>
        <w:spacing w:before="240" w:after="240" w:line="240" w:lineRule="auto"/>
        <w:ind w:left="0" w:firstLine="0"/>
      </w:pPr>
      <w:proofErr w:type="spellStart"/>
      <w:r w:rsidRPr="00317E7E">
        <w:rPr>
          <w:kern w:val="0"/>
          <w:lang w:val="en-US"/>
        </w:rPr>
        <w:t>Besag</w:t>
      </w:r>
      <w:proofErr w:type="spellEnd"/>
      <w:r w:rsidRPr="00317E7E">
        <w:rPr>
          <w:kern w:val="0"/>
          <w:lang w:val="en-US"/>
        </w:rPr>
        <w:t xml:space="preserve">, J., York, J., &amp; </w:t>
      </w:r>
      <w:proofErr w:type="spellStart"/>
      <w:r w:rsidRPr="00317E7E">
        <w:rPr>
          <w:kern w:val="0"/>
          <w:lang w:val="en-US"/>
        </w:rPr>
        <w:t>Mollié</w:t>
      </w:r>
      <w:proofErr w:type="spellEnd"/>
      <w:r w:rsidRPr="00317E7E">
        <w:rPr>
          <w:kern w:val="0"/>
          <w:lang w:val="en-US"/>
        </w:rPr>
        <w:t xml:space="preserve">, A. (1991). Bayesian image restoration, with two applications in spatial statistics. </w:t>
      </w:r>
      <w:r w:rsidRPr="00317E7E">
        <w:rPr>
          <w:i/>
          <w:iCs/>
          <w:kern w:val="0"/>
          <w:lang w:val="en-US"/>
        </w:rPr>
        <w:t>Annals of the institute of statistical mathematics</w:t>
      </w:r>
      <w:r w:rsidRPr="00317E7E">
        <w:rPr>
          <w:kern w:val="0"/>
          <w:lang w:val="en-US"/>
        </w:rPr>
        <w:t xml:space="preserve">, </w:t>
      </w:r>
      <w:r w:rsidRPr="00317E7E">
        <w:rPr>
          <w:i/>
          <w:iCs/>
          <w:kern w:val="0"/>
          <w:lang w:val="en-US"/>
        </w:rPr>
        <w:t>43</w:t>
      </w:r>
      <w:r w:rsidRPr="00317E7E">
        <w:rPr>
          <w:kern w:val="0"/>
          <w:lang w:val="en-US"/>
        </w:rPr>
        <w:t xml:space="preserve">(1), 1-20. </w:t>
      </w:r>
      <w:hyperlink r:id="rId12" w:history="1">
        <w:r w:rsidRPr="00317E7E">
          <w:rPr>
            <w:rStyle w:val="Hyperlink"/>
          </w:rPr>
          <w:t>https://doi.org/10.1007/BF00116466</w:t>
        </w:r>
      </w:hyperlink>
      <w:r w:rsidRPr="00317E7E">
        <w:t xml:space="preserve"> </w:t>
      </w:r>
    </w:p>
    <w:p w:rsidR="00317E7E" w:rsidRPr="00317E7E" w:rsidRDefault="00317E7E" w:rsidP="00317E7E">
      <w:pPr>
        <w:spacing w:before="240" w:after="240" w:line="240" w:lineRule="auto"/>
        <w:ind w:left="0" w:firstLine="0"/>
      </w:pPr>
      <w:r w:rsidRPr="00317E7E">
        <w:rPr>
          <w:kern w:val="0"/>
          <w:lang w:val="en-US"/>
        </w:rPr>
        <w:t xml:space="preserve">Bhansali, A., </w:t>
      </w:r>
      <w:proofErr w:type="spellStart"/>
      <w:r w:rsidRPr="00317E7E">
        <w:rPr>
          <w:kern w:val="0"/>
          <w:lang w:val="en-US"/>
        </w:rPr>
        <w:t>Dhandania</w:t>
      </w:r>
      <w:proofErr w:type="spellEnd"/>
      <w:r w:rsidRPr="00317E7E">
        <w:rPr>
          <w:kern w:val="0"/>
          <w:lang w:val="en-US"/>
        </w:rPr>
        <w:t xml:space="preserve">, V. K., Deepa, M., Anjana, R. M., Joshi, S. R., Joshi, P. P., ... &amp; </w:t>
      </w:r>
      <w:proofErr w:type="spellStart"/>
      <w:r w:rsidRPr="00317E7E">
        <w:rPr>
          <w:kern w:val="0"/>
          <w:lang w:val="en-US"/>
        </w:rPr>
        <w:t>Pradeepa</w:t>
      </w:r>
      <w:proofErr w:type="spellEnd"/>
      <w:r w:rsidRPr="00317E7E">
        <w:rPr>
          <w:kern w:val="0"/>
          <w:lang w:val="en-US"/>
        </w:rPr>
        <w:t xml:space="preserve">, R. (2015). Prevalence of and risk factors for hypertension in urban and rural India: the ICMR–INDIAB study. </w:t>
      </w:r>
      <w:r w:rsidRPr="00317E7E">
        <w:rPr>
          <w:i/>
          <w:iCs/>
          <w:kern w:val="0"/>
          <w:lang w:val="en-US"/>
        </w:rPr>
        <w:t>Journal of human hypertension</w:t>
      </w:r>
      <w:r w:rsidRPr="00317E7E">
        <w:rPr>
          <w:kern w:val="0"/>
          <w:lang w:val="en-US"/>
        </w:rPr>
        <w:t xml:space="preserve">, </w:t>
      </w:r>
      <w:r w:rsidRPr="00317E7E">
        <w:rPr>
          <w:i/>
          <w:iCs/>
          <w:kern w:val="0"/>
          <w:lang w:val="en-US"/>
        </w:rPr>
        <w:t>29</w:t>
      </w:r>
      <w:r w:rsidRPr="00317E7E">
        <w:rPr>
          <w:kern w:val="0"/>
          <w:lang w:val="en-US"/>
        </w:rPr>
        <w:t xml:space="preserve">(3), 204-209. </w:t>
      </w:r>
      <w:hyperlink r:id="rId13" w:history="1">
        <w:r w:rsidRPr="00317E7E">
          <w:rPr>
            <w:rStyle w:val="Hyperlink"/>
          </w:rPr>
          <w:t>https://doi.org/10.1038/jhh.2014.57</w:t>
        </w:r>
      </w:hyperlink>
      <w:r w:rsidRPr="00317E7E">
        <w:t xml:space="preserve"> </w:t>
      </w:r>
    </w:p>
    <w:p w:rsidR="00317E7E" w:rsidRPr="00317E7E" w:rsidRDefault="00317E7E" w:rsidP="00317E7E">
      <w:pPr>
        <w:spacing w:before="240" w:after="240" w:line="240" w:lineRule="auto"/>
        <w:ind w:left="0" w:firstLine="0"/>
        <w:rPr>
          <w:lang w:val="en-US"/>
        </w:rPr>
      </w:pPr>
      <w:r w:rsidRPr="00317E7E">
        <w:rPr>
          <w:lang w:val="en-US"/>
        </w:rPr>
        <w:t xml:space="preserve">Bora, K., </w:t>
      </w:r>
      <w:proofErr w:type="spellStart"/>
      <w:r w:rsidRPr="00317E7E">
        <w:rPr>
          <w:lang w:val="en-US"/>
        </w:rPr>
        <w:t>Kalimuthusamy</w:t>
      </w:r>
      <w:proofErr w:type="spellEnd"/>
      <w:r w:rsidRPr="00317E7E">
        <w:rPr>
          <w:lang w:val="en-US"/>
        </w:rPr>
        <w:t xml:space="preserve">, N., </w:t>
      </w:r>
      <w:proofErr w:type="spellStart"/>
      <w:r w:rsidRPr="00317E7E">
        <w:rPr>
          <w:lang w:val="en-US"/>
        </w:rPr>
        <w:t>Gogoi</w:t>
      </w:r>
      <w:proofErr w:type="spellEnd"/>
      <w:r w:rsidRPr="00317E7E">
        <w:rPr>
          <w:lang w:val="en-US"/>
        </w:rPr>
        <w:t xml:space="preserve">, A. J., </w:t>
      </w:r>
      <w:proofErr w:type="spellStart"/>
      <w:r w:rsidRPr="00317E7E">
        <w:rPr>
          <w:lang w:val="en-US"/>
        </w:rPr>
        <w:t>Garh</w:t>
      </w:r>
      <w:proofErr w:type="spellEnd"/>
      <w:r w:rsidRPr="00317E7E">
        <w:rPr>
          <w:lang w:val="en-US"/>
        </w:rPr>
        <w:t xml:space="preserve">, N., </w:t>
      </w:r>
      <w:proofErr w:type="spellStart"/>
      <w:r w:rsidRPr="00317E7E">
        <w:rPr>
          <w:lang w:val="en-US"/>
        </w:rPr>
        <w:t>Rabidas</w:t>
      </w:r>
      <w:proofErr w:type="spellEnd"/>
      <w:r w:rsidRPr="00317E7E">
        <w:rPr>
          <w:lang w:val="en-US"/>
        </w:rPr>
        <w:t xml:space="preserve">, M., Chanda, G., Das, R., &amp; Borah, P. K. (2025). A machine learning approach to predict hypertension using cross-sectional &amp; two years follow up data from a health &amp; demographic cohort of Assam, North East India. </w:t>
      </w:r>
      <w:r w:rsidRPr="00317E7E">
        <w:rPr>
          <w:i/>
          <w:iCs/>
          <w:lang w:val="en-US"/>
        </w:rPr>
        <w:t>The Indian journal of medical research</w:t>
      </w:r>
      <w:r w:rsidRPr="00317E7E">
        <w:rPr>
          <w:lang w:val="en-US"/>
        </w:rPr>
        <w:t xml:space="preserve">, </w:t>
      </w:r>
      <w:r w:rsidRPr="00317E7E">
        <w:rPr>
          <w:i/>
          <w:iCs/>
          <w:lang w:val="en-US"/>
        </w:rPr>
        <w:t>161</w:t>
      </w:r>
      <w:r w:rsidRPr="00317E7E">
        <w:rPr>
          <w:lang w:val="en-US"/>
        </w:rPr>
        <w:t xml:space="preserve">(4), 394–405. </w:t>
      </w:r>
      <w:hyperlink r:id="rId14" w:history="1">
        <w:r w:rsidRPr="00317E7E">
          <w:rPr>
            <w:rStyle w:val="Hyperlink"/>
            <w:lang w:val="en-US"/>
          </w:rPr>
          <w:t>https://doi.org/10.25259/IJMR_881_2024</w:t>
        </w:r>
      </w:hyperlink>
      <w:r w:rsidRPr="00317E7E">
        <w:rPr>
          <w:lang w:val="en-US"/>
        </w:rPr>
        <w:t xml:space="preserve"> </w:t>
      </w:r>
    </w:p>
    <w:p w:rsidR="00317E7E" w:rsidRPr="00317E7E" w:rsidRDefault="00317E7E" w:rsidP="00317E7E">
      <w:pPr>
        <w:spacing w:before="240" w:after="240" w:line="240" w:lineRule="auto"/>
        <w:ind w:left="0" w:firstLine="0"/>
      </w:pPr>
      <w:proofErr w:type="spellStart"/>
      <w:r w:rsidRPr="00317E7E">
        <w:rPr>
          <w:kern w:val="0"/>
          <w:lang w:val="en-US"/>
        </w:rPr>
        <w:t>Chobanian</w:t>
      </w:r>
      <w:proofErr w:type="spellEnd"/>
      <w:r w:rsidRPr="00317E7E">
        <w:rPr>
          <w:kern w:val="0"/>
          <w:lang w:val="en-US"/>
        </w:rPr>
        <w:t xml:space="preserve">, A. V., </w:t>
      </w:r>
      <w:proofErr w:type="spellStart"/>
      <w:r w:rsidRPr="00317E7E">
        <w:rPr>
          <w:kern w:val="0"/>
          <w:lang w:val="en-US"/>
        </w:rPr>
        <w:t>Bakris</w:t>
      </w:r>
      <w:proofErr w:type="spellEnd"/>
      <w:r w:rsidRPr="00317E7E">
        <w:rPr>
          <w:kern w:val="0"/>
          <w:lang w:val="en-US"/>
        </w:rPr>
        <w:t xml:space="preserve">, G. L., Black, H. R., Cushman, W. C., Green, L. A., Izzo Jr, J. L., ... &amp; National High Blood Pressure Education Program Coordinating Committee. (2003). The seventh report of the joint national committee on prevention, detection, evaluation, and treatment of high blood pressure: the JNC 7 report. </w:t>
      </w:r>
      <w:r w:rsidRPr="00317E7E">
        <w:rPr>
          <w:i/>
          <w:iCs/>
          <w:kern w:val="0"/>
          <w:lang w:val="en-US"/>
        </w:rPr>
        <w:t>Jama</w:t>
      </w:r>
      <w:r w:rsidRPr="00317E7E">
        <w:rPr>
          <w:kern w:val="0"/>
          <w:lang w:val="en-US"/>
        </w:rPr>
        <w:t xml:space="preserve">, </w:t>
      </w:r>
      <w:r w:rsidRPr="00317E7E">
        <w:rPr>
          <w:i/>
          <w:iCs/>
          <w:kern w:val="0"/>
          <w:lang w:val="en-US"/>
        </w:rPr>
        <w:t>289</w:t>
      </w:r>
      <w:r w:rsidRPr="00317E7E">
        <w:rPr>
          <w:kern w:val="0"/>
          <w:lang w:val="en-US"/>
        </w:rPr>
        <w:t xml:space="preserve">(19), 2560-2571. </w:t>
      </w:r>
      <w:hyperlink r:id="rId15" w:history="1">
        <w:r w:rsidRPr="00317E7E">
          <w:rPr>
            <w:rStyle w:val="Hyperlink"/>
          </w:rPr>
          <w:t>https://doi.org/10.1001/jama.289.19.2560</w:t>
        </w:r>
      </w:hyperlink>
      <w:r w:rsidRPr="00317E7E">
        <w:t xml:space="preserve"> </w:t>
      </w:r>
    </w:p>
    <w:p w:rsidR="00317E7E" w:rsidRPr="00317E7E" w:rsidRDefault="00317E7E" w:rsidP="00317E7E">
      <w:pPr>
        <w:spacing w:before="240" w:after="240" w:line="240" w:lineRule="auto"/>
        <w:ind w:left="0" w:firstLine="0"/>
        <w:rPr>
          <w:lang w:val="en-US"/>
        </w:rPr>
      </w:pPr>
      <w:r w:rsidRPr="00317E7E">
        <w:rPr>
          <w:lang w:val="en-US"/>
        </w:rPr>
        <w:t xml:space="preserve">Daniel, R. A., </w:t>
      </w:r>
      <w:proofErr w:type="spellStart"/>
      <w:r w:rsidRPr="00317E7E">
        <w:rPr>
          <w:lang w:val="en-US"/>
        </w:rPr>
        <w:t>Haldar</w:t>
      </w:r>
      <w:proofErr w:type="spellEnd"/>
      <w:r w:rsidRPr="00317E7E">
        <w:rPr>
          <w:lang w:val="en-US"/>
        </w:rPr>
        <w:t xml:space="preserve">, P., Prasad, M., Kant, S., Krishnan, A., Gupta, S. K., &amp; Kumar, R. (2020). Prevalence of hypertension among adolescents (10-19 years) in India: A systematic review and meta-analysis of cross-sectional studies. </w:t>
      </w:r>
      <w:proofErr w:type="spellStart"/>
      <w:r w:rsidRPr="00317E7E">
        <w:rPr>
          <w:i/>
          <w:iCs/>
          <w:lang w:val="en-US"/>
        </w:rPr>
        <w:t>PLoS</w:t>
      </w:r>
      <w:proofErr w:type="spellEnd"/>
      <w:r w:rsidRPr="00317E7E">
        <w:rPr>
          <w:i/>
          <w:iCs/>
          <w:lang w:val="en-US"/>
        </w:rPr>
        <w:t xml:space="preserve"> One</w:t>
      </w:r>
      <w:r w:rsidRPr="00317E7E">
        <w:rPr>
          <w:lang w:val="en-US"/>
        </w:rPr>
        <w:t xml:space="preserve">, </w:t>
      </w:r>
      <w:r w:rsidRPr="00317E7E">
        <w:rPr>
          <w:i/>
          <w:iCs/>
          <w:lang w:val="en-US"/>
        </w:rPr>
        <w:t>15</w:t>
      </w:r>
      <w:r w:rsidRPr="00317E7E">
        <w:rPr>
          <w:lang w:val="en-US"/>
        </w:rPr>
        <w:t xml:space="preserve">(10), e0239929. </w:t>
      </w:r>
      <w:hyperlink r:id="rId16" w:history="1">
        <w:r w:rsidRPr="00317E7E">
          <w:rPr>
            <w:rStyle w:val="Hyperlink"/>
            <w:lang w:val="en-US"/>
          </w:rPr>
          <w:t>https://doi.org/10.1371/journal.pone.0239929</w:t>
        </w:r>
      </w:hyperlink>
      <w:r w:rsidRPr="00317E7E">
        <w:rPr>
          <w:lang w:val="en-US"/>
        </w:rPr>
        <w:t xml:space="preserve"> </w:t>
      </w:r>
    </w:p>
    <w:p w:rsidR="00317E7E" w:rsidRPr="00317E7E" w:rsidRDefault="00317E7E" w:rsidP="00317E7E">
      <w:pPr>
        <w:spacing w:before="240" w:after="240" w:line="240" w:lineRule="auto"/>
        <w:ind w:left="0" w:firstLine="0"/>
      </w:pPr>
      <w:proofErr w:type="spellStart"/>
      <w:r w:rsidRPr="00317E7E">
        <w:rPr>
          <w:kern w:val="0"/>
          <w:lang w:val="en-US"/>
        </w:rPr>
        <w:t>Getis</w:t>
      </w:r>
      <w:proofErr w:type="spellEnd"/>
      <w:r w:rsidRPr="00317E7E">
        <w:rPr>
          <w:kern w:val="0"/>
          <w:lang w:val="en-US"/>
        </w:rPr>
        <w:t xml:space="preserve">, A., &amp; Ord, J. K. (1992). The analysis of spatial association by use of distance statistics. </w:t>
      </w:r>
      <w:r w:rsidRPr="00317E7E">
        <w:rPr>
          <w:i/>
          <w:iCs/>
          <w:kern w:val="0"/>
          <w:lang w:val="en-US"/>
        </w:rPr>
        <w:t>Geographical analysis</w:t>
      </w:r>
      <w:r w:rsidRPr="00317E7E">
        <w:rPr>
          <w:kern w:val="0"/>
          <w:lang w:val="en-US"/>
        </w:rPr>
        <w:t xml:space="preserve">, </w:t>
      </w:r>
      <w:r w:rsidRPr="00317E7E">
        <w:rPr>
          <w:i/>
          <w:iCs/>
          <w:kern w:val="0"/>
          <w:lang w:val="en-US"/>
        </w:rPr>
        <w:t>24</w:t>
      </w:r>
      <w:r w:rsidRPr="00317E7E">
        <w:rPr>
          <w:kern w:val="0"/>
          <w:lang w:val="en-US"/>
        </w:rPr>
        <w:t xml:space="preserve">(3), 189-206. </w:t>
      </w:r>
      <w:hyperlink r:id="rId17" w:tgtFrame="_new" w:history="1">
        <w:r w:rsidRPr="00317E7E">
          <w:rPr>
            <w:rStyle w:val="Hyperlink"/>
          </w:rPr>
          <w:t>https://doi.org/10.1111/j.1538-4632.1992.tb00261.x</w:t>
        </w:r>
      </w:hyperlink>
    </w:p>
    <w:p w:rsidR="00317E7E" w:rsidRPr="00317E7E" w:rsidRDefault="00317E7E" w:rsidP="00317E7E">
      <w:pPr>
        <w:spacing w:before="240" w:after="240" w:line="240" w:lineRule="auto"/>
        <w:ind w:left="0" w:firstLine="0"/>
      </w:pPr>
      <w:r w:rsidRPr="00317E7E">
        <w:rPr>
          <w:kern w:val="0"/>
          <w:lang w:val="en-US"/>
        </w:rPr>
        <w:t xml:space="preserve">Ghosh, S., &amp; Kumar, M. (2019). Prevalence and associated risk factors of hypertension among persons aged 15–49 in India: a cross-sectional study. </w:t>
      </w:r>
      <w:r w:rsidRPr="00317E7E">
        <w:rPr>
          <w:i/>
          <w:iCs/>
          <w:kern w:val="0"/>
          <w:lang w:val="en-US"/>
        </w:rPr>
        <w:t>BMJ open</w:t>
      </w:r>
      <w:r w:rsidRPr="00317E7E">
        <w:rPr>
          <w:kern w:val="0"/>
          <w:lang w:val="en-US"/>
        </w:rPr>
        <w:t xml:space="preserve">, </w:t>
      </w:r>
      <w:r w:rsidRPr="00317E7E">
        <w:rPr>
          <w:i/>
          <w:iCs/>
          <w:kern w:val="0"/>
          <w:lang w:val="en-US"/>
        </w:rPr>
        <w:t>9</w:t>
      </w:r>
      <w:r w:rsidRPr="00317E7E">
        <w:rPr>
          <w:kern w:val="0"/>
          <w:lang w:val="en-US"/>
        </w:rPr>
        <w:t xml:space="preserve">(12), e029714. </w:t>
      </w:r>
      <w:hyperlink r:id="rId18" w:history="1">
        <w:r w:rsidRPr="00317E7E">
          <w:rPr>
            <w:rStyle w:val="Hyperlink"/>
          </w:rPr>
          <w:t>https://doi.org/10.1136/bmjopen-2019-029714</w:t>
        </w:r>
      </w:hyperlink>
      <w:r w:rsidRPr="00317E7E">
        <w:t xml:space="preserve"> </w:t>
      </w:r>
    </w:p>
    <w:p w:rsidR="00317E7E" w:rsidRPr="00317E7E" w:rsidRDefault="00317E7E" w:rsidP="00317E7E">
      <w:pPr>
        <w:spacing w:before="240" w:after="240" w:line="240" w:lineRule="auto"/>
        <w:ind w:left="0" w:firstLine="0"/>
        <w:rPr>
          <w:lang w:val="en-US"/>
        </w:rPr>
      </w:pPr>
      <w:r w:rsidRPr="00317E7E">
        <w:rPr>
          <w:lang w:val="en-US"/>
        </w:rPr>
        <w:t xml:space="preserve">Ghosh, S., &amp; </w:t>
      </w:r>
      <w:proofErr w:type="spellStart"/>
      <w:r w:rsidRPr="00317E7E">
        <w:rPr>
          <w:lang w:val="en-US"/>
        </w:rPr>
        <w:t>Peseyie</w:t>
      </w:r>
      <w:proofErr w:type="spellEnd"/>
      <w:r w:rsidRPr="00317E7E">
        <w:rPr>
          <w:lang w:val="en-US"/>
        </w:rPr>
        <w:t>, V. (2022). Prevalence of hypertension among the indigenous population in North‐East India: Is this a consequence of “nutritional transition</w:t>
      </w:r>
      <w:proofErr w:type="gramStart"/>
      <w:r w:rsidRPr="00317E7E">
        <w:rPr>
          <w:lang w:val="en-US"/>
        </w:rPr>
        <w:t>”?.</w:t>
      </w:r>
      <w:proofErr w:type="gramEnd"/>
      <w:r w:rsidRPr="00317E7E">
        <w:rPr>
          <w:lang w:val="en-US"/>
        </w:rPr>
        <w:t xml:space="preserve"> </w:t>
      </w:r>
      <w:r w:rsidRPr="00317E7E">
        <w:rPr>
          <w:i/>
          <w:iCs/>
          <w:lang w:val="en-US"/>
        </w:rPr>
        <w:t>American Journal of Human Biology</w:t>
      </w:r>
      <w:r w:rsidRPr="00317E7E">
        <w:rPr>
          <w:lang w:val="en-US"/>
        </w:rPr>
        <w:t xml:space="preserve">, </w:t>
      </w:r>
      <w:r w:rsidRPr="00317E7E">
        <w:rPr>
          <w:i/>
          <w:iCs/>
          <w:lang w:val="en-US"/>
        </w:rPr>
        <w:t>34</w:t>
      </w:r>
      <w:r w:rsidRPr="00317E7E">
        <w:rPr>
          <w:lang w:val="en-US"/>
        </w:rPr>
        <w:t xml:space="preserve">(10), e23789. </w:t>
      </w:r>
      <w:hyperlink r:id="rId19" w:history="1">
        <w:r w:rsidRPr="00317E7E">
          <w:rPr>
            <w:rStyle w:val="Hyperlink"/>
            <w:lang w:val="en-US"/>
          </w:rPr>
          <w:t>https://doi.org/10.1002/ajhb.23789</w:t>
        </w:r>
      </w:hyperlink>
      <w:r w:rsidRPr="00317E7E">
        <w:rPr>
          <w:lang w:val="en-US"/>
        </w:rPr>
        <w:t xml:space="preserve"> </w:t>
      </w:r>
    </w:p>
    <w:p w:rsidR="00317E7E" w:rsidRPr="00317E7E" w:rsidRDefault="00317E7E" w:rsidP="00317E7E">
      <w:pPr>
        <w:spacing w:before="240" w:after="240" w:line="240" w:lineRule="auto"/>
        <w:ind w:left="0" w:firstLine="0"/>
      </w:pPr>
      <w:r w:rsidRPr="00317E7E">
        <w:rPr>
          <w:kern w:val="0"/>
          <w:lang w:val="en-US"/>
        </w:rPr>
        <w:t xml:space="preserve">Gupta, K., Jain, V., Qamar, A., </w:t>
      </w:r>
      <w:proofErr w:type="spellStart"/>
      <w:r w:rsidRPr="00317E7E">
        <w:rPr>
          <w:kern w:val="0"/>
          <w:lang w:val="en-US"/>
        </w:rPr>
        <w:t>Singal</w:t>
      </w:r>
      <w:proofErr w:type="spellEnd"/>
      <w:r w:rsidRPr="00317E7E">
        <w:rPr>
          <w:kern w:val="0"/>
          <w:lang w:val="en-US"/>
        </w:rPr>
        <w:t xml:space="preserve">, A. K., Ramakrishnan, S., Gupta, R., &amp; Bajaj, N. S. (2021). Regional impact of updated guidelines on prevalence and distribution of blood pressure categories for hypertension in India: results from the National Family Health Survey 4. </w:t>
      </w:r>
      <w:r w:rsidRPr="00317E7E">
        <w:rPr>
          <w:i/>
          <w:iCs/>
          <w:kern w:val="0"/>
          <w:lang w:val="en-US"/>
        </w:rPr>
        <w:t>Indian Heart Journal</w:t>
      </w:r>
      <w:r w:rsidRPr="00317E7E">
        <w:rPr>
          <w:kern w:val="0"/>
          <w:lang w:val="en-US"/>
        </w:rPr>
        <w:t xml:space="preserve">, </w:t>
      </w:r>
      <w:r w:rsidRPr="00317E7E">
        <w:rPr>
          <w:i/>
          <w:iCs/>
          <w:kern w:val="0"/>
          <w:lang w:val="en-US"/>
        </w:rPr>
        <w:t>73</w:t>
      </w:r>
      <w:r w:rsidRPr="00317E7E">
        <w:rPr>
          <w:kern w:val="0"/>
          <w:lang w:val="en-US"/>
        </w:rPr>
        <w:t xml:space="preserve">(4), 481-486. </w:t>
      </w:r>
      <w:hyperlink r:id="rId20" w:history="1">
        <w:r w:rsidRPr="00317E7E">
          <w:rPr>
            <w:rStyle w:val="Hyperlink"/>
          </w:rPr>
          <w:t>https://doi.org/10.1016/j.ihj.2021.06.004</w:t>
        </w:r>
      </w:hyperlink>
      <w:r w:rsidRPr="00317E7E">
        <w:t xml:space="preserve"> </w:t>
      </w:r>
    </w:p>
    <w:p w:rsidR="00317E7E" w:rsidRPr="00317E7E" w:rsidRDefault="00317E7E" w:rsidP="00317E7E">
      <w:pPr>
        <w:spacing w:before="240" w:after="240" w:line="240" w:lineRule="auto"/>
        <w:ind w:left="0" w:firstLine="0"/>
      </w:pPr>
      <w:proofErr w:type="spellStart"/>
      <w:r w:rsidRPr="00317E7E">
        <w:rPr>
          <w:kern w:val="0"/>
          <w:lang w:val="en-US"/>
        </w:rPr>
        <w:t>Guthi</w:t>
      </w:r>
      <w:proofErr w:type="spellEnd"/>
      <w:r w:rsidRPr="00317E7E">
        <w:rPr>
          <w:kern w:val="0"/>
          <w:lang w:val="en-US"/>
        </w:rPr>
        <w:t xml:space="preserve">, V. R., Kumar, D. S., Kumar, S., </w:t>
      </w:r>
      <w:proofErr w:type="spellStart"/>
      <w:r w:rsidRPr="00317E7E">
        <w:rPr>
          <w:kern w:val="0"/>
          <w:lang w:val="en-US"/>
        </w:rPr>
        <w:t>Kondagunta</w:t>
      </w:r>
      <w:proofErr w:type="spellEnd"/>
      <w:r w:rsidRPr="00317E7E">
        <w:rPr>
          <w:kern w:val="0"/>
          <w:lang w:val="en-US"/>
        </w:rPr>
        <w:t xml:space="preserve">, N., Raj, S., Goel, S., &amp; </w:t>
      </w:r>
      <w:proofErr w:type="spellStart"/>
      <w:r w:rsidRPr="00317E7E">
        <w:rPr>
          <w:kern w:val="0"/>
          <w:lang w:val="en-US"/>
        </w:rPr>
        <w:t>Ojah</w:t>
      </w:r>
      <w:proofErr w:type="spellEnd"/>
      <w:r w:rsidRPr="00317E7E">
        <w:rPr>
          <w:kern w:val="0"/>
          <w:lang w:val="en-US"/>
        </w:rPr>
        <w:t xml:space="preserve">, P. (2024). Hypertension treatment cascade among men and women of reproductive age group in India: analysis of National Family Health Survey-5 (2019–2021). </w:t>
      </w:r>
      <w:r w:rsidRPr="00317E7E">
        <w:rPr>
          <w:i/>
          <w:iCs/>
          <w:kern w:val="0"/>
          <w:lang w:val="en-US"/>
        </w:rPr>
        <w:t>The Lancet Regional Health-Southeast Asia</w:t>
      </w:r>
      <w:r w:rsidRPr="00317E7E">
        <w:rPr>
          <w:kern w:val="0"/>
          <w:lang w:val="en-US"/>
        </w:rPr>
        <w:t xml:space="preserve">, </w:t>
      </w:r>
      <w:r w:rsidRPr="00317E7E">
        <w:rPr>
          <w:i/>
          <w:iCs/>
          <w:kern w:val="0"/>
          <w:lang w:val="en-US"/>
        </w:rPr>
        <w:t>23</w:t>
      </w:r>
      <w:r w:rsidRPr="00317E7E">
        <w:rPr>
          <w:kern w:val="0"/>
          <w:lang w:val="en-US"/>
        </w:rPr>
        <w:t xml:space="preserve">. </w:t>
      </w:r>
      <w:hyperlink r:id="rId21" w:history="1">
        <w:r w:rsidRPr="00317E7E">
          <w:rPr>
            <w:rStyle w:val="Hyperlink"/>
          </w:rPr>
          <w:t>https://doi.org/10.1016/j.lansea.2023.100271</w:t>
        </w:r>
      </w:hyperlink>
      <w:r w:rsidRPr="00317E7E">
        <w:t xml:space="preserve"> </w:t>
      </w:r>
    </w:p>
    <w:p w:rsidR="00317E7E" w:rsidRPr="00317E7E" w:rsidRDefault="00317E7E" w:rsidP="00317E7E">
      <w:pPr>
        <w:spacing w:before="240" w:after="240" w:line="240" w:lineRule="auto"/>
        <w:ind w:left="0" w:firstLine="0"/>
      </w:pPr>
      <w:r w:rsidRPr="00317E7E">
        <w:rPr>
          <w:kern w:val="0"/>
          <w:lang w:val="en-US"/>
        </w:rPr>
        <w:lastRenderedPageBreak/>
        <w:t xml:space="preserve">Jain, A., </w:t>
      </w:r>
      <w:proofErr w:type="spellStart"/>
      <w:r w:rsidRPr="00317E7E">
        <w:rPr>
          <w:kern w:val="0"/>
          <w:lang w:val="en-US"/>
        </w:rPr>
        <w:t>Ambade</w:t>
      </w:r>
      <w:proofErr w:type="spellEnd"/>
      <w:r w:rsidRPr="00317E7E">
        <w:rPr>
          <w:kern w:val="0"/>
          <w:lang w:val="en-US"/>
        </w:rPr>
        <w:t xml:space="preserve">, M., </w:t>
      </w:r>
      <w:proofErr w:type="spellStart"/>
      <w:r w:rsidRPr="00317E7E">
        <w:rPr>
          <w:kern w:val="0"/>
          <w:lang w:val="en-US"/>
        </w:rPr>
        <w:t>Balla</w:t>
      </w:r>
      <w:proofErr w:type="spellEnd"/>
      <w:r w:rsidRPr="00317E7E">
        <w:rPr>
          <w:kern w:val="0"/>
          <w:lang w:val="en-US"/>
        </w:rPr>
        <w:t xml:space="preserve">, S., Pal, A., Rajpal, S., Kim, R., &amp; Subramanian, S. V. (2025). Measuring changes in prevalence of hypertension and diabetes across 720 districts in India using cross-sectional data from 2016 to 2021. </w:t>
      </w:r>
      <w:r w:rsidRPr="00317E7E">
        <w:rPr>
          <w:i/>
          <w:iCs/>
          <w:kern w:val="0"/>
          <w:lang w:val="en-US"/>
        </w:rPr>
        <w:t>BMJ Public Health</w:t>
      </w:r>
      <w:r w:rsidRPr="00317E7E">
        <w:rPr>
          <w:kern w:val="0"/>
          <w:lang w:val="en-US"/>
        </w:rPr>
        <w:t xml:space="preserve">, </w:t>
      </w:r>
      <w:r w:rsidRPr="00317E7E">
        <w:rPr>
          <w:i/>
          <w:iCs/>
          <w:kern w:val="0"/>
          <w:lang w:val="en-US"/>
        </w:rPr>
        <w:t>3</w:t>
      </w:r>
      <w:r w:rsidRPr="00317E7E">
        <w:rPr>
          <w:kern w:val="0"/>
          <w:lang w:val="en-US"/>
        </w:rPr>
        <w:t xml:space="preserve">(2). </w:t>
      </w:r>
      <w:hyperlink r:id="rId22" w:history="1">
        <w:r w:rsidRPr="00317E7E">
          <w:rPr>
            <w:rStyle w:val="Hyperlink"/>
          </w:rPr>
          <w:t>https://doi.org/10.1136/bmjph-2025-002653</w:t>
        </w:r>
      </w:hyperlink>
      <w:r w:rsidRPr="00317E7E">
        <w:t xml:space="preserve"> </w:t>
      </w:r>
    </w:p>
    <w:p w:rsidR="00317E7E" w:rsidRPr="00317E7E" w:rsidRDefault="00317E7E" w:rsidP="00317E7E">
      <w:pPr>
        <w:spacing w:before="240" w:after="240" w:line="240" w:lineRule="auto"/>
        <w:ind w:left="0" w:firstLine="0"/>
      </w:pPr>
      <w:r w:rsidRPr="00317E7E">
        <w:rPr>
          <w:kern w:val="0"/>
          <w:lang w:val="en-US"/>
        </w:rPr>
        <w:t xml:space="preserve">Kearney, P. M., </w:t>
      </w:r>
      <w:proofErr w:type="spellStart"/>
      <w:r w:rsidRPr="00317E7E">
        <w:rPr>
          <w:kern w:val="0"/>
          <w:lang w:val="en-US"/>
        </w:rPr>
        <w:t>Whelton</w:t>
      </w:r>
      <w:proofErr w:type="spellEnd"/>
      <w:r w:rsidRPr="00317E7E">
        <w:rPr>
          <w:kern w:val="0"/>
          <w:lang w:val="en-US"/>
        </w:rPr>
        <w:t xml:space="preserve">, M., Reynolds, K., </w:t>
      </w:r>
      <w:proofErr w:type="spellStart"/>
      <w:r w:rsidRPr="00317E7E">
        <w:rPr>
          <w:kern w:val="0"/>
          <w:lang w:val="en-US"/>
        </w:rPr>
        <w:t>Muntner</w:t>
      </w:r>
      <w:proofErr w:type="spellEnd"/>
      <w:r w:rsidRPr="00317E7E">
        <w:rPr>
          <w:kern w:val="0"/>
          <w:lang w:val="en-US"/>
        </w:rPr>
        <w:t xml:space="preserve">, P., </w:t>
      </w:r>
      <w:proofErr w:type="spellStart"/>
      <w:r w:rsidRPr="00317E7E">
        <w:rPr>
          <w:kern w:val="0"/>
          <w:lang w:val="en-US"/>
        </w:rPr>
        <w:t>Whelton</w:t>
      </w:r>
      <w:proofErr w:type="spellEnd"/>
      <w:r w:rsidRPr="00317E7E">
        <w:rPr>
          <w:kern w:val="0"/>
          <w:lang w:val="en-US"/>
        </w:rPr>
        <w:t xml:space="preserve">, P. K., &amp; He, J. (2005). Global burden of hypertension: analysis of worldwide data. </w:t>
      </w:r>
      <w:r w:rsidRPr="00317E7E">
        <w:rPr>
          <w:i/>
          <w:iCs/>
          <w:kern w:val="0"/>
          <w:lang w:val="en-US"/>
        </w:rPr>
        <w:t>The lancet</w:t>
      </w:r>
      <w:r w:rsidRPr="00317E7E">
        <w:rPr>
          <w:kern w:val="0"/>
          <w:lang w:val="en-US"/>
        </w:rPr>
        <w:t xml:space="preserve">, </w:t>
      </w:r>
      <w:r w:rsidRPr="00317E7E">
        <w:rPr>
          <w:i/>
          <w:iCs/>
          <w:kern w:val="0"/>
          <w:lang w:val="en-US"/>
        </w:rPr>
        <w:t>365</w:t>
      </w:r>
      <w:r w:rsidRPr="00317E7E">
        <w:rPr>
          <w:kern w:val="0"/>
          <w:lang w:val="en-US"/>
        </w:rPr>
        <w:t xml:space="preserve">(9455), 217-223. </w:t>
      </w:r>
      <w:hyperlink r:id="rId23" w:history="1">
        <w:r w:rsidRPr="00317E7E">
          <w:rPr>
            <w:rStyle w:val="Hyperlink"/>
          </w:rPr>
          <w:t>https://doi.org/10.1016/S0140-6736(05)17741-1</w:t>
        </w:r>
      </w:hyperlink>
      <w:r w:rsidRPr="00317E7E">
        <w:t xml:space="preserve"> </w:t>
      </w:r>
    </w:p>
    <w:p w:rsidR="00317E7E" w:rsidRPr="00317E7E" w:rsidRDefault="00317E7E" w:rsidP="00317E7E">
      <w:pPr>
        <w:pStyle w:val="NormalWeb"/>
        <w:spacing w:before="240" w:beforeAutospacing="0" w:after="240" w:afterAutospacing="0"/>
      </w:pPr>
      <w:proofErr w:type="spellStart"/>
      <w:r w:rsidRPr="00317E7E">
        <w:t>Kulldorff</w:t>
      </w:r>
      <w:proofErr w:type="spellEnd"/>
      <w:r w:rsidRPr="00317E7E">
        <w:t xml:space="preserve">, M. (1997). A spatial scan statistic. </w:t>
      </w:r>
      <w:r w:rsidRPr="00317E7E">
        <w:rPr>
          <w:rStyle w:val="Emphasis"/>
        </w:rPr>
        <w:t>Communications in Statistics—Theory and Methods, 26</w:t>
      </w:r>
      <w:r w:rsidRPr="00317E7E">
        <w:t xml:space="preserve">(6), 1481–1496. </w:t>
      </w:r>
      <w:hyperlink r:id="rId24" w:history="1">
        <w:r w:rsidRPr="00317E7E">
          <w:rPr>
            <w:rStyle w:val="Hyperlink"/>
          </w:rPr>
          <w:t>https://doi.org/10.1080/03610929708831995</w:t>
        </w:r>
      </w:hyperlink>
      <w:r w:rsidRPr="00317E7E">
        <w:t xml:space="preserve"> </w:t>
      </w:r>
    </w:p>
    <w:p w:rsidR="00317E7E" w:rsidRPr="00317E7E" w:rsidRDefault="00317E7E" w:rsidP="00317E7E">
      <w:pPr>
        <w:spacing w:before="240" w:after="240" w:line="240" w:lineRule="auto"/>
        <w:ind w:left="0" w:firstLine="0"/>
        <w:rPr>
          <w:lang w:val="en-US"/>
        </w:rPr>
      </w:pPr>
      <w:proofErr w:type="spellStart"/>
      <w:r w:rsidRPr="00317E7E">
        <w:rPr>
          <w:lang w:val="en-US"/>
        </w:rPr>
        <w:t>Lalnuneng</w:t>
      </w:r>
      <w:proofErr w:type="spellEnd"/>
      <w:r w:rsidRPr="00317E7E">
        <w:rPr>
          <w:lang w:val="en-US"/>
        </w:rPr>
        <w:t xml:space="preserve">, A. (2022). Age variation in blood pressure: Rural–urban and sex differences among the Hmar adults of Manipur, Northeast India. </w:t>
      </w:r>
      <w:r w:rsidRPr="00317E7E">
        <w:rPr>
          <w:i/>
          <w:iCs/>
          <w:lang w:val="en-US"/>
        </w:rPr>
        <w:t>American Journal of Human Biology</w:t>
      </w:r>
      <w:r w:rsidRPr="00317E7E">
        <w:rPr>
          <w:lang w:val="en-US"/>
        </w:rPr>
        <w:t xml:space="preserve">, </w:t>
      </w:r>
      <w:r w:rsidRPr="00317E7E">
        <w:rPr>
          <w:i/>
          <w:iCs/>
          <w:lang w:val="en-US"/>
        </w:rPr>
        <w:t>34</w:t>
      </w:r>
      <w:r w:rsidRPr="00317E7E">
        <w:rPr>
          <w:lang w:val="en-US"/>
        </w:rPr>
        <w:t xml:space="preserve">(3), e23656. </w:t>
      </w:r>
      <w:hyperlink r:id="rId25" w:history="1">
        <w:r w:rsidRPr="00317E7E">
          <w:rPr>
            <w:rStyle w:val="Hyperlink"/>
            <w:lang w:val="en-US"/>
          </w:rPr>
          <w:t>https://doi.org/10.1002/ajhb.23656</w:t>
        </w:r>
      </w:hyperlink>
      <w:r w:rsidRPr="00317E7E">
        <w:rPr>
          <w:lang w:val="en-US"/>
        </w:rPr>
        <w:t xml:space="preserve"> </w:t>
      </w:r>
    </w:p>
    <w:p w:rsidR="00317E7E" w:rsidRPr="00317E7E" w:rsidRDefault="00317E7E" w:rsidP="00317E7E">
      <w:pPr>
        <w:spacing w:before="240" w:after="240" w:line="240" w:lineRule="auto"/>
        <w:ind w:left="0" w:firstLine="0"/>
      </w:pPr>
      <w:proofErr w:type="spellStart"/>
      <w:r w:rsidRPr="00317E7E">
        <w:rPr>
          <w:kern w:val="0"/>
          <w:lang w:val="en-US"/>
        </w:rPr>
        <w:t>Meshram</w:t>
      </w:r>
      <w:proofErr w:type="spellEnd"/>
      <w:r w:rsidRPr="00317E7E">
        <w:rPr>
          <w:kern w:val="0"/>
          <w:lang w:val="en-US"/>
        </w:rPr>
        <w:t xml:space="preserve">, I. I., Rao, M. V. V., Rao, V. S., </w:t>
      </w:r>
      <w:proofErr w:type="spellStart"/>
      <w:r w:rsidRPr="00317E7E">
        <w:rPr>
          <w:kern w:val="0"/>
          <w:lang w:val="en-US"/>
        </w:rPr>
        <w:t>Laxmaiah</w:t>
      </w:r>
      <w:proofErr w:type="spellEnd"/>
      <w:r w:rsidRPr="00317E7E">
        <w:rPr>
          <w:kern w:val="0"/>
          <w:lang w:val="en-US"/>
        </w:rPr>
        <w:t xml:space="preserve">, A., &amp; </w:t>
      </w:r>
      <w:proofErr w:type="spellStart"/>
      <w:r w:rsidRPr="00317E7E">
        <w:rPr>
          <w:kern w:val="0"/>
          <w:lang w:val="en-US"/>
        </w:rPr>
        <w:t>Polasa</w:t>
      </w:r>
      <w:proofErr w:type="spellEnd"/>
      <w:r w:rsidRPr="00317E7E">
        <w:rPr>
          <w:kern w:val="0"/>
          <w:lang w:val="en-US"/>
        </w:rPr>
        <w:t xml:space="preserve">, K. (2016). Regional variation in the prevalence of overweight/obesity, hypertension and diabetes and their correlates among the adult rural population in India. </w:t>
      </w:r>
      <w:r w:rsidRPr="00317E7E">
        <w:rPr>
          <w:i/>
          <w:iCs/>
          <w:kern w:val="0"/>
          <w:lang w:val="en-US"/>
        </w:rPr>
        <w:t>British journal of nutrition</w:t>
      </w:r>
      <w:r w:rsidRPr="00317E7E">
        <w:rPr>
          <w:kern w:val="0"/>
          <w:lang w:val="en-US"/>
        </w:rPr>
        <w:t xml:space="preserve">, </w:t>
      </w:r>
      <w:r w:rsidRPr="00317E7E">
        <w:rPr>
          <w:i/>
          <w:iCs/>
          <w:kern w:val="0"/>
          <w:lang w:val="en-US"/>
        </w:rPr>
        <w:t>115</w:t>
      </w:r>
      <w:r w:rsidRPr="00317E7E">
        <w:rPr>
          <w:kern w:val="0"/>
          <w:lang w:val="en-US"/>
        </w:rPr>
        <w:t xml:space="preserve">(7), 1265-1272. </w:t>
      </w:r>
      <w:hyperlink r:id="rId26" w:history="1">
        <w:r w:rsidRPr="00317E7E">
          <w:rPr>
            <w:rStyle w:val="Hyperlink"/>
          </w:rPr>
          <w:t>https://doi.org/10.1017/S0007114516000039</w:t>
        </w:r>
      </w:hyperlink>
      <w:r w:rsidRPr="00317E7E">
        <w:t xml:space="preserve"> </w:t>
      </w:r>
    </w:p>
    <w:p w:rsidR="00317E7E" w:rsidRPr="00317E7E" w:rsidRDefault="00317E7E" w:rsidP="00317E7E">
      <w:pPr>
        <w:spacing w:before="240" w:after="240" w:line="240" w:lineRule="auto"/>
        <w:ind w:left="0" w:firstLine="0"/>
        <w:rPr>
          <w:lang w:val="en-US"/>
        </w:rPr>
      </w:pPr>
      <w:proofErr w:type="spellStart"/>
      <w:r w:rsidRPr="00317E7E">
        <w:rPr>
          <w:lang w:val="en-US"/>
        </w:rPr>
        <w:t>Meshram</w:t>
      </w:r>
      <w:proofErr w:type="spellEnd"/>
      <w:r w:rsidRPr="00317E7E">
        <w:rPr>
          <w:lang w:val="en-US"/>
        </w:rPr>
        <w:t xml:space="preserve">, I., </w:t>
      </w:r>
      <w:proofErr w:type="spellStart"/>
      <w:r w:rsidRPr="00317E7E">
        <w:rPr>
          <w:lang w:val="en-US"/>
        </w:rPr>
        <w:t>Boiroju</w:t>
      </w:r>
      <w:proofErr w:type="spellEnd"/>
      <w:r w:rsidRPr="00317E7E">
        <w:rPr>
          <w:lang w:val="en-US"/>
        </w:rPr>
        <w:t xml:space="preserve">, N. K., &amp; </w:t>
      </w:r>
      <w:proofErr w:type="spellStart"/>
      <w:r w:rsidRPr="00317E7E">
        <w:rPr>
          <w:lang w:val="en-US"/>
        </w:rPr>
        <w:t>Longvah</w:t>
      </w:r>
      <w:proofErr w:type="spellEnd"/>
      <w:r w:rsidRPr="00317E7E">
        <w:rPr>
          <w:lang w:val="en-US"/>
        </w:rPr>
        <w:t xml:space="preserve">, T. (2022). Prevalence of overweight/obesity, hypertension and its associated factors among women from Northeast India. </w:t>
      </w:r>
      <w:r w:rsidRPr="00317E7E">
        <w:rPr>
          <w:i/>
          <w:iCs/>
          <w:lang w:val="en-US"/>
        </w:rPr>
        <w:t>Indian Heart Journal</w:t>
      </w:r>
      <w:r w:rsidRPr="00317E7E">
        <w:rPr>
          <w:lang w:val="en-US"/>
        </w:rPr>
        <w:t xml:space="preserve">, </w:t>
      </w:r>
      <w:r w:rsidRPr="00317E7E">
        <w:rPr>
          <w:i/>
          <w:iCs/>
          <w:lang w:val="en-US"/>
        </w:rPr>
        <w:t>74</w:t>
      </w:r>
      <w:r w:rsidRPr="00317E7E">
        <w:rPr>
          <w:lang w:val="en-US"/>
        </w:rPr>
        <w:t xml:space="preserve">(1), 56-62. </w:t>
      </w:r>
      <w:hyperlink r:id="rId27" w:history="1">
        <w:r w:rsidRPr="00317E7E">
          <w:rPr>
            <w:rStyle w:val="Hyperlink"/>
            <w:lang w:val="en-US"/>
          </w:rPr>
          <w:t>https://doi.org/10.1016/j.ihj.2021.12.009</w:t>
        </w:r>
      </w:hyperlink>
      <w:r w:rsidRPr="00317E7E">
        <w:rPr>
          <w:lang w:val="en-US"/>
        </w:rPr>
        <w:t xml:space="preserve"> </w:t>
      </w:r>
    </w:p>
    <w:p w:rsidR="00317E7E" w:rsidRPr="00317E7E" w:rsidRDefault="00317E7E" w:rsidP="00317E7E">
      <w:pPr>
        <w:spacing w:before="240" w:after="240" w:line="240" w:lineRule="auto"/>
        <w:ind w:left="0" w:firstLine="0"/>
        <w:rPr>
          <w:rStyle w:val="c-bibliographic-informationvalue"/>
        </w:rPr>
      </w:pPr>
      <w:r w:rsidRPr="00317E7E">
        <w:rPr>
          <w:lang w:val="en-US"/>
        </w:rPr>
        <w:t xml:space="preserve">Mohammad, R., &amp; </w:t>
      </w:r>
      <w:proofErr w:type="spellStart"/>
      <w:r w:rsidRPr="00317E7E">
        <w:rPr>
          <w:lang w:val="en-US"/>
        </w:rPr>
        <w:t>Bansod</w:t>
      </w:r>
      <w:proofErr w:type="spellEnd"/>
      <w:r w:rsidRPr="00317E7E">
        <w:rPr>
          <w:lang w:val="en-US"/>
        </w:rPr>
        <w:t xml:space="preserve">, D. W. (2024). Hypertension in India: a gender-based study of prevalence and associated risk factors. </w:t>
      </w:r>
      <w:r w:rsidRPr="00317E7E">
        <w:rPr>
          <w:i/>
          <w:iCs/>
          <w:lang w:val="en-US"/>
        </w:rPr>
        <w:t>BMC public health</w:t>
      </w:r>
      <w:r w:rsidRPr="00317E7E">
        <w:rPr>
          <w:lang w:val="en-US"/>
        </w:rPr>
        <w:t xml:space="preserve">, </w:t>
      </w:r>
      <w:r w:rsidRPr="00317E7E">
        <w:rPr>
          <w:i/>
          <w:iCs/>
          <w:lang w:val="en-US"/>
        </w:rPr>
        <w:t>24</w:t>
      </w:r>
      <w:r w:rsidRPr="00317E7E">
        <w:rPr>
          <w:lang w:val="en-US"/>
        </w:rPr>
        <w:t xml:space="preserve">(1), 2681. </w:t>
      </w:r>
      <w:hyperlink r:id="rId28" w:history="1">
        <w:r w:rsidRPr="00317E7E">
          <w:rPr>
            <w:rStyle w:val="Hyperlink"/>
          </w:rPr>
          <w:t>https://doi.org/10.1186/s12889-024-20097-5</w:t>
        </w:r>
      </w:hyperlink>
      <w:r w:rsidRPr="00317E7E">
        <w:rPr>
          <w:rStyle w:val="c-bibliographic-informationvalue"/>
        </w:rPr>
        <w:t xml:space="preserve"> </w:t>
      </w:r>
    </w:p>
    <w:p w:rsidR="00317E7E" w:rsidRPr="00317E7E" w:rsidRDefault="00317E7E" w:rsidP="00317E7E">
      <w:pPr>
        <w:spacing w:before="240" w:after="240" w:line="240" w:lineRule="auto"/>
        <w:ind w:left="0" w:firstLine="0"/>
      </w:pPr>
      <w:proofErr w:type="spellStart"/>
      <w:r w:rsidRPr="00317E7E">
        <w:rPr>
          <w:kern w:val="0"/>
          <w:lang w:val="en-US"/>
        </w:rPr>
        <w:t>Muringathery</w:t>
      </w:r>
      <w:proofErr w:type="spellEnd"/>
      <w:r w:rsidRPr="00317E7E">
        <w:rPr>
          <w:kern w:val="0"/>
          <w:lang w:val="en-US"/>
        </w:rPr>
        <w:t xml:space="preserve">, K., Pant, A., Mathew, S., </w:t>
      </w:r>
      <w:proofErr w:type="spellStart"/>
      <w:r w:rsidRPr="00317E7E">
        <w:rPr>
          <w:kern w:val="0"/>
          <w:lang w:val="en-US"/>
        </w:rPr>
        <w:t>Pujar</w:t>
      </w:r>
      <w:proofErr w:type="spellEnd"/>
      <w:r w:rsidRPr="00317E7E">
        <w:rPr>
          <w:kern w:val="0"/>
          <w:lang w:val="en-US"/>
        </w:rPr>
        <w:t xml:space="preserve">, P., &amp; Nath, A. (2025). A Meta-analysis of the Clinical Effectiveness of Telemedicine in the Management of Hypertension in Asia. </w:t>
      </w:r>
      <w:r w:rsidRPr="00317E7E">
        <w:rPr>
          <w:i/>
          <w:iCs/>
          <w:kern w:val="0"/>
          <w:lang w:val="en-US"/>
        </w:rPr>
        <w:t>Indian Journal of Clinical Cardiology</w:t>
      </w:r>
      <w:r w:rsidRPr="00317E7E">
        <w:rPr>
          <w:kern w:val="0"/>
          <w:lang w:val="en-US"/>
        </w:rPr>
        <w:t xml:space="preserve">, 26324636251404120. </w:t>
      </w:r>
      <w:hyperlink r:id="rId29" w:history="1">
        <w:r w:rsidRPr="00317E7E">
          <w:rPr>
            <w:rStyle w:val="Hyperlink"/>
          </w:rPr>
          <w:t>https://doi.org/10.1177/26324636251404120</w:t>
        </w:r>
      </w:hyperlink>
      <w:r w:rsidRPr="00317E7E">
        <w:t xml:space="preserve"> </w:t>
      </w:r>
    </w:p>
    <w:p w:rsidR="00317E7E" w:rsidRPr="00317E7E" w:rsidRDefault="00317E7E" w:rsidP="00317E7E">
      <w:pPr>
        <w:spacing w:before="240" w:after="240" w:line="240" w:lineRule="auto"/>
        <w:ind w:left="0" w:firstLine="0"/>
        <w:rPr>
          <w:rStyle w:val="highwire-cite-metadata-doi"/>
        </w:rPr>
      </w:pPr>
      <w:proofErr w:type="spellStart"/>
      <w:r w:rsidRPr="00317E7E">
        <w:rPr>
          <w:lang w:val="en-US"/>
        </w:rPr>
        <w:t>Norboo</w:t>
      </w:r>
      <w:proofErr w:type="spellEnd"/>
      <w:r w:rsidRPr="00317E7E">
        <w:rPr>
          <w:lang w:val="en-US"/>
        </w:rPr>
        <w:t xml:space="preserve">, T., </w:t>
      </w:r>
      <w:proofErr w:type="spellStart"/>
      <w:r w:rsidRPr="00317E7E">
        <w:rPr>
          <w:lang w:val="en-US"/>
        </w:rPr>
        <w:t>Stobdan</w:t>
      </w:r>
      <w:proofErr w:type="spellEnd"/>
      <w:r w:rsidRPr="00317E7E">
        <w:rPr>
          <w:lang w:val="en-US"/>
        </w:rPr>
        <w:t xml:space="preserve">, T., </w:t>
      </w:r>
      <w:proofErr w:type="spellStart"/>
      <w:r w:rsidRPr="00317E7E">
        <w:rPr>
          <w:lang w:val="en-US"/>
        </w:rPr>
        <w:t>Tsering</w:t>
      </w:r>
      <w:proofErr w:type="spellEnd"/>
      <w:r w:rsidRPr="00317E7E">
        <w:rPr>
          <w:lang w:val="en-US"/>
        </w:rPr>
        <w:t xml:space="preserve">, N., </w:t>
      </w:r>
      <w:proofErr w:type="spellStart"/>
      <w:r w:rsidRPr="00317E7E">
        <w:rPr>
          <w:lang w:val="en-US"/>
        </w:rPr>
        <w:t>Angchuk</w:t>
      </w:r>
      <w:proofErr w:type="spellEnd"/>
      <w:r w:rsidRPr="00317E7E">
        <w:rPr>
          <w:lang w:val="en-US"/>
        </w:rPr>
        <w:t xml:space="preserve">, N., </w:t>
      </w:r>
      <w:proofErr w:type="spellStart"/>
      <w:r w:rsidRPr="00317E7E">
        <w:rPr>
          <w:lang w:val="en-US"/>
        </w:rPr>
        <w:t>Tsering</w:t>
      </w:r>
      <w:proofErr w:type="spellEnd"/>
      <w:r w:rsidRPr="00317E7E">
        <w:rPr>
          <w:lang w:val="en-US"/>
        </w:rPr>
        <w:t xml:space="preserve">, P., Ahmed, I., ... &amp; </w:t>
      </w:r>
      <w:proofErr w:type="spellStart"/>
      <w:r w:rsidRPr="00317E7E">
        <w:rPr>
          <w:lang w:val="en-US"/>
        </w:rPr>
        <w:t>Okumiya</w:t>
      </w:r>
      <w:proofErr w:type="spellEnd"/>
      <w:r w:rsidRPr="00317E7E">
        <w:rPr>
          <w:lang w:val="en-US"/>
        </w:rPr>
        <w:t xml:space="preserve">, K. (2015). Prevalence of hypertension at high altitude: cross-sectional survey in Ladakh, Northern India 2007–2011. BMJ open, 5(4), e007026. </w:t>
      </w:r>
      <w:hyperlink r:id="rId30" w:history="1">
        <w:r w:rsidRPr="00317E7E">
          <w:rPr>
            <w:rStyle w:val="Hyperlink"/>
            <w:lang w:val="en-US"/>
          </w:rPr>
          <w:t>https://doi.org/</w:t>
        </w:r>
        <w:r w:rsidRPr="00317E7E">
          <w:rPr>
            <w:rStyle w:val="Hyperlink"/>
          </w:rPr>
          <w:t>10.1136/bmjopen-2014-007026</w:t>
        </w:r>
      </w:hyperlink>
      <w:r w:rsidRPr="00317E7E">
        <w:rPr>
          <w:rStyle w:val="highwire-cite-metadata-doi"/>
        </w:rPr>
        <w:t xml:space="preserve"> </w:t>
      </w:r>
    </w:p>
    <w:p w:rsidR="00317E7E" w:rsidRPr="00317E7E" w:rsidRDefault="00317E7E" w:rsidP="00317E7E">
      <w:pPr>
        <w:spacing w:before="240" w:after="240" w:line="240" w:lineRule="auto"/>
        <w:ind w:left="0" w:firstLine="0"/>
      </w:pPr>
      <w:proofErr w:type="spellStart"/>
      <w:r w:rsidRPr="00317E7E">
        <w:rPr>
          <w:kern w:val="0"/>
          <w:lang w:val="en-US"/>
        </w:rPr>
        <w:t>Pedgaonkar</w:t>
      </w:r>
      <w:proofErr w:type="spellEnd"/>
      <w:r w:rsidRPr="00317E7E">
        <w:rPr>
          <w:kern w:val="0"/>
          <w:lang w:val="en-US"/>
        </w:rPr>
        <w:t xml:space="preserve">, S. P., Kumar, K., Meitei, W. B., Kumar, S., Upadhyay, A. K., Maurer, J., &amp; Singh, A. (2025). Clustering of hypertension and clustering of diabetes within households across districts of India: A cross-sectional analysis using a nationally representative household survey. </w:t>
      </w:r>
      <w:r w:rsidRPr="00317E7E">
        <w:rPr>
          <w:i/>
          <w:iCs/>
          <w:kern w:val="0"/>
          <w:lang w:val="en-US"/>
        </w:rPr>
        <w:t>PLOS Global Public Health</w:t>
      </w:r>
      <w:r w:rsidRPr="00317E7E">
        <w:rPr>
          <w:kern w:val="0"/>
          <w:lang w:val="en-US"/>
        </w:rPr>
        <w:t xml:space="preserve">, </w:t>
      </w:r>
      <w:r w:rsidRPr="00317E7E">
        <w:rPr>
          <w:i/>
          <w:iCs/>
          <w:kern w:val="0"/>
          <w:lang w:val="en-US"/>
        </w:rPr>
        <w:t>5</w:t>
      </w:r>
      <w:r w:rsidRPr="00317E7E">
        <w:rPr>
          <w:kern w:val="0"/>
          <w:lang w:val="en-US"/>
        </w:rPr>
        <w:t xml:space="preserve">(6), e0004648. </w:t>
      </w:r>
      <w:hyperlink r:id="rId31" w:history="1">
        <w:r w:rsidRPr="00317E7E">
          <w:rPr>
            <w:rStyle w:val="Hyperlink"/>
          </w:rPr>
          <w:t>https://doi.org/10.1371/journal.pgph.0004648</w:t>
        </w:r>
      </w:hyperlink>
    </w:p>
    <w:p w:rsidR="00317E7E" w:rsidRPr="00317E7E" w:rsidRDefault="00317E7E" w:rsidP="00317E7E">
      <w:pPr>
        <w:spacing w:before="240" w:after="240" w:line="240" w:lineRule="auto"/>
        <w:ind w:left="0" w:firstLine="0"/>
      </w:pPr>
      <w:proofErr w:type="spellStart"/>
      <w:r w:rsidRPr="00317E7E">
        <w:rPr>
          <w:kern w:val="0"/>
          <w:lang w:val="en-US"/>
        </w:rPr>
        <w:t>Prenissl</w:t>
      </w:r>
      <w:proofErr w:type="spellEnd"/>
      <w:r w:rsidRPr="00317E7E">
        <w:rPr>
          <w:kern w:val="0"/>
          <w:lang w:val="en-US"/>
        </w:rPr>
        <w:t>, J., Manne-</w:t>
      </w:r>
      <w:proofErr w:type="spellStart"/>
      <w:r w:rsidRPr="00317E7E">
        <w:rPr>
          <w:kern w:val="0"/>
          <w:lang w:val="en-US"/>
        </w:rPr>
        <w:t>Goehler</w:t>
      </w:r>
      <w:proofErr w:type="spellEnd"/>
      <w:r w:rsidRPr="00317E7E">
        <w:rPr>
          <w:kern w:val="0"/>
          <w:lang w:val="en-US"/>
        </w:rPr>
        <w:t xml:space="preserve">, J., </w:t>
      </w:r>
      <w:proofErr w:type="spellStart"/>
      <w:r w:rsidRPr="00317E7E">
        <w:rPr>
          <w:kern w:val="0"/>
          <w:lang w:val="en-US"/>
        </w:rPr>
        <w:t>Jaacks</w:t>
      </w:r>
      <w:proofErr w:type="spellEnd"/>
      <w:r w:rsidRPr="00317E7E">
        <w:rPr>
          <w:kern w:val="0"/>
          <w:lang w:val="en-US"/>
        </w:rPr>
        <w:t xml:space="preserve">, L. M., Prabhakaran, D., Awasthi, A., </w:t>
      </w:r>
      <w:proofErr w:type="spellStart"/>
      <w:r w:rsidRPr="00317E7E">
        <w:rPr>
          <w:kern w:val="0"/>
          <w:lang w:val="en-US"/>
        </w:rPr>
        <w:t>Bischops</w:t>
      </w:r>
      <w:proofErr w:type="spellEnd"/>
      <w:r w:rsidRPr="00317E7E">
        <w:rPr>
          <w:kern w:val="0"/>
          <w:lang w:val="en-US"/>
        </w:rPr>
        <w:t xml:space="preserve">, A. C., ... &amp; </w:t>
      </w:r>
      <w:proofErr w:type="spellStart"/>
      <w:r w:rsidRPr="00317E7E">
        <w:rPr>
          <w:kern w:val="0"/>
          <w:lang w:val="en-US"/>
        </w:rPr>
        <w:t>Geldsetzer</w:t>
      </w:r>
      <w:proofErr w:type="spellEnd"/>
      <w:r w:rsidRPr="00317E7E">
        <w:rPr>
          <w:kern w:val="0"/>
          <w:lang w:val="en-US"/>
        </w:rPr>
        <w:t xml:space="preserve">, P. (2019). Hypertension screening, awareness, treatment, and control in India: a nationally representative cross-sectional study among individuals aged 15 to 49 years. </w:t>
      </w:r>
      <w:proofErr w:type="spellStart"/>
      <w:r w:rsidRPr="00317E7E">
        <w:rPr>
          <w:i/>
          <w:iCs/>
          <w:kern w:val="0"/>
          <w:lang w:val="en-US"/>
        </w:rPr>
        <w:t>PLoS</w:t>
      </w:r>
      <w:proofErr w:type="spellEnd"/>
      <w:r w:rsidRPr="00317E7E">
        <w:rPr>
          <w:i/>
          <w:iCs/>
          <w:kern w:val="0"/>
          <w:lang w:val="en-US"/>
        </w:rPr>
        <w:t xml:space="preserve"> medicine</w:t>
      </w:r>
      <w:r w:rsidRPr="00317E7E">
        <w:rPr>
          <w:kern w:val="0"/>
          <w:lang w:val="en-US"/>
        </w:rPr>
        <w:t xml:space="preserve">, </w:t>
      </w:r>
      <w:r w:rsidRPr="00317E7E">
        <w:rPr>
          <w:i/>
          <w:iCs/>
          <w:kern w:val="0"/>
          <w:lang w:val="en-US"/>
        </w:rPr>
        <w:t>16</w:t>
      </w:r>
      <w:r w:rsidRPr="00317E7E">
        <w:rPr>
          <w:kern w:val="0"/>
          <w:lang w:val="en-US"/>
        </w:rPr>
        <w:t xml:space="preserve">(5), e1002801. </w:t>
      </w:r>
      <w:hyperlink r:id="rId32" w:history="1">
        <w:r w:rsidRPr="00317E7E">
          <w:rPr>
            <w:rStyle w:val="Hyperlink"/>
          </w:rPr>
          <w:t>https://doi.org/10.1371/journal.pmed.1002801</w:t>
        </w:r>
      </w:hyperlink>
      <w:r w:rsidRPr="00317E7E">
        <w:t xml:space="preserve"> </w:t>
      </w:r>
    </w:p>
    <w:p w:rsidR="00317E7E" w:rsidRPr="00317E7E" w:rsidRDefault="00317E7E" w:rsidP="00317E7E">
      <w:pPr>
        <w:spacing w:before="240" w:after="240" w:line="240" w:lineRule="auto"/>
        <w:ind w:left="0" w:firstLine="0"/>
      </w:pPr>
      <w:proofErr w:type="spellStart"/>
      <w:r w:rsidRPr="00317E7E">
        <w:rPr>
          <w:lang w:val="en-US"/>
        </w:rPr>
        <w:t>Pyakurel</w:t>
      </w:r>
      <w:proofErr w:type="spellEnd"/>
      <w:r w:rsidRPr="00317E7E">
        <w:rPr>
          <w:lang w:val="en-US"/>
        </w:rPr>
        <w:t>, P., Yadav, D. K., Thapa, J., Thakur, N., Sharma, P., Koirala, N., ... &amp; Jha, N. (2019). Prevalence and associated risk factor of hypertension among individuals of age 18-</w:t>
      </w:r>
      <w:r w:rsidRPr="00317E7E">
        <w:rPr>
          <w:lang w:val="en-US"/>
        </w:rPr>
        <w:lastRenderedPageBreak/>
        <w:t xml:space="preserve">59 years in South-eastern Nepal: a cross-sectional study. </w:t>
      </w:r>
      <w:r w:rsidRPr="00317E7E">
        <w:rPr>
          <w:i/>
          <w:iCs/>
          <w:lang w:val="en-US"/>
        </w:rPr>
        <w:t>Nepalese Heart Journal</w:t>
      </w:r>
      <w:r w:rsidRPr="00317E7E">
        <w:rPr>
          <w:lang w:val="en-US"/>
        </w:rPr>
        <w:t xml:space="preserve">, </w:t>
      </w:r>
      <w:r w:rsidRPr="00317E7E">
        <w:rPr>
          <w:i/>
          <w:iCs/>
          <w:lang w:val="en-US"/>
        </w:rPr>
        <w:t>16</w:t>
      </w:r>
      <w:r w:rsidRPr="00317E7E">
        <w:rPr>
          <w:lang w:val="en-US"/>
        </w:rPr>
        <w:t xml:space="preserve">(1), 19-26. </w:t>
      </w:r>
      <w:hyperlink r:id="rId33" w:history="1">
        <w:r w:rsidRPr="00317E7E">
          <w:rPr>
            <w:rStyle w:val="Hyperlink"/>
          </w:rPr>
          <w:t>https://doi.org/10.3126/njh.v16i1.23894</w:t>
        </w:r>
      </w:hyperlink>
      <w:r w:rsidRPr="00317E7E">
        <w:t xml:space="preserve"> </w:t>
      </w:r>
    </w:p>
    <w:p w:rsidR="00317E7E" w:rsidRPr="00317E7E" w:rsidRDefault="00317E7E" w:rsidP="00317E7E">
      <w:pPr>
        <w:spacing w:before="240" w:after="240" w:line="240" w:lineRule="auto"/>
        <w:ind w:left="0" w:firstLine="0"/>
      </w:pPr>
      <w:r w:rsidRPr="00317E7E">
        <w:rPr>
          <w:kern w:val="0"/>
          <w:lang w:val="en-US"/>
        </w:rPr>
        <w:t xml:space="preserve">Rue, H., Martino, S., &amp; Chopin, N. (2009). Approximate Bayesian inference for latent Gaussian models by using integrated nested Laplace approximations. </w:t>
      </w:r>
      <w:r w:rsidRPr="00317E7E">
        <w:rPr>
          <w:i/>
          <w:iCs/>
          <w:kern w:val="0"/>
          <w:lang w:val="en-US"/>
        </w:rPr>
        <w:t>Journal of the Royal Statistical Society Series B: Statistical Methodology</w:t>
      </w:r>
      <w:r w:rsidRPr="00317E7E">
        <w:rPr>
          <w:kern w:val="0"/>
          <w:lang w:val="en-US"/>
        </w:rPr>
        <w:t xml:space="preserve">, </w:t>
      </w:r>
      <w:r w:rsidRPr="00317E7E">
        <w:rPr>
          <w:i/>
          <w:iCs/>
          <w:kern w:val="0"/>
          <w:lang w:val="en-US"/>
        </w:rPr>
        <w:t>71</w:t>
      </w:r>
      <w:r w:rsidRPr="00317E7E">
        <w:rPr>
          <w:kern w:val="0"/>
          <w:lang w:val="en-US"/>
        </w:rPr>
        <w:t xml:space="preserve">(2), 319-392. </w:t>
      </w:r>
      <w:hyperlink r:id="rId34" w:history="1">
        <w:r w:rsidRPr="00317E7E">
          <w:rPr>
            <w:rStyle w:val="Hyperlink"/>
          </w:rPr>
          <w:t>https://doi.org/10.1111/j.1467-9868.2008.00700.x</w:t>
        </w:r>
      </w:hyperlink>
      <w:r w:rsidRPr="00317E7E">
        <w:t xml:space="preserve"> </w:t>
      </w:r>
    </w:p>
    <w:p w:rsidR="00317E7E" w:rsidRPr="00317E7E" w:rsidRDefault="00317E7E" w:rsidP="00317E7E">
      <w:pPr>
        <w:spacing w:before="240" w:after="240" w:line="240" w:lineRule="auto"/>
        <w:ind w:left="0" w:firstLine="0"/>
        <w:rPr>
          <w:kern w:val="0"/>
          <w:lang w:val="en-US"/>
        </w:rPr>
      </w:pPr>
      <w:proofErr w:type="spellStart"/>
      <w:r w:rsidRPr="00317E7E">
        <w:rPr>
          <w:kern w:val="0"/>
          <w:lang w:val="en-US"/>
        </w:rPr>
        <w:t>Seenappa</w:t>
      </w:r>
      <w:proofErr w:type="spellEnd"/>
      <w:r w:rsidRPr="00317E7E">
        <w:rPr>
          <w:kern w:val="0"/>
          <w:lang w:val="en-US"/>
        </w:rPr>
        <w:t xml:space="preserve">, K., </w:t>
      </w:r>
      <w:proofErr w:type="spellStart"/>
      <w:r w:rsidRPr="00317E7E">
        <w:rPr>
          <w:kern w:val="0"/>
          <w:lang w:val="en-US"/>
        </w:rPr>
        <w:t>Kulothungan</w:t>
      </w:r>
      <w:proofErr w:type="spellEnd"/>
      <w:r w:rsidRPr="00317E7E">
        <w:rPr>
          <w:kern w:val="0"/>
          <w:lang w:val="en-US"/>
        </w:rPr>
        <w:t xml:space="preserve">, V., Mohan, R., &amp; Mathur, P. (2024). District-Wise Heterogeneity in Blood Pressure Measurements, Prehypertension, Raised Blood Pressure, and Their Determinants Among Indians: National Family Health Survey-5. </w:t>
      </w:r>
      <w:r w:rsidRPr="00317E7E">
        <w:rPr>
          <w:i/>
          <w:iCs/>
          <w:kern w:val="0"/>
          <w:lang w:val="en-US"/>
        </w:rPr>
        <w:t>International journal of public health</w:t>
      </w:r>
      <w:r w:rsidRPr="00317E7E">
        <w:rPr>
          <w:kern w:val="0"/>
          <w:lang w:val="en-US"/>
        </w:rPr>
        <w:t xml:space="preserve">, </w:t>
      </w:r>
      <w:r w:rsidRPr="00317E7E">
        <w:rPr>
          <w:i/>
          <w:iCs/>
          <w:kern w:val="0"/>
          <w:lang w:val="en-US"/>
        </w:rPr>
        <w:t>69</w:t>
      </w:r>
      <w:r w:rsidRPr="00317E7E">
        <w:rPr>
          <w:kern w:val="0"/>
          <w:lang w:val="en-US"/>
        </w:rPr>
        <w:t xml:space="preserve">, 1606766. </w:t>
      </w:r>
      <w:hyperlink r:id="rId35" w:history="1">
        <w:r w:rsidRPr="00317E7E">
          <w:rPr>
            <w:rStyle w:val="Hyperlink"/>
            <w:kern w:val="0"/>
            <w:lang w:val="en-US" w:eastAsia="en-US"/>
          </w:rPr>
          <w:t>https://doi.org/10.3389/ijph.2024.1606766</w:t>
        </w:r>
      </w:hyperlink>
      <w:r w:rsidRPr="00317E7E">
        <w:rPr>
          <w:kern w:val="0"/>
          <w:lang w:val="en-US"/>
        </w:rPr>
        <w:t xml:space="preserve"> </w:t>
      </w:r>
    </w:p>
    <w:p w:rsidR="00317E7E" w:rsidRPr="00317E7E" w:rsidRDefault="00317E7E" w:rsidP="00317E7E">
      <w:pPr>
        <w:spacing w:before="240" w:after="240" w:line="240" w:lineRule="auto"/>
        <w:ind w:left="0" w:firstLine="0"/>
        <w:rPr>
          <w:lang w:val="en-US"/>
        </w:rPr>
      </w:pPr>
      <w:r w:rsidRPr="00317E7E">
        <w:rPr>
          <w:lang w:val="en-US"/>
        </w:rPr>
        <w:t xml:space="preserve">Singh, S., Shankar, R., &amp; Singh, G. P. (2017). Prevalence and associated risk factors of hypertension: a cross‐sectional study in urban Varanasi. </w:t>
      </w:r>
      <w:r w:rsidRPr="00317E7E">
        <w:rPr>
          <w:i/>
          <w:iCs/>
          <w:lang w:val="en-US"/>
        </w:rPr>
        <w:t>International journal of hypertension</w:t>
      </w:r>
      <w:r w:rsidRPr="00317E7E">
        <w:rPr>
          <w:lang w:val="en-US"/>
        </w:rPr>
        <w:t xml:space="preserve">, </w:t>
      </w:r>
      <w:r w:rsidRPr="00317E7E">
        <w:rPr>
          <w:i/>
          <w:iCs/>
          <w:lang w:val="en-US"/>
        </w:rPr>
        <w:t>2017</w:t>
      </w:r>
      <w:r w:rsidRPr="00317E7E">
        <w:rPr>
          <w:lang w:val="en-US"/>
        </w:rPr>
        <w:t xml:space="preserve">(1), 5491838. </w:t>
      </w:r>
      <w:hyperlink r:id="rId36" w:history="1">
        <w:r w:rsidRPr="00317E7E">
          <w:rPr>
            <w:rStyle w:val="Hyperlink"/>
            <w:lang w:val="en-US"/>
          </w:rPr>
          <w:t>https://doi.org/10.1155/2017/5491838</w:t>
        </w:r>
      </w:hyperlink>
      <w:r w:rsidRPr="00317E7E">
        <w:rPr>
          <w:lang w:val="en-US"/>
        </w:rPr>
        <w:t xml:space="preserve"> </w:t>
      </w:r>
    </w:p>
    <w:p w:rsidR="00317E7E" w:rsidRPr="00317E7E" w:rsidRDefault="00317E7E" w:rsidP="00317E7E">
      <w:pPr>
        <w:spacing w:before="240" w:after="240" w:line="240" w:lineRule="auto"/>
        <w:ind w:left="0" w:firstLine="0"/>
        <w:rPr>
          <w:lang w:val="en-US"/>
        </w:rPr>
      </w:pPr>
      <w:proofErr w:type="spellStart"/>
      <w:r w:rsidRPr="00317E7E">
        <w:rPr>
          <w:lang w:val="en-US"/>
        </w:rPr>
        <w:t>Tikhute</w:t>
      </w:r>
      <w:proofErr w:type="spellEnd"/>
      <w:r w:rsidRPr="00317E7E">
        <w:rPr>
          <w:lang w:val="en-US"/>
        </w:rPr>
        <w:t xml:space="preserve">, V. R., </w:t>
      </w:r>
      <w:proofErr w:type="spellStart"/>
      <w:r w:rsidRPr="00317E7E">
        <w:rPr>
          <w:lang w:val="en-US"/>
        </w:rPr>
        <w:t>Masroor</w:t>
      </w:r>
      <w:proofErr w:type="spellEnd"/>
      <w:r w:rsidRPr="00317E7E">
        <w:rPr>
          <w:lang w:val="en-US"/>
        </w:rPr>
        <w:t xml:space="preserve">, R., &amp; </w:t>
      </w:r>
      <w:proofErr w:type="spellStart"/>
      <w:r w:rsidRPr="00317E7E">
        <w:rPr>
          <w:lang w:val="en-US"/>
        </w:rPr>
        <w:t>Chattaraj</w:t>
      </w:r>
      <w:proofErr w:type="spellEnd"/>
      <w:r w:rsidRPr="00317E7E">
        <w:rPr>
          <w:lang w:val="en-US"/>
        </w:rPr>
        <w:t xml:space="preserve">, B. (2025). Determinants of treatment-seeking </w:t>
      </w:r>
      <w:proofErr w:type="spellStart"/>
      <w:r w:rsidRPr="00317E7E">
        <w:rPr>
          <w:lang w:val="en-US"/>
        </w:rPr>
        <w:t>behaviour</w:t>
      </w:r>
      <w:proofErr w:type="spellEnd"/>
      <w:r w:rsidRPr="00317E7E">
        <w:rPr>
          <w:lang w:val="en-US"/>
        </w:rPr>
        <w:t xml:space="preserve"> among the hypertensive population in Northeast India: Evidence from the National Family Health Survey-5. </w:t>
      </w:r>
      <w:r w:rsidRPr="00317E7E">
        <w:rPr>
          <w:i/>
          <w:iCs/>
          <w:lang w:val="en-US"/>
        </w:rPr>
        <w:t>Journal of Human Behavior in the Social Environment</w:t>
      </w:r>
      <w:r w:rsidRPr="00317E7E">
        <w:rPr>
          <w:lang w:val="en-US"/>
        </w:rPr>
        <w:t xml:space="preserve">, 1-16. </w:t>
      </w:r>
      <w:hyperlink r:id="rId37" w:history="1">
        <w:r w:rsidRPr="00317E7E">
          <w:rPr>
            <w:rStyle w:val="Hyperlink"/>
            <w:lang w:val="en-US"/>
          </w:rPr>
          <w:t>https://doi.org/10.1080/10911359.2025.2469717</w:t>
        </w:r>
      </w:hyperlink>
      <w:r w:rsidRPr="00317E7E">
        <w:rPr>
          <w:lang w:val="en-US"/>
        </w:rPr>
        <w:t xml:space="preserve"> </w:t>
      </w:r>
    </w:p>
    <w:p w:rsidR="00317E7E" w:rsidRPr="00317E7E" w:rsidRDefault="00317E7E" w:rsidP="00317E7E">
      <w:pPr>
        <w:spacing w:before="240" w:after="240" w:line="240" w:lineRule="auto"/>
        <w:ind w:left="0" w:firstLine="0"/>
        <w:rPr>
          <w:lang w:val="en-US"/>
        </w:rPr>
      </w:pPr>
      <w:proofErr w:type="spellStart"/>
      <w:r w:rsidRPr="00317E7E">
        <w:rPr>
          <w:lang w:val="en-US"/>
        </w:rPr>
        <w:t>Tsukru</w:t>
      </w:r>
      <w:proofErr w:type="spellEnd"/>
      <w:r w:rsidRPr="00317E7E">
        <w:rPr>
          <w:lang w:val="en-US"/>
        </w:rPr>
        <w:t xml:space="preserve">, V. (2023). Prevalence and socio-demographic determinants of obesity and hypertension in a rural tribal community in northeast India. </w:t>
      </w:r>
      <w:r w:rsidRPr="00317E7E">
        <w:rPr>
          <w:i/>
          <w:iCs/>
          <w:lang w:val="en-US"/>
        </w:rPr>
        <w:t>Online Journal of Health and Allied Sciences</w:t>
      </w:r>
      <w:r w:rsidRPr="00317E7E">
        <w:rPr>
          <w:lang w:val="en-US"/>
        </w:rPr>
        <w:t xml:space="preserve">, </w:t>
      </w:r>
      <w:r w:rsidRPr="00317E7E">
        <w:rPr>
          <w:i/>
          <w:iCs/>
          <w:lang w:val="en-US"/>
        </w:rPr>
        <w:t>22</w:t>
      </w:r>
      <w:r w:rsidRPr="00317E7E">
        <w:rPr>
          <w:lang w:val="en-US"/>
        </w:rPr>
        <w:t xml:space="preserve">(2). </w:t>
      </w:r>
      <w:hyperlink r:id="rId38" w:history="1">
        <w:r w:rsidRPr="00317E7E">
          <w:rPr>
            <w:rStyle w:val="Hyperlink"/>
            <w:lang w:val="en-US"/>
          </w:rPr>
          <w:t>https://www.ojhas.org/issue86/2023-2-1.html</w:t>
        </w:r>
      </w:hyperlink>
      <w:r w:rsidRPr="00317E7E">
        <w:rPr>
          <w:lang w:val="en-US"/>
        </w:rPr>
        <w:t xml:space="preserve"> </w:t>
      </w:r>
    </w:p>
    <w:p w:rsidR="00317E7E" w:rsidRPr="00317E7E" w:rsidRDefault="00317E7E" w:rsidP="00317E7E">
      <w:pPr>
        <w:spacing w:before="240" w:after="240" w:line="240" w:lineRule="auto"/>
        <w:ind w:left="0" w:firstLine="0"/>
      </w:pPr>
      <w:r w:rsidRPr="00317E7E">
        <w:rPr>
          <w:kern w:val="0"/>
          <w:lang w:val="en-US"/>
        </w:rPr>
        <w:t>Zhou, B., Carrillo-</w:t>
      </w:r>
      <w:proofErr w:type="spellStart"/>
      <w:r w:rsidRPr="00317E7E">
        <w:rPr>
          <w:kern w:val="0"/>
          <w:lang w:val="en-US"/>
        </w:rPr>
        <w:t>Larco</w:t>
      </w:r>
      <w:proofErr w:type="spellEnd"/>
      <w:r w:rsidRPr="00317E7E">
        <w:rPr>
          <w:kern w:val="0"/>
          <w:lang w:val="en-US"/>
        </w:rPr>
        <w:t xml:space="preserve">, R. M., </w:t>
      </w:r>
      <w:proofErr w:type="spellStart"/>
      <w:r w:rsidRPr="00317E7E">
        <w:rPr>
          <w:kern w:val="0"/>
          <w:lang w:val="en-US"/>
        </w:rPr>
        <w:t>Danaei</w:t>
      </w:r>
      <w:proofErr w:type="spellEnd"/>
      <w:r w:rsidRPr="00317E7E">
        <w:rPr>
          <w:kern w:val="0"/>
          <w:lang w:val="en-US"/>
        </w:rPr>
        <w:t xml:space="preserve">, G., Riley, L. M., </w:t>
      </w:r>
      <w:proofErr w:type="spellStart"/>
      <w:r w:rsidRPr="00317E7E">
        <w:rPr>
          <w:kern w:val="0"/>
          <w:lang w:val="en-US"/>
        </w:rPr>
        <w:t>Paciorek</w:t>
      </w:r>
      <w:proofErr w:type="spellEnd"/>
      <w:r w:rsidRPr="00317E7E">
        <w:rPr>
          <w:kern w:val="0"/>
          <w:lang w:val="en-US"/>
        </w:rPr>
        <w:t xml:space="preserve">, C. J., Stevens, G. A., ... &amp; </w:t>
      </w:r>
      <w:proofErr w:type="spellStart"/>
      <w:r w:rsidRPr="00317E7E">
        <w:rPr>
          <w:kern w:val="0"/>
          <w:lang w:val="en-US"/>
        </w:rPr>
        <w:t>Breckenkamp</w:t>
      </w:r>
      <w:proofErr w:type="spellEnd"/>
      <w:r w:rsidRPr="00317E7E">
        <w:rPr>
          <w:kern w:val="0"/>
          <w:lang w:val="en-US"/>
        </w:rPr>
        <w:t xml:space="preserve">, J. (2021). Worldwide trends in hypertension prevalence and progress in treatment and control from 1990 to 2019: a pooled analysis of 1201 population-representative studies with 104 million participants. </w:t>
      </w:r>
      <w:r w:rsidRPr="00317E7E">
        <w:rPr>
          <w:i/>
          <w:iCs/>
          <w:kern w:val="0"/>
          <w:lang w:val="en-US"/>
        </w:rPr>
        <w:t>The lancet</w:t>
      </w:r>
      <w:r w:rsidRPr="00317E7E">
        <w:rPr>
          <w:kern w:val="0"/>
          <w:lang w:val="en-US"/>
        </w:rPr>
        <w:t xml:space="preserve">, </w:t>
      </w:r>
      <w:r w:rsidRPr="00317E7E">
        <w:rPr>
          <w:i/>
          <w:iCs/>
          <w:kern w:val="0"/>
          <w:lang w:val="en-US"/>
        </w:rPr>
        <w:t>398</w:t>
      </w:r>
      <w:r w:rsidRPr="00317E7E">
        <w:rPr>
          <w:kern w:val="0"/>
          <w:lang w:val="en-US"/>
        </w:rPr>
        <w:t xml:space="preserve">(10304), 957-980. </w:t>
      </w:r>
      <w:hyperlink r:id="rId39" w:history="1">
        <w:r w:rsidRPr="00317E7E">
          <w:rPr>
            <w:rStyle w:val="Hyperlink"/>
          </w:rPr>
          <w:t>https://doi.org/10.1016/S0140-6736(21)01330-1</w:t>
        </w:r>
      </w:hyperlink>
      <w:r w:rsidRPr="00317E7E">
        <w:t xml:space="preserve"> </w:t>
      </w:r>
    </w:p>
    <w:p w:rsidR="00317E7E" w:rsidRPr="002C7C3D" w:rsidRDefault="00317E7E" w:rsidP="00317E7E">
      <w:pPr>
        <w:spacing w:after="0" w:line="240" w:lineRule="auto"/>
        <w:rPr>
          <w:sz w:val="18"/>
          <w:szCs w:val="20"/>
          <w:lang w:val="en-US"/>
        </w:rPr>
      </w:pPr>
      <w:r w:rsidRPr="00DD3761">
        <w:rPr>
          <w:sz w:val="18"/>
          <w:szCs w:val="20"/>
          <w:lang w:val="en-US"/>
        </w:rPr>
        <w:t xml:space="preserve"> </w:t>
      </w:r>
    </w:p>
    <w:p w:rsidR="00317E7E" w:rsidRPr="00317E7E" w:rsidRDefault="00317E7E" w:rsidP="00317E7E">
      <w:pPr>
        <w:spacing w:after="0" w:line="240" w:lineRule="auto"/>
        <w:ind w:left="0" w:right="0" w:firstLine="0"/>
        <w:jc w:val="left"/>
        <w:rPr>
          <w:color w:val="auto"/>
          <w:kern w:val="0"/>
          <w:lang w:val="en-US" w:eastAsia="en-US"/>
        </w:rPr>
      </w:pPr>
    </w:p>
    <w:p w:rsidR="00317E7E" w:rsidRPr="007A25E7" w:rsidRDefault="00317E7E" w:rsidP="007A25E7">
      <w:r>
        <w:t xml:space="preserve"> </w:t>
      </w:r>
    </w:p>
    <w:sectPr w:rsidR="00317E7E" w:rsidRPr="007A25E7" w:rsidSect="00CB6EB6">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71B" w:rsidRDefault="0025771B" w:rsidP="00AE1672">
      <w:pPr>
        <w:spacing w:after="0" w:line="240" w:lineRule="auto"/>
      </w:pPr>
      <w:r>
        <w:separator/>
      </w:r>
    </w:p>
  </w:endnote>
  <w:endnote w:type="continuationSeparator" w:id="0">
    <w:p w:rsidR="0025771B" w:rsidRDefault="0025771B" w:rsidP="00AE1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672" w:rsidRDefault="00AE16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672" w:rsidRDefault="00AE1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672" w:rsidRDefault="00AE1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71B" w:rsidRDefault="0025771B" w:rsidP="00AE1672">
      <w:pPr>
        <w:spacing w:after="0" w:line="240" w:lineRule="auto"/>
      </w:pPr>
      <w:r>
        <w:separator/>
      </w:r>
    </w:p>
  </w:footnote>
  <w:footnote w:type="continuationSeparator" w:id="0">
    <w:p w:rsidR="0025771B" w:rsidRDefault="0025771B" w:rsidP="00AE1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672" w:rsidRDefault="00AE16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672" w:rsidRDefault="00AE16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672" w:rsidRDefault="00AE16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411D"/>
    <w:rsid w:val="000C4F0E"/>
    <w:rsid w:val="000D461E"/>
    <w:rsid w:val="000D6AAA"/>
    <w:rsid w:val="000D7028"/>
    <w:rsid w:val="000D7DCE"/>
    <w:rsid w:val="000E67D1"/>
    <w:rsid w:val="000E709D"/>
    <w:rsid w:val="000F14D5"/>
    <w:rsid w:val="000F27AA"/>
    <w:rsid w:val="00111181"/>
    <w:rsid w:val="00114147"/>
    <w:rsid w:val="001261CC"/>
    <w:rsid w:val="00126ADF"/>
    <w:rsid w:val="001276CD"/>
    <w:rsid w:val="00131E50"/>
    <w:rsid w:val="00135191"/>
    <w:rsid w:val="00142919"/>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B7806"/>
    <w:rsid w:val="001D7EA7"/>
    <w:rsid w:val="001E6EC5"/>
    <w:rsid w:val="00202F35"/>
    <w:rsid w:val="0022042D"/>
    <w:rsid w:val="002312EA"/>
    <w:rsid w:val="0024324D"/>
    <w:rsid w:val="00246BC3"/>
    <w:rsid w:val="0025771B"/>
    <w:rsid w:val="00257AC1"/>
    <w:rsid w:val="00260455"/>
    <w:rsid w:val="00260B1D"/>
    <w:rsid w:val="002673C8"/>
    <w:rsid w:val="00267B17"/>
    <w:rsid w:val="00271A26"/>
    <w:rsid w:val="002778DD"/>
    <w:rsid w:val="00284F1F"/>
    <w:rsid w:val="0029252A"/>
    <w:rsid w:val="00294D81"/>
    <w:rsid w:val="002A01F2"/>
    <w:rsid w:val="002A4C47"/>
    <w:rsid w:val="002B76E6"/>
    <w:rsid w:val="002C0DF9"/>
    <w:rsid w:val="002C48BB"/>
    <w:rsid w:val="002D0FD7"/>
    <w:rsid w:val="002D6FFA"/>
    <w:rsid w:val="002E0776"/>
    <w:rsid w:val="002F0434"/>
    <w:rsid w:val="002F3625"/>
    <w:rsid w:val="002F4C0C"/>
    <w:rsid w:val="00307595"/>
    <w:rsid w:val="0031286E"/>
    <w:rsid w:val="00316D75"/>
    <w:rsid w:val="00317E7E"/>
    <w:rsid w:val="00324164"/>
    <w:rsid w:val="00332243"/>
    <w:rsid w:val="0033735F"/>
    <w:rsid w:val="0035701C"/>
    <w:rsid w:val="003664CE"/>
    <w:rsid w:val="003740DE"/>
    <w:rsid w:val="003909C0"/>
    <w:rsid w:val="00391BB6"/>
    <w:rsid w:val="003975AE"/>
    <w:rsid w:val="003A104D"/>
    <w:rsid w:val="003A4787"/>
    <w:rsid w:val="003A71E9"/>
    <w:rsid w:val="003B035B"/>
    <w:rsid w:val="003B09B4"/>
    <w:rsid w:val="003B31CA"/>
    <w:rsid w:val="003B3553"/>
    <w:rsid w:val="003B400E"/>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71AB"/>
    <w:rsid w:val="00443B5D"/>
    <w:rsid w:val="00445A92"/>
    <w:rsid w:val="00450568"/>
    <w:rsid w:val="0045531D"/>
    <w:rsid w:val="00456E20"/>
    <w:rsid w:val="004615AF"/>
    <w:rsid w:val="00462739"/>
    <w:rsid w:val="00463D85"/>
    <w:rsid w:val="00471027"/>
    <w:rsid w:val="004711B7"/>
    <w:rsid w:val="004A16BD"/>
    <w:rsid w:val="004A508F"/>
    <w:rsid w:val="004A5427"/>
    <w:rsid w:val="004A586B"/>
    <w:rsid w:val="004A7955"/>
    <w:rsid w:val="004B02DF"/>
    <w:rsid w:val="004C1A63"/>
    <w:rsid w:val="004C421D"/>
    <w:rsid w:val="004C6306"/>
    <w:rsid w:val="004C7547"/>
    <w:rsid w:val="004E1999"/>
    <w:rsid w:val="004E7311"/>
    <w:rsid w:val="004F07D5"/>
    <w:rsid w:val="004F2BB5"/>
    <w:rsid w:val="004F5E1D"/>
    <w:rsid w:val="004F7DFC"/>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FC2"/>
    <w:rsid w:val="006F708E"/>
    <w:rsid w:val="00705A87"/>
    <w:rsid w:val="00711B14"/>
    <w:rsid w:val="00713825"/>
    <w:rsid w:val="00720F41"/>
    <w:rsid w:val="00721966"/>
    <w:rsid w:val="00737A32"/>
    <w:rsid w:val="00755BDC"/>
    <w:rsid w:val="00761CB6"/>
    <w:rsid w:val="00773599"/>
    <w:rsid w:val="00774395"/>
    <w:rsid w:val="0077761A"/>
    <w:rsid w:val="0078275D"/>
    <w:rsid w:val="00783E9E"/>
    <w:rsid w:val="00786C67"/>
    <w:rsid w:val="00796571"/>
    <w:rsid w:val="007A25E7"/>
    <w:rsid w:val="007A5BAB"/>
    <w:rsid w:val="007B0E74"/>
    <w:rsid w:val="007B437D"/>
    <w:rsid w:val="007C5F8A"/>
    <w:rsid w:val="007C7951"/>
    <w:rsid w:val="007D03BC"/>
    <w:rsid w:val="007D38FC"/>
    <w:rsid w:val="007D6740"/>
    <w:rsid w:val="007E249F"/>
    <w:rsid w:val="007F1928"/>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E71C6"/>
    <w:rsid w:val="008F3850"/>
    <w:rsid w:val="00904403"/>
    <w:rsid w:val="00916DED"/>
    <w:rsid w:val="00921557"/>
    <w:rsid w:val="00925CAF"/>
    <w:rsid w:val="00926AE1"/>
    <w:rsid w:val="009302A6"/>
    <w:rsid w:val="00935182"/>
    <w:rsid w:val="00944906"/>
    <w:rsid w:val="00951A3D"/>
    <w:rsid w:val="009536DC"/>
    <w:rsid w:val="009551E6"/>
    <w:rsid w:val="00960579"/>
    <w:rsid w:val="009851F5"/>
    <w:rsid w:val="009903E9"/>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66C70"/>
    <w:rsid w:val="00A7055A"/>
    <w:rsid w:val="00A8506E"/>
    <w:rsid w:val="00A94050"/>
    <w:rsid w:val="00A95D31"/>
    <w:rsid w:val="00A97AEF"/>
    <w:rsid w:val="00AA06F7"/>
    <w:rsid w:val="00AA2B64"/>
    <w:rsid w:val="00AA4644"/>
    <w:rsid w:val="00AA4B35"/>
    <w:rsid w:val="00AB0C7A"/>
    <w:rsid w:val="00AB1103"/>
    <w:rsid w:val="00AD7B8B"/>
    <w:rsid w:val="00AE1672"/>
    <w:rsid w:val="00AE651D"/>
    <w:rsid w:val="00AE79C2"/>
    <w:rsid w:val="00AF279A"/>
    <w:rsid w:val="00AF7425"/>
    <w:rsid w:val="00B06888"/>
    <w:rsid w:val="00B1065D"/>
    <w:rsid w:val="00B451DB"/>
    <w:rsid w:val="00B567DD"/>
    <w:rsid w:val="00B6043D"/>
    <w:rsid w:val="00B74506"/>
    <w:rsid w:val="00B84C19"/>
    <w:rsid w:val="00B928B4"/>
    <w:rsid w:val="00BA3C57"/>
    <w:rsid w:val="00BB0BE1"/>
    <w:rsid w:val="00BB4C3B"/>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66880"/>
    <w:rsid w:val="00D71250"/>
    <w:rsid w:val="00D75C9D"/>
    <w:rsid w:val="00D879A1"/>
    <w:rsid w:val="00D90471"/>
    <w:rsid w:val="00D9293B"/>
    <w:rsid w:val="00D95D20"/>
    <w:rsid w:val="00DA02EE"/>
    <w:rsid w:val="00DA3203"/>
    <w:rsid w:val="00DB7756"/>
    <w:rsid w:val="00DC3E34"/>
    <w:rsid w:val="00DC5FB9"/>
    <w:rsid w:val="00DC6BC2"/>
    <w:rsid w:val="00DC6E1F"/>
    <w:rsid w:val="00DC74C9"/>
    <w:rsid w:val="00DD02B6"/>
    <w:rsid w:val="00DD451C"/>
    <w:rsid w:val="00DD62DF"/>
    <w:rsid w:val="00DE0A9F"/>
    <w:rsid w:val="00DE544F"/>
    <w:rsid w:val="00DF20BB"/>
    <w:rsid w:val="00DF5AB4"/>
    <w:rsid w:val="00DF6AF0"/>
    <w:rsid w:val="00E125DA"/>
    <w:rsid w:val="00E16C81"/>
    <w:rsid w:val="00E20962"/>
    <w:rsid w:val="00E22310"/>
    <w:rsid w:val="00E3113F"/>
    <w:rsid w:val="00E40B47"/>
    <w:rsid w:val="00E52157"/>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2B13D1C-E2C5-4389-9D17-C8A788BB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AE1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672"/>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AE1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672"/>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jhh.2014.57" TargetMode="External"/><Relationship Id="rId18" Type="http://schemas.openxmlformats.org/officeDocument/2006/relationships/hyperlink" Target="https://doi.org/10.1136/bmjopen-2019-029714" TargetMode="External"/><Relationship Id="rId26" Type="http://schemas.openxmlformats.org/officeDocument/2006/relationships/hyperlink" Target="https://doi.org/10.1017/S0007114516000039" TargetMode="External"/><Relationship Id="rId39" Type="http://schemas.openxmlformats.org/officeDocument/2006/relationships/hyperlink" Target="https://doi.org/10.1016/S0140-6736(21)01330-1" TargetMode="External"/><Relationship Id="rId21" Type="http://schemas.openxmlformats.org/officeDocument/2006/relationships/hyperlink" Target="https://doi.org/10.1016/j.lansea.2023.100271" TargetMode="External"/><Relationship Id="rId34" Type="http://schemas.openxmlformats.org/officeDocument/2006/relationships/hyperlink" Target="https://doi.org/10.1111/j.1467-9868.2008.00700.x"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371/journal.pone.0239929" TargetMode="External"/><Relationship Id="rId29" Type="http://schemas.openxmlformats.org/officeDocument/2006/relationships/hyperlink" Target="https://doi.org/10.1177/26324636251404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759/cureus.35449" TargetMode="External"/><Relationship Id="rId24" Type="http://schemas.openxmlformats.org/officeDocument/2006/relationships/hyperlink" Target="https://doi.org/10.1080/03610929708831995" TargetMode="External"/><Relationship Id="rId32" Type="http://schemas.openxmlformats.org/officeDocument/2006/relationships/hyperlink" Target="https://doi.org/10.1371/journal.pmed.1002801" TargetMode="External"/><Relationship Id="rId37" Type="http://schemas.openxmlformats.org/officeDocument/2006/relationships/hyperlink" Target="https://doi.org/10.1080/10911359.2025.246971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1/jama.289.19.2560" TargetMode="External"/><Relationship Id="rId23" Type="http://schemas.openxmlformats.org/officeDocument/2006/relationships/hyperlink" Target="https://doi.org/10.1016/S0140-6736(05)17741-1" TargetMode="External"/><Relationship Id="rId28" Type="http://schemas.openxmlformats.org/officeDocument/2006/relationships/hyperlink" Target="https://doi.org/10.1186/s12889-024-20097-5" TargetMode="External"/><Relationship Id="rId36" Type="http://schemas.openxmlformats.org/officeDocument/2006/relationships/hyperlink" Target="https://doi.org/10.1155/2017/5491838" TargetMode="External"/><Relationship Id="rId10" Type="http://schemas.openxmlformats.org/officeDocument/2006/relationships/hyperlink" Target="https://doi.org/10.1007/s40615-023-01817-w" TargetMode="External"/><Relationship Id="rId19" Type="http://schemas.openxmlformats.org/officeDocument/2006/relationships/hyperlink" Target="https://doi.org/10.1002/ajhb.23789" TargetMode="External"/><Relationship Id="rId31" Type="http://schemas.openxmlformats.org/officeDocument/2006/relationships/hyperlink" Target="https://doi.org/10.1371/journal.pgph.0004648"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111/j.1538-4632.1995.tb00338.x" TargetMode="External"/><Relationship Id="rId14" Type="http://schemas.openxmlformats.org/officeDocument/2006/relationships/hyperlink" Target="https://doi.org/10.25259/IJMR_881_2024" TargetMode="External"/><Relationship Id="rId22" Type="http://schemas.openxmlformats.org/officeDocument/2006/relationships/hyperlink" Target="https://doi.org/10.1136/bmjph-2025-002653" TargetMode="External"/><Relationship Id="rId27" Type="http://schemas.openxmlformats.org/officeDocument/2006/relationships/hyperlink" Target="https://doi.org/10.1016/j.ihj.2021.12.009" TargetMode="External"/><Relationship Id="rId30" Type="http://schemas.openxmlformats.org/officeDocument/2006/relationships/hyperlink" Target="https://doi.org/10.1136/bmjopen-2014-007026" TargetMode="External"/><Relationship Id="rId35" Type="http://schemas.openxmlformats.org/officeDocument/2006/relationships/hyperlink" Target="https://doi.org/10.3389/ijph.2024.1606766" TargetMode="External"/><Relationship Id="rId43" Type="http://schemas.openxmlformats.org/officeDocument/2006/relationships/footer" Target="footer2.xml"/><Relationship Id="rId8" Type="http://schemas.openxmlformats.org/officeDocument/2006/relationships/hyperlink" Target="https://doi.org/10.1038/s41371-022-00692-y" TargetMode="External"/><Relationship Id="rId3" Type="http://schemas.openxmlformats.org/officeDocument/2006/relationships/styles" Target="styles.xml"/><Relationship Id="rId12" Type="http://schemas.openxmlformats.org/officeDocument/2006/relationships/hyperlink" Target="https://doi.org/10.1007/BF00116466" TargetMode="External"/><Relationship Id="rId17" Type="http://schemas.openxmlformats.org/officeDocument/2006/relationships/hyperlink" Target="https://doi.org/10.1111/j.1538-4632.1992.tb00261.x" TargetMode="External"/><Relationship Id="rId25" Type="http://schemas.openxmlformats.org/officeDocument/2006/relationships/hyperlink" Target="https://doi.org/10.1002/ajhb.23656" TargetMode="External"/><Relationship Id="rId33" Type="http://schemas.openxmlformats.org/officeDocument/2006/relationships/hyperlink" Target="https://doi.org/10.3126/njh.v16i1.23894" TargetMode="External"/><Relationship Id="rId38" Type="http://schemas.openxmlformats.org/officeDocument/2006/relationships/hyperlink" Target="https://www.ojhas.org/issue86/2023-2-1.html" TargetMode="External"/><Relationship Id="rId46" Type="http://schemas.openxmlformats.org/officeDocument/2006/relationships/fontTable" Target="fontTable.xml"/><Relationship Id="rId20" Type="http://schemas.openxmlformats.org/officeDocument/2006/relationships/hyperlink" Target="https://doi.org/10.1016/j.ihj.2021.06.004"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8CCA2-6C33-4427-998B-979AF279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9327</TotalTime>
  <Pages>19</Pages>
  <Words>9810</Words>
  <Characters>55922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113</cp:revision>
  <cp:lastPrinted>2025-12-13T07:14:00Z</cp:lastPrinted>
  <dcterms:created xsi:type="dcterms:W3CDTF">2025-09-24T12:44:00Z</dcterms:created>
  <dcterms:modified xsi:type="dcterms:W3CDTF">2026-02-12T12:47:00Z</dcterms:modified>
</cp:coreProperties>
</file>