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681ACF" w:rsidRDefault="009344FF" w:rsidP="009344FF">
      <w:pPr>
        <w:rPr>
          <w:rFonts w:ascii="Arial" w:hAnsi="Arial" w:cs="Arial"/>
          <w:b/>
          <w:sz w:val="20"/>
          <w:szCs w:val="20"/>
          <w:u w:val="single"/>
        </w:rPr>
      </w:pPr>
      <w:r w:rsidRPr="00681ACF">
        <w:rPr>
          <w:rFonts w:ascii="Arial" w:hAnsi="Arial" w:cs="Arial"/>
          <w:b/>
          <w:sz w:val="20"/>
          <w:szCs w:val="20"/>
          <w:u w:val="single"/>
        </w:rPr>
        <w:t>Editor’s Comment:</w:t>
      </w:r>
    </w:p>
    <w:p w:rsidR="00681ACF" w:rsidRPr="00681ACF" w:rsidRDefault="00681ACF" w:rsidP="00681ACF">
      <w:pPr>
        <w:rPr>
          <w:rFonts w:ascii="Arial" w:hAnsi="Arial" w:cs="Arial"/>
          <w:sz w:val="20"/>
          <w:szCs w:val="20"/>
        </w:rPr>
      </w:pPr>
      <w:r w:rsidRPr="00681ACF">
        <w:rPr>
          <w:rFonts w:ascii="Arial" w:hAnsi="Arial" w:cs="Arial"/>
          <w:sz w:val="20"/>
          <w:szCs w:val="20"/>
        </w:rPr>
        <w:t>Two</w:t>
      </w:r>
      <w:r w:rsidRPr="00681ACF">
        <w:rPr>
          <w:rFonts w:ascii="Arial" w:hAnsi="Arial" w:cs="Arial"/>
          <w:sz w:val="20"/>
          <w:szCs w:val="20"/>
        </w:rPr>
        <w:t xml:space="preserve"> minor points should be addressed to improve coherence and clarity before publication:</w:t>
      </w:r>
    </w:p>
    <w:p w:rsidR="00681ACF" w:rsidRPr="00681ACF" w:rsidRDefault="00681ACF" w:rsidP="00681ACF">
      <w:pPr>
        <w:rPr>
          <w:rFonts w:ascii="Arial" w:hAnsi="Arial" w:cs="Arial"/>
          <w:sz w:val="20"/>
          <w:szCs w:val="20"/>
        </w:rPr>
      </w:pPr>
    </w:p>
    <w:p w:rsidR="00681ACF" w:rsidRPr="00681ACF" w:rsidRDefault="00681ACF" w:rsidP="00681ACF">
      <w:pPr>
        <w:rPr>
          <w:rFonts w:ascii="Arial" w:hAnsi="Arial" w:cs="Arial"/>
          <w:sz w:val="20"/>
          <w:szCs w:val="20"/>
        </w:rPr>
      </w:pPr>
      <w:r w:rsidRPr="00681ACF">
        <w:rPr>
          <w:rFonts w:ascii="Arial" w:hAnsi="Arial" w:cs="Arial"/>
          <w:sz w:val="20"/>
          <w:szCs w:val="20"/>
        </w:rPr>
        <w:t>In the Abstract: The description of Group F requires clarification to improve readability and understanding.</w:t>
      </w:r>
    </w:p>
    <w:p w:rsidR="009344FF" w:rsidRPr="00681ACF" w:rsidRDefault="00681ACF" w:rsidP="00681ACF">
      <w:pPr>
        <w:rPr>
          <w:rFonts w:ascii="Arial" w:hAnsi="Arial" w:cs="Arial"/>
          <w:sz w:val="20"/>
          <w:szCs w:val="20"/>
        </w:rPr>
      </w:pPr>
      <w:r w:rsidRPr="00681ACF">
        <w:rPr>
          <w:rFonts w:ascii="Arial" w:hAnsi="Arial" w:cs="Arial"/>
          <w:sz w:val="20"/>
          <w:szCs w:val="20"/>
        </w:rPr>
        <w:t>Methods (Section 2.6: Acute Toxicity [LD</w:t>
      </w:r>
      <w:r w:rsidRPr="00681ACF">
        <w:rPr>
          <w:rFonts w:ascii="Cambria Math" w:hAnsi="Cambria Math" w:cs="Cambria Math"/>
          <w:sz w:val="20"/>
          <w:szCs w:val="20"/>
        </w:rPr>
        <w:t>₅₀</w:t>
      </w:r>
      <w:r w:rsidRPr="00681ACF">
        <w:rPr>
          <w:rFonts w:ascii="Arial" w:hAnsi="Arial" w:cs="Arial"/>
          <w:sz w:val="20"/>
          <w:szCs w:val="20"/>
        </w:rPr>
        <w:t>] Study): The acute toxicity study (LD</w:t>
      </w:r>
      <w:r w:rsidRPr="00681ACF">
        <w:rPr>
          <w:rFonts w:ascii="Cambria Math" w:hAnsi="Cambria Math" w:cs="Cambria Math"/>
          <w:sz w:val="20"/>
          <w:szCs w:val="20"/>
        </w:rPr>
        <w:t>₅₀</w:t>
      </w:r>
      <w:r w:rsidRPr="00681ACF">
        <w:rPr>
          <w:rFonts w:ascii="Arial" w:hAnsi="Arial" w:cs="Arial"/>
          <w:sz w:val="20"/>
          <w:szCs w:val="20"/>
        </w:rPr>
        <w:t xml:space="preserve">) was conducted in accordance with </w:t>
      </w:r>
      <w:proofErr w:type="spellStart"/>
      <w:r w:rsidRPr="00681ACF">
        <w:rPr>
          <w:rFonts w:ascii="Arial" w:hAnsi="Arial" w:cs="Arial"/>
          <w:sz w:val="20"/>
          <w:szCs w:val="20"/>
        </w:rPr>
        <w:t>Lorke’s</w:t>
      </w:r>
      <w:proofErr w:type="spellEnd"/>
      <w:r w:rsidRPr="00681ACF">
        <w:rPr>
          <w:rFonts w:ascii="Arial" w:hAnsi="Arial" w:cs="Arial"/>
          <w:sz w:val="20"/>
          <w:szCs w:val="20"/>
        </w:rPr>
        <w:t xml:space="preserve"> method (</w:t>
      </w:r>
      <w:proofErr w:type="spellStart"/>
      <w:r w:rsidRPr="00681ACF">
        <w:rPr>
          <w:rFonts w:ascii="Arial" w:hAnsi="Arial" w:cs="Arial"/>
          <w:sz w:val="20"/>
          <w:szCs w:val="20"/>
        </w:rPr>
        <w:t>Lorke</w:t>
      </w:r>
      <w:proofErr w:type="spellEnd"/>
      <w:r w:rsidRPr="00681ACF">
        <w:rPr>
          <w:rFonts w:ascii="Arial" w:hAnsi="Arial" w:cs="Arial"/>
          <w:sz w:val="20"/>
          <w:szCs w:val="20"/>
        </w:rPr>
        <w:t>, 1983), using a total of thirteen (13) rats in two phases. However, the manuscript does not clearly explain how the number of animals (13 rats) was determined or how this allocation corresponds to the groups presented in Table 1.</w:t>
      </w:r>
    </w:p>
    <w:p w:rsidR="00681ACF" w:rsidRPr="00681ACF" w:rsidRDefault="009344FF" w:rsidP="00681ACF">
      <w:pPr>
        <w:pStyle w:val="Affiliation"/>
        <w:spacing w:after="0" w:line="240" w:lineRule="auto"/>
        <w:jc w:val="left"/>
        <w:rPr>
          <w:rFonts w:ascii="Arial" w:hAnsi="Arial" w:cs="Arial"/>
        </w:rPr>
      </w:pPr>
      <w:r w:rsidRPr="00681ACF">
        <w:rPr>
          <w:rFonts w:ascii="Arial" w:hAnsi="Arial" w:cs="Arial"/>
          <w:b/>
          <w:u w:val="single"/>
        </w:rPr>
        <w:t>Editor’s Details</w:t>
      </w:r>
      <w:proofErr w:type="gramStart"/>
      <w:r w:rsidRPr="00681ACF">
        <w:rPr>
          <w:rFonts w:ascii="Arial" w:hAnsi="Arial" w:cs="Arial"/>
          <w:b/>
          <w:u w:val="single"/>
        </w:rPr>
        <w:t>:</w:t>
      </w:r>
      <w:proofErr w:type="gramEnd"/>
      <w:r w:rsidR="00681ACF" w:rsidRPr="00681ACF">
        <w:rPr>
          <w:rFonts w:ascii="Arial" w:hAnsi="Arial" w:cs="Arial"/>
          <w:b/>
          <w:u w:val="single"/>
        </w:rPr>
        <w:br/>
      </w:r>
      <w:r w:rsidR="00681ACF" w:rsidRPr="00681ACF">
        <w:rPr>
          <w:rFonts w:ascii="Arial" w:hAnsi="Arial" w:cs="Arial"/>
          <w:b/>
          <w:u w:val="single"/>
        </w:rPr>
        <w:br/>
      </w:r>
      <w:r w:rsidR="00681ACF" w:rsidRPr="00681ACF">
        <w:rPr>
          <w:rFonts w:ascii="Arial" w:hAnsi="Arial" w:cs="Arial"/>
        </w:rPr>
        <w:t>Dr. Yi-Ren Hong, Kaohsiung Medical University, Taiwan</w:t>
      </w:r>
    </w:p>
    <w:p w:rsidR="000F2F46" w:rsidRPr="00681ACF" w:rsidRDefault="00681ACF" w:rsidP="009344FF">
      <w:pPr>
        <w:rPr>
          <w:rFonts w:ascii="Arial" w:hAnsi="Arial" w:cs="Arial"/>
          <w:b/>
          <w:sz w:val="20"/>
          <w:szCs w:val="20"/>
          <w:u w:val="single"/>
        </w:rPr>
      </w:pPr>
      <w:bookmarkStart w:id="0" w:name="_GoBack"/>
      <w:bookmarkEnd w:id="0"/>
    </w:p>
    <w:sectPr w:rsidR="000F2F46" w:rsidRPr="00681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681AC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04A4"/>
  <w15:docId w15:val="{BE5F5076-74C1-48D6-B396-2A82D1BA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rsid w:val="00681ACF"/>
    <w:pPr>
      <w:spacing w:after="240" w:line="240" w:lineRule="exact"/>
      <w:jc w:val="right"/>
    </w:pPr>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4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2026-02-04T09:31:00Z</dcterms:modified>
</cp:coreProperties>
</file>