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18AC" w:rsidRDefault="00000000">
      <w:pPr>
        <w:spacing w:after="1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Advances in Molecular Marker Systems and Their Applications in Crop Improvement</w:t>
      </w:r>
    </w:p>
    <w:p w14:paraId="00000006" w14:textId="77777777" w:rsidR="006318AC" w:rsidRDefault="00000000">
      <w:pPr>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7"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markers have become indispensable tools in crop improvement as they enable precise genotype-based selection of desirable traits. Advances in next-generation sequencing (NGS) have facilitated the identification and development of a wide range of DNA markers, including simple sequence repeats (SSRs) and single nucleotide polymorphisms (SNPs). Also approaches such as genotyping-by-sequencing (GBS) and restriction-site associated DNA sequencing (RAD-</w:t>
      </w:r>
      <w:proofErr w:type="spellStart"/>
      <w:r>
        <w:rPr>
          <w:rFonts w:ascii="Times New Roman" w:eastAsia="Times New Roman" w:hAnsi="Times New Roman" w:cs="Times New Roman"/>
          <w:sz w:val="24"/>
          <w:szCs w:val="24"/>
        </w:rPr>
        <w:t>seq</w:t>
      </w:r>
      <w:proofErr w:type="spellEnd"/>
      <w:r>
        <w:rPr>
          <w:rFonts w:ascii="Times New Roman" w:eastAsia="Times New Roman" w:hAnsi="Times New Roman" w:cs="Times New Roman"/>
          <w:sz w:val="24"/>
          <w:szCs w:val="24"/>
        </w:rPr>
        <w:t>) provide more cost-effective strategies for generating genome-wide marker datasets. Cytogenetic and epigenetic markers have further expanded traditional marker systems by offering insights into chromosomal structural variation, gene regulation, and epigenetic inheritance. Integration of molecular markers with multi-omics approaches enables a comprehensive understanding of complex traits and accelerates breeding programs through the identification of key genes and regulatory mechanisms. Molecular markers are widely used in crop improvement including genetic diversity analysis and, in the identification, selection, and transfer of desirable traits. However, their effective utilization remains constrained by high costs, infrastructure and skill requirements, data management challenges, and biological complexities such as polygenic traits, limited polymorphism, and polyploid genomes.</w:t>
      </w:r>
    </w:p>
    <w:p w14:paraId="00000008"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words:</w:t>
      </w:r>
      <w:r>
        <w:t xml:space="preserve"> </w:t>
      </w:r>
      <w:r>
        <w:rPr>
          <w:rFonts w:ascii="Times New Roman" w:eastAsia="Times New Roman" w:hAnsi="Times New Roman" w:cs="Times New Roman"/>
          <w:sz w:val="24"/>
          <w:szCs w:val="24"/>
        </w:rPr>
        <w:t>Molecular markers; Crop improvement; Marker-assisted selection; Next-generation sequencing; Multi-</w:t>
      </w:r>
      <w:proofErr w:type="spellStart"/>
      <w:r>
        <w:rPr>
          <w:rFonts w:ascii="Times New Roman" w:eastAsia="Times New Roman" w:hAnsi="Times New Roman" w:cs="Times New Roman"/>
          <w:sz w:val="24"/>
          <w:szCs w:val="24"/>
        </w:rPr>
        <w:t>omic</w:t>
      </w:r>
      <w:proofErr w:type="spellEnd"/>
      <w:r>
        <w:rPr>
          <w:rFonts w:ascii="Times New Roman" w:eastAsia="Times New Roman" w:hAnsi="Times New Roman" w:cs="Times New Roman"/>
          <w:sz w:val="24"/>
          <w:szCs w:val="24"/>
        </w:rPr>
        <w:t xml:space="preserve"> integration</w:t>
      </w:r>
    </w:p>
    <w:p w14:paraId="00000009"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1.Introduction</w:t>
      </w:r>
      <w:r>
        <w:rPr>
          <w:rFonts w:ascii="Times New Roman" w:eastAsia="Times New Roman" w:hAnsi="Times New Roman" w:cs="Times New Roman"/>
          <w:b/>
          <w:bCs/>
          <w:sz w:val="24"/>
          <w:szCs w:val="24"/>
        </w:rPr>
        <w:tab/>
      </w:r>
    </w:p>
    <w:p w14:paraId="0000000A" w14:textId="77777777" w:rsidR="006318AC" w:rsidRDefault="00000000">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 the past four decades, molecular marker technologies have transformed plant breeding from a phenotype based approach to genotype based approach. DNA-based markers which ranges from early generation markers like restriction fragment length polymorphisms (RFLPs) and random amplified polymorphic DNA (RAPD) to more recent simple sequence repeats (SSRs), single nucleotide polymorphisms (SNPs), and Diversity Arrays Technology (</w:t>
      </w:r>
      <w:proofErr w:type="spellStart"/>
      <w:r>
        <w:rPr>
          <w:rFonts w:ascii="Times New Roman" w:eastAsia="Times New Roman" w:hAnsi="Times New Roman" w:cs="Times New Roman"/>
          <w:sz w:val="24"/>
          <w:szCs w:val="24"/>
        </w:rPr>
        <w:t>DArT</w:t>
      </w:r>
      <w:proofErr w:type="spellEnd"/>
      <w:r>
        <w:rPr>
          <w:rFonts w:ascii="Times New Roman" w:eastAsia="Times New Roman" w:hAnsi="Times New Roman" w:cs="Times New Roman"/>
          <w:sz w:val="24"/>
          <w:szCs w:val="24"/>
        </w:rPr>
        <w:t xml:space="preserve">) have become indispensable tools in molecular marker </w:t>
      </w:r>
      <w:proofErr w:type="spellStart"/>
      <w:r>
        <w:rPr>
          <w:rFonts w:ascii="Times New Roman" w:eastAsia="Times New Roman" w:hAnsi="Times New Roman" w:cs="Times New Roman"/>
          <w:sz w:val="24"/>
          <w:szCs w:val="24"/>
        </w:rPr>
        <w:t>systems.They</w:t>
      </w:r>
      <w:proofErr w:type="spellEnd"/>
      <w:r>
        <w:rPr>
          <w:rFonts w:ascii="Times New Roman" w:eastAsia="Times New Roman" w:hAnsi="Times New Roman" w:cs="Times New Roman"/>
          <w:sz w:val="24"/>
          <w:szCs w:val="24"/>
        </w:rPr>
        <w:t xml:space="preserve"> enable direct DNA level tracking of the genetic variations of agronomic traits present precisely rather than relying on slow environmentally influenced phenotypic selection and can be applied at any developmental </w:t>
      </w:r>
      <w:proofErr w:type="spellStart"/>
      <w:r>
        <w:rPr>
          <w:rFonts w:ascii="Times New Roman" w:eastAsia="Times New Roman" w:hAnsi="Times New Roman" w:cs="Times New Roman"/>
          <w:sz w:val="24"/>
          <w:szCs w:val="24"/>
        </w:rPr>
        <w:t>stage.These</w:t>
      </w:r>
      <w:proofErr w:type="spellEnd"/>
      <w:r>
        <w:rPr>
          <w:rFonts w:ascii="Times New Roman" w:eastAsia="Times New Roman" w:hAnsi="Times New Roman" w:cs="Times New Roman"/>
          <w:sz w:val="24"/>
          <w:szCs w:val="24"/>
        </w:rPr>
        <w:t xml:space="preserve"> shows their clear advantage as opposed to traditional morphological and biochemical markers (</w:t>
      </w:r>
      <w:proofErr w:type="spellStart"/>
      <w:r>
        <w:rPr>
          <w:rFonts w:ascii="Times New Roman" w:eastAsia="Times New Roman" w:hAnsi="Times New Roman" w:cs="Times New Roman"/>
          <w:sz w:val="24"/>
          <w:szCs w:val="24"/>
        </w:rPr>
        <w:t>Amiteya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w:t>
      </w:r>
    </w:p>
    <w:p w14:paraId="0000000B"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genomics and next generation sequencing have revolutionized molecular marker technologies. High-throughput genotyping platforms, genotyping-by-sequencing (GBS), and whole-genome reference sequences enables simultaneous integration of thousands of loci, dense linkage mapping and in genome wide association studies (GWAS) (Soriano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Integration of next generation sequencing with </w:t>
      </w:r>
      <w:proofErr w:type="spellStart"/>
      <w:r>
        <w:rPr>
          <w:rFonts w:ascii="Times New Roman" w:eastAsia="Times New Roman" w:hAnsi="Times New Roman" w:cs="Times New Roman"/>
          <w:sz w:val="24"/>
          <w:szCs w:val="24"/>
        </w:rPr>
        <w:t>omic</w:t>
      </w:r>
      <w:proofErr w:type="spellEnd"/>
      <w:r>
        <w:rPr>
          <w:rFonts w:ascii="Times New Roman" w:eastAsia="Times New Roman" w:hAnsi="Times New Roman" w:cs="Times New Roman"/>
          <w:sz w:val="24"/>
          <w:szCs w:val="24"/>
        </w:rPr>
        <w:t xml:space="preserve"> approaches like proteomics, transcriptomics, metabolomics and phenomics facilitates the identification of candidate genes and allelic variants underlying complex traits, and in the development of functional molecular markers. It gives more information into genes and markers associated with important traits - </w:t>
      </w:r>
      <w:r>
        <w:rPr>
          <w:rFonts w:ascii="Times New Roman" w:eastAsia="Times New Roman" w:hAnsi="Times New Roman" w:cs="Times New Roman"/>
          <w:sz w:val="24"/>
          <w:szCs w:val="24"/>
        </w:rPr>
        <w:lastRenderedPageBreak/>
        <w:t xml:space="preserve">Yield, Quality and Biotic and Abiotic stress </w:t>
      </w:r>
      <w:proofErr w:type="spellStart"/>
      <w:r>
        <w:rPr>
          <w:rFonts w:ascii="Times New Roman" w:eastAsia="Times New Roman" w:hAnsi="Times New Roman" w:cs="Times New Roman"/>
          <w:sz w:val="24"/>
          <w:szCs w:val="24"/>
        </w:rPr>
        <w:t>tolerance.This</w:t>
      </w:r>
      <w:proofErr w:type="spellEnd"/>
      <w:r>
        <w:rPr>
          <w:rFonts w:ascii="Times New Roman" w:eastAsia="Times New Roman" w:hAnsi="Times New Roman" w:cs="Times New Roman"/>
          <w:sz w:val="24"/>
          <w:szCs w:val="24"/>
        </w:rPr>
        <w:t xml:space="preserve"> helps in more precise dissection and manipulation of traits.</w:t>
      </w:r>
    </w:p>
    <w:p w14:paraId="0000000C"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 system has a wide range of application in crop improvement. These includes germplasm characterization, diversity analysis, QTL mapping, marker assisted back crossing, speed breeding, gene pyramiding and in genome editing strategies. It has shortened breeding cycles, increased selection accuracy for yield, quality, and resilience traits and helped in exploiting previously underutilized genetic resources (</w:t>
      </w:r>
      <w:proofErr w:type="spellStart"/>
      <w:r>
        <w:rPr>
          <w:rFonts w:ascii="Times New Roman" w:eastAsia="Times New Roman" w:hAnsi="Times New Roman" w:cs="Times New Roman"/>
          <w:sz w:val="24"/>
          <w:szCs w:val="24"/>
        </w:rPr>
        <w:t>Panthee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14:paraId="0000000D"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2.Classification of Molecular Marker Systems</w:t>
      </w:r>
    </w:p>
    <w:p w14:paraId="0000000E"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xml:space="preserve">           Molecular marker systems are indispensable tools in modern plant breeding and genetic research. They exploit genetic polymorphisms at the DNA level, providing insights into genome organization, population structure, and trait associations. Progress in molecular biology has led to the development of DNA sequence–based markers, expanding the possibilities for tackling emerging challenges in plant breeding (Nadeem </w:t>
      </w:r>
      <w:r>
        <w:rPr>
          <w:rFonts w:ascii="Times New Roman" w:eastAsia="Times New Roman" w:hAnsi="Times New Roman" w:cs="Times New Roman"/>
          <w:i/>
          <w:iCs/>
          <w:color w:val="000000"/>
          <w:sz w:val="24"/>
          <w:szCs w:val="24"/>
        </w:rPr>
        <w:t xml:space="preserve">et al., </w:t>
      </w:r>
      <w:r>
        <w:rPr>
          <w:rFonts w:ascii="Times New Roman" w:eastAsia="Times New Roman" w:hAnsi="Times New Roman" w:cs="Times New Roman"/>
          <w:color w:val="000000"/>
          <w:sz w:val="24"/>
          <w:szCs w:val="24"/>
        </w:rPr>
        <w:t xml:space="preserve">2018). In addition to evaluating genetic distances, molecular markers play a crucial role in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genetic diversity, selecting superior parental lines for breeding, managing germplasm resources, and distinguishing among crop varieties (Dormatey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These markers are usually grouped into three major classes: DNA-based, RNA-based, and protein-based markers. Their key properties are outlined in the following section.</w:t>
      </w:r>
    </w:p>
    <w:p w14:paraId="0000000F"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DNA Markers</w:t>
      </w:r>
    </w:p>
    <w:p w14:paraId="00000010"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advent of polymerase chain reaction (PCR) marked a turning point in the development of DNA marker systems, facilitating the emergence of a wide array of molecular markers, including RAPD, SCAR, AFLP, STS, SSRs, ISSRs, CAPS, SSCP, TGGE, SRAP, TRAP, and </w:t>
      </w:r>
      <w:proofErr w:type="spellStart"/>
      <w:r>
        <w:rPr>
          <w:rFonts w:ascii="Times New Roman" w:eastAsia="Times New Roman" w:hAnsi="Times New Roman" w:cs="Times New Roman"/>
          <w:color w:val="000000"/>
          <w:sz w:val="24"/>
          <w:szCs w:val="24"/>
        </w:rPr>
        <w:t>SCoT.</w:t>
      </w:r>
      <w:proofErr w:type="spellEnd"/>
      <w:r>
        <w:rPr>
          <w:rFonts w:ascii="Times New Roman" w:eastAsia="Times New Roman" w:hAnsi="Times New Roman" w:cs="Times New Roman"/>
          <w:color w:val="000000"/>
          <w:sz w:val="24"/>
          <w:szCs w:val="24"/>
        </w:rPr>
        <w:t xml:space="preserve"> Among these, simple sequence repeats (SSRs), or microsatellites, have become widely adopted owing to their high level of polymorphism, reproducibility, and codominant inheritance. More recently, single nucleotide polymorphisms (SNPs) have gained prominence as the most abundant form of genetic variation, with diverse classes and discovery approaches. SNP genotyping is accomplished through multiple platforms such as molecular beacons, microarrays, primer extension assays, oligonucleotide ligation, and genotyping-by-sequencing. In addition, insertion–deletion polymorphisms (</w:t>
      </w:r>
      <w:proofErr w:type="spellStart"/>
      <w:r>
        <w:rPr>
          <w:rFonts w:ascii="Times New Roman" w:eastAsia="Times New Roman" w:hAnsi="Times New Roman" w:cs="Times New Roman"/>
          <w:color w:val="000000"/>
          <w:sz w:val="24"/>
          <w:szCs w:val="24"/>
        </w:rPr>
        <w:t>InDels</w:t>
      </w:r>
      <w:proofErr w:type="spellEnd"/>
      <w:r>
        <w:rPr>
          <w:rFonts w:ascii="Times New Roman" w:eastAsia="Times New Roman" w:hAnsi="Times New Roman" w:cs="Times New Roman"/>
          <w:color w:val="000000"/>
          <w:sz w:val="24"/>
          <w:szCs w:val="24"/>
        </w:rPr>
        <w:t>), RNA-based markers, and epigenetic markers have emerged as important tools for advanced genetic and genomic analyses.</w:t>
      </w:r>
    </w:p>
    <w:p w14:paraId="00000011"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DNA markers have revolutionized plant breeding by enabling advanced approaches such as Marker-Assisted Selection (MAS), Marker-Assisted Recurrent Selection (MARS), Genome-Wide Association Studies (GWAS), and Genomic Selection (GS), thereby enhancing the efficiency and precision of crop improvement programs (Islam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Prysiazhniuk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Varghese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2024; Saavedra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2023; </w:t>
      </w:r>
      <w:proofErr w:type="spellStart"/>
      <w:r>
        <w:rPr>
          <w:rFonts w:ascii="Times New Roman" w:eastAsia="Times New Roman" w:hAnsi="Times New Roman" w:cs="Times New Roman"/>
          <w:color w:val="000000"/>
          <w:sz w:val="24"/>
          <w:szCs w:val="24"/>
        </w:rPr>
        <w:t>Suryendra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Kumar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2023; Yuan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2020; Akram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2021; Ma and Cao, 2021). DNA markers represent fragments of DNA that exhibit polymorphism caused by nucleotide substitutions, insertions, or deletions among individuals. They are widely applied in molecular breeding, and the commonly used types are as follows:</w:t>
      </w:r>
    </w:p>
    <w:p w14:paraId="00000012"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            First described by Botstein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(1980), RFLP was among the earliest marker systems </w:t>
      </w:r>
      <w:r>
        <w:rPr>
          <w:rFonts w:ascii="Times New Roman" w:eastAsia="Times New Roman" w:hAnsi="Times New Roman" w:cs="Times New Roman"/>
          <w:color w:val="000000"/>
          <w:sz w:val="24"/>
          <w:szCs w:val="24"/>
        </w:rPr>
        <w:lastRenderedPageBreak/>
        <w:t xml:space="preserve">developed for plant breeding. In this technique, DNA is digested with restriction enzymes, and the resulting fragments are separated using gel electrophoresis before hybridization with </w:t>
      </w:r>
      <w:proofErr w:type="spellStart"/>
      <w:r>
        <w:rPr>
          <w:rFonts w:ascii="Times New Roman" w:eastAsia="Times New Roman" w:hAnsi="Times New Roman" w:cs="Times New Roman"/>
          <w:color w:val="000000"/>
          <w:sz w:val="24"/>
          <w:szCs w:val="24"/>
        </w:rPr>
        <w:t>labeled</w:t>
      </w:r>
      <w:proofErr w:type="spellEnd"/>
      <w:r>
        <w:rPr>
          <w:rFonts w:ascii="Times New Roman" w:eastAsia="Times New Roman" w:hAnsi="Times New Roman" w:cs="Times New Roman"/>
          <w:color w:val="000000"/>
          <w:sz w:val="24"/>
          <w:szCs w:val="24"/>
        </w:rPr>
        <w:t xml:space="preserve"> probes. RFLP markers are co-dominant and reliable, but their routine use is restricted due to the requirement for large amounts of high-quality DNA and the </w:t>
      </w:r>
      <w:proofErr w:type="spellStart"/>
      <w:r>
        <w:rPr>
          <w:rFonts w:ascii="Times New Roman" w:eastAsia="Times New Roman" w:hAnsi="Times New Roman" w:cs="Times New Roman"/>
          <w:color w:val="000000"/>
          <w:sz w:val="24"/>
          <w:szCs w:val="24"/>
        </w:rPr>
        <w:t>labor-intensive</w:t>
      </w:r>
      <w:proofErr w:type="spellEnd"/>
      <w:r>
        <w:rPr>
          <w:rFonts w:ascii="Times New Roman" w:eastAsia="Times New Roman" w:hAnsi="Times New Roman" w:cs="Times New Roman"/>
          <w:color w:val="000000"/>
          <w:sz w:val="24"/>
          <w:szCs w:val="24"/>
        </w:rPr>
        <w:t xml:space="preserve"> nature of the procedure (Collard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2005). </w:t>
      </w:r>
    </w:p>
    <w:p w14:paraId="00000013"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             RAPD involves amplifying random segments of genomic DNA using short primers in a PCR reaction. These are dominant markers and are valued for being inexpensive and technically simple. However, they are often criticized for poor reproducibility, limiting their utility in precise applications such as fine-scale mapping (Agarwal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2008).</w:t>
      </w:r>
    </w:p>
    <w:p w14:paraId="00000014"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            Introduced by Vos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(1995), AFLP integrates features of both RFLP and PCR. Genomic DNA is first digested with restriction enzymes, followed by selective amplification of subsets of the resulting fragments. AFLP markers are highly polymorphic and reproducible, making them particularly useful in genetic diversity studies, linkage analysis, and marker-assisted selection.</w:t>
      </w:r>
    </w:p>
    <w:p w14:paraId="00000015"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SSRs consist of tandemly repeated short DNA motifs, usually 1–6 base pairs in length. They are co-dominant, highly polymorphic, and evenly distributed across the genome (Varshney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2005). Their high variability and reproducibility make them extremely useful in genetic diversity studies, linkage mapping, and crop improvement programs through marker-assisted selection. </w:t>
      </w:r>
      <w:r>
        <w:rPr>
          <w:rFonts w:ascii="Times New Roman" w:eastAsia="Times New Roman" w:hAnsi="Times New Roman" w:cs="Times New Roman"/>
          <w:sz w:val="24"/>
          <w:szCs w:val="24"/>
        </w:rPr>
        <w:t xml:space="preserve">Examples of commonly used DNA markers in crop plants include RFLP: Xa21-linked RFLP marker RG103 in rice for bacterial blight resistance (Ronald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1992), RAPD: OPD-03 and OPA-18 markers used in genetic diversity studies of rice and wheat (Williams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1990), AFLP: </w:t>
      </w:r>
      <w:proofErr w:type="spellStart"/>
      <w:r>
        <w:rPr>
          <w:rFonts w:ascii="Times New Roman" w:eastAsia="Times New Roman" w:hAnsi="Times New Roman" w:cs="Times New Roman"/>
          <w:sz w:val="24"/>
          <w:szCs w:val="24"/>
        </w:rPr>
        <w:t>EcoRI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MseI</w:t>
      </w:r>
      <w:proofErr w:type="spellEnd"/>
      <w:r>
        <w:rPr>
          <w:rFonts w:ascii="Times New Roman" w:eastAsia="Times New Roman" w:hAnsi="Times New Roman" w:cs="Times New Roman"/>
          <w:sz w:val="24"/>
          <w:szCs w:val="24"/>
        </w:rPr>
        <w:t xml:space="preserve"> primer combinations applied in diversity analysis of rice and barley (Vos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1995), SSR: RM224 (blast resistance), RM13 (grain quality) in rice; Xgwm295 in wheat for rust resistance (McCouch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Roder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1998), SNP: KASP markers linked to Pi54 and Xa4 genes in rice; Lr34 and Yr18 loci in wheat (</w:t>
      </w:r>
      <w:proofErr w:type="spellStart"/>
      <w:r>
        <w:rPr>
          <w:rFonts w:ascii="Times New Roman" w:eastAsia="Times New Roman" w:hAnsi="Times New Roman" w:cs="Times New Roman"/>
          <w:sz w:val="24"/>
          <w:szCs w:val="24"/>
        </w:rPr>
        <w:t>Lagudah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2009; Subramaniam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2024), </w:t>
      </w:r>
      <w:proofErr w:type="spellStart"/>
      <w:r>
        <w:rPr>
          <w:rFonts w:ascii="Times New Roman" w:eastAsia="Times New Roman" w:hAnsi="Times New Roman" w:cs="Times New Roman"/>
          <w:sz w:val="24"/>
          <w:szCs w:val="24"/>
        </w:rPr>
        <w:t>InDel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InDel</w:t>
      </w:r>
      <w:proofErr w:type="spellEnd"/>
      <w:r>
        <w:rPr>
          <w:rFonts w:ascii="Times New Roman" w:eastAsia="Times New Roman" w:hAnsi="Times New Roman" w:cs="Times New Roman"/>
          <w:sz w:val="24"/>
          <w:szCs w:val="24"/>
        </w:rPr>
        <w:t xml:space="preserve"> markers near GS3 and GW2 genes in rice for grain size variation (Fan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Song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w:t>
      </w:r>
    </w:p>
    <w:p w14:paraId="00000016" w14:textId="77777777" w:rsidR="006318AC" w:rsidRDefault="006318AC">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017"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Technological Advances in Marker Development</w:t>
      </w:r>
    </w:p>
    <w:p w14:paraId="00000018"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 the past two decades, molecular marker development has undergone remarkable progress, propelled by breakthroughs in high-throughput genomics and computational biology. Notable advancements include:</w:t>
      </w:r>
    </w:p>
    <w:p w14:paraId="00000019"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          NGS platforms have revolutionized marker discovery, enabling genome-wide identification of SNPs, </w:t>
      </w:r>
      <w:proofErr w:type="spellStart"/>
      <w:r>
        <w:rPr>
          <w:rFonts w:ascii="Times New Roman" w:eastAsia="Times New Roman" w:hAnsi="Times New Roman" w:cs="Times New Roman"/>
          <w:color w:val="000000"/>
          <w:sz w:val="24"/>
          <w:szCs w:val="24"/>
        </w:rPr>
        <w:t>InDels</w:t>
      </w:r>
      <w:proofErr w:type="spellEnd"/>
      <w:r>
        <w:rPr>
          <w:rFonts w:ascii="Times New Roman" w:eastAsia="Times New Roman" w:hAnsi="Times New Roman" w:cs="Times New Roman"/>
          <w:color w:val="000000"/>
          <w:sz w:val="24"/>
          <w:szCs w:val="24"/>
        </w:rPr>
        <w:t xml:space="preserve">, and structural variants at reduced cost. Next-generation sequencing (NGS) has enabled the identification and development of a wide range of DNA markers, such as SSRs and SNPs, which hold significant potential for use in genetic research and molecular breeding. The conservation of P. </w:t>
      </w:r>
      <w:proofErr w:type="spellStart"/>
      <w:r>
        <w:rPr>
          <w:rFonts w:ascii="Times New Roman" w:eastAsia="Times New Roman" w:hAnsi="Times New Roman" w:cs="Times New Roman"/>
          <w:color w:val="000000"/>
          <w:sz w:val="24"/>
          <w:szCs w:val="24"/>
        </w:rPr>
        <w:t>vietnamensis</w:t>
      </w:r>
      <w:proofErr w:type="spellEnd"/>
      <w:r>
        <w:rPr>
          <w:rFonts w:ascii="Times New Roman" w:eastAsia="Times New Roman" w:hAnsi="Times New Roman" w:cs="Times New Roman"/>
          <w:color w:val="000000"/>
          <w:sz w:val="24"/>
          <w:szCs w:val="24"/>
        </w:rPr>
        <w:t xml:space="preserve"> using these DNA marker related research was conducted (Dang and Nguyen, 2025). The markers used in this research can serve as reliable tools for authenticating ginseng-based commercial products and medicinal materials derived from Vietnamese ginseng.</w:t>
      </w:r>
    </w:p>
    <w:p w14:paraId="0000001A"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High-throughput SNP genotyping technology platforms such as Illumina Infinium arrays, Affymetrix Gene Chip, and </w:t>
      </w:r>
      <w:proofErr w:type="spellStart"/>
      <w:r>
        <w:rPr>
          <w:rFonts w:ascii="Times New Roman" w:eastAsia="Times New Roman" w:hAnsi="Times New Roman" w:cs="Times New Roman"/>
          <w:color w:val="000000"/>
          <w:sz w:val="24"/>
          <w:szCs w:val="24"/>
        </w:rPr>
        <w:t>Kompetitive</w:t>
      </w:r>
      <w:proofErr w:type="spellEnd"/>
      <w:r>
        <w:rPr>
          <w:rFonts w:ascii="Times New Roman" w:eastAsia="Times New Roman" w:hAnsi="Times New Roman" w:cs="Times New Roman"/>
          <w:color w:val="000000"/>
          <w:sz w:val="24"/>
          <w:szCs w:val="24"/>
        </w:rPr>
        <w:t xml:space="preserve"> Allele Specific PCR (KASP) allow efficient and accurate genotyping of thousands of SNPs simultaneously. Crop-specific SNP arrays (e.g., Rice 700K, Wheat 90K) are widely applied in genomic selection, genome-wide association studies (GWAS), and diversity analysis. To enhance the application of SNP-based genotyping, a targeted SNP genotyping platform called AT-SNP-30K was developed and validated utilizing Allegro targeted SNP technology (</w:t>
      </w:r>
      <w:proofErr w:type="spellStart"/>
      <w:r>
        <w:rPr>
          <w:rFonts w:ascii="Times New Roman" w:eastAsia="Times New Roman" w:hAnsi="Times New Roman" w:cs="Times New Roman"/>
          <w:color w:val="000000"/>
          <w:sz w:val="24"/>
          <w:szCs w:val="24"/>
        </w:rPr>
        <w:t>Demenou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 </w:t>
      </w:r>
    </w:p>
    <w:p w14:paraId="0000001B"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Reduced-representation sequencing approaches like Genotyping - by -Sequencing (GBS) and Restriction-site Associated DNA sequencing (RAD-</w:t>
      </w:r>
      <w:proofErr w:type="spellStart"/>
      <w:r>
        <w:rPr>
          <w:rFonts w:ascii="Times New Roman" w:eastAsia="Times New Roman" w:hAnsi="Times New Roman" w:cs="Times New Roman"/>
          <w:color w:val="000000"/>
          <w:sz w:val="24"/>
          <w:szCs w:val="24"/>
        </w:rPr>
        <w:t>seq</w:t>
      </w:r>
      <w:proofErr w:type="spellEnd"/>
      <w:r>
        <w:rPr>
          <w:rFonts w:ascii="Times New Roman" w:eastAsia="Times New Roman" w:hAnsi="Times New Roman" w:cs="Times New Roman"/>
          <w:color w:val="000000"/>
          <w:sz w:val="24"/>
          <w:szCs w:val="24"/>
        </w:rPr>
        <w:t xml:space="preserve">) provide cost-effective methods for generating genome-wide marker datasets, especially in non-model species. Studies highlighting choosing an appropriate restriction enzyme are crucial when applying reduced representation sequencing methods in conservation genomics. Research findings from a study provide strong evidence that different restriction enzymes significantly influence the composition of mapped loci. (Lopez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w:t>
      </w:r>
    </w:p>
    <w:p w14:paraId="0000001C"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Integration of multi-omics data is another advance in transcriptomics, proteomics, and metabolomics have facilitated the development of functional markers linked to biological pathways, improving the precision of molecular breeding. Studies emphasizing the crucial role of semantic technologies in addressing the challenges associated with multi-omics data integration is well discussed (De Filippis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w:t>
      </w:r>
    </w:p>
    <w:p w14:paraId="0000001D"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 emerging technologies, portable sequencing systems such as Oxford Nanopore, digital PCR-based assays, and CRISPR-Cas–mediated genotyping represent new frontiers, offering rapid, precise, and field-deployable tools for molecular analysis. Gene transfer or recombinant DNA technology enhances the production of secondary metabolites by altering the biosynthetic pathways involved in their formation (</w:t>
      </w:r>
      <w:proofErr w:type="spellStart"/>
      <w:r>
        <w:rPr>
          <w:rFonts w:ascii="Times New Roman" w:eastAsia="Times New Roman" w:hAnsi="Times New Roman" w:cs="Times New Roman"/>
          <w:color w:val="000000"/>
          <w:sz w:val="24"/>
          <w:szCs w:val="24"/>
        </w:rPr>
        <w:t>Sreenikethanam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2022).</w:t>
      </w:r>
    </w:p>
    <w:p w14:paraId="0000001E"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These advances not only improve the scale and accuracy of genotyping but also make marker technologies more accessible for applied breeding programs.</w:t>
      </w:r>
    </w:p>
    <w:p w14:paraId="0000001F" w14:textId="77777777" w:rsidR="006318AC" w:rsidRDefault="006318AC">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p>
    <w:p w14:paraId="00000020"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Cytogenetic and Epigenetic Marker Systems</w:t>
      </w:r>
    </w:p>
    <w:p w14:paraId="00000021"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xml:space="preserve">          Conventional markers rely on sequence polymorphisms, whereas cytogenetic and epigenetic approaches provide complementary insights into genome structure and regulation</w:t>
      </w:r>
      <w:r>
        <w:rPr>
          <w:rFonts w:ascii="Times New Roman" w:eastAsia="Times New Roman" w:hAnsi="Times New Roman" w:cs="Times New Roman"/>
          <w:color w:val="EE0000"/>
          <w:sz w:val="24"/>
          <w:szCs w:val="24"/>
        </w:rPr>
        <w:t xml:space="preserve">.        </w:t>
      </w:r>
    </w:p>
    <w:p w14:paraId="00000022"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Cytogenetic and epigenetic markers together provide valuable insights into genome structure and regulation. Cytogenetic techniques such as chromosome banding (G- and C-banding) and Fluorescence In Situ Hybridization (FISH) enable visualization of chromosomal organization, while Genomic In Situ Hybridization (GISH) is particularly useful in polyploid crops for identifying parental genomes and chromosomal rearrangements. Chromosome painting with </w:t>
      </w:r>
      <w:proofErr w:type="spellStart"/>
      <w:r>
        <w:rPr>
          <w:rFonts w:ascii="Times New Roman" w:eastAsia="Times New Roman" w:hAnsi="Times New Roman" w:cs="Times New Roman"/>
          <w:color w:val="000000"/>
          <w:sz w:val="24"/>
          <w:szCs w:val="24"/>
        </w:rPr>
        <w:t>labeled</w:t>
      </w:r>
      <w:proofErr w:type="spellEnd"/>
      <w:r>
        <w:rPr>
          <w:rFonts w:ascii="Times New Roman" w:eastAsia="Times New Roman" w:hAnsi="Times New Roman" w:cs="Times New Roman"/>
          <w:color w:val="000000"/>
          <w:sz w:val="24"/>
          <w:szCs w:val="24"/>
        </w:rPr>
        <w:t xml:space="preserve"> probes further enhances large-scale chromosomal mapping. Epigenetic markers, on the other hand, capture heritable modifications in gene expression caused by DNA methylation and histone alterations without changing the DNA sequence. Techniques like Methylation-Sensitive Amplification Polymorphism (MSAP), </w:t>
      </w:r>
      <w:proofErr w:type="spellStart"/>
      <w:r>
        <w:rPr>
          <w:rFonts w:ascii="Times New Roman" w:eastAsia="Times New Roman" w:hAnsi="Times New Roman" w:cs="Times New Roman"/>
          <w:color w:val="000000"/>
          <w:sz w:val="24"/>
          <w:szCs w:val="24"/>
        </w:rPr>
        <w:t>bisulfite</w:t>
      </w:r>
      <w:proofErr w:type="spellEnd"/>
      <w:r>
        <w:rPr>
          <w:rFonts w:ascii="Times New Roman" w:eastAsia="Times New Roman" w:hAnsi="Times New Roman" w:cs="Times New Roman"/>
          <w:color w:val="000000"/>
          <w:sz w:val="24"/>
          <w:szCs w:val="24"/>
        </w:rPr>
        <w:t xml:space="preserve"> sequencing, and </w:t>
      </w:r>
      <w:proofErr w:type="spellStart"/>
      <w:r>
        <w:rPr>
          <w:rFonts w:ascii="Times New Roman" w:eastAsia="Times New Roman" w:hAnsi="Times New Roman" w:cs="Times New Roman"/>
          <w:color w:val="000000"/>
          <w:sz w:val="24"/>
          <w:szCs w:val="24"/>
        </w:rPr>
        <w:t>ChIP-seq</w:t>
      </w:r>
      <w:proofErr w:type="spellEnd"/>
      <w:r>
        <w:rPr>
          <w:rFonts w:ascii="Times New Roman" w:eastAsia="Times New Roman" w:hAnsi="Times New Roman" w:cs="Times New Roman"/>
          <w:color w:val="000000"/>
          <w:sz w:val="24"/>
          <w:szCs w:val="24"/>
        </w:rPr>
        <w:t xml:space="preserve"> allow precise analysis of methylation patterns and chromatin states, while small RNA-based markers derived from microRNAs or siRNAs provide insights into gene regulation under developmental and stress conditions. Collectively, these marker systems expand the understanding of genome organization and epigenetic regulation, supporting advanced genomic and crop improvement studies.</w:t>
      </w:r>
    </w:p>
    <w:p w14:paraId="00000023" w14:textId="77777777" w:rsidR="006318AC"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Cytogenetic and epigenetic marker systems broaden the utility of traditional molecular markers by revealing structural variations, gene regulation, and epigenetic inheritance, thereby enhancing crop improvement efforts. Overall, molecular marker technologies have advanced from hybridization-based methods to high-throughput sequencing approaches, with the integration of these advanced markers providing deeper genomic insights and supporting precise, efficient plant breeding.</w:t>
      </w:r>
    </w:p>
    <w:p w14:paraId="00000024" w14:textId="77777777" w:rsidR="006318AC" w:rsidRDefault="006318AC">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025" w14:textId="77777777" w:rsidR="006318AC" w:rsidRDefault="00000000">
      <w:pPr>
        <w:numPr>
          <w:ilvl w:val="0"/>
          <w:numId w:val="6"/>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Integration with other omics approaches</w:t>
      </w:r>
    </w:p>
    <w:p w14:paraId="00000026" w14:textId="77777777" w:rsidR="006318AC"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omics approaches such as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genomics, transcriptomics, proteomics, metabolomics, phenomics etc. with molecular marker systems create a comprehensive understanding of complex traits and accelerates the achievement of breeding objectives by identifying the key genes, regulatory mechanisms, and effective breeding strategy. Structural genomics depends on molecular markers which deals with the identification and mapping of target genes associated with yield, agronomic quality, adaptability, resistance to biotic and abiotic stresses and subsequent development of improved plant types suited to diverse environments. Elucidating the underlying mechanisms and interactions of target traits at gene, RNA, protein and metabolite levels, coupled with high-throughput phenotyping enhances efficiency, accuracy and the overall pace of breeding efforts. </w:t>
      </w:r>
    </w:p>
    <w:p w14:paraId="00000027" w14:textId="77777777" w:rsidR="006318AC"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 candidate genes significantly associated with salt-induced osmotic stress (SIOS) tolerance was identified using a LC-MS based untargeted metabolomics approach in maize inbred lines along with 37 metabolite biomarkers for SIOS tolerance which boosts genetic improvement of maize salt tolerance (Liang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Schmidt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w:t>
      </w:r>
      <w:proofErr w:type="spellStart"/>
      <w:r>
        <w:rPr>
          <w:rFonts w:ascii="Times New Roman" w:eastAsia="Times New Roman" w:hAnsi="Times New Roman" w:cs="Times New Roman"/>
          <w:sz w:val="24"/>
          <w:szCs w:val="24"/>
        </w:rPr>
        <w:t>phenotyed</w:t>
      </w:r>
      <w:proofErr w:type="spellEnd"/>
      <w:r>
        <w:rPr>
          <w:rFonts w:ascii="Times New Roman" w:eastAsia="Times New Roman" w:hAnsi="Times New Roman" w:cs="Times New Roman"/>
          <w:sz w:val="24"/>
          <w:szCs w:val="24"/>
        </w:rPr>
        <w:t xml:space="preserve"> MAGIC population of wheat under two contrasting nitrogen levels in a high-throughput facility to understand the natural variation of traits associated with nitrogen use efficiency (NUE) and genotyped the populations in a GWAS study utilizing SNPs. The study identified 42 stable QTLs including two novel QTLs showing pleiotropic traits on several traits which could be useful in crop improvement.</w:t>
      </w:r>
    </w:p>
    <w:p w14:paraId="00000028" w14:textId="77777777" w:rsidR="006318AC" w:rsidRDefault="00000000">
      <w:pPr>
        <w:numPr>
          <w:ilvl w:val="0"/>
          <w:numId w:val="6"/>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Molecular markers in germplasm characterization and conservation</w:t>
      </w:r>
    </w:p>
    <w:p w14:paraId="00000029"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Germplasm conservation is considered one of the most effective strategies for preserving the genetic diversity and valuable agronomic traits of endangered plant species, commercially important crops and their wild relatives through </w:t>
      </w:r>
      <w:r>
        <w:rPr>
          <w:rFonts w:ascii="Times New Roman" w:eastAsia="Times New Roman" w:hAnsi="Times New Roman" w:cs="Times New Roman"/>
          <w:i/>
          <w:iCs/>
          <w:sz w:val="24"/>
          <w:szCs w:val="24"/>
        </w:rPr>
        <w:t xml:space="preserve">in vitro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ex vitro </w:t>
      </w:r>
      <w:r>
        <w:rPr>
          <w:rFonts w:ascii="Times New Roman" w:eastAsia="Times New Roman" w:hAnsi="Times New Roman" w:cs="Times New Roman"/>
          <w:sz w:val="24"/>
          <w:szCs w:val="24"/>
        </w:rPr>
        <w:t>means (</w:t>
      </w:r>
      <w:bookmarkStart w:id="0" w:name="bookmark=id.eq42f5odkoft" w:colFirst="0" w:colLast="0"/>
      <w:bookmarkEnd w:id="0"/>
      <w:r>
        <w:fldChar w:fldCharType="begin"/>
      </w:r>
      <w:r>
        <w:instrText>HYPERLINK "https://www.sciencedirect.com/science/article/pii/S0304423820303186" \l "bib0015" \h</w:instrText>
      </w:r>
      <w:r>
        <w:fldChar w:fldCharType="separate"/>
      </w:r>
      <w:r>
        <w:rPr>
          <w:rFonts w:ascii="Times New Roman" w:eastAsia="Times New Roman" w:hAnsi="Times New Roman" w:cs="Times New Roman"/>
          <w:color w:val="000000"/>
          <w:sz w:val="24"/>
          <w:szCs w:val="24"/>
        </w:rPr>
        <w:t>Bhatia, 2015</w:t>
      </w:r>
      <w:r>
        <w:fldChar w:fldCharType="end"/>
      </w:r>
      <w:r>
        <w:rPr>
          <w:rFonts w:ascii="Times New Roman" w:eastAsia="Times New Roman" w:hAnsi="Times New Roman" w:cs="Times New Roman"/>
          <w:sz w:val="24"/>
          <w:szCs w:val="24"/>
        </w:rPr>
        <w:t xml:space="preserve">). On the other hand, characterisation involves recording of distinctly identifiable heritable characters. Germplasm conservation methods predominantly gene banks contain extensive collections of accessions serving as valuable sources of genes for desirable traits. However, characterisation and identification of desirable accessions from such vast lot through phenotyping poses significant challenges. Hence to enable timely and efficient use of these accessions in breeding pipelines they have to be screened genotypically which is more precise, reliable and environment insensitive. </w:t>
      </w:r>
    </w:p>
    <w:p w14:paraId="0000002A" w14:textId="77777777" w:rsidR="006318AC" w:rsidRDefault="00000000">
      <w:pPr>
        <w:spacing w:after="28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markers have become valuable tools for studying germplasm, helping researchers understand the genetic diversity within populations and the differences that exist </w:t>
      </w:r>
      <w:r>
        <w:rPr>
          <w:rFonts w:ascii="Times New Roman" w:eastAsia="Times New Roman" w:hAnsi="Times New Roman" w:cs="Times New Roman"/>
          <w:sz w:val="24"/>
          <w:szCs w:val="24"/>
        </w:rPr>
        <w:lastRenderedPageBreak/>
        <w:t xml:space="preserve">between them. Molecular markers should be utilized in the characterisation and evaluation of genetic resources to generate valuable information on genes and traits, which can then be incorporated into core collections to enhance their usefulness for plant breeders (Barcaccia, 2010). PCR and sequence based molecular markers are commonly employed, either alone or in combination, to characterize the similarities and variations existing in collections. PCR based markers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RAPD have been used to assess genetic variations among plants of same species whereas AFLP revealed genetic divergence and phylogenetic relationship between different as well as closely related genotypes (Hussain and Nisar, 2020).</w:t>
      </w:r>
    </w:p>
    <w:p w14:paraId="0000002B" w14:textId="77777777" w:rsidR="006318AC" w:rsidRDefault="00000000">
      <w:pPr>
        <w:spacing w:before="240" w:after="28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495 persimmon (</w:t>
      </w:r>
      <w:r>
        <w:rPr>
          <w:rFonts w:ascii="Times New Roman" w:eastAsia="Times New Roman" w:hAnsi="Times New Roman" w:cs="Times New Roman"/>
          <w:i/>
          <w:iCs/>
          <w:sz w:val="24"/>
          <w:szCs w:val="24"/>
        </w:rPr>
        <w:t xml:space="preserve">Diospyros kaki </w:t>
      </w:r>
      <w:r>
        <w:rPr>
          <w:rFonts w:ascii="Times New Roman" w:eastAsia="Times New Roman" w:hAnsi="Times New Roman" w:cs="Times New Roman"/>
          <w:sz w:val="24"/>
          <w:szCs w:val="24"/>
        </w:rPr>
        <w:t xml:space="preserve">Thunb.) accessions from four centres of origin were </w:t>
      </w:r>
      <w:proofErr w:type="spellStart"/>
      <w:r>
        <w:rPr>
          <w:rFonts w:ascii="Times New Roman" w:eastAsia="Times New Roman" w:hAnsi="Times New Roman" w:cs="Times New Roman"/>
          <w:sz w:val="24"/>
          <w:szCs w:val="24"/>
        </w:rPr>
        <w:t>phenotyped</w:t>
      </w:r>
      <w:proofErr w:type="spellEnd"/>
      <w:r>
        <w:rPr>
          <w:rFonts w:ascii="Times New Roman" w:eastAsia="Times New Roman" w:hAnsi="Times New Roman" w:cs="Times New Roman"/>
          <w:sz w:val="24"/>
          <w:szCs w:val="24"/>
        </w:rPr>
        <w:t xml:space="preserve"> for agronomic traits and genotyped using SSR markers at the National Field Gene Bank for Persimmon (NFGP), China. The study identified 10 synonymous groups comprising 24 germplasms and 52 representative varieties that can serve as potential parents in breeding programs (Guan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Genetic diversity among 67 landraces of common bean (</w:t>
      </w:r>
      <w:r>
        <w:rPr>
          <w:rFonts w:ascii="Times New Roman" w:eastAsia="Times New Roman" w:hAnsi="Times New Roman" w:cs="Times New Roman"/>
          <w:i/>
          <w:iCs/>
          <w:sz w:val="24"/>
          <w:szCs w:val="24"/>
        </w:rPr>
        <w:t xml:space="preserve">Phaseolus vulgaris </w:t>
      </w:r>
      <w:r>
        <w:rPr>
          <w:rFonts w:ascii="Times New Roman" w:eastAsia="Times New Roman" w:hAnsi="Times New Roman" w:cs="Times New Roman"/>
          <w:sz w:val="24"/>
          <w:szCs w:val="24"/>
        </w:rPr>
        <w:t xml:space="preserve">L.) was studied using 48 ISSR markers revealing high level of polymorphism. This variability could be attributed to the different origins of the beans (Andean or Mesoamerican) as well as factors such as selection, geographical and environmental influences and also identified different accessions suitable to different market niches (de Paula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2024). Manasa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proposed a rapid approach for cultivar identification in sesame by integrating DUS (Distinctness, uniformity and stability) descriptors with molecular markers. Using SSR markers, they developed genotype-specific DNA fingerprints and a QR code system for 43 sesame genotypes, enabling easy access to varietal information, and effective management of breeding materials and germplasm in breeding programs.</w:t>
      </w:r>
    </w:p>
    <w:p w14:paraId="0000002C"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Application of molecular markers in crop improvement</w:t>
      </w:r>
    </w:p>
    <w:p w14:paraId="0000002D"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markers are used in crop improvement for mapping, precise identification, selection and transfer of desirable traits. Their application includes in genetic diversity analysis, marker assisted selection, genomic selection, linkage mapping and in accelerated breeding programmes.</w:t>
      </w:r>
    </w:p>
    <w:p w14:paraId="0000002E" w14:textId="77777777" w:rsidR="006318AC"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Genetic diversity and germplasm characterization</w:t>
      </w:r>
    </w:p>
    <w:p w14:paraId="0000002F"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markers are essential tools in assessing genetic diversity and understanding evolutionary relationships in plants. This is essential for planning many breeding programmes as this gives environment independent and reproducible data.</w:t>
      </w:r>
    </w:p>
    <w:p w14:paraId="00000030"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Shrivastav and his coworkers in 2023 evaluated the genetic diversity of 75 Indian mustard (</w:t>
      </w:r>
      <w:r>
        <w:rPr>
          <w:rFonts w:ascii="Times New Roman" w:eastAsia="Times New Roman" w:hAnsi="Times New Roman" w:cs="Times New Roman"/>
          <w:i/>
          <w:iCs/>
          <w:sz w:val="24"/>
          <w:szCs w:val="24"/>
        </w:rPr>
        <w:t xml:space="preserve">Brassica juncea </w:t>
      </w:r>
      <w:r>
        <w:rPr>
          <w:rFonts w:ascii="Times New Roman" w:eastAsia="Times New Roman" w:hAnsi="Times New Roman" w:cs="Times New Roman"/>
          <w:sz w:val="24"/>
          <w:szCs w:val="24"/>
        </w:rPr>
        <w:t>var</w:t>
      </w:r>
      <w:r>
        <w:rPr>
          <w:rFonts w:ascii="Times New Roman" w:eastAsia="Times New Roman" w:hAnsi="Times New Roman" w:cs="Times New Roman"/>
          <w:i/>
          <w:iCs/>
          <w:sz w:val="24"/>
          <w:szCs w:val="24"/>
        </w:rPr>
        <w:t>. rugosa</w:t>
      </w:r>
      <w:r>
        <w:rPr>
          <w:rFonts w:ascii="Times New Roman" w:eastAsia="Times New Roman" w:hAnsi="Times New Roman" w:cs="Times New Roman"/>
          <w:sz w:val="24"/>
          <w:szCs w:val="24"/>
        </w:rPr>
        <w:t>) using 77 SSR markers. There was positive amplification for all the SSR markers with 21 of them showing polymorphic amplicons. Dendrogram grouped them into 3 clusters. This study helped in better understanding of the genetic diversity of Indian mustard which can be used in genetic improvement of the crop.</w:t>
      </w:r>
    </w:p>
    <w:p w14:paraId="00000031"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Rahayu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analysed the genetic diversity of Puan </w:t>
      </w:r>
      <w:proofErr w:type="spellStart"/>
      <w:r>
        <w:rPr>
          <w:rFonts w:ascii="Times New Roman" w:eastAsia="Times New Roman" w:hAnsi="Times New Roman" w:cs="Times New Roman"/>
          <w:sz w:val="24"/>
          <w:szCs w:val="24"/>
        </w:rPr>
        <w:t>Kalianda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kopyor</w:t>
      </w:r>
      <w:proofErr w:type="spellEnd"/>
      <w:r>
        <w:rPr>
          <w:rFonts w:ascii="Times New Roman" w:eastAsia="Times New Roman" w:hAnsi="Times New Roman" w:cs="Times New Roman"/>
          <w:sz w:val="24"/>
          <w:szCs w:val="24"/>
        </w:rPr>
        <w:t xml:space="preserve"> coconuts (</w:t>
      </w:r>
      <w:r>
        <w:rPr>
          <w:rFonts w:ascii="Times New Roman" w:eastAsia="Times New Roman" w:hAnsi="Times New Roman" w:cs="Times New Roman"/>
          <w:i/>
          <w:iCs/>
          <w:sz w:val="24"/>
          <w:szCs w:val="24"/>
        </w:rPr>
        <w:t>Cocos nucifera</w:t>
      </w:r>
      <w:r>
        <w:rPr>
          <w:rFonts w:ascii="Times New Roman" w:eastAsia="Times New Roman" w:hAnsi="Times New Roman" w:cs="Times New Roman"/>
          <w:sz w:val="24"/>
          <w:szCs w:val="24"/>
        </w:rPr>
        <w:t xml:space="preserve">) from South Lampung using SSR markers. The result showed population has 70% expected heterozygosity and 60% observed heterozygosity. The phylogenetic analysis showed </w:t>
      </w:r>
      <w:r>
        <w:rPr>
          <w:rFonts w:ascii="Times New Roman" w:eastAsia="Times New Roman" w:hAnsi="Times New Roman" w:cs="Times New Roman"/>
          <w:sz w:val="24"/>
          <w:szCs w:val="24"/>
        </w:rPr>
        <w:lastRenderedPageBreak/>
        <w:t>2 main clusters. The genetic structure analysis showed that the population is derived from 2 ancestral origins. The genetic diversity among the population is very high so it is considered as the essential genetic resource for future breeding programmes.</w:t>
      </w:r>
    </w:p>
    <w:p w14:paraId="00000032" w14:textId="77777777" w:rsidR="006318AC"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Marker assisted selection and accelerated breeding programmes</w:t>
      </w:r>
    </w:p>
    <w:p w14:paraId="00000033"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markers revolutionized marker assisted selection and accelerated breeding programmes as it helped breeders to select plants with desirable genes precisely and </w:t>
      </w:r>
      <w:proofErr w:type="spellStart"/>
      <w:r>
        <w:rPr>
          <w:rFonts w:ascii="Times New Roman" w:eastAsia="Times New Roman" w:hAnsi="Times New Roman" w:cs="Times New Roman"/>
          <w:sz w:val="24"/>
          <w:szCs w:val="24"/>
        </w:rPr>
        <w:t>fastly</w:t>
      </w:r>
      <w:proofErr w:type="spellEnd"/>
      <w:r>
        <w:rPr>
          <w:rFonts w:ascii="Times New Roman" w:eastAsia="Times New Roman" w:hAnsi="Times New Roman" w:cs="Times New Roman"/>
          <w:sz w:val="24"/>
          <w:szCs w:val="24"/>
        </w:rPr>
        <w:t xml:space="preserve"> without any environmental influence like in phenotypic selection. It has helped mainly in the selection for diseases, stress or yield as these characters are environmentally influenced and phenotypical selection is challenging and time consuming. Liu and his coworkers in 2024 incorporated gene </w:t>
      </w:r>
      <w:r>
        <w:rPr>
          <w:rFonts w:ascii="Times New Roman" w:eastAsia="Times New Roman" w:hAnsi="Times New Roman" w:cs="Times New Roman"/>
          <w:i/>
          <w:iCs/>
          <w:sz w:val="24"/>
          <w:szCs w:val="24"/>
        </w:rPr>
        <w:t>Pi9</w:t>
      </w:r>
      <w:r>
        <w:rPr>
          <w:rFonts w:ascii="Times New Roman" w:eastAsia="Times New Roman" w:hAnsi="Times New Roman" w:cs="Times New Roman"/>
          <w:sz w:val="24"/>
          <w:szCs w:val="24"/>
        </w:rPr>
        <w:t xml:space="preserve">, blast resistant gene to drought resistant variety </w:t>
      </w:r>
      <w:proofErr w:type="spellStart"/>
      <w:r>
        <w:rPr>
          <w:rFonts w:ascii="Times New Roman" w:eastAsia="Times New Roman" w:hAnsi="Times New Roman" w:cs="Times New Roman"/>
          <w:sz w:val="24"/>
          <w:szCs w:val="24"/>
        </w:rPr>
        <w:t>Hanhui</w:t>
      </w:r>
      <w:proofErr w:type="spellEnd"/>
      <w:r>
        <w:rPr>
          <w:rFonts w:ascii="Times New Roman" w:eastAsia="Times New Roman" w:hAnsi="Times New Roman" w:cs="Times New Roman"/>
          <w:sz w:val="24"/>
          <w:szCs w:val="24"/>
        </w:rPr>
        <w:t xml:space="preserve"> 3 using marker assisted selection with genetic background identity 91.4% and blast resistance improvement from grade 7 to grade 1.</w:t>
      </w:r>
    </w:p>
    <w:p w14:paraId="00000034" w14:textId="77777777" w:rsidR="006318AC"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Genomic selection and linkage mapping</w:t>
      </w:r>
    </w:p>
    <w:p w14:paraId="00000035"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markers are important tools in linkage mapping. High density genetic maps are constructed using SNP and SSR markers which helps in identifying Quantitative trait loci (QTLs) associated with particular agronomic traits by tracking inheritance of markers alongside phenotypic traits in mapping population. This helps in the identification of candidate gene. Similarly in genomic selection also markers are an important tool. Here genome wide marker data are taken and using this the breeding value of individuals are predicted for complex traits which helps in early selection without the need of phenotyping (Singh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p>
    <w:p w14:paraId="00000036" w14:textId="77777777" w:rsidR="006318AC" w:rsidRDefault="00000000">
      <w:pPr>
        <w:numPr>
          <w:ilvl w:val="0"/>
          <w:numId w:val="4"/>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Genomic tools in crop improvement</w:t>
      </w:r>
    </w:p>
    <w:p w14:paraId="00000037"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foundational work includes the first plant genome maps reported in maize (Gardiner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1993) and rice (McCouch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1988) using markers like RFLPs (Restriction Fragment Length Polymorphisms).</w:t>
      </w:r>
    </w:p>
    <w:p w14:paraId="00000038" w14:textId="77777777" w:rsidR="006318AC" w:rsidRDefault="00000000">
      <w:pPr>
        <w:numPr>
          <w:ilvl w:val="1"/>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Rice (</w:t>
      </w:r>
      <w:r>
        <w:rPr>
          <w:rFonts w:ascii="Times New Roman" w:eastAsia="Times New Roman" w:hAnsi="Times New Roman" w:cs="Times New Roman"/>
          <w:i/>
          <w:iCs/>
          <w:color w:val="000000"/>
          <w:sz w:val="24"/>
          <w:szCs w:val="24"/>
        </w:rPr>
        <w:t xml:space="preserve">Oryza sativa </w:t>
      </w:r>
      <w:r>
        <w:rPr>
          <w:rFonts w:ascii="Times New Roman" w:eastAsia="Times New Roman" w:hAnsi="Times New Roman" w:cs="Times New Roman"/>
          <w:color w:val="000000"/>
          <w:sz w:val="24"/>
          <w:szCs w:val="24"/>
        </w:rPr>
        <w:t>L</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p>
    <w:p w14:paraId="00000039" w14:textId="77777777" w:rsidR="006318AC" w:rsidRDefault="00000000">
      <w:pPr>
        <w:numPr>
          <w:ilvl w:val="0"/>
          <w:numId w:val="7"/>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Submergence Tolerance: The primary QTL for flash flooding tolerance, </w:t>
      </w:r>
      <w:r>
        <w:rPr>
          <w:rFonts w:ascii="Times New Roman" w:eastAsia="Times New Roman" w:hAnsi="Times New Roman" w:cs="Times New Roman"/>
          <w:i/>
          <w:iCs/>
          <w:sz w:val="24"/>
          <w:szCs w:val="24"/>
        </w:rPr>
        <w:t>Sub1</w:t>
      </w:r>
      <w:r>
        <w:rPr>
          <w:rFonts w:ascii="Times New Roman" w:eastAsia="Times New Roman" w:hAnsi="Times New Roman" w:cs="Times New Roman"/>
          <w:sz w:val="24"/>
          <w:szCs w:val="24"/>
        </w:rPr>
        <w:t xml:space="preserve"> (Submergence 1) on chromosome 9, was </w:t>
      </w:r>
      <w:proofErr w:type="spellStart"/>
      <w:r>
        <w:rPr>
          <w:rFonts w:ascii="Times New Roman" w:eastAsia="Times New Roman" w:hAnsi="Times New Roman" w:cs="Times New Roman"/>
          <w:sz w:val="24"/>
          <w:szCs w:val="24"/>
        </w:rPr>
        <w:t>introgressed</w:t>
      </w:r>
      <w:proofErr w:type="spellEnd"/>
      <w:r>
        <w:rPr>
          <w:rFonts w:ascii="Times New Roman" w:eastAsia="Times New Roman" w:hAnsi="Times New Roman" w:cs="Times New Roman"/>
          <w:sz w:val="24"/>
          <w:szCs w:val="24"/>
        </w:rPr>
        <w:t xml:space="preserve"> into popular mega-varieties like Swarna and IR64 using MABC (Marker-Assisted Backcrossing) (</w:t>
      </w:r>
      <w:proofErr w:type="spellStart"/>
      <w:r>
        <w:rPr>
          <w:rFonts w:ascii="Times New Roman" w:eastAsia="Times New Roman" w:hAnsi="Times New Roman" w:cs="Times New Roman"/>
          <w:sz w:val="24"/>
          <w:szCs w:val="24"/>
        </w:rPr>
        <w:t>Septiningsih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2009). This enables the plant to survive prolonged flooding by controlling stem elongation and energy consumption.</w:t>
      </w:r>
    </w:p>
    <w:p w14:paraId="0000003A" w14:textId="77777777" w:rsidR="006318AC" w:rsidRDefault="00000000">
      <w:pPr>
        <w:numPr>
          <w:ilvl w:val="0"/>
          <w:numId w:val="7"/>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Salinity Tolerance: The </w:t>
      </w:r>
      <w:proofErr w:type="spellStart"/>
      <w:r>
        <w:rPr>
          <w:rFonts w:ascii="Times New Roman" w:eastAsia="Times New Roman" w:hAnsi="Times New Roman" w:cs="Times New Roman"/>
          <w:i/>
          <w:iCs/>
          <w:sz w:val="24"/>
          <w:szCs w:val="24"/>
        </w:rPr>
        <w:t>Saltol</w:t>
      </w:r>
      <w:proofErr w:type="spellEnd"/>
      <w:r>
        <w:rPr>
          <w:rFonts w:ascii="Times New Roman" w:eastAsia="Times New Roman" w:hAnsi="Times New Roman" w:cs="Times New Roman"/>
          <w:sz w:val="24"/>
          <w:szCs w:val="24"/>
        </w:rPr>
        <w:t xml:space="preserve"> QTL on chromosome 1, which confers tolerance at the crucial seedling stage, has been effectively tracked and incorporated using high-throughput SNP (Single Nucleotide Polymorphism) assays, producing climate-resilient varieties (Thomson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2010).</w:t>
      </w:r>
    </w:p>
    <w:p w14:paraId="0000003B" w14:textId="77777777" w:rsidR="006318AC" w:rsidRDefault="00000000">
      <w:pPr>
        <w:numPr>
          <w:ilvl w:val="0"/>
          <w:numId w:val="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Bacterial Blight and Blast: MAS has been successful in pyramiding genes for resistance to Bacterial Blight, such as </w:t>
      </w:r>
      <w:r>
        <w:rPr>
          <w:rFonts w:ascii="Times New Roman" w:eastAsia="Times New Roman" w:hAnsi="Times New Roman" w:cs="Times New Roman"/>
          <w:i/>
          <w:iCs/>
          <w:sz w:val="24"/>
          <w:szCs w:val="24"/>
        </w:rPr>
        <w:t>Xa4</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Xa5</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Xa13,</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Xa21</w:t>
      </w:r>
      <w:r>
        <w:rPr>
          <w:rFonts w:ascii="Times New Roman" w:eastAsia="Times New Roman" w:hAnsi="Times New Roman" w:cs="Times New Roman"/>
          <w:sz w:val="24"/>
          <w:szCs w:val="24"/>
        </w:rPr>
        <w:t xml:space="preserve"> (Huang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1997), and </w:t>
      </w:r>
      <w:r>
        <w:rPr>
          <w:rFonts w:ascii="Times New Roman" w:eastAsia="Times New Roman" w:hAnsi="Times New Roman" w:cs="Times New Roman"/>
          <w:sz w:val="24"/>
          <w:szCs w:val="24"/>
        </w:rPr>
        <w:lastRenderedPageBreak/>
        <w:t xml:space="preserve">multiple </w:t>
      </w:r>
      <w:r>
        <w:rPr>
          <w:rFonts w:ascii="Times New Roman" w:eastAsia="Times New Roman" w:hAnsi="Times New Roman" w:cs="Times New Roman"/>
          <w:i/>
          <w:iCs/>
          <w:sz w:val="24"/>
          <w:szCs w:val="24"/>
        </w:rPr>
        <w:t>Pi</w:t>
      </w:r>
      <w:r>
        <w:rPr>
          <w:rFonts w:ascii="Times New Roman" w:eastAsia="Times New Roman" w:hAnsi="Times New Roman" w:cs="Times New Roman"/>
          <w:sz w:val="24"/>
          <w:szCs w:val="24"/>
        </w:rPr>
        <w:t xml:space="preserve"> genes for Blast resistance (</w:t>
      </w:r>
      <w:proofErr w:type="spellStart"/>
      <w:r>
        <w:rPr>
          <w:rFonts w:ascii="Times New Roman" w:eastAsia="Times New Roman" w:hAnsi="Times New Roman" w:cs="Times New Roman"/>
          <w:sz w:val="24"/>
          <w:szCs w:val="24"/>
        </w:rPr>
        <w:t>Hittalmani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2000), which ensures more lasting protection.</w:t>
      </w:r>
    </w:p>
    <w:p w14:paraId="0000003C" w14:textId="77777777" w:rsidR="006318AC" w:rsidRDefault="00000000">
      <w:pPr>
        <w:numPr>
          <w:ilvl w:val="0"/>
          <w:numId w:val="9"/>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Fertility Restoration: The ISSR marker (AG</w:t>
      </w:r>
      <w:r>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 xml:space="preserve">YC) is closely linked to the rice nuclear restorer gene, </w:t>
      </w:r>
      <w:r>
        <w:rPr>
          <w:rFonts w:ascii="Times New Roman" w:eastAsia="Times New Roman" w:hAnsi="Times New Roman" w:cs="Times New Roman"/>
          <w:i/>
          <w:iCs/>
          <w:sz w:val="24"/>
          <w:szCs w:val="24"/>
        </w:rPr>
        <w:t>FR1</w:t>
      </w:r>
      <w:r>
        <w:rPr>
          <w:rFonts w:ascii="Times New Roman" w:eastAsia="Times New Roman" w:hAnsi="Times New Roman" w:cs="Times New Roman"/>
          <w:sz w:val="24"/>
          <w:szCs w:val="24"/>
        </w:rPr>
        <w:t xml:space="preserve">. This marker is essential for efficiently breeding restorer and maintainer lines and managing the purity of hybrid rice seeds (Akagi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1996).</w:t>
      </w:r>
    </w:p>
    <w:p w14:paraId="0000003D" w14:textId="77777777" w:rsidR="006318AC" w:rsidRDefault="00000000">
      <w:pPr>
        <w:numPr>
          <w:ilvl w:val="0"/>
          <w:numId w:val="9"/>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Classification: Markers like RAPDs were used to accurately resolve subspecies types in rice (Virk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1995) showing that morphologically </w:t>
      </w:r>
      <w:r>
        <w:rPr>
          <w:rFonts w:ascii="Times New Roman" w:eastAsia="Times New Roman" w:hAnsi="Times New Roman" w:cs="Times New Roman"/>
          <w:i/>
          <w:iCs/>
          <w:sz w:val="24"/>
          <w:szCs w:val="24"/>
        </w:rPr>
        <w:t>indica</w:t>
      </w:r>
      <w:r>
        <w:rPr>
          <w:rFonts w:ascii="Times New Roman" w:eastAsia="Times New Roman" w:hAnsi="Times New Roman" w:cs="Times New Roman"/>
          <w:sz w:val="24"/>
          <w:szCs w:val="24"/>
        </w:rPr>
        <w:t xml:space="preserve">-like accessions such as Azucena and PR 304 possessed </w:t>
      </w:r>
      <w:r>
        <w:rPr>
          <w:rFonts w:ascii="Times New Roman" w:eastAsia="Times New Roman" w:hAnsi="Times New Roman" w:cs="Times New Roman"/>
          <w:i/>
          <w:iCs/>
          <w:sz w:val="24"/>
          <w:szCs w:val="24"/>
        </w:rPr>
        <w:t>Japonica</w:t>
      </w:r>
      <w:r>
        <w:rPr>
          <w:rFonts w:ascii="Times New Roman" w:eastAsia="Times New Roman" w:hAnsi="Times New Roman" w:cs="Times New Roman"/>
          <w:sz w:val="24"/>
          <w:szCs w:val="24"/>
        </w:rPr>
        <w:t xml:space="preserve"> genetic markers, a key step for successful crossing programs.</w:t>
      </w:r>
    </w:p>
    <w:p w14:paraId="0000003E" w14:textId="77777777" w:rsidR="006318AC" w:rsidRDefault="00000000">
      <w:pPr>
        <w:numPr>
          <w:ilvl w:val="0"/>
          <w:numId w:val="9"/>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Nutritional Quality: In the development of Golden Rice, molecular markers are vital for tracking and ensuring the correct inheritance of the transgenes (phytoene synthase and carotene desaturase) that produce high carotene (Paine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2005).</w:t>
      </w:r>
    </w:p>
    <w:p w14:paraId="0000003F" w14:textId="77777777" w:rsidR="006318AC" w:rsidRDefault="00000000">
      <w:pPr>
        <w:numPr>
          <w:ilvl w:val="1"/>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Wheat (</w:t>
      </w:r>
      <w:r>
        <w:rPr>
          <w:rFonts w:ascii="Times New Roman" w:eastAsia="Times New Roman" w:hAnsi="Times New Roman" w:cs="Times New Roman"/>
          <w:i/>
          <w:iCs/>
          <w:color w:val="000000"/>
          <w:sz w:val="24"/>
          <w:szCs w:val="24"/>
        </w:rPr>
        <w:t>Triticum aestivum L.</w:t>
      </w:r>
      <w:r>
        <w:rPr>
          <w:rFonts w:ascii="Times New Roman" w:eastAsia="Times New Roman" w:hAnsi="Times New Roman" w:cs="Times New Roman"/>
          <w:color w:val="000000"/>
          <w:sz w:val="24"/>
          <w:szCs w:val="24"/>
        </w:rPr>
        <w:t xml:space="preserve">): </w:t>
      </w:r>
    </w:p>
    <w:p w14:paraId="00000040" w14:textId="77777777" w:rsidR="006318AC" w:rsidRDefault="00000000">
      <w:pPr>
        <w:numPr>
          <w:ilvl w:val="0"/>
          <w:numId w:val="10"/>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Rust Diseases: Numerous resistance genes for leaf rust (</w:t>
      </w:r>
      <w:r>
        <w:rPr>
          <w:rFonts w:ascii="Times New Roman" w:eastAsia="Times New Roman" w:hAnsi="Times New Roman" w:cs="Times New Roman"/>
          <w:i/>
          <w:iCs/>
          <w:sz w:val="24"/>
          <w:szCs w:val="24"/>
        </w:rPr>
        <w:t>Lr</w:t>
      </w:r>
      <w:r>
        <w:rPr>
          <w:rFonts w:ascii="Times New Roman" w:eastAsia="Times New Roman" w:hAnsi="Times New Roman" w:cs="Times New Roman"/>
          <w:sz w:val="24"/>
          <w:szCs w:val="24"/>
        </w:rPr>
        <w:t>), stem rust (</w:t>
      </w:r>
      <w:r>
        <w:rPr>
          <w:rFonts w:ascii="Times New Roman" w:eastAsia="Times New Roman" w:hAnsi="Times New Roman" w:cs="Times New Roman"/>
          <w:i/>
          <w:iCs/>
          <w:sz w:val="24"/>
          <w:szCs w:val="24"/>
        </w:rPr>
        <w:t>Sr</w:t>
      </w:r>
      <w:r>
        <w:rPr>
          <w:rFonts w:ascii="Times New Roman" w:eastAsia="Times New Roman" w:hAnsi="Times New Roman" w:cs="Times New Roman"/>
          <w:sz w:val="24"/>
          <w:szCs w:val="24"/>
        </w:rPr>
        <w:t>), and stripe rust (</w:t>
      </w:r>
      <w:r>
        <w:rPr>
          <w:rFonts w:ascii="Times New Roman" w:eastAsia="Times New Roman" w:hAnsi="Times New Roman" w:cs="Times New Roman"/>
          <w:i/>
          <w:iCs/>
          <w:sz w:val="24"/>
          <w:szCs w:val="24"/>
        </w:rPr>
        <w:t>Yr</w:t>
      </w:r>
      <w:r>
        <w:rPr>
          <w:rFonts w:ascii="Times New Roman" w:eastAsia="Times New Roman" w:hAnsi="Times New Roman" w:cs="Times New Roman"/>
          <w:sz w:val="24"/>
          <w:szCs w:val="24"/>
        </w:rPr>
        <w:t>) have been mapped and tagged. Markers for genes like</w:t>
      </w:r>
      <w:r>
        <w:rPr>
          <w:rFonts w:ascii="Times New Roman" w:eastAsia="Times New Roman" w:hAnsi="Times New Roman" w:cs="Times New Roman"/>
          <w:i/>
          <w:iCs/>
          <w:sz w:val="24"/>
          <w:szCs w:val="24"/>
        </w:rPr>
        <w:t xml:space="preserve"> Lr9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Schachermayr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1994) and the durable </w:t>
      </w:r>
      <w:r>
        <w:rPr>
          <w:rFonts w:ascii="Times New Roman" w:eastAsia="Times New Roman" w:hAnsi="Times New Roman" w:cs="Times New Roman"/>
          <w:i/>
          <w:iCs/>
          <w:sz w:val="24"/>
          <w:szCs w:val="24"/>
        </w:rPr>
        <w:t>Lr34/Yr18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Spielmeyer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are routinely used. This marker strategy is crucial for protecting global wheat production against threats like the virulent stem rust pathogen Ug99 (Pretorius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2000).</w:t>
      </w:r>
    </w:p>
    <w:p w14:paraId="00000041" w14:textId="77777777" w:rsidR="006318AC" w:rsidRDefault="00000000">
      <w:pPr>
        <w:numPr>
          <w:ilvl w:val="0"/>
          <w:numId w:val="10"/>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Traits: Markers are employed to select for specific alleles of High Molecular Weight Glutenin Subunits (HMW-GSs), such as </w:t>
      </w:r>
      <w:r>
        <w:rPr>
          <w:rFonts w:ascii="Times New Roman" w:eastAsia="Times New Roman" w:hAnsi="Times New Roman" w:cs="Times New Roman"/>
          <w:i/>
          <w:iCs/>
          <w:sz w:val="24"/>
          <w:szCs w:val="24"/>
        </w:rPr>
        <w:t>Glu-D1d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Glu-A1a</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Glu-B1i</w:t>
      </w:r>
      <w:r>
        <w:rPr>
          <w:rFonts w:ascii="Times New Roman" w:eastAsia="Times New Roman" w:hAnsi="Times New Roman" w:cs="Times New Roman"/>
          <w:sz w:val="24"/>
          <w:szCs w:val="24"/>
        </w:rPr>
        <w:t>, which directly determine dough strength and baking quality (</w:t>
      </w:r>
      <w:proofErr w:type="spellStart"/>
      <w:r>
        <w:rPr>
          <w:rFonts w:ascii="Times New Roman" w:eastAsia="Times New Roman" w:hAnsi="Times New Roman" w:cs="Times New Roman"/>
          <w:sz w:val="24"/>
          <w:szCs w:val="24"/>
        </w:rPr>
        <w:t>Shewry</w:t>
      </w:r>
      <w:proofErr w:type="spellEnd"/>
      <w:r>
        <w:rPr>
          <w:rFonts w:ascii="Times New Roman" w:eastAsia="Times New Roman" w:hAnsi="Times New Roman" w:cs="Times New Roman"/>
          <w:sz w:val="24"/>
          <w:szCs w:val="24"/>
        </w:rPr>
        <w:t xml:space="preserve"> &amp; Halford, 2002; D'Ovidio &amp; Anderson, 1994).</w:t>
      </w:r>
    </w:p>
    <w:p w14:paraId="00000042" w14:textId="77777777" w:rsidR="006318AC" w:rsidRDefault="00000000">
      <w:pPr>
        <w:numPr>
          <w:ilvl w:val="0"/>
          <w:numId w:val="10"/>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Genes controlling heading date and growth habit, such as the Vernalization genes (</w:t>
      </w:r>
      <w:proofErr w:type="spellStart"/>
      <w:r>
        <w:rPr>
          <w:rFonts w:ascii="Times New Roman" w:eastAsia="Times New Roman" w:hAnsi="Times New Roman" w:cs="Times New Roman"/>
          <w:sz w:val="24"/>
          <w:szCs w:val="24"/>
        </w:rPr>
        <w:t>Vrn</w:t>
      </w:r>
      <w:proofErr w:type="spellEnd"/>
      <w:r>
        <w:rPr>
          <w:rFonts w:ascii="Times New Roman" w:eastAsia="Times New Roman" w:hAnsi="Times New Roman" w:cs="Times New Roman"/>
          <w:sz w:val="24"/>
          <w:szCs w:val="24"/>
        </w:rPr>
        <w:t xml:space="preserve">), are managed with markers to select varieties adapted to specific environments (e.g., winter vs. spring wheat) (Yan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14:paraId="00000043" w14:textId="77777777" w:rsidR="006318AC" w:rsidRDefault="00000000">
      <w:pPr>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Pangenomics</w:t>
      </w:r>
      <w:proofErr w:type="spellEnd"/>
      <w:r>
        <w:rPr>
          <w:rFonts w:ascii="Times New Roman" w:eastAsia="Times New Roman" w:hAnsi="Times New Roman" w:cs="Times New Roman"/>
          <w:sz w:val="24"/>
          <w:szCs w:val="24"/>
        </w:rPr>
        <w:t xml:space="preserve"> and Genomic Selection</w:t>
      </w:r>
    </w:p>
    <w:p w14:paraId="00000044" w14:textId="77777777" w:rsidR="006318AC" w:rsidRDefault="00000000">
      <w:pPr>
        <w:numPr>
          <w:ilvl w:val="0"/>
          <w:numId w:val="11"/>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Overcoming Polyploidy: High-density SNP arrays (e.g., Wheat660K) provide poly-allelic information needed to distinguish between alleles inherited from the A, B, and D </w:t>
      </w:r>
      <w:proofErr w:type="spellStart"/>
      <w:r>
        <w:rPr>
          <w:rFonts w:ascii="Times New Roman" w:eastAsia="Times New Roman" w:hAnsi="Times New Roman" w:cs="Times New Roman"/>
          <w:sz w:val="24"/>
          <w:szCs w:val="24"/>
        </w:rPr>
        <w:t>subgenomes</w:t>
      </w:r>
      <w:proofErr w:type="spellEnd"/>
      <w:r>
        <w:rPr>
          <w:rFonts w:ascii="Times New Roman" w:eastAsia="Times New Roman" w:hAnsi="Times New Roman" w:cs="Times New Roman"/>
          <w:sz w:val="24"/>
          <w:szCs w:val="24"/>
        </w:rPr>
        <w:t xml:space="preserve">, resolving ambiguities common with earlier marker systems (Cui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14:paraId="00000045" w14:textId="77777777" w:rsidR="006318AC" w:rsidRDefault="00000000">
      <w:pPr>
        <w:numPr>
          <w:ilvl w:val="0"/>
          <w:numId w:val="11"/>
        </w:num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Pangenomics</w:t>
      </w:r>
      <w:proofErr w:type="spellEnd"/>
      <w:r>
        <w:rPr>
          <w:rFonts w:ascii="Times New Roman" w:eastAsia="Times New Roman" w:hAnsi="Times New Roman" w:cs="Times New Roman"/>
          <w:sz w:val="24"/>
          <w:szCs w:val="24"/>
        </w:rPr>
        <w:t xml:space="preserve"> and GS: The wheat pangenome (Lu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allows breeders to discover previously missed functional genes, including Presence/Absence Variations (PAVs). This </w:t>
      </w:r>
      <w:proofErr w:type="spellStart"/>
      <w:r>
        <w:rPr>
          <w:rFonts w:ascii="Times New Roman" w:eastAsia="Times New Roman" w:hAnsi="Times New Roman" w:cs="Times New Roman"/>
          <w:sz w:val="24"/>
          <w:szCs w:val="24"/>
        </w:rPr>
        <w:t>pangenomic</w:t>
      </w:r>
      <w:proofErr w:type="spellEnd"/>
      <w:r>
        <w:rPr>
          <w:rFonts w:ascii="Times New Roman" w:eastAsia="Times New Roman" w:hAnsi="Times New Roman" w:cs="Times New Roman"/>
          <w:sz w:val="24"/>
          <w:szCs w:val="24"/>
        </w:rPr>
        <w:t xml:space="preserve"> insight enhances Genomic Selection (GS) models, often powered by Machine Learning (ML), to predict the Genomic Estimated Breeding Value (GEBV) of candidates with higher accuracy, accelerating variety development (Crossa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w:t>
      </w:r>
    </w:p>
    <w:p w14:paraId="00000046" w14:textId="77777777" w:rsidR="006318AC" w:rsidRDefault="00000000">
      <w:pPr>
        <w:numPr>
          <w:ilvl w:val="1"/>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Maize (</w:t>
      </w:r>
      <w:r>
        <w:rPr>
          <w:rFonts w:ascii="Times New Roman" w:eastAsia="Times New Roman" w:hAnsi="Times New Roman" w:cs="Times New Roman"/>
          <w:i/>
          <w:iCs/>
          <w:color w:val="000000"/>
          <w:sz w:val="24"/>
          <w:szCs w:val="24"/>
        </w:rPr>
        <w:t>Zea mays L.</w:t>
      </w:r>
      <w:r>
        <w:rPr>
          <w:rFonts w:ascii="Times New Roman" w:eastAsia="Times New Roman" w:hAnsi="Times New Roman" w:cs="Times New Roman"/>
          <w:color w:val="000000"/>
          <w:sz w:val="24"/>
          <w:szCs w:val="24"/>
        </w:rPr>
        <w:t xml:space="preserve">): </w:t>
      </w:r>
    </w:p>
    <w:p w14:paraId="00000047"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Maize breeding was an early and successful adopter of high-throughput marker technologies.</w:t>
      </w:r>
    </w:p>
    <w:p w14:paraId="00000048" w14:textId="77777777" w:rsidR="006318AC" w:rsidRDefault="00000000">
      <w:pPr>
        <w:numPr>
          <w:ilvl w:val="0"/>
          <w:numId w:val="1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Development and Genomic Selection (GS): Maize programs quickly adopted GS using hundreds of thousands of markers (e.g., Maize600K). The GEBV (Genomic Estimated Breeding Value) of hybrids is predicted before crossing, dramatically shortening the breeding cycle for complex yield traits (Bernardo &amp; Yu, 2007). Markers are vital for estimating genetic diversity and identifying complementary parent lines with high General Combining Ability (GCA).</w:t>
      </w:r>
    </w:p>
    <w:p w14:paraId="00000049" w14:textId="77777777" w:rsidR="006318AC" w:rsidRDefault="00000000">
      <w:pPr>
        <w:numPr>
          <w:ilvl w:val="0"/>
          <w:numId w:val="1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Allele Mining: Nested Association Mapping (NAM) populations, genotyped with high-density SNP markers (Yu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2008), allow for the precise transfer and study of multiple small-effect genes, such as those contributing to drought tolerance (Ribaut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2002).</w:t>
      </w:r>
    </w:p>
    <w:p w14:paraId="0000004A" w14:textId="77777777" w:rsidR="006318AC" w:rsidRDefault="00000000">
      <w:pPr>
        <w:numPr>
          <w:ilvl w:val="0"/>
          <w:numId w:val="1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Nutritional Improvement: The development of Quality Protein Maize (QPM) required markers to rapidly identify and </w:t>
      </w:r>
      <w:proofErr w:type="spellStart"/>
      <w:r>
        <w:rPr>
          <w:rFonts w:ascii="Times New Roman" w:eastAsia="Times New Roman" w:hAnsi="Times New Roman" w:cs="Times New Roman"/>
          <w:sz w:val="24"/>
          <w:szCs w:val="24"/>
        </w:rPr>
        <w:t>introgress</w:t>
      </w:r>
      <w:proofErr w:type="spellEnd"/>
      <w:r>
        <w:rPr>
          <w:rFonts w:ascii="Times New Roman" w:eastAsia="Times New Roman" w:hAnsi="Times New Roman" w:cs="Times New Roman"/>
          <w:sz w:val="24"/>
          <w:szCs w:val="24"/>
        </w:rPr>
        <w:t xml:space="preserve"> the modifier genes that complement the opaque2 (o2) mutation, leading to nutritionally superior maize (Babu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2005).</w:t>
      </w:r>
    </w:p>
    <w:p w14:paraId="0000004B"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Important Crop Applications</w:t>
      </w:r>
    </w:p>
    <w:p w14:paraId="0000004C" w14:textId="77777777" w:rsidR="006318AC" w:rsidRDefault="00000000">
      <w:pPr>
        <w:numPr>
          <w:ilvl w:val="0"/>
          <w:numId w:val="13"/>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Phylogeny and Evolution: RFLPs helped deduce the relationship between the </w:t>
      </w:r>
      <w:proofErr w:type="spellStart"/>
      <w:r>
        <w:rPr>
          <w:rFonts w:ascii="Times New Roman" w:eastAsia="Times New Roman" w:hAnsi="Times New Roman" w:cs="Times New Roman"/>
          <w:sz w:val="24"/>
          <w:szCs w:val="24"/>
        </w:rPr>
        <w:t>hexaploid</w:t>
      </w:r>
      <w:proofErr w:type="spellEnd"/>
      <w:r>
        <w:rPr>
          <w:rFonts w:ascii="Times New Roman" w:eastAsia="Times New Roman" w:hAnsi="Times New Roman" w:cs="Times New Roman"/>
          <w:sz w:val="24"/>
          <w:szCs w:val="24"/>
        </w:rPr>
        <w:t xml:space="preserve"> genome of bread wheat and its ancestors (Gill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1991). Transposon elements (tos1-1 retrotransposons) distinguished between the Asian (</w:t>
      </w:r>
      <w:r>
        <w:rPr>
          <w:rFonts w:ascii="Times New Roman" w:eastAsia="Times New Roman" w:hAnsi="Times New Roman" w:cs="Times New Roman"/>
          <w:i/>
          <w:iCs/>
          <w:sz w:val="24"/>
          <w:szCs w:val="24"/>
        </w:rPr>
        <w:t>O. sativa</w:t>
      </w:r>
      <w:r>
        <w:rPr>
          <w:rFonts w:ascii="Times New Roman" w:eastAsia="Times New Roman" w:hAnsi="Times New Roman" w:cs="Times New Roman"/>
          <w:sz w:val="24"/>
          <w:szCs w:val="24"/>
        </w:rPr>
        <w:t>) and African (</w:t>
      </w:r>
      <w:r>
        <w:rPr>
          <w:rFonts w:ascii="Times New Roman" w:eastAsia="Times New Roman" w:hAnsi="Times New Roman" w:cs="Times New Roman"/>
          <w:i/>
          <w:iCs/>
          <w:sz w:val="24"/>
          <w:szCs w:val="24"/>
        </w:rPr>
        <w:t xml:space="preserve">O. </w:t>
      </w:r>
      <w:proofErr w:type="spellStart"/>
      <w:r>
        <w:rPr>
          <w:rFonts w:ascii="Times New Roman" w:eastAsia="Times New Roman" w:hAnsi="Times New Roman" w:cs="Times New Roman"/>
          <w:i/>
          <w:iCs/>
          <w:sz w:val="24"/>
          <w:szCs w:val="24"/>
        </w:rPr>
        <w:t>glaberrima</w:t>
      </w:r>
      <w:proofErr w:type="spellEnd"/>
      <w:r>
        <w:rPr>
          <w:rFonts w:ascii="Times New Roman" w:eastAsia="Times New Roman" w:hAnsi="Times New Roman" w:cs="Times New Roman"/>
          <w:sz w:val="24"/>
          <w:szCs w:val="24"/>
        </w:rPr>
        <w:t xml:space="preserve">) cultivated rice (Fukuchi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1993).</w:t>
      </w:r>
    </w:p>
    <w:p w14:paraId="0000004D" w14:textId="77777777" w:rsidR="006318AC" w:rsidRDefault="00000000">
      <w:pPr>
        <w:numPr>
          <w:ilvl w:val="0"/>
          <w:numId w:val="13"/>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Nutrition (Biofortification): Markers are now used to dissect complex micronutrient traits, supporting initiatives like </w:t>
      </w:r>
      <w:proofErr w:type="spellStart"/>
      <w:r>
        <w:rPr>
          <w:rFonts w:ascii="Times New Roman" w:eastAsia="Times New Roman" w:hAnsi="Times New Roman" w:cs="Times New Roman"/>
          <w:sz w:val="24"/>
          <w:szCs w:val="24"/>
        </w:rPr>
        <w:t>HarvestPlus</w:t>
      </w:r>
      <w:proofErr w:type="spellEnd"/>
      <w:r>
        <w:rPr>
          <w:rFonts w:ascii="Times New Roman" w:eastAsia="Times New Roman" w:hAnsi="Times New Roman" w:cs="Times New Roman"/>
          <w:sz w:val="24"/>
          <w:szCs w:val="24"/>
        </w:rPr>
        <w:t xml:space="preserve"> for iron and zinc biofortification in staple crops such as wheat, lentil, and pearl millet (</w:t>
      </w:r>
      <w:proofErr w:type="spellStart"/>
      <w:r>
        <w:rPr>
          <w:rFonts w:ascii="Times New Roman" w:eastAsia="Times New Roman" w:hAnsi="Times New Roman" w:cs="Times New Roman"/>
          <w:sz w:val="24"/>
          <w:szCs w:val="24"/>
        </w:rPr>
        <w:t>Halepaska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2022).</w:t>
      </w:r>
    </w:p>
    <w:p w14:paraId="0000004E" w14:textId="77777777" w:rsidR="006318AC" w:rsidRDefault="00000000">
      <w:pPr>
        <w:numPr>
          <w:ilvl w:val="0"/>
          <w:numId w:val="3"/>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Regulatory Frameworks and Global Collaborations</w:t>
      </w:r>
    </w:p>
    <w:p w14:paraId="0000004F"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proliferation of marker technologies, especially in conjunction with New Breeding Techniques (NBTs) like CRISPR-Cas9, has necessitated global policy evolution and cooperation.</w:t>
      </w:r>
    </w:p>
    <w:p w14:paraId="00000050"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Frameworks for Marker-Assisted Breeding (MAB)</w:t>
      </w:r>
    </w:p>
    <w:p w14:paraId="00000051"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MAB itself is generally not strictly regulated, its products and associated technologies operate in a sensitive legal space.</w:t>
      </w:r>
    </w:p>
    <w:p w14:paraId="00000052" w14:textId="77777777" w:rsidR="006318AC" w:rsidRDefault="00000000">
      <w:pPr>
        <w:numPr>
          <w:ilvl w:val="0"/>
          <w:numId w:val="1"/>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Union (EU): The EU applies a process-based approach, classifying NBT products as GMOs in a 2018 ruling (European Court of Justice, 2018). This stringent regulation severely limits the commercial use of markers to track gene-edited traits within the EU.</w:t>
      </w:r>
    </w:p>
    <w:p w14:paraId="00000053" w14:textId="77777777" w:rsidR="006318AC" w:rsidRDefault="00000000">
      <w:pPr>
        <w:numPr>
          <w:ilvl w:val="0"/>
          <w:numId w:val="1"/>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(US) and India: They employ a product-based approach. The US regulates products based on their final traits, not the method (Office of Science and Technology Policy (OSTP), 1986). Similarly, the Government of India exempted SDN-1 and SDN-2 (Site Directed Nuclease) genome-edited plants (which contain no foreign DNA) from </w:t>
      </w:r>
      <w:r>
        <w:rPr>
          <w:rFonts w:ascii="Times New Roman" w:eastAsia="Times New Roman" w:hAnsi="Times New Roman" w:cs="Times New Roman"/>
          <w:sz w:val="24"/>
          <w:szCs w:val="24"/>
        </w:rPr>
        <w:lastRenderedPageBreak/>
        <w:t>certain regulatory requirements in March 2022 (</w:t>
      </w:r>
      <w:proofErr w:type="spellStart"/>
      <w:r>
        <w:rPr>
          <w:rFonts w:ascii="Times New Roman" w:eastAsia="Times New Roman" w:hAnsi="Times New Roman" w:cs="Times New Roman"/>
          <w:sz w:val="24"/>
          <w:szCs w:val="24"/>
        </w:rPr>
        <w:t>MoEF&amp;CC</w:t>
      </w:r>
      <w:proofErr w:type="spellEnd"/>
      <w:r>
        <w:rPr>
          <w:rFonts w:ascii="Times New Roman" w:eastAsia="Times New Roman" w:hAnsi="Times New Roman" w:cs="Times New Roman"/>
          <w:sz w:val="24"/>
          <w:szCs w:val="24"/>
        </w:rPr>
        <w:t>, 2022), streamlining approval and encouraging the use of markers for these precise edits. This has led to the release of genome-edited rice varieties like DRR Dhan 100 and Pusa DST Rice 1 for drought and salt tolerance (Menon, 2025).</w:t>
      </w:r>
    </w:p>
    <w:p w14:paraId="00000054" w14:textId="77777777" w:rsidR="006318AC" w:rsidRDefault="00000000">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Guidelines and Protection: Countries like India have robust national frameworks (e.g., NBA– National Biodiversity Authority, PPV &amp; FRA– Protection of Plant Varieties and Farmers’ Rights Act) that regulate access to genetic material and protect varieties developed using markers.</w:t>
      </w:r>
    </w:p>
    <w:p w14:paraId="00000055"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and Global Collaborations</w:t>
      </w:r>
    </w:p>
    <w:p w14:paraId="00000056" w14:textId="77777777" w:rsidR="006318AC" w:rsidRDefault="00000000">
      <w:pPr>
        <w:numPr>
          <w:ilvl w:val="0"/>
          <w:numId w:val="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IPR and Marker Protection: Marker-based technologies rely heavily on Intellectual Property Rights (IPR). Patented molecular markers (e.g., specific KASP assays or SNP array designs) and specific elite germplasm lines are protected, forcing breeders to navigate complex licensing agreements (Llewelyn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w:t>
      </w:r>
    </w:p>
    <w:p w14:paraId="00000057" w14:textId="77777777" w:rsidR="006318AC" w:rsidRDefault="00000000">
      <w:pPr>
        <w:numPr>
          <w:ilvl w:val="0"/>
          <w:numId w:val="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Germplasm Access: The International Treaty on Plant Genetic Resources for Food and Agriculture (ITPGRFA), or the Plant Treaty, facilitates access to genetic resources and ensures fair benefit-sharing, governing the ethical exchange of the molecular marker data derived from these resources (Halewood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14:paraId="00000058" w14:textId="77777777" w:rsidR="006318AC" w:rsidRDefault="00000000">
      <w:pPr>
        <w:numPr>
          <w:ilvl w:val="0"/>
          <w:numId w:val="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Research Organisations: Organizations under the CGIAR (Consultative Group on International Agricultural Research) consortium (including International Rice Research Institute (IRRI) and International Maize and Wheat Improvement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(CIMMYT)) are central to distributing both the improved germplasm and the underlying marker technologies to developing countries (Dwivedi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w:t>
      </w:r>
    </w:p>
    <w:p w14:paraId="00000059" w14:textId="77777777" w:rsidR="006318AC" w:rsidRDefault="00000000">
      <w:pPr>
        <w:numPr>
          <w:ilvl w:val="0"/>
          <w:numId w:val="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Databases: Repositories such as NCBI (National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for Biotechnology Information), </w:t>
      </w:r>
      <w:proofErr w:type="spellStart"/>
      <w:r>
        <w:rPr>
          <w:rFonts w:ascii="Times New Roman" w:eastAsia="Times New Roman" w:hAnsi="Times New Roman" w:cs="Times New Roman"/>
          <w:sz w:val="24"/>
          <w:szCs w:val="24"/>
        </w:rPr>
        <w:t>Gramene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GrainGenes</w:t>
      </w:r>
      <w:proofErr w:type="spellEnd"/>
      <w:r>
        <w:rPr>
          <w:rFonts w:ascii="Times New Roman" w:eastAsia="Times New Roman" w:hAnsi="Times New Roman" w:cs="Times New Roman"/>
          <w:sz w:val="24"/>
          <w:szCs w:val="24"/>
        </w:rPr>
        <w:t xml:space="preserve"> are essential for storing and standardizing marker information and reference genomes, promoting open access and democratizing molecular breeding (Lira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w:t>
      </w:r>
    </w:p>
    <w:p w14:paraId="0000005A" w14:textId="77777777" w:rsidR="006318AC" w:rsidRDefault="00000000">
      <w:pPr>
        <w:numPr>
          <w:ilvl w:val="0"/>
          <w:numId w:val="2"/>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Standardisation of Nomenclature: Global efforts are required to standardise the naming of genes (e.g., </w:t>
      </w:r>
      <w:proofErr w:type="spellStart"/>
      <w:r>
        <w:rPr>
          <w:rFonts w:ascii="Times New Roman" w:eastAsia="Times New Roman" w:hAnsi="Times New Roman" w:cs="Times New Roman"/>
          <w:sz w:val="24"/>
          <w:szCs w:val="24"/>
        </w:rPr>
        <w:t>Vrn</w:t>
      </w:r>
      <w:proofErr w:type="spellEnd"/>
      <w:r>
        <w:rPr>
          <w:rFonts w:ascii="Times New Roman" w:eastAsia="Times New Roman" w:hAnsi="Times New Roman" w:cs="Times New Roman"/>
          <w:sz w:val="24"/>
          <w:szCs w:val="24"/>
        </w:rPr>
        <w:t xml:space="preserve"> genes in wheat) and genetic markers to ensure that data generated in one lab is directly comparable and usable by another. </w:t>
      </w:r>
    </w:p>
    <w:p w14:paraId="0000005B"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10. Challenges and Limitations </w:t>
      </w:r>
    </w:p>
    <w:p w14:paraId="0000005C"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 technologies have become indispensable in modern plant breeding, providing tools for precise trait selection, genetic diversity analysis, and crop improvement. However, their application is constrained by a range of technical, biological, and socio-economic factors.</w:t>
      </w:r>
    </w:p>
    <w:p w14:paraId="0000005D"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Technical and Methodological Constraints</w:t>
      </w:r>
    </w:p>
    <w:p w14:paraId="0000005E"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advanced molecular marker systems, including SNP arrays, next-generation sequencing (NGS), and genotyping-by-sequencing (GBS), demands substantial financial investment as well as specialized infrastructure and skilled personnel. These </w:t>
      </w:r>
      <w:r>
        <w:rPr>
          <w:rFonts w:ascii="Times New Roman" w:eastAsia="Times New Roman" w:hAnsi="Times New Roman" w:cs="Times New Roman"/>
          <w:sz w:val="24"/>
          <w:szCs w:val="24"/>
        </w:rPr>
        <w:lastRenderedPageBreak/>
        <w:t xml:space="preserve">requirements limit their adoption, particularly within small-scale breeding initiatives (Collard and Mackill, 2008). In addition, the reproducibility of certain marker systems, such as RAPDs and AFLPs, is often problematic, since their performance can be influenced by factors like DNA quality and primer specificity, leading to variable outcomes across different laboratories. Furthermore, the rapid increase in high-throughput genotyping has resulted in the generation of extensive datasets, necessitating robust bioinformatics pipelines and computational expertise, resources that many breeding programs currently lack (Heffner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2009).</w:t>
      </w:r>
    </w:p>
    <w:p w14:paraId="0000005F"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Biological and Genetic Limitations</w:t>
      </w:r>
    </w:p>
    <w:p w14:paraId="00000060"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practical deployment of molecular marker technologies in crop improvement is often constrained by the inherent biological complexity of target traits. Agronomically significant characteristics such as yield potential, drought tolerance, and disease resistance are rarely governed by single genes; instead, they are polygenic in nature and exhibit strong interactions with environmental variables. This complexity significantly reduces the predictive capacity of markers linked to individual loci, thereby limiting their effectiveness in marker-assisted selection programs (Xu and Crouch, 2008). Furthermore, the stability of marker–trait associations is frequently undermined by the dynamics of linkage disequilibrium and recombination events. Since associations are often population-specific, cross-population validation is limited, and recombination can disrupt the linkage between markers and causal genes, reducing the reliability of molecular predictions.</w:t>
      </w:r>
    </w:p>
    <w:p w14:paraId="00000061"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trait complexity, the genetic architecture of certain crop species presents further constraints. Crops with a relatively narrow genetic base, such as rice and soybean, display low levels of marker polymorphism. This lack of genetic variability constrains the discovery of robust markers and hampers their efficiency in detecting useful allelic variation. The challenges are even more pronounced in polyploid species, including wheat and sugarcane, where multiple sets of homologous chromosomes complicate marker development, genotyping accuracy, and subsequent data interpretation. The presence of homoeologous loci not only increases the difficulty of distinguishing between alleles but also elevates the cost and technical expertise required for analysis (Varshney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2005).</w:t>
      </w:r>
    </w:p>
    <w:p w14:paraId="00000062"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Economic and Logistical Barriers</w:t>
      </w:r>
    </w:p>
    <w:p w14:paraId="00000063"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adoption of molecular marker technologies in plant breeding is often restricted by substantial economic and logistical challenges. The development and validation of reliable markers require not only high start-up costs but also continuous financial investment to sustain genotyping facilities, consumables, and technical staff. Such recurrent expenditures place a considerable burden on breeding programs, particularly in regions where research budgets are limited. Beyond cost, logistical constraints in many developing countries further impede progress. Infrastructural issues such as inconsistent power supply, limited laboratory capacity, and delays in the delivery of essential reagents often disrupt experimental workflows and compromise research timelines. These systemic inefficiencies undermine the reliability and scalability of marker-assisted selection programs (</w:t>
      </w:r>
      <w:proofErr w:type="spellStart"/>
      <w:r>
        <w:rPr>
          <w:rFonts w:ascii="Times New Roman" w:eastAsia="Times New Roman" w:hAnsi="Times New Roman" w:cs="Times New Roman"/>
          <w:sz w:val="24"/>
          <w:szCs w:val="24"/>
        </w:rPr>
        <w:t>Ebegbulem</w:t>
      </w:r>
      <w:proofErr w:type="spellEnd"/>
      <w:r>
        <w:rPr>
          <w:rFonts w:ascii="Times New Roman" w:eastAsia="Times New Roman" w:hAnsi="Times New Roman" w:cs="Times New Roman"/>
          <w:sz w:val="24"/>
          <w:szCs w:val="24"/>
        </w:rPr>
        <w:t>, 2013).</w:t>
      </w:r>
    </w:p>
    <w:p w14:paraId="00000064"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persistent limitation lies in the insufficient financial resources and specialized human capital necessary for implementing marker-assisted breeding programs. In many resource-limited settings, inadequate allocation of research grants restricts the ability to invest in advanced technologies, while the lack of trained bioinformaticians, molecular biologists, and breeding specialists constrains the integration of marker technologies into mainstream crop improvement pipelines. Together, these barriers highlight that financial sustainability, infrastructure development, and capacity-building are as crucial as technological innovation in ensuring the long-term success of molecular marker–based breeding initiatives.</w:t>
      </w:r>
    </w:p>
    <w:p w14:paraId="00000065" w14:textId="77777777" w:rsidR="006318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 Regulatory, Ethical, and Social Concerns</w:t>
      </w:r>
    </w:p>
    <w:p w14:paraId="00000066"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broader implementation of molecular marker technologies in plant breeding is also influenced by regulatory, ethical, and social factors. Intellectual property rights and patent protections associated with specific marker systems or genotyping platforms can restrict access, particularly for public-sector breeding programs that operate under limited budgets. Such proprietary constraints not only hinder technology transfer but may also slow collaborative research and the dissemination of improved crop varieties. In addition to legal barriers, public perception significantly affects the adoption of marker-assisted selection. Misconceptions that equate marker-based breeding with genetically modified organisms (GMOs) can foster </w:t>
      </w:r>
      <w:proofErr w:type="spellStart"/>
      <w:r>
        <w:rPr>
          <w:rFonts w:ascii="Times New Roman" w:eastAsia="Times New Roman" w:hAnsi="Times New Roman" w:cs="Times New Roman"/>
          <w:sz w:val="24"/>
          <w:szCs w:val="24"/>
        </w:rPr>
        <w:t>skepticism</w:t>
      </w:r>
      <w:proofErr w:type="spellEnd"/>
      <w:r>
        <w:rPr>
          <w:rFonts w:ascii="Times New Roman" w:eastAsia="Times New Roman" w:hAnsi="Times New Roman" w:cs="Times New Roman"/>
          <w:sz w:val="24"/>
          <w:szCs w:val="24"/>
        </w:rPr>
        <w:t>, particularly in regions where biotechnology is viewed with caution or where regulatory frameworks are stringent. Addressing these societal concerns through transparent communication, education, and stakeholder engagement is therefore critical to facilitate the responsible and widespread use of molecular markers in crop improvement programs</w:t>
      </w:r>
      <w:r>
        <w:rPr>
          <w:rFonts w:ascii="Times New Roman" w:eastAsia="Times New Roman" w:hAnsi="Times New Roman" w:cs="Times New Roman"/>
          <w:b/>
          <w:bCs/>
          <w:sz w:val="24"/>
          <w:szCs w:val="24"/>
        </w:rPr>
        <w:t>.</w:t>
      </w:r>
    </w:p>
    <w:p w14:paraId="00000067"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Future Perspectives and Emerging Trends</w:t>
      </w:r>
    </w:p>
    <w:p w14:paraId="00000068"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Advancements in molecular marker-assisted breeding (MAS) are poised to transform crop improvement strategies by enabling more precise, efficient, and targeted selection of desirable traits. The integration of high-resolution genotyping technologies, such as next-generation sequencing (NGS) and </w:t>
      </w:r>
      <w:proofErr w:type="spellStart"/>
      <w:r>
        <w:rPr>
          <w:rFonts w:ascii="Times New Roman" w:eastAsia="Times New Roman" w:hAnsi="Times New Roman" w:cs="Times New Roman"/>
          <w:sz w:val="24"/>
          <w:szCs w:val="24"/>
        </w:rPr>
        <w:t>pangenomics</w:t>
      </w:r>
      <w:proofErr w:type="spellEnd"/>
      <w:r>
        <w:rPr>
          <w:rFonts w:ascii="Times New Roman" w:eastAsia="Times New Roman" w:hAnsi="Times New Roman" w:cs="Times New Roman"/>
          <w:sz w:val="24"/>
          <w:szCs w:val="24"/>
        </w:rPr>
        <w:t>, provides a comprehensive understanding of genetic diversity, allowing the identification of novel alleles and the design of precise molecular markers. Together, these tools significantly enhance the efficiency and predictive accuracy of MAS programs (Aziz and Masmoudi, 2025).</w:t>
      </w:r>
    </w:p>
    <w:p w14:paraId="00000069"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Functional markers, which are directly associated with genes influencing specific traits, further strengthen the precision of selection in breeding pipelines. When combined with genome editing technologies such as CRISPR-Cas9, these markers enable targeted genetic modifications, accelerating the development of cultivars with desirable characteristics while minimizing unintended changes (Kumar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Moreover, the application of MAS in climate-resilient breeding is critical for developing varieties capable of withstanding abiotic stresses, including drought, heat, and salinity. By leveraging genomic selection, breeders can efficiently enhance stress tolerance, thereby contributing to global food security under changing climatic conditions.</w:t>
      </w:r>
    </w:p>
    <w:p w14:paraId="0000006A"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integration of multi-omics approaches including genomics, transcriptomics, proteomics, and metabolomics offers a holistic perspective on complex traits. This layered analysis improves the accuracy of trait prediction and selection, enabling the development of crops with enhanced nutritional quality, stress resilience, and adaptive potential (Jeon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Epigenetic modifications, which alter gene expression without changing the underlying DNA sequence, further influence phenotypic traits. Incorporating epigenetic markers into breeding programs may improve the stability and adaptability of desirable traits across generations.</w:t>
      </w:r>
    </w:p>
    <w:p w14:paraId="0000006B"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precision agriculture technologies, such as digital phenotyping, remote sensing, and sensor-based systems, provide the means to link laboratory discoveries with field-level applications. By integrating MAS with these technologies, breeders can ensure that molecular improvements translate into measurable gains in on-farm performance. In parallel, artificial intelligence (AI) and machine learning (ML) tools are increasingly applied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large-scale genotype–phenotype datasets, predict trait performance, optimize breeding strategies, and reduce the time required to develop improved cultivars (Trivedi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0000006C"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global collaborations and the development of open-access genomic databases play a pivotal role in accelerating breeding efforts. The adoption of standardized protocols and shared resources not only enhances reproducibility but also fosters innovation by facilitating the rapid exchange of knowledge and tools across the research community. Collectively, these emerging trends highlight a future in which MAS, integrated with cutting-edge genomic, computational, and field-based technologies, can deliver climate-resilient, high-yielding, and sustainable crop varieties.</w:t>
      </w:r>
    </w:p>
    <w:p w14:paraId="0000006D"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12.Conclusion</w:t>
      </w:r>
    </w:p>
    <w:p w14:paraId="0000006E" w14:textId="77777777" w:rsidR="006318A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markers have become indispensable aids in crop improvement by overcoming many limitations of traditional plant breeding through enabling precise, efficient and environment insensitive selection of desirable traits. Modern crop improvement has made remarkable progress in genetic diversity analysis, mapping, marker assisted selection, genomic selection and accelerated plant breeding with the aid of molecular markers. Integration of molecular markers with multi-omics approaches, high-throughput phenotyping and precision agriculture has provided a comprehensive understanding of complex traits, strengthened genotype-phenotype predictions and optimised breeding strategies. Even though higher cost, infrastructure, biological complexities of target traits, and regulatory constraints pose challenges for marker assisted crop improvement –especially in breeding programs with limited resources – advances in technology, global collaborations in integrations, and capacity building could overcome these limitations. In short, molecular marker-based crop improvement integrated with genomic and computational techniques could develop climate smart, high-yielding crop varieties to meet the future food demands.</w:t>
      </w:r>
    </w:p>
    <w:p w14:paraId="0AF42561" w14:textId="77777777" w:rsidR="00D94F1B" w:rsidRPr="00005ED1" w:rsidRDefault="00D94F1B" w:rsidP="00D94F1B">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534A9FAA" w14:textId="77777777" w:rsidR="00D94F1B" w:rsidRPr="00005ED1" w:rsidRDefault="00D94F1B" w:rsidP="00D94F1B">
      <w:pPr>
        <w:pStyle w:val="NoSpacing"/>
        <w:rPr>
          <w:rFonts w:ascii="Arial" w:hAnsi="Arial" w:cs="Arial"/>
          <w:highlight w:val="yellow"/>
        </w:rPr>
      </w:pPr>
    </w:p>
    <w:p w14:paraId="70DC1F66" w14:textId="77777777" w:rsidR="00D94F1B" w:rsidRPr="00005ED1" w:rsidRDefault="00D94F1B" w:rsidP="00D94F1B">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47AD7E18" w14:textId="77777777" w:rsidR="00D94F1B" w:rsidRDefault="00D94F1B" w:rsidP="00D94F1B">
      <w:pPr>
        <w:pStyle w:val="NoSpacing"/>
        <w:rPr>
          <w:rFonts w:ascii="Arial" w:hAnsi="Arial" w:cs="Arial"/>
        </w:rPr>
      </w:pPr>
    </w:p>
    <w:p w14:paraId="65CB4A3D" w14:textId="77777777" w:rsidR="00D94F1B" w:rsidRDefault="00D94F1B" w:rsidP="00D94F1B">
      <w:pPr>
        <w:pStyle w:val="NoSpacing"/>
        <w:rPr>
          <w:rFonts w:ascii="Arial" w:hAnsi="Arial" w:cs="Arial"/>
        </w:rPr>
      </w:pPr>
    </w:p>
    <w:p w14:paraId="42EBF91A" w14:textId="77777777" w:rsidR="00D94F1B" w:rsidRPr="00005ED1" w:rsidRDefault="00D94F1B" w:rsidP="00D94F1B">
      <w:pPr>
        <w:pStyle w:val="NoSpacing"/>
        <w:rPr>
          <w:rFonts w:ascii="Arial" w:hAnsi="Arial" w:cs="Arial"/>
        </w:rPr>
      </w:pPr>
    </w:p>
    <w:p w14:paraId="0000006F" w14:textId="77777777" w:rsidR="006318AC"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70"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Akram, S., Arif, M.A.R. and Hameed, A. (2021). A GBS-based GWAS analysis of adaptability and yield traits in bread wheat (</w:t>
      </w:r>
      <w:r>
        <w:rPr>
          <w:rFonts w:ascii="Times New Roman" w:eastAsia="Times New Roman" w:hAnsi="Times New Roman" w:cs="Times New Roman"/>
          <w:i/>
          <w:iCs/>
          <w:color w:val="000000"/>
          <w:sz w:val="24"/>
          <w:szCs w:val="24"/>
        </w:rPr>
        <w:t>Triticum aestivum</w:t>
      </w:r>
      <w:r>
        <w:rPr>
          <w:rFonts w:ascii="Times New Roman" w:eastAsia="Times New Roman" w:hAnsi="Times New Roman" w:cs="Times New Roman"/>
          <w:color w:val="000000"/>
          <w:sz w:val="24"/>
          <w:szCs w:val="24"/>
        </w:rPr>
        <w:t xml:space="preserve"> L.). </w:t>
      </w:r>
      <w:r>
        <w:rPr>
          <w:rFonts w:ascii="Times New Roman" w:eastAsia="Times New Roman" w:hAnsi="Times New Roman" w:cs="Times New Roman"/>
          <w:i/>
          <w:iCs/>
          <w:color w:val="000000"/>
          <w:sz w:val="24"/>
          <w:szCs w:val="24"/>
        </w:rPr>
        <w:t>Journal of Applied Genetics</w:t>
      </w:r>
      <w:r>
        <w:rPr>
          <w:rFonts w:ascii="Times New Roman" w:eastAsia="Times New Roman" w:hAnsi="Times New Roman" w:cs="Times New Roman"/>
          <w:color w:val="000000"/>
          <w:sz w:val="24"/>
          <w:szCs w:val="24"/>
        </w:rPr>
        <w:t>, 62(1), pp. 27–41.</w:t>
      </w:r>
    </w:p>
    <w:p w14:paraId="00000071"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Aziz, M.A. and Masmoudi, K. (2025). Molecular breakthroughs in modern plant breeding techniques. </w:t>
      </w:r>
      <w:r>
        <w:rPr>
          <w:rFonts w:ascii="Times New Roman" w:eastAsia="Times New Roman" w:hAnsi="Times New Roman" w:cs="Times New Roman"/>
          <w:i/>
          <w:iCs/>
          <w:color w:val="000000"/>
          <w:sz w:val="24"/>
          <w:szCs w:val="24"/>
        </w:rPr>
        <w:t>Horticultural Plant Journal</w:t>
      </w:r>
      <w:r>
        <w:rPr>
          <w:rFonts w:ascii="Times New Roman" w:eastAsia="Times New Roman" w:hAnsi="Times New Roman" w:cs="Times New Roman"/>
          <w:color w:val="000000"/>
          <w:sz w:val="24"/>
          <w:szCs w:val="24"/>
        </w:rPr>
        <w:t>, 11(1), pp. 15–41.</w:t>
      </w:r>
    </w:p>
    <w:p w14:paraId="00000072"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Barcaccia, G. (2010). Molecular markers for characterizing and conserving crop plant germplasm. In: Jain, S. and Brar, D. (eds.) </w:t>
      </w:r>
      <w:r>
        <w:rPr>
          <w:rFonts w:ascii="Times New Roman" w:eastAsia="Times New Roman" w:hAnsi="Times New Roman" w:cs="Times New Roman"/>
          <w:i/>
          <w:iCs/>
          <w:color w:val="000000"/>
          <w:sz w:val="24"/>
          <w:szCs w:val="24"/>
        </w:rPr>
        <w:t>Molecular Techniques in Crop Improvement</w:t>
      </w:r>
      <w:r>
        <w:rPr>
          <w:rFonts w:ascii="Times New Roman" w:eastAsia="Times New Roman" w:hAnsi="Times New Roman" w:cs="Times New Roman"/>
          <w:color w:val="000000"/>
          <w:sz w:val="24"/>
          <w:szCs w:val="24"/>
        </w:rPr>
        <w:t xml:space="preserve">. Dordrecht: Springer. </w:t>
      </w:r>
    </w:p>
    <w:p w14:paraId="00000073"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Bhatia, S., Sharma, K., Dahiya, R. and Bera, T. (2015). </w:t>
      </w:r>
      <w:r>
        <w:rPr>
          <w:rFonts w:ascii="Times New Roman" w:eastAsia="Times New Roman" w:hAnsi="Times New Roman" w:cs="Times New Roman"/>
          <w:i/>
          <w:iCs/>
          <w:color w:val="000000"/>
          <w:sz w:val="24"/>
          <w:szCs w:val="24"/>
        </w:rPr>
        <w:t>Modern applications of plant biotechnology in pharmaceutical sciences</w:t>
      </w:r>
      <w:r>
        <w:rPr>
          <w:rFonts w:ascii="Times New Roman" w:eastAsia="Times New Roman" w:hAnsi="Times New Roman" w:cs="Times New Roman"/>
          <w:color w:val="000000"/>
          <w:sz w:val="24"/>
          <w:szCs w:val="24"/>
        </w:rPr>
        <w:t>. Academic Press.</w:t>
      </w:r>
    </w:p>
    <w:p w14:paraId="00000074"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Collard, B.C.Y. and Mackill, D.J. (2008). Marker-assisted selection: an approach for precision plant breeding in the twenty-first century. </w:t>
      </w:r>
      <w:r>
        <w:rPr>
          <w:rFonts w:ascii="Times New Roman" w:eastAsia="Times New Roman" w:hAnsi="Times New Roman" w:cs="Times New Roman"/>
          <w:i/>
          <w:iCs/>
          <w:color w:val="000000"/>
          <w:sz w:val="24"/>
          <w:szCs w:val="24"/>
        </w:rPr>
        <w:t>Philosophical Transactions of the Royal Society B: Biological Sciences</w:t>
      </w:r>
      <w:r>
        <w:rPr>
          <w:rFonts w:ascii="Times New Roman" w:eastAsia="Times New Roman" w:hAnsi="Times New Roman" w:cs="Times New Roman"/>
          <w:color w:val="000000"/>
          <w:sz w:val="24"/>
          <w:szCs w:val="24"/>
        </w:rPr>
        <w:t>, 363(1491), pp. 557–572.</w:t>
      </w:r>
    </w:p>
    <w:p w14:paraId="00000075"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Dang, N.H. and Nguyen, N.H. (2025). Leveraging next-generation sequencing technology for the study of ginsenosides biosynthesis and exploring DNA markers in the endemic species </w:t>
      </w:r>
      <w:r>
        <w:rPr>
          <w:rFonts w:ascii="Times New Roman" w:eastAsia="Times New Roman" w:hAnsi="Times New Roman" w:cs="Times New Roman"/>
          <w:i/>
          <w:iCs/>
          <w:color w:val="000000"/>
          <w:sz w:val="24"/>
          <w:szCs w:val="24"/>
        </w:rPr>
        <w:t xml:space="preserve">Panax </w:t>
      </w:r>
      <w:proofErr w:type="spellStart"/>
      <w:r>
        <w:rPr>
          <w:rFonts w:ascii="Times New Roman" w:eastAsia="Times New Roman" w:hAnsi="Times New Roman" w:cs="Times New Roman"/>
          <w:i/>
          <w:iCs/>
          <w:color w:val="000000"/>
          <w:sz w:val="24"/>
          <w:szCs w:val="24"/>
        </w:rPr>
        <w:t>vietnamensis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Molecular Biology Reports</w:t>
      </w:r>
      <w:r>
        <w:rPr>
          <w:rFonts w:ascii="Times New Roman" w:eastAsia="Times New Roman" w:hAnsi="Times New Roman" w:cs="Times New Roman"/>
          <w:color w:val="000000"/>
          <w:sz w:val="24"/>
          <w:szCs w:val="24"/>
        </w:rPr>
        <w:t>, 52(1), p. 20.</w:t>
      </w:r>
    </w:p>
    <w:p w14:paraId="00000076"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Filippis, G.M., Amalfitano, D., Russo, C., Tommasino, C. and Rinaldi, A.M. (2025). A systematic mapping study of semantic technologies in multi-omics data integration. </w:t>
      </w:r>
      <w:r>
        <w:rPr>
          <w:rFonts w:ascii="Times New Roman" w:eastAsia="Times New Roman" w:hAnsi="Times New Roman" w:cs="Times New Roman"/>
          <w:i/>
          <w:iCs/>
          <w:color w:val="000000"/>
          <w:sz w:val="24"/>
          <w:szCs w:val="24"/>
        </w:rPr>
        <w:t>Journal of Biomedical Informatics</w:t>
      </w:r>
      <w:r>
        <w:rPr>
          <w:rFonts w:ascii="Times New Roman" w:eastAsia="Times New Roman" w:hAnsi="Times New Roman" w:cs="Times New Roman"/>
          <w:color w:val="000000"/>
          <w:sz w:val="24"/>
          <w:szCs w:val="24"/>
        </w:rPr>
        <w:t>, p. 104809.</w:t>
      </w:r>
    </w:p>
    <w:p w14:paraId="00000077"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Filippis, G.M., Amalfitano, D., Russo, C., Tommasino, C. and Rinaldi, A.M. (2025). A systematic mapping study of semantic technologies in multi-omics data integration. </w:t>
      </w:r>
      <w:r>
        <w:rPr>
          <w:rFonts w:ascii="Times New Roman" w:eastAsia="Times New Roman" w:hAnsi="Times New Roman" w:cs="Times New Roman"/>
          <w:i/>
          <w:iCs/>
          <w:color w:val="000000"/>
          <w:sz w:val="24"/>
          <w:szCs w:val="24"/>
        </w:rPr>
        <w:t>Journal of Biomedical Informatics</w:t>
      </w:r>
      <w:r>
        <w:rPr>
          <w:rFonts w:ascii="Times New Roman" w:eastAsia="Times New Roman" w:hAnsi="Times New Roman" w:cs="Times New Roman"/>
          <w:color w:val="000000"/>
          <w:sz w:val="24"/>
          <w:szCs w:val="24"/>
        </w:rPr>
        <w:t>, p. 104809.</w:t>
      </w:r>
    </w:p>
    <w:p w14:paraId="00000078"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Paula, E., Almeida, R.N.D., Santos, T.D.O., Souza Neto, J.D.D., Riva-Souza, E.M., Posse, S.C.P. and Moulin, M.M. (2024). Genetic diversity of common bean (</w:t>
      </w:r>
      <w:r>
        <w:rPr>
          <w:rFonts w:ascii="Times New Roman" w:eastAsia="Times New Roman" w:hAnsi="Times New Roman" w:cs="Times New Roman"/>
          <w:i/>
          <w:iCs/>
          <w:color w:val="000000"/>
          <w:sz w:val="24"/>
          <w:szCs w:val="24"/>
        </w:rPr>
        <w:t>Phaseolus vulgaris</w:t>
      </w:r>
      <w:r>
        <w:rPr>
          <w:rFonts w:ascii="Times New Roman" w:eastAsia="Times New Roman" w:hAnsi="Times New Roman" w:cs="Times New Roman"/>
          <w:color w:val="000000"/>
          <w:sz w:val="24"/>
          <w:szCs w:val="24"/>
        </w:rPr>
        <w:t xml:space="preserve"> L.) landraces based on morphological traits and molecular markers. </w:t>
      </w:r>
      <w:r>
        <w:rPr>
          <w:rFonts w:ascii="Times New Roman" w:eastAsia="Times New Roman" w:hAnsi="Times New Roman" w:cs="Times New Roman"/>
          <w:i/>
          <w:iCs/>
          <w:color w:val="000000"/>
          <w:sz w:val="24"/>
          <w:szCs w:val="24"/>
        </w:rPr>
        <w:t>Plants</w:t>
      </w:r>
      <w:r>
        <w:rPr>
          <w:rFonts w:ascii="Times New Roman" w:eastAsia="Times New Roman" w:hAnsi="Times New Roman" w:cs="Times New Roman"/>
          <w:color w:val="000000"/>
          <w:sz w:val="24"/>
          <w:szCs w:val="24"/>
        </w:rPr>
        <w:t>, 13(18), p. 2584.</w:t>
      </w:r>
    </w:p>
    <w:p w14:paraId="00000079"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Demenou</w:t>
      </w:r>
      <w:proofErr w:type="spellEnd"/>
      <w:r>
        <w:rPr>
          <w:rFonts w:ascii="Times New Roman" w:eastAsia="Times New Roman" w:hAnsi="Times New Roman" w:cs="Times New Roman"/>
          <w:color w:val="000000"/>
          <w:sz w:val="24"/>
          <w:szCs w:val="24"/>
        </w:rPr>
        <w:t xml:space="preserve">, B.B., Pineau, C.P., Le </w:t>
      </w:r>
      <w:proofErr w:type="spellStart"/>
      <w:r>
        <w:rPr>
          <w:rFonts w:ascii="Times New Roman" w:eastAsia="Times New Roman" w:hAnsi="Times New Roman" w:cs="Times New Roman"/>
          <w:color w:val="000000"/>
          <w:sz w:val="24"/>
          <w:szCs w:val="24"/>
        </w:rPr>
        <w:t>Clainche</w:t>
      </w:r>
      <w:proofErr w:type="spellEnd"/>
      <w:r>
        <w:rPr>
          <w:rFonts w:ascii="Times New Roman" w:eastAsia="Times New Roman" w:hAnsi="Times New Roman" w:cs="Times New Roman"/>
          <w:color w:val="000000"/>
          <w:sz w:val="24"/>
          <w:szCs w:val="24"/>
        </w:rPr>
        <w:t xml:space="preserve">, I., Berard, A., Faivre Rampant, P. and </w:t>
      </w:r>
      <w:proofErr w:type="spellStart"/>
      <w:r>
        <w:rPr>
          <w:rFonts w:ascii="Times New Roman" w:eastAsia="Times New Roman" w:hAnsi="Times New Roman" w:cs="Times New Roman"/>
          <w:color w:val="000000"/>
          <w:sz w:val="24"/>
          <w:szCs w:val="24"/>
        </w:rPr>
        <w:t>Hinsinger</w:t>
      </w:r>
      <w:proofErr w:type="spellEnd"/>
      <w:r>
        <w:rPr>
          <w:rFonts w:ascii="Times New Roman" w:eastAsia="Times New Roman" w:hAnsi="Times New Roman" w:cs="Times New Roman"/>
          <w:color w:val="000000"/>
          <w:sz w:val="24"/>
          <w:szCs w:val="24"/>
        </w:rPr>
        <w:t>, D.D. (2025). High-throughput SNP discovery, development and validation of a 30K target SNP genotyping tool for cultivated flax (</w:t>
      </w:r>
      <w:r>
        <w:rPr>
          <w:rFonts w:ascii="Times New Roman" w:eastAsia="Times New Roman" w:hAnsi="Times New Roman" w:cs="Times New Roman"/>
          <w:i/>
          <w:iCs/>
          <w:color w:val="000000"/>
          <w:sz w:val="24"/>
          <w:szCs w:val="24"/>
        </w:rPr>
        <w:t xml:space="preserve">Linum </w:t>
      </w:r>
      <w:proofErr w:type="spellStart"/>
      <w:r>
        <w:rPr>
          <w:rFonts w:ascii="Times New Roman" w:eastAsia="Times New Roman" w:hAnsi="Times New Roman" w:cs="Times New Roman"/>
          <w:i/>
          <w:iCs/>
          <w:color w:val="000000"/>
          <w:sz w:val="24"/>
          <w:szCs w:val="24"/>
        </w:rPr>
        <w:t>usitatissimum</w:t>
      </w:r>
      <w:proofErr w:type="spellEnd"/>
      <w:r>
        <w:rPr>
          <w:rFonts w:ascii="Times New Roman" w:eastAsia="Times New Roman" w:hAnsi="Times New Roman" w:cs="Times New Roman"/>
          <w:color w:val="000000"/>
          <w:sz w:val="24"/>
          <w:szCs w:val="24"/>
        </w:rPr>
        <w:t xml:space="preserve">) breeding and germplasm characterization. </w:t>
      </w:r>
      <w:proofErr w:type="spellStart"/>
      <w:r>
        <w:rPr>
          <w:rFonts w:ascii="Times New Roman" w:eastAsia="Times New Roman" w:hAnsi="Times New Roman" w:cs="Times New Roman"/>
          <w:i/>
          <w:iCs/>
          <w:color w:val="000000"/>
          <w:sz w:val="24"/>
          <w:szCs w:val="24"/>
        </w:rPr>
        <w:t>bioRxiv</w:t>
      </w:r>
      <w:proofErr w:type="spellEnd"/>
      <w:r>
        <w:rPr>
          <w:rFonts w:ascii="Times New Roman" w:eastAsia="Times New Roman" w:hAnsi="Times New Roman" w:cs="Times New Roman"/>
          <w:color w:val="000000"/>
          <w:sz w:val="24"/>
          <w:szCs w:val="24"/>
        </w:rPr>
        <w:t>, pp. 2025–09.</w:t>
      </w:r>
    </w:p>
    <w:p w14:paraId="0000007A"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Dormatey, R., Sun, C., Ali, K., Coulter, J.A., Bi, Z. and Bai, J. (2020). Gene pyramiding for sustainable crop improvement against biotic and abiotic stresses. </w:t>
      </w:r>
      <w:r>
        <w:rPr>
          <w:rFonts w:ascii="Times New Roman" w:eastAsia="Times New Roman" w:hAnsi="Times New Roman" w:cs="Times New Roman"/>
          <w:i/>
          <w:iCs/>
          <w:color w:val="000000"/>
          <w:sz w:val="24"/>
          <w:szCs w:val="24"/>
        </w:rPr>
        <w:t>Agronomy</w:t>
      </w:r>
      <w:r>
        <w:rPr>
          <w:rFonts w:ascii="Times New Roman" w:eastAsia="Times New Roman" w:hAnsi="Times New Roman" w:cs="Times New Roman"/>
          <w:color w:val="000000"/>
          <w:sz w:val="24"/>
          <w:szCs w:val="24"/>
        </w:rPr>
        <w:t>, 10(9), p. 1255.</w:t>
      </w:r>
    </w:p>
    <w:p w14:paraId="0000007B"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Ebegbulem</w:t>
      </w:r>
      <w:proofErr w:type="spellEnd"/>
      <w:r>
        <w:rPr>
          <w:rFonts w:ascii="Times New Roman" w:eastAsia="Times New Roman" w:hAnsi="Times New Roman" w:cs="Times New Roman"/>
          <w:color w:val="000000"/>
          <w:sz w:val="24"/>
          <w:szCs w:val="24"/>
        </w:rPr>
        <w:t xml:space="preserve">, T. (2013). Challenges in the application of molecular markers in animal and plant breeding. </w:t>
      </w:r>
      <w:r>
        <w:rPr>
          <w:rFonts w:ascii="Times New Roman" w:eastAsia="Times New Roman" w:hAnsi="Times New Roman" w:cs="Times New Roman"/>
          <w:i/>
          <w:iCs/>
          <w:color w:val="000000"/>
          <w:sz w:val="24"/>
          <w:szCs w:val="24"/>
        </w:rPr>
        <w:t>Journal of Biotechnology Research</w:t>
      </w:r>
      <w:r>
        <w:rPr>
          <w:rFonts w:ascii="Times New Roman" w:eastAsia="Times New Roman" w:hAnsi="Times New Roman" w:cs="Times New Roman"/>
          <w:color w:val="000000"/>
          <w:sz w:val="24"/>
          <w:szCs w:val="24"/>
        </w:rPr>
        <w:t>, 1(4), pp. 45–52.</w:t>
      </w:r>
    </w:p>
    <w:p w14:paraId="0000007C"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proofErr w:type="spellStart"/>
      <w:r>
        <w:rPr>
          <w:rFonts w:ascii="Times New Roman" w:eastAsia="Times New Roman" w:hAnsi="Times New Roman" w:cs="Times New Roman"/>
          <w:color w:val="000000"/>
          <w:sz w:val="24"/>
          <w:szCs w:val="24"/>
        </w:rPr>
        <w:t>Esawi</w:t>
      </w:r>
      <w:proofErr w:type="spellEnd"/>
      <w:r>
        <w:rPr>
          <w:rFonts w:ascii="Times New Roman" w:eastAsia="Times New Roman" w:hAnsi="Times New Roman" w:cs="Times New Roman"/>
          <w:color w:val="000000"/>
          <w:sz w:val="24"/>
          <w:szCs w:val="24"/>
        </w:rPr>
        <w:t>, M.A., Elashtokhy, M.M., Shamseldin, S.A., El-</w:t>
      </w:r>
      <w:proofErr w:type="spellStart"/>
      <w:r>
        <w:rPr>
          <w:rFonts w:ascii="Times New Roman" w:eastAsia="Times New Roman" w:hAnsi="Times New Roman" w:cs="Times New Roman"/>
          <w:color w:val="000000"/>
          <w:sz w:val="24"/>
          <w:szCs w:val="24"/>
        </w:rPr>
        <w:t>Ballat</w:t>
      </w:r>
      <w:proofErr w:type="spellEnd"/>
      <w:r>
        <w:rPr>
          <w:rFonts w:ascii="Times New Roman" w:eastAsia="Times New Roman" w:hAnsi="Times New Roman" w:cs="Times New Roman"/>
          <w:color w:val="000000"/>
          <w:sz w:val="24"/>
          <w:szCs w:val="24"/>
        </w:rPr>
        <w:t>, E.M., Zayed, E.M. and Heikal, Y.M. (2022). Analysis of genetic diversity and phylogenetic relationships of wheat (</w:t>
      </w:r>
      <w:r>
        <w:rPr>
          <w:rFonts w:ascii="Times New Roman" w:eastAsia="Times New Roman" w:hAnsi="Times New Roman" w:cs="Times New Roman"/>
          <w:i/>
          <w:iCs/>
          <w:color w:val="000000"/>
          <w:sz w:val="24"/>
          <w:szCs w:val="24"/>
        </w:rPr>
        <w:t>Triticum aestivum</w:t>
      </w:r>
      <w:r>
        <w:rPr>
          <w:rFonts w:ascii="Times New Roman" w:eastAsia="Times New Roman" w:hAnsi="Times New Roman" w:cs="Times New Roman"/>
          <w:color w:val="000000"/>
          <w:sz w:val="24"/>
          <w:szCs w:val="24"/>
        </w:rPr>
        <w:t xml:space="preserve"> L.) genotypes using phenological, molecular and DNA barcoding markers. </w:t>
      </w:r>
      <w:r>
        <w:rPr>
          <w:rFonts w:ascii="Times New Roman" w:eastAsia="Times New Roman" w:hAnsi="Times New Roman" w:cs="Times New Roman"/>
          <w:i/>
          <w:iCs/>
          <w:color w:val="000000"/>
          <w:sz w:val="24"/>
          <w:szCs w:val="24"/>
        </w:rPr>
        <w:t>Genes</w:t>
      </w:r>
      <w:r>
        <w:rPr>
          <w:rFonts w:ascii="Times New Roman" w:eastAsia="Times New Roman" w:hAnsi="Times New Roman" w:cs="Times New Roman"/>
          <w:color w:val="000000"/>
          <w:sz w:val="24"/>
          <w:szCs w:val="24"/>
        </w:rPr>
        <w:t>, 14(1), p. 34.</w:t>
      </w:r>
    </w:p>
    <w:p w14:paraId="0000007D"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lastRenderedPageBreak/>
        <w:t xml:space="preserve">Fan, C., Xing, Y., Mao, H., Lu, T., Han, B., Xu, C., Li, X. and Zhang, Q., 2006. GS3, a major QTL for grain length and weight and minor QTL for grain width and thickness in rice, encodes a putative transmembrane protein. </w:t>
      </w:r>
      <w:r>
        <w:rPr>
          <w:rFonts w:ascii="Times New Roman" w:eastAsia="Times New Roman" w:hAnsi="Times New Roman" w:cs="Times New Roman"/>
          <w:i/>
          <w:iCs/>
          <w:color w:val="222222"/>
          <w:sz w:val="24"/>
          <w:szCs w:val="24"/>
          <w:highlight w:val="white"/>
        </w:rPr>
        <w:t>Theoretical and applied genetics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112</w:t>
      </w:r>
      <w:r>
        <w:rPr>
          <w:rFonts w:ascii="Times New Roman" w:eastAsia="Times New Roman" w:hAnsi="Times New Roman" w:cs="Times New Roman"/>
          <w:color w:val="222222"/>
          <w:sz w:val="24"/>
          <w:szCs w:val="24"/>
          <w:highlight w:val="white"/>
        </w:rPr>
        <w:t>(6), pp.1164-1171.</w:t>
      </w:r>
    </w:p>
    <w:p w14:paraId="0000007E"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Guan, C., Zhang, Y., Zhang, P., Chachar, S., Wang, R., Du, X. and Yang, Y. (2020). Germplasm conservation, molecular identity and morphological characterization of persimmon (</w:t>
      </w:r>
      <w:r>
        <w:rPr>
          <w:rFonts w:ascii="Times New Roman" w:eastAsia="Times New Roman" w:hAnsi="Times New Roman" w:cs="Times New Roman"/>
          <w:i/>
          <w:iCs/>
          <w:color w:val="000000"/>
          <w:sz w:val="24"/>
          <w:szCs w:val="24"/>
        </w:rPr>
        <w:t>Diospyros kaki</w:t>
      </w:r>
      <w:r>
        <w:rPr>
          <w:rFonts w:ascii="Times New Roman" w:eastAsia="Times New Roman" w:hAnsi="Times New Roman" w:cs="Times New Roman"/>
          <w:color w:val="000000"/>
          <w:sz w:val="24"/>
          <w:szCs w:val="24"/>
        </w:rPr>
        <w:t xml:space="preserve"> Thunb.) in the NFGP of China. </w:t>
      </w:r>
      <w:r>
        <w:rPr>
          <w:rFonts w:ascii="Times New Roman" w:eastAsia="Times New Roman" w:hAnsi="Times New Roman" w:cs="Times New Roman"/>
          <w:i/>
          <w:iCs/>
          <w:color w:val="000000"/>
          <w:sz w:val="24"/>
          <w:szCs w:val="24"/>
        </w:rPr>
        <w:t xml:space="preserve">Scientia </w:t>
      </w:r>
      <w:proofErr w:type="spellStart"/>
      <w:r>
        <w:rPr>
          <w:rFonts w:ascii="Times New Roman" w:eastAsia="Times New Roman" w:hAnsi="Times New Roman" w:cs="Times New Roman"/>
          <w:i/>
          <w:iCs/>
          <w:color w:val="000000"/>
          <w:sz w:val="24"/>
          <w:szCs w:val="24"/>
        </w:rPr>
        <w:t>Horticulturae</w:t>
      </w:r>
      <w:proofErr w:type="spellEnd"/>
      <w:r>
        <w:rPr>
          <w:rFonts w:ascii="Times New Roman" w:eastAsia="Times New Roman" w:hAnsi="Times New Roman" w:cs="Times New Roman"/>
          <w:color w:val="000000"/>
          <w:sz w:val="24"/>
          <w:szCs w:val="24"/>
        </w:rPr>
        <w:t>, 272, p. 109490.</w:t>
      </w:r>
    </w:p>
    <w:p w14:paraId="0000007F"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Heffner, E.L., Sorrells, M.E. and Jannink, J.L. (2009). Genomic selection for crop improvement. </w:t>
      </w:r>
      <w:r>
        <w:rPr>
          <w:rFonts w:ascii="Times New Roman" w:eastAsia="Times New Roman" w:hAnsi="Times New Roman" w:cs="Times New Roman"/>
          <w:i/>
          <w:iCs/>
          <w:color w:val="000000"/>
          <w:sz w:val="24"/>
          <w:szCs w:val="24"/>
        </w:rPr>
        <w:t>Crop Science</w:t>
      </w:r>
      <w:r>
        <w:rPr>
          <w:rFonts w:ascii="Times New Roman" w:eastAsia="Times New Roman" w:hAnsi="Times New Roman" w:cs="Times New Roman"/>
          <w:color w:val="000000"/>
          <w:sz w:val="24"/>
          <w:szCs w:val="24"/>
        </w:rPr>
        <w:t>, 49(1), pp. 1–12.</w:t>
      </w:r>
    </w:p>
    <w:p w14:paraId="00000080"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Hussain, H. and Nisar, M. (2020). Assessment of plant genetic variations using molecular markers: A review. </w:t>
      </w:r>
      <w:r>
        <w:rPr>
          <w:rFonts w:ascii="Times New Roman" w:eastAsia="Times New Roman" w:hAnsi="Times New Roman" w:cs="Times New Roman"/>
          <w:i/>
          <w:iCs/>
          <w:color w:val="000000"/>
          <w:sz w:val="24"/>
          <w:szCs w:val="24"/>
        </w:rPr>
        <w:t>Journal of Applied Biology and Biotechnology</w:t>
      </w:r>
      <w:r>
        <w:rPr>
          <w:rFonts w:ascii="Times New Roman" w:eastAsia="Times New Roman" w:hAnsi="Times New Roman" w:cs="Times New Roman"/>
          <w:color w:val="000000"/>
          <w:sz w:val="24"/>
          <w:szCs w:val="24"/>
        </w:rPr>
        <w:t>, 8(5), pp. 99–109.</w:t>
      </w:r>
    </w:p>
    <w:p w14:paraId="00000081"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222222"/>
          <w:sz w:val="24"/>
          <w:szCs w:val="24"/>
          <w:highlight w:val="white"/>
        </w:rPr>
        <w:t>Humada</w:t>
      </w:r>
      <w:proofErr w:type="spellEnd"/>
      <w:r>
        <w:rPr>
          <w:rFonts w:ascii="Times New Roman" w:eastAsia="Times New Roman" w:hAnsi="Times New Roman" w:cs="Times New Roman"/>
          <w:color w:val="222222"/>
          <w:sz w:val="24"/>
          <w:szCs w:val="24"/>
          <w:highlight w:val="white"/>
        </w:rPr>
        <w:t xml:space="preserve">, Y.H., Abdullah, R.M. and Hussein, F.K., 2025. Genetic Relationship Analysis to Evaluate the Performance of Several Pure Strains and their Individual Hybrids between the RAPD-PCR Indicators in the Yield Traits of Yellow Corn (Zea mays L.). </w:t>
      </w:r>
      <w:r>
        <w:rPr>
          <w:rFonts w:ascii="Times New Roman" w:eastAsia="Times New Roman" w:hAnsi="Times New Roman" w:cs="Times New Roman"/>
          <w:i/>
          <w:iCs/>
          <w:color w:val="222222"/>
          <w:sz w:val="24"/>
          <w:szCs w:val="24"/>
          <w:highlight w:val="white"/>
        </w:rPr>
        <w:t>Jordan Journal of Biological 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18</w:t>
      </w:r>
      <w:r>
        <w:rPr>
          <w:rFonts w:ascii="Times New Roman" w:eastAsia="Times New Roman" w:hAnsi="Times New Roman" w:cs="Times New Roman"/>
          <w:color w:val="222222"/>
          <w:sz w:val="24"/>
          <w:szCs w:val="24"/>
          <w:highlight w:val="white"/>
        </w:rPr>
        <w:t>(1).</w:t>
      </w:r>
    </w:p>
    <w:p w14:paraId="00000082"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Islam, M.A., Hasan, M.M., Rahman, M.A., Akter, T. and Haque, M.A. (2024). Marker-assisted gene introgression for resistance to </w:t>
      </w:r>
      <w:r>
        <w:rPr>
          <w:rFonts w:ascii="Times New Roman" w:eastAsia="Times New Roman" w:hAnsi="Times New Roman" w:cs="Times New Roman"/>
          <w:i/>
          <w:iCs/>
          <w:color w:val="000000"/>
          <w:sz w:val="24"/>
          <w:szCs w:val="24"/>
        </w:rPr>
        <w:t>Xanthomonas oryzae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pv</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oryzae</w:t>
      </w:r>
      <w:r>
        <w:rPr>
          <w:rFonts w:ascii="Times New Roman" w:eastAsia="Times New Roman" w:hAnsi="Times New Roman" w:cs="Times New Roman"/>
          <w:color w:val="000000"/>
          <w:sz w:val="24"/>
          <w:szCs w:val="24"/>
        </w:rPr>
        <w:t xml:space="preserve"> in rice for the control of bacterial leaf blight. </w:t>
      </w:r>
      <w:proofErr w:type="spellStart"/>
      <w:r>
        <w:rPr>
          <w:rFonts w:ascii="Times New Roman" w:eastAsia="Times New Roman" w:hAnsi="Times New Roman" w:cs="Times New Roman"/>
          <w:i/>
          <w:iCs/>
          <w:color w:val="000000"/>
          <w:sz w:val="24"/>
          <w:szCs w:val="24"/>
        </w:rPr>
        <w:t>Euphytica</w:t>
      </w:r>
      <w:proofErr w:type="spellEnd"/>
      <w:r>
        <w:rPr>
          <w:rFonts w:ascii="Times New Roman" w:eastAsia="Times New Roman" w:hAnsi="Times New Roman" w:cs="Times New Roman"/>
          <w:color w:val="000000"/>
          <w:sz w:val="24"/>
          <w:szCs w:val="24"/>
        </w:rPr>
        <w:t>, 220(4), p. 60.</w:t>
      </w:r>
    </w:p>
    <w:p w14:paraId="00000083"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Jajoriya</w:t>
      </w:r>
      <w:proofErr w:type="spellEnd"/>
      <w:r>
        <w:rPr>
          <w:rFonts w:ascii="Times New Roman" w:eastAsia="Times New Roman" w:hAnsi="Times New Roman" w:cs="Times New Roman"/>
          <w:color w:val="000000"/>
          <w:sz w:val="24"/>
          <w:szCs w:val="24"/>
        </w:rPr>
        <w:t xml:space="preserve">, R., Sharma, R., Meena, V.K., </w:t>
      </w:r>
      <w:proofErr w:type="spellStart"/>
      <w:r>
        <w:rPr>
          <w:rFonts w:ascii="Times New Roman" w:eastAsia="Times New Roman" w:hAnsi="Times New Roman" w:cs="Times New Roman"/>
          <w:color w:val="000000"/>
          <w:sz w:val="24"/>
          <w:szCs w:val="24"/>
        </w:rPr>
        <w:t>Vadithya</w:t>
      </w:r>
      <w:proofErr w:type="spellEnd"/>
      <w:r>
        <w:rPr>
          <w:rFonts w:ascii="Times New Roman" w:eastAsia="Times New Roman" w:hAnsi="Times New Roman" w:cs="Times New Roman"/>
          <w:color w:val="000000"/>
          <w:sz w:val="24"/>
          <w:szCs w:val="24"/>
        </w:rPr>
        <w:t xml:space="preserve">, A.S., Singh, K., Kumar, P., Meemrot, S. and Nathawat, T.S. (2025). Emergence of molecular marker from RFLP to SNP: a review. </w:t>
      </w:r>
      <w:r>
        <w:rPr>
          <w:rFonts w:ascii="Times New Roman" w:eastAsia="Times New Roman" w:hAnsi="Times New Roman" w:cs="Times New Roman"/>
          <w:i/>
          <w:iCs/>
          <w:color w:val="000000"/>
          <w:sz w:val="24"/>
          <w:szCs w:val="24"/>
        </w:rPr>
        <w:t>Plant Archives</w:t>
      </w:r>
      <w:r>
        <w:rPr>
          <w:rFonts w:ascii="Times New Roman" w:eastAsia="Times New Roman" w:hAnsi="Times New Roman" w:cs="Times New Roman"/>
          <w:color w:val="000000"/>
          <w:sz w:val="24"/>
          <w:szCs w:val="24"/>
        </w:rPr>
        <w:t>, 25(1), pp. 2062–2074.</w:t>
      </w:r>
    </w:p>
    <w:p w14:paraId="00000084"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Jajoriya</w:t>
      </w:r>
      <w:proofErr w:type="spellEnd"/>
      <w:r>
        <w:rPr>
          <w:rFonts w:ascii="Times New Roman" w:eastAsia="Times New Roman" w:hAnsi="Times New Roman" w:cs="Times New Roman"/>
          <w:color w:val="000000"/>
          <w:sz w:val="24"/>
          <w:szCs w:val="24"/>
        </w:rPr>
        <w:t xml:space="preserve">, R., Sharma, R., Meena, V.K., </w:t>
      </w:r>
      <w:proofErr w:type="spellStart"/>
      <w:r>
        <w:rPr>
          <w:rFonts w:ascii="Times New Roman" w:eastAsia="Times New Roman" w:hAnsi="Times New Roman" w:cs="Times New Roman"/>
          <w:color w:val="000000"/>
          <w:sz w:val="24"/>
          <w:szCs w:val="24"/>
        </w:rPr>
        <w:t>Vadithya</w:t>
      </w:r>
      <w:proofErr w:type="spellEnd"/>
      <w:r>
        <w:rPr>
          <w:rFonts w:ascii="Times New Roman" w:eastAsia="Times New Roman" w:hAnsi="Times New Roman" w:cs="Times New Roman"/>
          <w:color w:val="000000"/>
          <w:sz w:val="24"/>
          <w:szCs w:val="24"/>
        </w:rPr>
        <w:t xml:space="preserve">, A.S., Singh, K., Kumar, P., Meemrot, S. and Nathawat, T.S. (2025). Emergence of molecular marker from RFLP to SNP: a review. </w:t>
      </w:r>
      <w:r>
        <w:rPr>
          <w:rFonts w:ascii="Times New Roman" w:eastAsia="Times New Roman" w:hAnsi="Times New Roman" w:cs="Times New Roman"/>
          <w:i/>
          <w:iCs/>
          <w:color w:val="000000"/>
          <w:sz w:val="24"/>
          <w:szCs w:val="24"/>
        </w:rPr>
        <w:t>Plant Archives</w:t>
      </w:r>
      <w:r>
        <w:rPr>
          <w:rFonts w:ascii="Times New Roman" w:eastAsia="Times New Roman" w:hAnsi="Times New Roman" w:cs="Times New Roman"/>
          <w:color w:val="000000"/>
          <w:sz w:val="24"/>
          <w:szCs w:val="24"/>
        </w:rPr>
        <w:t>, 25(1), pp. 2062–2074.</w:t>
      </w:r>
    </w:p>
    <w:p w14:paraId="00000085"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Jeon, D., Kang, Y., Lee, S., Choi, S., Sung, Y., Lee, T.H. and Kim, C. (2023). Digitalizing breeding in plants: A new trend of next-generation breeding based on genomic prediction. </w:t>
      </w:r>
      <w:r>
        <w:rPr>
          <w:rFonts w:ascii="Times New Roman" w:eastAsia="Times New Roman" w:hAnsi="Times New Roman" w:cs="Times New Roman"/>
          <w:i/>
          <w:iCs/>
          <w:color w:val="000000"/>
          <w:sz w:val="24"/>
          <w:szCs w:val="24"/>
        </w:rPr>
        <w:t>Frontiers in Plant Science</w:t>
      </w:r>
      <w:r>
        <w:rPr>
          <w:rFonts w:ascii="Times New Roman" w:eastAsia="Times New Roman" w:hAnsi="Times New Roman" w:cs="Times New Roman"/>
          <w:color w:val="000000"/>
          <w:sz w:val="24"/>
          <w:szCs w:val="24"/>
        </w:rPr>
        <w:t>, 14, p. 1092584.</w:t>
      </w:r>
    </w:p>
    <w:p w14:paraId="00000086"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M., Kumar, S., Sandhu, K.S., Kumar, N., Saripalli, G., Prakash, R., </w:t>
      </w:r>
      <w:proofErr w:type="spellStart"/>
      <w:r>
        <w:rPr>
          <w:rFonts w:ascii="Times New Roman" w:eastAsia="Times New Roman" w:hAnsi="Times New Roman" w:cs="Times New Roman"/>
          <w:color w:val="000000"/>
          <w:sz w:val="24"/>
          <w:szCs w:val="24"/>
        </w:rPr>
        <w:t>Nambardar</w:t>
      </w:r>
      <w:proofErr w:type="spellEnd"/>
      <w:r>
        <w:rPr>
          <w:rFonts w:ascii="Times New Roman" w:eastAsia="Times New Roman" w:hAnsi="Times New Roman" w:cs="Times New Roman"/>
          <w:color w:val="000000"/>
          <w:sz w:val="24"/>
          <w:szCs w:val="24"/>
        </w:rPr>
        <w:t xml:space="preserve">, A., Sharma, H., Gautam, T., Balyan, H.S. and Gupta, P.K. (2023). GWAS and genomic prediction for pre-harvest sprouting tolerance involving sprouting score and two other related traits in spring wheat. </w:t>
      </w:r>
      <w:r>
        <w:rPr>
          <w:rFonts w:ascii="Times New Roman" w:eastAsia="Times New Roman" w:hAnsi="Times New Roman" w:cs="Times New Roman"/>
          <w:i/>
          <w:iCs/>
          <w:color w:val="000000"/>
          <w:sz w:val="24"/>
          <w:szCs w:val="24"/>
        </w:rPr>
        <w:t>Molecular Breeding</w:t>
      </w:r>
      <w:r>
        <w:rPr>
          <w:rFonts w:ascii="Times New Roman" w:eastAsia="Times New Roman" w:hAnsi="Times New Roman" w:cs="Times New Roman"/>
          <w:color w:val="000000"/>
          <w:sz w:val="24"/>
          <w:szCs w:val="24"/>
        </w:rPr>
        <w:t>, 43(3), p. 14.</w:t>
      </w:r>
    </w:p>
    <w:p w14:paraId="00000087"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R., Das, S.P., Choudhury, B.U., Kumar, A., Prakash, N.R., Verma, R., Chakraborti, M., Devi, A.G., Bhattacharjee, B., Das, R. and Das, B. (2024). Advances in genomic tools for plant breeding: harnessing DNA molecular markers, genomic selection, and genome editing. </w:t>
      </w:r>
      <w:r>
        <w:rPr>
          <w:rFonts w:ascii="Times New Roman" w:eastAsia="Times New Roman" w:hAnsi="Times New Roman" w:cs="Times New Roman"/>
          <w:i/>
          <w:iCs/>
          <w:color w:val="000000"/>
          <w:sz w:val="24"/>
          <w:szCs w:val="24"/>
        </w:rPr>
        <w:t>Biological Research</w:t>
      </w:r>
      <w:r>
        <w:rPr>
          <w:rFonts w:ascii="Times New Roman" w:eastAsia="Times New Roman" w:hAnsi="Times New Roman" w:cs="Times New Roman"/>
          <w:color w:val="000000"/>
          <w:sz w:val="24"/>
          <w:szCs w:val="24"/>
        </w:rPr>
        <w:t>, 57(1), p. 80.</w:t>
      </w:r>
    </w:p>
    <w:p w14:paraId="00000088"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highlight w:val="white"/>
        </w:rPr>
        <w:t>Lagudah</w:t>
      </w:r>
      <w:proofErr w:type="spellEnd"/>
      <w:r>
        <w:rPr>
          <w:rFonts w:ascii="Times New Roman" w:eastAsia="Times New Roman" w:hAnsi="Times New Roman" w:cs="Times New Roman"/>
          <w:color w:val="222222"/>
          <w:sz w:val="24"/>
          <w:szCs w:val="24"/>
          <w:highlight w:val="white"/>
        </w:rPr>
        <w:t xml:space="preserve">, E.S., </w:t>
      </w:r>
      <w:proofErr w:type="spellStart"/>
      <w:r>
        <w:rPr>
          <w:rFonts w:ascii="Times New Roman" w:eastAsia="Times New Roman" w:hAnsi="Times New Roman" w:cs="Times New Roman"/>
          <w:color w:val="222222"/>
          <w:sz w:val="24"/>
          <w:szCs w:val="24"/>
          <w:highlight w:val="white"/>
        </w:rPr>
        <w:t>Krattinger</w:t>
      </w:r>
      <w:proofErr w:type="spellEnd"/>
      <w:r>
        <w:rPr>
          <w:rFonts w:ascii="Times New Roman" w:eastAsia="Times New Roman" w:hAnsi="Times New Roman" w:cs="Times New Roman"/>
          <w:color w:val="222222"/>
          <w:sz w:val="24"/>
          <w:szCs w:val="24"/>
          <w:highlight w:val="white"/>
        </w:rPr>
        <w:t>, S.G., Herrera-</w:t>
      </w:r>
      <w:proofErr w:type="spellStart"/>
      <w:r>
        <w:rPr>
          <w:rFonts w:ascii="Times New Roman" w:eastAsia="Times New Roman" w:hAnsi="Times New Roman" w:cs="Times New Roman"/>
          <w:color w:val="222222"/>
          <w:sz w:val="24"/>
          <w:szCs w:val="24"/>
          <w:highlight w:val="white"/>
        </w:rPr>
        <w:t>Foessel</w:t>
      </w:r>
      <w:proofErr w:type="spellEnd"/>
      <w:r>
        <w:rPr>
          <w:rFonts w:ascii="Times New Roman" w:eastAsia="Times New Roman" w:hAnsi="Times New Roman" w:cs="Times New Roman"/>
          <w:color w:val="222222"/>
          <w:sz w:val="24"/>
          <w:szCs w:val="24"/>
          <w:highlight w:val="white"/>
        </w:rPr>
        <w:t xml:space="preserve">, S., Singh, R.P., Huerta-Espino, J., </w:t>
      </w:r>
      <w:proofErr w:type="spellStart"/>
      <w:r>
        <w:rPr>
          <w:rFonts w:ascii="Times New Roman" w:eastAsia="Times New Roman" w:hAnsi="Times New Roman" w:cs="Times New Roman"/>
          <w:color w:val="222222"/>
          <w:sz w:val="24"/>
          <w:szCs w:val="24"/>
          <w:highlight w:val="white"/>
        </w:rPr>
        <w:t>Spielmeyer</w:t>
      </w:r>
      <w:proofErr w:type="spellEnd"/>
      <w:r>
        <w:rPr>
          <w:rFonts w:ascii="Times New Roman" w:eastAsia="Times New Roman" w:hAnsi="Times New Roman" w:cs="Times New Roman"/>
          <w:color w:val="222222"/>
          <w:sz w:val="24"/>
          <w:szCs w:val="24"/>
          <w:highlight w:val="white"/>
        </w:rPr>
        <w:t>, W., Brown-</w:t>
      </w:r>
      <w:proofErr w:type="spellStart"/>
      <w:r>
        <w:rPr>
          <w:rFonts w:ascii="Times New Roman" w:eastAsia="Times New Roman" w:hAnsi="Times New Roman" w:cs="Times New Roman"/>
          <w:color w:val="222222"/>
          <w:sz w:val="24"/>
          <w:szCs w:val="24"/>
          <w:highlight w:val="white"/>
        </w:rPr>
        <w:t>Guedira</w:t>
      </w:r>
      <w:proofErr w:type="spellEnd"/>
      <w:r>
        <w:rPr>
          <w:rFonts w:ascii="Times New Roman" w:eastAsia="Times New Roman" w:hAnsi="Times New Roman" w:cs="Times New Roman"/>
          <w:color w:val="222222"/>
          <w:sz w:val="24"/>
          <w:szCs w:val="24"/>
          <w:highlight w:val="white"/>
        </w:rPr>
        <w:t xml:space="preserve">, G., Selter, L.L. and Keller, B., 2009. Gene-specific markers for the wheat gene Lr34/Yr18/Pm38 which confers resistance to multiple fungal pathogens. </w:t>
      </w:r>
      <w:r>
        <w:rPr>
          <w:rFonts w:ascii="Times New Roman" w:eastAsia="Times New Roman" w:hAnsi="Times New Roman" w:cs="Times New Roman"/>
          <w:i/>
          <w:iCs/>
          <w:color w:val="222222"/>
          <w:sz w:val="24"/>
          <w:szCs w:val="24"/>
          <w:highlight w:val="white"/>
        </w:rPr>
        <w:t>Theoretical and Applied Genetics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119</w:t>
      </w:r>
      <w:r>
        <w:rPr>
          <w:rFonts w:ascii="Times New Roman" w:eastAsia="Times New Roman" w:hAnsi="Times New Roman" w:cs="Times New Roman"/>
          <w:color w:val="222222"/>
          <w:sz w:val="24"/>
          <w:szCs w:val="24"/>
          <w:highlight w:val="white"/>
        </w:rPr>
        <w:t>(5), pp.889-898.</w:t>
      </w:r>
    </w:p>
    <w:p w14:paraId="00000089"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Liang, X., Liu, S., Wang, T., Li, F., Cheng, J., Lai, J. and Jiang, C. (2021). Metabolomics-driven gene mining and genetic improvement of tolerance to salt-induced osmotic stress in maize. </w:t>
      </w:r>
      <w:r>
        <w:rPr>
          <w:rFonts w:ascii="Times New Roman" w:eastAsia="Times New Roman" w:hAnsi="Times New Roman" w:cs="Times New Roman"/>
          <w:i/>
          <w:iCs/>
          <w:color w:val="000000"/>
          <w:sz w:val="24"/>
          <w:szCs w:val="24"/>
        </w:rPr>
        <w:t>New Phytologist</w:t>
      </w:r>
      <w:r>
        <w:rPr>
          <w:rFonts w:ascii="Times New Roman" w:eastAsia="Times New Roman" w:hAnsi="Times New Roman" w:cs="Times New Roman"/>
          <w:color w:val="000000"/>
          <w:sz w:val="24"/>
          <w:szCs w:val="24"/>
        </w:rPr>
        <w:t>, 230(6), pp. 2355–2370.</w:t>
      </w:r>
    </w:p>
    <w:p w14:paraId="0000008A"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G., Zhu, P., Liu, Y., Kong, D., Wang, J., Luo, L. and Yu, X. (2024). Molecular marker-assisted selection of a new water-saving and drought-resistant rice (WDR) </w:t>
      </w:r>
      <w:r>
        <w:rPr>
          <w:rFonts w:ascii="Times New Roman" w:eastAsia="Times New Roman" w:hAnsi="Times New Roman" w:cs="Times New Roman"/>
          <w:color w:val="000000"/>
          <w:sz w:val="24"/>
          <w:szCs w:val="24"/>
        </w:rPr>
        <w:lastRenderedPageBreak/>
        <w:t xml:space="preserve">restoration line, </w:t>
      </w:r>
      <w:proofErr w:type="spellStart"/>
      <w:r>
        <w:rPr>
          <w:rFonts w:ascii="Times New Roman" w:eastAsia="Times New Roman" w:hAnsi="Times New Roman" w:cs="Times New Roman"/>
          <w:color w:val="000000"/>
          <w:sz w:val="24"/>
          <w:szCs w:val="24"/>
        </w:rPr>
        <w:t>Hanhui</w:t>
      </w:r>
      <w:proofErr w:type="spellEnd"/>
      <w:r>
        <w:rPr>
          <w:rFonts w:ascii="Times New Roman" w:eastAsia="Times New Roman" w:hAnsi="Times New Roman" w:cs="Times New Roman"/>
          <w:color w:val="000000"/>
          <w:sz w:val="24"/>
          <w:szCs w:val="24"/>
        </w:rPr>
        <w:t xml:space="preserve"> 8200, for enhanced resistance to rice blast. </w:t>
      </w:r>
      <w:r>
        <w:rPr>
          <w:rFonts w:ascii="Times New Roman" w:eastAsia="Times New Roman" w:hAnsi="Times New Roman" w:cs="Times New Roman"/>
          <w:i/>
          <w:iCs/>
          <w:color w:val="000000"/>
          <w:sz w:val="24"/>
          <w:szCs w:val="24"/>
        </w:rPr>
        <w:t>Agronomy</w:t>
      </w:r>
      <w:r>
        <w:rPr>
          <w:rFonts w:ascii="Times New Roman" w:eastAsia="Times New Roman" w:hAnsi="Times New Roman" w:cs="Times New Roman"/>
          <w:color w:val="000000"/>
          <w:sz w:val="24"/>
          <w:szCs w:val="24"/>
        </w:rPr>
        <w:t>, 14(7), p. 1504.</w:t>
      </w:r>
    </w:p>
    <w:p w14:paraId="0000008B"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López, A., Carreras, C., Pascual, M. and </w:t>
      </w:r>
      <w:proofErr w:type="spellStart"/>
      <w:r>
        <w:rPr>
          <w:rFonts w:ascii="Times New Roman" w:eastAsia="Times New Roman" w:hAnsi="Times New Roman" w:cs="Times New Roman"/>
          <w:color w:val="000000"/>
          <w:sz w:val="24"/>
          <w:szCs w:val="24"/>
        </w:rPr>
        <w:t>Pegueroles</w:t>
      </w:r>
      <w:proofErr w:type="spellEnd"/>
      <w:r>
        <w:rPr>
          <w:rFonts w:ascii="Times New Roman" w:eastAsia="Times New Roman" w:hAnsi="Times New Roman" w:cs="Times New Roman"/>
          <w:color w:val="000000"/>
          <w:sz w:val="24"/>
          <w:szCs w:val="24"/>
        </w:rPr>
        <w:t xml:space="preserve">, C. (2025). Evaluating restriction enzyme selection for reduced representation sequencing in conservation genomics. </w:t>
      </w:r>
      <w:r>
        <w:rPr>
          <w:rFonts w:ascii="Times New Roman" w:eastAsia="Times New Roman" w:hAnsi="Times New Roman" w:cs="Times New Roman"/>
          <w:i/>
          <w:iCs/>
          <w:color w:val="000000"/>
          <w:sz w:val="24"/>
          <w:szCs w:val="24"/>
        </w:rPr>
        <w:t>Molecular Ecology Resources</w:t>
      </w:r>
      <w:r>
        <w:rPr>
          <w:rFonts w:ascii="Times New Roman" w:eastAsia="Times New Roman" w:hAnsi="Times New Roman" w:cs="Times New Roman"/>
          <w:color w:val="000000"/>
          <w:sz w:val="24"/>
          <w:szCs w:val="24"/>
        </w:rPr>
        <w:t>, 25(5), p. e13865.</w:t>
      </w:r>
    </w:p>
    <w:p w14:paraId="0000008C"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 J. and Cao, Y. (2021). Genetic dissection of grain yield of maize and yield-related traits through association mapping and genomic prediction. </w:t>
      </w:r>
      <w:r>
        <w:rPr>
          <w:rFonts w:ascii="Times New Roman" w:eastAsia="Times New Roman" w:hAnsi="Times New Roman" w:cs="Times New Roman"/>
          <w:i/>
          <w:iCs/>
          <w:color w:val="000000"/>
          <w:sz w:val="24"/>
          <w:szCs w:val="24"/>
        </w:rPr>
        <w:t>Frontiers in Plant Science</w:t>
      </w:r>
      <w:r>
        <w:rPr>
          <w:rFonts w:ascii="Times New Roman" w:eastAsia="Times New Roman" w:hAnsi="Times New Roman" w:cs="Times New Roman"/>
          <w:color w:val="000000"/>
          <w:sz w:val="24"/>
          <w:szCs w:val="24"/>
        </w:rPr>
        <w:t>, 12, p. 690059.</w:t>
      </w:r>
    </w:p>
    <w:p w14:paraId="0000008D"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Manasa, A., Bharathi, D., </w:t>
      </w:r>
      <w:proofErr w:type="spellStart"/>
      <w:r>
        <w:rPr>
          <w:rFonts w:ascii="Times New Roman" w:eastAsia="Times New Roman" w:hAnsi="Times New Roman" w:cs="Times New Roman"/>
          <w:color w:val="000000"/>
          <w:sz w:val="24"/>
          <w:szCs w:val="24"/>
        </w:rPr>
        <w:t>Veeraghattapu</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Mallapuram</w:t>
      </w:r>
      <w:proofErr w:type="spellEnd"/>
      <w:r>
        <w:rPr>
          <w:rFonts w:ascii="Times New Roman" w:eastAsia="Times New Roman" w:hAnsi="Times New Roman" w:cs="Times New Roman"/>
          <w:color w:val="000000"/>
          <w:sz w:val="24"/>
          <w:szCs w:val="24"/>
        </w:rPr>
        <w:t xml:space="preserve">, S.P., </w:t>
      </w:r>
      <w:proofErr w:type="spellStart"/>
      <w:r>
        <w:rPr>
          <w:rFonts w:ascii="Times New Roman" w:eastAsia="Times New Roman" w:hAnsi="Times New Roman" w:cs="Times New Roman"/>
          <w:color w:val="000000"/>
          <w:sz w:val="24"/>
          <w:szCs w:val="24"/>
        </w:rPr>
        <w:t>Padherla</w:t>
      </w:r>
      <w:proofErr w:type="spellEnd"/>
      <w:r>
        <w:rPr>
          <w:rFonts w:ascii="Times New Roman" w:eastAsia="Times New Roman" w:hAnsi="Times New Roman" w:cs="Times New Roman"/>
          <w:color w:val="000000"/>
          <w:sz w:val="24"/>
          <w:szCs w:val="24"/>
        </w:rPr>
        <w:t xml:space="preserve">, L.K., </w:t>
      </w:r>
      <w:proofErr w:type="spellStart"/>
      <w:r>
        <w:rPr>
          <w:rFonts w:ascii="Times New Roman" w:eastAsia="Times New Roman" w:hAnsi="Times New Roman" w:cs="Times New Roman"/>
          <w:color w:val="000000"/>
          <w:sz w:val="24"/>
          <w:szCs w:val="24"/>
        </w:rPr>
        <w:t>Vulusala</w:t>
      </w:r>
      <w:proofErr w:type="spellEnd"/>
      <w:r>
        <w:rPr>
          <w:rFonts w:ascii="Times New Roman" w:eastAsia="Times New Roman" w:hAnsi="Times New Roman" w:cs="Times New Roman"/>
          <w:color w:val="000000"/>
          <w:sz w:val="24"/>
          <w:szCs w:val="24"/>
        </w:rPr>
        <w:t xml:space="preserve">, B.P. and </w:t>
      </w:r>
      <w:proofErr w:type="spellStart"/>
      <w:r>
        <w:rPr>
          <w:rFonts w:ascii="Times New Roman" w:eastAsia="Times New Roman" w:hAnsi="Times New Roman" w:cs="Times New Roman"/>
          <w:color w:val="000000"/>
          <w:sz w:val="24"/>
          <w:szCs w:val="24"/>
        </w:rPr>
        <w:t>Vemieddy</w:t>
      </w:r>
      <w:proofErr w:type="spellEnd"/>
      <w:r>
        <w:rPr>
          <w:rFonts w:ascii="Times New Roman" w:eastAsia="Times New Roman" w:hAnsi="Times New Roman" w:cs="Times New Roman"/>
          <w:color w:val="000000"/>
          <w:sz w:val="24"/>
          <w:szCs w:val="24"/>
        </w:rPr>
        <w:t xml:space="preserve">, L.R. (2025). Development of QR codes for rapid identification of sesame cultivars using DUS descriptors and molecular markers. </w:t>
      </w:r>
      <w:r>
        <w:rPr>
          <w:rFonts w:ascii="Times New Roman" w:eastAsia="Times New Roman" w:hAnsi="Times New Roman" w:cs="Times New Roman"/>
          <w:i/>
          <w:iCs/>
          <w:color w:val="000000"/>
          <w:sz w:val="24"/>
          <w:szCs w:val="24"/>
        </w:rPr>
        <w:t>Genetic Resources and Crop Evolution</w:t>
      </w:r>
      <w:r>
        <w:rPr>
          <w:rFonts w:ascii="Times New Roman" w:eastAsia="Times New Roman" w:hAnsi="Times New Roman" w:cs="Times New Roman"/>
          <w:color w:val="000000"/>
          <w:sz w:val="24"/>
          <w:szCs w:val="24"/>
        </w:rPr>
        <w:t>, pp. 1–20.</w:t>
      </w:r>
    </w:p>
    <w:p w14:paraId="0000008E"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 xml:space="preserve">McCouch, S.R., </w:t>
      </w:r>
      <w:proofErr w:type="spellStart"/>
      <w:r>
        <w:rPr>
          <w:rFonts w:ascii="Times New Roman" w:eastAsia="Times New Roman" w:hAnsi="Times New Roman" w:cs="Times New Roman"/>
          <w:color w:val="222222"/>
          <w:sz w:val="24"/>
          <w:szCs w:val="24"/>
          <w:highlight w:val="white"/>
        </w:rPr>
        <w:t>Teytelman</w:t>
      </w:r>
      <w:proofErr w:type="spellEnd"/>
      <w:r>
        <w:rPr>
          <w:rFonts w:ascii="Times New Roman" w:eastAsia="Times New Roman" w:hAnsi="Times New Roman" w:cs="Times New Roman"/>
          <w:color w:val="222222"/>
          <w:sz w:val="24"/>
          <w:szCs w:val="24"/>
          <w:highlight w:val="white"/>
        </w:rPr>
        <w:t xml:space="preserve">, L., Xu, Y., Lobos, K.B., Clare, K., Walton, M., Fu, B., Maghirang, R., Li, Z., Xing, Y. and Zhang, Q., 2002. Development and mapping of 2240 new SSR markers for rice (Oryza sativa L.). </w:t>
      </w:r>
      <w:r>
        <w:rPr>
          <w:rFonts w:ascii="Times New Roman" w:eastAsia="Times New Roman" w:hAnsi="Times New Roman" w:cs="Times New Roman"/>
          <w:i/>
          <w:iCs/>
          <w:color w:val="222222"/>
          <w:sz w:val="24"/>
          <w:szCs w:val="24"/>
          <w:highlight w:val="white"/>
        </w:rPr>
        <w:t>DNA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9</w:t>
      </w:r>
      <w:r>
        <w:rPr>
          <w:rFonts w:ascii="Times New Roman" w:eastAsia="Times New Roman" w:hAnsi="Times New Roman" w:cs="Times New Roman"/>
          <w:color w:val="222222"/>
          <w:sz w:val="24"/>
          <w:szCs w:val="24"/>
          <w:highlight w:val="white"/>
        </w:rPr>
        <w:t>(6), pp.199-207.</w:t>
      </w:r>
    </w:p>
    <w:p w14:paraId="0000008F"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Nadeem, M.A., Nawaz, M.A., Shahid, M.Q., Doğan, Y., </w:t>
      </w:r>
      <w:proofErr w:type="spellStart"/>
      <w:r>
        <w:rPr>
          <w:rFonts w:ascii="Times New Roman" w:eastAsia="Times New Roman" w:hAnsi="Times New Roman" w:cs="Times New Roman"/>
          <w:color w:val="000000"/>
          <w:sz w:val="24"/>
          <w:szCs w:val="24"/>
        </w:rPr>
        <w:t>Comertpay</w:t>
      </w:r>
      <w:proofErr w:type="spellEnd"/>
      <w:r>
        <w:rPr>
          <w:rFonts w:ascii="Times New Roman" w:eastAsia="Times New Roman" w:hAnsi="Times New Roman" w:cs="Times New Roman"/>
          <w:color w:val="000000"/>
          <w:sz w:val="24"/>
          <w:szCs w:val="24"/>
        </w:rPr>
        <w:t xml:space="preserve">, G., Yıldız, M. and Baloch, F.S. (2018). DNA molecular markers in plant breeding: current status and recent advancements in genomic selection and genome editing. </w:t>
      </w:r>
      <w:r>
        <w:rPr>
          <w:rFonts w:ascii="Times New Roman" w:eastAsia="Times New Roman" w:hAnsi="Times New Roman" w:cs="Times New Roman"/>
          <w:i/>
          <w:iCs/>
          <w:color w:val="000000"/>
          <w:sz w:val="24"/>
          <w:szCs w:val="24"/>
        </w:rPr>
        <w:t>Biotechnology &amp; Biotechnological Equipment</w:t>
      </w:r>
      <w:r>
        <w:rPr>
          <w:rFonts w:ascii="Times New Roman" w:eastAsia="Times New Roman" w:hAnsi="Times New Roman" w:cs="Times New Roman"/>
          <w:color w:val="000000"/>
          <w:sz w:val="24"/>
          <w:szCs w:val="24"/>
        </w:rPr>
        <w:t>, 32(2), pp. 261–285.</w:t>
      </w:r>
    </w:p>
    <w:p w14:paraId="00000090" w14:textId="77777777" w:rsidR="006318AC"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Panthee</w:t>
      </w:r>
      <w:proofErr w:type="spellEnd"/>
      <w:r>
        <w:rPr>
          <w:rFonts w:ascii="Times New Roman" w:eastAsia="Times New Roman" w:hAnsi="Times New Roman" w:cs="Times New Roman"/>
          <w:color w:val="000000"/>
          <w:sz w:val="24"/>
          <w:szCs w:val="24"/>
        </w:rPr>
        <w:t>, D.R. 2023. Application of molecular markers in crop improvement and beyond. </w:t>
      </w:r>
      <w:r>
        <w:rPr>
          <w:rFonts w:ascii="Times New Roman" w:eastAsia="Times New Roman" w:hAnsi="Times New Roman" w:cs="Times New Roman"/>
          <w:i/>
          <w:iCs/>
          <w:color w:val="000000"/>
          <w:sz w:val="24"/>
          <w:szCs w:val="24"/>
        </w:rPr>
        <w:t>Agron.</w:t>
      </w:r>
      <w:r>
        <w:rPr>
          <w:rFonts w:ascii="Times New Roman" w:eastAsia="Times New Roman" w:hAnsi="Times New Roman" w:cs="Times New Roman"/>
          <w:color w:val="000000"/>
          <w:sz w:val="24"/>
          <w:szCs w:val="24"/>
        </w:rPr>
        <w:t> 13(8):  2041.</w:t>
      </w:r>
    </w:p>
    <w:p w14:paraId="00000091"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Prysiazhniuk, L., </w:t>
      </w:r>
      <w:proofErr w:type="spellStart"/>
      <w:r>
        <w:rPr>
          <w:rFonts w:ascii="Times New Roman" w:eastAsia="Times New Roman" w:hAnsi="Times New Roman" w:cs="Times New Roman"/>
          <w:color w:val="000000"/>
          <w:sz w:val="24"/>
          <w:szCs w:val="24"/>
        </w:rPr>
        <w:t>Honcharov</w:t>
      </w:r>
      <w:proofErr w:type="spellEnd"/>
      <w:r>
        <w:rPr>
          <w:rFonts w:ascii="Times New Roman" w:eastAsia="Times New Roman" w:hAnsi="Times New Roman" w:cs="Times New Roman"/>
          <w:color w:val="000000"/>
          <w:sz w:val="24"/>
          <w:szCs w:val="24"/>
        </w:rPr>
        <w:t>, Y., Melnyk, S. and Kliachenko, O. (2023). The selection of maize parent lines within marker assisted selection (MAS) by crtRB1-3′TE marker for Steppe zone of Ukraine.</w:t>
      </w:r>
    </w:p>
    <w:p w14:paraId="00000092"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Rahayu, M.S., Setiawan, A., </w:t>
      </w:r>
      <w:proofErr w:type="spellStart"/>
      <w:r>
        <w:rPr>
          <w:rFonts w:ascii="Times New Roman" w:eastAsia="Times New Roman" w:hAnsi="Times New Roman" w:cs="Times New Roman"/>
          <w:color w:val="000000"/>
          <w:sz w:val="24"/>
          <w:szCs w:val="24"/>
        </w:rPr>
        <w:t>Maskromo</w:t>
      </w:r>
      <w:proofErr w:type="spellEnd"/>
      <w:r>
        <w:rPr>
          <w:rFonts w:ascii="Times New Roman" w:eastAsia="Times New Roman" w:hAnsi="Times New Roman" w:cs="Times New Roman"/>
          <w:color w:val="000000"/>
          <w:sz w:val="24"/>
          <w:szCs w:val="24"/>
        </w:rPr>
        <w:t xml:space="preserve">, I. and </w:t>
      </w:r>
      <w:proofErr w:type="spellStart"/>
      <w:r>
        <w:rPr>
          <w:rFonts w:ascii="Times New Roman" w:eastAsia="Times New Roman" w:hAnsi="Times New Roman" w:cs="Times New Roman"/>
          <w:color w:val="000000"/>
          <w:sz w:val="24"/>
          <w:szCs w:val="24"/>
        </w:rPr>
        <w:t>Purwito</w:t>
      </w:r>
      <w:proofErr w:type="spellEnd"/>
      <w:r>
        <w:rPr>
          <w:rFonts w:ascii="Times New Roman" w:eastAsia="Times New Roman" w:hAnsi="Times New Roman" w:cs="Times New Roman"/>
          <w:color w:val="000000"/>
          <w:sz w:val="24"/>
          <w:szCs w:val="24"/>
        </w:rPr>
        <w:t xml:space="preserve">, A. (2022). Genetic diversity analysis of Puan </w:t>
      </w:r>
      <w:proofErr w:type="spellStart"/>
      <w:r>
        <w:rPr>
          <w:rFonts w:ascii="Times New Roman" w:eastAsia="Times New Roman" w:hAnsi="Times New Roman" w:cs="Times New Roman"/>
          <w:color w:val="000000"/>
          <w:sz w:val="24"/>
          <w:szCs w:val="24"/>
        </w:rPr>
        <w:t>Kalianda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kopyor</w:t>
      </w:r>
      <w:proofErr w:type="spellEnd"/>
      <w:r>
        <w:rPr>
          <w:rFonts w:ascii="Times New Roman" w:eastAsia="Times New Roman" w:hAnsi="Times New Roman" w:cs="Times New Roman"/>
          <w:color w:val="000000"/>
          <w:sz w:val="24"/>
          <w:szCs w:val="24"/>
        </w:rPr>
        <w:t xml:space="preserve"> coconuts (</w:t>
      </w:r>
      <w:r>
        <w:rPr>
          <w:rFonts w:ascii="Times New Roman" w:eastAsia="Times New Roman" w:hAnsi="Times New Roman" w:cs="Times New Roman"/>
          <w:i/>
          <w:iCs/>
          <w:color w:val="000000"/>
          <w:sz w:val="24"/>
          <w:szCs w:val="24"/>
        </w:rPr>
        <w:t>Cocos nucifera</w:t>
      </w:r>
      <w:r>
        <w:rPr>
          <w:rFonts w:ascii="Times New Roman" w:eastAsia="Times New Roman" w:hAnsi="Times New Roman" w:cs="Times New Roman"/>
          <w:color w:val="000000"/>
          <w:sz w:val="24"/>
          <w:szCs w:val="24"/>
        </w:rPr>
        <w:t xml:space="preserve">) from South Lampung, Indonesia based on SSR markers. </w:t>
      </w:r>
      <w:proofErr w:type="spellStart"/>
      <w:r>
        <w:rPr>
          <w:rFonts w:ascii="Times New Roman" w:eastAsia="Times New Roman" w:hAnsi="Times New Roman" w:cs="Times New Roman"/>
          <w:i/>
          <w:iCs/>
          <w:color w:val="000000"/>
          <w:sz w:val="24"/>
          <w:szCs w:val="24"/>
        </w:rPr>
        <w:t>Biodiversitas</w:t>
      </w:r>
      <w:proofErr w:type="spellEnd"/>
      <w:r>
        <w:rPr>
          <w:rFonts w:ascii="Times New Roman" w:eastAsia="Times New Roman" w:hAnsi="Times New Roman" w:cs="Times New Roman"/>
          <w:i/>
          <w:iCs/>
          <w:color w:val="000000"/>
          <w:sz w:val="24"/>
          <w:szCs w:val="24"/>
        </w:rPr>
        <w:t>: Journal of Biological Diversity</w:t>
      </w:r>
      <w:r>
        <w:rPr>
          <w:rFonts w:ascii="Times New Roman" w:eastAsia="Times New Roman" w:hAnsi="Times New Roman" w:cs="Times New Roman"/>
          <w:color w:val="000000"/>
          <w:sz w:val="24"/>
          <w:szCs w:val="24"/>
        </w:rPr>
        <w:t>, 23(1).</w:t>
      </w:r>
    </w:p>
    <w:p w14:paraId="00000093"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Ronald, P.C., Albano, B., </w:t>
      </w:r>
      <w:proofErr w:type="spellStart"/>
      <w:r>
        <w:rPr>
          <w:rFonts w:ascii="Times New Roman" w:eastAsia="Times New Roman" w:hAnsi="Times New Roman" w:cs="Times New Roman"/>
          <w:color w:val="222222"/>
          <w:sz w:val="24"/>
          <w:szCs w:val="24"/>
          <w:highlight w:val="white"/>
        </w:rPr>
        <w:t>Tabien</w:t>
      </w:r>
      <w:proofErr w:type="spellEnd"/>
      <w:r>
        <w:rPr>
          <w:rFonts w:ascii="Times New Roman" w:eastAsia="Times New Roman" w:hAnsi="Times New Roman" w:cs="Times New Roman"/>
          <w:color w:val="222222"/>
          <w:sz w:val="24"/>
          <w:szCs w:val="24"/>
          <w:highlight w:val="white"/>
        </w:rPr>
        <w:t xml:space="preserve">, R., Abenes, L., Wu, K.S., McCouch, S. and Tanksley, S.D., 1992. Genetic and physical analysis of the rice bacterial blight disease resistance locus, Xa21. </w:t>
      </w:r>
      <w:r>
        <w:rPr>
          <w:rFonts w:ascii="Times New Roman" w:eastAsia="Times New Roman" w:hAnsi="Times New Roman" w:cs="Times New Roman"/>
          <w:i/>
          <w:iCs/>
          <w:color w:val="222222"/>
          <w:sz w:val="24"/>
          <w:szCs w:val="24"/>
          <w:highlight w:val="white"/>
        </w:rPr>
        <w:t>Molecular and General Genetics MGG</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236</w:t>
      </w:r>
      <w:r>
        <w:rPr>
          <w:rFonts w:ascii="Times New Roman" w:eastAsia="Times New Roman" w:hAnsi="Times New Roman" w:cs="Times New Roman"/>
          <w:color w:val="222222"/>
          <w:sz w:val="24"/>
          <w:szCs w:val="24"/>
          <w:highlight w:val="white"/>
        </w:rPr>
        <w:t>(1), pp.113-120.</w:t>
      </w:r>
    </w:p>
    <w:p w14:paraId="00000094"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4"/>
          <w:szCs w:val="24"/>
          <w:highlight w:val="white"/>
        </w:rPr>
        <w:t xml:space="preserve">Röder, M.S., Korzun, V., Gill, B.S. and Ganal, M.W., 1998. The physical mapping of microsatellite markers in wheat. </w:t>
      </w:r>
      <w:r>
        <w:rPr>
          <w:rFonts w:ascii="Times New Roman" w:eastAsia="Times New Roman" w:hAnsi="Times New Roman" w:cs="Times New Roman"/>
          <w:i/>
          <w:iCs/>
          <w:color w:val="222222"/>
          <w:sz w:val="24"/>
          <w:szCs w:val="24"/>
          <w:highlight w:val="white"/>
        </w:rPr>
        <w:t>Genome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41</w:t>
      </w:r>
      <w:r>
        <w:rPr>
          <w:rFonts w:ascii="Times New Roman" w:eastAsia="Times New Roman" w:hAnsi="Times New Roman" w:cs="Times New Roman"/>
          <w:color w:val="222222"/>
          <w:sz w:val="24"/>
          <w:szCs w:val="24"/>
          <w:highlight w:val="white"/>
        </w:rPr>
        <w:t>(2), pp.278-283.</w:t>
      </w:r>
    </w:p>
    <w:p w14:paraId="00000095"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Saavedra, L.M., Caixeta, E.T., Barka, G.D., </w:t>
      </w:r>
      <w:proofErr w:type="spellStart"/>
      <w:r>
        <w:rPr>
          <w:rFonts w:ascii="Times New Roman" w:eastAsia="Times New Roman" w:hAnsi="Times New Roman" w:cs="Times New Roman"/>
          <w:color w:val="000000"/>
          <w:sz w:val="24"/>
          <w:szCs w:val="24"/>
        </w:rPr>
        <w:t>Borém</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Zambolim</w:t>
      </w:r>
      <w:proofErr w:type="spellEnd"/>
      <w:r>
        <w:rPr>
          <w:rFonts w:ascii="Times New Roman" w:eastAsia="Times New Roman" w:hAnsi="Times New Roman" w:cs="Times New Roman"/>
          <w:color w:val="000000"/>
          <w:sz w:val="24"/>
          <w:szCs w:val="24"/>
        </w:rPr>
        <w:t xml:space="preserve">, L., Nascimento, M., Cruz, C.D., Oliveira, A.C.B.D. and Pereira, A.A. (2023). Marker-assisted recurrent selection for pyramiding leaf rust and coffee berry disease resistance alleles in </w:t>
      </w:r>
      <w:r>
        <w:rPr>
          <w:rFonts w:ascii="Times New Roman" w:eastAsia="Times New Roman" w:hAnsi="Times New Roman" w:cs="Times New Roman"/>
          <w:i/>
          <w:iCs/>
          <w:color w:val="000000"/>
          <w:sz w:val="24"/>
          <w:szCs w:val="24"/>
        </w:rPr>
        <w:t>Coffea arabica</w:t>
      </w:r>
      <w:r>
        <w:rPr>
          <w:rFonts w:ascii="Times New Roman" w:eastAsia="Times New Roman" w:hAnsi="Times New Roman" w:cs="Times New Roman"/>
          <w:color w:val="000000"/>
          <w:sz w:val="24"/>
          <w:szCs w:val="24"/>
        </w:rPr>
        <w:t xml:space="preserve"> L. </w:t>
      </w:r>
      <w:r>
        <w:rPr>
          <w:rFonts w:ascii="Times New Roman" w:eastAsia="Times New Roman" w:hAnsi="Times New Roman" w:cs="Times New Roman"/>
          <w:i/>
          <w:iCs/>
          <w:color w:val="000000"/>
          <w:sz w:val="24"/>
          <w:szCs w:val="24"/>
        </w:rPr>
        <w:t>Genes</w:t>
      </w:r>
      <w:r>
        <w:rPr>
          <w:rFonts w:ascii="Times New Roman" w:eastAsia="Times New Roman" w:hAnsi="Times New Roman" w:cs="Times New Roman"/>
          <w:color w:val="000000"/>
          <w:sz w:val="24"/>
          <w:szCs w:val="24"/>
        </w:rPr>
        <w:t>, 14(1), p. 189.</w:t>
      </w:r>
    </w:p>
    <w:p w14:paraId="00000096"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Schmidt, L., Jacobs, J., Schmutzer, T., Alqudah, A.M., Sannemann, W., Pillen, K. and Maurer, A. (2023). Identifying genomic regions determining shoot and root traits related to nitrogen uptake efficiency in a multiparent advanced generation </w:t>
      </w:r>
      <w:proofErr w:type="spellStart"/>
      <w:r>
        <w:rPr>
          <w:rFonts w:ascii="Times New Roman" w:eastAsia="Times New Roman" w:hAnsi="Times New Roman" w:cs="Times New Roman"/>
          <w:color w:val="000000"/>
          <w:sz w:val="24"/>
          <w:szCs w:val="24"/>
        </w:rPr>
        <w:t>intercross</w:t>
      </w:r>
      <w:proofErr w:type="spellEnd"/>
      <w:r>
        <w:rPr>
          <w:rFonts w:ascii="Times New Roman" w:eastAsia="Times New Roman" w:hAnsi="Times New Roman" w:cs="Times New Roman"/>
          <w:color w:val="000000"/>
          <w:sz w:val="24"/>
          <w:szCs w:val="24"/>
        </w:rPr>
        <w:t xml:space="preserve"> (MAGIC) winter wheat population in a high-throughput phenotyping facility. </w:t>
      </w:r>
      <w:r>
        <w:rPr>
          <w:rFonts w:ascii="Times New Roman" w:eastAsia="Times New Roman" w:hAnsi="Times New Roman" w:cs="Times New Roman"/>
          <w:i/>
          <w:iCs/>
          <w:color w:val="000000"/>
          <w:sz w:val="24"/>
          <w:szCs w:val="24"/>
        </w:rPr>
        <w:t>Plant Science</w:t>
      </w:r>
      <w:r>
        <w:rPr>
          <w:rFonts w:ascii="Times New Roman" w:eastAsia="Times New Roman" w:hAnsi="Times New Roman" w:cs="Times New Roman"/>
          <w:color w:val="000000"/>
          <w:sz w:val="24"/>
          <w:szCs w:val="24"/>
        </w:rPr>
        <w:t>, 330, p. 111656.</w:t>
      </w:r>
    </w:p>
    <w:p w14:paraId="00000097"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Shrivastav, A., Tripathi, M.K., Tiwari, S., Tripathi, N., Tiwari, P.N., Bimal, S.S., Rajpoot, P. and Chauhan, S. (2023). Evaluation of genetic diversity in Indian mustard (</w:t>
      </w:r>
      <w:r>
        <w:rPr>
          <w:rFonts w:ascii="Times New Roman" w:eastAsia="Times New Roman" w:hAnsi="Times New Roman" w:cs="Times New Roman"/>
          <w:i/>
          <w:iCs/>
          <w:color w:val="000000"/>
          <w:sz w:val="24"/>
          <w:szCs w:val="24"/>
        </w:rPr>
        <w:t>Brassica juncea</w:t>
      </w:r>
      <w:r>
        <w:rPr>
          <w:rFonts w:ascii="Times New Roman" w:eastAsia="Times New Roman" w:hAnsi="Times New Roman" w:cs="Times New Roman"/>
          <w:color w:val="000000"/>
          <w:sz w:val="24"/>
          <w:szCs w:val="24"/>
        </w:rPr>
        <w:t xml:space="preserve"> var. </w:t>
      </w:r>
      <w:r>
        <w:rPr>
          <w:rFonts w:ascii="Times New Roman" w:eastAsia="Times New Roman" w:hAnsi="Times New Roman" w:cs="Times New Roman"/>
          <w:i/>
          <w:iCs/>
          <w:color w:val="000000"/>
          <w:sz w:val="24"/>
          <w:szCs w:val="24"/>
        </w:rPr>
        <w:t>rugosa</w:t>
      </w:r>
      <w:r>
        <w:rPr>
          <w:rFonts w:ascii="Times New Roman" w:eastAsia="Times New Roman" w:hAnsi="Times New Roman" w:cs="Times New Roman"/>
          <w:color w:val="000000"/>
          <w:sz w:val="24"/>
          <w:szCs w:val="24"/>
        </w:rPr>
        <w:t xml:space="preserve">) employing SSR molecular markers. </w:t>
      </w:r>
      <w:r>
        <w:rPr>
          <w:rFonts w:ascii="Times New Roman" w:eastAsia="Times New Roman" w:hAnsi="Times New Roman" w:cs="Times New Roman"/>
          <w:i/>
          <w:iCs/>
          <w:color w:val="000000"/>
          <w:sz w:val="24"/>
          <w:szCs w:val="24"/>
        </w:rPr>
        <w:t>Plant Cell Biotechnology and Molecular Biology</w:t>
      </w:r>
      <w:r>
        <w:rPr>
          <w:rFonts w:ascii="Times New Roman" w:eastAsia="Times New Roman" w:hAnsi="Times New Roman" w:cs="Times New Roman"/>
          <w:color w:val="000000"/>
          <w:sz w:val="24"/>
          <w:szCs w:val="24"/>
        </w:rPr>
        <w:t>, 24(3–4), pp. 10–21.</w:t>
      </w:r>
    </w:p>
    <w:p w14:paraId="00000098"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Singh, S.P., </w:t>
      </w:r>
      <w:proofErr w:type="spellStart"/>
      <w:r>
        <w:rPr>
          <w:rFonts w:ascii="Times New Roman" w:eastAsia="Times New Roman" w:hAnsi="Times New Roman" w:cs="Times New Roman"/>
          <w:color w:val="000000"/>
          <w:sz w:val="24"/>
          <w:szCs w:val="24"/>
        </w:rPr>
        <w:t>Rasogi</w:t>
      </w:r>
      <w:proofErr w:type="spellEnd"/>
      <w:r>
        <w:rPr>
          <w:rFonts w:ascii="Times New Roman" w:eastAsia="Times New Roman" w:hAnsi="Times New Roman" w:cs="Times New Roman"/>
          <w:color w:val="000000"/>
          <w:sz w:val="24"/>
          <w:szCs w:val="24"/>
        </w:rPr>
        <w:t xml:space="preserve">, J., Ck, C., Singh, R.K., Nigam, A. and Singh, R.B. (2025). Construction of an integrated linkage map of sugarcane using </w:t>
      </w:r>
      <w:proofErr w:type="spellStart"/>
      <w:r>
        <w:rPr>
          <w:rFonts w:ascii="Times New Roman" w:eastAsia="Times New Roman" w:hAnsi="Times New Roman" w:cs="Times New Roman"/>
          <w:color w:val="000000"/>
          <w:sz w:val="24"/>
          <w:szCs w:val="24"/>
        </w:rPr>
        <w:t>unigene</w:t>
      </w:r>
      <w:proofErr w:type="spellEnd"/>
      <w:r>
        <w:rPr>
          <w:rFonts w:ascii="Times New Roman" w:eastAsia="Times New Roman" w:hAnsi="Times New Roman" w:cs="Times New Roman"/>
          <w:color w:val="000000"/>
          <w:sz w:val="24"/>
          <w:szCs w:val="24"/>
        </w:rPr>
        <w:t xml:space="preserve">-derived microsatellite (SSR) markers. </w:t>
      </w:r>
      <w:r>
        <w:rPr>
          <w:rFonts w:ascii="Times New Roman" w:eastAsia="Times New Roman" w:hAnsi="Times New Roman" w:cs="Times New Roman"/>
          <w:i/>
          <w:iCs/>
          <w:color w:val="000000"/>
          <w:sz w:val="24"/>
          <w:szCs w:val="24"/>
        </w:rPr>
        <w:t>Reproduction and Breeding</w:t>
      </w:r>
      <w:r>
        <w:rPr>
          <w:rFonts w:ascii="Times New Roman" w:eastAsia="Times New Roman" w:hAnsi="Times New Roman" w:cs="Times New Roman"/>
          <w:color w:val="000000"/>
          <w:sz w:val="24"/>
          <w:szCs w:val="24"/>
        </w:rPr>
        <w:t>, 5(1), pp. 12–22.</w:t>
      </w:r>
    </w:p>
    <w:p w14:paraId="00000099" w14:textId="77777777" w:rsidR="006318AC"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Soriano, J.M. 2020. Molecular marker technology for crop improvement. </w:t>
      </w:r>
      <w:r>
        <w:rPr>
          <w:rFonts w:ascii="Times New Roman" w:eastAsia="Times New Roman" w:hAnsi="Times New Roman" w:cs="Times New Roman"/>
          <w:i/>
          <w:iCs/>
          <w:color w:val="000000"/>
          <w:sz w:val="24"/>
          <w:szCs w:val="24"/>
        </w:rPr>
        <w:t>Agron.</w:t>
      </w:r>
      <w:r>
        <w:rPr>
          <w:rFonts w:ascii="Times New Roman" w:eastAsia="Times New Roman" w:hAnsi="Times New Roman" w:cs="Times New Roman"/>
          <w:color w:val="000000"/>
          <w:sz w:val="24"/>
          <w:szCs w:val="24"/>
        </w:rPr>
        <w:t> 10 (10): 1462.</w:t>
      </w:r>
    </w:p>
    <w:p w14:paraId="0000009A" w14:textId="77777777" w:rsidR="006318AC"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 xml:space="preserve">Song, X.J., Huang, W., Shi, M., Zhu, M.Z. and Lin, H.X., 2007. A QTL for rice grain width and weight encodes a previously unknown RING-type E3 ubiquitin ligase. </w:t>
      </w:r>
      <w:r>
        <w:rPr>
          <w:rFonts w:ascii="Times New Roman" w:eastAsia="Times New Roman" w:hAnsi="Times New Roman" w:cs="Times New Roman"/>
          <w:i/>
          <w:iCs/>
          <w:color w:val="222222"/>
          <w:sz w:val="24"/>
          <w:szCs w:val="24"/>
          <w:highlight w:val="white"/>
        </w:rPr>
        <w:t>Nature genetics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39</w:t>
      </w:r>
      <w:r>
        <w:rPr>
          <w:rFonts w:ascii="Times New Roman" w:eastAsia="Times New Roman" w:hAnsi="Times New Roman" w:cs="Times New Roman"/>
          <w:color w:val="222222"/>
          <w:sz w:val="24"/>
          <w:szCs w:val="24"/>
          <w:highlight w:val="white"/>
        </w:rPr>
        <w:t>(5), pp.623-630.</w:t>
      </w:r>
    </w:p>
    <w:p w14:paraId="0000009B"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Suryendra</w:t>
      </w:r>
      <w:proofErr w:type="spellEnd"/>
      <w:r>
        <w:rPr>
          <w:rFonts w:ascii="Times New Roman" w:eastAsia="Times New Roman" w:hAnsi="Times New Roman" w:cs="Times New Roman"/>
          <w:color w:val="000000"/>
          <w:sz w:val="24"/>
          <w:szCs w:val="24"/>
        </w:rPr>
        <w:t xml:space="preserve">, P.J., Revathi, P., Singh, A.K. and </w:t>
      </w:r>
      <w:proofErr w:type="spellStart"/>
      <w:r>
        <w:rPr>
          <w:rFonts w:ascii="Times New Roman" w:eastAsia="Times New Roman" w:hAnsi="Times New Roman" w:cs="Times New Roman"/>
          <w:color w:val="000000"/>
          <w:sz w:val="24"/>
          <w:szCs w:val="24"/>
        </w:rPr>
        <w:t>Viraktamath</w:t>
      </w:r>
      <w:proofErr w:type="spellEnd"/>
      <w:r>
        <w:rPr>
          <w:rFonts w:ascii="Times New Roman" w:eastAsia="Times New Roman" w:hAnsi="Times New Roman" w:cs="Times New Roman"/>
          <w:color w:val="000000"/>
          <w:sz w:val="24"/>
          <w:szCs w:val="24"/>
        </w:rPr>
        <w:t xml:space="preserve">, B.C. (2020). Marker assisted recurrent selection for genetic male sterile population improvement in rice. </w:t>
      </w:r>
      <w:r>
        <w:rPr>
          <w:rFonts w:ascii="Times New Roman" w:eastAsia="Times New Roman" w:hAnsi="Times New Roman" w:cs="Times New Roman"/>
          <w:i/>
          <w:iCs/>
          <w:color w:val="000000"/>
          <w:sz w:val="24"/>
          <w:szCs w:val="24"/>
        </w:rPr>
        <w:t>Electronic Journal of Plant Breeding</w:t>
      </w:r>
      <w:r>
        <w:rPr>
          <w:rFonts w:ascii="Times New Roman" w:eastAsia="Times New Roman" w:hAnsi="Times New Roman" w:cs="Times New Roman"/>
          <w:color w:val="000000"/>
          <w:sz w:val="24"/>
          <w:szCs w:val="24"/>
        </w:rPr>
        <w:t>, 11(01), pp. 149–155.</w:t>
      </w:r>
    </w:p>
    <w:p w14:paraId="0000009C"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 xml:space="preserve">Subramaniam, S., Kadirvel, P. and </w:t>
      </w:r>
      <w:proofErr w:type="spellStart"/>
      <w:r>
        <w:rPr>
          <w:rFonts w:ascii="Times New Roman" w:eastAsia="Times New Roman" w:hAnsi="Times New Roman" w:cs="Times New Roman"/>
          <w:color w:val="222222"/>
          <w:sz w:val="24"/>
          <w:szCs w:val="24"/>
          <w:highlight w:val="white"/>
        </w:rPr>
        <w:t>Periyannan</w:t>
      </w:r>
      <w:proofErr w:type="spellEnd"/>
      <w:r>
        <w:rPr>
          <w:rFonts w:ascii="Times New Roman" w:eastAsia="Times New Roman" w:hAnsi="Times New Roman" w:cs="Times New Roman"/>
          <w:color w:val="222222"/>
          <w:sz w:val="24"/>
          <w:szCs w:val="24"/>
          <w:highlight w:val="white"/>
        </w:rPr>
        <w:t xml:space="preserve">, S., 2024. Wheat improvement through advances in single nucleotide polymorphism (SNP) detection and genotyping with a special emphasis on rust resistance. </w:t>
      </w:r>
      <w:r>
        <w:rPr>
          <w:rFonts w:ascii="Times New Roman" w:eastAsia="Times New Roman" w:hAnsi="Times New Roman" w:cs="Times New Roman"/>
          <w:i/>
          <w:iCs/>
          <w:color w:val="222222"/>
          <w:sz w:val="24"/>
          <w:szCs w:val="24"/>
          <w:highlight w:val="white"/>
        </w:rPr>
        <w:t>Theoretical and Applied Genetics: international journal of plant breeding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137</w:t>
      </w:r>
      <w:r>
        <w:rPr>
          <w:rFonts w:ascii="Times New Roman" w:eastAsia="Times New Roman" w:hAnsi="Times New Roman" w:cs="Times New Roman"/>
          <w:color w:val="222222"/>
          <w:sz w:val="24"/>
          <w:szCs w:val="24"/>
          <w:highlight w:val="white"/>
        </w:rPr>
        <w:t>(10).</w:t>
      </w:r>
    </w:p>
    <w:p w14:paraId="0000009D"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Varghesee</w:t>
      </w:r>
      <w:proofErr w:type="spellEnd"/>
      <w:r>
        <w:rPr>
          <w:rFonts w:ascii="Times New Roman" w:eastAsia="Times New Roman" w:hAnsi="Times New Roman" w:cs="Times New Roman"/>
          <w:color w:val="000000"/>
          <w:sz w:val="24"/>
          <w:szCs w:val="24"/>
        </w:rPr>
        <w:t xml:space="preserve">, R.L., Saravanan, S., Hepziba, S.J., Kumari, S.M.P., </w:t>
      </w:r>
      <w:proofErr w:type="spellStart"/>
      <w:r>
        <w:rPr>
          <w:rFonts w:ascii="Times New Roman" w:eastAsia="Times New Roman" w:hAnsi="Times New Roman" w:cs="Times New Roman"/>
          <w:color w:val="000000"/>
          <w:sz w:val="24"/>
          <w:szCs w:val="24"/>
        </w:rPr>
        <w:t>Pushpam</w:t>
      </w:r>
      <w:proofErr w:type="spellEnd"/>
      <w:r>
        <w:rPr>
          <w:rFonts w:ascii="Times New Roman" w:eastAsia="Times New Roman" w:hAnsi="Times New Roman" w:cs="Times New Roman"/>
          <w:color w:val="000000"/>
          <w:sz w:val="24"/>
          <w:szCs w:val="24"/>
        </w:rPr>
        <w:t>, A.K., Kanagarajan, S. and Pillai, M.A. (2024). Marker-assisted introgression to improve the oleic acid content in the TMV 7 groundnut (</w:t>
      </w:r>
      <w:r>
        <w:rPr>
          <w:rFonts w:ascii="Times New Roman" w:eastAsia="Times New Roman" w:hAnsi="Times New Roman" w:cs="Times New Roman"/>
          <w:i/>
          <w:iCs/>
          <w:color w:val="000000"/>
          <w:sz w:val="24"/>
          <w:szCs w:val="24"/>
        </w:rPr>
        <w:t>Arachis hypogaea</w:t>
      </w:r>
      <w:r>
        <w:rPr>
          <w:rFonts w:ascii="Times New Roman" w:eastAsia="Times New Roman" w:hAnsi="Times New Roman" w:cs="Times New Roman"/>
          <w:color w:val="000000"/>
          <w:sz w:val="24"/>
          <w:szCs w:val="24"/>
        </w:rPr>
        <w:t xml:space="preserve"> L.) variety suitable for the oil industry. </w:t>
      </w:r>
      <w:r>
        <w:rPr>
          <w:rFonts w:ascii="Times New Roman" w:eastAsia="Times New Roman" w:hAnsi="Times New Roman" w:cs="Times New Roman"/>
          <w:i/>
          <w:iCs/>
          <w:color w:val="000000"/>
          <w:sz w:val="24"/>
          <w:szCs w:val="24"/>
        </w:rPr>
        <w:t>BMC Plant Biology</w:t>
      </w:r>
      <w:r>
        <w:rPr>
          <w:rFonts w:ascii="Times New Roman" w:eastAsia="Times New Roman" w:hAnsi="Times New Roman" w:cs="Times New Roman"/>
          <w:color w:val="000000"/>
          <w:sz w:val="24"/>
          <w:szCs w:val="24"/>
        </w:rPr>
        <w:t>, 24(1), p. 733.</w:t>
      </w:r>
    </w:p>
    <w:p w14:paraId="0000009E"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Varshney, R.K., Graner, A. and Sorrells, M.E. (2005). Genic microsatellite markers in plants: features and applications. </w:t>
      </w:r>
      <w:r>
        <w:rPr>
          <w:rFonts w:ascii="Times New Roman" w:eastAsia="Times New Roman" w:hAnsi="Times New Roman" w:cs="Times New Roman"/>
          <w:i/>
          <w:iCs/>
          <w:color w:val="000000"/>
          <w:sz w:val="24"/>
          <w:szCs w:val="24"/>
        </w:rPr>
        <w:t>Trends in Biotechnology</w:t>
      </w:r>
      <w:r>
        <w:rPr>
          <w:rFonts w:ascii="Times New Roman" w:eastAsia="Times New Roman" w:hAnsi="Times New Roman" w:cs="Times New Roman"/>
          <w:color w:val="000000"/>
          <w:sz w:val="24"/>
          <w:szCs w:val="24"/>
        </w:rPr>
        <w:t>, 23(1), pp. 48–55.</w:t>
      </w:r>
    </w:p>
    <w:p w14:paraId="0000009F"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sz w:val="28"/>
          <w:szCs w:val="28"/>
        </w:rPr>
      </w:pPr>
      <w:r w:rsidRPr="00D94F1B">
        <w:rPr>
          <w:rFonts w:ascii="Times New Roman" w:eastAsia="Times New Roman" w:hAnsi="Times New Roman" w:cs="Times New Roman"/>
          <w:color w:val="222222"/>
          <w:sz w:val="24"/>
          <w:szCs w:val="24"/>
          <w:highlight w:val="white"/>
          <w:lang w:val="nl-BE"/>
        </w:rPr>
        <w:t xml:space="preserve">Vos, P., Hogers, R., Bleeker, M., Reijans, M., Lee, T.V.D., Hornes, M., Friters, A., Pot, J., Paleman, J., Kuiper, M. and Zabeau, M., 1995. </w:t>
      </w:r>
      <w:r>
        <w:rPr>
          <w:rFonts w:ascii="Times New Roman" w:eastAsia="Times New Roman" w:hAnsi="Times New Roman" w:cs="Times New Roman"/>
          <w:color w:val="222222"/>
          <w:sz w:val="24"/>
          <w:szCs w:val="24"/>
          <w:highlight w:val="white"/>
        </w:rPr>
        <w:t xml:space="preserve">AFLP: a new technique for DNA fingerprinting. </w:t>
      </w:r>
      <w:r>
        <w:rPr>
          <w:rFonts w:ascii="Times New Roman" w:eastAsia="Times New Roman" w:hAnsi="Times New Roman" w:cs="Times New Roman"/>
          <w:i/>
          <w:iCs/>
          <w:color w:val="222222"/>
          <w:sz w:val="24"/>
          <w:szCs w:val="24"/>
          <w:highlight w:val="white"/>
        </w:rPr>
        <w:t>Nucleic acids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23</w:t>
      </w:r>
      <w:r>
        <w:rPr>
          <w:rFonts w:ascii="Times New Roman" w:eastAsia="Times New Roman" w:hAnsi="Times New Roman" w:cs="Times New Roman"/>
          <w:color w:val="222222"/>
          <w:sz w:val="24"/>
          <w:szCs w:val="24"/>
          <w:highlight w:val="white"/>
        </w:rPr>
        <w:t>(21), pp.4407-4414.</w:t>
      </w:r>
    </w:p>
    <w:p w14:paraId="000000A0" w14:textId="77777777" w:rsidR="006318AC" w:rsidRDefault="00000000">
      <w:pPr>
        <w:numPr>
          <w:ilvl w:val="0"/>
          <w:numId w:val="5"/>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Xu, Y. and Crouch, J.H. (2008). Marker-assisted selection in plant breeding: From publications to practice. </w:t>
      </w:r>
      <w:r>
        <w:rPr>
          <w:rFonts w:ascii="Times New Roman" w:eastAsia="Times New Roman" w:hAnsi="Times New Roman" w:cs="Times New Roman"/>
          <w:i/>
          <w:iCs/>
          <w:color w:val="000000"/>
          <w:sz w:val="24"/>
          <w:szCs w:val="24"/>
        </w:rPr>
        <w:t>Crop Science</w:t>
      </w:r>
      <w:r>
        <w:rPr>
          <w:rFonts w:ascii="Times New Roman" w:eastAsia="Times New Roman" w:hAnsi="Times New Roman" w:cs="Times New Roman"/>
          <w:color w:val="000000"/>
          <w:sz w:val="24"/>
          <w:szCs w:val="24"/>
        </w:rPr>
        <w:t>, 48(2), pp. 391–407.</w:t>
      </w:r>
    </w:p>
    <w:p w14:paraId="000000A1" w14:textId="77777777" w:rsidR="006318AC" w:rsidRDefault="00000000">
      <w:pPr>
        <w:numPr>
          <w:ilvl w:val="0"/>
          <w:numId w:val="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sidRPr="00D94F1B">
        <w:rPr>
          <w:rFonts w:ascii="Times New Roman" w:eastAsia="Times New Roman" w:hAnsi="Times New Roman" w:cs="Times New Roman"/>
          <w:color w:val="000000"/>
          <w:sz w:val="24"/>
          <w:szCs w:val="24"/>
          <w:lang w:val="nl-BE"/>
        </w:rPr>
        <w:t xml:space="preserve">Yuan, J., Wang, X., Zhao, Y., Khan, N.U., Zhao, Z., Zhang, Y., Wen, X., Tang, F., Wang, F. and Li, Z. (2020). </w:t>
      </w:r>
      <w:r>
        <w:rPr>
          <w:rFonts w:ascii="Times New Roman" w:eastAsia="Times New Roman" w:hAnsi="Times New Roman" w:cs="Times New Roman"/>
          <w:color w:val="000000"/>
          <w:sz w:val="24"/>
          <w:szCs w:val="24"/>
        </w:rPr>
        <w:t xml:space="preserve">Genetic basis and identification of candidate genes for salt tolerance in rice by GWAS. </w:t>
      </w:r>
      <w:r>
        <w:rPr>
          <w:rFonts w:ascii="Times New Roman" w:eastAsia="Times New Roman" w:hAnsi="Times New Roman" w:cs="Times New Roman"/>
          <w:i/>
          <w:iCs/>
          <w:color w:val="000000"/>
          <w:sz w:val="24"/>
          <w:szCs w:val="24"/>
        </w:rPr>
        <w:t>Scientific Reports</w:t>
      </w:r>
      <w:r>
        <w:rPr>
          <w:rFonts w:ascii="Times New Roman" w:eastAsia="Times New Roman" w:hAnsi="Times New Roman" w:cs="Times New Roman"/>
          <w:color w:val="000000"/>
          <w:sz w:val="24"/>
          <w:szCs w:val="24"/>
        </w:rPr>
        <w:t>, 10(1), p. 9958.</w:t>
      </w:r>
    </w:p>
    <w:p w14:paraId="000000A2" w14:textId="77777777" w:rsidR="006318AC" w:rsidRDefault="006318AC">
      <w:pPr>
        <w:jc w:val="both"/>
        <w:rPr>
          <w:rFonts w:ascii="Times New Roman" w:eastAsia="Times New Roman" w:hAnsi="Times New Roman" w:cs="Times New Roman"/>
          <w:sz w:val="24"/>
          <w:szCs w:val="24"/>
        </w:rPr>
      </w:pPr>
    </w:p>
    <w:sectPr w:rsidR="006318A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683449-5E6A-405E-AFBF-F6E4811B46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B225D9-CE9A-41DB-9E25-18D802B22FE4}"/>
    <w:embedItalic r:id="rId3" w:fontKey="{E5C9F335-7260-4E06-8747-95DBF24E884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8196008-78BE-4E3E-9435-4DDCB0580E2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E1DDF"/>
    <w:multiLevelType w:val="multilevel"/>
    <w:tmpl w:val="692C1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EA1333"/>
    <w:multiLevelType w:val="multilevel"/>
    <w:tmpl w:val="5C328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A57C4D"/>
    <w:multiLevelType w:val="multilevel"/>
    <w:tmpl w:val="E7BA6BF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024DFB"/>
    <w:multiLevelType w:val="multilevel"/>
    <w:tmpl w:val="A54CE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CA782A"/>
    <w:multiLevelType w:val="multilevel"/>
    <w:tmpl w:val="888A7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4D7DDC"/>
    <w:multiLevelType w:val="multilevel"/>
    <w:tmpl w:val="8D40717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A460640"/>
    <w:multiLevelType w:val="multilevel"/>
    <w:tmpl w:val="DE74A6B8"/>
    <w:lvl w:ilvl="0">
      <w:start w:val="8"/>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6D121E88"/>
    <w:multiLevelType w:val="multilevel"/>
    <w:tmpl w:val="20B29B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515639"/>
    <w:multiLevelType w:val="multilevel"/>
    <w:tmpl w:val="2D8252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3596DE0"/>
    <w:multiLevelType w:val="multilevel"/>
    <w:tmpl w:val="F170E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4DA1083"/>
    <w:multiLevelType w:val="multilevel"/>
    <w:tmpl w:val="507E4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991CD3"/>
    <w:multiLevelType w:val="multilevel"/>
    <w:tmpl w:val="180AC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E6B280C"/>
    <w:multiLevelType w:val="multilevel"/>
    <w:tmpl w:val="23307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37112592">
    <w:abstractNumId w:val="8"/>
  </w:num>
  <w:num w:numId="2" w16cid:durableId="1688948131">
    <w:abstractNumId w:val="12"/>
  </w:num>
  <w:num w:numId="3" w16cid:durableId="1581521228">
    <w:abstractNumId w:val="6"/>
  </w:num>
  <w:num w:numId="4" w16cid:durableId="2112704486">
    <w:abstractNumId w:val="5"/>
  </w:num>
  <w:num w:numId="5" w16cid:durableId="971977407">
    <w:abstractNumId w:val="3"/>
  </w:num>
  <w:num w:numId="6" w16cid:durableId="1903368737">
    <w:abstractNumId w:val="2"/>
  </w:num>
  <w:num w:numId="7" w16cid:durableId="1420054828">
    <w:abstractNumId w:val="10"/>
  </w:num>
  <w:num w:numId="8" w16cid:durableId="1902668001">
    <w:abstractNumId w:val="11"/>
  </w:num>
  <w:num w:numId="9" w16cid:durableId="1250888563">
    <w:abstractNumId w:val="1"/>
  </w:num>
  <w:num w:numId="10" w16cid:durableId="1517227239">
    <w:abstractNumId w:val="9"/>
  </w:num>
  <w:num w:numId="11" w16cid:durableId="1007830813">
    <w:abstractNumId w:val="7"/>
  </w:num>
  <w:num w:numId="12" w16cid:durableId="1021930057">
    <w:abstractNumId w:val="4"/>
  </w:num>
  <w:num w:numId="13" w16cid:durableId="1098868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8AC"/>
    <w:rsid w:val="006318AC"/>
    <w:rsid w:val="007C7CEA"/>
    <w:rsid w:val="00D94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E7C1BF-991C-411D-BC7D-66FB77DC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07C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C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C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07C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7C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7C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7C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7C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7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C74"/>
    <w:rPr>
      <w:rFonts w:eastAsiaTheme="majorEastAsia" w:cstheme="majorBidi"/>
      <w:color w:val="272727" w:themeColor="text1" w:themeTint="D8"/>
    </w:rPr>
  </w:style>
  <w:style w:type="character" w:customStyle="1" w:styleId="TitleChar">
    <w:name w:val="Title Char"/>
    <w:basedOn w:val="DefaultParagraphFont"/>
    <w:link w:val="Title"/>
    <w:uiPriority w:val="10"/>
    <w:rsid w:val="00307C7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07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C74"/>
    <w:pPr>
      <w:spacing w:before="160"/>
      <w:jc w:val="center"/>
    </w:pPr>
    <w:rPr>
      <w:i/>
      <w:iCs/>
      <w:color w:val="404040" w:themeColor="text1" w:themeTint="BF"/>
    </w:rPr>
  </w:style>
  <w:style w:type="character" w:customStyle="1" w:styleId="QuoteChar">
    <w:name w:val="Quote Char"/>
    <w:basedOn w:val="DefaultParagraphFont"/>
    <w:link w:val="Quote"/>
    <w:uiPriority w:val="29"/>
    <w:rsid w:val="00307C74"/>
    <w:rPr>
      <w:i/>
      <w:iCs/>
      <w:color w:val="404040" w:themeColor="text1" w:themeTint="BF"/>
    </w:rPr>
  </w:style>
  <w:style w:type="paragraph" w:styleId="ListParagraph">
    <w:name w:val="List Paragraph"/>
    <w:basedOn w:val="Normal"/>
    <w:uiPriority w:val="34"/>
    <w:qFormat/>
    <w:rsid w:val="00307C74"/>
    <w:pPr>
      <w:ind w:left="720"/>
      <w:contextualSpacing/>
    </w:pPr>
  </w:style>
  <w:style w:type="character" w:styleId="IntenseEmphasis">
    <w:name w:val="Intense Emphasis"/>
    <w:basedOn w:val="DefaultParagraphFont"/>
    <w:uiPriority w:val="21"/>
    <w:qFormat/>
    <w:rsid w:val="00307C74"/>
    <w:rPr>
      <w:i/>
      <w:iCs/>
      <w:color w:val="2F5496" w:themeColor="accent1" w:themeShade="BF"/>
    </w:rPr>
  </w:style>
  <w:style w:type="paragraph" w:styleId="IntenseQuote">
    <w:name w:val="Intense Quote"/>
    <w:basedOn w:val="Normal"/>
    <w:next w:val="Normal"/>
    <w:link w:val="IntenseQuoteChar"/>
    <w:uiPriority w:val="30"/>
    <w:qFormat/>
    <w:rsid w:val="00307C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7C74"/>
    <w:rPr>
      <w:i/>
      <w:iCs/>
      <w:color w:val="2F5496" w:themeColor="accent1" w:themeShade="BF"/>
    </w:rPr>
  </w:style>
  <w:style w:type="character" w:styleId="IntenseReference">
    <w:name w:val="Intense Reference"/>
    <w:basedOn w:val="DefaultParagraphFont"/>
    <w:uiPriority w:val="32"/>
    <w:qFormat/>
    <w:rsid w:val="00307C74"/>
    <w:rPr>
      <w:b/>
      <w:bCs/>
      <w:smallCaps/>
      <w:color w:val="2F5496" w:themeColor="accent1" w:themeShade="BF"/>
      <w:spacing w:val="5"/>
    </w:rPr>
  </w:style>
  <w:style w:type="character" w:styleId="Hyperlink">
    <w:name w:val="Hyperlink"/>
    <w:basedOn w:val="DefaultParagraphFont"/>
    <w:uiPriority w:val="99"/>
    <w:unhideWhenUsed/>
    <w:rsid w:val="00307C74"/>
    <w:rPr>
      <w:color w:val="0563C1" w:themeColor="hyperlink"/>
      <w:u w:val="single"/>
    </w:rPr>
  </w:style>
  <w:style w:type="character" w:styleId="UnresolvedMention">
    <w:name w:val="Unresolved Mention"/>
    <w:basedOn w:val="DefaultParagraphFont"/>
    <w:uiPriority w:val="99"/>
    <w:semiHidden/>
    <w:unhideWhenUsed/>
    <w:rsid w:val="00BA04C2"/>
    <w:rPr>
      <w:color w:val="605E5C"/>
      <w:shd w:val="clear" w:color="auto" w:fill="E1DFDD"/>
    </w:rPr>
  </w:style>
  <w:style w:type="character" w:customStyle="1" w:styleId="inline">
    <w:name w:val="inline"/>
    <w:basedOn w:val="DefaultParagraphFont"/>
    <w:rsid w:val="00BA04C2"/>
  </w:style>
  <w:style w:type="character" w:customStyle="1" w:styleId="inline-flex">
    <w:name w:val="inline-flex"/>
    <w:basedOn w:val="DefaultParagraphFont"/>
    <w:rsid w:val="00BA04C2"/>
  </w:style>
  <w:style w:type="character" w:customStyle="1" w:styleId="whitespace-nowrap">
    <w:name w:val="whitespace-nowrap"/>
    <w:basedOn w:val="DefaultParagraphFont"/>
    <w:rsid w:val="00BA04C2"/>
  </w:style>
  <w:style w:type="paragraph" w:styleId="Subtitle">
    <w:name w:val="Subtitle"/>
    <w:basedOn w:val="Normal"/>
    <w:next w:val="Normal"/>
    <w:link w:val="SubtitleChar"/>
    <w:uiPriority w:val="11"/>
    <w:qFormat/>
    <w:rPr>
      <w:color w:val="595959"/>
      <w:sz w:val="28"/>
      <w:szCs w:val="28"/>
    </w:rPr>
  </w:style>
  <w:style w:type="paragraph" w:styleId="NoSpacing">
    <w:name w:val="No Spacing"/>
    <w:uiPriority w:val="1"/>
    <w:qFormat/>
    <w:rsid w:val="00D94F1B"/>
    <w:pPr>
      <w:spacing w:after="0" w:line="240" w:lineRule="auto"/>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wjZVvxqTAsDqznwiy955K+omg==">CgMxLjAyD2lkLmVxNDJmNW9ka29mdDgAciExZTBUT2NJT3lJbng5dTBaQ3BUMjM2QXpfWmtsSUUtUXY=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7780</Words>
  <Characters>44349</Characters>
  <Application>Microsoft Office Word</Application>
  <DocSecurity>0</DocSecurity>
  <Lines>369</Lines>
  <Paragraphs>104</Paragraphs>
  <ScaleCrop>false</ScaleCrop>
  <Company/>
  <LinksUpToDate>false</LinksUpToDate>
  <CharactersWithSpaces>52025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Rohith A K</dc:creator>
  <cp:lastModifiedBy>Editor-90</cp:lastModifiedBy>
  <cp:revision>2</cp:revision>
  <dcterms:created xsi:type="dcterms:W3CDTF">2026-01-07T06:04:00Z</dcterms:created>
  <dcterms:modified xsi:type="dcterms:W3CDTF">2026-01-17T10:36:00Z</dcterms:modified>
</cp:coreProperties>
</file>