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76C9" w14:textId="463B6ED3" w:rsidR="009F28C7" w:rsidRPr="000546EC" w:rsidRDefault="00FE5BA0" w:rsidP="002C1113">
      <w:pPr>
        <w:spacing w:after="0" w:line="240" w:lineRule="auto"/>
        <w:jc w:val="center"/>
        <w:rPr>
          <w:rFonts w:ascii="Times New Roman" w:hAnsi="Times New Roman" w:cs="Times New Roman"/>
          <w:b/>
          <w:bCs/>
        </w:rPr>
      </w:pPr>
      <w:r w:rsidRPr="000546EC">
        <w:rPr>
          <w:rFonts w:ascii="Times New Roman" w:hAnsi="Times New Roman" w:cs="Times New Roman"/>
          <w:b/>
          <w:bCs/>
          <w:i/>
          <w:iCs/>
        </w:rPr>
        <w:t>Helicobacter pylori</w:t>
      </w:r>
      <w:r w:rsidRPr="000546EC">
        <w:rPr>
          <w:rFonts w:ascii="Times New Roman" w:hAnsi="Times New Roman" w:cs="Times New Roman"/>
          <w:b/>
          <w:bCs/>
        </w:rPr>
        <w:t xml:space="preserve"> </w:t>
      </w:r>
      <w:r w:rsidR="001D4922" w:rsidRPr="000546EC">
        <w:rPr>
          <w:rFonts w:ascii="Times New Roman" w:hAnsi="Times New Roman" w:cs="Times New Roman"/>
          <w:b/>
          <w:bCs/>
        </w:rPr>
        <w:t>Seroprevalence</w:t>
      </w:r>
      <w:r w:rsidRPr="000546EC">
        <w:rPr>
          <w:rFonts w:ascii="Times New Roman" w:hAnsi="Times New Roman" w:cs="Times New Roman"/>
          <w:b/>
          <w:bCs/>
        </w:rPr>
        <w:t xml:space="preserve"> among Hostel-Resident Students of Rivers State University, Nigeria</w:t>
      </w:r>
      <w:r w:rsidR="009F28C7" w:rsidRPr="000546EC">
        <w:rPr>
          <w:rFonts w:ascii="Times New Roman" w:hAnsi="Times New Roman" w:cs="Times New Roman"/>
          <w:b/>
          <w:bCs/>
        </w:rPr>
        <w:t>.</w:t>
      </w:r>
    </w:p>
    <w:p w14:paraId="16EDCEB1" w14:textId="77777777" w:rsidR="001D4922" w:rsidRPr="000546EC" w:rsidRDefault="001D4922" w:rsidP="002C1113">
      <w:pPr>
        <w:jc w:val="center"/>
        <w:rPr>
          <w:rFonts w:ascii="Times New Roman" w:hAnsi="Times New Roman" w:cs="Times New Roman"/>
          <w:b/>
          <w:bCs/>
        </w:rPr>
      </w:pPr>
    </w:p>
    <w:p w14:paraId="0E68C190" w14:textId="7A374904" w:rsidR="00DC0FE9" w:rsidRPr="000546EC" w:rsidRDefault="001833C8" w:rsidP="000546EC">
      <w:pPr>
        <w:spacing w:after="0" w:line="240" w:lineRule="auto"/>
        <w:jc w:val="both"/>
        <w:rPr>
          <w:rFonts w:ascii="Times New Roman" w:hAnsi="Times New Roman" w:cs="Times New Roman"/>
          <w:b/>
          <w:bCs/>
        </w:rPr>
      </w:pPr>
      <w:r w:rsidRPr="000546EC">
        <w:rPr>
          <w:rFonts w:ascii="Times New Roman" w:hAnsi="Times New Roman" w:cs="Times New Roman"/>
          <w:b/>
          <w:bCs/>
        </w:rPr>
        <w:t>A</w:t>
      </w:r>
      <w:r w:rsidR="00DC0FE9" w:rsidRPr="000546EC">
        <w:rPr>
          <w:rFonts w:ascii="Times New Roman" w:hAnsi="Times New Roman" w:cs="Times New Roman"/>
          <w:b/>
          <w:bCs/>
        </w:rPr>
        <w:t>BSTRACT</w:t>
      </w:r>
    </w:p>
    <w:p w14:paraId="30127AB3" w14:textId="77777777" w:rsidR="00ED7CC3" w:rsidRPr="000546EC" w:rsidRDefault="00DC0FE9" w:rsidP="000546EC">
      <w:pPr>
        <w:spacing w:after="0" w:line="240" w:lineRule="auto"/>
        <w:jc w:val="both"/>
        <w:rPr>
          <w:rFonts w:ascii="Times New Roman" w:hAnsi="Times New Roman" w:cs="Times New Roman"/>
          <w:i/>
          <w:iCs/>
        </w:rPr>
      </w:pPr>
      <w:r w:rsidRPr="000546EC">
        <w:rPr>
          <w:rFonts w:ascii="Times New Roman" w:hAnsi="Times New Roman" w:cs="Times New Roman"/>
        </w:rPr>
        <w:br/>
      </w:r>
      <w:r w:rsidR="00ED7CC3" w:rsidRPr="000546EC">
        <w:rPr>
          <w:rFonts w:ascii="Times New Roman" w:hAnsi="Times New Roman" w:cs="Times New Roman"/>
        </w:rPr>
        <w:t xml:space="preserve">Helicobacter pylori is a Gram-negative bacterium implicated in chronic gastritis, peptic ulcer disease, and gastric malignancies. This study evaluated the seroprevalence of H. pylori infection and associated risk factors among students of Rivers State University, Port Harcourt. A total of 100 students were randomly recruited for the study. Whole blood samples were collected and screened using a rapid H. pylori antibody test kit, while socio-demographic characteristics and potential risk factors were obtained using structured questionnaires. The overall seroprevalence of H. pylori infection was 54%. A slightly higher prevalence was observed among females (56.36%) compared to males (51.11%); however, this difference was not statistically significant (p &gt; 0.05). Chi-square analysis further revealed no significant association between H. pylori seropositivity and gender or age (p &gt; 0.05). Although infection was most frequent among students aged 16–20 years, H. pylori was broadly distributed across all demographic categories, suggesting relatively uniform exposure within the study population. These findings highlight the need for improved hygiene practices, sanitation, and targeted awareness programs, particularly within university </w:t>
      </w:r>
      <w:proofErr w:type="spellStart"/>
      <w:r w:rsidR="00ED7CC3" w:rsidRPr="000546EC">
        <w:rPr>
          <w:rFonts w:ascii="Times New Roman" w:hAnsi="Times New Roman" w:cs="Times New Roman"/>
        </w:rPr>
        <w:t>hostel</w:t>
      </w:r>
      <w:proofErr w:type="spellEnd"/>
      <w:r w:rsidR="00ED7CC3" w:rsidRPr="000546EC">
        <w:rPr>
          <w:rFonts w:ascii="Times New Roman" w:hAnsi="Times New Roman" w:cs="Times New Roman"/>
        </w:rPr>
        <w:t xml:space="preserve"> environments, to reduce H. pylori transmission. In conclusion, the high seroprevalence indicates that H. pylori infection remains a significant public health concern among university students, warranting proactive preventive and educational interventions.</w:t>
      </w:r>
    </w:p>
    <w:p w14:paraId="43014FD9" w14:textId="77777777" w:rsidR="00ED7CC3" w:rsidRPr="000546EC" w:rsidRDefault="00ED7CC3" w:rsidP="000546EC">
      <w:pPr>
        <w:spacing w:after="0" w:line="240" w:lineRule="auto"/>
        <w:jc w:val="both"/>
        <w:rPr>
          <w:rFonts w:ascii="Times New Roman" w:hAnsi="Times New Roman" w:cs="Times New Roman"/>
          <w:i/>
          <w:iCs/>
        </w:rPr>
      </w:pPr>
    </w:p>
    <w:p w14:paraId="35C549F3" w14:textId="4FF9F38D" w:rsidR="00DC0FE9" w:rsidRPr="000546EC" w:rsidRDefault="00DC0FE9" w:rsidP="000546EC">
      <w:pPr>
        <w:spacing w:after="0" w:line="240" w:lineRule="auto"/>
        <w:jc w:val="both"/>
        <w:rPr>
          <w:rFonts w:ascii="Times New Roman" w:hAnsi="Times New Roman" w:cs="Times New Roman"/>
          <w:i/>
          <w:iCs/>
        </w:rPr>
      </w:pPr>
      <w:r w:rsidRPr="000546EC">
        <w:rPr>
          <w:rFonts w:ascii="Times New Roman" w:hAnsi="Times New Roman" w:cs="Times New Roman"/>
          <w:i/>
          <w:iCs/>
        </w:rPr>
        <w:t>Keywords: Helicobacter pylori, Seroprevalence, Peptic ulcer, Rapid antibody test</w:t>
      </w:r>
    </w:p>
    <w:p w14:paraId="5A405B47" w14:textId="77777777" w:rsidR="00B30D4B" w:rsidRPr="000546EC" w:rsidRDefault="00B30D4B" w:rsidP="000546EC">
      <w:pPr>
        <w:spacing w:after="0" w:line="240" w:lineRule="auto"/>
        <w:jc w:val="both"/>
        <w:rPr>
          <w:rFonts w:ascii="Times New Roman" w:hAnsi="Times New Roman" w:cs="Times New Roman"/>
          <w:i/>
          <w:iCs/>
        </w:rPr>
      </w:pPr>
    </w:p>
    <w:p w14:paraId="244CB0C2" w14:textId="77777777" w:rsidR="002C1A7E" w:rsidRPr="002C1A7E" w:rsidRDefault="002C1A7E" w:rsidP="000546EC">
      <w:pPr>
        <w:spacing w:after="0" w:line="240" w:lineRule="auto"/>
        <w:jc w:val="both"/>
        <w:rPr>
          <w:rFonts w:ascii="Times New Roman" w:hAnsi="Times New Roman" w:cs="Times New Roman"/>
          <w:b/>
          <w:bCs/>
        </w:rPr>
      </w:pPr>
      <w:r w:rsidRPr="002C1A7E">
        <w:rPr>
          <w:rFonts w:ascii="Times New Roman" w:hAnsi="Times New Roman" w:cs="Times New Roman"/>
          <w:b/>
          <w:bCs/>
        </w:rPr>
        <w:t>INTRODUCTION</w:t>
      </w:r>
    </w:p>
    <w:p w14:paraId="549B3AAF" w14:textId="361AEC78" w:rsidR="002C1A7E" w:rsidRPr="002C1A7E" w:rsidRDefault="002C1A7E" w:rsidP="000546EC">
      <w:pPr>
        <w:spacing w:after="0" w:line="240" w:lineRule="auto"/>
        <w:jc w:val="both"/>
        <w:rPr>
          <w:rFonts w:ascii="Times New Roman" w:hAnsi="Times New Roman" w:cs="Times New Roman"/>
        </w:rPr>
      </w:pPr>
      <w:r w:rsidRPr="002C1A7E">
        <w:rPr>
          <w:rFonts w:ascii="Times New Roman" w:hAnsi="Times New Roman" w:cs="Times New Roman"/>
        </w:rPr>
        <w:t xml:space="preserve">The discovery of </w:t>
      </w:r>
      <w:r w:rsidRPr="002C1A7E">
        <w:rPr>
          <w:rFonts w:ascii="Times New Roman" w:hAnsi="Times New Roman" w:cs="Times New Roman"/>
          <w:i/>
          <w:iCs/>
        </w:rPr>
        <w:t>Helicobacter pylori</w:t>
      </w:r>
      <w:r w:rsidRPr="002C1A7E">
        <w:rPr>
          <w:rFonts w:ascii="Times New Roman" w:hAnsi="Times New Roman" w:cs="Times New Roman"/>
        </w:rPr>
        <w:t xml:space="preserve"> (</w:t>
      </w:r>
      <w:r w:rsidRPr="002C1A7E">
        <w:rPr>
          <w:rFonts w:ascii="Times New Roman" w:hAnsi="Times New Roman" w:cs="Times New Roman"/>
          <w:i/>
          <w:iCs/>
        </w:rPr>
        <w:t>H. pylori</w:t>
      </w:r>
      <w:r w:rsidRPr="002C1A7E">
        <w:rPr>
          <w:rFonts w:ascii="Times New Roman" w:hAnsi="Times New Roman" w:cs="Times New Roman"/>
        </w:rPr>
        <w:t>) as the causative organism of chronic gastritis and peptic ulcer disease marked a major turning point in gastroenterology. Although the bacterium was first reported in 1983 in gastric biopsy specimens from patients with gastritis and peptic ulcer disease, recent scientific advances have further clarified its epidemiology, pathogenic mechanisms, and clinical management</w:t>
      </w:r>
      <w:r w:rsidR="00E25F17" w:rsidRPr="000546EC">
        <w:rPr>
          <w:rFonts w:ascii="Times New Roman" w:hAnsi="Times New Roman" w:cs="Times New Roman"/>
        </w:rPr>
        <w:t xml:space="preserve"> </w:t>
      </w:r>
      <w:r w:rsidR="00B9230F" w:rsidRPr="000546EC">
        <w:rPr>
          <w:rFonts w:ascii="Times New Roman" w:hAnsi="Times New Roman" w:cs="Times New Roman"/>
        </w:rPr>
        <w:t>(</w:t>
      </w:r>
      <w:proofErr w:type="spellStart"/>
      <w:r w:rsidR="00B9230F" w:rsidRPr="000546EC">
        <w:rPr>
          <w:rFonts w:ascii="Times New Roman" w:hAnsi="Times New Roman" w:cs="Times New Roman"/>
        </w:rPr>
        <w:t>Elbehiry</w:t>
      </w:r>
      <w:proofErr w:type="spellEnd"/>
      <w:r w:rsidR="00B9230F" w:rsidRPr="000546EC">
        <w:rPr>
          <w:rFonts w:ascii="Times New Roman" w:hAnsi="Times New Roman" w:cs="Times New Roman"/>
        </w:rPr>
        <w:t xml:space="preserve"> </w:t>
      </w:r>
      <w:r w:rsidR="00B9230F" w:rsidRPr="000546EC">
        <w:rPr>
          <w:rFonts w:ascii="Times New Roman" w:hAnsi="Times New Roman" w:cs="Times New Roman"/>
          <w:i/>
          <w:iCs/>
        </w:rPr>
        <w:t>et al</w:t>
      </w:r>
      <w:r w:rsidR="00B9230F" w:rsidRPr="000546EC">
        <w:rPr>
          <w:rFonts w:ascii="Times New Roman" w:hAnsi="Times New Roman" w:cs="Times New Roman"/>
        </w:rPr>
        <w:t>., 2023).</w:t>
      </w:r>
      <w:r w:rsidR="00D957B1" w:rsidRPr="000546EC">
        <w:rPr>
          <w:rFonts w:ascii="Times New Roman" w:hAnsi="Times New Roman" w:cs="Times New Roman"/>
        </w:rPr>
        <w:t xml:space="preserve"> </w:t>
      </w:r>
      <w:r w:rsidR="0075625E" w:rsidRPr="000546EC">
        <w:rPr>
          <w:rFonts w:ascii="Times New Roman" w:hAnsi="Times New Roman" w:cs="Times New Roman"/>
          <w:i/>
          <w:iCs/>
        </w:rPr>
        <w:t>Helicobacter pylori</w:t>
      </w:r>
      <w:r w:rsidR="0075625E" w:rsidRPr="000546EC">
        <w:rPr>
          <w:rFonts w:ascii="Times New Roman" w:hAnsi="Times New Roman" w:cs="Times New Roman"/>
        </w:rPr>
        <w:t xml:space="preserve"> is a Gram</w:t>
      </w:r>
      <w:r w:rsidR="0075625E" w:rsidRPr="000546EC">
        <w:rPr>
          <w:rFonts w:ascii="Times New Roman" w:hAnsi="Times New Roman" w:cs="Times New Roman"/>
        </w:rPr>
        <w:noBreakHyphen/>
        <w:t>negative, microaerophilic bacterium that colonizes the human gastric mucosa and represents one of the most prevalent chronic infections worldwide. Recent global analyses estimate that approximately 43.9% of the world’s population is currently infected, reflecting a gradual decline over recent decades but still constituting a significant public health concern (Chen et al., 2024). Among children and adolescents, a comprehensive meta</w:t>
      </w:r>
      <w:r w:rsidR="0075625E" w:rsidRPr="000546EC">
        <w:rPr>
          <w:rFonts w:ascii="Times New Roman" w:hAnsi="Times New Roman" w:cs="Times New Roman"/>
        </w:rPr>
        <w:noBreakHyphen/>
        <w:t>analysis reported a pooled prevalence of approximately 32.3%, with higher rates in low</w:t>
      </w:r>
      <w:r w:rsidR="0075625E" w:rsidRPr="000546EC">
        <w:rPr>
          <w:rFonts w:ascii="Times New Roman" w:hAnsi="Times New Roman" w:cs="Times New Roman"/>
        </w:rPr>
        <w:noBreakHyphen/>
        <w:t xml:space="preserve"> and middle</w:t>
      </w:r>
      <w:r w:rsidR="0075625E" w:rsidRPr="000546EC">
        <w:rPr>
          <w:rFonts w:ascii="Times New Roman" w:hAnsi="Times New Roman" w:cs="Times New Roman"/>
        </w:rPr>
        <w:noBreakHyphen/>
        <w:t>income settings and older age groups (Yuan et al., 2022). H. pylori is a well</w:t>
      </w:r>
      <w:r w:rsidR="0075625E" w:rsidRPr="000546EC">
        <w:rPr>
          <w:rFonts w:ascii="Times New Roman" w:hAnsi="Times New Roman" w:cs="Times New Roman"/>
        </w:rPr>
        <w:noBreakHyphen/>
        <w:t>established etiological agent of chronic gastritis, peptic ulcer disease, gastric adenocarcinoma, and gastric mucosa</w:t>
      </w:r>
      <w:r w:rsidR="0075625E" w:rsidRPr="000546EC">
        <w:rPr>
          <w:rFonts w:ascii="Times New Roman" w:hAnsi="Times New Roman" w:cs="Times New Roman"/>
        </w:rPr>
        <w:noBreakHyphen/>
        <w:t>associated lymphoid tissue (MALT) lymphoma.</w:t>
      </w:r>
      <w:r w:rsidR="00D957B1" w:rsidRPr="000546EC">
        <w:rPr>
          <w:rFonts w:ascii="Times New Roman" w:hAnsi="Times New Roman" w:cs="Times New Roman"/>
        </w:rPr>
        <w:t xml:space="preserve"> </w:t>
      </w:r>
      <w:r w:rsidR="00377A48" w:rsidRPr="000546EC">
        <w:rPr>
          <w:rFonts w:ascii="Times New Roman" w:hAnsi="Times New Roman" w:cs="Times New Roman"/>
        </w:rPr>
        <w:t xml:space="preserve">The pathogenicity of </w:t>
      </w:r>
      <w:r w:rsidR="00377A48" w:rsidRPr="000546EC">
        <w:rPr>
          <w:rFonts w:ascii="Times New Roman" w:hAnsi="Times New Roman" w:cs="Times New Roman"/>
          <w:i/>
          <w:iCs/>
        </w:rPr>
        <w:t>Helicobacter pylori</w:t>
      </w:r>
      <w:r w:rsidR="00377A48" w:rsidRPr="000546EC">
        <w:rPr>
          <w:rFonts w:ascii="Times New Roman" w:hAnsi="Times New Roman" w:cs="Times New Roman"/>
        </w:rPr>
        <w:t xml:space="preserve"> is largely determined by a suite of virulence factors that enable persistent colonization of the harsh gastric environment and promote mucosal damage. A key factor is urease, which hydrolyzes urea to produce ammonia, thereby neutralizing gastric acid and facilitating bacterial survival. Flagella</w:t>
      </w:r>
      <w:r w:rsidR="00377A48" w:rsidRPr="000546EC">
        <w:rPr>
          <w:rFonts w:ascii="Times New Roman" w:hAnsi="Times New Roman" w:cs="Times New Roman"/>
        </w:rPr>
        <w:noBreakHyphen/>
        <w:t xml:space="preserve">mediated motility allows the bacterium to navigate the gastric mucus layer, while adhesins such as </w:t>
      </w:r>
      <w:proofErr w:type="spellStart"/>
      <w:r w:rsidR="00377A48" w:rsidRPr="000546EC">
        <w:rPr>
          <w:rFonts w:ascii="Times New Roman" w:hAnsi="Times New Roman" w:cs="Times New Roman"/>
        </w:rPr>
        <w:t>BabA</w:t>
      </w:r>
      <w:proofErr w:type="spellEnd"/>
      <w:r w:rsidR="00377A48" w:rsidRPr="000546EC">
        <w:rPr>
          <w:rFonts w:ascii="Times New Roman" w:hAnsi="Times New Roman" w:cs="Times New Roman"/>
        </w:rPr>
        <w:t xml:space="preserve"> and </w:t>
      </w:r>
      <w:proofErr w:type="spellStart"/>
      <w:r w:rsidR="00377A48" w:rsidRPr="000546EC">
        <w:rPr>
          <w:rFonts w:ascii="Times New Roman" w:hAnsi="Times New Roman" w:cs="Times New Roman"/>
        </w:rPr>
        <w:t>SabA</w:t>
      </w:r>
      <w:proofErr w:type="spellEnd"/>
      <w:r w:rsidR="00377A48" w:rsidRPr="000546EC">
        <w:rPr>
          <w:rFonts w:ascii="Times New Roman" w:hAnsi="Times New Roman" w:cs="Times New Roman"/>
        </w:rPr>
        <w:t xml:space="preserve"> promote attachment to gastric epithelial cells (Cambridge </w:t>
      </w:r>
      <w:r w:rsidR="00377A48" w:rsidRPr="000546EC">
        <w:rPr>
          <w:rFonts w:ascii="Times New Roman" w:hAnsi="Times New Roman" w:cs="Times New Roman"/>
          <w:i/>
          <w:iCs/>
        </w:rPr>
        <w:t>et al</w:t>
      </w:r>
      <w:r w:rsidR="00377A48" w:rsidRPr="000546EC">
        <w:rPr>
          <w:rFonts w:ascii="Times New Roman" w:hAnsi="Times New Roman" w:cs="Times New Roman"/>
        </w:rPr>
        <w:t>., 2023). Of particular clinical significance are the cytotoxin</w:t>
      </w:r>
      <w:r w:rsidR="00377A48" w:rsidRPr="000546EC">
        <w:rPr>
          <w:rFonts w:ascii="Times New Roman" w:hAnsi="Times New Roman" w:cs="Times New Roman"/>
        </w:rPr>
        <w:noBreakHyphen/>
        <w:t>associated gene A (</w:t>
      </w:r>
      <w:proofErr w:type="spellStart"/>
      <w:r w:rsidR="00377A48" w:rsidRPr="000546EC">
        <w:rPr>
          <w:rFonts w:ascii="Times New Roman" w:hAnsi="Times New Roman" w:cs="Times New Roman"/>
        </w:rPr>
        <w:t>cagA</w:t>
      </w:r>
      <w:proofErr w:type="spellEnd"/>
      <w:r w:rsidR="00377A48" w:rsidRPr="000546EC">
        <w:rPr>
          <w:rFonts w:ascii="Times New Roman" w:hAnsi="Times New Roman" w:cs="Times New Roman"/>
        </w:rPr>
        <w:t>) and vacuolating cytotoxin A (</w:t>
      </w:r>
      <w:proofErr w:type="spellStart"/>
      <w:r w:rsidR="00377A48" w:rsidRPr="000546EC">
        <w:rPr>
          <w:rFonts w:ascii="Times New Roman" w:hAnsi="Times New Roman" w:cs="Times New Roman"/>
        </w:rPr>
        <w:t>vacA</w:t>
      </w:r>
      <w:proofErr w:type="spellEnd"/>
      <w:r w:rsidR="00377A48" w:rsidRPr="000546EC">
        <w:rPr>
          <w:rFonts w:ascii="Times New Roman" w:hAnsi="Times New Roman" w:cs="Times New Roman"/>
        </w:rPr>
        <w:t xml:space="preserve">). Strains carrying </w:t>
      </w:r>
      <w:proofErr w:type="spellStart"/>
      <w:r w:rsidR="00377A48" w:rsidRPr="000546EC">
        <w:rPr>
          <w:rFonts w:ascii="Times New Roman" w:hAnsi="Times New Roman" w:cs="Times New Roman"/>
        </w:rPr>
        <w:t>cagA</w:t>
      </w:r>
      <w:proofErr w:type="spellEnd"/>
      <w:r w:rsidR="00377A48" w:rsidRPr="000546EC">
        <w:rPr>
          <w:rFonts w:ascii="Times New Roman" w:hAnsi="Times New Roman" w:cs="Times New Roman"/>
        </w:rPr>
        <w:t xml:space="preserve"> are associated with heightened inflammatory responses and an increased risk of peptic ulcer disease </w:t>
      </w:r>
      <w:r w:rsidR="00377A48" w:rsidRPr="000546EC">
        <w:rPr>
          <w:rFonts w:ascii="Times New Roman" w:hAnsi="Times New Roman" w:cs="Times New Roman"/>
        </w:rPr>
        <w:lastRenderedPageBreak/>
        <w:t xml:space="preserve">and gastric cancer, whereas </w:t>
      </w:r>
      <w:proofErr w:type="spellStart"/>
      <w:r w:rsidR="00377A48" w:rsidRPr="000546EC">
        <w:rPr>
          <w:rFonts w:ascii="Times New Roman" w:hAnsi="Times New Roman" w:cs="Times New Roman"/>
        </w:rPr>
        <w:t>vacA</w:t>
      </w:r>
      <w:proofErr w:type="spellEnd"/>
      <w:r w:rsidR="00377A48" w:rsidRPr="000546EC">
        <w:rPr>
          <w:rFonts w:ascii="Times New Roman" w:hAnsi="Times New Roman" w:cs="Times New Roman"/>
        </w:rPr>
        <w:t xml:space="preserve"> induces epithelial cell injury, apoptosis, and modulation of host immunity (Cambridge </w:t>
      </w:r>
      <w:r w:rsidR="00377A48" w:rsidRPr="000546EC">
        <w:rPr>
          <w:rFonts w:ascii="Times New Roman" w:hAnsi="Times New Roman" w:cs="Times New Roman"/>
          <w:i/>
          <w:iCs/>
        </w:rPr>
        <w:t>et al</w:t>
      </w:r>
      <w:r w:rsidR="00377A48" w:rsidRPr="000546EC">
        <w:rPr>
          <w:rFonts w:ascii="Times New Roman" w:hAnsi="Times New Roman" w:cs="Times New Roman"/>
        </w:rPr>
        <w:t>., 2023). Recent studies have also highlighted the contribution of biofilm formation and immune evasion strategies to the persistence of chronic infection and resistance to antimicrobial therapy (Gut Pathogens, 2025).</w:t>
      </w:r>
      <w:r w:rsidR="00D957B1" w:rsidRPr="000546EC">
        <w:rPr>
          <w:rFonts w:ascii="Times New Roman" w:hAnsi="Times New Roman" w:cs="Times New Roman"/>
        </w:rPr>
        <w:t xml:space="preserve"> </w:t>
      </w:r>
      <w:r w:rsidRPr="002C1A7E">
        <w:rPr>
          <w:rFonts w:ascii="Times New Roman" w:hAnsi="Times New Roman" w:cs="Times New Roman"/>
        </w:rPr>
        <w:t xml:space="preserve">The mode of transmission of </w:t>
      </w:r>
      <w:r w:rsidRPr="002C1A7E">
        <w:rPr>
          <w:rFonts w:ascii="Times New Roman" w:hAnsi="Times New Roman" w:cs="Times New Roman"/>
          <w:i/>
          <w:iCs/>
        </w:rPr>
        <w:t>H. pylori</w:t>
      </w:r>
      <w:r w:rsidRPr="002C1A7E">
        <w:rPr>
          <w:rFonts w:ascii="Times New Roman" w:hAnsi="Times New Roman" w:cs="Times New Roman"/>
        </w:rPr>
        <w:t xml:space="preserve"> continues to be investigated; however, current evidence strongly supports person-to-person spread, particularly within households. Oro-oral and fecal-oral routes are considered the most plausible pathways, especially in settings characterized by poor sanitation and limited access to safe drinking water</w:t>
      </w:r>
      <w:r w:rsidR="006319E8" w:rsidRPr="000546EC">
        <w:rPr>
          <w:rFonts w:ascii="Times New Roman" w:hAnsi="Times New Roman" w:cs="Times New Roman"/>
        </w:rPr>
        <w:t xml:space="preserve">. </w:t>
      </w:r>
      <w:r w:rsidRPr="002C1A7E">
        <w:rPr>
          <w:rFonts w:ascii="Times New Roman" w:hAnsi="Times New Roman" w:cs="Times New Roman"/>
        </w:rPr>
        <w:t>Family clustering is frequently reported, with infected mothers and siblings acting as significant reservoirs of infection.</w:t>
      </w:r>
      <w:r w:rsidR="00D957B1" w:rsidRPr="000546EC">
        <w:rPr>
          <w:rFonts w:ascii="Times New Roman" w:hAnsi="Times New Roman" w:cs="Times New Roman"/>
        </w:rPr>
        <w:t xml:space="preserve"> </w:t>
      </w:r>
      <w:r w:rsidRPr="002C1A7E">
        <w:rPr>
          <w:rFonts w:ascii="Times New Roman" w:hAnsi="Times New Roman" w:cs="Times New Roman"/>
        </w:rPr>
        <w:t xml:space="preserve">Since </w:t>
      </w:r>
      <w:r w:rsidRPr="002C1A7E">
        <w:rPr>
          <w:rFonts w:ascii="Times New Roman" w:hAnsi="Times New Roman" w:cs="Times New Roman"/>
          <w:i/>
          <w:iCs/>
        </w:rPr>
        <w:t>H. pylori</w:t>
      </w:r>
      <w:r w:rsidRPr="002C1A7E">
        <w:rPr>
          <w:rFonts w:ascii="Times New Roman" w:hAnsi="Times New Roman" w:cs="Times New Roman"/>
        </w:rPr>
        <w:t xml:space="preserve"> infection is typically acquired during childhood, variations in prevalence across populations are closely linked to early-life living conditions. Recent studies consistently identify low socioeconomic status, overcrowded housing, inadequate sanitation, unsafe water supply, low maternal education, and poor hygiene practices as major risk factors for infection</w:t>
      </w:r>
      <w:r w:rsidR="00B95D2A" w:rsidRPr="000546EC">
        <w:rPr>
          <w:rFonts w:ascii="Times New Roman" w:hAnsi="Times New Roman" w:cs="Times New Roman"/>
        </w:rPr>
        <w:t xml:space="preserve">. </w:t>
      </w:r>
      <w:r w:rsidRPr="002C1A7E">
        <w:rPr>
          <w:rFonts w:ascii="Times New Roman" w:hAnsi="Times New Roman" w:cs="Times New Roman"/>
        </w:rPr>
        <w:t>These findings underscore the central role of environmental and social determinants in shaping infection patterns globally</w:t>
      </w:r>
      <w:r w:rsidR="006319E8" w:rsidRPr="000546EC">
        <w:rPr>
          <w:rFonts w:ascii="Times New Roman" w:hAnsi="Times New Roman" w:cs="Times New Roman"/>
        </w:rPr>
        <w:t xml:space="preserve"> (Yuan et al., 2022). </w:t>
      </w:r>
      <w:r w:rsidRPr="002C1A7E">
        <w:rPr>
          <w:rFonts w:ascii="Times New Roman" w:hAnsi="Times New Roman" w:cs="Times New Roman"/>
        </w:rPr>
        <w:t xml:space="preserve">The prevalence of </w:t>
      </w:r>
      <w:r w:rsidRPr="002C1A7E">
        <w:rPr>
          <w:rFonts w:ascii="Times New Roman" w:hAnsi="Times New Roman" w:cs="Times New Roman"/>
          <w:i/>
          <w:iCs/>
        </w:rPr>
        <w:t>H. pylori</w:t>
      </w:r>
      <w:r w:rsidRPr="002C1A7E">
        <w:rPr>
          <w:rFonts w:ascii="Times New Roman" w:hAnsi="Times New Roman" w:cs="Times New Roman"/>
        </w:rPr>
        <w:t xml:space="preserve"> infection remains substantially higher in developing countries compared with developed regions. Recent global analyses indicate that while infection rates have declined worldwide, prevalence often exceeds 50% in low- and middle-income countries, compared with approximately 35% in high-income settings</w:t>
      </w:r>
      <w:r w:rsidR="00CE5CCA" w:rsidRPr="000546EC">
        <w:rPr>
          <w:rFonts w:ascii="Times New Roman" w:hAnsi="Times New Roman" w:cs="Times New Roman"/>
        </w:rPr>
        <w:t xml:space="preserve">. </w:t>
      </w:r>
      <w:r w:rsidRPr="002C1A7E">
        <w:rPr>
          <w:rFonts w:ascii="Times New Roman" w:hAnsi="Times New Roman" w:cs="Times New Roman"/>
        </w:rPr>
        <w:t xml:space="preserve">This disparity has been attributed to differences in sanitation infrastructure, population density, access to clean water, and early-life environmental exposures. Improvements in hygiene and living standards have been closely associated with the marked decline in </w:t>
      </w:r>
      <w:r w:rsidRPr="002C1A7E">
        <w:rPr>
          <w:rFonts w:ascii="Times New Roman" w:hAnsi="Times New Roman" w:cs="Times New Roman"/>
          <w:i/>
          <w:iCs/>
        </w:rPr>
        <w:t>H. pylori</w:t>
      </w:r>
      <w:r w:rsidRPr="002C1A7E">
        <w:rPr>
          <w:rFonts w:ascii="Times New Roman" w:hAnsi="Times New Roman" w:cs="Times New Roman"/>
        </w:rPr>
        <w:t xml:space="preserve"> prevalence observed in developed nations over the past three decades </w:t>
      </w:r>
      <w:r w:rsidR="003B7518" w:rsidRPr="000546EC">
        <w:rPr>
          <w:rFonts w:ascii="Times New Roman" w:hAnsi="Times New Roman" w:cs="Times New Roman"/>
        </w:rPr>
        <w:t>(Chen et al., 2024).</w:t>
      </w:r>
      <w:r w:rsidR="00D957B1" w:rsidRPr="000546EC">
        <w:rPr>
          <w:rFonts w:ascii="Times New Roman" w:hAnsi="Times New Roman" w:cs="Times New Roman"/>
        </w:rPr>
        <w:t xml:space="preserve"> </w:t>
      </w:r>
      <w:r w:rsidRPr="002C1A7E">
        <w:rPr>
          <w:rFonts w:ascii="Times New Roman" w:hAnsi="Times New Roman" w:cs="Times New Roman"/>
        </w:rPr>
        <w:t xml:space="preserve">In Nigeria, </w:t>
      </w:r>
      <w:r w:rsidRPr="002C1A7E">
        <w:rPr>
          <w:rFonts w:ascii="Times New Roman" w:hAnsi="Times New Roman" w:cs="Times New Roman"/>
          <w:i/>
          <w:iCs/>
        </w:rPr>
        <w:t>H. pylori</w:t>
      </w:r>
      <w:r w:rsidRPr="002C1A7E">
        <w:rPr>
          <w:rFonts w:ascii="Times New Roman" w:hAnsi="Times New Roman" w:cs="Times New Roman"/>
        </w:rPr>
        <w:t xml:space="preserve"> infection remains highly prevalent. A recent synthesis of studies conducted between 2010 and 2023 reported national prevalence estimates ranging from 20% to 80%, with most studies documenting rates above 50%, particularly among adults presenting with dyspeptic symptoms</w:t>
      </w:r>
      <w:r w:rsidR="00F6158D" w:rsidRPr="000546EC">
        <w:rPr>
          <w:rFonts w:ascii="Times New Roman" w:hAnsi="Times New Roman" w:cs="Times New Roman"/>
        </w:rPr>
        <w:t xml:space="preserve"> (</w:t>
      </w:r>
      <w:proofErr w:type="spellStart"/>
      <w:r w:rsidR="00F6158D" w:rsidRPr="002C1A7E">
        <w:rPr>
          <w:rFonts w:ascii="Times New Roman" w:hAnsi="Times New Roman" w:cs="Times New Roman"/>
        </w:rPr>
        <w:t>Ndukwu</w:t>
      </w:r>
      <w:proofErr w:type="spellEnd"/>
      <w:r w:rsidR="00F6158D" w:rsidRPr="002C1A7E">
        <w:rPr>
          <w:rFonts w:ascii="Times New Roman" w:hAnsi="Times New Roman" w:cs="Times New Roman"/>
        </w:rPr>
        <w:t xml:space="preserve"> et al., 2024</w:t>
      </w:r>
      <w:r w:rsidR="00F6158D" w:rsidRPr="000546EC">
        <w:rPr>
          <w:rFonts w:ascii="Times New Roman" w:hAnsi="Times New Roman" w:cs="Times New Roman"/>
        </w:rPr>
        <w:t xml:space="preserve">). </w:t>
      </w:r>
      <w:r w:rsidRPr="002C1A7E">
        <w:rPr>
          <w:rFonts w:ascii="Times New Roman" w:hAnsi="Times New Roman" w:cs="Times New Roman"/>
        </w:rPr>
        <w:t xml:space="preserve">These findings emphasize the ongoing public health challenge posed by </w:t>
      </w:r>
      <w:r w:rsidRPr="002C1A7E">
        <w:rPr>
          <w:rFonts w:ascii="Times New Roman" w:hAnsi="Times New Roman" w:cs="Times New Roman"/>
          <w:i/>
          <w:iCs/>
        </w:rPr>
        <w:t>H. pylori</w:t>
      </w:r>
      <w:r w:rsidRPr="002C1A7E">
        <w:rPr>
          <w:rFonts w:ascii="Times New Roman" w:hAnsi="Times New Roman" w:cs="Times New Roman"/>
        </w:rPr>
        <w:t xml:space="preserve"> in Nigeria.</w:t>
      </w:r>
      <w:r w:rsidR="00D957B1" w:rsidRPr="000546EC">
        <w:rPr>
          <w:rFonts w:ascii="Times New Roman" w:hAnsi="Times New Roman" w:cs="Times New Roman"/>
        </w:rPr>
        <w:t xml:space="preserve"> </w:t>
      </w:r>
      <w:r w:rsidRPr="002C1A7E">
        <w:rPr>
          <w:rFonts w:ascii="Times New Roman" w:hAnsi="Times New Roman" w:cs="Times New Roman"/>
        </w:rPr>
        <w:t xml:space="preserve">The management of </w:t>
      </w:r>
      <w:r w:rsidRPr="002C1A7E">
        <w:rPr>
          <w:rFonts w:ascii="Times New Roman" w:hAnsi="Times New Roman" w:cs="Times New Roman"/>
          <w:i/>
          <w:iCs/>
        </w:rPr>
        <w:t>H. pylori</w:t>
      </w:r>
      <w:r w:rsidRPr="002C1A7E">
        <w:rPr>
          <w:rFonts w:ascii="Times New Roman" w:hAnsi="Times New Roman" w:cs="Times New Roman"/>
        </w:rPr>
        <w:t xml:space="preserve"> infection relies primarily on antimicrobial eradication therapy. Current treatment guidelines recommend combination regimens, most commonly proton pump inhibitor (PPI)-based triple therapy or bismuth-containing quadruple therapy</w:t>
      </w:r>
      <w:r w:rsidR="00493901" w:rsidRPr="000546EC">
        <w:rPr>
          <w:rFonts w:ascii="Times New Roman" w:hAnsi="Times New Roman" w:cs="Times New Roman"/>
        </w:rPr>
        <w:t xml:space="preserve">. </w:t>
      </w:r>
      <w:r w:rsidRPr="002C1A7E">
        <w:rPr>
          <w:rFonts w:ascii="Times New Roman" w:hAnsi="Times New Roman" w:cs="Times New Roman"/>
        </w:rPr>
        <w:t>However, the effectiveness of standard triple therapy has declined in many regions due to rising resistance to commonly used antibiotics such as clarithromycin, metronidazole, and levofloxacin. Recent studies emphasize the need for region-specific treatment strategies, antibiotic susceptibility testing, and adherence to optimized regimens to improve eradication rates</w:t>
      </w:r>
      <w:r w:rsidR="00AD5E87" w:rsidRPr="000546EC">
        <w:rPr>
          <w:rFonts w:ascii="Times New Roman" w:hAnsi="Times New Roman" w:cs="Times New Roman"/>
        </w:rPr>
        <w:t xml:space="preserve">. </w:t>
      </w:r>
      <w:r w:rsidRPr="002C1A7E">
        <w:rPr>
          <w:rFonts w:ascii="Times New Roman" w:hAnsi="Times New Roman" w:cs="Times New Roman"/>
        </w:rPr>
        <w:t>The growing challenge of antimicrobial resistance has renewed interest in alternative therapies, including sequential and concomitant regimens, as well as adjunctive use of probiotics</w:t>
      </w:r>
      <w:r w:rsidR="00892F97" w:rsidRPr="000546EC">
        <w:rPr>
          <w:rFonts w:ascii="Times New Roman" w:hAnsi="Times New Roman" w:cs="Times New Roman"/>
        </w:rPr>
        <w:t xml:space="preserve"> </w:t>
      </w:r>
      <w:r w:rsidR="00892F97" w:rsidRPr="002C1A7E">
        <w:rPr>
          <w:rFonts w:ascii="Times New Roman" w:hAnsi="Times New Roman" w:cs="Times New Roman"/>
        </w:rPr>
        <w:t>(Ndubuisi et al., 2025).</w:t>
      </w:r>
      <w:r w:rsidR="00D957B1" w:rsidRPr="000546EC">
        <w:rPr>
          <w:rFonts w:ascii="Times New Roman" w:hAnsi="Times New Roman" w:cs="Times New Roman"/>
        </w:rPr>
        <w:t xml:space="preserve"> </w:t>
      </w:r>
      <w:r w:rsidR="00E004B2" w:rsidRPr="000546EC">
        <w:rPr>
          <w:rFonts w:ascii="Times New Roman" w:hAnsi="Times New Roman" w:cs="Times New Roman"/>
        </w:rPr>
        <w:t xml:space="preserve">Diagnostic approaches for </w:t>
      </w:r>
      <w:r w:rsidR="00E004B2" w:rsidRPr="000546EC">
        <w:rPr>
          <w:rFonts w:ascii="Times New Roman" w:hAnsi="Times New Roman" w:cs="Times New Roman"/>
          <w:i/>
          <w:iCs/>
        </w:rPr>
        <w:t>Helicobacter pylori</w:t>
      </w:r>
      <w:r w:rsidR="00E004B2" w:rsidRPr="000546EC">
        <w:rPr>
          <w:rFonts w:ascii="Times New Roman" w:hAnsi="Times New Roman" w:cs="Times New Roman"/>
        </w:rPr>
        <w:t xml:space="preserve"> infection are broadly classified into invasive and non</w:t>
      </w:r>
      <w:r w:rsidR="00E004B2" w:rsidRPr="000546EC">
        <w:rPr>
          <w:rFonts w:ascii="Times New Roman" w:hAnsi="Times New Roman" w:cs="Times New Roman"/>
        </w:rPr>
        <w:noBreakHyphen/>
        <w:t>invasive methods. Invasive techniques — including culture, histology, rapid urease testing, and polymerase chain reaction (PCR) — require upper gastrointestinal endoscopy with gastric biopsy and provide direct assessment of the mucosa, offering high diagnostic accuracy but limited utility due to cost, technical demands, and patient discomfort (Fontenot &amp; Barber, 2024). Non</w:t>
      </w:r>
      <w:r w:rsidR="00E004B2" w:rsidRPr="000546EC">
        <w:rPr>
          <w:rFonts w:ascii="Times New Roman" w:hAnsi="Times New Roman" w:cs="Times New Roman"/>
        </w:rPr>
        <w:noBreakHyphen/>
        <w:t xml:space="preserve">invasive methods include the urea breath test (UBT), stool antigen tests, and serological assays; these are easier to perform and better suited for epidemiological screening (Fontenot &amp; Barber, 2024). Serological testing detects </w:t>
      </w:r>
      <w:r w:rsidR="00E004B2" w:rsidRPr="000546EC">
        <w:rPr>
          <w:rFonts w:ascii="Times New Roman" w:hAnsi="Times New Roman" w:cs="Times New Roman"/>
          <w:i/>
          <w:iCs/>
        </w:rPr>
        <w:t>H. pylori</w:t>
      </w:r>
      <w:r w:rsidR="00E004B2" w:rsidRPr="000546EC">
        <w:rPr>
          <w:rFonts w:ascii="Times New Roman" w:hAnsi="Times New Roman" w:cs="Times New Roman"/>
        </w:rPr>
        <w:noBreakHyphen/>
        <w:t>specific antibodies and is particularly useful for large</w:t>
      </w:r>
      <w:r w:rsidR="00E004B2" w:rsidRPr="000546EC">
        <w:rPr>
          <w:rFonts w:ascii="Times New Roman" w:hAnsi="Times New Roman" w:cs="Times New Roman"/>
        </w:rPr>
        <w:noBreakHyphen/>
        <w:t>scale epidemiological surveys, although it cannot reliably distinguish active from past infection (Fontenot &amp; Barber, 2024). The choice of diagnostic modality is influenced by the clinical context, resource availability, and study objectives, with some settings recommending combinations of non</w:t>
      </w:r>
      <w:r w:rsidR="00E004B2" w:rsidRPr="000546EC">
        <w:rPr>
          <w:rFonts w:ascii="Times New Roman" w:hAnsi="Times New Roman" w:cs="Times New Roman"/>
        </w:rPr>
        <w:noBreakHyphen/>
        <w:t xml:space="preserve">invasive tests to improve </w:t>
      </w:r>
      <w:r w:rsidR="00E004B2" w:rsidRPr="000546EC">
        <w:rPr>
          <w:rFonts w:ascii="Times New Roman" w:hAnsi="Times New Roman" w:cs="Times New Roman"/>
        </w:rPr>
        <w:lastRenderedPageBreak/>
        <w:t>accuracy (</w:t>
      </w:r>
      <w:proofErr w:type="spellStart"/>
      <w:r w:rsidR="00E004B2" w:rsidRPr="000546EC">
        <w:rPr>
          <w:rFonts w:ascii="Times New Roman" w:hAnsi="Times New Roman" w:cs="Times New Roman"/>
        </w:rPr>
        <w:t>Ekesiobi</w:t>
      </w:r>
      <w:proofErr w:type="spellEnd"/>
      <w:r w:rsidR="00E004B2" w:rsidRPr="000546EC">
        <w:rPr>
          <w:rFonts w:ascii="Times New Roman" w:hAnsi="Times New Roman" w:cs="Times New Roman"/>
        </w:rPr>
        <w:t xml:space="preserve"> </w:t>
      </w:r>
      <w:r w:rsidR="00E004B2" w:rsidRPr="000546EC">
        <w:rPr>
          <w:rFonts w:ascii="Times New Roman" w:hAnsi="Times New Roman" w:cs="Times New Roman"/>
          <w:i/>
          <w:iCs/>
        </w:rPr>
        <w:t>et al</w:t>
      </w:r>
      <w:r w:rsidR="00E004B2" w:rsidRPr="000546EC">
        <w:rPr>
          <w:rFonts w:ascii="Times New Roman" w:hAnsi="Times New Roman" w:cs="Times New Roman"/>
        </w:rPr>
        <w:t>., 2022).</w:t>
      </w:r>
      <w:r w:rsidR="00E7149A" w:rsidRPr="000546EC">
        <w:rPr>
          <w:rFonts w:ascii="Times New Roman" w:hAnsi="Times New Roman" w:cs="Times New Roman"/>
        </w:rPr>
        <w:t xml:space="preserve"> </w:t>
      </w:r>
      <w:r w:rsidRPr="002C1A7E">
        <w:rPr>
          <w:rFonts w:ascii="Times New Roman" w:hAnsi="Times New Roman" w:cs="Times New Roman"/>
        </w:rPr>
        <w:t xml:space="preserve">Previous studies on </w:t>
      </w:r>
      <w:r w:rsidRPr="002C1A7E">
        <w:rPr>
          <w:rFonts w:ascii="Times New Roman" w:hAnsi="Times New Roman" w:cs="Times New Roman"/>
          <w:i/>
          <w:iCs/>
        </w:rPr>
        <w:t>H. pylori</w:t>
      </w:r>
      <w:r w:rsidRPr="002C1A7E">
        <w:rPr>
          <w:rFonts w:ascii="Times New Roman" w:hAnsi="Times New Roman" w:cs="Times New Roman"/>
        </w:rPr>
        <w:t xml:space="preserve"> seroprevalence have largely focused on children or symptomatic adult populations. However, recent evidence from Nigeria indicates that seroprevalence among asymptomatic individuals remains substantial. For instance, a 2024 survey in urban communities of Port Harcourt reported a seroprevalence of 34.6% among adults (</w:t>
      </w:r>
      <w:proofErr w:type="spellStart"/>
      <w:r w:rsidRPr="002C1A7E">
        <w:rPr>
          <w:rFonts w:ascii="Times New Roman" w:hAnsi="Times New Roman" w:cs="Times New Roman"/>
        </w:rPr>
        <w:t>Ndukwu</w:t>
      </w:r>
      <w:proofErr w:type="spellEnd"/>
      <w:r w:rsidRPr="002C1A7E">
        <w:rPr>
          <w:rFonts w:ascii="Times New Roman" w:hAnsi="Times New Roman" w:cs="Times New Roman"/>
        </w:rPr>
        <w:t xml:space="preserve"> et al., 2024), while a community-based study in a semi-urban setting documented a prevalence of 26.0% among apparently healthy residents (Ndubuisi et al., 2025). These findings suggest the existence of a significant reservoir of silent or subclinical infection. In view of the increasing incidence of gastritis and peptic ulcer disease in Nigeria and the established role of </w:t>
      </w:r>
      <w:r w:rsidRPr="002C1A7E">
        <w:rPr>
          <w:rFonts w:ascii="Times New Roman" w:hAnsi="Times New Roman" w:cs="Times New Roman"/>
          <w:i/>
          <w:iCs/>
        </w:rPr>
        <w:t>H. pylori</w:t>
      </w:r>
      <w:r w:rsidRPr="002C1A7E">
        <w:rPr>
          <w:rFonts w:ascii="Times New Roman" w:hAnsi="Times New Roman" w:cs="Times New Roman"/>
        </w:rPr>
        <w:t xml:space="preserve"> in gastroduodenal pathology, it is timely to reassess its seroprevalence among asymptomatic adults. Accordingly, this study aims to determine the seroprevalence of </w:t>
      </w:r>
      <w:r w:rsidRPr="002C1A7E">
        <w:rPr>
          <w:rFonts w:ascii="Times New Roman" w:hAnsi="Times New Roman" w:cs="Times New Roman"/>
          <w:i/>
          <w:iCs/>
        </w:rPr>
        <w:t>H. pylori</w:t>
      </w:r>
      <w:r w:rsidRPr="002C1A7E">
        <w:rPr>
          <w:rFonts w:ascii="Times New Roman" w:hAnsi="Times New Roman" w:cs="Times New Roman"/>
        </w:rPr>
        <w:t xml:space="preserve"> infection and associated risk factors among asymptomatic adult individuals, using students of Rivers State University as a representative cohort. The findings are expected to provide baseline data to inform future large-scale population studies across different age, sex, and socioeconomic groups.</w:t>
      </w:r>
    </w:p>
    <w:p w14:paraId="1853B739" w14:textId="77777777" w:rsidR="002C1A7E" w:rsidRPr="000546EC" w:rsidRDefault="002C1A7E" w:rsidP="000546EC">
      <w:pPr>
        <w:spacing w:after="0" w:line="240" w:lineRule="auto"/>
        <w:jc w:val="both"/>
        <w:rPr>
          <w:rFonts w:ascii="Times New Roman" w:hAnsi="Times New Roman" w:cs="Times New Roman"/>
        </w:rPr>
      </w:pPr>
    </w:p>
    <w:p w14:paraId="462D60D3" w14:textId="77777777" w:rsidR="00B30D4B" w:rsidRPr="000546EC" w:rsidRDefault="00B30D4B" w:rsidP="000546EC">
      <w:pPr>
        <w:pStyle w:val="para"/>
        <w:spacing w:before="0" w:beforeAutospacing="0" w:after="0" w:afterAutospacing="0"/>
        <w:ind w:left="720" w:hanging="720"/>
        <w:jc w:val="both"/>
        <w:rPr>
          <w:b/>
          <w:bCs/>
        </w:rPr>
      </w:pPr>
      <w:r w:rsidRPr="000546EC">
        <w:rPr>
          <w:b/>
          <w:bCs/>
        </w:rPr>
        <w:t>MATERIALS AND METHODS</w:t>
      </w:r>
    </w:p>
    <w:p w14:paraId="7CD7A161" w14:textId="77777777" w:rsidR="007424C5" w:rsidRPr="000546EC" w:rsidRDefault="007424C5" w:rsidP="000546EC">
      <w:pPr>
        <w:spacing w:after="0" w:line="240" w:lineRule="auto"/>
        <w:jc w:val="both"/>
        <w:rPr>
          <w:rFonts w:ascii="Times New Roman" w:hAnsi="Times New Roman" w:cs="Times New Roman"/>
          <w:b/>
          <w:bCs/>
        </w:rPr>
      </w:pPr>
      <w:r w:rsidRPr="000546EC">
        <w:rPr>
          <w:rFonts w:ascii="Times New Roman" w:hAnsi="Times New Roman" w:cs="Times New Roman"/>
          <w:b/>
          <w:bCs/>
        </w:rPr>
        <w:t>Study Area</w:t>
      </w:r>
    </w:p>
    <w:p w14:paraId="7756F20F" w14:textId="77777777" w:rsidR="007424C5" w:rsidRPr="000546EC" w:rsidRDefault="007424C5" w:rsidP="000546EC">
      <w:pPr>
        <w:pStyle w:val="Default"/>
        <w:jc w:val="both"/>
        <w:rPr>
          <w:color w:val="auto"/>
        </w:rPr>
      </w:pPr>
      <w:r w:rsidRPr="000546EC">
        <w:rPr>
          <w:color w:val="auto"/>
        </w:rPr>
        <w:t xml:space="preserve">The study was carried out at the Rivers State University, Port Harcourt. </w:t>
      </w:r>
    </w:p>
    <w:p w14:paraId="397232A1" w14:textId="77777777" w:rsidR="00A80FCF" w:rsidRPr="000546EC" w:rsidRDefault="00A80FCF" w:rsidP="000546EC">
      <w:pPr>
        <w:pStyle w:val="Default"/>
        <w:jc w:val="both"/>
        <w:rPr>
          <w:color w:val="auto"/>
        </w:rPr>
      </w:pPr>
    </w:p>
    <w:p w14:paraId="5D9111F9" w14:textId="77777777" w:rsidR="007424C5" w:rsidRPr="000546EC" w:rsidRDefault="007424C5" w:rsidP="000546EC">
      <w:pPr>
        <w:pStyle w:val="Default"/>
        <w:jc w:val="both"/>
        <w:rPr>
          <w:b/>
          <w:bCs/>
          <w:color w:val="auto"/>
        </w:rPr>
      </w:pPr>
      <w:r w:rsidRPr="000546EC">
        <w:rPr>
          <w:b/>
          <w:bCs/>
          <w:color w:val="auto"/>
        </w:rPr>
        <w:t xml:space="preserve">Study Population </w:t>
      </w:r>
    </w:p>
    <w:p w14:paraId="216B6649" w14:textId="303FB66B" w:rsidR="007424C5" w:rsidRPr="000546EC" w:rsidRDefault="007424C5" w:rsidP="000546EC">
      <w:pPr>
        <w:pStyle w:val="Default"/>
        <w:jc w:val="both"/>
        <w:rPr>
          <w:color w:val="auto"/>
        </w:rPr>
      </w:pPr>
      <w:r w:rsidRPr="000546EC">
        <w:rPr>
          <w:color w:val="auto"/>
        </w:rPr>
        <w:t xml:space="preserve">The study population comprised students of Rivers State University, Port Harcourt. </w:t>
      </w:r>
    </w:p>
    <w:p w14:paraId="2A2C53BA" w14:textId="77777777" w:rsidR="00A80FCF" w:rsidRPr="000546EC" w:rsidRDefault="00A80FCF" w:rsidP="000546EC">
      <w:pPr>
        <w:pStyle w:val="Default"/>
        <w:jc w:val="both"/>
        <w:rPr>
          <w:color w:val="auto"/>
        </w:rPr>
      </w:pPr>
    </w:p>
    <w:p w14:paraId="55E8532C" w14:textId="0B4A6296" w:rsidR="00B30D4B" w:rsidRPr="000546EC" w:rsidRDefault="00B30D4B" w:rsidP="000546EC">
      <w:pPr>
        <w:spacing w:after="0" w:line="240" w:lineRule="auto"/>
        <w:jc w:val="both"/>
        <w:rPr>
          <w:rFonts w:ascii="Times New Roman" w:hAnsi="Times New Roman" w:cs="Times New Roman"/>
          <w:b/>
          <w:bCs/>
        </w:rPr>
      </w:pPr>
      <w:r w:rsidRPr="000546EC">
        <w:rPr>
          <w:rFonts w:ascii="Times New Roman" w:hAnsi="Times New Roman" w:cs="Times New Roman"/>
          <w:b/>
          <w:bCs/>
        </w:rPr>
        <w:t>Study Design</w:t>
      </w:r>
    </w:p>
    <w:p w14:paraId="4CCB94A1" w14:textId="54A94399" w:rsidR="00B30D4B" w:rsidRPr="000546EC" w:rsidRDefault="00B30D4B" w:rsidP="000546EC">
      <w:pPr>
        <w:pStyle w:val="Default"/>
        <w:jc w:val="both"/>
        <w:rPr>
          <w:color w:val="auto"/>
        </w:rPr>
      </w:pPr>
      <w:r w:rsidRPr="000546EC">
        <w:rPr>
          <w:color w:val="auto"/>
        </w:rPr>
        <w:t xml:space="preserve">This study was a </w:t>
      </w:r>
      <w:r w:rsidR="000B7C7E" w:rsidRPr="000546EC">
        <w:rPr>
          <w:color w:val="auto"/>
        </w:rPr>
        <w:t>ca</w:t>
      </w:r>
      <w:r w:rsidRPr="000546EC">
        <w:rPr>
          <w:color w:val="auto"/>
        </w:rPr>
        <w:t>s</w:t>
      </w:r>
      <w:r w:rsidR="000B7C7E" w:rsidRPr="000546EC">
        <w:rPr>
          <w:color w:val="auto"/>
        </w:rPr>
        <w:t>e series s</w:t>
      </w:r>
      <w:r w:rsidRPr="000546EC">
        <w:rPr>
          <w:color w:val="auto"/>
        </w:rPr>
        <w:t>tudy</w:t>
      </w:r>
      <w:r w:rsidR="00BF4B13" w:rsidRPr="000546EC">
        <w:rPr>
          <w:color w:val="auto"/>
        </w:rPr>
        <w:t>.</w:t>
      </w:r>
    </w:p>
    <w:p w14:paraId="44CB8C56" w14:textId="449EE353" w:rsidR="00A80FCF" w:rsidRPr="000546EC" w:rsidRDefault="00A80FCF" w:rsidP="000546EC">
      <w:pPr>
        <w:pStyle w:val="Default"/>
        <w:jc w:val="both"/>
        <w:rPr>
          <w:color w:val="auto"/>
        </w:rPr>
      </w:pPr>
    </w:p>
    <w:p w14:paraId="161EC196" w14:textId="528A2480" w:rsidR="00B30D4B" w:rsidRPr="000546EC" w:rsidRDefault="00B30D4B" w:rsidP="000546EC">
      <w:pPr>
        <w:pStyle w:val="Default"/>
        <w:jc w:val="both"/>
        <w:rPr>
          <w:b/>
          <w:bCs/>
          <w:color w:val="auto"/>
        </w:rPr>
      </w:pPr>
      <w:r w:rsidRPr="000546EC">
        <w:rPr>
          <w:b/>
          <w:bCs/>
          <w:color w:val="auto"/>
        </w:rPr>
        <w:t xml:space="preserve">Sample Size Determination </w:t>
      </w:r>
    </w:p>
    <w:p w14:paraId="34F55C34" w14:textId="77777777" w:rsidR="00B30D4B" w:rsidRPr="000546EC" w:rsidRDefault="00B30D4B" w:rsidP="000546EC">
      <w:pPr>
        <w:pStyle w:val="Default"/>
        <w:jc w:val="both"/>
        <w:rPr>
          <w:color w:val="auto"/>
        </w:rPr>
      </w:pPr>
      <w:r w:rsidRPr="000546EC">
        <w:rPr>
          <w:color w:val="auto"/>
        </w:rPr>
        <w:t xml:space="preserve">To determine the minimum sample size of the subjects recruited in the study, the prevalence of </w:t>
      </w:r>
      <w:r w:rsidRPr="000546EC">
        <w:rPr>
          <w:i/>
          <w:iCs/>
          <w:color w:val="auto"/>
        </w:rPr>
        <w:t>H. pylori</w:t>
      </w:r>
      <w:r w:rsidRPr="000546EC">
        <w:rPr>
          <w:color w:val="auto"/>
        </w:rPr>
        <w:t xml:space="preserve"> in Nigeria as reported by the Statistics published by Smith </w:t>
      </w:r>
      <w:r w:rsidRPr="000546EC">
        <w:rPr>
          <w:i/>
          <w:color w:val="auto"/>
        </w:rPr>
        <w:t>et al</w:t>
      </w:r>
      <w:r w:rsidRPr="000546EC">
        <w:rPr>
          <w:color w:val="auto"/>
        </w:rPr>
        <w:t xml:space="preserve">., 2022, which revealed a prevalence of 87.7% was used to calculate the minimum sample size as follows. </w:t>
      </w:r>
    </w:p>
    <w:p w14:paraId="43DF0005" w14:textId="77777777" w:rsidR="00B30D4B" w:rsidRPr="000546EC" w:rsidRDefault="00B30D4B" w:rsidP="000546EC">
      <w:pPr>
        <w:pStyle w:val="Default"/>
        <w:jc w:val="both"/>
        <w:rPr>
          <w:color w:val="auto"/>
        </w:rPr>
      </w:pPr>
      <w:r w:rsidRPr="000546EC">
        <w:rPr>
          <w:color w:val="auto"/>
        </w:rPr>
        <w:t xml:space="preserve">Using the formula: </w:t>
      </w:r>
    </w:p>
    <w:p w14:paraId="5D10A472" w14:textId="12DAFA4A" w:rsidR="00B30D4B" w:rsidRPr="001A41ED" w:rsidRDefault="00B30D4B" w:rsidP="000546EC">
      <w:pPr>
        <w:pStyle w:val="Default"/>
        <w:jc w:val="both"/>
        <w:rPr>
          <w:color w:val="auto"/>
          <w:lang w:val="nl-BE"/>
        </w:rPr>
      </w:pPr>
      <w:r w:rsidRPr="001A41ED">
        <w:rPr>
          <w:color w:val="auto"/>
          <w:lang w:val="nl-BE"/>
        </w:rPr>
        <w:t xml:space="preserve">n = </w:t>
      </w:r>
      <m:oMath>
        <m:f>
          <m:fPr>
            <m:ctrlPr>
              <w:rPr>
                <w:rFonts w:ascii="Cambria Math" w:hAnsi="Cambria Math"/>
                <w:iCs/>
                <w:color w:val="auto"/>
              </w:rPr>
            </m:ctrlPr>
          </m:fPr>
          <m:num>
            <m:r>
              <m:rPr>
                <m:sty m:val="p"/>
              </m:rPr>
              <w:rPr>
                <w:rFonts w:ascii="Cambria Math" w:hAnsi="Cambria Math"/>
                <w:color w:val="auto"/>
                <w:lang w:val="nl-BE"/>
              </w:rPr>
              <m:t>Z</m:t>
            </m:r>
            <m:sSup>
              <m:sSupPr>
                <m:ctrlPr>
                  <w:rPr>
                    <w:rFonts w:ascii="Cambria Math" w:hAnsi="Cambria Math"/>
                    <w:iCs/>
                    <w:color w:val="auto"/>
                  </w:rPr>
                </m:ctrlPr>
              </m:sSupPr>
              <m:e>
                <m:r>
                  <m:rPr>
                    <m:sty m:val="p"/>
                  </m:rPr>
                  <w:rPr>
                    <w:rFonts w:ascii="Cambria Math" w:hAnsi="Cambria Math"/>
                    <w:color w:val="auto"/>
                  </w:rPr>
                  <m:t>α</m:t>
                </m:r>
              </m:e>
              <m:sup>
                <m:r>
                  <m:rPr>
                    <m:sty m:val="p"/>
                  </m:rPr>
                  <w:rPr>
                    <w:rFonts w:ascii="Cambria Math" w:hAnsi="Cambria Math"/>
                    <w:color w:val="auto"/>
                    <w:lang w:val="nl-BE"/>
                  </w:rPr>
                  <m:t>2</m:t>
                </m:r>
              </m:sup>
            </m:sSup>
            <m:r>
              <m:rPr>
                <m:sty m:val="p"/>
              </m:rPr>
              <w:rPr>
                <w:rFonts w:ascii="Cambria Math" w:hAnsi="Cambria Math"/>
                <w:color w:val="auto"/>
                <w:lang w:val="nl-BE"/>
              </w:rPr>
              <m:t>pq</m:t>
            </m:r>
          </m:num>
          <m:den>
            <m:sSup>
              <m:sSupPr>
                <m:ctrlPr>
                  <w:rPr>
                    <w:rFonts w:ascii="Cambria Math" w:hAnsi="Cambria Math"/>
                    <w:iCs/>
                    <w:color w:val="auto"/>
                  </w:rPr>
                </m:ctrlPr>
              </m:sSupPr>
              <m:e>
                <m:r>
                  <m:rPr>
                    <m:sty m:val="p"/>
                  </m:rPr>
                  <w:rPr>
                    <w:rFonts w:ascii="Cambria Math" w:hAnsi="Cambria Math"/>
                    <w:color w:val="auto"/>
                    <w:lang w:val="nl-BE"/>
                  </w:rPr>
                  <m:t>d</m:t>
                </m:r>
              </m:e>
              <m:sup>
                <m:r>
                  <m:rPr>
                    <m:sty m:val="p"/>
                  </m:rPr>
                  <w:rPr>
                    <w:rFonts w:ascii="Cambria Math" w:hAnsi="Cambria Math"/>
                    <w:color w:val="auto"/>
                    <w:lang w:val="nl-BE"/>
                  </w:rPr>
                  <m:t>2</m:t>
                </m:r>
              </m:sup>
            </m:sSup>
          </m:den>
        </m:f>
      </m:oMath>
      <w:r w:rsidRPr="001A41ED">
        <w:rPr>
          <w:rFonts w:eastAsiaTheme="minorEastAsia"/>
          <w:color w:val="auto"/>
          <w:lang w:val="nl-BE"/>
        </w:rPr>
        <w:t xml:space="preserve">    </w:t>
      </w:r>
      <w:r w:rsidRPr="001A41ED">
        <w:rPr>
          <w:color w:val="auto"/>
          <w:lang w:val="nl-BE"/>
        </w:rPr>
        <w:t xml:space="preserve">(Naing </w:t>
      </w:r>
      <w:r w:rsidRPr="001A41ED">
        <w:rPr>
          <w:i/>
          <w:iCs/>
          <w:color w:val="auto"/>
          <w:lang w:val="nl-BE"/>
        </w:rPr>
        <w:t xml:space="preserve">et al. </w:t>
      </w:r>
      <w:r w:rsidRPr="001A41ED">
        <w:rPr>
          <w:color w:val="auto"/>
          <w:lang w:val="nl-BE"/>
        </w:rPr>
        <w:t xml:space="preserve">2006) </w:t>
      </w:r>
    </w:p>
    <w:p w14:paraId="62818114" w14:textId="77777777" w:rsidR="00B30D4B" w:rsidRPr="000546EC" w:rsidRDefault="00B30D4B" w:rsidP="000546EC">
      <w:pPr>
        <w:pStyle w:val="Default"/>
        <w:jc w:val="both"/>
        <w:rPr>
          <w:color w:val="auto"/>
        </w:rPr>
      </w:pPr>
      <w:r w:rsidRPr="000546EC">
        <w:rPr>
          <w:color w:val="auto"/>
        </w:rPr>
        <w:t xml:space="preserve">Where n= Minimum sample size </w:t>
      </w:r>
    </w:p>
    <w:p w14:paraId="1D41CA0A" w14:textId="77777777" w:rsidR="00B30D4B" w:rsidRPr="000546EC" w:rsidRDefault="00B30D4B" w:rsidP="000546EC">
      <w:pPr>
        <w:pStyle w:val="Default"/>
        <w:jc w:val="both"/>
        <w:rPr>
          <w:color w:val="auto"/>
        </w:rPr>
      </w:pPr>
      <w:r w:rsidRPr="000546EC">
        <w:rPr>
          <w:color w:val="auto"/>
        </w:rPr>
        <w:t xml:space="preserve">Z = Standard normal deviation corresponding to 95% confidence level set at 1.96 </w:t>
      </w:r>
    </w:p>
    <w:p w14:paraId="7FF09914" w14:textId="77777777" w:rsidR="00B30D4B" w:rsidRPr="000546EC" w:rsidRDefault="00B30D4B" w:rsidP="000546EC">
      <w:pPr>
        <w:pStyle w:val="Default"/>
        <w:tabs>
          <w:tab w:val="left" w:pos="2220"/>
        </w:tabs>
        <w:jc w:val="both"/>
        <w:rPr>
          <w:color w:val="auto"/>
        </w:rPr>
      </w:pPr>
      <w:r w:rsidRPr="000546EC">
        <w:rPr>
          <w:color w:val="auto"/>
        </w:rPr>
        <w:t>p =87.7% = 0.877</w:t>
      </w:r>
      <w:r w:rsidRPr="000546EC">
        <w:rPr>
          <w:color w:val="auto"/>
        </w:rPr>
        <w:tab/>
      </w:r>
    </w:p>
    <w:p w14:paraId="4C2D7DFD" w14:textId="77777777" w:rsidR="00B30D4B" w:rsidRPr="000546EC" w:rsidRDefault="00B30D4B" w:rsidP="000546EC">
      <w:pPr>
        <w:pStyle w:val="Default"/>
        <w:jc w:val="both"/>
        <w:rPr>
          <w:color w:val="auto"/>
        </w:rPr>
      </w:pPr>
      <w:r w:rsidRPr="000546EC">
        <w:rPr>
          <w:color w:val="auto"/>
        </w:rPr>
        <w:t>q = 1-p = 0.123</w:t>
      </w:r>
    </w:p>
    <w:p w14:paraId="08473824" w14:textId="77777777" w:rsidR="00B30D4B" w:rsidRPr="000546EC" w:rsidRDefault="00B30D4B" w:rsidP="000546EC">
      <w:pPr>
        <w:pStyle w:val="Default"/>
        <w:jc w:val="both"/>
        <w:rPr>
          <w:color w:val="auto"/>
        </w:rPr>
      </w:pPr>
      <w:r w:rsidRPr="000546EC">
        <w:rPr>
          <w:color w:val="auto"/>
        </w:rPr>
        <w:t xml:space="preserve">d = desired precision, 5% (0.05) </w:t>
      </w:r>
    </w:p>
    <w:p w14:paraId="2F417FC4" w14:textId="49EE00F1" w:rsidR="00B30D4B" w:rsidRPr="000546EC" w:rsidRDefault="00B30D4B" w:rsidP="000546EC">
      <w:pPr>
        <w:pStyle w:val="Default"/>
        <w:jc w:val="both"/>
        <w:rPr>
          <w:color w:val="auto"/>
        </w:rPr>
      </w:pPr>
      <w:r w:rsidRPr="000546EC">
        <w:rPr>
          <w:color w:val="auto"/>
        </w:rPr>
        <w:t xml:space="preserve">So, n =  </w:t>
      </w:r>
      <m:oMath>
        <m:f>
          <m:fPr>
            <m:ctrlPr>
              <w:rPr>
                <w:rFonts w:ascii="Cambria Math" w:hAnsi="Cambria Math"/>
                <w:iCs/>
                <w:color w:val="auto"/>
              </w:rPr>
            </m:ctrlPr>
          </m:fPr>
          <m:num>
            <m:r>
              <m:rPr>
                <m:sty m:val="p"/>
              </m:rPr>
              <w:rPr>
                <w:rFonts w:ascii="Cambria Math" w:hAnsi="Cambria Math"/>
                <w:color w:val="auto"/>
              </w:rPr>
              <m:t>1.96 (0.877X 0.123)</m:t>
            </m:r>
          </m:num>
          <m:den>
            <m:r>
              <m:rPr>
                <m:sty m:val="p"/>
              </m:rPr>
              <w:rPr>
                <w:rFonts w:ascii="Cambria Math" w:hAnsi="Cambria Math"/>
                <w:color w:val="auto"/>
              </w:rPr>
              <m:t>0.0025</m:t>
            </m:r>
          </m:den>
        </m:f>
      </m:oMath>
      <w:r w:rsidRPr="000546EC">
        <w:rPr>
          <w:color w:val="auto"/>
        </w:rPr>
        <w:t xml:space="preserve">   = 84.5= 85</w:t>
      </w:r>
    </w:p>
    <w:p w14:paraId="7ECF4F00" w14:textId="55875F00" w:rsidR="00B30D4B" w:rsidRPr="000546EC" w:rsidRDefault="00B30D4B" w:rsidP="000546EC">
      <w:pPr>
        <w:pStyle w:val="Default"/>
        <w:jc w:val="both"/>
        <w:rPr>
          <w:color w:val="auto"/>
        </w:rPr>
      </w:pPr>
      <w:r w:rsidRPr="000546EC">
        <w:rPr>
          <w:color w:val="auto"/>
        </w:rPr>
        <w:t xml:space="preserve">Therefore, the minimum sample size is 85. However, </w:t>
      </w:r>
      <w:r w:rsidR="00A50309" w:rsidRPr="000546EC">
        <w:rPr>
          <w:color w:val="auto"/>
        </w:rPr>
        <w:t xml:space="preserve">an </w:t>
      </w:r>
      <w:r w:rsidRPr="000546EC">
        <w:rPr>
          <w:color w:val="auto"/>
        </w:rPr>
        <w:t>additional fifteen subjects were recruited. Thus</w:t>
      </w:r>
      <w:r w:rsidR="00A50309" w:rsidRPr="000546EC">
        <w:rPr>
          <w:color w:val="auto"/>
        </w:rPr>
        <w:t>,</w:t>
      </w:r>
      <w:r w:rsidRPr="000546EC">
        <w:rPr>
          <w:color w:val="auto"/>
        </w:rPr>
        <w:t xml:space="preserve"> </w:t>
      </w:r>
      <w:r w:rsidR="002D45BF" w:rsidRPr="000546EC">
        <w:rPr>
          <w:color w:val="auto"/>
        </w:rPr>
        <w:t>one</w:t>
      </w:r>
      <w:r w:rsidR="00A50309" w:rsidRPr="000546EC">
        <w:rPr>
          <w:color w:val="auto"/>
        </w:rPr>
        <w:t xml:space="preserve"> hundred (</w:t>
      </w:r>
      <w:r w:rsidRPr="000546EC">
        <w:rPr>
          <w:color w:val="auto"/>
        </w:rPr>
        <w:t>100</w:t>
      </w:r>
      <w:r w:rsidR="00A50309" w:rsidRPr="000546EC">
        <w:rPr>
          <w:color w:val="auto"/>
        </w:rPr>
        <w:t>)</w:t>
      </w:r>
      <w:r w:rsidRPr="000546EC">
        <w:rPr>
          <w:color w:val="auto"/>
        </w:rPr>
        <w:t xml:space="preserve"> samples </w:t>
      </w:r>
      <w:r w:rsidR="001B3B93" w:rsidRPr="000546EC">
        <w:rPr>
          <w:color w:val="auto"/>
        </w:rPr>
        <w:t xml:space="preserve">were collected </w:t>
      </w:r>
      <w:r w:rsidRPr="000546EC">
        <w:rPr>
          <w:color w:val="auto"/>
        </w:rPr>
        <w:t>for this study.</w:t>
      </w:r>
    </w:p>
    <w:p w14:paraId="38B3D0FD" w14:textId="77777777" w:rsidR="00A80FCF" w:rsidRPr="000546EC" w:rsidRDefault="00A80FCF" w:rsidP="000546EC">
      <w:pPr>
        <w:pStyle w:val="Default"/>
        <w:jc w:val="both"/>
        <w:rPr>
          <w:color w:val="auto"/>
        </w:rPr>
      </w:pPr>
    </w:p>
    <w:p w14:paraId="78DDDA5A" w14:textId="77777777" w:rsidR="00A80FCF" w:rsidRPr="000546EC" w:rsidRDefault="00A80FCF" w:rsidP="000546EC">
      <w:pPr>
        <w:pStyle w:val="Default"/>
        <w:jc w:val="both"/>
        <w:rPr>
          <w:color w:val="auto"/>
        </w:rPr>
      </w:pPr>
    </w:p>
    <w:p w14:paraId="1F702EFF" w14:textId="77777777" w:rsidR="00A221E3" w:rsidRPr="000546EC" w:rsidRDefault="00A221E3" w:rsidP="000546EC">
      <w:pPr>
        <w:pStyle w:val="Default"/>
        <w:jc w:val="both"/>
        <w:rPr>
          <w:b/>
          <w:bCs/>
          <w:color w:val="auto"/>
        </w:rPr>
      </w:pPr>
    </w:p>
    <w:p w14:paraId="603374BD" w14:textId="77777777" w:rsidR="00A221E3" w:rsidRPr="000546EC" w:rsidRDefault="00A221E3" w:rsidP="000546EC">
      <w:pPr>
        <w:pStyle w:val="Default"/>
        <w:jc w:val="both"/>
        <w:rPr>
          <w:b/>
          <w:bCs/>
          <w:color w:val="auto"/>
        </w:rPr>
      </w:pPr>
    </w:p>
    <w:p w14:paraId="314E42AD" w14:textId="77777777" w:rsidR="002C1113" w:rsidRDefault="002C1113" w:rsidP="000546EC">
      <w:pPr>
        <w:pStyle w:val="Default"/>
        <w:jc w:val="both"/>
        <w:rPr>
          <w:b/>
          <w:bCs/>
          <w:color w:val="auto"/>
        </w:rPr>
      </w:pPr>
    </w:p>
    <w:p w14:paraId="711E1C07" w14:textId="77777777" w:rsidR="002C1113" w:rsidRDefault="002C1113" w:rsidP="000546EC">
      <w:pPr>
        <w:pStyle w:val="Default"/>
        <w:jc w:val="both"/>
        <w:rPr>
          <w:b/>
          <w:bCs/>
          <w:color w:val="auto"/>
        </w:rPr>
      </w:pPr>
    </w:p>
    <w:p w14:paraId="6FE3BC9A" w14:textId="77777777" w:rsidR="002C1113" w:rsidRDefault="002C1113" w:rsidP="000546EC">
      <w:pPr>
        <w:pStyle w:val="Default"/>
        <w:jc w:val="both"/>
        <w:rPr>
          <w:b/>
          <w:bCs/>
          <w:color w:val="auto"/>
        </w:rPr>
      </w:pPr>
    </w:p>
    <w:p w14:paraId="7216BA2B" w14:textId="2B261AED" w:rsidR="00B30D4B" w:rsidRPr="000546EC" w:rsidRDefault="00B30D4B" w:rsidP="000546EC">
      <w:pPr>
        <w:pStyle w:val="Default"/>
        <w:jc w:val="both"/>
        <w:rPr>
          <w:b/>
          <w:bCs/>
          <w:color w:val="auto"/>
        </w:rPr>
      </w:pPr>
      <w:r w:rsidRPr="000546EC">
        <w:rPr>
          <w:b/>
          <w:bCs/>
          <w:color w:val="auto"/>
        </w:rPr>
        <w:lastRenderedPageBreak/>
        <w:t xml:space="preserve">Ethical Considerations </w:t>
      </w:r>
    </w:p>
    <w:p w14:paraId="6CF0F788" w14:textId="2C3CD384" w:rsidR="00B30D4B" w:rsidRPr="000546EC" w:rsidRDefault="00B30D4B" w:rsidP="000546EC">
      <w:pPr>
        <w:pStyle w:val="Default"/>
        <w:jc w:val="both"/>
        <w:rPr>
          <w:color w:val="auto"/>
        </w:rPr>
      </w:pPr>
      <w:r w:rsidRPr="000546EC">
        <w:rPr>
          <w:color w:val="auto"/>
        </w:rPr>
        <w:t xml:space="preserve">The permission for this study and approval was received from the ethical committee of Rivers State University, Port Harcourt. The participants of this study gave full consent and agreement to the study without any form of coercion or pressure. </w:t>
      </w:r>
    </w:p>
    <w:p w14:paraId="4BD4A2D1" w14:textId="77777777" w:rsidR="002D45BF" w:rsidRPr="000546EC" w:rsidRDefault="002D45BF" w:rsidP="000546EC">
      <w:pPr>
        <w:pStyle w:val="Default"/>
        <w:jc w:val="both"/>
        <w:rPr>
          <w:color w:val="auto"/>
        </w:rPr>
      </w:pPr>
    </w:p>
    <w:p w14:paraId="73551C9B" w14:textId="0C78A9E7" w:rsidR="00B30D4B" w:rsidRPr="000546EC" w:rsidRDefault="00B30D4B" w:rsidP="000546EC">
      <w:pPr>
        <w:pStyle w:val="Default"/>
        <w:jc w:val="both"/>
        <w:rPr>
          <w:b/>
          <w:bCs/>
          <w:color w:val="auto"/>
        </w:rPr>
      </w:pPr>
      <w:r w:rsidRPr="000546EC">
        <w:rPr>
          <w:b/>
          <w:bCs/>
          <w:color w:val="auto"/>
        </w:rPr>
        <w:t xml:space="preserve">Eligibility of Subjects </w:t>
      </w:r>
    </w:p>
    <w:p w14:paraId="23375E6C" w14:textId="0C1ACC80" w:rsidR="00B30D4B" w:rsidRPr="000546EC" w:rsidRDefault="00B30D4B" w:rsidP="000546EC">
      <w:pPr>
        <w:pStyle w:val="Default"/>
        <w:jc w:val="both"/>
        <w:rPr>
          <w:b/>
          <w:bCs/>
          <w:color w:val="auto"/>
        </w:rPr>
      </w:pPr>
      <w:r w:rsidRPr="000546EC">
        <w:rPr>
          <w:b/>
          <w:bCs/>
          <w:color w:val="auto"/>
        </w:rPr>
        <w:t xml:space="preserve">Inclusion Criteria </w:t>
      </w:r>
    </w:p>
    <w:p w14:paraId="7D2E59F7" w14:textId="77777777" w:rsidR="001A12E4" w:rsidRPr="000546EC" w:rsidRDefault="001A12E4" w:rsidP="000546EC">
      <w:pPr>
        <w:pStyle w:val="Default"/>
        <w:jc w:val="both"/>
        <w:rPr>
          <w:color w:val="auto"/>
        </w:rPr>
      </w:pPr>
      <w:r w:rsidRPr="000546EC">
        <w:rPr>
          <w:color w:val="auto"/>
        </w:rPr>
        <w:t>Only students of Rivers State University who provided informed oral consent were eligible to participate in the study.</w:t>
      </w:r>
    </w:p>
    <w:p w14:paraId="6BCBE5E2" w14:textId="77777777" w:rsidR="002D45BF" w:rsidRPr="000546EC" w:rsidRDefault="002D45BF" w:rsidP="000546EC">
      <w:pPr>
        <w:pStyle w:val="Default"/>
        <w:jc w:val="both"/>
        <w:rPr>
          <w:color w:val="auto"/>
        </w:rPr>
      </w:pPr>
    </w:p>
    <w:p w14:paraId="7A662826" w14:textId="55677633" w:rsidR="00B30D4B" w:rsidRPr="000546EC" w:rsidRDefault="00B30D4B" w:rsidP="000546EC">
      <w:pPr>
        <w:pStyle w:val="Default"/>
        <w:jc w:val="both"/>
        <w:rPr>
          <w:b/>
          <w:bCs/>
          <w:color w:val="auto"/>
        </w:rPr>
      </w:pPr>
      <w:r w:rsidRPr="000546EC">
        <w:rPr>
          <w:b/>
          <w:bCs/>
          <w:color w:val="auto"/>
        </w:rPr>
        <w:t xml:space="preserve">Exclusion Criteria </w:t>
      </w:r>
    </w:p>
    <w:p w14:paraId="7B696879" w14:textId="1951A376" w:rsidR="00861D1A" w:rsidRPr="000546EC" w:rsidRDefault="001A12E4" w:rsidP="000546EC">
      <w:pPr>
        <w:pStyle w:val="Default"/>
        <w:jc w:val="both"/>
        <w:rPr>
          <w:color w:val="auto"/>
        </w:rPr>
      </w:pPr>
      <w:r w:rsidRPr="000546EC">
        <w:rPr>
          <w:color w:val="auto"/>
        </w:rPr>
        <w:t>Individuals who declined to provide informed consent</w:t>
      </w:r>
      <w:r w:rsidR="00251FCB" w:rsidRPr="000546EC">
        <w:rPr>
          <w:color w:val="auto"/>
        </w:rPr>
        <w:t>, those who had taken triple antibiotic therapy previously</w:t>
      </w:r>
      <w:r w:rsidRPr="000546EC">
        <w:rPr>
          <w:color w:val="auto"/>
        </w:rPr>
        <w:t xml:space="preserve"> as well as persons who were not currently enrolled as students of </w:t>
      </w:r>
      <w:r w:rsidR="00CE7403" w:rsidRPr="000546EC">
        <w:rPr>
          <w:color w:val="auto"/>
        </w:rPr>
        <w:t xml:space="preserve">the </w:t>
      </w:r>
      <w:r w:rsidRPr="000546EC">
        <w:rPr>
          <w:color w:val="auto"/>
        </w:rPr>
        <w:t>Rivers State University</w:t>
      </w:r>
      <w:r w:rsidR="00DD0D26" w:rsidRPr="000546EC">
        <w:rPr>
          <w:color w:val="auto"/>
        </w:rPr>
        <w:t xml:space="preserve"> were excluded from the study</w:t>
      </w:r>
      <w:r w:rsidR="00514082" w:rsidRPr="000546EC">
        <w:rPr>
          <w:color w:val="auto"/>
        </w:rPr>
        <w:t>.</w:t>
      </w:r>
      <w:r w:rsidR="002045A7" w:rsidRPr="000546EC">
        <w:rPr>
          <w:color w:val="auto"/>
        </w:rPr>
        <w:t xml:space="preserve"> This in in accordance with the </w:t>
      </w:r>
      <w:r w:rsidR="00861D1A" w:rsidRPr="000546EC">
        <w:rPr>
          <w:color w:val="auto"/>
        </w:rPr>
        <w:t>international ethical standards for human</w:t>
      </w:r>
      <w:r w:rsidR="00861D1A" w:rsidRPr="000546EC">
        <w:rPr>
          <w:color w:val="auto"/>
        </w:rPr>
        <w:noBreakHyphen/>
        <w:t>subject research</w:t>
      </w:r>
      <w:r w:rsidR="009C4B75" w:rsidRPr="000546EC">
        <w:rPr>
          <w:color w:val="auto"/>
        </w:rPr>
        <w:t>;</w:t>
      </w:r>
      <w:r w:rsidR="00861D1A" w:rsidRPr="000546EC">
        <w:rPr>
          <w:color w:val="auto"/>
        </w:rPr>
        <w:t xml:space="preserve"> </w:t>
      </w:r>
      <w:r w:rsidR="009C4B75" w:rsidRPr="000546EC">
        <w:rPr>
          <w:color w:val="auto"/>
        </w:rPr>
        <w:t xml:space="preserve">which states that </w:t>
      </w:r>
      <w:r w:rsidR="00861D1A" w:rsidRPr="000546EC">
        <w:rPr>
          <w:color w:val="auto"/>
        </w:rPr>
        <w:t xml:space="preserve">only participants who voluntarily provide informed consent should be enrolled; refusal to consent disqualifies them from the study </w:t>
      </w:r>
      <w:r w:rsidR="001C6781" w:rsidRPr="000546EC">
        <w:rPr>
          <w:color w:val="auto"/>
        </w:rPr>
        <w:t>(</w:t>
      </w:r>
      <w:r w:rsidR="002B7DB7" w:rsidRPr="000546EC">
        <w:rPr>
          <w:color w:val="auto"/>
          <w:shd w:val="clear" w:color="auto" w:fill="FFFFFF"/>
        </w:rPr>
        <w:t>World Medical Association</w:t>
      </w:r>
      <w:r w:rsidR="001C6781" w:rsidRPr="000546EC">
        <w:rPr>
          <w:color w:val="auto"/>
          <w:shd w:val="clear" w:color="auto" w:fill="FFFFFF"/>
        </w:rPr>
        <w:t xml:space="preserve">, </w:t>
      </w:r>
      <w:r w:rsidR="002B7DB7" w:rsidRPr="000546EC">
        <w:rPr>
          <w:color w:val="auto"/>
          <w:shd w:val="clear" w:color="auto" w:fill="FFFFFF"/>
        </w:rPr>
        <w:t>2024)</w:t>
      </w:r>
      <w:r w:rsidR="00861D1A" w:rsidRPr="000546EC">
        <w:rPr>
          <w:color w:val="auto"/>
        </w:rPr>
        <w:t>. Selection of participants must also ensure a clearly defined source population and eligibility criteria, consistent with accepted practices for inclusion/exclusion in observational research (</w:t>
      </w:r>
      <w:r w:rsidR="002A2D96" w:rsidRPr="000546EC">
        <w:rPr>
          <w:color w:val="auto"/>
          <w:shd w:val="clear" w:color="auto" w:fill="FFFFFF"/>
        </w:rPr>
        <w:t>Nikolopoulou</w:t>
      </w:r>
      <w:r w:rsidR="00861D1A" w:rsidRPr="000546EC">
        <w:rPr>
          <w:color w:val="auto"/>
        </w:rPr>
        <w:t>, 2022).</w:t>
      </w:r>
    </w:p>
    <w:p w14:paraId="64FF427F" w14:textId="77777777" w:rsidR="009C4B75" w:rsidRPr="000546EC" w:rsidRDefault="009C4B75" w:rsidP="000546EC">
      <w:pPr>
        <w:pStyle w:val="Default"/>
        <w:jc w:val="both"/>
        <w:rPr>
          <w:color w:val="auto"/>
        </w:rPr>
      </w:pPr>
    </w:p>
    <w:p w14:paraId="2FDBB64B" w14:textId="1AED27D3" w:rsidR="009C4B75" w:rsidRPr="000546EC" w:rsidRDefault="00E91884" w:rsidP="000546EC">
      <w:pPr>
        <w:pStyle w:val="Default"/>
        <w:jc w:val="both"/>
        <w:rPr>
          <w:b/>
          <w:bCs/>
          <w:color w:val="auto"/>
        </w:rPr>
      </w:pPr>
      <w:r w:rsidRPr="000546EC">
        <w:rPr>
          <w:b/>
          <w:bCs/>
          <w:color w:val="auto"/>
        </w:rPr>
        <w:t>Sample Collection and Processing</w:t>
      </w:r>
    </w:p>
    <w:p w14:paraId="2E67DFB8" w14:textId="05A5995A" w:rsidR="00E91884" w:rsidRPr="000546EC" w:rsidRDefault="00E91884" w:rsidP="000546EC">
      <w:pPr>
        <w:pStyle w:val="Default"/>
        <w:jc w:val="both"/>
        <w:rPr>
          <w:color w:val="auto"/>
        </w:rPr>
      </w:pPr>
      <w:r w:rsidRPr="000546EC">
        <w:rPr>
          <w:color w:val="auto"/>
        </w:rPr>
        <w:t xml:space="preserve">A volume of 5 mL of blood was aseptically obtained from each participant via venipuncture of the cubital vein using sterile, disposable </w:t>
      </w:r>
      <w:r w:rsidR="009C4B75" w:rsidRPr="000546EC">
        <w:rPr>
          <w:color w:val="auto"/>
        </w:rPr>
        <w:t xml:space="preserve">Vacutainer </w:t>
      </w:r>
      <w:r w:rsidRPr="000546EC">
        <w:rPr>
          <w:color w:val="auto"/>
        </w:rPr>
        <w:t>needles and collection tubes. Blood samples were transferred into ethylenediaminetetraacetic acid (EDTA) tubes and mixed thoroughly to prevent clotting.</w:t>
      </w:r>
    </w:p>
    <w:p w14:paraId="61FE5276" w14:textId="40BD75DD" w:rsidR="00E91884" w:rsidRPr="000546EC" w:rsidRDefault="00E91884" w:rsidP="000546EC">
      <w:pPr>
        <w:pStyle w:val="Default"/>
        <w:jc w:val="both"/>
        <w:rPr>
          <w:color w:val="auto"/>
        </w:rPr>
      </w:pPr>
      <w:r w:rsidRPr="000546EC">
        <w:rPr>
          <w:color w:val="auto"/>
        </w:rPr>
        <w:t xml:space="preserve">For the detection of </w:t>
      </w:r>
      <w:r w:rsidRPr="000546EC">
        <w:rPr>
          <w:i/>
          <w:iCs/>
          <w:color w:val="auto"/>
        </w:rPr>
        <w:t>Helicobacter pylori</w:t>
      </w:r>
      <w:r w:rsidRPr="000546EC">
        <w:rPr>
          <w:color w:val="auto"/>
        </w:rPr>
        <w:t xml:space="preserve"> antibodies, whole blood samples were analyzed using a commercially available </w:t>
      </w:r>
      <w:r w:rsidRPr="000546EC">
        <w:rPr>
          <w:i/>
          <w:iCs/>
          <w:color w:val="auto"/>
        </w:rPr>
        <w:t xml:space="preserve">H. pylori </w:t>
      </w:r>
      <w:r w:rsidRPr="000546EC">
        <w:rPr>
          <w:color w:val="auto"/>
        </w:rPr>
        <w:t xml:space="preserve">Antibody Test Cassette, following the manufacturer’s protocol. </w:t>
      </w:r>
      <w:r w:rsidR="009C4B75" w:rsidRPr="000546EC">
        <w:rPr>
          <w:color w:val="auto"/>
        </w:rPr>
        <w:t>Before</w:t>
      </w:r>
      <w:r w:rsidRPr="000546EC">
        <w:rPr>
          <w:color w:val="auto"/>
        </w:rPr>
        <w:t xml:space="preserve"> testing, the cassettes were removed from their foil packaging and placed on a clean, level surface. Blood samples were gently mixed, and two drops were applied to the specimen well of the test cassette. Test results were interpreted after 10–15 minutes, according to the manufacturer’s instructions.</w:t>
      </w:r>
    </w:p>
    <w:p w14:paraId="11557388" w14:textId="77777777" w:rsidR="009C4B75" w:rsidRPr="000546EC" w:rsidRDefault="009C4B75" w:rsidP="000546EC">
      <w:pPr>
        <w:pStyle w:val="Default"/>
        <w:jc w:val="both"/>
        <w:rPr>
          <w:color w:val="auto"/>
        </w:rPr>
      </w:pPr>
    </w:p>
    <w:p w14:paraId="3EDF5F75" w14:textId="0FEF0C3A" w:rsidR="00B30D4B" w:rsidRPr="000546EC" w:rsidRDefault="00B30D4B" w:rsidP="000546EC">
      <w:pPr>
        <w:pStyle w:val="Default"/>
        <w:jc w:val="both"/>
        <w:rPr>
          <w:b/>
          <w:bCs/>
          <w:color w:val="auto"/>
        </w:rPr>
      </w:pPr>
      <w:r w:rsidRPr="000546EC">
        <w:rPr>
          <w:b/>
          <w:bCs/>
          <w:color w:val="auto"/>
        </w:rPr>
        <w:t xml:space="preserve">Data Analysis </w:t>
      </w:r>
    </w:p>
    <w:p w14:paraId="30BD8FDD" w14:textId="29DF8605" w:rsidR="005E271D" w:rsidRPr="000546EC" w:rsidRDefault="005E271D" w:rsidP="000546EC">
      <w:pPr>
        <w:spacing w:after="0" w:line="240" w:lineRule="auto"/>
        <w:jc w:val="both"/>
        <w:rPr>
          <w:rFonts w:ascii="Times New Roman" w:hAnsi="Times New Roman" w:cs="Times New Roman"/>
          <w:shd w:val="clear" w:color="auto" w:fill="FFFFFF"/>
        </w:rPr>
      </w:pPr>
      <w:r w:rsidRPr="000546EC">
        <w:rPr>
          <w:rFonts w:ascii="Times New Roman" w:hAnsi="Times New Roman" w:cs="Times New Roman"/>
          <w:shd w:val="clear" w:color="auto" w:fill="FFFFFF"/>
        </w:rPr>
        <w:t xml:space="preserve">Data generated from this study were expressed as mean ± standard deviation (SD) where appropriate. Comparative analyses were performed using an unpaired t-test, </w:t>
      </w:r>
      <w:r w:rsidR="00254D5F" w:rsidRPr="000546EC">
        <w:rPr>
          <w:rFonts w:ascii="Times New Roman" w:hAnsi="Times New Roman" w:cs="Times New Roman"/>
          <w:shd w:val="clear" w:color="auto" w:fill="FFFFFF"/>
        </w:rPr>
        <w:t xml:space="preserve">chi square to compare percentages </w:t>
      </w:r>
      <w:r w:rsidRPr="000546EC">
        <w:rPr>
          <w:rFonts w:ascii="Times New Roman" w:hAnsi="Times New Roman" w:cs="Times New Roman"/>
          <w:shd w:val="clear" w:color="auto" w:fill="FFFFFF"/>
        </w:rPr>
        <w:t>and two-tailed p-values were calculated. All statistical analyses were conducted using GraphPad Prism, version 9.4.1. A p-value of less than 0.05 was considered statistically significant, corresponding to a 95% confidence interval.</w:t>
      </w:r>
    </w:p>
    <w:p w14:paraId="598061A4" w14:textId="77777777" w:rsidR="00222381" w:rsidRPr="000546EC" w:rsidRDefault="00222381" w:rsidP="000546EC">
      <w:pPr>
        <w:spacing w:after="0" w:line="240" w:lineRule="auto"/>
        <w:jc w:val="both"/>
        <w:rPr>
          <w:rFonts w:ascii="Times New Roman" w:hAnsi="Times New Roman" w:cs="Times New Roman"/>
          <w:shd w:val="clear" w:color="auto" w:fill="FFFFFF"/>
        </w:rPr>
      </w:pPr>
    </w:p>
    <w:p w14:paraId="00F3C5D1" w14:textId="72E1BF9A" w:rsidR="00222381" w:rsidRPr="00222381" w:rsidRDefault="00222381" w:rsidP="000546EC">
      <w:pPr>
        <w:spacing w:after="0" w:line="240" w:lineRule="auto"/>
        <w:jc w:val="both"/>
        <w:rPr>
          <w:rFonts w:ascii="Times New Roman" w:hAnsi="Times New Roman" w:cs="Times New Roman"/>
          <w:b/>
          <w:bCs/>
          <w:shd w:val="clear" w:color="auto" w:fill="FFFFFF"/>
        </w:rPr>
      </w:pPr>
      <w:r w:rsidRPr="00222381">
        <w:rPr>
          <w:rFonts w:ascii="Times New Roman" w:hAnsi="Times New Roman" w:cs="Times New Roman"/>
          <w:b/>
          <w:bCs/>
          <w:shd w:val="clear" w:color="auto" w:fill="FFFFFF"/>
        </w:rPr>
        <w:t>RESULTS</w:t>
      </w:r>
    </w:p>
    <w:p w14:paraId="22F8871E" w14:textId="77777777" w:rsidR="00222381" w:rsidRPr="00222381" w:rsidRDefault="00222381" w:rsidP="000546EC">
      <w:pPr>
        <w:spacing w:after="0" w:line="240" w:lineRule="auto"/>
        <w:jc w:val="both"/>
        <w:rPr>
          <w:rFonts w:ascii="Times New Roman" w:hAnsi="Times New Roman" w:cs="Times New Roman"/>
          <w:b/>
          <w:bCs/>
          <w:shd w:val="clear" w:color="auto" w:fill="FFFFFF"/>
        </w:rPr>
      </w:pPr>
      <w:r w:rsidRPr="00222381">
        <w:rPr>
          <w:rFonts w:ascii="Times New Roman" w:hAnsi="Times New Roman" w:cs="Times New Roman"/>
          <w:b/>
          <w:bCs/>
          <w:shd w:val="clear" w:color="auto" w:fill="FFFFFF"/>
        </w:rPr>
        <w:t>Study Population Characteristics</w:t>
      </w:r>
    </w:p>
    <w:p w14:paraId="33645979" w14:textId="225E00C1" w:rsidR="00222381" w:rsidRPr="000546EC" w:rsidRDefault="00222381" w:rsidP="000546EC">
      <w:pPr>
        <w:spacing w:after="0" w:line="240" w:lineRule="auto"/>
        <w:jc w:val="both"/>
        <w:rPr>
          <w:rFonts w:ascii="Times New Roman" w:hAnsi="Times New Roman" w:cs="Times New Roman"/>
          <w:shd w:val="clear" w:color="auto" w:fill="FFFFFF"/>
        </w:rPr>
      </w:pPr>
      <w:r w:rsidRPr="00222381">
        <w:rPr>
          <w:rFonts w:ascii="Times New Roman" w:hAnsi="Times New Roman" w:cs="Times New Roman"/>
          <w:shd w:val="clear" w:color="auto" w:fill="FFFFFF"/>
        </w:rPr>
        <w:t>A total of 100 undergraduate students of Rivers State University, Port Harcourt, were enrolled in this study, comprising 45 males (45%) and 55 females (55%). Participants were aged between 17 and 23 years, with a mean age of 20 ± 2.16 years. All participants were asymptomatic at the time of sampling</w:t>
      </w:r>
      <w:r w:rsidR="001B3605" w:rsidRPr="000546EC">
        <w:rPr>
          <w:rFonts w:ascii="Times New Roman" w:hAnsi="Times New Roman" w:cs="Times New Roman"/>
          <w:shd w:val="clear" w:color="auto" w:fill="FFFFFF"/>
        </w:rPr>
        <w:t xml:space="preserve"> (Table 1).</w:t>
      </w:r>
    </w:p>
    <w:p w14:paraId="2328F2B6" w14:textId="77777777" w:rsidR="00BD2AE5" w:rsidRPr="000546EC" w:rsidRDefault="00BD2AE5" w:rsidP="000546EC">
      <w:pPr>
        <w:spacing w:after="0" w:line="240" w:lineRule="auto"/>
        <w:jc w:val="both"/>
        <w:rPr>
          <w:rFonts w:ascii="Times New Roman" w:hAnsi="Times New Roman" w:cs="Times New Roman"/>
          <w:shd w:val="clear" w:color="auto" w:fill="FFFFFF"/>
        </w:rPr>
      </w:pPr>
    </w:p>
    <w:p w14:paraId="0B572F42" w14:textId="77777777" w:rsidR="00BD2AE5" w:rsidRPr="000546EC" w:rsidRDefault="00BD2AE5" w:rsidP="000546EC">
      <w:pPr>
        <w:spacing w:after="0" w:line="240" w:lineRule="auto"/>
        <w:ind w:left="720" w:hanging="720"/>
        <w:jc w:val="both"/>
        <w:rPr>
          <w:rFonts w:ascii="Times New Roman" w:hAnsi="Times New Roman" w:cs="Times New Roman"/>
          <w:b/>
          <w:bCs/>
          <w:shd w:val="clear" w:color="auto" w:fill="FFFFFF"/>
        </w:rPr>
      </w:pPr>
      <w:r w:rsidRPr="000546EC">
        <w:rPr>
          <w:rFonts w:ascii="Times New Roman" w:hAnsi="Times New Roman" w:cs="Times New Roman"/>
          <w:b/>
          <w:bCs/>
          <w:shd w:val="clear" w:color="auto" w:fill="FFFFFF"/>
        </w:rPr>
        <w:lastRenderedPageBreak/>
        <w:t>Table 1: Socio-Demographic Characteristics</w:t>
      </w:r>
    </w:p>
    <w:p w14:paraId="142F1CC1" w14:textId="77777777" w:rsidR="001B3605" w:rsidRPr="000546EC" w:rsidRDefault="001B3605" w:rsidP="000546EC">
      <w:pPr>
        <w:spacing w:after="0" w:line="240" w:lineRule="auto"/>
        <w:jc w:val="both"/>
        <w:rPr>
          <w:rFonts w:ascii="Times New Roman" w:hAnsi="Times New Roman" w:cs="Times New Roman"/>
          <w:shd w:val="clear" w:color="auto" w:fill="FFFFFF"/>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2745"/>
      </w:tblGrid>
      <w:tr w:rsidR="000546EC" w:rsidRPr="000546EC" w14:paraId="27C35F4E" w14:textId="77777777" w:rsidTr="00A61762">
        <w:tc>
          <w:tcPr>
            <w:tcW w:w="5182" w:type="dxa"/>
            <w:tcBorders>
              <w:top w:val="single" w:sz="4" w:space="0" w:color="auto"/>
            </w:tcBorders>
          </w:tcPr>
          <w:p w14:paraId="20E587ED" w14:textId="77777777" w:rsidR="001B3605" w:rsidRPr="000546EC" w:rsidRDefault="001B3605" w:rsidP="000546EC">
            <w:pPr>
              <w:jc w:val="both"/>
              <w:rPr>
                <w:rFonts w:ascii="Times New Roman" w:hAnsi="Times New Roman" w:cs="Times New Roman"/>
                <w:b/>
                <w:bCs/>
                <w:sz w:val="24"/>
                <w:szCs w:val="24"/>
                <w:shd w:val="clear" w:color="auto" w:fill="FFFFFF"/>
              </w:rPr>
            </w:pPr>
            <w:r w:rsidRPr="000546EC">
              <w:rPr>
                <w:rFonts w:ascii="Times New Roman" w:hAnsi="Times New Roman" w:cs="Times New Roman"/>
                <w:b/>
                <w:bCs/>
                <w:sz w:val="24"/>
                <w:szCs w:val="24"/>
                <w:shd w:val="clear" w:color="auto" w:fill="FFFFFF"/>
              </w:rPr>
              <w:t>Characteristics of the Population</w:t>
            </w:r>
          </w:p>
        </w:tc>
        <w:tc>
          <w:tcPr>
            <w:tcW w:w="2745" w:type="dxa"/>
            <w:tcBorders>
              <w:top w:val="single" w:sz="4" w:space="0" w:color="auto"/>
            </w:tcBorders>
          </w:tcPr>
          <w:p w14:paraId="209C505A" w14:textId="77777777" w:rsidR="001B3605" w:rsidRPr="000546EC" w:rsidRDefault="001B3605" w:rsidP="000546EC">
            <w:pPr>
              <w:jc w:val="both"/>
              <w:rPr>
                <w:rFonts w:ascii="Times New Roman" w:hAnsi="Times New Roman" w:cs="Times New Roman"/>
                <w:b/>
                <w:bCs/>
                <w:sz w:val="24"/>
                <w:szCs w:val="24"/>
                <w:shd w:val="clear" w:color="auto" w:fill="FFFFFF"/>
              </w:rPr>
            </w:pPr>
            <w:r w:rsidRPr="000546EC">
              <w:rPr>
                <w:rFonts w:ascii="Times New Roman" w:hAnsi="Times New Roman" w:cs="Times New Roman"/>
                <w:b/>
                <w:bCs/>
                <w:sz w:val="24"/>
                <w:szCs w:val="24"/>
                <w:shd w:val="clear" w:color="auto" w:fill="FFFFFF"/>
              </w:rPr>
              <w:t>Number of Participants (%)</w:t>
            </w:r>
          </w:p>
        </w:tc>
      </w:tr>
      <w:tr w:rsidR="000546EC" w:rsidRPr="000546EC" w14:paraId="35C008B6" w14:textId="77777777" w:rsidTr="00A61762">
        <w:tc>
          <w:tcPr>
            <w:tcW w:w="5182" w:type="dxa"/>
            <w:tcBorders>
              <w:top w:val="single" w:sz="4" w:space="0" w:color="auto"/>
            </w:tcBorders>
          </w:tcPr>
          <w:p w14:paraId="0D2C03ED"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Gender</w:t>
            </w:r>
          </w:p>
        </w:tc>
        <w:tc>
          <w:tcPr>
            <w:tcW w:w="2745" w:type="dxa"/>
            <w:tcBorders>
              <w:top w:val="single" w:sz="4" w:space="0" w:color="auto"/>
            </w:tcBorders>
          </w:tcPr>
          <w:p w14:paraId="6C9F48FD" w14:textId="77777777" w:rsidR="001B3605" w:rsidRPr="000546EC" w:rsidRDefault="001B3605" w:rsidP="000546EC">
            <w:pPr>
              <w:jc w:val="both"/>
              <w:rPr>
                <w:rFonts w:ascii="Times New Roman" w:hAnsi="Times New Roman" w:cs="Times New Roman"/>
                <w:sz w:val="24"/>
                <w:szCs w:val="24"/>
                <w:shd w:val="clear" w:color="auto" w:fill="FFFFFF"/>
              </w:rPr>
            </w:pPr>
          </w:p>
        </w:tc>
      </w:tr>
      <w:tr w:rsidR="000546EC" w:rsidRPr="000546EC" w14:paraId="143521AB" w14:textId="77777777" w:rsidTr="00A61762">
        <w:tc>
          <w:tcPr>
            <w:tcW w:w="5182" w:type="dxa"/>
          </w:tcPr>
          <w:p w14:paraId="231AF47A"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Male</w:t>
            </w:r>
          </w:p>
        </w:tc>
        <w:tc>
          <w:tcPr>
            <w:tcW w:w="2745" w:type="dxa"/>
          </w:tcPr>
          <w:p w14:paraId="5C21B54D"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45</w:t>
            </w:r>
          </w:p>
        </w:tc>
      </w:tr>
      <w:tr w:rsidR="000546EC" w:rsidRPr="000546EC" w14:paraId="4CE44B25" w14:textId="77777777" w:rsidTr="00A61762">
        <w:tc>
          <w:tcPr>
            <w:tcW w:w="5182" w:type="dxa"/>
          </w:tcPr>
          <w:p w14:paraId="555956AA"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Female</w:t>
            </w:r>
          </w:p>
        </w:tc>
        <w:tc>
          <w:tcPr>
            <w:tcW w:w="2745" w:type="dxa"/>
          </w:tcPr>
          <w:p w14:paraId="5F5EA4C7"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55</w:t>
            </w:r>
          </w:p>
        </w:tc>
      </w:tr>
      <w:tr w:rsidR="000546EC" w:rsidRPr="000546EC" w14:paraId="01951A13" w14:textId="77777777" w:rsidTr="00A61762">
        <w:tc>
          <w:tcPr>
            <w:tcW w:w="5182" w:type="dxa"/>
          </w:tcPr>
          <w:p w14:paraId="6D23B703"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Age</w:t>
            </w:r>
          </w:p>
        </w:tc>
        <w:tc>
          <w:tcPr>
            <w:tcW w:w="2745" w:type="dxa"/>
          </w:tcPr>
          <w:p w14:paraId="0E30CF80" w14:textId="77777777" w:rsidR="001B3605" w:rsidRPr="000546EC" w:rsidRDefault="001B3605" w:rsidP="000546EC">
            <w:pPr>
              <w:jc w:val="both"/>
              <w:rPr>
                <w:rFonts w:ascii="Times New Roman" w:hAnsi="Times New Roman" w:cs="Times New Roman"/>
                <w:sz w:val="24"/>
                <w:szCs w:val="24"/>
                <w:shd w:val="clear" w:color="auto" w:fill="FFFFFF"/>
              </w:rPr>
            </w:pPr>
          </w:p>
        </w:tc>
      </w:tr>
      <w:tr w:rsidR="000546EC" w:rsidRPr="000546EC" w14:paraId="38CD4DBC" w14:textId="77777777" w:rsidTr="00A61762">
        <w:tc>
          <w:tcPr>
            <w:tcW w:w="5182" w:type="dxa"/>
          </w:tcPr>
          <w:p w14:paraId="501603B3"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17</w:t>
            </w:r>
          </w:p>
        </w:tc>
        <w:tc>
          <w:tcPr>
            <w:tcW w:w="2745" w:type="dxa"/>
          </w:tcPr>
          <w:p w14:paraId="7798B7BA"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21</w:t>
            </w:r>
          </w:p>
        </w:tc>
      </w:tr>
      <w:tr w:rsidR="000546EC" w:rsidRPr="000546EC" w14:paraId="2AB49814" w14:textId="77777777" w:rsidTr="00A61762">
        <w:tc>
          <w:tcPr>
            <w:tcW w:w="5182" w:type="dxa"/>
          </w:tcPr>
          <w:p w14:paraId="372C062E"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18</w:t>
            </w:r>
          </w:p>
        </w:tc>
        <w:tc>
          <w:tcPr>
            <w:tcW w:w="2745" w:type="dxa"/>
          </w:tcPr>
          <w:p w14:paraId="2EF5E73B"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16</w:t>
            </w:r>
          </w:p>
        </w:tc>
      </w:tr>
      <w:tr w:rsidR="000546EC" w:rsidRPr="000546EC" w14:paraId="22CB6DB0" w14:textId="77777777" w:rsidTr="00A61762">
        <w:tc>
          <w:tcPr>
            <w:tcW w:w="5182" w:type="dxa"/>
          </w:tcPr>
          <w:p w14:paraId="6D3B0257"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19</w:t>
            </w:r>
          </w:p>
        </w:tc>
        <w:tc>
          <w:tcPr>
            <w:tcW w:w="2745" w:type="dxa"/>
          </w:tcPr>
          <w:p w14:paraId="0BD5C3F6"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29</w:t>
            </w:r>
          </w:p>
        </w:tc>
      </w:tr>
      <w:tr w:rsidR="000546EC" w:rsidRPr="000546EC" w14:paraId="258F72B6" w14:textId="77777777" w:rsidTr="00A61762">
        <w:tc>
          <w:tcPr>
            <w:tcW w:w="5182" w:type="dxa"/>
          </w:tcPr>
          <w:p w14:paraId="713BD10D"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20</w:t>
            </w:r>
          </w:p>
        </w:tc>
        <w:tc>
          <w:tcPr>
            <w:tcW w:w="2745" w:type="dxa"/>
          </w:tcPr>
          <w:p w14:paraId="1ECFD0F1"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18</w:t>
            </w:r>
          </w:p>
        </w:tc>
      </w:tr>
      <w:tr w:rsidR="000546EC" w:rsidRPr="000546EC" w14:paraId="6CE68896" w14:textId="77777777" w:rsidTr="00A61762">
        <w:tc>
          <w:tcPr>
            <w:tcW w:w="5182" w:type="dxa"/>
          </w:tcPr>
          <w:p w14:paraId="0B307CB3"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21</w:t>
            </w:r>
          </w:p>
        </w:tc>
        <w:tc>
          <w:tcPr>
            <w:tcW w:w="2745" w:type="dxa"/>
          </w:tcPr>
          <w:p w14:paraId="5E2C8491"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7</w:t>
            </w:r>
          </w:p>
        </w:tc>
      </w:tr>
      <w:tr w:rsidR="000546EC" w:rsidRPr="000546EC" w14:paraId="49703640" w14:textId="77777777" w:rsidTr="00A61762">
        <w:tc>
          <w:tcPr>
            <w:tcW w:w="5182" w:type="dxa"/>
          </w:tcPr>
          <w:p w14:paraId="6312E17E"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22</w:t>
            </w:r>
          </w:p>
        </w:tc>
        <w:tc>
          <w:tcPr>
            <w:tcW w:w="2745" w:type="dxa"/>
          </w:tcPr>
          <w:p w14:paraId="66619A7A"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5</w:t>
            </w:r>
          </w:p>
        </w:tc>
      </w:tr>
      <w:tr w:rsidR="000546EC" w:rsidRPr="000546EC" w14:paraId="3B8B34A9" w14:textId="77777777" w:rsidTr="00A61762">
        <w:tc>
          <w:tcPr>
            <w:tcW w:w="5182" w:type="dxa"/>
          </w:tcPr>
          <w:p w14:paraId="70DE1FB8"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23</w:t>
            </w:r>
          </w:p>
        </w:tc>
        <w:tc>
          <w:tcPr>
            <w:tcW w:w="2745" w:type="dxa"/>
          </w:tcPr>
          <w:p w14:paraId="1473DA52"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4</w:t>
            </w:r>
          </w:p>
        </w:tc>
      </w:tr>
      <w:tr w:rsidR="000546EC" w:rsidRPr="000546EC" w14:paraId="4F54D687" w14:textId="77777777" w:rsidTr="00A61762">
        <w:tc>
          <w:tcPr>
            <w:tcW w:w="5182" w:type="dxa"/>
          </w:tcPr>
          <w:p w14:paraId="66700C10"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Mean age = 20 ± 2.16</w:t>
            </w:r>
          </w:p>
        </w:tc>
        <w:tc>
          <w:tcPr>
            <w:tcW w:w="2745" w:type="dxa"/>
          </w:tcPr>
          <w:p w14:paraId="738BA564" w14:textId="77777777" w:rsidR="001B3605" w:rsidRPr="000546EC" w:rsidRDefault="001B3605" w:rsidP="000546EC">
            <w:pPr>
              <w:jc w:val="both"/>
              <w:rPr>
                <w:rFonts w:ascii="Times New Roman" w:hAnsi="Times New Roman" w:cs="Times New Roman"/>
                <w:sz w:val="24"/>
                <w:szCs w:val="24"/>
                <w:shd w:val="clear" w:color="auto" w:fill="FFFFFF"/>
              </w:rPr>
            </w:pPr>
          </w:p>
        </w:tc>
      </w:tr>
      <w:tr w:rsidR="000546EC" w:rsidRPr="000546EC" w14:paraId="6EFBF101" w14:textId="77777777" w:rsidTr="00A61762">
        <w:tc>
          <w:tcPr>
            <w:tcW w:w="5182" w:type="dxa"/>
          </w:tcPr>
          <w:p w14:paraId="04B6D3C9"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 xml:space="preserve">Previous </w:t>
            </w:r>
            <w:r w:rsidRPr="000546EC">
              <w:rPr>
                <w:rFonts w:ascii="Times New Roman" w:hAnsi="Times New Roman" w:cs="Times New Roman"/>
                <w:i/>
                <w:iCs/>
                <w:sz w:val="24"/>
                <w:szCs w:val="24"/>
                <w:shd w:val="clear" w:color="auto" w:fill="FFFFFF"/>
              </w:rPr>
              <w:t>H. Pylori</w:t>
            </w:r>
            <w:r w:rsidRPr="000546EC">
              <w:rPr>
                <w:rFonts w:ascii="Times New Roman" w:hAnsi="Times New Roman" w:cs="Times New Roman"/>
                <w:sz w:val="24"/>
                <w:szCs w:val="24"/>
                <w:shd w:val="clear" w:color="auto" w:fill="FFFFFF"/>
              </w:rPr>
              <w:t xml:space="preserve"> Infection</w:t>
            </w:r>
          </w:p>
        </w:tc>
        <w:tc>
          <w:tcPr>
            <w:tcW w:w="2745" w:type="dxa"/>
          </w:tcPr>
          <w:p w14:paraId="74E77838"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12</w:t>
            </w:r>
          </w:p>
        </w:tc>
      </w:tr>
      <w:tr w:rsidR="000546EC" w:rsidRPr="000546EC" w14:paraId="082B94E0" w14:textId="77777777" w:rsidTr="00A61762">
        <w:tc>
          <w:tcPr>
            <w:tcW w:w="5182" w:type="dxa"/>
          </w:tcPr>
          <w:p w14:paraId="5259AC86"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Family History of H. Pylori Infection</w:t>
            </w:r>
          </w:p>
        </w:tc>
        <w:tc>
          <w:tcPr>
            <w:tcW w:w="2745" w:type="dxa"/>
          </w:tcPr>
          <w:p w14:paraId="553C5F94"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25</w:t>
            </w:r>
          </w:p>
        </w:tc>
      </w:tr>
      <w:tr w:rsidR="000546EC" w:rsidRPr="000546EC" w14:paraId="48E7F468" w14:textId="77777777" w:rsidTr="00A61762">
        <w:tc>
          <w:tcPr>
            <w:tcW w:w="5182" w:type="dxa"/>
          </w:tcPr>
          <w:p w14:paraId="0AFAFC44"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Previous Treatment for H. Pylori</w:t>
            </w:r>
          </w:p>
        </w:tc>
        <w:tc>
          <w:tcPr>
            <w:tcW w:w="2745" w:type="dxa"/>
          </w:tcPr>
          <w:p w14:paraId="59AC7A98"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15</w:t>
            </w:r>
          </w:p>
        </w:tc>
      </w:tr>
      <w:tr w:rsidR="000546EC" w:rsidRPr="000546EC" w14:paraId="3D53568B" w14:textId="77777777" w:rsidTr="00A61762">
        <w:tc>
          <w:tcPr>
            <w:tcW w:w="5182" w:type="dxa"/>
          </w:tcPr>
          <w:p w14:paraId="059815CC"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Alcohol Consumers</w:t>
            </w:r>
          </w:p>
        </w:tc>
        <w:tc>
          <w:tcPr>
            <w:tcW w:w="2745" w:type="dxa"/>
          </w:tcPr>
          <w:p w14:paraId="3688E8AF"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38</w:t>
            </w:r>
          </w:p>
        </w:tc>
      </w:tr>
      <w:tr w:rsidR="000546EC" w:rsidRPr="000546EC" w14:paraId="2236777E" w14:textId="77777777" w:rsidTr="00A61762">
        <w:tc>
          <w:tcPr>
            <w:tcW w:w="5182" w:type="dxa"/>
          </w:tcPr>
          <w:p w14:paraId="412BEB96"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Cigarette Smokers</w:t>
            </w:r>
          </w:p>
        </w:tc>
        <w:tc>
          <w:tcPr>
            <w:tcW w:w="2745" w:type="dxa"/>
          </w:tcPr>
          <w:p w14:paraId="4CF9B235"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4</w:t>
            </w:r>
          </w:p>
        </w:tc>
      </w:tr>
      <w:tr w:rsidR="000546EC" w:rsidRPr="000546EC" w14:paraId="190A4B8F" w14:textId="77777777" w:rsidTr="00A61762">
        <w:tc>
          <w:tcPr>
            <w:tcW w:w="5182" w:type="dxa"/>
          </w:tcPr>
          <w:p w14:paraId="1E92E741"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Those That Consume Food from Vendors</w:t>
            </w:r>
          </w:p>
        </w:tc>
        <w:tc>
          <w:tcPr>
            <w:tcW w:w="2745" w:type="dxa"/>
          </w:tcPr>
          <w:p w14:paraId="04BE7139"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57</w:t>
            </w:r>
          </w:p>
        </w:tc>
      </w:tr>
      <w:tr w:rsidR="000546EC" w:rsidRPr="000546EC" w14:paraId="1A57FC89" w14:textId="77777777" w:rsidTr="00A61762">
        <w:tc>
          <w:tcPr>
            <w:tcW w:w="5182" w:type="dxa"/>
          </w:tcPr>
          <w:p w14:paraId="3B017B1A"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History of Ulcer</w:t>
            </w:r>
          </w:p>
        </w:tc>
        <w:tc>
          <w:tcPr>
            <w:tcW w:w="2745" w:type="dxa"/>
          </w:tcPr>
          <w:p w14:paraId="42DC593B"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59</w:t>
            </w:r>
          </w:p>
        </w:tc>
      </w:tr>
      <w:tr w:rsidR="000546EC" w:rsidRPr="000546EC" w14:paraId="65BD509B" w14:textId="77777777" w:rsidTr="00A61762">
        <w:tc>
          <w:tcPr>
            <w:tcW w:w="5182" w:type="dxa"/>
          </w:tcPr>
          <w:p w14:paraId="3C7FCDEA"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Pepper Consumers</w:t>
            </w:r>
          </w:p>
        </w:tc>
        <w:tc>
          <w:tcPr>
            <w:tcW w:w="2745" w:type="dxa"/>
          </w:tcPr>
          <w:p w14:paraId="0E0B620D"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67</w:t>
            </w:r>
          </w:p>
        </w:tc>
      </w:tr>
      <w:tr w:rsidR="000546EC" w:rsidRPr="000546EC" w14:paraId="4D58F100" w14:textId="77777777" w:rsidTr="00A61762">
        <w:tc>
          <w:tcPr>
            <w:tcW w:w="5182" w:type="dxa"/>
            <w:tcBorders>
              <w:bottom w:val="single" w:sz="4" w:space="0" w:color="auto"/>
            </w:tcBorders>
          </w:tcPr>
          <w:p w14:paraId="2ACA39E1"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Those that Drink Filtered or Boiled Water</w:t>
            </w:r>
          </w:p>
        </w:tc>
        <w:tc>
          <w:tcPr>
            <w:tcW w:w="2745" w:type="dxa"/>
            <w:tcBorders>
              <w:bottom w:val="single" w:sz="4" w:space="0" w:color="auto"/>
            </w:tcBorders>
          </w:tcPr>
          <w:p w14:paraId="2B1B31F9" w14:textId="77777777" w:rsidR="001B3605" w:rsidRPr="000546EC" w:rsidRDefault="001B3605" w:rsidP="000546EC">
            <w:pPr>
              <w:jc w:val="both"/>
              <w:rPr>
                <w:rFonts w:ascii="Times New Roman" w:hAnsi="Times New Roman" w:cs="Times New Roman"/>
                <w:sz w:val="24"/>
                <w:szCs w:val="24"/>
                <w:shd w:val="clear" w:color="auto" w:fill="FFFFFF"/>
              </w:rPr>
            </w:pPr>
            <w:r w:rsidRPr="000546EC">
              <w:rPr>
                <w:rFonts w:ascii="Times New Roman" w:hAnsi="Times New Roman" w:cs="Times New Roman"/>
                <w:sz w:val="24"/>
                <w:szCs w:val="24"/>
                <w:shd w:val="clear" w:color="auto" w:fill="FFFFFF"/>
              </w:rPr>
              <w:t>43</w:t>
            </w:r>
          </w:p>
        </w:tc>
      </w:tr>
    </w:tbl>
    <w:p w14:paraId="09D08E08" w14:textId="77777777" w:rsidR="001B3605" w:rsidRPr="00222381" w:rsidRDefault="001B3605" w:rsidP="000546EC">
      <w:pPr>
        <w:spacing w:after="0" w:line="240" w:lineRule="auto"/>
        <w:jc w:val="both"/>
        <w:rPr>
          <w:rFonts w:ascii="Times New Roman" w:hAnsi="Times New Roman" w:cs="Times New Roman"/>
          <w:shd w:val="clear" w:color="auto" w:fill="FFFFFF"/>
        </w:rPr>
      </w:pPr>
    </w:p>
    <w:p w14:paraId="2BC9588D" w14:textId="77777777" w:rsidR="00222381" w:rsidRPr="00222381" w:rsidRDefault="00222381" w:rsidP="000546EC">
      <w:pPr>
        <w:spacing w:after="0" w:line="240" w:lineRule="auto"/>
        <w:jc w:val="both"/>
        <w:rPr>
          <w:rFonts w:ascii="Times New Roman" w:hAnsi="Times New Roman" w:cs="Times New Roman"/>
          <w:b/>
          <w:bCs/>
          <w:shd w:val="clear" w:color="auto" w:fill="FFFFFF"/>
        </w:rPr>
      </w:pPr>
      <w:r w:rsidRPr="00222381">
        <w:rPr>
          <w:rFonts w:ascii="Times New Roman" w:hAnsi="Times New Roman" w:cs="Times New Roman"/>
          <w:b/>
          <w:bCs/>
          <w:shd w:val="clear" w:color="auto" w:fill="FFFFFF"/>
        </w:rPr>
        <w:t xml:space="preserve">Overall Seroprevalence of </w:t>
      </w:r>
      <w:r w:rsidRPr="00222381">
        <w:rPr>
          <w:rFonts w:ascii="Times New Roman" w:hAnsi="Times New Roman" w:cs="Times New Roman"/>
          <w:b/>
          <w:bCs/>
          <w:i/>
          <w:iCs/>
          <w:shd w:val="clear" w:color="auto" w:fill="FFFFFF"/>
        </w:rPr>
        <w:t>Helicobacter pylori</w:t>
      </w:r>
    </w:p>
    <w:p w14:paraId="6656F665" w14:textId="77777777" w:rsidR="00222381" w:rsidRPr="000546EC" w:rsidRDefault="00222381" w:rsidP="000546EC">
      <w:pPr>
        <w:spacing w:after="0" w:line="240" w:lineRule="auto"/>
        <w:jc w:val="both"/>
        <w:rPr>
          <w:rFonts w:ascii="Times New Roman" w:hAnsi="Times New Roman" w:cs="Times New Roman"/>
          <w:shd w:val="clear" w:color="auto" w:fill="FFFFFF"/>
        </w:rPr>
      </w:pPr>
      <w:r w:rsidRPr="00222381">
        <w:rPr>
          <w:rFonts w:ascii="Times New Roman" w:hAnsi="Times New Roman" w:cs="Times New Roman"/>
          <w:shd w:val="clear" w:color="auto" w:fill="FFFFFF"/>
        </w:rPr>
        <w:t xml:space="preserve">Serological screening revealed that 54 out of 100 participants were positive for </w:t>
      </w:r>
      <w:r w:rsidRPr="00222381">
        <w:rPr>
          <w:rFonts w:ascii="Times New Roman" w:hAnsi="Times New Roman" w:cs="Times New Roman"/>
          <w:i/>
          <w:iCs/>
          <w:shd w:val="clear" w:color="auto" w:fill="FFFFFF"/>
        </w:rPr>
        <w:t>H. pylori</w:t>
      </w:r>
      <w:r w:rsidRPr="00222381">
        <w:rPr>
          <w:rFonts w:ascii="Times New Roman" w:hAnsi="Times New Roman" w:cs="Times New Roman"/>
          <w:shd w:val="clear" w:color="auto" w:fill="FFFFFF"/>
        </w:rPr>
        <w:t xml:space="preserve"> antibodies, resulting in an overall seroprevalence of 54%. Forty-six participants (46%) tested negative (Table 2).</w:t>
      </w:r>
    </w:p>
    <w:p w14:paraId="0B5DBFF8" w14:textId="77777777" w:rsidR="00BD2AE5" w:rsidRPr="000546EC" w:rsidRDefault="00BD2AE5" w:rsidP="000546EC">
      <w:pPr>
        <w:spacing w:after="0" w:line="240" w:lineRule="auto"/>
        <w:jc w:val="both"/>
        <w:rPr>
          <w:rFonts w:ascii="Times New Roman" w:hAnsi="Times New Roman" w:cs="Times New Roman"/>
          <w:shd w:val="clear" w:color="auto" w:fill="FFFFFF"/>
        </w:rPr>
      </w:pPr>
    </w:p>
    <w:p w14:paraId="6B261ADA" w14:textId="69B8E93B" w:rsidR="00BD2AE5" w:rsidRPr="000546EC" w:rsidRDefault="00BD2AE5" w:rsidP="000546EC">
      <w:pPr>
        <w:spacing w:after="0" w:line="240" w:lineRule="auto"/>
        <w:ind w:left="720" w:hanging="720"/>
        <w:jc w:val="both"/>
        <w:rPr>
          <w:rFonts w:ascii="Times New Roman" w:hAnsi="Times New Roman" w:cs="Times New Roman"/>
          <w:b/>
          <w:bCs/>
          <w:shd w:val="clear" w:color="auto" w:fill="FFFFFF"/>
        </w:rPr>
      </w:pPr>
      <w:r w:rsidRPr="000546EC">
        <w:rPr>
          <w:rFonts w:ascii="Times New Roman" w:hAnsi="Times New Roman" w:cs="Times New Roman"/>
          <w:b/>
          <w:bCs/>
          <w:shd w:val="clear" w:color="auto" w:fill="FFFFFF"/>
        </w:rPr>
        <w:t xml:space="preserve">Table 2: Prevalence of </w:t>
      </w:r>
      <w:r w:rsidRPr="000546EC">
        <w:rPr>
          <w:rFonts w:ascii="Times New Roman" w:hAnsi="Times New Roman" w:cs="Times New Roman"/>
          <w:b/>
          <w:bCs/>
          <w:i/>
          <w:iCs/>
          <w:shd w:val="clear" w:color="auto" w:fill="FFFFFF"/>
        </w:rPr>
        <w:t>H. Pylori</w:t>
      </w:r>
      <w:r w:rsidRPr="000546EC">
        <w:rPr>
          <w:rFonts w:ascii="Times New Roman" w:hAnsi="Times New Roman" w:cs="Times New Roman"/>
          <w:b/>
          <w:bCs/>
          <w:shd w:val="clear" w:color="auto" w:fill="FFFFFF"/>
        </w:rPr>
        <w:t xml:space="preserve"> Among Study Population</w:t>
      </w: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505"/>
        <w:gridCol w:w="2436"/>
        <w:gridCol w:w="2172"/>
      </w:tblGrid>
      <w:tr w:rsidR="000546EC" w:rsidRPr="000546EC" w14:paraId="47571E20" w14:textId="77777777" w:rsidTr="00A61762">
        <w:tc>
          <w:tcPr>
            <w:tcW w:w="2463" w:type="dxa"/>
            <w:tcBorders>
              <w:top w:val="single" w:sz="4" w:space="0" w:color="auto"/>
            </w:tcBorders>
          </w:tcPr>
          <w:p w14:paraId="2DF5BC79" w14:textId="77777777" w:rsidR="00BD2AE5" w:rsidRPr="000546EC" w:rsidRDefault="00BD2AE5"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Location</w:t>
            </w:r>
          </w:p>
        </w:tc>
        <w:tc>
          <w:tcPr>
            <w:tcW w:w="2505" w:type="dxa"/>
            <w:tcBorders>
              <w:top w:val="single" w:sz="4" w:space="0" w:color="auto"/>
            </w:tcBorders>
          </w:tcPr>
          <w:p w14:paraId="474C4626" w14:textId="77777777" w:rsidR="00BD2AE5" w:rsidRPr="000546EC" w:rsidRDefault="00BD2AE5"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Number Examined</w:t>
            </w:r>
          </w:p>
        </w:tc>
        <w:tc>
          <w:tcPr>
            <w:tcW w:w="2436" w:type="dxa"/>
            <w:tcBorders>
              <w:top w:val="single" w:sz="4" w:space="0" w:color="auto"/>
            </w:tcBorders>
          </w:tcPr>
          <w:p w14:paraId="542BF1A0" w14:textId="77777777" w:rsidR="00BD2AE5" w:rsidRPr="000546EC" w:rsidRDefault="00BD2AE5"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Positive n (%)</w:t>
            </w:r>
          </w:p>
        </w:tc>
        <w:tc>
          <w:tcPr>
            <w:tcW w:w="2172" w:type="dxa"/>
            <w:tcBorders>
              <w:top w:val="single" w:sz="4" w:space="0" w:color="auto"/>
            </w:tcBorders>
          </w:tcPr>
          <w:p w14:paraId="34E16E74" w14:textId="77777777" w:rsidR="00BD2AE5" w:rsidRPr="000546EC" w:rsidRDefault="00BD2AE5"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Negative n (%)</w:t>
            </w:r>
          </w:p>
        </w:tc>
      </w:tr>
      <w:tr w:rsidR="000546EC" w:rsidRPr="000546EC" w14:paraId="33884C2C" w14:textId="77777777" w:rsidTr="00A61762">
        <w:tc>
          <w:tcPr>
            <w:tcW w:w="2463" w:type="dxa"/>
            <w:tcBorders>
              <w:top w:val="single" w:sz="4" w:space="0" w:color="auto"/>
              <w:bottom w:val="single" w:sz="4" w:space="0" w:color="auto"/>
            </w:tcBorders>
          </w:tcPr>
          <w:p w14:paraId="742B7E20" w14:textId="77777777" w:rsidR="00BD2AE5" w:rsidRPr="000546EC" w:rsidRDefault="00BD2AE5" w:rsidP="000546EC">
            <w:pPr>
              <w:jc w:val="both"/>
              <w:rPr>
                <w:rFonts w:ascii="Times New Roman" w:hAnsi="Times New Roman" w:cs="Times New Roman"/>
                <w:sz w:val="24"/>
                <w:szCs w:val="24"/>
              </w:rPr>
            </w:pPr>
            <w:r w:rsidRPr="000546EC">
              <w:rPr>
                <w:rFonts w:ascii="Times New Roman" w:hAnsi="Times New Roman" w:cs="Times New Roman"/>
                <w:sz w:val="24"/>
                <w:szCs w:val="24"/>
              </w:rPr>
              <w:t>RSU</w:t>
            </w:r>
          </w:p>
        </w:tc>
        <w:tc>
          <w:tcPr>
            <w:tcW w:w="2505" w:type="dxa"/>
            <w:tcBorders>
              <w:top w:val="single" w:sz="4" w:space="0" w:color="auto"/>
              <w:bottom w:val="single" w:sz="4" w:space="0" w:color="auto"/>
            </w:tcBorders>
          </w:tcPr>
          <w:p w14:paraId="43927CEC" w14:textId="77777777" w:rsidR="00BD2AE5" w:rsidRPr="000546EC" w:rsidRDefault="00BD2AE5" w:rsidP="000546EC">
            <w:pPr>
              <w:jc w:val="both"/>
              <w:rPr>
                <w:rFonts w:ascii="Times New Roman" w:hAnsi="Times New Roman" w:cs="Times New Roman"/>
                <w:sz w:val="24"/>
                <w:szCs w:val="24"/>
              </w:rPr>
            </w:pPr>
            <w:r w:rsidRPr="000546EC">
              <w:rPr>
                <w:rFonts w:ascii="Times New Roman" w:hAnsi="Times New Roman" w:cs="Times New Roman"/>
                <w:sz w:val="24"/>
                <w:szCs w:val="24"/>
              </w:rPr>
              <w:t>100</w:t>
            </w:r>
          </w:p>
        </w:tc>
        <w:tc>
          <w:tcPr>
            <w:tcW w:w="2436" w:type="dxa"/>
            <w:tcBorders>
              <w:top w:val="single" w:sz="4" w:space="0" w:color="auto"/>
              <w:bottom w:val="single" w:sz="4" w:space="0" w:color="auto"/>
            </w:tcBorders>
          </w:tcPr>
          <w:p w14:paraId="65CF47C4" w14:textId="77777777" w:rsidR="00BD2AE5" w:rsidRPr="000546EC" w:rsidRDefault="00BD2AE5" w:rsidP="000546EC">
            <w:pPr>
              <w:jc w:val="both"/>
              <w:rPr>
                <w:rFonts w:ascii="Times New Roman" w:hAnsi="Times New Roman" w:cs="Times New Roman"/>
                <w:sz w:val="24"/>
                <w:szCs w:val="24"/>
              </w:rPr>
            </w:pPr>
            <w:r w:rsidRPr="000546EC">
              <w:rPr>
                <w:rFonts w:ascii="Times New Roman" w:hAnsi="Times New Roman" w:cs="Times New Roman"/>
                <w:sz w:val="24"/>
                <w:szCs w:val="24"/>
              </w:rPr>
              <w:t>54 (54%)</w:t>
            </w:r>
          </w:p>
        </w:tc>
        <w:tc>
          <w:tcPr>
            <w:tcW w:w="2172" w:type="dxa"/>
            <w:tcBorders>
              <w:top w:val="single" w:sz="4" w:space="0" w:color="auto"/>
              <w:bottom w:val="single" w:sz="4" w:space="0" w:color="auto"/>
            </w:tcBorders>
          </w:tcPr>
          <w:p w14:paraId="5C0128D5" w14:textId="77777777" w:rsidR="00BD2AE5" w:rsidRPr="000546EC" w:rsidRDefault="00BD2AE5" w:rsidP="000546EC">
            <w:pPr>
              <w:jc w:val="both"/>
              <w:rPr>
                <w:rFonts w:ascii="Times New Roman" w:hAnsi="Times New Roman" w:cs="Times New Roman"/>
                <w:sz w:val="24"/>
                <w:szCs w:val="24"/>
              </w:rPr>
            </w:pPr>
            <w:r w:rsidRPr="000546EC">
              <w:rPr>
                <w:rFonts w:ascii="Times New Roman" w:hAnsi="Times New Roman" w:cs="Times New Roman"/>
                <w:sz w:val="24"/>
                <w:szCs w:val="24"/>
              </w:rPr>
              <w:t>46 (46%)</w:t>
            </w:r>
          </w:p>
        </w:tc>
      </w:tr>
    </w:tbl>
    <w:p w14:paraId="4E29A041" w14:textId="77777777" w:rsidR="00BD2AE5" w:rsidRPr="00222381" w:rsidRDefault="00BD2AE5" w:rsidP="000546EC">
      <w:pPr>
        <w:spacing w:after="0" w:line="240" w:lineRule="auto"/>
        <w:jc w:val="both"/>
        <w:rPr>
          <w:rFonts w:ascii="Times New Roman" w:hAnsi="Times New Roman" w:cs="Times New Roman"/>
          <w:shd w:val="clear" w:color="auto" w:fill="FFFFFF"/>
        </w:rPr>
      </w:pPr>
    </w:p>
    <w:p w14:paraId="313768BB" w14:textId="77777777" w:rsidR="00222381" w:rsidRPr="00222381" w:rsidRDefault="00222381" w:rsidP="000546EC">
      <w:pPr>
        <w:spacing w:after="0" w:line="240" w:lineRule="auto"/>
        <w:jc w:val="both"/>
        <w:rPr>
          <w:rFonts w:ascii="Times New Roman" w:hAnsi="Times New Roman" w:cs="Times New Roman"/>
          <w:b/>
          <w:bCs/>
          <w:shd w:val="clear" w:color="auto" w:fill="FFFFFF"/>
        </w:rPr>
      </w:pPr>
      <w:r w:rsidRPr="00222381">
        <w:rPr>
          <w:rFonts w:ascii="Times New Roman" w:hAnsi="Times New Roman" w:cs="Times New Roman"/>
          <w:b/>
          <w:bCs/>
          <w:shd w:val="clear" w:color="auto" w:fill="FFFFFF"/>
        </w:rPr>
        <w:t xml:space="preserve">Gender-Based Distribution of </w:t>
      </w:r>
      <w:r w:rsidRPr="00222381">
        <w:rPr>
          <w:rFonts w:ascii="Times New Roman" w:hAnsi="Times New Roman" w:cs="Times New Roman"/>
          <w:b/>
          <w:bCs/>
          <w:i/>
          <w:iCs/>
          <w:shd w:val="clear" w:color="auto" w:fill="FFFFFF"/>
        </w:rPr>
        <w:t>H. pylori</w:t>
      </w:r>
      <w:r w:rsidRPr="00222381">
        <w:rPr>
          <w:rFonts w:ascii="Times New Roman" w:hAnsi="Times New Roman" w:cs="Times New Roman"/>
          <w:b/>
          <w:bCs/>
          <w:shd w:val="clear" w:color="auto" w:fill="FFFFFF"/>
        </w:rPr>
        <w:t xml:space="preserve"> Infection</w:t>
      </w:r>
    </w:p>
    <w:p w14:paraId="35B99C9C" w14:textId="691AEF17" w:rsidR="00222381" w:rsidRPr="000546EC" w:rsidRDefault="00222381" w:rsidP="000546EC">
      <w:pPr>
        <w:spacing w:after="0" w:line="240" w:lineRule="auto"/>
        <w:jc w:val="both"/>
        <w:rPr>
          <w:rFonts w:ascii="Times New Roman" w:hAnsi="Times New Roman" w:cs="Times New Roman"/>
          <w:shd w:val="clear" w:color="auto" w:fill="FFFFFF"/>
        </w:rPr>
      </w:pPr>
      <w:r w:rsidRPr="00222381">
        <w:rPr>
          <w:rFonts w:ascii="Times New Roman" w:hAnsi="Times New Roman" w:cs="Times New Roman"/>
          <w:shd w:val="clear" w:color="auto" w:fill="FFFFFF"/>
        </w:rPr>
        <w:t xml:space="preserve">Among male participants, 23 of 45 (51.11%) were seropositive, while 31 of 55 female participants (56.36%) tested positive for </w:t>
      </w:r>
      <w:r w:rsidRPr="00222381">
        <w:rPr>
          <w:rFonts w:ascii="Times New Roman" w:hAnsi="Times New Roman" w:cs="Times New Roman"/>
          <w:i/>
          <w:iCs/>
          <w:shd w:val="clear" w:color="auto" w:fill="FFFFFF"/>
        </w:rPr>
        <w:t>H. pylori</w:t>
      </w:r>
      <w:r w:rsidRPr="00222381">
        <w:rPr>
          <w:rFonts w:ascii="Times New Roman" w:hAnsi="Times New Roman" w:cs="Times New Roman"/>
          <w:shd w:val="clear" w:color="auto" w:fill="FFFFFF"/>
        </w:rPr>
        <w:t xml:space="preserve"> antibodies (Table 3</w:t>
      </w:r>
      <w:r w:rsidR="005764AD" w:rsidRPr="000546EC">
        <w:rPr>
          <w:rFonts w:ascii="Times New Roman" w:hAnsi="Times New Roman" w:cs="Times New Roman"/>
          <w:shd w:val="clear" w:color="auto" w:fill="FFFFFF"/>
        </w:rPr>
        <w:t>, Figure 1</w:t>
      </w:r>
      <w:r w:rsidRPr="00222381">
        <w:rPr>
          <w:rFonts w:ascii="Times New Roman" w:hAnsi="Times New Roman" w:cs="Times New Roman"/>
          <w:shd w:val="clear" w:color="auto" w:fill="FFFFFF"/>
        </w:rPr>
        <w:t xml:space="preserve">). A chi-square test of independence showed no statistically significant association between gender and </w:t>
      </w:r>
      <w:r w:rsidRPr="00222381">
        <w:rPr>
          <w:rFonts w:ascii="Times New Roman" w:hAnsi="Times New Roman" w:cs="Times New Roman"/>
          <w:i/>
          <w:iCs/>
          <w:shd w:val="clear" w:color="auto" w:fill="FFFFFF"/>
        </w:rPr>
        <w:t>H. pylori</w:t>
      </w:r>
      <w:r w:rsidRPr="00222381">
        <w:rPr>
          <w:rFonts w:ascii="Times New Roman" w:hAnsi="Times New Roman" w:cs="Times New Roman"/>
          <w:shd w:val="clear" w:color="auto" w:fill="FFFFFF"/>
        </w:rPr>
        <w:t xml:space="preserve"> seropositivity (χ² = 0.27, </w:t>
      </w:r>
      <w:proofErr w:type="spellStart"/>
      <w:r w:rsidRPr="00222381">
        <w:rPr>
          <w:rFonts w:ascii="Times New Roman" w:hAnsi="Times New Roman" w:cs="Times New Roman"/>
          <w:shd w:val="clear" w:color="auto" w:fill="FFFFFF"/>
        </w:rPr>
        <w:t>df</w:t>
      </w:r>
      <w:proofErr w:type="spellEnd"/>
      <w:r w:rsidRPr="00222381">
        <w:rPr>
          <w:rFonts w:ascii="Times New Roman" w:hAnsi="Times New Roman" w:cs="Times New Roman"/>
          <w:shd w:val="clear" w:color="auto" w:fill="FFFFFF"/>
        </w:rPr>
        <w:t xml:space="preserve"> = 1, p = 0.6044). This indicates that the distribution of infection was comparable between male and female students.</w:t>
      </w:r>
    </w:p>
    <w:p w14:paraId="74BC2364" w14:textId="77777777" w:rsidR="003C25C8" w:rsidRPr="000546EC" w:rsidRDefault="003C25C8" w:rsidP="000546EC">
      <w:pPr>
        <w:spacing w:after="0" w:line="240" w:lineRule="auto"/>
        <w:jc w:val="both"/>
        <w:rPr>
          <w:rFonts w:ascii="Times New Roman" w:hAnsi="Times New Roman" w:cs="Times New Roman"/>
          <w:shd w:val="clear" w:color="auto" w:fill="FFFFFF"/>
        </w:rPr>
      </w:pPr>
    </w:p>
    <w:p w14:paraId="599F15D1" w14:textId="70A6A4B1" w:rsidR="003C25C8" w:rsidRPr="000546EC" w:rsidRDefault="003C25C8" w:rsidP="000546EC">
      <w:pPr>
        <w:spacing w:after="0" w:line="240" w:lineRule="auto"/>
        <w:ind w:left="720" w:hanging="720"/>
        <w:jc w:val="both"/>
        <w:rPr>
          <w:rFonts w:ascii="Times New Roman" w:hAnsi="Times New Roman" w:cs="Times New Roman"/>
          <w:b/>
          <w:bCs/>
          <w:shd w:val="clear" w:color="auto" w:fill="FFFFFF"/>
        </w:rPr>
      </w:pPr>
      <w:r w:rsidRPr="000546EC">
        <w:rPr>
          <w:rFonts w:ascii="Times New Roman" w:hAnsi="Times New Roman" w:cs="Times New Roman"/>
          <w:b/>
          <w:bCs/>
          <w:shd w:val="clear" w:color="auto" w:fill="FFFFFF"/>
        </w:rPr>
        <w:t>Table 3: Gender-Based Prevalence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tblGrid>
      <w:tr w:rsidR="000546EC" w:rsidRPr="000546EC" w14:paraId="6797592F" w14:textId="77777777" w:rsidTr="00A61762">
        <w:tc>
          <w:tcPr>
            <w:tcW w:w="1596" w:type="dxa"/>
            <w:tcBorders>
              <w:top w:val="single" w:sz="4" w:space="0" w:color="auto"/>
            </w:tcBorders>
          </w:tcPr>
          <w:p w14:paraId="0655FB10" w14:textId="77777777" w:rsidR="003C25C8" w:rsidRPr="000546EC" w:rsidRDefault="003C25C8"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Gender</w:t>
            </w:r>
          </w:p>
        </w:tc>
        <w:tc>
          <w:tcPr>
            <w:tcW w:w="1596" w:type="dxa"/>
            <w:tcBorders>
              <w:top w:val="single" w:sz="4" w:space="0" w:color="auto"/>
            </w:tcBorders>
          </w:tcPr>
          <w:p w14:paraId="2B8D363B" w14:textId="77777777" w:rsidR="003C25C8" w:rsidRPr="000546EC" w:rsidRDefault="003C25C8"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Number Examined</w:t>
            </w:r>
          </w:p>
        </w:tc>
        <w:tc>
          <w:tcPr>
            <w:tcW w:w="1596" w:type="dxa"/>
            <w:tcBorders>
              <w:top w:val="single" w:sz="4" w:space="0" w:color="auto"/>
            </w:tcBorders>
          </w:tcPr>
          <w:p w14:paraId="63664FB8" w14:textId="77777777" w:rsidR="003C25C8" w:rsidRPr="000546EC" w:rsidRDefault="003C25C8"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Number Positive (%)</w:t>
            </w:r>
          </w:p>
        </w:tc>
        <w:tc>
          <w:tcPr>
            <w:tcW w:w="1596" w:type="dxa"/>
            <w:tcBorders>
              <w:top w:val="single" w:sz="4" w:space="0" w:color="auto"/>
            </w:tcBorders>
          </w:tcPr>
          <w:p w14:paraId="670D4153" w14:textId="77777777" w:rsidR="003C25C8" w:rsidRPr="000546EC" w:rsidRDefault="003C25C8"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P-Value</w:t>
            </w:r>
          </w:p>
        </w:tc>
        <w:tc>
          <w:tcPr>
            <w:tcW w:w="1596" w:type="dxa"/>
            <w:tcBorders>
              <w:top w:val="single" w:sz="4" w:space="0" w:color="auto"/>
            </w:tcBorders>
          </w:tcPr>
          <w:p w14:paraId="028FF42F" w14:textId="77777777" w:rsidR="003C25C8" w:rsidRPr="000546EC" w:rsidRDefault="003C25C8"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Remark</w:t>
            </w:r>
          </w:p>
        </w:tc>
      </w:tr>
      <w:tr w:rsidR="000546EC" w:rsidRPr="000546EC" w14:paraId="32AFAAFE" w14:textId="77777777" w:rsidTr="00A61762">
        <w:tc>
          <w:tcPr>
            <w:tcW w:w="1596" w:type="dxa"/>
            <w:tcBorders>
              <w:top w:val="single" w:sz="4" w:space="0" w:color="auto"/>
            </w:tcBorders>
          </w:tcPr>
          <w:p w14:paraId="34453D10"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lastRenderedPageBreak/>
              <w:t>Male</w:t>
            </w:r>
          </w:p>
        </w:tc>
        <w:tc>
          <w:tcPr>
            <w:tcW w:w="1596" w:type="dxa"/>
            <w:tcBorders>
              <w:top w:val="single" w:sz="4" w:space="0" w:color="auto"/>
            </w:tcBorders>
          </w:tcPr>
          <w:p w14:paraId="5F446940"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45</w:t>
            </w:r>
          </w:p>
        </w:tc>
        <w:tc>
          <w:tcPr>
            <w:tcW w:w="1596" w:type="dxa"/>
            <w:tcBorders>
              <w:top w:val="single" w:sz="4" w:space="0" w:color="auto"/>
            </w:tcBorders>
          </w:tcPr>
          <w:p w14:paraId="5E869F4E"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23 (51.11)</w:t>
            </w:r>
          </w:p>
        </w:tc>
        <w:tc>
          <w:tcPr>
            <w:tcW w:w="1596" w:type="dxa"/>
            <w:tcBorders>
              <w:top w:val="single" w:sz="4" w:space="0" w:color="auto"/>
            </w:tcBorders>
          </w:tcPr>
          <w:p w14:paraId="6D9A521E"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0.6044</w:t>
            </w:r>
          </w:p>
        </w:tc>
        <w:tc>
          <w:tcPr>
            <w:tcW w:w="1596" w:type="dxa"/>
            <w:tcBorders>
              <w:top w:val="single" w:sz="4" w:space="0" w:color="auto"/>
            </w:tcBorders>
          </w:tcPr>
          <w:p w14:paraId="544D407C"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Not Significant</w:t>
            </w:r>
          </w:p>
        </w:tc>
      </w:tr>
      <w:tr w:rsidR="000546EC" w:rsidRPr="000546EC" w14:paraId="1CCB8489" w14:textId="77777777" w:rsidTr="00A61762">
        <w:tc>
          <w:tcPr>
            <w:tcW w:w="1596" w:type="dxa"/>
          </w:tcPr>
          <w:p w14:paraId="183F92DD"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Female</w:t>
            </w:r>
          </w:p>
        </w:tc>
        <w:tc>
          <w:tcPr>
            <w:tcW w:w="1596" w:type="dxa"/>
          </w:tcPr>
          <w:p w14:paraId="59F1F1CA"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55</w:t>
            </w:r>
          </w:p>
        </w:tc>
        <w:tc>
          <w:tcPr>
            <w:tcW w:w="1596" w:type="dxa"/>
          </w:tcPr>
          <w:p w14:paraId="31D5B37E"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31 (56.36)</w:t>
            </w:r>
          </w:p>
        </w:tc>
        <w:tc>
          <w:tcPr>
            <w:tcW w:w="1596" w:type="dxa"/>
          </w:tcPr>
          <w:p w14:paraId="6E53ABD5" w14:textId="77777777" w:rsidR="003C25C8" w:rsidRPr="000546EC" w:rsidRDefault="003C25C8" w:rsidP="000546EC">
            <w:pPr>
              <w:jc w:val="both"/>
              <w:rPr>
                <w:rFonts w:ascii="Times New Roman" w:hAnsi="Times New Roman" w:cs="Times New Roman"/>
                <w:sz w:val="24"/>
                <w:szCs w:val="24"/>
              </w:rPr>
            </w:pPr>
          </w:p>
        </w:tc>
        <w:tc>
          <w:tcPr>
            <w:tcW w:w="1596" w:type="dxa"/>
          </w:tcPr>
          <w:p w14:paraId="1AF3FA06" w14:textId="77777777" w:rsidR="003C25C8" w:rsidRPr="000546EC" w:rsidRDefault="003C25C8" w:rsidP="000546EC">
            <w:pPr>
              <w:jc w:val="both"/>
              <w:rPr>
                <w:rFonts w:ascii="Times New Roman" w:hAnsi="Times New Roman" w:cs="Times New Roman"/>
                <w:sz w:val="24"/>
                <w:szCs w:val="24"/>
              </w:rPr>
            </w:pPr>
          </w:p>
        </w:tc>
      </w:tr>
      <w:tr w:rsidR="000546EC" w:rsidRPr="000546EC" w14:paraId="305A3EEF" w14:textId="77777777" w:rsidTr="00A61762">
        <w:tc>
          <w:tcPr>
            <w:tcW w:w="1596" w:type="dxa"/>
            <w:tcBorders>
              <w:bottom w:val="single" w:sz="4" w:space="0" w:color="auto"/>
            </w:tcBorders>
          </w:tcPr>
          <w:p w14:paraId="46A832C4"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Total</w:t>
            </w:r>
          </w:p>
        </w:tc>
        <w:tc>
          <w:tcPr>
            <w:tcW w:w="1596" w:type="dxa"/>
            <w:tcBorders>
              <w:bottom w:val="single" w:sz="4" w:space="0" w:color="auto"/>
            </w:tcBorders>
          </w:tcPr>
          <w:p w14:paraId="3DB06F7B"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100</w:t>
            </w:r>
          </w:p>
        </w:tc>
        <w:tc>
          <w:tcPr>
            <w:tcW w:w="1596" w:type="dxa"/>
            <w:tcBorders>
              <w:bottom w:val="single" w:sz="4" w:space="0" w:color="auto"/>
            </w:tcBorders>
          </w:tcPr>
          <w:p w14:paraId="34B19933" w14:textId="77777777" w:rsidR="003C25C8" w:rsidRPr="000546EC" w:rsidRDefault="003C25C8" w:rsidP="000546EC">
            <w:pPr>
              <w:jc w:val="both"/>
              <w:rPr>
                <w:rFonts w:ascii="Times New Roman" w:hAnsi="Times New Roman" w:cs="Times New Roman"/>
                <w:sz w:val="24"/>
                <w:szCs w:val="24"/>
              </w:rPr>
            </w:pPr>
            <w:r w:rsidRPr="000546EC">
              <w:rPr>
                <w:rFonts w:ascii="Times New Roman" w:hAnsi="Times New Roman" w:cs="Times New Roman"/>
                <w:sz w:val="24"/>
                <w:szCs w:val="24"/>
              </w:rPr>
              <w:t>54</w:t>
            </w:r>
          </w:p>
        </w:tc>
        <w:tc>
          <w:tcPr>
            <w:tcW w:w="1596" w:type="dxa"/>
            <w:tcBorders>
              <w:bottom w:val="single" w:sz="4" w:space="0" w:color="auto"/>
            </w:tcBorders>
          </w:tcPr>
          <w:p w14:paraId="1C4F195D" w14:textId="77777777" w:rsidR="003C25C8" w:rsidRPr="000546EC" w:rsidRDefault="003C25C8" w:rsidP="000546EC">
            <w:pPr>
              <w:jc w:val="both"/>
              <w:rPr>
                <w:rFonts w:ascii="Times New Roman" w:hAnsi="Times New Roman" w:cs="Times New Roman"/>
                <w:sz w:val="24"/>
                <w:szCs w:val="24"/>
              </w:rPr>
            </w:pPr>
          </w:p>
        </w:tc>
        <w:tc>
          <w:tcPr>
            <w:tcW w:w="1596" w:type="dxa"/>
            <w:tcBorders>
              <w:bottom w:val="single" w:sz="4" w:space="0" w:color="auto"/>
            </w:tcBorders>
          </w:tcPr>
          <w:p w14:paraId="218CC47A" w14:textId="77777777" w:rsidR="003C25C8" w:rsidRPr="000546EC" w:rsidRDefault="003C25C8" w:rsidP="000546EC">
            <w:pPr>
              <w:jc w:val="both"/>
              <w:rPr>
                <w:rFonts w:ascii="Times New Roman" w:hAnsi="Times New Roman" w:cs="Times New Roman"/>
                <w:sz w:val="24"/>
                <w:szCs w:val="24"/>
              </w:rPr>
            </w:pPr>
          </w:p>
        </w:tc>
      </w:tr>
    </w:tbl>
    <w:p w14:paraId="0741E760" w14:textId="77777777" w:rsidR="003C25C8" w:rsidRPr="000546EC" w:rsidRDefault="003C25C8" w:rsidP="000546EC">
      <w:pPr>
        <w:spacing w:after="0" w:line="240" w:lineRule="auto"/>
        <w:jc w:val="both"/>
        <w:rPr>
          <w:rFonts w:ascii="Times New Roman" w:hAnsi="Times New Roman" w:cs="Times New Roman"/>
          <w:shd w:val="clear" w:color="auto" w:fill="FFFFFF"/>
        </w:rPr>
      </w:pPr>
    </w:p>
    <w:p w14:paraId="32FCB337" w14:textId="77777777" w:rsidR="001B3605" w:rsidRPr="00222381" w:rsidRDefault="001B3605" w:rsidP="000546EC">
      <w:pPr>
        <w:spacing w:after="0" w:line="240" w:lineRule="auto"/>
        <w:jc w:val="both"/>
        <w:rPr>
          <w:rFonts w:ascii="Times New Roman" w:hAnsi="Times New Roman" w:cs="Times New Roman"/>
          <w:shd w:val="clear" w:color="auto" w:fill="FFFFFF"/>
        </w:rPr>
      </w:pPr>
    </w:p>
    <w:p w14:paraId="672B6A31" w14:textId="77777777" w:rsidR="00D15DF8" w:rsidRPr="000546EC" w:rsidRDefault="00D15DF8" w:rsidP="000546EC">
      <w:pPr>
        <w:spacing w:after="0" w:line="240" w:lineRule="auto"/>
        <w:jc w:val="both"/>
        <w:rPr>
          <w:rFonts w:ascii="Times New Roman" w:hAnsi="Times New Roman" w:cs="Times New Roman"/>
          <w:b/>
          <w:bCs/>
          <w:shd w:val="clear" w:color="auto" w:fill="FFFFFF"/>
        </w:rPr>
      </w:pPr>
    </w:p>
    <w:p w14:paraId="0A3D54A4" w14:textId="77777777" w:rsidR="00D15DF8" w:rsidRPr="000546EC" w:rsidRDefault="00D15DF8" w:rsidP="000546EC">
      <w:pPr>
        <w:spacing w:after="0" w:line="240" w:lineRule="auto"/>
        <w:jc w:val="both"/>
        <w:rPr>
          <w:rFonts w:ascii="Times New Roman" w:hAnsi="Times New Roman" w:cs="Times New Roman"/>
          <w:b/>
          <w:bCs/>
          <w:shd w:val="clear" w:color="auto" w:fill="FFFFFF"/>
        </w:rPr>
      </w:pPr>
      <w:r w:rsidRPr="000546EC">
        <w:rPr>
          <w:rFonts w:ascii="Times New Roman" w:hAnsi="Times New Roman" w:cs="Times New Roman"/>
          <w:noProof/>
        </w:rPr>
        <w:drawing>
          <wp:inline distT="0" distB="0" distL="0" distR="0" wp14:anchorId="1652BE28" wp14:editId="7F55C2B8">
            <wp:extent cx="4572000" cy="362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_based_prevalence.png"/>
                    <pic:cNvPicPr/>
                  </pic:nvPicPr>
                  <pic:blipFill>
                    <a:blip r:embed="rId8"/>
                    <a:stretch>
                      <a:fillRect/>
                    </a:stretch>
                  </pic:blipFill>
                  <pic:spPr>
                    <a:xfrm>
                      <a:off x="0" y="0"/>
                      <a:ext cx="4572000" cy="3628275"/>
                    </a:xfrm>
                    <a:prstGeom prst="rect">
                      <a:avLst/>
                    </a:prstGeom>
                  </pic:spPr>
                </pic:pic>
              </a:graphicData>
            </a:graphic>
          </wp:inline>
        </w:drawing>
      </w:r>
    </w:p>
    <w:p w14:paraId="6DE4D877" w14:textId="77777777" w:rsidR="00D15DF8" w:rsidRPr="000546EC" w:rsidRDefault="00D15DF8" w:rsidP="000546EC">
      <w:pPr>
        <w:jc w:val="both"/>
        <w:rPr>
          <w:rFonts w:ascii="Times New Roman" w:hAnsi="Times New Roman" w:cs="Times New Roman"/>
        </w:rPr>
      </w:pPr>
      <w:r w:rsidRPr="000546EC">
        <w:rPr>
          <w:rFonts w:ascii="Times New Roman" w:hAnsi="Times New Roman" w:cs="Times New Roman"/>
        </w:rPr>
        <w:t>Figure 1: Gender-based seroprevalence of Helicobacter pylori infection among Rivers State University students. No statistically significant difference was observed between males and females (χ² = 0.27, p = 0.6044).</w:t>
      </w:r>
    </w:p>
    <w:p w14:paraId="2CB9DBDF" w14:textId="63E2AE15" w:rsidR="00222381" w:rsidRPr="00222381" w:rsidRDefault="00222381" w:rsidP="000546EC">
      <w:pPr>
        <w:spacing w:after="0" w:line="240" w:lineRule="auto"/>
        <w:jc w:val="both"/>
        <w:rPr>
          <w:rFonts w:ascii="Times New Roman" w:hAnsi="Times New Roman" w:cs="Times New Roman"/>
          <w:b/>
          <w:bCs/>
          <w:shd w:val="clear" w:color="auto" w:fill="FFFFFF"/>
        </w:rPr>
      </w:pPr>
      <w:r w:rsidRPr="00222381">
        <w:rPr>
          <w:rFonts w:ascii="Times New Roman" w:hAnsi="Times New Roman" w:cs="Times New Roman"/>
          <w:b/>
          <w:bCs/>
          <w:shd w:val="clear" w:color="auto" w:fill="FFFFFF"/>
        </w:rPr>
        <w:t xml:space="preserve">Age-Based Distribution of </w:t>
      </w:r>
      <w:r w:rsidRPr="00222381">
        <w:rPr>
          <w:rFonts w:ascii="Times New Roman" w:hAnsi="Times New Roman" w:cs="Times New Roman"/>
          <w:b/>
          <w:bCs/>
          <w:i/>
          <w:iCs/>
          <w:shd w:val="clear" w:color="auto" w:fill="FFFFFF"/>
        </w:rPr>
        <w:t>H. pylori</w:t>
      </w:r>
      <w:r w:rsidRPr="00222381">
        <w:rPr>
          <w:rFonts w:ascii="Times New Roman" w:hAnsi="Times New Roman" w:cs="Times New Roman"/>
          <w:b/>
          <w:bCs/>
          <w:shd w:val="clear" w:color="auto" w:fill="FFFFFF"/>
        </w:rPr>
        <w:t xml:space="preserve"> Infection</w:t>
      </w:r>
    </w:p>
    <w:p w14:paraId="7134D3A0" w14:textId="3A9105D3" w:rsidR="00222381" w:rsidRPr="000546EC" w:rsidRDefault="00222381" w:rsidP="000546EC">
      <w:pPr>
        <w:spacing w:after="0" w:line="240" w:lineRule="auto"/>
        <w:jc w:val="both"/>
        <w:rPr>
          <w:rFonts w:ascii="Times New Roman" w:hAnsi="Times New Roman" w:cs="Times New Roman"/>
          <w:shd w:val="clear" w:color="auto" w:fill="FFFFFF"/>
        </w:rPr>
      </w:pPr>
      <w:r w:rsidRPr="00222381">
        <w:rPr>
          <w:rFonts w:ascii="Times New Roman" w:hAnsi="Times New Roman" w:cs="Times New Roman"/>
          <w:shd w:val="clear" w:color="auto" w:fill="FFFFFF"/>
        </w:rPr>
        <w:t>Participants were categorized into two age groups for statistical analysis: 16–20 years and 21–25 years. Among students aged 16–20 years, 47 out of 84 (55.95%) were seropositive, whereas 7 out of 16 students (43.75%) aged 21–25 years tested positive (Table 4</w:t>
      </w:r>
      <w:r w:rsidR="000D749A" w:rsidRPr="000546EC">
        <w:rPr>
          <w:rFonts w:ascii="Times New Roman" w:hAnsi="Times New Roman" w:cs="Times New Roman"/>
          <w:shd w:val="clear" w:color="auto" w:fill="FFFFFF"/>
        </w:rPr>
        <w:t>, Figure 2</w:t>
      </w:r>
      <w:r w:rsidRPr="00222381">
        <w:rPr>
          <w:rFonts w:ascii="Times New Roman" w:hAnsi="Times New Roman" w:cs="Times New Roman"/>
          <w:shd w:val="clear" w:color="auto" w:fill="FFFFFF"/>
        </w:rPr>
        <w:t xml:space="preserve">). Chi-square analysis demonstrated no statistically significant association between age group and </w:t>
      </w:r>
      <w:r w:rsidRPr="00222381">
        <w:rPr>
          <w:rFonts w:ascii="Times New Roman" w:hAnsi="Times New Roman" w:cs="Times New Roman"/>
          <w:i/>
          <w:iCs/>
          <w:shd w:val="clear" w:color="auto" w:fill="FFFFFF"/>
        </w:rPr>
        <w:t>H. pylori</w:t>
      </w:r>
      <w:r w:rsidRPr="00222381">
        <w:rPr>
          <w:rFonts w:ascii="Times New Roman" w:hAnsi="Times New Roman" w:cs="Times New Roman"/>
          <w:shd w:val="clear" w:color="auto" w:fill="FFFFFF"/>
        </w:rPr>
        <w:t xml:space="preserve"> infection (χ² = 0.58, </w:t>
      </w:r>
      <w:proofErr w:type="spellStart"/>
      <w:r w:rsidRPr="00222381">
        <w:rPr>
          <w:rFonts w:ascii="Times New Roman" w:hAnsi="Times New Roman" w:cs="Times New Roman"/>
          <w:shd w:val="clear" w:color="auto" w:fill="FFFFFF"/>
        </w:rPr>
        <w:t>df</w:t>
      </w:r>
      <w:proofErr w:type="spellEnd"/>
      <w:r w:rsidRPr="00222381">
        <w:rPr>
          <w:rFonts w:ascii="Times New Roman" w:hAnsi="Times New Roman" w:cs="Times New Roman"/>
          <w:shd w:val="clear" w:color="auto" w:fill="FFFFFF"/>
        </w:rPr>
        <w:t xml:space="preserve"> = 1, p = 0.45), despite a higher proportion of positive cases observed in the younger age group.</w:t>
      </w:r>
    </w:p>
    <w:p w14:paraId="1876693B" w14:textId="77777777" w:rsidR="005D159A" w:rsidRPr="000546EC" w:rsidRDefault="005D159A" w:rsidP="000546EC">
      <w:pPr>
        <w:spacing w:after="0" w:line="240" w:lineRule="auto"/>
        <w:jc w:val="both"/>
        <w:rPr>
          <w:rFonts w:ascii="Times New Roman" w:hAnsi="Times New Roman" w:cs="Times New Roman"/>
          <w:shd w:val="clear" w:color="auto" w:fill="FFFFFF"/>
        </w:rPr>
      </w:pPr>
    </w:p>
    <w:p w14:paraId="3B223913" w14:textId="152AD105" w:rsidR="005D159A" w:rsidRPr="000546EC" w:rsidRDefault="005D159A" w:rsidP="000546EC">
      <w:pPr>
        <w:spacing w:after="0" w:line="240" w:lineRule="auto"/>
        <w:ind w:left="720" w:hanging="720"/>
        <w:jc w:val="both"/>
        <w:rPr>
          <w:rFonts w:ascii="Times New Roman" w:hAnsi="Times New Roman" w:cs="Times New Roman"/>
          <w:b/>
          <w:bCs/>
          <w:shd w:val="clear" w:color="auto" w:fill="FFFFFF"/>
        </w:rPr>
      </w:pPr>
      <w:r w:rsidRPr="000546EC">
        <w:rPr>
          <w:rFonts w:ascii="Times New Roman" w:hAnsi="Times New Roman" w:cs="Times New Roman"/>
          <w:b/>
          <w:bCs/>
          <w:shd w:val="clear" w:color="auto" w:fill="FFFFFF"/>
        </w:rPr>
        <w:t>Table 4: Age-Based Prevalence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tblGrid>
      <w:tr w:rsidR="000546EC" w:rsidRPr="000546EC" w14:paraId="7A2F58C2" w14:textId="77777777" w:rsidTr="00A61762">
        <w:tc>
          <w:tcPr>
            <w:tcW w:w="1596" w:type="dxa"/>
            <w:tcBorders>
              <w:top w:val="single" w:sz="4" w:space="0" w:color="auto"/>
            </w:tcBorders>
          </w:tcPr>
          <w:p w14:paraId="67E684B9" w14:textId="77777777" w:rsidR="005D159A" w:rsidRPr="000546EC" w:rsidRDefault="005D159A"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Age (Years)</w:t>
            </w:r>
          </w:p>
        </w:tc>
        <w:tc>
          <w:tcPr>
            <w:tcW w:w="1596" w:type="dxa"/>
            <w:tcBorders>
              <w:top w:val="single" w:sz="4" w:space="0" w:color="auto"/>
            </w:tcBorders>
          </w:tcPr>
          <w:p w14:paraId="117EA2EC" w14:textId="77777777" w:rsidR="005D159A" w:rsidRPr="000546EC" w:rsidRDefault="005D159A"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Number Examined</w:t>
            </w:r>
          </w:p>
        </w:tc>
        <w:tc>
          <w:tcPr>
            <w:tcW w:w="1596" w:type="dxa"/>
            <w:tcBorders>
              <w:top w:val="single" w:sz="4" w:space="0" w:color="auto"/>
            </w:tcBorders>
          </w:tcPr>
          <w:p w14:paraId="423CF8EC" w14:textId="77777777" w:rsidR="005D159A" w:rsidRPr="000546EC" w:rsidRDefault="005D159A"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Number Positive (%)</w:t>
            </w:r>
          </w:p>
        </w:tc>
        <w:tc>
          <w:tcPr>
            <w:tcW w:w="1596" w:type="dxa"/>
            <w:tcBorders>
              <w:top w:val="single" w:sz="4" w:space="0" w:color="auto"/>
            </w:tcBorders>
          </w:tcPr>
          <w:p w14:paraId="382650A0" w14:textId="77777777" w:rsidR="005D159A" w:rsidRPr="000546EC" w:rsidRDefault="005D159A"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P-Value</w:t>
            </w:r>
          </w:p>
        </w:tc>
        <w:tc>
          <w:tcPr>
            <w:tcW w:w="1596" w:type="dxa"/>
            <w:tcBorders>
              <w:top w:val="single" w:sz="4" w:space="0" w:color="auto"/>
            </w:tcBorders>
          </w:tcPr>
          <w:p w14:paraId="30EFCA44" w14:textId="77777777" w:rsidR="005D159A" w:rsidRPr="000546EC" w:rsidRDefault="005D159A" w:rsidP="000546EC">
            <w:pPr>
              <w:jc w:val="both"/>
              <w:rPr>
                <w:rFonts w:ascii="Times New Roman" w:hAnsi="Times New Roman" w:cs="Times New Roman"/>
                <w:b/>
                <w:bCs/>
                <w:sz w:val="24"/>
                <w:szCs w:val="24"/>
              </w:rPr>
            </w:pPr>
            <w:r w:rsidRPr="000546EC">
              <w:rPr>
                <w:rFonts w:ascii="Times New Roman" w:hAnsi="Times New Roman" w:cs="Times New Roman"/>
                <w:b/>
                <w:bCs/>
                <w:sz w:val="24"/>
                <w:szCs w:val="24"/>
              </w:rPr>
              <w:t>Remark</w:t>
            </w:r>
          </w:p>
        </w:tc>
      </w:tr>
      <w:tr w:rsidR="000546EC" w:rsidRPr="000546EC" w14:paraId="6AB817C7" w14:textId="77777777" w:rsidTr="00A61762">
        <w:tc>
          <w:tcPr>
            <w:tcW w:w="1596" w:type="dxa"/>
            <w:tcBorders>
              <w:top w:val="single" w:sz="4" w:space="0" w:color="auto"/>
            </w:tcBorders>
          </w:tcPr>
          <w:p w14:paraId="056D0450"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16-20</w:t>
            </w:r>
          </w:p>
        </w:tc>
        <w:tc>
          <w:tcPr>
            <w:tcW w:w="1596" w:type="dxa"/>
            <w:tcBorders>
              <w:top w:val="single" w:sz="4" w:space="0" w:color="auto"/>
            </w:tcBorders>
          </w:tcPr>
          <w:p w14:paraId="424B3207"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84</w:t>
            </w:r>
          </w:p>
        </w:tc>
        <w:tc>
          <w:tcPr>
            <w:tcW w:w="1596" w:type="dxa"/>
            <w:tcBorders>
              <w:top w:val="single" w:sz="4" w:space="0" w:color="auto"/>
            </w:tcBorders>
          </w:tcPr>
          <w:p w14:paraId="59CAFC86"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47 (55.95)</w:t>
            </w:r>
          </w:p>
        </w:tc>
        <w:tc>
          <w:tcPr>
            <w:tcW w:w="1596" w:type="dxa"/>
            <w:tcBorders>
              <w:top w:val="single" w:sz="4" w:space="0" w:color="auto"/>
            </w:tcBorders>
          </w:tcPr>
          <w:p w14:paraId="5B46938B"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0.45</w:t>
            </w:r>
          </w:p>
        </w:tc>
        <w:tc>
          <w:tcPr>
            <w:tcW w:w="1596" w:type="dxa"/>
            <w:tcBorders>
              <w:top w:val="single" w:sz="4" w:space="0" w:color="auto"/>
            </w:tcBorders>
          </w:tcPr>
          <w:p w14:paraId="3D9726CB"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Not Significant</w:t>
            </w:r>
          </w:p>
        </w:tc>
      </w:tr>
      <w:tr w:rsidR="000546EC" w:rsidRPr="000546EC" w14:paraId="492EDA8B" w14:textId="77777777" w:rsidTr="00A61762">
        <w:tc>
          <w:tcPr>
            <w:tcW w:w="1596" w:type="dxa"/>
          </w:tcPr>
          <w:p w14:paraId="33752BEC"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21-25</w:t>
            </w:r>
          </w:p>
        </w:tc>
        <w:tc>
          <w:tcPr>
            <w:tcW w:w="1596" w:type="dxa"/>
          </w:tcPr>
          <w:p w14:paraId="3122D587"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16</w:t>
            </w:r>
          </w:p>
        </w:tc>
        <w:tc>
          <w:tcPr>
            <w:tcW w:w="1596" w:type="dxa"/>
          </w:tcPr>
          <w:p w14:paraId="206658E3"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7 (43.75)</w:t>
            </w:r>
          </w:p>
        </w:tc>
        <w:tc>
          <w:tcPr>
            <w:tcW w:w="1596" w:type="dxa"/>
          </w:tcPr>
          <w:p w14:paraId="116CC2D3" w14:textId="77777777" w:rsidR="005D159A" w:rsidRPr="000546EC" w:rsidRDefault="005D159A" w:rsidP="000546EC">
            <w:pPr>
              <w:jc w:val="both"/>
              <w:rPr>
                <w:rFonts w:ascii="Times New Roman" w:hAnsi="Times New Roman" w:cs="Times New Roman"/>
                <w:sz w:val="24"/>
                <w:szCs w:val="24"/>
              </w:rPr>
            </w:pPr>
          </w:p>
        </w:tc>
        <w:tc>
          <w:tcPr>
            <w:tcW w:w="1596" w:type="dxa"/>
          </w:tcPr>
          <w:p w14:paraId="147AE1A3" w14:textId="77777777" w:rsidR="005D159A" w:rsidRPr="000546EC" w:rsidRDefault="005D159A" w:rsidP="000546EC">
            <w:pPr>
              <w:jc w:val="both"/>
              <w:rPr>
                <w:rFonts w:ascii="Times New Roman" w:hAnsi="Times New Roman" w:cs="Times New Roman"/>
                <w:sz w:val="24"/>
                <w:szCs w:val="24"/>
              </w:rPr>
            </w:pPr>
          </w:p>
        </w:tc>
      </w:tr>
      <w:tr w:rsidR="000546EC" w:rsidRPr="000546EC" w14:paraId="6D13F80B" w14:textId="77777777" w:rsidTr="00A61762">
        <w:tc>
          <w:tcPr>
            <w:tcW w:w="1596" w:type="dxa"/>
            <w:tcBorders>
              <w:bottom w:val="single" w:sz="4" w:space="0" w:color="auto"/>
            </w:tcBorders>
          </w:tcPr>
          <w:p w14:paraId="2582E668"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Total</w:t>
            </w:r>
          </w:p>
        </w:tc>
        <w:tc>
          <w:tcPr>
            <w:tcW w:w="1596" w:type="dxa"/>
            <w:tcBorders>
              <w:bottom w:val="single" w:sz="4" w:space="0" w:color="auto"/>
            </w:tcBorders>
          </w:tcPr>
          <w:p w14:paraId="29CDEA71"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100</w:t>
            </w:r>
          </w:p>
        </w:tc>
        <w:tc>
          <w:tcPr>
            <w:tcW w:w="1596" w:type="dxa"/>
            <w:tcBorders>
              <w:bottom w:val="single" w:sz="4" w:space="0" w:color="auto"/>
            </w:tcBorders>
          </w:tcPr>
          <w:p w14:paraId="5BA7AF8A" w14:textId="77777777" w:rsidR="005D159A" w:rsidRPr="000546EC" w:rsidRDefault="005D159A" w:rsidP="000546EC">
            <w:pPr>
              <w:jc w:val="both"/>
              <w:rPr>
                <w:rFonts w:ascii="Times New Roman" w:hAnsi="Times New Roman" w:cs="Times New Roman"/>
                <w:sz w:val="24"/>
                <w:szCs w:val="24"/>
              </w:rPr>
            </w:pPr>
            <w:r w:rsidRPr="000546EC">
              <w:rPr>
                <w:rFonts w:ascii="Times New Roman" w:hAnsi="Times New Roman" w:cs="Times New Roman"/>
                <w:sz w:val="24"/>
                <w:szCs w:val="24"/>
              </w:rPr>
              <w:t>54</w:t>
            </w:r>
          </w:p>
        </w:tc>
        <w:tc>
          <w:tcPr>
            <w:tcW w:w="1596" w:type="dxa"/>
            <w:tcBorders>
              <w:bottom w:val="single" w:sz="4" w:space="0" w:color="auto"/>
            </w:tcBorders>
          </w:tcPr>
          <w:p w14:paraId="4B062DB4" w14:textId="77777777" w:rsidR="005D159A" w:rsidRPr="000546EC" w:rsidRDefault="005D159A" w:rsidP="000546EC">
            <w:pPr>
              <w:jc w:val="both"/>
              <w:rPr>
                <w:rFonts w:ascii="Times New Roman" w:hAnsi="Times New Roman" w:cs="Times New Roman"/>
                <w:sz w:val="24"/>
                <w:szCs w:val="24"/>
              </w:rPr>
            </w:pPr>
          </w:p>
        </w:tc>
        <w:tc>
          <w:tcPr>
            <w:tcW w:w="1596" w:type="dxa"/>
            <w:tcBorders>
              <w:bottom w:val="single" w:sz="4" w:space="0" w:color="auto"/>
            </w:tcBorders>
          </w:tcPr>
          <w:p w14:paraId="471433CC" w14:textId="77777777" w:rsidR="005D159A" w:rsidRPr="000546EC" w:rsidRDefault="005D159A" w:rsidP="000546EC">
            <w:pPr>
              <w:jc w:val="both"/>
              <w:rPr>
                <w:rFonts w:ascii="Times New Roman" w:hAnsi="Times New Roman" w:cs="Times New Roman"/>
                <w:sz w:val="24"/>
                <w:szCs w:val="24"/>
              </w:rPr>
            </w:pPr>
          </w:p>
        </w:tc>
      </w:tr>
    </w:tbl>
    <w:p w14:paraId="7D45554E" w14:textId="77777777" w:rsidR="005D159A" w:rsidRPr="00222381" w:rsidRDefault="005D159A" w:rsidP="000546EC">
      <w:pPr>
        <w:spacing w:after="0" w:line="240" w:lineRule="auto"/>
        <w:jc w:val="both"/>
        <w:rPr>
          <w:rFonts w:ascii="Times New Roman" w:hAnsi="Times New Roman" w:cs="Times New Roman"/>
          <w:shd w:val="clear" w:color="auto" w:fill="FFFFFF"/>
        </w:rPr>
      </w:pPr>
    </w:p>
    <w:p w14:paraId="4AE29333" w14:textId="77777777" w:rsidR="001B3605" w:rsidRPr="000546EC" w:rsidRDefault="001B3605" w:rsidP="000546EC">
      <w:pPr>
        <w:spacing w:after="0" w:line="240" w:lineRule="auto"/>
        <w:jc w:val="both"/>
        <w:rPr>
          <w:rFonts w:ascii="Times New Roman" w:hAnsi="Times New Roman" w:cs="Times New Roman"/>
          <w:b/>
          <w:bCs/>
          <w:shd w:val="clear" w:color="auto" w:fill="FFFFFF"/>
        </w:rPr>
      </w:pPr>
    </w:p>
    <w:p w14:paraId="622C937C" w14:textId="77777777" w:rsidR="000D749A" w:rsidRPr="000546EC" w:rsidRDefault="000D749A" w:rsidP="000546EC">
      <w:pPr>
        <w:spacing w:after="0" w:line="240" w:lineRule="auto"/>
        <w:jc w:val="both"/>
        <w:rPr>
          <w:rFonts w:ascii="Times New Roman" w:hAnsi="Times New Roman" w:cs="Times New Roman"/>
          <w:shd w:val="clear" w:color="auto" w:fill="FFFFFF"/>
        </w:rPr>
      </w:pPr>
      <w:r w:rsidRPr="000546EC">
        <w:rPr>
          <w:rFonts w:ascii="Times New Roman" w:hAnsi="Times New Roman" w:cs="Times New Roman"/>
          <w:noProof/>
        </w:rPr>
        <w:drawing>
          <wp:inline distT="0" distB="0" distL="0" distR="0" wp14:anchorId="1281EDBA" wp14:editId="1D89C659">
            <wp:extent cx="4572000" cy="362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_based_prevalence.png"/>
                    <pic:cNvPicPr/>
                  </pic:nvPicPr>
                  <pic:blipFill>
                    <a:blip r:embed="rId9"/>
                    <a:stretch>
                      <a:fillRect/>
                    </a:stretch>
                  </pic:blipFill>
                  <pic:spPr>
                    <a:xfrm>
                      <a:off x="0" y="0"/>
                      <a:ext cx="4572000" cy="3628275"/>
                    </a:xfrm>
                    <a:prstGeom prst="rect">
                      <a:avLst/>
                    </a:prstGeom>
                  </pic:spPr>
                </pic:pic>
              </a:graphicData>
            </a:graphic>
          </wp:inline>
        </w:drawing>
      </w:r>
    </w:p>
    <w:p w14:paraId="7E093535" w14:textId="77777777" w:rsidR="0030409C" w:rsidRPr="000546EC" w:rsidRDefault="0030409C" w:rsidP="000546EC">
      <w:pPr>
        <w:jc w:val="both"/>
        <w:rPr>
          <w:rFonts w:ascii="Times New Roman" w:hAnsi="Times New Roman" w:cs="Times New Roman"/>
        </w:rPr>
      </w:pPr>
      <w:r w:rsidRPr="000546EC">
        <w:rPr>
          <w:rFonts w:ascii="Times New Roman" w:hAnsi="Times New Roman" w:cs="Times New Roman"/>
        </w:rPr>
        <w:t>Figure 2: Age-based seroprevalence of Helicobacter pylori infection among Rivers State University students. Although a higher prevalence was observed among students aged 16–20 years, the difference was not statistically significant (χ² = 0.58, p = 0.45).</w:t>
      </w:r>
    </w:p>
    <w:p w14:paraId="6D1948C2" w14:textId="77777777" w:rsidR="0030409C" w:rsidRPr="000546EC" w:rsidRDefault="0030409C" w:rsidP="000546EC">
      <w:pPr>
        <w:spacing w:after="0" w:line="240" w:lineRule="auto"/>
        <w:jc w:val="both"/>
        <w:rPr>
          <w:rFonts w:ascii="Times New Roman" w:hAnsi="Times New Roman" w:cs="Times New Roman"/>
          <w:shd w:val="clear" w:color="auto" w:fill="FFFFFF"/>
        </w:rPr>
      </w:pPr>
    </w:p>
    <w:p w14:paraId="096E271A" w14:textId="3553929E" w:rsidR="00B30D4B" w:rsidRPr="000546EC" w:rsidRDefault="00222381" w:rsidP="000546EC">
      <w:pPr>
        <w:spacing w:after="0" w:line="240" w:lineRule="auto"/>
        <w:jc w:val="both"/>
        <w:rPr>
          <w:rFonts w:ascii="Times New Roman" w:hAnsi="Times New Roman" w:cs="Times New Roman"/>
          <w:shd w:val="clear" w:color="auto" w:fill="FFFFFF"/>
        </w:rPr>
      </w:pPr>
      <w:r w:rsidRPr="00222381">
        <w:rPr>
          <w:rFonts w:ascii="Times New Roman" w:hAnsi="Times New Roman" w:cs="Times New Roman"/>
          <w:shd w:val="clear" w:color="auto" w:fill="FFFFFF"/>
        </w:rPr>
        <w:t xml:space="preserve">Overall, chi-square analyses revealed no significant associations between </w:t>
      </w:r>
      <w:r w:rsidRPr="00222381">
        <w:rPr>
          <w:rFonts w:ascii="Times New Roman" w:hAnsi="Times New Roman" w:cs="Times New Roman"/>
          <w:i/>
          <w:iCs/>
          <w:shd w:val="clear" w:color="auto" w:fill="FFFFFF"/>
        </w:rPr>
        <w:t>H. pylori</w:t>
      </w:r>
      <w:r w:rsidRPr="00222381">
        <w:rPr>
          <w:rFonts w:ascii="Times New Roman" w:hAnsi="Times New Roman" w:cs="Times New Roman"/>
          <w:shd w:val="clear" w:color="auto" w:fill="FFFFFF"/>
        </w:rPr>
        <w:t xml:space="preserve"> seropositivity and gender or age among the study participants (p &gt; 0.05). The infection was widely distributed across demographic categories, indicating a relatively uniform exposure within the study population.</w:t>
      </w:r>
    </w:p>
    <w:p w14:paraId="7ED28280" w14:textId="77777777" w:rsidR="00101DC8" w:rsidRPr="000546EC" w:rsidRDefault="00101DC8" w:rsidP="000546EC">
      <w:pPr>
        <w:spacing w:after="0" w:line="240" w:lineRule="auto"/>
        <w:jc w:val="both"/>
        <w:rPr>
          <w:rFonts w:ascii="Times New Roman" w:hAnsi="Times New Roman" w:cs="Times New Roman"/>
          <w:shd w:val="clear" w:color="auto" w:fill="FFFFFF"/>
        </w:rPr>
      </w:pPr>
    </w:p>
    <w:p w14:paraId="20A8CD8A" w14:textId="77777777" w:rsidR="00CE5BC4" w:rsidRPr="00CE5BC4" w:rsidRDefault="00CE5BC4" w:rsidP="000546EC">
      <w:pPr>
        <w:spacing w:after="0" w:line="240" w:lineRule="auto"/>
        <w:jc w:val="both"/>
        <w:rPr>
          <w:rFonts w:ascii="Times New Roman" w:hAnsi="Times New Roman" w:cs="Times New Roman"/>
          <w:b/>
          <w:bCs/>
          <w:shd w:val="clear" w:color="auto" w:fill="FFFFFF"/>
        </w:rPr>
      </w:pPr>
      <w:r w:rsidRPr="00CE5BC4">
        <w:rPr>
          <w:rFonts w:ascii="Times New Roman" w:hAnsi="Times New Roman" w:cs="Times New Roman"/>
          <w:b/>
          <w:bCs/>
          <w:shd w:val="clear" w:color="auto" w:fill="FFFFFF"/>
        </w:rPr>
        <w:t>DISCUSSION</w:t>
      </w:r>
    </w:p>
    <w:p w14:paraId="21F0FFD2" w14:textId="2D7B9788" w:rsidR="00CE5BC4" w:rsidRPr="00CE5BC4" w:rsidRDefault="00CE5BC4" w:rsidP="000546EC">
      <w:pPr>
        <w:spacing w:after="0" w:line="240" w:lineRule="auto"/>
        <w:jc w:val="both"/>
        <w:rPr>
          <w:rFonts w:ascii="Times New Roman" w:hAnsi="Times New Roman" w:cs="Times New Roman"/>
          <w:shd w:val="clear" w:color="auto" w:fill="FFFFFF"/>
        </w:rPr>
      </w:pPr>
      <w:r w:rsidRPr="00CE5BC4">
        <w:rPr>
          <w:rFonts w:ascii="Times New Roman" w:hAnsi="Times New Roman" w:cs="Times New Roman"/>
          <w:i/>
          <w:iCs/>
          <w:shd w:val="clear" w:color="auto" w:fill="FFFFFF"/>
        </w:rPr>
        <w:t>Helicobacter pylori</w:t>
      </w:r>
      <w:r w:rsidRPr="00CE5BC4">
        <w:rPr>
          <w:rFonts w:ascii="Times New Roman" w:hAnsi="Times New Roman" w:cs="Times New Roman"/>
          <w:shd w:val="clear" w:color="auto" w:fill="FFFFFF"/>
        </w:rPr>
        <w:t xml:space="preserve"> is a highly prevalent gastrointestinal pathogen, estimated to colonize nearly two-thirds of the global population, with disproportionately higher burdens in developing regions. This study assessed the seroprevalence of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infection among undergraduate students of Rivers State University, Port Harcourt, and revealed that 54% of the sampled population was seropositive. This finding indicates a substantial level of exposure to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within this apparently healthy young adult population and underscores the continued public health relevance of the organism in Nigeria.</w:t>
      </w:r>
      <w:r w:rsidR="009C258B">
        <w:rPr>
          <w:rFonts w:ascii="Times New Roman" w:hAnsi="Times New Roman" w:cs="Times New Roman"/>
          <w:shd w:val="clear" w:color="auto" w:fill="FFFFFF"/>
        </w:rPr>
        <w:t xml:space="preserve"> </w:t>
      </w:r>
      <w:r w:rsidRPr="00CE5BC4">
        <w:rPr>
          <w:rFonts w:ascii="Times New Roman" w:hAnsi="Times New Roman" w:cs="Times New Roman"/>
          <w:shd w:val="clear" w:color="auto" w:fill="FFFFFF"/>
        </w:rPr>
        <w:t>When compared with recent local and regional studies, the seroprevalence observed in the present study is notably higher than the 34.6% reported among urban community residents in Port Harcourt (</w:t>
      </w:r>
      <w:proofErr w:type="spellStart"/>
      <w:r w:rsidRPr="00CE5BC4">
        <w:rPr>
          <w:rFonts w:ascii="Times New Roman" w:hAnsi="Times New Roman" w:cs="Times New Roman"/>
          <w:shd w:val="clear" w:color="auto" w:fill="FFFFFF"/>
        </w:rPr>
        <w:t>Ndukwu</w:t>
      </w:r>
      <w:proofErr w:type="spellEnd"/>
      <w:r w:rsidRPr="00CE5BC4">
        <w:rPr>
          <w:rFonts w:ascii="Times New Roman" w:hAnsi="Times New Roman" w:cs="Times New Roman"/>
          <w:shd w:val="clear" w:color="auto" w:fill="FFFFFF"/>
        </w:rPr>
        <w:t xml:space="preserve"> et al., 2024) and the 26.0% documented in a semi-urban community survey (Ndubuisi et al., 2025). It also exceeds the 32.4% prevalence recorded in a retrospective study of symptomatic adults in Southwestern Nigeria (Oluwole et al., 2024). These differences may be partly attributable to variations in study populations, diagnostic approaches, living conditions, and environmental exposures. Unlike community-based surveys </w:t>
      </w:r>
      <w:r w:rsidRPr="00CE5BC4">
        <w:rPr>
          <w:rFonts w:ascii="Times New Roman" w:hAnsi="Times New Roman" w:cs="Times New Roman"/>
          <w:shd w:val="clear" w:color="auto" w:fill="FFFFFF"/>
        </w:rPr>
        <w:lastRenderedPageBreak/>
        <w:t xml:space="preserve">that include a broad age range and household-level sanitation differences, university students often live in densely populated hostels, share sanitary facilities, and engage in close social interactions, all of which may increase the risk of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transmission. Additionally, serological assays detect previous exposure rather than active infection, which may contribute to higher prevalence estimates when compared with diagnostic methods such as stool antigen testing or endoscopy.</w:t>
      </w:r>
    </w:p>
    <w:p w14:paraId="31010D27" w14:textId="2436F260" w:rsidR="00CE5BC4" w:rsidRPr="00CE5BC4" w:rsidRDefault="00CE5BC4" w:rsidP="000546EC">
      <w:pPr>
        <w:spacing w:after="0" w:line="240" w:lineRule="auto"/>
        <w:jc w:val="both"/>
        <w:rPr>
          <w:rFonts w:ascii="Times New Roman" w:hAnsi="Times New Roman" w:cs="Times New Roman"/>
          <w:shd w:val="clear" w:color="auto" w:fill="FFFFFF"/>
        </w:rPr>
      </w:pPr>
      <w:r w:rsidRPr="00CE5BC4">
        <w:rPr>
          <w:rFonts w:ascii="Times New Roman" w:hAnsi="Times New Roman" w:cs="Times New Roman"/>
          <w:shd w:val="clear" w:color="auto" w:fill="FFFFFF"/>
        </w:rPr>
        <w:t xml:space="preserve">Although the prevalence in this study was high, it remained slightly lower than the 58.9% reported in a five-year seroprevalence trend analysis conducted in Gombe State between 2015 and 2019 (Ibrahim et al., 2022). The higher prevalence reported in that study may reflect the inclusion of symptomatic individuals or a mixed population with broader age distribution and different socioeconomic characteristics. Nonetheless, the proximity of these prevalence estimates highlights the persistent endemicity of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across diverse Nigerian populations. The high seropositivity among asymptomatic students in the present study suggests a considerable reservoir of silent or subclinical infection, which may predispose individuals to future gastrointestinal complications such as peptic ulcer disease or gastric malignancy if left undetected.</w:t>
      </w:r>
      <w:r w:rsidR="009C258B">
        <w:rPr>
          <w:rFonts w:ascii="Times New Roman" w:hAnsi="Times New Roman" w:cs="Times New Roman"/>
          <w:shd w:val="clear" w:color="auto" w:fill="FFFFFF"/>
        </w:rPr>
        <w:t xml:space="preserve"> </w:t>
      </w:r>
      <w:r w:rsidRPr="00CE5BC4">
        <w:rPr>
          <w:rFonts w:ascii="Times New Roman" w:hAnsi="Times New Roman" w:cs="Times New Roman"/>
          <w:shd w:val="clear" w:color="auto" w:fill="FFFFFF"/>
        </w:rPr>
        <w:t xml:space="preserve">Age-related analysis revealed no statistically significant association between age and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infection (p &gt; 0.05); however, the highest prevalence was observed among students aged 16–20 years. This pattern contrasts with findings from several epidemiological studies that report increasing prevalence with advancing age, often attributed to cumulative lifetime exposure. In the context of the present study, the elevated prevalence among younger students may be explained by recent exposure to shared living environments, particularly during the early years of university life when students are newly introduced to communal hostels. Overcrowding, inadequate water supply, poor waste disposal, and inconsistent hygiene practices commonly associated with student residences may facilitate both fecal–oral and oral–oral transmission of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w:t>
      </w:r>
      <w:r w:rsidR="009C258B">
        <w:rPr>
          <w:rFonts w:ascii="Times New Roman" w:hAnsi="Times New Roman" w:cs="Times New Roman"/>
          <w:shd w:val="clear" w:color="auto" w:fill="FFFFFF"/>
        </w:rPr>
        <w:t xml:space="preserve"> </w:t>
      </w:r>
      <w:r w:rsidRPr="00CE5BC4">
        <w:rPr>
          <w:rFonts w:ascii="Times New Roman" w:hAnsi="Times New Roman" w:cs="Times New Roman"/>
          <w:shd w:val="clear" w:color="auto" w:fill="FFFFFF"/>
        </w:rPr>
        <w:t xml:space="preserve">Furthermore, the lack of a statistically significant association between gender and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infection (p &gt; 0.05), with comparable seroprevalence observed among males and females, suggests that exposure risks are similar across sexes within this population. This finding supports the notion that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transmission is primarily driven by environmental and behavioral factors rather than biological sex. Given that male and female students often share similar accommodation types, dietary habits, and social environments within university settings, the observed gender neutrality in infection rates is not unexpected.</w:t>
      </w:r>
      <w:r w:rsidR="009C258B">
        <w:rPr>
          <w:rFonts w:ascii="Times New Roman" w:hAnsi="Times New Roman" w:cs="Times New Roman"/>
          <w:shd w:val="clear" w:color="auto" w:fill="FFFFFF"/>
        </w:rPr>
        <w:t xml:space="preserve"> </w:t>
      </w:r>
      <w:r w:rsidRPr="00CE5BC4">
        <w:rPr>
          <w:rFonts w:ascii="Times New Roman" w:hAnsi="Times New Roman" w:cs="Times New Roman"/>
          <w:shd w:val="clear" w:color="auto" w:fill="FFFFFF"/>
        </w:rPr>
        <w:t xml:space="preserve">Overall, the findings of this study emphasize the high burden of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 xml:space="preserve"> infection among university students in Port Harcourt and highlight the role of communal living conditions in sustaining transmission. The presence of high seroprevalence among asymptomatic individuals underscores the need for targeted health education, improved sanitation in student hostels, and consideration of routine screening or risk-based surveillance in tertiary institutions. Such measures may contribute to early detection, timely intervention, and long-term reduction of </w:t>
      </w:r>
      <w:r w:rsidRPr="00CE5BC4">
        <w:rPr>
          <w:rFonts w:ascii="Times New Roman" w:hAnsi="Times New Roman" w:cs="Times New Roman"/>
          <w:i/>
          <w:iCs/>
          <w:shd w:val="clear" w:color="auto" w:fill="FFFFFF"/>
        </w:rPr>
        <w:t>H. pylori</w:t>
      </w:r>
      <w:r w:rsidRPr="00CE5BC4">
        <w:rPr>
          <w:rFonts w:ascii="Times New Roman" w:hAnsi="Times New Roman" w:cs="Times New Roman"/>
          <w:shd w:val="clear" w:color="auto" w:fill="FFFFFF"/>
        </w:rPr>
        <w:t>–associated morbidity within this vulnerable population.</w:t>
      </w:r>
    </w:p>
    <w:p w14:paraId="0354BF74" w14:textId="77777777" w:rsidR="00CE5BC4" w:rsidRPr="000546EC" w:rsidRDefault="00CE5BC4" w:rsidP="000546EC">
      <w:pPr>
        <w:spacing w:after="0" w:line="240" w:lineRule="auto"/>
        <w:jc w:val="both"/>
        <w:rPr>
          <w:rFonts w:ascii="Times New Roman" w:hAnsi="Times New Roman" w:cs="Times New Roman"/>
          <w:shd w:val="clear" w:color="auto" w:fill="FFFFFF"/>
        </w:rPr>
      </w:pPr>
    </w:p>
    <w:p w14:paraId="7B970AF9" w14:textId="786414BC" w:rsidR="00E43669" w:rsidRPr="000546EC" w:rsidRDefault="002D3C40" w:rsidP="000546EC">
      <w:pPr>
        <w:spacing w:after="0" w:line="240" w:lineRule="auto"/>
        <w:jc w:val="both"/>
        <w:rPr>
          <w:rFonts w:ascii="Times New Roman" w:hAnsi="Times New Roman" w:cs="Times New Roman"/>
          <w:b/>
          <w:bCs/>
          <w:shd w:val="clear" w:color="auto" w:fill="FFFFFF"/>
        </w:rPr>
      </w:pPr>
      <w:r w:rsidRPr="000546EC">
        <w:rPr>
          <w:rFonts w:ascii="Times New Roman" w:hAnsi="Times New Roman" w:cs="Times New Roman"/>
          <w:b/>
          <w:bCs/>
          <w:shd w:val="clear" w:color="auto" w:fill="FFFFFF"/>
        </w:rPr>
        <w:t>CONCLUSION</w:t>
      </w:r>
    </w:p>
    <w:p w14:paraId="4B8BDDC2" w14:textId="6A3ABB3B" w:rsidR="00E43669" w:rsidRPr="000546EC" w:rsidRDefault="00E43669" w:rsidP="000546EC">
      <w:pPr>
        <w:spacing w:after="0" w:line="240" w:lineRule="auto"/>
        <w:jc w:val="both"/>
        <w:rPr>
          <w:rFonts w:ascii="Times New Roman" w:hAnsi="Times New Roman" w:cs="Times New Roman"/>
          <w:shd w:val="clear" w:color="auto" w:fill="FFFFFF"/>
        </w:rPr>
      </w:pPr>
      <w:r w:rsidRPr="000546EC">
        <w:rPr>
          <w:rFonts w:ascii="Times New Roman" w:hAnsi="Times New Roman" w:cs="Times New Roman"/>
          <w:shd w:val="clear" w:color="auto" w:fill="FFFFFF"/>
        </w:rPr>
        <w:t xml:space="preserve">This study assessed the prevalence of </w:t>
      </w:r>
      <w:r w:rsidRPr="000546EC">
        <w:rPr>
          <w:rFonts w:ascii="Times New Roman" w:hAnsi="Times New Roman" w:cs="Times New Roman"/>
          <w:i/>
          <w:iCs/>
          <w:shd w:val="clear" w:color="auto" w:fill="FFFFFF"/>
        </w:rPr>
        <w:t>H</w:t>
      </w:r>
      <w:r w:rsidR="002D3C40" w:rsidRPr="000546EC">
        <w:rPr>
          <w:rFonts w:ascii="Times New Roman" w:hAnsi="Times New Roman" w:cs="Times New Roman"/>
          <w:i/>
          <w:iCs/>
          <w:shd w:val="clear" w:color="auto" w:fill="FFFFFF"/>
        </w:rPr>
        <w:t>.</w:t>
      </w:r>
      <w:r w:rsidRPr="000546EC">
        <w:rPr>
          <w:rFonts w:ascii="Times New Roman" w:hAnsi="Times New Roman" w:cs="Times New Roman"/>
          <w:i/>
          <w:iCs/>
          <w:shd w:val="clear" w:color="auto" w:fill="FFFFFF"/>
        </w:rPr>
        <w:t xml:space="preserve"> pylori</w:t>
      </w:r>
      <w:r w:rsidRPr="000546EC">
        <w:rPr>
          <w:rFonts w:ascii="Times New Roman" w:hAnsi="Times New Roman" w:cs="Times New Roman"/>
          <w:shd w:val="clear" w:color="auto" w:fill="FFFFFF"/>
        </w:rPr>
        <w:t xml:space="preserve"> infection among students at </w:t>
      </w:r>
      <w:r w:rsidR="00AA368F" w:rsidRPr="000546EC">
        <w:rPr>
          <w:rFonts w:ascii="Times New Roman" w:hAnsi="Times New Roman" w:cs="Times New Roman"/>
          <w:shd w:val="clear" w:color="auto" w:fill="FFFFFF"/>
        </w:rPr>
        <w:t xml:space="preserve">the </w:t>
      </w:r>
      <w:r w:rsidRPr="000546EC">
        <w:rPr>
          <w:rFonts w:ascii="Times New Roman" w:hAnsi="Times New Roman" w:cs="Times New Roman"/>
          <w:shd w:val="clear" w:color="auto" w:fill="FFFFFF"/>
        </w:rPr>
        <w:t xml:space="preserve">Rivers State University. The overall seroprevalence was relatively high, with a slightly higher rate observed among females compared to males, and the highest prevalence noted in students aged 16–20 years. These findings underscore the need for targeted interventions to reduce transmission, particularly in environments characterized by overcrowding and suboptimal hygiene. Mitigation of </w:t>
      </w:r>
      <w:r w:rsidRPr="000546EC">
        <w:rPr>
          <w:rFonts w:ascii="Times New Roman" w:hAnsi="Times New Roman" w:cs="Times New Roman"/>
          <w:i/>
          <w:iCs/>
          <w:shd w:val="clear" w:color="auto" w:fill="FFFFFF"/>
        </w:rPr>
        <w:t>H. pylori</w:t>
      </w:r>
      <w:r w:rsidRPr="000546EC">
        <w:rPr>
          <w:rFonts w:ascii="Times New Roman" w:hAnsi="Times New Roman" w:cs="Times New Roman"/>
          <w:shd w:val="clear" w:color="auto" w:fill="FFFFFF"/>
        </w:rPr>
        <w:t xml:space="preserve"> infection among students requires a multifaceted approach. Education on personal hygiene and preventive measures is critical, particularly for students residing in hostels. Improvements to sanitary infrastructure, coupled with adherence to appropriate handwashing and food-handling </w:t>
      </w:r>
      <w:r w:rsidRPr="000546EC">
        <w:rPr>
          <w:rFonts w:ascii="Times New Roman" w:hAnsi="Times New Roman" w:cs="Times New Roman"/>
          <w:shd w:val="clear" w:color="auto" w:fill="FFFFFF"/>
        </w:rPr>
        <w:lastRenderedPageBreak/>
        <w:t xml:space="preserve">practices, can significantly reduce infection rates. Given that many students purchase meals from vendors, ensuring that food handlers maintain high hygiene standards is essential to prevent transmission via contaminated food or water. Furthermore, public health campaigns should be implemented to raise awareness of </w:t>
      </w:r>
      <w:r w:rsidRPr="000546EC">
        <w:rPr>
          <w:rFonts w:ascii="Times New Roman" w:hAnsi="Times New Roman" w:cs="Times New Roman"/>
          <w:i/>
          <w:iCs/>
          <w:shd w:val="clear" w:color="auto" w:fill="FFFFFF"/>
        </w:rPr>
        <w:t>H. pylori</w:t>
      </w:r>
      <w:r w:rsidRPr="000546EC">
        <w:rPr>
          <w:rFonts w:ascii="Times New Roman" w:hAnsi="Times New Roman" w:cs="Times New Roman"/>
          <w:shd w:val="clear" w:color="auto" w:fill="FFFFFF"/>
        </w:rPr>
        <w:t xml:space="preserve"> infection, its modes of transmission, and strategies for prevention, thereby fostering a more informed student population and contributing to long-term disease control.</w:t>
      </w:r>
    </w:p>
    <w:p w14:paraId="6A2DAFA1" w14:textId="75B7B496" w:rsidR="00C51148" w:rsidRPr="000546EC" w:rsidRDefault="00C51148" w:rsidP="000546EC">
      <w:pPr>
        <w:spacing w:after="0" w:line="240" w:lineRule="auto"/>
        <w:jc w:val="both"/>
        <w:rPr>
          <w:rFonts w:ascii="Times New Roman" w:hAnsi="Times New Roman" w:cs="Times New Roman"/>
          <w:shd w:val="clear" w:color="auto" w:fill="FFFFFF"/>
        </w:rPr>
      </w:pPr>
    </w:p>
    <w:p w14:paraId="7B09F365" w14:textId="77777777" w:rsidR="00C51148" w:rsidRPr="000546EC" w:rsidRDefault="00C51148" w:rsidP="000546EC">
      <w:pPr>
        <w:spacing w:after="200" w:line="276" w:lineRule="auto"/>
        <w:jc w:val="both"/>
        <w:rPr>
          <w:rFonts w:ascii="Times New Roman" w:eastAsia="Calibri" w:hAnsi="Times New Roman" w:cs="Times New Roman"/>
          <w:sz w:val="22"/>
          <w:szCs w:val="22"/>
        </w:rPr>
      </w:pPr>
      <w:r w:rsidRPr="000546EC">
        <w:rPr>
          <w:rFonts w:ascii="Times New Roman" w:eastAsia="Calibri" w:hAnsi="Times New Roman" w:cs="Times New Roman"/>
          <w:sz w:val="22"/>
          <w:szCs w:val="22"/>
        </w:rPr>
        <w:t>Disclaimer (Artificial intelligence)</w:t>
      </w:r>
    </w:p>
    <w:p w14:paraId="5F4BC326" w14:textId="5D3CACD1" w:rsidR="00C51148" w:rsidRPr="000546EC" w:rsidRDefault="00C51148" w:rsidP="000546EC">
      <w:pPr>
        <w:spacing w:after="200" w:line="276" w:lineRule="auto"/>
        <w:jc w:val="both"/>
        <w:rPr>
          <w:rFonts w:ascii="Times New Roman" w:eastAsia="Calibri" w:hAnsi="Times New Roman" w:cs="Times New Roman"/>
          <w:sz w:val="22"/>
          <w:szCs w:val="22"/>
        </w:rPr>
      </w:pPr>
      <w:r w:rsidRPr="000546EC">
        <w:rPr>
          <w:rFonts w:ascii="Times New Roman" w:eastAsia="Calibri" w:hAnsi="Times New Roman" w:cs="Times New Roman"/>
          <w:sz w:val="22"/>
          <w:szCs w:val="22"/>
        </w:rPr>
        <w:t xml:space="preserve">Author(s) hereby </w:t>
      </w:r>
      <w:proofErr w:type="gramStart"/>
      <w:r w:rsidR="002C1113">
        <w:rPr>
          <w:rFonts w:ascii="Times New Roman" w:eastAsia="Calibri" w:hAnsi="Times New Roman" w:cs="Times New Roman"/>
          <w:sz w:val="22"/>
          <w:szCs w:val="22"/>
        </w:rPr>
        <w:t>declare</w:t>
      </w:r>
      <w:proofErr w:type="gramEnd"/>
      <w:r w:rsidRPr="000546EC">
        <w:rPr>
          <w:rFonts w:ascii="Times New Roman" w:eastAsia="Calibri" w:hAnsi="Times New Roman" w:cs="Times New Roman"/>
          <w:sz w:val="22"/>
          <w:szCs w:val="22"/>
        </w:rPr>
        <w:t xml:space="preserve"> that NO generative AI technologies such as Large Language Models (ChatGPT, COPILOT, etc.) and text-to-image generators have been used during the writing or editing of this manuscript. </w:t>
      </w:r>
    </w:p>
    <w:p w14:paraId="75CA7EB0" w14:textId="77777777" w:rsidR="007E11D3" w:rsidRPr="000546EC" w:rsidRDefault="007E11D3" w:rsidP="000546EC">
      <w:pPr>
        <w:spacing w:after="0" w:line="240" w:lineRule="auto"/>
        <w:ind w:left="720" w:hanging="720"/>
        <w:jc w:val="both"/>
        <w:rPr>
          <w:rFonts w:ascii="Times New Roman" w:hAnsi="Times New Roman" w:cs="Times New Roman"/>
          <w:b/>
          <w:bCs/>
          <w:shd w:val="clear" w:color="auto" w:fill="FFFFFF"/>
        </w:rPr>
      </w:pPr>
    </w:p>
    <w:p w14:paraId="2F109BC8" w14:textId="77777777" w:rsidR="009C258B" w:rsidRDefault="00B30D4B" w:rsidP="009C258B">
      <w:pPr>
        <w:spacing w:after="0" w:line="240" w:lineRule="auto"/>
        <w:ind w:left="720" w:hanging="720"/>
        <w:jc w:val="center"/>
        <w:rPr>
          <w:rFonts w:ascii="Times New Roman" w:hAnsi="Times New Roman" w:cs="Times New Roman"/>
          <w:b/>
          <w:bCs/>
          <w:shd w:val="clear" w:color="auto" w:fill="FFFFFF"/>
        </w:rPr>
      </w:pPr>
      <w:r w:rsidRPr="000546EC">
        <w:rPr>
          <w:rFonts w:ascii="Times New Roman" w:hAnsi="Times New Roman" w:cs="Times New Roman"/>
          <w:b/>
          <w:bCs/>
          <w:shd w:val="clear" w:color="auto" w:fill="FFFFFF"/>
        </w:rPr>
        <w:t>REFERENCES</w:t>
      </w:r>
    </w:p>
    <w:p w14:paraId="21A9515F" w14:textId="363F2238" w:rsidR="00564442" w:rsidRPr="001A41ED" w:rsidRDefault="00564442" w:rsidP="001A41ED">
      <w:pPr>
        <w:pStyle w:val="ListParagraph"/>
        <w:numPr>
          <w:ilvl w:val="0"/>
          <w:numId w:val="6"/>
        </w:numPr>
        <w:spacing w:after="0" w:line="240" w:lineRule="auto"/>
        <w:jc w:val="center"/>
        <w:rPr>
          <w:rFonts w:ascii="Times New Roman" w:hAnsi="Times New Roman" w:cs="Times New Roman"/>
          <w:b/>
          <w:bCs/>
          <w:shd w:val="clear" w:color="auto" w:fill="FFFFFF"/>
        </w:rPr>
      </w:pPr>
      <w:r w:rsidRPr="001A41ED">
        <w:rPr>
          <w:rFonts w:ascii="Times New Roman" w:hAnsi="Times New Roman" w:cs="Times New Roman"/>
          <w:shd w:val="clear" w:color="auto" w:fill="FFFFFF"/>
        </w:rPr>
        <w:t xml:space="preserve">Adekunle, T. S., &amp; Abdullahi, M. M. (2010). Helicobacter Pylori Infection Among Dyspeptic Patients </w:t>
      </w:r>
      <w:proofErr w:type="gramStart"/>
      <w:r w:rsidRPr="001A41ED">
        <w:rPr>
          <w:rFonts w:ascii="Times New Roman" w:hAnsi="Times New Roman" w:cs="Times New Roman"/>
          <w:shd w:val="clear" w:color="auto" w:fill="FFFFFF"/>
        </w:rPr>
        <w:t>At</w:t>
      </w:r>
      <w:proofErr w:type="gramEnd"/>
      <w:r w:rsidRPr="001A41ED">
        <w:rPr>
          <w:rFonts w:ascii="Times New Roman" w:hAnsi="Times New Roman" w:cs="Times New Roman"/>
          <w:shd w:val="clear" w:color="auto" w:fill="FFFFFF"/>
        </w:rPr>
        <w:t xml:space="preserve"> </w:t>
      </w:r>
      <w:proofErr w:type="gramStart"/>
      <w:r w:rsidRPr="001A41ED">
        <w:rPr>
          <w:rFonts w:ascii="Times New Roman" w:hAnsi="Times New Roman" w:cs="Times New Roman"/>
          <w:shd w:val="clear" w:color="auto" w:fill="FFFFFF"/>
        </w:rPr>
        <w:t>A</w:t>
      </w:r>
      <w:proofErr w:type="gramEnd"/>
      <w:r w:rsidRPr="001A41ED">
        <w:rPr>
          <w:rFonts w:ascii="Times New Roman" w:hAnsi="Times New Roman" w:cs="Times New Roman"/>
          <w:shd w:val="clear" w:color="auto" w:fill="FFFFFF"/>
        </w:rPr>
        <w:t xml:space="preserve"> Tertiary Hospital </w:t>
      </w:r>
      <w:proofErr w:type="gramStart"/>
      <w:r w:rsidRPr="001A41ED">
        <w:rPr>
          <w:rFonts w:ascii="Times New Roman" w:hAnsi="Times New Roman" w:cs="Times New Roman"/>
          <w:shd w:val="clear" w:color="auto" w:fill="FFFFFF"/>
        </w:rPr>
        <w:t>In</w:t>
      </w:r>
      <w:proofErr w:type="gramEnd"/>
      <w:r w:rsidRPr="001A41ED">
        <w:rPr>
          <w:rFonts w:ascii="Times New Roman" w:hAnsi="Times New Roman" w:cs="Times New Roman"/>
          <w:shd w:val="clear" w:color="auto" w:fill="FFFFFF"/>
        </w:rPr>
        <w:t xml:space="preserve"> Northern Nigeria. Internet Scientific Publications.</w:t>
      </w:r>
    </w:p>
    <w:p w14:paraId="77A36C45" w14:textId="77777777" w:rsidR="00564442" w:rsidRPr="001A41ED" w:rsidRDefault="00564442" w:rsidP="001A41ED">
      <w:pPr>
        <w:pStyle w:val="ListParagraph"/>
        <w:numPr>
          <w:ilvl w:val="0"/>
          <w:numId w:val="6"/>
        </w:numPr>
        <w:spacing w:after="0" w:line="240" w:lineRule="auto"/>
        <w:rPr>
          <w:rFonts w:ascii="Times New Roman" w:hAnsi="Times New Roman" w:cs="Times New Roman"/>
        </w:rPr>
      </w:pPr>
      <w:r w:rsidRPr="001A41ED">
        <w:rPr>
          <w:rFonts w:ascii="Times New Roman" w:hAnsi="Times New Roman" w:cs="Times New Roman"/>
          <w:shd w:val="clear" w:color="auto" w:fill="FFFFFF"/>
        </w:rPr>
        <w:t xml:space="preserve">Amoah, K. A., Mensah, J., &amp; Owusu, E. (2024). Global prevalence of Helicobacter pylori infection: A systematic review and meta-analysis of regional disparities. Systematic Reviews, 13(1), 100. </w:t>
      </w:r>
      <w:hyperlink r:id="rId10" w:history="1">
        <w:r w:rsidRPr="001A41ED">
          <w:rPr>
            <w:rStyle w:val="Hyperlink"/>
            <w:rFonts w:ascii="Times New Roman" w:hAnsi="Times New Roman" w:cs="Times New Roman"/>
            <w:color w:val="auto"/>
            <w:shd w:val="clear" w:color="auto" w:fill="FFFFFF"/>
          </w:rPr>
          <w:t>https://doi.org/10.1186/s13643-024-02490-x</w:t>
        </w:r>
      </w:hyperlink>
    </w:p>
    <w:p w14:paraId="33D88730" w14:textId="77777777" w:rsidR="000546EC" w:rsidRPr="000546EC" w:rsidRDefault="000546EC" w:rsidP="009C258B">
      <w:pPr>
        <w:spacing w:after="0" w:line="240" w:lineRule="auto"/>
        <w:ind w:left="360"/>
        <w:rPr>
          <w:rFonts w:ascii="Times New Roman" w:hAnsi="Times New Roman" w:cs="Times New Roman"/>
        </w:rPr>
      </w:pPr>
    </w:p>
    <w:p w14:paraId="48E47277" w14:textId="76EFBF9A" w:rsidR="00BD744F" w:rsidRPr="001A41ED" w:rsidRDefault="00BD744F"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t xml:space="preserve">Cambridge </w:t>
      </w:r>
      <w:r w:rsidRPr="001A41ED">
        <w:rPr>
          <w:rFonts w:ascii="Times New Roman" w:hAnsi="Times New Roman" w:cs="Times New Roman"/>
          <w:i/>
          <w:iCs/>
          <w:shd w:val="clear" w:color="auto" w:fill="FFFFFF"/>
        </w:rPr>
        <w:t>et al</w:t>
      </w:r>
      <w:r w:rsidRPr="001A41ED">
        <w:rPr>
          <w:rFonts w:ascii="Times New Roman" w:hAnsi="Times New Roman" w:cs="Times New Roman"/>
          <w:shd w:val="clear" w:color="auto" w:fill="FFFFFF"/>
        </w:rPr>
        <w:t xml:space="preserve">., (2023). </w:t>
      </w:r>
      <w:r w:rsidRPr="001A41ED">
        <w:rPr>
          <w:rFonts w:ascii="Times New Roman" w:hAnsi="Times New Roman" w:cs="Times New Roman"/>
          <w:i/>
          <w:iCs/>
          <w:shd w:val="clear" w:color="auto" w:fill="FFFFFF"/>
        </w:rPr>
        <w:t>Helicobacter pylori virulence factors: Subversion of the host immune system and development of various clinical outcomes.</w:t>
      </w:r>
      <w:r w:rsidRPr="001A41ED">
        <w:rPr>
          <w:rFonts w:ascii="Times New Roman" w:hAnsi="Times New Roman" w:cs="Times New Roman"/>
          <w:shd w:val="clear" w:color="auto" w:fill="FFFFFF"/>
        </w:rPr>
        <w:t xml:space="preserve"> </w:t>
      </w:r>
      <w:r w:rsidRPr="001A41ED">
        <w:rPr>
          <w:rFonts w:ascii="Times New Roman" w:hAnsi="Times New Roman" w:cs="Times New Roman"/>
          <w:i/>
          <w:iCs/>
          <w:shd w:val="clear" w:color="auto" w:fill="FFFFFF"/>
        </w:rPr>
        <w:t>Expert Reviews in Molecular Medicine, 25</w:t>
      </w:r>
      <w:r w:rsidRPr="001A41ED">
        <w:rPr>
          <w:rFonts w:ascii="Times New Roman" w:hAnsi="Times New Roman" w:cs="Times New Roman"/>
          <w:shd w:val="clear" w:color="auto" w:fill="FFFFFF"/>
        </w:rPr>
        <w:t xml:space="preserve">, e23. https://doi.org/10.1017/erm.2023.17 </w:t>
      </w:r>
      <w:hyperlink r:id="rId11" w:tgtFrame="_blank" w:history="1">
        <w:r w:rsidRPr="001A41ED">
          <w:rPr>
            <w:rStyle w:val="Hyperlink"/>
            <w:rFonts w:ascii="Times New Roman" w:hAnsi="Times New Roman" w:cs="Times New Roman"/>
            <w:color w:val="auto"/>
            <w:shd w:val="clear" w:color="auto" w:fill="FFFFFF"/>
          </w:rPr>
          <w:t>Cambridge University Press &amp; Assessment</w:t>
        </w:r>
      </w:hyperlink>
    </w:p>
    <w:p w14:paraId="7188A185" w14:textId="77777777" w:rsidR="00564442" w:rsidRPr="00BA1DA3" w:rsidRDefault="00564442" w:rsidP="009C258B">
      <w:pPr>
        <w:spacing w:after="0" w:line="240" w:lineRule="auto"/>
        <w:ind w:left="720" w:hanging="720"/>
        <w:rPr>
          <w:rFonts w:ascii="Times New Roman" w:hAnsi="Times New Roman" w:cs="Times New Roman"/>
          <w:shd w:val="clear" w:color="auto" w:fill="FFFFFF"/>
        </w:rPr>
      </w:pPr>
    </w:p>
    <w:p w14:paraId="20E93C57" w14:textId="77777777" w:rsidR="0075625E" w:rsidRPr="001A41ED" w:rsidRDefault="0075625E"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t>Chen, Y.</w:t>
      </w:r>
      <w:r w:rsidRPr="001A41ED">
        <w:rPr>
          <w:rFonts w:ascii="Times New Roman" w:hAnsi="Times New Roman" w:cs="Times New Roman"/>
          <w:shd w:val="clear" w:color="auto" w:fill="FFFFFF"/>
        </w:rPr>
        <w:noBreakHyphen/>
        <w:t xml:space="preserve">C., </w:t>
      </w:r>
      <w:proofErr w:type="spellStart"/>
      <w:r w:rsidRPr="001A41ED">
        <w:rPr>
          <w:rFonts w:ascii="Times New Roman" w:hAnsi="Times New Roman" w:cs="Times New Roman"/>
          <w:shd w:val="clear" w:color="auto" w:fill="FFFFFF"/>
        </w:rPr>
        <w:t>Malfertheiner</w:t>
      </w:r>
      <w:proofErr w:type="spellEnd"/>
      <w:r w:rsidRPr="001A41ED">
        <w:rPr>
          <w:rFonts w:ascii="Times New Roman" w:hAnsi="Times New Roman" w:cs="Times New Roman"/>
          <w:shd w:val="clear" w:color="auto" w:fill="FFFFFF"/>
        </w:rPr>
        <w:t>, P., Yu, H.</w:t>
      </w:r>
      <w:r w:rsidRPr="001A41ED">
        <w:rPr>
          <w:rFonts w:ascii="Times New Roman" w:hAnsi="Times New Roman" w:cs="Times New Roman"/>
          <w:shd w:val="clear" w:color="auto" w:fill="FFFFFF"/>
        </w:rPr>
        <w:noBreakHyphen/>
        <w:t>T., Kuo, C.</w:t>
      </w:r>
      <w:r w:rsidRPr="001A41ED">
        <w:rPr>
          <w:rFonts w:ascii="Times New Roman" w:hAnsi="Times New Roman" w:cs="Times New Roman"/>
          <w:shd w:val="clear" w:color="auto" w:fill="FFFFFF"/>
        </w:rPr>
        <w:noBreakHyphen/>
        <w:t>L., Chang, Y.</w:t>
      </w:r>
      <w:r w:rsidRPr="001A41ED">
        <w:rPr>
          <w:rFonts w:ascii="Times New Roman" w:hAnsi="Times New Roman" w:cs="Times New Roman"/>
          <w:shd w:val="clear" w:color="auto" w:fill="FFFFFF"/>
        </w:rPr>
        <w:noBreakHyphen/>
        <w:t>Y., Meng, F.</w:t>
      </w:r>
      <w:r w:rsidRPr="001A41ED">
        <w:rPr>
          <w:rFonts w:ascii="Times New Roman" w:hAnsi="Times New Roman" w:cs="Times New Roman"/>
          <w:shd w:val="clear" w:color="auto" w:fill="FFFFFF"/>
        </w:rPr>
        <w:noBreakHyphen/>
        <w:t>T., Wu, Y.</w:t>
      </w:r>
      <w:r w:rsidRPr="001A41ED">
        <w:rPr>
          <w:rFonts w:ascii="Times New Roman" w:hAnsi="Times New Roman" w:cs="Times New Roman"/>
          <w:shd w:val="clear" w:color="auto" w:fill="FFFFFF"/>
        </w:rPr>
        <w:noBreakHyphen/>
        <w:t>X., Hsiao, J.</w:t>
      </w:r>
      <w:r w:rsidRPr="001A41ED">
        <w:rPr>
          <w:rFonts w:ascii="Times New Roman" w:hAnsi="Times New Roman" w:cs="Times New Roman"/>
          <w:shd w:val="clear" w:color="auto" w:fill="FFFFFF"/>
        </w:rPr>
        <w:noBreakHyphen/>
        <w:t>L., Chen, M.</w:t>
      </w:r>
      <w:r w:rsidRPr="001A41ED">
        <w:rPr>
          <w:rFonts w:ascii="Times New Roman" w:hAnsi="Times New Roman" w:cs="Times New Roman"/>
          <w:shd w:val="clear" w:color="auto" w:fill="FFFFFF"/>
        </w:rPr>
        <w:noBreakHyphen/>
        <w:t>J., Lin, K.</w:t>
      </w:r>
      <w:r w:rsidRPr="001A41ED">
        <w:rPr>
          <w:rFonts w:ascii="Times New Roman" w:hAnsi="Times New Roman" w:cs="Times New Roman"/>
          <w:shd w:val="clear" w:color="auto" w:fill="FFFFFF"/>
        </w:rPr>
        <w:noBreakHyphen/>
        <w:t>P., Wu, C.</w:t>
      </w:r>
      <w:r w:rsidRPr="001A41ED">
        <w:rPr>
          <w:rFonts w:ascii="Times New Roman" w:hAnsi="Times New Roman" w:cs="Times New Roman"/>
          <w:shd w:val="clear" w:color="auto" w:fill="FFFFFF"/>
        </w:rPr>
        <w:noBreakHyphen/>
        <w:t>Y., Lin, J.</w:t>
      </w:r>
      <w:r w:rsidRPr="001A41ED">
        <w:rPr>
          <w:rFonts w:ascii="Times New Roman" w:hAnsi="Times New Roman" w:cs="Times New Roman"/>
          <w:shd w:val="clear" w:color="auto" w:fill="FFFFFF"/>
        </w:rPr>
        <w:noBreakHyphen/>
        <w:t>T., O’Morain, C., Megraud, F., Lee, W.</w:t>
      </w:r>
      <w:r w:rsidRPr="001A41ED">
        <w:rPr>
          <w:rFonts w:ascii="Times New Roman" w:hAnsi="Times New Roman" w:cs="Times New Roman"/>
          <w:shd w:val="clear" w:color="auto" w:fill="FFFFFF"/>
        </w:rPr>
        <w:noBreakHyphen/>
        <w:t>C., &amp; El</w:t>
      </w:r>
      <w:r w:rsidRPr="001A41ED">
        <w:rPr>
          <w:rFonts w:ascii="Times New Roman" w:hAnsi="Times New Roman" w:cs="Times New Roman"/>
          <w:shd w:val="clear" w:color="auto" w:fill="FFFFFF"/>
        </w:rPr>
        <w:noBreakHyphen/>
        <w:t xml:space="preserve">Omar, E. M. (2024). </w:t>
      </w:r>
      <w:r w:rsidRPr="001A41ED">
        <w:rPr>
          <w:rFonts w:ascii="Times New Roman" w:hAnsi="Times New Roman" w:cs="Times New Roman"/>
          <w:i/>
          <w:iCs/>
          <w:shd w:val="clear" w:color="auto" w:fill="FFFFFF"/>
        </w:rPr>
        <w:t>Global prevalence of Helicobacter pylori infection and incidence of gastric cancer between 1980 and 2022</w:t>
      </w:r>
      <w:r w:rsidRPr="001A41ED">
        <w:rPr>
          <w:rFonts w:ascii="Times New Roman" w:hAnsi="Times New Roman" w:cs="Times New Roman"/>
          <w:shd w:val="clear" w:color="auto" w:fill="FFFFFF"/>
        </w:rPr>
        <w:t xml:space="preserve">. Gastroenterology, 166(4), 605–619. </w:t>
      </w:r>
      <w:hyperlink r:id="rId12" w:tgtFrame="_blank" w:history="1">
        <w:r w:rsidRPr="001A41ED">
          <w:rPr>
            <w:rStyle w:val="Hyperlink"/>
            <w:rFonts w:ascii="Times New Roman" w:hAnsi="Times New Roman" w:cs="Times New Roman"/>
            <w:color w:val="auto"/>
            <w:shd w:val="clear" w:color="auto" w:fill="FFFFFF"/>
          </w:rPr>
          <w:t>falkfoundation.org</w:t>
        </w:r>
      </w:hyperlink>
    </w:p>
    <w:p w14:paraId="55808816" w14:textId="77777777" w:rsidR="00CE0C23" w:rsidRPr="001A41ED" w:rsidRDefault="00CE0C23"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lang w:val="nl-BE"/>
        </w:rPr>
        <w:t xml:space="preserve">Ekesiobi, S. U., Azike, C. A., Agi, V. N., Nwoka, E. G., Nyenke, C. U., &amp; Wachukwu, C. K. (2022). </w:t>
      </w:r>
      <w:r w:rsidRPr="001A41ED">
        <w:rPr>
          <w:rFonts w:ascii="Times New Roman" w:hAnsi="Times New Roman" w:cs="Times New Roman"/>
          <w:i/>
          <w:iCs/>
          <w:shd w:val="clear" w:color="auto" w:fill="FFFFFF"/>
        </w:rPr>
        <w:t>Evaluation of invasive and non</w:t>
      </w:r>
      <w:r w:rsidRPr="001A41ED">
        <w:rPr>
          <w:rFonts w:ascii="Times New Roman" w:hAnsi="Times New Roman" w:cs="Times New Roman"/>
          <w:i/>
          <w:iCs/>
          <w:shd w:val="clear" w:color="auto" w:fill="FFFFFF"/>
        </w:rPr>
        <w:noBreakHyphen/>
        <w:t>invasive methods of diagnosing Helicobacter pylori infection in Port Harcourt, Nigeria.</w:t>
      </w:r>
      <w:r w:rsidRPr="001A41ED">
        <w:rPr>
          <w:rFonts w:ascii="Times New Roman" w:hAnsi="Times New Roman" w:cs="Times New Roman"/>
          <w:shd w:val="clear" w:color="auto" w:fill="FFFFFF"/>
        </w:rPr>
        <w:t xml:space="preserve"> </w:t>
      </w:r>
      <w:r w:rsidRPr="001A41ED">
        <w:rPr>
          <w:rFonts w:ascii="Times New Roman" w:hAnsi="Times New Roman" w:cs="Times New Roman"/>
          <w:i/>
          <w:iCs/>
          <w:shd w:val="clear" w:color="auto" w:fill="FFFFFF"/>
        </w:rPr>
        <w:t>Journal of Advances in Microbiology, 22</w:t>
      </w:r>
      <w:r w:rsidRPr="001A41ED">
        <w:rPr>
          <w:rFonts w:ascii="Times New Roman" w:hAnsi="Times New Roman" w:cs="Times New Roman"/>
          <w:shd w:val="clear" w:color="auto" w:fill="FFFFFF"/>
        </w:rPr>
        <w:t>(12), 74–82. https://doi.org/10.9734/jamb/2022/v22i12695</w:t>
      </w:r>
    </w:p>
    <w:p w14:paraId="3EF1A5BC" w14:textId="77777777" w:rsidR="00CE0C23" w:rsidRPr="00BA1DA3" w:rsidRDefault="00CE0C23" w:rsidP="009C258B">
      <w:pPr>
        <w:spacing w:after="0" w:line="240" w:lineRule="auto"/>
        <w:ind w:left="720" w:hanging="720"/>
        <w:rPr>
          <w:rFonts w:ascii="Times New Roman" w:hAnsi="Times New Roman" w:cs="Times New Roman"/>
          <w:shd w:val="clear" w:color="auto" w:fill="FFFFFF"/>
        </w:rPr>
      </w:pPr>
    </w:p>
    <w:p w14:paraId="576FECCB" w14:textId="77777777" w:rsidR="00CE0C23" w:rsidRPr="001A41ED" w:rsidRDefault="00CE0C23" w:rsidP="001A41ED">
      <w:pPr>
        <w:pStyle w:val="ListParagraph"/>
        <w:numPr>
          <w:ilvl w:val="0"/>
          <w:numId w:val="6"/>
        </w:numPr>
        <w:spacing w:after="0" w:line="240" w:lineRule="auto"/>
        <w:rPr>
          <w:rFonts w:ascii="Times New Roman" w:hAnsi="Times New Roman" w:cs="Times New Roman"/>
          <w:shd w:val="clear" w:color="auto" w:fill="FFFFFF"/>
        </w:rPr>
      </w:pPr>
      <w:proofErr w:type="spellStart"/>
      <w:r w:rsidRPr="001A41ED">
        <w:rPr>
          <w:rFonts w:ascii="Times New Roman" w:hAnsi="Times New Roman" w:cs="Times New Roman"/>
          <w:shd w:val="clear" w:color="auto" w:fill="FFFFFF"/>
        </w:rPr>
        <w:t>Elbehiry</w:t>
      </w:r>
      <w:proofErr w:type="spellEnd"/>
      <w:r w:rsidRPr="001A41ED">
        <w:rPr>
          <w:rFonts w:ascii="Times New Roman" w:hAnsi="Times New Roman" w:cs="Times New Roman"/>
          <w:shd w:val="clear" w:color="auto" w:fill="FFFFFF"/>
        </w:rPr>
        <w:t xml:space="preserve">, A., Marzouk, E., </w:t>
      </w:r>
      <w:proofErr w:type="spellStart"/>
      <w:r w:rsidRPr="001A41ED">
        <w:rPr>
          <w:rFonts w:ascii="Times New Roman" w:hAnsi="Times New Roman" w:cs="Times New Roman"/>
          <w:shd w:val="clear" w:color="auto" w:fill="FFFFFF"/>
        </w:rPr>
        <w:t>Aldubaib</w:t>
      </w:r>
      <w:proofErr w:type="spellEnd"/>
      <w:r w:rsidRPr="001A41ED">
        <w:rPr>
          <w:rFonts w:ascii="Times New Roman" w:hAnsi="Times New Roman" w:cs="Times New Roman"/>
          <w:shd w:val="clear" w:color="auto" w:fill="FFFFFF"/>
        </w:rPr>
        <w:t xml:space="preserve">, M., </w:t>
      </w:r>
      <w:proofErr w:type="spellStart"/>
      <w:r w:rsidRPr="001A41ED">
        <w:rPr>
          <w:rFonts w:ascii="Times New Roman" w:hAnsi="Times New Roman" w:cs="Times New Roman"/>
          <w:shd w:val="clear" w:color="auto" w:fill="FFFFFF"/>
        </w:rPr>
        <w:t>Abalkhail</w:t>
      </w:r>
      <w:proofErr w:type="spellEnd"/>
      <w:r w:rsidRPr="001A41ED">
        <w:rPr>
          <w:rFonts w:ascii="Times New Roman" w:hAnsi="Times New Roman" w:cs="Times New Roman"/>
          <w:shd w:val="clear" w:color="auto" w:fill="FFFFFF"/>
        </w:rPr>
        <w:t xml:space="preserve">, A., </w:t>
      </w:r>
      <w:proofErr w:type="spellStart"/>
      <w:r w:rsidRPr="001A41ED">
        <w:rPr>
          <w:rFonts w:ascii="Times New Roman" w:hAnsi="Times New Roman" w:cs="Times New Roman"/>
          <w:shd w:val="clear" w:color="auto" w:fill="FFFFFF"/>
        </w:rPr>
        <w:t>Anagreyyah</w:t>
      </w:r>
      <w:proofErr w:type="spellEnd"/>
      <w:r w:rsidRPr="001A41ED">
        <w:rPr>
          <w:rFonts w:ascii="Times New Roman" w:hAnsi="Times New Roman" w:cs="Times New Roman"/>
          <w:shd w:val="clear" w:color="auto" w:fill="FFFFFF"/>
        </w:rPr>
        <w:t xml:space="preserve">, S., </w:t>
      </w:r>
      <w:proofErr w:type="spellStart"/>
      <w:r w:rsidRPr="001A41ED">
        <w:rPr>
          <w:rFonts w:ascii="Times New Roman" w:hAnsi="Times New Roman" w:cs="Times New Roman"/>
          <w:shd w:val="clear" w:color="auto" w:fill="FFFFFF"/>
        </w:rPr>
        <w:t>Anajirih</w:t>
      </w:r>
      <w:proofErr w:type="spellEnd"/>
      <w:r w:rsidRPr="001A41ED">
        <w:rPr>
          <w:rFonts w:ascii="Times New Roman" w:hAnsi="Times New Roman" w:cs="Times New Roman"/>
          <w:shd w:val="clear" w:color="auto" w:fill="FFFFFF"/>
        </w:rPr>
        <w:t xml:space="preserve">, N., </w:t>
      </w:r>
      <w:proofErr w:type="spellStart"/>
      <w:r w:rsidRPr="001A41ED">
        <w:rPr>
          <w:rFonts w:ascii="Times New Roman" w:hAnsi="Times New Roman" w:cs="Times New Roman"/>
          <w:shd w:val="clear" w:color="auto" w:fill="FFFFFF"/>
        </w:rPr>
        <w:t>Almuzaini</w:t>
      </w:r>
      <w:proofErr w:type="spellEnd"/>
      <w:r w:rsidRPr="001A41ED">
        <w:rPr>
          <w:rFonts w:ascii="Times New Roman" w:hAnsi="Times New Roman" w:cs="Times New Roman"/>
          <w:shd w:val="clear" w:color="auto" w:fill="FFFFFF"/>
        </w:rPr>
        <w:t xml:space="preserve">, A. M., </w:t>
      </w:r>
      <w:proofErr w:type="spellStart"/>
      <w:r w:rsidRPr="001A41ED">
        <w:rPr>
          <w:rFonts w:ascii="Times New Roman" w:hAnsi="Times New Roman" w:cs="Times New Roman"/>
          <w:shd w:val="clear" w:color="auto" w:fill="FFFFFF"/>
        </w:rPr>
        <w:t>Rawway</w:t>
      </w:r>
      <w:proofErr w:type="spellEnd"/>
      <w:r w:rsidRPr="001A41ED">
        <w:rPr>
          <w:rFonts w:ascii="Times New Roman" w:hAnsi="Times New Roman" w:cs="Times New Roman"/>
          <w:shd w:val="clear" w:color="auto" w:fill="FFFFFF"/>
        </w:rPr>
        <w:t>, M., Alfadhel, A., Draz, A., &amp; Abu</w:t>
      </w:r>
      <w:r w:rsidRPr="001A41ED">
        <w:rPr>
          <w:rFonts w:ascii="Times New Roman" w:hAnsi="Times New Roman" w:cs="Times New Roman"/>
          <w:shd w:val="clear" w:color="auto" w:fill="FFFFFF"/>
        </w:rPr>
        <w:noBreakHyphen/>
      </w:r>
      <w:proofErr w:type="spellStart"/>
      <w:r w:rsidRPr="001A41ED">
        <w:rPr>
          <w:rFonts w:ascii="Times New Roman" w:hAnsi="Times New Roman" w:cs="Times New Roman"/>
          <w:shd w:val="clear" w:color="auto" w:fill="FFFFFF"/>
        </w:rPr>
        <w:t>Okail</w:t>
      </w:r>
      <w:proofErr w:type="spellEnd"/>
      <w:r w:rsidRPr="001A41ED">
        <w:rPr>
          <w:rFonts w:ascii="Times New Roman" w:hAnsi="Times New Roman" w:cs="Times New Roman"/>
          <w:shd w:val="clear" w:color="auto" w:fill="FFFFFF"/>
        </w:rPr>
        <w:t xml:space="preserve">, A. (2023). </w:t>
      </w:r>
      <w:r w:rsidRPr="001A41ED">
        <w:rPr>
          <w:rFonts w:ascii="Times New Roman" w:hAnsi="Times New Roman" w:cs="Times New Roman"/>
          <w:i/>
          <w:iCs/>
          <w:shd w:val="clear" w:color="auto" w:fill="FFFFFF"/>
        </w:rPr>
        <w:t>Helicobacter pylori</w:t>
      </w:r>
      <w:r w:rsidRPr="001A41ED">
        <w:rPr>
          <w:rFonts w:ascii="Times New Roman" w:hAnsi="Times New Roman" w:cs="Times New Roman"/>
          <w:shd w:val="clear" w:color="auto" w:fill="FFFFFF"/>
        </w:rPr>
        <w:t xml:space="preserve"> infection: Current status and future prospects on diagnostic, therapeutic and control challenges. </w:t>
      </w:r>
      <w:r w:rsidRPr="001A41ED">
        <w:rPr>
          <w:rFonts w:ascii="Times New Roman" w:hAnsi="Times New Roman" w:cs="Times New Roman"/>
          <w:i/>
          <w:iCs/>
          <w:shd w:val="clear" w:color="auto" w:fill="FFFFFF"/>
        </w:rPr>
        <w:t>Antibiotics, 12</w:t>
      </w:r>
      <w:r w:rsidRPr="001A41ED">
        <w:rPr>
          <w:rFonts w:ascii="Times New Roman" w:hAnsi="Times New Roman" w:cs="Times New Roman"/>
          <w:shd w:val="clear" w:color="auto" w:fill="FFFFFF"/>
        </w:rPr>
        <w:t xml:space="preserve">(2), 191. </w:t>
      </w:r>
      <w:hyperlink r:id="rId13" w:history="1">
        <w:r w:rsidRPr="001A41ED">
          <w:rPr>
            <w:rStyle w:val="Hyperlink"/>
            <w:rFonts w:ascii="Times New Roman" w:hAnsi="Times New Roman" w:cs="Times New Roman"/>
            <w:color w:val="auto"/>
            <w:shd w:val="clear" w:color="auto" w:fill="FFFFFF"/>
          </w:rPr>
          <w:t>https://doi.org/10.3390/antibiotics12020191</w:t>
        </w:r>
      </w:hyperlink>
    </w:p>
    <w:p w14:paraId="2A9FF4D6" w14:textId="77777777" w:rsidR="00CE0C23" w:rsidRPr="00BA1DA3" w:rsidRDefault="00CE0C23" w:rsidP="009C258B">
      <w:pPr>
        <w:spacing w:after="0" w:line="240" w:lineRule="auto"/>
        <w:ind w:left="720" w:hanging="720"/>
        <w:rPr>
          <w:rFonts w:ascii="Times New Roman" w:hAnsi="Times New Roman" w:cs="Times New Roman"/>
          <w:shd w:val="clear" w:color="auto" w:fill="FFFFFF"/>
        </w:rPr>
      </w:pPr>
    </w:p>
    <w:p w14:paraId="4C09463E" w14:textId="77777777" w:rsidR="00CE0C23" w:rsidRPr="001A41ED" w:rsidRDefault="00CE0C23"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t xml:space="preserve">Fontenot, T., &amp; Barber, A. (2024). </w:t>
      </w:r>
      <w:r w:rsidRPr="001A41ED">
        <w:rPr>
          <w:rFonts w:ascii="Times New Roman" w:hAnsi="Times New Roman" w:cs="Times New Roman"/>
          <w:i/>
          <w:iCs/>
          <w:shd w:val="clear" w:color="auto" w:fill="FFFFFF"/>
        </w:rPr>
        <w:t>Invasive and non</w:t>
      </w:r>
      <w:r w:rsidRPr="001A41ED">
        <w:rPr>
          <w:rFonts w:ascii="Times New Roman" w:hAnsi="Times New Roman" w:cs="Times New Roman"/>
          <w:i/>
          <w:iCs/>
          <w:shd w:val="clear" w:color="auto" w:fill="FFFFFF"/>
        </w:rPr>
        <w:noBreakHyphen/>
        <w:t>invasive methods of diagnosing H. pylori infection: A review of current practice.</w:t>
      </w:r>
      <w:r w:rsidRPr="001A41ED">
        <w:rPr>
          <w:rFonts w:ascii="Times New Roman" w:hAnsi="Times New Roman" w:cs="Times New Roman"/>
          <w:shd w:val="clear" w:color="auto" w:fill="FFFFFF"/>
        </w:rPr>
        <w:t xml:space="preserve"> In </w:t>
      </w:r>
      <w:r w:rsidRPr="001A41ED">
        <w:rPr>
          <w:rFonts w:ascii="Times New Roman" w:hAnsi="Times New Roman" w:cs="Times New Roman"/>
          <w:i/>
          <w:iCs/>
          <w:shd w:val="clear" w:color="auto" w:fill="FFFFFF"/>
        </w:rPr>
        <w:t>Towards the Eradication of Helicobacter pylori Infection – Rapid Diagnosis and Precision Treatment.</w:t>
      </w:r>
      <w:r w:rsidRPr="001A41ED">
        <w:rPr>
          <w:rFonts w:ascii="Times New Roman" w:hAnsi="Times New Roman" w:cs="Times New Roman"/>
          <w:shd w:val="clear" w:color="auto" w:fill="FFFFFF"/>
        </w:rPr>
        <w:t xml:space="preserve"> </w:t>
      </w:r>
      <w:proofErr w:type="spellStart"/>
      <w:r w:rsidRPr="001A41ED">
        <w:rPr>
          <w:rFonts w:ascii="Times New Roman" w:hAnsi="Times New Roman" w:cs="Times New Roman"/>
          <w:shd w:val="clear" w:color="auto" w:fill="FFFFFF"/>
        </w:rPr>
        <w:t>IntechOpen</w:t>
      </w:r>
      <w:proofErr w:type="spellEnd"/>
      <w:r w:rsidRPr="001A41ED">
        <w:rPr>
          <w:rFonts w:ascii="Times New Roman" w:hAnsi="Times New Roman" w:cs="Times New Roman"/>
          <w:shd w:val="clear" w:color="auto" w:fill="FFFFFF"/>
        </w:rPr>
        <w:t xml:space="preserve">. https://doi.org/10.5772/intechopen.1004779 </w:t>
      </w:r>
      <w:hyperlink r:id="rId14" w:tgtFrame="_blank" w:history="1">
        <w:r w:rsidRPr="001A41ED">
          <w:rPr>
            <w:rStyle w:val="Hyperlink"/>
            <w:rFonts w:ascii="Times New Roman" w:hAnsi="Times New Roman" w:cs="Times New Roman"/>
            <w:color w:val="auto"/>
            <w:shd w:val="clear" w:color="auto" w:fill="FFFFFF"/>
          </w:rPr>
          <w:t>Mendeley</w:t>
        </w:r>
      </w:hyperlink>
    </w:p>
    <w:p w14:paraId="3AC8A722" w14:textId="13262B61" w:rsidR="0075625E" w:rsidRPr="001A41ED" w:rsidRDefault="00CE0C23"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lastRenderedPageBreak/>
        <w:t xml:space="preserve">Gut Pathogens. (2025). </w:t>
      </w:r>
      <w:r w:rsidRPr="001A41ED">
        <w:rPr>
          <w:rFonts w:ascii="Times New Roman" w:hAnsi="Times New Roman" w:cs="Times New Roman"/>
          <w:i/>
          <w:iCs/>
          <w:shd w:val="clear" w:color="auto" w:fill="FFFFFF"/>
        </w:rPr>
        <w:t>Anti</w:t>
      </w:r>
      <w:r w:rsidRPr="001A41ED">
        <w:rPr>
          <w:rFonts w:ascii="Times New Roman" w:hAnsi="Times New Roman" w:cs="Times New Roman"/>
          <w:i/>
          <w:iCs/>
          <w:shd w:val="clear" w:color="auto" w:fill="FFFFFF"/>
        </w:rPr>
        <w:noBreakHyphen/>
        <w:t>urease therapy: A targeted approach to mitigating antibiotic resistance in Helicobacter pylori while preserving the gut microflora.</w:t>
      </w:r>
      <w:r w:rsidRPr="001A41ED">
        <w:rPr>
          <w:rFonts w:ascii="Times New Roman" w:hAnsi="Times New Roman" w:cs="Times New Roman"/>
          <w:shd w:val="clear" w:color="auto" w:fill="FFFFFF"/>
        </w:rPr>
        <w:t xml:space="preserve"> </w:t>
      </w:r>
      <w:r w:rsidRPr="001A41ED">
        <w:rPr>
          <w:rFonts w:ascii="Times New Roman" w:hAnsi="Times New Roman" w:cs="Times New Roman"/>
          <w:i/>
          <w:iCs/>
          <w:shd w:val="clear" w:color="auto" w:fill="FFFFFF"/>
        </w:rPr>
        <w:t>Gut Pathogens.</w:t>
      </w:r>
      <w:r w:rsidRPr="001A41ED">
        <w:rPr>
          <w:rFonts w:ascii="Times New Roman" w:hAnsi="Times New Roman" w:cs="Times New Roman"/>
          <w:shd w:val="clear" w:color="auto" w:fill="FFFFFF"/>
        </w:rPr>
        <w:t xml:space="preserve"> </w:t>
      </w:r>
      <w:hyperlink r:id="rId15" w:history="1">
        <w:r w:rsidRPr="001A41ED">
          <w:rPr>
            <w:rStyle w:val="Hyperlink"/>
            <w:rFonts w:ascii="Times New Roman" w:hAnsi="Times New Roman" w:cs="Times New Roman"/>
            <w:color w:val="auto"/>
            <w:shd w:val="clear" w:color="auto" w:fill="FFFFFF"/>
          </w:rPr>
          <w:t>https://doi.org/10.1186/s13099</w:t>
        </w:r>
        <w:r w:rsidRPr="001A41ED">
          <w:rPr>
            <w:rStyle w:val="Hyperlink"/>
            <w:rFonts w:ascii="Times New Roman" w:hAnsi="Times New Roman" w:cs="Times New Roman"/>
            <w:color w:val="auto"/>
            <w:shd w:val="clear" w:color="auto" w:fill="FFFFFF"/>
          </w:rPr>
          <w:noBreakHyphen/>
          <w:t>025</w:t>
        </w:r>
        <w:r w:rsidRPr="001A41ED">
          <w:rPr>
            <w:rStyle w:val="Hyperlink"/>
            <w:rFonts w:ascii="Times New Roman" w:hAnsi="Times New Roman" w:cs="Times New Roman"/>
            <w:color w:val="auto"/>
            <w:shd w:val="clear" w:color="auto" w:fill="FFFFFF"/>
          </w:rPr>
          <w:noBreakHyphen/>
          <w:t>00708</w:t>
        </w:r>
        <w:r w:rsidRPr="001A41ED">
          <w:rPr>
            <w:rStyle w:val="Hyperlink"/>
            <w:rFonts w:ascii="Times New Roman" w:hAnsi="Times New Roman" w:cs="Times New Roman"/>
            <w:color w:val="auto"/>
            <w:shd w:val="clear" w:color="auto" w:fill="FFFFFF"/>
          </w:rPr>
          <w:noBreakHyphen/>
          <w:t>1</w:t>
        </w:r>
      </w:hyperlink>
    </w:p>
    <w:p w14:paraId="5C65AE1C" w14:textId="77777777" w:rsidR="00053292" w:rsidRPr="001A41ED" w:rsidRDefault="00053292" w:rsidP="001A41ED">
      <w:pPr>
        <w:pStyle w:val="ListParagraph"/>
        <w:numPr>
          <w:ilvl w:val="0"/>
          <w:numId w:val="6"/>
        </w:numPr>
        <w:spacing w:after="0" w:line="240" w:lineRule="auto"/>
        <w:rPr>
          <w:rFonts w:ascii="Times New Roman" w:hAnsi="Times New Roman" w:cs="Times New Roman"/>
        </w:rPr>
      </w:pPr>
      <w:r w:rsidRPr="001A41ED">
        <w:rPr>
          <w:rFonts w:ascii="Times New Roman" w:hAnsi="Times New Roman" w:cs="Times New Roman"/>
        </w:rPr>
        <w:t xml:space="preserve">Ibrahim, Y., </w:t>
      </w:r>
      <w:proofErr w:type="spellStart"/>
      <w:r w:rsidRPr="001A41ED">
        <w:rPr>
          <w:rFonts w:ascii="Times New Roman" w:hAnsi="Times New Roman" w:cs="Times New Roman"/>
        </w:rPr>
        <w:t>Famoriyo</w:t>
      </w:r>
      <w:proofErr w:type="spellEnd"/>
      <w:r w:rsidRPr="001A41ED">
        <w:rPr>
          <w:rFonts w:ascii="Times New Roman" w:hAnsi="Times New Roman" w:cs="Times New Roman"/>
        </w:rPr>
        <w:t xml:space="preserve">, L., Sani, F. M., Basri, N. I., Jamil, A. A. M., Abdurrahman, M. S., &amp; Abdullahi, I. N. (2022). The seroprevalence trend of Helicobacter pylori infection in Gombe, Nigeria: A 5-year retrospective study. Microbes and Infectious Diseases. </w:t>
      </w:r>
      <w:hyperlink r:id="rId16" w:history="1">
        <w:r w:rsidRPr="001A41ED">
          <w:rPr>
            <w:rStyle w:val="Hyperlink"/>
            <w:rFonts w:ascii="Times New Roman" w:hAnsi="Times New Roman" w:cs="Times New Roman"/>
            <w:color w:val="auto"/>
          </w:rPr>
          <w:t>https://doi.org/10.21608/MID.2022.120290.1245</w:t>
        </w:r>
      </w:hyperlink>
    </w:p>
    <w:p w14:paraId="3EF51CFB" w14:textId="77777777" w:rsidR="00053292" w:rsidRPr="00BA1DA3" w:rsidRDefault="00053292" w:rsidP="009C258B">
      <w:pPr>
        <w:spacing w:after="0" w:line="240" w:lineRule="auto"/>
        <w:ind w:left="720" w:hanging="720"/>
        <w:rPr>
          <w:rFonts w:ascii="Times New Roman" w:hAnsi="Times New Roman" w:cs="Times New Roman"/>
          <w:shd w:val="clear" w:color="auto" w:fill="FFFFFF"/>
        </w:rPr>
      </w:pPr>
    </w:p>
    <w:p w14:paraId="506F0647" w14:textId="77777777" w:rsidR="00654E31" w:rsidRPr="00BA1DA3" w:rsidRDefault="00654E31" w:rsidP="009C258B">
      <w:pPr>
        <w:spacing w:after="0" w:line="240" w:lineRule="auto"/>
        <w:ind w:left="720" w:hanging="720"/>
        <w:rPr>
          <w:rFonts w:ascii="Times New Roman" w:hAnsi="Times New Roman" w:cs="Times New Roman"/>
          <w:shd w:val="clear" w:color="auto" w:fill="FFFFFF"/>
        </w:rPr>
      </w:pPr>
    </w:p>
    <w:p w14:paraId="194D2158" w14:textId="3C9F9049" w:rsidR="002C1A7E" w:rsidRPr="001A41ED" w:rsidRDefault="002C1A7E"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lang w:val="nl-BE"/>
        </w:rPr>
        <w:t xml:space="preserve">Ndubuisi, O. F., Okorie, C. A., &amp; Nwankwo, B. O. (2025). </w:t>
      </w:r>
      <w:r w:rsidRPr="001A41ED">
        <w:rPr>
          <w:rFonts w:ascii="Times New Roman" w:hAnsi="Times New Roman" w:cs="Times New Roman"/>
          <w:shd w:val="clear" w:color="auto" w:fill="FFFFFF"/>
        </w:rPr>
        <w:t xml:space="preserve">Community-based seroprevalence of </w:t>
      </w:r>
      <w:r w:rsidRPr="001A41ED">
        <w:rPr>
          <w:rFonts w:ascii="Times New Roman" w:hAnsi="Times New Roman" w:cs="Times New Roman"/>
          <w:i/>
          <w:iCs/>
          <w:shd w:val="clear" w:color="auto" w:fill="FFFFFF"/>
        </w:rPr>
        <w:t>Helicobacter pylori</w:t>
      </w:r>
      <w:r w:rsidRPr="001A41ED">
        <w:rPr>
          <w:rFonts w:ascii="Times New Roman" w:hAnsi="Times New Roman" w:cs="Times New Roman"/>
          <w:shd w:val="clear" w:color="auto" w:fill="FFFFFF"/>
        </w:rPr>
        <w:t xml:space="preserve"> infection in a semi-urban Nigerian population. </w:t>
      </w:r>
      <w:r w:rsidRPr="001A41ED">
        <w:rPr>
          <w:rFonts w:ascii="Times New Roman" w:hAnsi="Times New Roman" w:cs="Times New Roman"/>
          <w:i/>
          <w:iCs/>
          <w:shd w:val="clear" w:color="auto" w:fill="FFFFFF"/>
        </w:rPr>
        <w:t>Nigerian Journal of Medical Microbiology, 39</w:t>
      </w:r>
      <w:r w:rsidRPr="001A41ED">
        <w:rPr>
          <w:rFonts w:ascii="Times New Roman" w:hAnsi="Times New Roman" w:cs="Times New Roman"/>
          <w:shd w:val="clear" w:color="auto" w:fill="FFFFFF"/>
        </w:rPr>
        <w:t>(1), 45–52.</w:t>
      </w:r>
    </w:p>
    <w:p w14:paraId="65075FDD" w14:textId="57327877" w:rsidR="00456E82" w:rsidRPr="001A41ED" w:rsidRDefault="002C1A7E"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lang w:val="nl-BE"/>
        </w:rPr>
        <w:t xml:space="preserve">Ndukwu, C. B., Eze, J. N., &amp; Wogu, M. D. (2024). </w:t>
      </w:r>
      <w:r w:rsidRPr="001A41ED">
        <w:rPr>
          <w:rFonts w:ascii="Times New Roman" w:hAnsi="Times New Roman" w:cs="Times New Roman"/>
          <w:shd w:val="clear" w:color="auto" w:fill="FFFFFF"/>
        </w:rPr>
        <w:t xml:space="preserve">Seroprevalence of </w:t>
      </w:r>
      <w:r w:rsidRPr="001A41ED">
        <w:rPr>
          <w:rFonts w:ascii="Times New Roman" w:hAnsi="Times New Roman" w:cs="Times New Roman"/>
          <w:i/>
          <w:iCs/>
          <w:shd w:val="clear" w:color="auto" w:fill="FFFFFF"/>
        </w:rPr>
        <w:t>Helicobacter pylori</w:t>
      </w:r>
      <w:r w:rsidRPr="001A41ED">
        <w:rPr>
          <w:rFonts w:ascii="Times New Roman" w:hAnsi="Times New Roman" w:cs="Times New Roman"/>
          <w:shd w:val="clear" w:color="auto" w:fill="FFFFFF"/>
        </w:rPr>
        <w:t xml:space="preserve"> infection among adults in urban Port Harcourt, Nigeria. </w:t>
      </w:r>
      <w:r w:rsidRPr="001A41ED">
        <w:rPr>
          <w:rFonts w:ascii="Times New Roman" w:hAnsi="Times New Roman" w:cs="Times New Roman"/>
          <w:i/>
          <w:iCs/>
          <w:shd w:val="clear" w:color="auto" w:fill="FFFFFF"/>
        </w:rPr>
        <w:t>West African Journal of Medicine, 41</w:t>
      </w:r>
      <w:r w:rsidRPr="001A41ED">
        <w:rPr>
          <w:rFonts w:ascii="Times New Roman" w:hAnsi="Times New Roman" w:cs="Times New Roman"/>
          <w:shd w:val="clear" w:color="auto" w:fill="FFFFFF"/>
        </w:rPr>
        <w:t>(3), 221–228.</w:t>
      </w:r>
    </w:p>
    <w:p w14:paraId="040289FF" w14:textId="77777777" w:rsidR="00456E82" w:rsidRPr="00BA1DA3" w:rsidRDefault="00456E82" w:rsidP="009C258B">
      <w:pPr>
        <w:spacing w:after="0" w:line="240" w:lineRule="auto"/>
        <w:ind w:left="360"/>
        <w:rPr>
          <w:rFonts w:ascii="Times New Roman" w:hAnsi="Times New Roman" w:cs="Times New Roman"/>
          <w:shd w:val="clear" w:color="auto" w:fill="FFFFFF"/>
        </w:rPr>
      </w:pPr>
    </w:p>
    <w:p w14:paraId="698EEC00" w14:textId="52D70FE0" w:rsidR="00053292" w:rsidRPr="001A41ED" w:rsidRDefault="00053292"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t xml:space="preserve">Mohammed, O. A. (2024). </w:t>
      </w:r>
      <w:r w:rsidRPr="001A41ED">
        <w:rPr>
          <w:rFonts w:ascii="Times New Roman" w:hAnsi="Times New Roman" w:cs="Times New Roman"/>
          <w:i/>
          <w:iCs/>
          <w:shd w:val="clear" w:color="auto" w:fill="FFFFFF"/>
        </w:rPr>
        <w:t>Prevalence of Helicobacter pylori in Nigeria (2010–2023).</w:t>
      </w:r>
      <w:r w:rsidRPr="001A41ED">
        <w:rPr>
          <w:rFonts w:ascii="Times New Roman" w:hAnsi="Times New Roman" w:cs="Times New Roman"/>
          <w:shd w:val="clear" w:color="auto" w:fill="FFFFFF"/>
        </w:rPr>
        <w:t xml:space="preserve"> Nigerian Journal of Microbiology, 38(2), 7284–7290. </w:t>
      </w:r>
    </w:p>
    <w:p w14:paraId="07D28503" w14:textId="77777777" w:rsidR="0009166E" w:rsidRPr="00BA1DA3" w:rsidRDefault="0009166E" w:rsidP="009C258B">
      <w:pPr>
        <w:spacing w:after="0" w:line="240" w:lineRule="auto"/>
        <w:rPr>
          <w:rFonts w:ascii="Times New Roman" w:hAnsi="Times New Roman" w:cs="Times New Roman"/>
        </w:rPr>
      </w:pPr>
    </w:p>
    <w:p w14:paraId="5E3C54E2" w14:textId="36405AC0" w:rsidR="002C3B70" w:rsidRPr="001A41ED" w:rsidRDefault="0009166E"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t xml:space="preserve">Naing, L., Winn, T., &amp; Rusli, B. N. (2006). Practical issues in calculating the sample size for prevalence studies. Archives of Orofacial Sciences, 1, 9–14. </w:t>
      </w:r>
      <w:hyperlink r:id="rId17" w:history="1">
        <w:r w:rsidRPr="001A41ED">
          <w:rPr>
            <w:rStyle w:val="Hyperlink"/>
            <w:rFonts w:ascii="Times New Roman" w:hAnsi="Times New Roman" w:cs="Times New Roman"/>
            <w:color w:val="auto"/>
            <w:shd w:val="clear" w:color="auto" w:fill="FFFFFF"/>
          </w:rPr>
          <w:t>http://www.kck.usm.my/ppsg/aos/Vol_1/09_14_Ayub.pdf</w:t>
        </w:r>
      </w:hyperlink>
    </w:p>
    <w:p w14:paraId="351E43ED" w14:textId="77777777" w:rsidR="0009166E" w:rsidRPr="000546EC" w:rsidRDefault="0009166E" w:rsidP="009C258B">
      <w:pPr>
        <w:spacing w:after="0" w:line="240" w:lineRule="auto"/>
        <w:rPr>
          <w:rFonts w:ascii="Times New Roman" w:hAnsi="Times New Roman" w:cs="Times New Roman"/>
          <w:shd w:val="clear" w:color="auto" w:fill="FFFFFF"/>
        </w:rPr>
      </w:pPr>
    </w:p>
    <w:p w14:paraId="46B90483" w14:textId="05D6126C" w:rsidR="0009166E" w:rsidRPr="001A41ED" w:rsidRDefault="0009166E"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rPr>
        <w:t xml:space="preserve">Ndubuisi, N. O., Okoronkwo, U. C., </w:t>
      </w:r>
      <w:proofErr w:type="spellStart"/>
      <w:r w:rsidRPr="001A41ED">
        <w:rPr>
          <w:rFonts w:ascii="Times New Roman" w:hAnsi="Times New Roman" w:cs="Times New Roman"/>
          <w:shd w:val="clear" w:color="auto" w:fill="FFFFFF"/>
        </w:rPr>
        <w:t>Unegbu</w:t>
      </w:r>
      <w:proofErr w:type="spellEnd"/>
      <w:r w:rsidRPr="001A41ED">
        <w:rPr>
          <w:rFonts w:ascii="Times New Roman" w:hAnsi="Times New Roman" w:cs="Times New Roman"/>
          <w:shd w:val="clear" w:color="auto" w:fill="FFFFFF"/>
        </w:rPr>
        <w:t xml:space="preserve">, N. V., &amp; </w:t>
      </w:r>
      <w:proofErr w:type="spellStart"/>
      <w:r w:rsidRPr="001A41ED">
        <w:rPr>
          <w:rFonts w:ascii="Times New Roman" w:hAnsi="Times New Roman" w:cs="Times New Roman"/>
          <w:shd w:val="clear" w:color="auto" w:fill="FFFFFF"/>
        </w:rPr>
        <w:t>Owanta</w:t>
      </w:r>
      <w:proofErr w:type="spellEnd"/>
      <w:r w:rsidRPr="001A41ED">
        <w:rPr>
          <w:rFonts w:ascii="Times New Roman" w:hAnsi="Times New Roman" w:cs="Times New Roman"/>
          <w:shd w:val="clear" w:color="auto" w:fill="FFFFFF"/>
        </w:rPr>
        <w:t xml:space="preserve">, I. J. (2025). Seroprevalence of Helicobacter pylori and its related factors in a semi urban community in Nigeria. African Journal of Biomedical Research, 28(1S), 43–47. </w:t>
      </w:r>
      <w:hyperlink r:id="rId18" w:history="1">
        <w:r w:rsidRPr="001A41ED">
          <w:rPr>
            <w:rStyle w:val="Hyperlink"/>
            <w:rFonts w:ascii="Times New Roman" w:hAnsi="Times New Roman" w:cs="Times New Roman"/>
            <w:color w:val="auto"/>
            <w:shd w:val="clear" w:color="auto" w:fill="FFFFFF"/>
          </w:rPr>
          <w:t>https://doi.org/10.53555/AJBR.v28i1S.3331</w:t>
        </w:r>
      </w:hyperlink>
    </w:p>
    <w:p w14:paraId="4AB8E900" w14:textId="77777777" w:rsidR="00053292" w:rsidRPr="000546EC" w:rsidRDefault="00053292" w:rsidP="009C258B">
      <w:pPr>
        <w:spacing w:after="0" w:line="240" w:lineRule="auto"/>
        <w:ind w:left="360"/>
        <w:rPr>
          <w:rFonts w:ascii="Times New Roman" w:hAnsi="Times New Roman" w:cs="Times New Roman"/>
          <w:shd w:val="clear" w:color="auto" w:fill="FFFFFF"/>
        </w:rPr>
      </w:pPr>
    </w:p>
    <w:p w14:paraId="04819F11" w14:textId="09E67A3C" w:rsidR="009373FF" w:rsidRPr="001A41ED" w:rsidRDefault="009373FF" w:rsidP="001A41ED">
      <w:pPr>
        <w:pStyle w:val="ListParagraph"/>
        <w:numPr>
          <w:ilvl w:val="0"/>
          <w:numId w:val="6"/>
        </w:numPr>
        <w:spacing w:after="0" w:line="240" w:lineRule="auto"/>
        <w:rPr>
          <w:rFonts w:ascii="Times New Roman" w:hAnsi="Times New Roman" w:cs="Times New Roman"/>
        </w:rPr>
      </w:pPr>
      <w:proofErr w:type="spellStart"/>
      <w:r w:rsidRPr="001A41ED">
        <w:rPr>
          <w:rFonts w:ascii="Times New Roman" w:hAnsi="Times New Roman" w:cs="Times New Roman"/>
          <w:shd w:val="clear" w:color="auto" w:fill="FFFFFF"/>
        </w:rPr>
        <w:t>Ndukwu</w:t>
      </w:r>
      <w:proofErr w:type="spellEnd"/>
      <w:r w:rsidRPr="001A41ED">
        <w:rPr>
          <w:rFonts w:ascii="Times New Roman" w:hAnsi="Times New Roman" w:cs="Times New Roman"/>
          <w:shd w:val="clear" w:color="auto" w:fill="FFFFFF"/>
        </w:rPr>
        <w:t xml:space="preserve">, C. L., Amadi-Wali, O., &amp; </w:t>
      </w:r>
      <w:proofErr w:type="spellStart"/>
      <w:r w:rsidRPr="001A41ED">
        <w:rPr>
          <w:rFonts w:ascii="Times New Roman" w:hAnsi="Times New Roman" w:cs="Times New Roman"/>
          <w:shd w:val="clear" w:color="auto" w:fill="FFFFFF"/>
        </w:rPr>
        <w:t>Ikpeama</w:t>
      </w:r>
      <w:proofErr w:type="spellEnd"/>
      <w:r w:rsidRPr="001A41ED">
        <w:rPr>
          <w:rFonts w:ascii="Times New Roman" w:hAnsi="Times New Roman" w:cs="Times New Roman"/>
          <w:shd w:val="clear" w:color="auto" w:fill="FFFFFF"/>
        </w:rPr>
        <w:t xml:space="preserve">, R. A. (2024). Seroprevalence of Helicobacter pylori infection among adults in Port Harcourt metropolis, Nigeria. International Research Journal of Gastroenterology and Hepatology, 7(1), 97–104. </w:t>
      </w:r>
      <w:hyperlink r:id="rId19" w:history="1">
        <w:r w:rsidRPr="001A41ED">
          <w:rPr>
            <w:rStyle w:val="Hyperlink"/>
            <w:rFonts w:ascii="Times New Roman" w:hAnsi="Times New Roman" w:cs="Times New Roman"/>
            <w:color w:val="auto"/>
            <w:shd w:val="clear" w:color="auto" w:fill="FFFFFF"/>
          </w:rPr>
          <w:t>https://journalirjgh.com/index.php/IRJGH/article/view/102</w:t>
        </w:r>
      </w:hyperlink>
    </w:p>
    <w:p w14:paraId="29FF8CB9" w14:textId="77777777" w:rsidR="00593E52" w:rsidRPr="000546EC" w:rsidRDefault="00593E52" w:rsidP="009C258B">
      <w:pPr>
        <w:spacing w:after="0" w:line="240" w:lineRule="auto"/>
        <w:ind w:left="360"/>
        <w:rPr>
          <w:rFonts w:ascii="Times New Roman" w:hAnsi="Times New Roman" w:cs="Times New Roman"/>
          <w:shd w:val="clear" w:color="auto" w:fill="FFFFFF"/>
        </w:rPr>
      </w:pPr>
    </w:p>
    <w:p w14:paraId="643AE7C6" w14:textId="63887FB9" w:rsidR="009373FF" w:rsidRPr="001A41ED" w:rsidRDefault="009373FF" w:rsidP="001A41ED">
      <w:pPr>
        <w:pStyle w:val="ListParagraph"/>
        <w:numPr>
          <w:ilvl w:val="0"/>
          <w:numId w:val="6"/>
        </w:numPr>
        <w:spacing w:after="0" w:line="240" w:lineRule="auto"/>
        <w:rPr>
          <w:rFonts w:ascii="Times New Roman" w:hAnsi="Times New Roman" w:cs="Times New Roman"/>
        </w:rPr>
      </w:pPr>
      <w:r w:rsidRPr="001A41ED">
        <w:rPr>
          <w:rFonts w:ascii="Times New Roman" w:hAnsi="Times New Roman" w:cs="Times New Roman"/>
          <w:shd w:val="clear" w:color="auto" w:fill="FFFFFF"/>
        </w:rPr>
        <w:t xml:space="preserve">Nikolopoulou, K. (2022, September 17). Inclusion and exclusion criteria – Examples &amp; definition. </w:t>
      </w:r>
      <w:proofErr w:type="spellStart"/>
      <w:r w:rsidRPr="001A41ED">
        <w:rPr>
          <w:rFonts w:ascii="Times New Roman" w:hAnsi="Times New Roman" w:cs="Times New Roman"/>
          <w:shd w:val="clear" w:color="auto" w:fill="FFFFFF"/>
        </w:rPr>
        <w:t>Scribbr</w:t>
      </w:r>
      <w:proofErr w:type="spellEnd"/>
      <w:r w:rsidRPr="001A41ED">
        <w:rPr>
          <w:rFonts w:ascii="Times New Roman" w:hAnsi="Times New Roman" w:cs="Times New Roman"/>
          <w:shd w:val="clear" w:color="auto" w:fill="FFFFFF"/>
        </w:rPr>
        <w:t xml:space="preserve">. </w:t>
      </w:r>
      <w:hyperlink r:id="rId20" w:history="1">
        <w:r w:rsidRPr="001A41ED">
          <w:rPr>
            <w:rStyle w:val="Hyperlink"/>
            <w:rFonts w:ascii="Times New Roman" w:hAnsi="Times New Roman" w:cs="Times New Roman"/>
            <w:color w:val="auto"/>
            <w:shd w:val="clear" w:color="auto" w:fill="FFFFFF"/>
          </w:rPr>
          <w:t>https://www.scribbr.com/methodology/inclsion-exclusion-criteria</w:t>
        </w:r>
      </w:hyperlink>
    </w:p>
    <w:p w14:paraId="333C47FE" w14:textId="77777777" w:rsidR="00593E52" w:rsidRPr="000546EC" w:rsidRDefault="00593E52" w:rsidP="009C258B">
      <w:pPr>
        <w:spacing w:after="0" w:line="240" w:lineRule="auto"/>
        <w:rPr>
          <w:rFonts w:ascii="Times New Roman" w:hAnsi="Times New Roman" w:cs="Times New Roman"/>
          <w:shd w:val="clear" w:color="auto" w:fill="FFFFFF"/>
        </w:rPr>
      </w:pPr>
    </w:p>
    <w:p w14:paraId="0A3C2F33" w14:textId="2244C498" w:rsidR="009373FF" w:rsidRPr="001A41ED" w:rsidRDefault="009373FF" w:rsidP="001A41ED">
      <w:pPr>
        <w:pStyle w:val="ListParagraph"/>
        <w:numPr>
          <w:ilvl w:val="0"/>
          <w:numId w:val="6"/>
        </w:numPr>
        <w:spacing w:after="0" w:line="240" w:lineRule="auto"/>
        <w:rPr>
          <w:rFonts w:ascii="Times New Roman" w:hAnsi="Times New Roman" w:cs="Times New Roman"/>
        </w:rPr>
      </w:pPr>
      <w:r w:rsidRPr="001A41ED">
        <w:rPr>
          <w:rFonts w:ascii="Times New Roman" w:hAnsi="Times New Roman" w:cs="Times New Roman"/>
          <w:shd w:val="clear" w:color="auto" w:fill="FFFFFF"/>
        </w:rPr>
        <w:t xml:space="preserve">Smith, S. I., Ajayi, A., </w:t>
      </w:r>
      <w:proofErr w:type="spellStart"/>
      <w:r w:rsidRPr="001A41ED">
        <w:rPr>
          <w:rFonts w:ascii="Times New Roman" w:hAnsi="Times New Roman" w:cs="Times New Roman"/>
          <w:shd w:val="clear" w:color="auto" w:fill="FFFFFF"/>
        </w:rPr>
        <w:t>Jolaiya</w:t>
      </w:r>
      <w:proofErr w:type="spellEnd"/>
      <w:r w:rsidRPr="001A41ED">
        <w:rPr>
          <w:rFonts w:ascii="Times New Roman" w:hAnsi="Times New Roman" w:cs="Times New Roman"/>
          <w:shd w:val="clear" w:color="auto" w:fill="FFFFFF"/>
        </w:rPr>
        <w:t xml:space="preserve">, T. F., &amp; </w:t>
      </w:r>
      <w:proofErr w:type="spellStart"/>
      <w:r w:rsidRPr="001A41ED">
        <w:rPr>
          <w:rFonts w:ascii="Times New Roman" w:hAnsi="Times New Roman" w:cs="Times New Roman"/>
          <w:shd w:val="clear" w:color="auto" w:fill="FFFFFF"/>
        </w:rPr>
        <w:t>Essiet</w:t>
      </w:r>
      <w:proofErr w:type="spellEnd"/>
      <w:r w:rsidRPr="001A41ED">
        <w:rPr>
          <w:rFonts w:ascii="Times New Roman" w:hAnsi="Times New Roman" w:cs="Times New Roman"/>
          <w:shd w:val="clear" w:color="auto" w:fill="FFFFFF"/>
        </w:rPr>
        <w:t xml:space="preserve">, U. (2022). Prevalence, diagnosis and treatment of Helicobacter pylori infection in Nigeria. Nigerian Journal of Gastroenterology and Hepatology, 14(1), 2-10. </w:t>
      </w:r>
      <w:hyperlink r:id="rId21" w:history="1">
        <w:r w:rsidRPr="001A41ED">
          <w:rPr>
            <w:rStyle w:val="Hyperlink"/>
            <w:rFonts w:ascii="Times New Roman" w:hAnsi="Times New Roman" w:cs="Times New Roman"/>
            <w:color w:val="auto"/>
            <w:shd w:val="clear" w:color="auto" w:fill="FFFFFF"/>
          </w:rPr>
          <w:t>https://doi.org/10.4103/njgh.njgh_10_22</w:t>
        </w:r>
      </w:hyperlink>
    </w:p>
    <w:p w14:paraId="3A9B7E4B" w14:textId="77777777" w:rsidR="00593E52" w:rsidRPr="000546EC" w:rsidRDefault="00593E52" w:rsidP="009C258B">
      <w:pPr>
        <w:spacing w:after="0" w:line="240" w:lineRule="auto"/>
        <w:ind w:left="360"/>
        <w:rPr>
          <w:rFonts w:ascii="Times New Roman" w:hAnsi="Times New Roman" w:cs="Times New Roman"/>
          <w:shd w:val="clear" w:color="auto" w:fill="FFFFFF"/>
        </w:rPr>
      </w:pPr>
    </w:p>
    <w:p w14:paraId="191A1A5A" w14:textId="45C38699" w:rsidR="009373FF" w:rsidRPr="001A41ED" w:rsidRDefault="009373FF" w:rsidP="001A41ED">
      <w:pPr>
        <w:pStyle w:val="ListParagraph"/>
        <w:numPr>
          <w:ilvl w:val="0"/>
          <w:numId w:val="6"/>
        </w:numPr>
        <w:spacing w:after="0" w:line="240" w:lineRule="auto"/>
        <w:rPr>
          <w:rFonts w:ascii="Times New Roman" w:hAnsi="Times New Roman" w:cs="Times New Roman"/>
        </w:rPr>
      </w:pPr>
      <w:r w:rsidRPr="001A41ED">
        <w:rPr>
          <w:rFonts w:ascii="Times New Roman" w:hAnsi="Times New Roman" w:cs="Times New Roman"/>
          <w:shd w:val="clear" w:color="auto" w:fill="FFFFFF"/>
        </w:rPr>
        <w:t xml:space="preserve">World Medical Association. (2024). Declaration of Helsinki: Ethical principles for medical research involving human participants. </w:t>
      </w:r>
      <w:hyperlink r:id="rId22" w:history="1">
        <w:r w:rsidRPr="001A41ED">
          <w:rPr>
            <w:rStyle w:val="Hyperlink"/>
            <w:rFonts w:ascii="Times New Roman" w:hAnsi="Times New Roman" w:cs="Times New Roman"/>
            <w:color w:val="auto"/>
            <w:shd w:val="clear" w:color="auto" w:fill="FFFFFF"/>
          </w:rPr>
          <w:t>https://www.wma.net/what-we-do/medical-ethics/declaration-of-helsinki</w:t>
        </w:r>
      </w:hyperlink>
    </w:p>
    <w:p w14:paraId="49C187E6" w14:textId="77777777" w:rsidR="00BA1DA3" w:rsidRPr="000546EC" w:rsidRDefault="00BA1DA3" w:rsidP="009C258B">
      <w:pPr>
        <w:spacing w:after="0" w:line="240" w:lineRule="auto"/>
        <w:ind w:left="360"/>
        <w:rPr>
          <w:rFonts w:ascii="Times New Roman" w:hAnsi="Times New Roman" w:cs="Times New Roman"/>
        </w:rPr>
      </w:pPr>
    </w:p>
    <w:p w14:paraId="462B848F" w14:textId="77777777" w:rsidR="00053292" w:rsidRPr="001A41ED" w:rsidRDefault="00053292" w:rsidP="001A41ED">
      <w:pPr>
        <w:pStyle w:val="ListParagraph"/>
        <w:numPr>
          <w:ilvl w:val="0"/>
          <w:numId w:val="6"/>
        </w:numPr>
        <w:spacing w:after="0" w:line="240" w:lineRule="auto"/>
        <w:rPr>
          <w:rFonts w:ascii="Times New Roman" w:hAnsi="Times New Roman" w:cs="Times New Roman"/>
          <w:shd w:val="clear" w:color="auto" w:fill="FFFFFF"/>
        </w:rPr>
      </w:pPr>
      <w:r w:rsidRPr="001A41ED">
        <w:rPr>
          <w:rFonts w:ascii="Times New Roman" w:hAnsi="Times New Roman" w:cs="Times New Roman"/>
          <w:shd w:val="clear" w:color="auto" w:fill="FFFFFF"/>
          <w:lang w:val="nl-BE"/>
        </w:rPr>
        <w:t xml:space="preserve">Yuan, C., Adeloye, D., Luk, T. T., et al. </w:t>
      </w:r>
      <w:r w:rsidRPr="001A41ED">
        <w:rPr>
          <w:rFonts w:ascii="Times New Roman" w:hAnsi="Times New Roman" w:cs="Times New Roman"/>
          <w:shd w:val="clear" w:color="auto" w:fill="FFFFFF"/>
        </w:rPr>
        <w:t xml:space="preserve">(2022). The global prevalence of and factors associated with </w:t>
      </w:r>
      <w:r w:rsidRPr="001A41ED">
        <w:rPr>
          <w:rFonts w:ascii="Times New Roman" w:hAnsi="Times New Roman" w:cs="Times New Roman"/>
          <w:i/>
          <w:iCs/>
          <w:shd w:val="clear" w:color="auto" w:fill="FFFFFF"/>
        </w:rPr>
        <w:t>Helicobacter pylori</w:t>
      </w:r>
      <w:r w:rsidRPr="001A41ED">
        <w:rPr>
          <w:rFonts w:ascii="Times New Roman" w:hAnsi="Times New Roman" w:cs="Times New Roman"/>
          <w:shd w:val="clear" w:color="auto" w:fill="FFFFFF"/>
        </w:rPr>
        <w:t xml:space="preserve"> infection in children: A systematic review and </w:t>
      </w:r>
      <w:r w:rsidRPr="001A41ED">
        <w:rPr>
          <w:rFonts w:ascii="Times New Roman" w:hAnsi="Times New Roman" w:cs="Times New Roman"/>
          <w:shd w:val="clear" w:color="auto" w:fill="FFFFFF"/>
        </w:rPr>
        <w:lastRenderedPageBreak/>
        <w:t>meta</w:t>
      </w:r>
      <w:r w:rsidRPr="001A41ED">
        <w:rPr>
          <w:rFonts w:ascii="Times New Roman" w:hAnsi="Times New Roman" w:cs="Times New Roman"/>
          <w:shd w:val="clear" w:color="auto" w:fill="FFFFFF"/>
        </w:rPr>
        <w:noBreakHyphen/>
        <w:t xml:space="preserve">analysis. </w:t>
      </w:r>
      <w:r w:rsidRPr="001A41ED">
        <w:rPr>
          <w:rFonts w:ascii="Times New Roman" w:hAnsi="Times New Roman" w:cs="Times New Roman"/>
          <w:i/>
          <w:iCs/>
          <w:shd w:val="clear" w:color="auto" w:fill="FFFFFF"/>
        </w:rPr>
        <w:t>The Lancet Child &amp; Adolescent Health, 6</w:t>
      </w:r>
      <w:r w:rsidRPr="001A41ED">
        <w:rPr>
          <w:rFonts w:ascii="Times New Roman" w:hAnsi="Times New Roman" w:cs="Times New Roman"/>
          <w:shd w:val="clear" w:color="auto" w:fill="FFFFFF"/>
        </w:rPr>
        <w:t xml:space="preserve">(3), 185–194. </w:t>
      </w:r>
      <w:hyperlink r:id="rId23" w:history="1">
        <w:r w:rsidRPr="001A41ED">
          <w:rPr>
            <w:rStyle w:val="Hyperlink"/>
            <w:rFonts w:ascii="Times New Roman" w:hAnsi="Times New Roman" w:cs="Times New Roman"/>
            <w:color w:val="auto"/>
            <w:shd w:val="clear" w:color="auto" w:fill="FFFFFF"/>
          </w:rPr>
          <w:t>https://doi.org/10.1016/S2352</w:t>
        </w:r>
        <w:r w:rsidRPr="001A41ED">
          <w:rPr>
            <w:rStyle w:val="Hyperlink"/>
            <w:rFonts w:ascii="Times New Roman" w:hAnsi="Times New Roman" w:cs="Times New Roman"/>
            <w:color w:val="auto"/>
            <w:shd w:val="clear" w:color="auto" w:fill="FFFFFF"/>
          </w:rPr>
          <w:noBreakHyphen/>
          <w:t>4642(21)00400</w:t>
        </w:r>
        <w:r w:rsidRPr="001A41ED">
          <w:rPr>
            <w:rStyle w:val="Hyperlink"/>
            <w:rFonts w:ascii="Times New Roman" w:hAnsi="Times New Roman" w:cs="Times New Roman"/>
            <w:color w:val="auto"/>
            <w:shd w:val="clear" w:color="auto" w:fill="FFFFFF"/>
          </w:rPr>
          <w:noBreakHyphen/>
          <w:t>4</w:t>
        </w:r>
      </w:hyperlink>
    </w:p>
    <w:p w14:paraId="0E8937E5" w14:textId="77777777" w:rsidR="00053292" w:rsidRPr="000546EC" w:rsidRDefault="00053292" w:rsidP="009C258B">
      <w:pPr>
        <w:spacing w:after="0" w:line="240" w:lineRule="auto"/>
        <w:ind w:left="720" w:hanging="720"/>
        <w:rPr>
          <w:rFonts w:ascii="Times New Roman" w:hAnsi="Times New Roman" w:cs="Times New Roman"/>
          <w:b/>
          <w:bCs/>
          <w:shd w:val="clear" w:color="auto" w:fill="FFFFFF"/>
        </w:rPr>
      </w:pPr>
    </w:p>
    <w:p w14:paraId="45C8DF4E" w14:textId="77777777" w:rsidR="00053292" w:rsidRPr="000546EC" w:rsidRDefault="00053292" w:rsidP="000546EC">
      <w:pPr>
        <w:spacing w:after="0" w:line="240" w:lineRule="auto"/>
        <w:ind w:left="360"/>
        <w:jc w:val="both"/>
        <w:rPr>
          <w:rFonts w:ascii="Times New Roman" w:hAnsi="Times New Roman" w:cs="Times New Roman"/>
          <w:shd w:val="clear" w:color="auto" w:fill="FFFFFF"/>
        </w:rPr>
      </w:pPr>
    </w:p>
    <w:p w14:paraId="0CA6ADE0" w14:textId="0FC87AC2" w:rsidR="003342FD" w:rsidRPr="000546EC" w:rsidRDefault="00905F0A" w:rsidP="000546EC">
      <w:pPr>
        <w:spacing w:after="0" w:line="240" w:lineRule="auto"/>
        <w:ind w:left="720" w:hanging="720"/>
        <w:jc w:val="both"/>
        <w:rPr>
          <w:rFonts w:ascii="Times New Roman" w:hAnsi="Times New Roman" w:cs="Times New Roman"/>
          <w:shd w:val="clear" w:color="auto" w:fill="FFFFFF"/>
        </w:rPr>
      </w:pPr>
      <w:r w:rsidRPr="000546EC">
        <w:rPr>
          <w:rFonts w:ascii="Times New Roman" w:hAnsi="Times New Roman" w:cs="Times New Roman"/>
          <w:shd w:val="clear" w:color="auto" w:fill="FFFFFF"/>
        </w:rPr>
        <w:t xml:space="preserve"> </w:t>
      </w:r>
    </w:p>
    <w:p w14:paraId="51CC31BB" w14:textId="77777777" w:rsidR="00B30D4B" w:rsidRPr="000546EC" w:rsidRDefault="00B30D4B" w:rsidP="000546EC">
      <w:pPr>
        <w:spacing w:after="0" w:line="240" w:lineRule="auto"/>
        <w:jc w:val="both"/>
        <w:rPr>
          <w:rFonts w:ascii="Times New Roman" w:hAnsi="Times New Roman" w:cs="Times New Roman"/>
        </w:rPr>
      </w:pPr>
    </w:p>
    <w:p w14:paraId="6CB2B57C" w14:textId="77777777" w:rsidR="00DC0FE9" w:rsidRPr="000546EC" w:rsidRDefault="00DC0FE9" w:rsidP="000546EC">
      <w:pPr>
        <w:spacing w:after="0" w:line="240" w:lineRule="auto"/>
        <w:jc w:val="both"/>
        <w:rPr>
          <w:rFonts w:ascii="Times New Roman" w:hAnsi="Times New Roman" w:cs="Times New Roman"/>
        </w:rPr>
      </w:pPr>
    </w:p>
    <w:p w14:paraId="0686C2AB" w14:textId="77777777" w:rsidR="00B633A5" w:rsidRPr="000546EC" w:rsidRDefault="00B633A5" w:rsidP="000546EC">
      <w:pPr>
        <w:spacing w:after="0" w:line="240" w:lineRule="auto"/>
        <w:jc w:val="both"/>
        <w:rPr>
          <w:rFonts w:ascii="Times New Roman" w:hAnsi="Times New Roman" w:cs="Times New Roman"/>
        </w:rPr>
      </w:pPr>
    </w:p>
    <w:sectPr w:rsidR="00B633A5" w:rsidRPr="000546E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6BED" w14:textId="77777777" w:rsidR="00630089" w:rsidRDefault="00630089" w:rsidP="003750CF">
      <w:pPr>
        <w:spacing w:after="0" w:line="240" w:lineRule="auto"/>
      </w:pPr>
      <w:r>
        <w:separator/>
      </w:r>
    </w:p>
  </w:endnote>
  <w:endnote w:type="continuationSeparator" w:id="0">
    <w:p w14:paraId="391C6748" w14:textId="77777777" w:rsidR="00630089" w:rsidRDefault="00630089" w:rsidP="0037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C7E3" w14:textId="77777777" w:rsidR="003750CF" w:rsidRDefault="0037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EFB1" w14:textId="77777777" w:rsidR="003750CF" w:rsidRDefault="0037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98CC" w14:textId="77777777" w:rsidR="003750CF" w:rsidRDefault="0037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D443" w14:textId="77777777" w:rsidR="00630089" w:rsidRDefault="00630089" w:rsidP="003750CF">
      <w:pPr>
        <w:spacing w:after="0" w:line="240" w:lineRule="auto"/>
      </w:pPr>
      <w:r>
        <w:separator/>
      </w:r>
    </w:p>
  </w:footnote>
  <w:footnote w:type="continuationSeparator" w:id="0">
    <w:p w14:paraId="2EE5153B" w14:textId="77777777" w:rsidR="00630089" w:rsidRDefault="00630089" w:rsidP="0037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C997" w14:textId="36B80830" w:rsidR="003750CF" w:rsidRDefault="00000000">
    <w:pPr>
      <w:pStyle w:val="Header"/>
    </w:pPr>
    <w:r>
      <w:rPr>
        <w:noProof/>
      </w:rPr>
      <w:pict w14:anchorId="10054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89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C29D" w14:textId="49022A9C" w:rsidR="003750CF" w:rsidRDefault="00000000">
    <w:pPr>
      <w:pStyle w:val="Header"/>
    </w:pPr>
    <w:r>
      <w:rPr>
        <w:noProof/>
      </w:rPr>
      <w:pict w14:anchorId="69219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89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E82C" w14:textId="07AADD89" w:rsidR="003750CF" w:rsidRDefault="00000000">
    <w:pPr>
      <w:pStyle w:val="Header"/>
    </w:pPr>
    <w:r>
      <w:rPr>
        <w:noProof/>
      </w:rPr>
      <w:pict w14:anchorId="4B5B4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89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D84"/>
    <w:multiLevelType w:val="hybridMultilevel"/>
    <w:tmpl w:val="56D8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5404D"/>
    <w:multiLevelType w:val="hybridMultilevel"/>
    <w:tmpl w:val="7E4C8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CC39BA"/>
    <w:multiLevelType w:val="multilevel"/>
    <w:tmpl w:val="BB40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468B2"/>
    <w:multiLevelType w:val="hybridMultilevel"/>
    <w:tmpl w:val="91F050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E0763B"/>
    <w:multiLevelType w:val="hybridMultilevel"/>
    <w:tmpl w:val="327C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0972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2132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4900">
    <w:abstractNumId w:val="2"/>
  </w:num>
  <w:num w:numId="4" w16cid:durableId="473571475">
    <w:abstractNumId w:val="3"/>
  </w:num>
  <w:num w:numId="5" w16cid:durableId="1547830990">
    <w:abstractNumId w:val="1"/>
  </w:num>
  <w:num w:numId="6" w16cid:durableId="74333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E9"/>
    <w:rsid w:val="00015C93"/>
    <w:rsid w:val="000335DE"/>
    <w:rsid w:val="00053292"/>
    <w:rsid w:val="000546EC"/>
    <w:rsid w:val="00075C54"/>
    <w:rsid w:val="0009166E"/>
    <w:rsid w:val="000A1210"/>
    <w:rsid w:val="000A69AF"/>
    <w:rsid w:val="000B1242"/>
    <w:rsid w:val="000B6C05"/>
    <w:rsid w:val="000B7C7E"/>
    <w:rsid w:val="000D749A"/>
    <w:rsid w:val="00101DC8"/>
    <w:rsid w:val="00102A40"/>
    <w:rsid w:val="00111E3C"/>
    <w:rsid w:val="00124175"/>
    <w:rsid w:val="00145FE7"/>
    <w:rsid w:val="00153586"/>
    <w:rsid w:val="00156D2A"/>
    <w:rsid w:val="001630AC"/>
    <w:rsid w:val="001833C8"/>
    <w:rsid w:val="00194C18"/>
    <w:rsid w:val="001A12E4"/>
    <w:rsid w:val="001A41ED"/>
    <w:rsid w:val="001B3605"/>
    <w:rsid w:val="001B3B93"/>
    <w:rsid w:val="001C6781"/>
    <w:rsid w:val="001D4922"/>
    <w:rsid w:val="001E6D9E"/>
    <w:rsid w:val="001F36FD"/>
    <w:rsid w:val="001F7785"/>
    <w:rsid w:val="001F7CA5"/>
    <w:rsid w:val="00200D05"/>
    <w:rsid w:val="002045A7"/>
    <w:rsid w:val="00205AF5"/>
    <w:rsid w:val="00222381"/>
    <w:rsid w:val="002353EA"/>
    <w:rsid w:val="00244B5B"/>
    <w:rsid w:val="002470DD"/>
    <w:rsid w:val="00251FCB"/>
    <w:rsid w:val="00254D5F"/>
    <w:rsid w:val="002562E9"/>
    <w:rsid w:val="002A2D96"/>
    <w:rsid w:val="002B1F90"/>
    <w:rsid w:val="002B7DB7"/>
    <w:rsid w:val="002C1113"/>
    <w:rsid w:val="002C1A7E"/>
    <w:rsid w:val="002C3B70"/>
    <w:rsid w:val="002D3C40"/>
    <w:rsid w:val="002D45BF"/>
    <w:rsid w:val="002F15FE"/>
    <w:rsid w:val="002F5D22"/>
    <w:rsid w:val="0030409C"/>
    <w:rsid w:val="003264F5"/>
    <w:rsid w:val="003342FD"/>
    <w:rsid w:val="00340C70"/>
    <w:rsid w:val="003552DF"/>
    <w:rsid w:val="003750CF"/>
    <w:rsid w:val="00377A48"/>
    <w:rsid w:val="003B7518"/>
    <w:rsid w:val="003C25C8"/>
    <w:rsid w:val="003D1454"/>
    <w:rsid w:val="003D4376"/>
    <w:rsid w:val="003E69EC"/>
    <w:rsid w:val="00404873"/>
    <w:rsid w:val="0043445F"/>
    <w:rsid w:val="00435220"/>
    <w:rsid w:val="00456E82"/>
    <w:rsid w:val="00464175"/>
    <w:rsid w:val="0047348B"/>
    <w:rsid w:val="00493901"/>
    <w:rsid w:val="004A4BC9"/>
    <w:rsid w:val="004E4F0A"/>
    <w:rsid w:val="005024E6"/>
    <w:rsid w:val="00514082"/>
    <w:rsid w:val="00564442"/>
    <w:rsid w:val="005701E9"/>
    <w:rsid w:val="005764AD"/>
    <w:rsid w:val="00581B23"/>
    <w:rsid w:val="00593E52"/>
    <w:rsid w:val="005D12DC"/>
    <w:rsid w:val="005D159A"/>
    <w:rsid w:val="005E271D"/>
    <w:rsid w:val="005E3F79"/>
    <w:rsid w:val="00622681"/>
    <w:rsid w:val="00630089"/>
    <w:rsid w:val="006319E8"/>
    <w:rsid w:val="00654E31"/>
    <w:rsid w:val="00660773"/>
    <w:rsid w:val="00687E5C"/>
    <w:rsid w:val="00693C31"/>
    <w:rsid w:val="006A3C66"/>
    <w:rsid w:val="006B3714"/>
    <w:rsid w:val="006F516B"/>
    <w:rsid w:val="00730029"/>
    <w:rsid w:val="007320FF"/>
    <w:rsid w:val="00736539"/>
    <w:rsid w:val="007424C5"/>
    <w:rsid w:val="0075625E"/>
    <w:rsid w:val="007A205B"/>
    <w:rsid w:val="007E11D3"/>
    <w:rsid w:val="008359FA"/>
    <w:rsid w:val="00837EB8"/>
    <w:rsid w:val="00844D1A"/>
    <w:rsid w:val="00861D1A"/>
    <w:rsid w:val="00876A7C"/>
    <w:rsid w:val="00892F97"/>
    <w:rsid w:val="008A03BA"/>
    <w:rsid w:val="008D794B"/>
    <w:rsid w:val="008D79B9"/>
    <w:rsid w:val="00905F0A"/>
    <w:rsid w:val="00920A42"/>
    <w:rsid w:val="009373FF"/>
    <w:rsid w:val="00957402"/>
    <w:rsid w:val="0098044C"/>
    <w:rsid w:val="009C258B"/>
    <w:rsid w:val="009C4B75"/>
    <w:rsid w:val="009F28C7"/>
    <w:rsid w:val="00A221E3"/>
    <w:rsid w:val="00A50309"/>
    <w:rsid w:val="00A5490F"/>
    <w:rsid w:val="00A56978"/>
    <w:rsid w:val="00A80FCF"/>
    <w:rsid w:val="00A81F89"/>
    <w:rsid w:val="00AA123A"/>
    <w:rsid w:val="00AA368F"/>
    <w:rsid w:val="00AC4512"/>
    <w:rsid w:val="00AC4A38"/>
    <w:rsid w:val="00AC6EF4"/>
    <w:rsid w:val="00AD3847"/>
    <w:rsid w:val="00AD5E87"/>
    <w:rsid w:val="00AD60DB"/>
    <w:rsid w:val="00B30D4B"/>
    <w:rsid w:val="00B34C41"/>
    <w:rsid w:val="00B41850"/>
    <w:rsid w:val="00B50E03"/>
    <w:rsid w:val="00B633A5"/>
    <w:rsid w:val="00B7008A"/>
    <w:rsid w:val="00B856E9"/>
    <w:rsid w:val="00B86D27"/>
    <w:rsid w:val="00B9230F"/>
    <w:rsid w:val="00B95D2A"/>
    <w:rsid w:val="00BA1DA3"/>
    <w:rsid w:val="00BD2AE5"/>
    <w:rsid w:val="00BD744F"/>
    <w:rsid w:val="00BE420A"/>
    <w:rsid w:val="00BF4B13"/>
    <w:rsid w:val="00C00246"/>
    <w:rsid w:val="00C0286D"/>
    <w:rsid w:val="00C32E4D"/>
    <w:rsid w:val="00C33E59"/>
    <w:rsid w:val="00C45C65"/>
    <w:rsid w:val="00C51148"/>
    <w:rsid w:val="00CC5A8B"/>
    <w:rsid w:val="00CE0C23"/>
    <w:rsid w:val="00CE5BC4"/>
    <w:rsid w:val="00CE5CCA"/>
    <w:rsid w:val="00CE7403"/>
    <w:rsid w:val="00CF5F60"/>
    <w:rsid w:val="00D15DF8"/>
    <w:rsid w:val="00D15F42"/>
    <w:rsid w:val="00D957B1"/>
    <w:rsid w:val="00DC0E31"/>
    <w:rsid w:val="00DC0FE9"/>
    <w:rsid w:val="00DD0D26"/>
    <w:rsid w:val="00DF079A"/>
    <w:rsid w:val="00E004B2"/>
    <w:rsid w:val="00E25F17"/>
    <w:rsid w:val="00E31913"/>
    <w:rsid w:val="00E43669"/>
    <w:rsid w:val="00E7149A"/>
    <w:rsid w:val="00E727FE"/>
    <w:rsid w:val="00E77F23"/>
    <w:rsid w:val="00E91884"/>
    <w:rsid w:val="00EC134D"/>
    <w:rsid w:val="00EC7E5D"/>
    <w:rsid w:val="00ED55A0"/>
    <w:rsid w:val="00ED5729"/>
    <w:rsid w:val="00ED7CC3"/>
    <w:rsid w:val="00EE569C"/>
    <w:rsid w:val="00F06244"/>
    <w:rsid w:val="00F45635"/>
    <w:rsid w:val="00F6158D"/>
    <w:rsid w:val="00FD63BA"/>
    <w:rsid w:val="00FE5BA0"/>
    <w:rsid w:val="00FE60A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D4F2F"/>
  <w15:chartTrackingRefBased/>
  <w15:docId w15:val="{53B2FB71-AEEA-47EB-8777-8103B54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E9"/>
  </w:style>
  <w:style w:type="paragraph" w:styleId="Heading1">
    <w:name w:val="heading 1"/>
    <w:basedOn w:val="Normal"/>
    <w:next w:val="Normal"/>
    <w:link w:val="Heading1Char"/>
    <w:uiPriority w:val="9"/>
    <w:qFormat/>
    <w:rsid w:val="00DC0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0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0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C0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C0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FE9"/>
    <w:rPr>
      <w:rFonts w:eastAsiaTheme="majorEastAsia" w:cstheme="majorBidi"/>
      <w:color w:val="272727" w:themeColor="text1" w:themeTint="D8"/>
    </w:rPr>
  </w:style>
  <w:style w:type="paragraph" w:styleId="Title">
    <w:name w:val="Title"/>
    <w:basedOn w:val="Normal"/>
    <w:next w:val="Normal"/>
    <w:link w:val="TitleChar"/>
    <w:uiPriority w:val="10"/>
    <w:qFormat/>
    <w:rsid w:val="00DC0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FE9"/>
    <w:pPr>
      <w:spacing w:before="160"/>
      <w:jc w:val="center"/>
    </w:pPr>
    <w:rPr>
      <w:i/>
      <w:iCs/>
      <w:color w:val="404040" w:themeColor="text1" w:themeTint="BF"/>
    </w:rPr>
  </w:style>
  <w:style w:type="character" w:customStyle="1" w:styleId="QuoteChar">
    <w:name w:val="Quote Char"/>
    <w:basedOn w:val="DefaultParagraphFont"/>
    <w:link w:val="Quote"/>
    <w:uiPriority w:val="29"/>
    <w:rsid w:val="00DC0FE9"/>
    <w:rPr>
      <w:i/>
      <w:iCs/>
      <w:color w:val="404040" w:themeColor="text1" w:themeTint="BF"/>
    </w:rPr>
  </w:style>
  <w:style w:type="paragraph" w:styleId="ListParagraph">
    <w:name w:val="List Paragraph"/>
    <w:basedOn w:val="Normal"/>
    <w:uiPriority w:val="34"/>
    <w:qFormat/>
    <w:rsid w:val="00DC0FE9"/>
    <w:pPr>
      <w:ind w:left="720"/>
      <w:contextualSpacing/>
    </w:pPr>
  </w:style>
  <w:style w:type="character" w:styleId="IntenseEmphasis">
    <w:name w:val="Intense Emphasis"/>
    <w:basedOn w:val="DefaultParagraphFont"/>
    <w:uiPriority w:val="21"/>
    <w:qFormat/>
    <w:rsid w:val="00DC0FE9"/>
    <w:rPr>
      <w:i/>
      <w:iCs/>
      <w:color w:val="2F5496" w:themeColor="accent1" w:themeShade="BF"/>
    </w:rPr>
  </w:style>
  <w:style w:type="paragraph" w:styleId="IntenseQuote">
    <w:name w:val="Intense Quote"/>
    <w:basedOn w:val="Normal"/>
    <w:next w:val="Normal"/>
    <w:link w:val="IntenseQuoteChar"/>
    <w:uiPriority w:val="30"/>
    <w:qFormat/>
    <w:rsid w:val="00DC0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FE9"/>
    <w:rPr>
      <w:i/>
      <w:iCs/>
      <w:color w:val="2F5496" w:themeColor="accent1" w:themeShade="BF"/>
    </w:rPr>
  </w:style>
  <w:style w:type="character" w:styleId="IntenseReference">
    <w:name w:val="Intense Reference"/>
    <w:basedOn w:val="DefaultParagraphFont"/>
    <w:uiPriority w:val="32"/>
    <w:qFormat/>
    <w:rsid w:val="00DC0FE9"/>
    <w:rPr>
      <w:b/>
      <w:bCs/>
      <w:smallCaps/>
      <w:color w:val="2F5496" w:themeColor="accent1" w:themeShade="BF"/>
      <w:spacing w:val="5"/>
    </w:rPr>
  </w:style>
  <w:style w:type="paragraph" w:styleId="NormalWeb">
    <w:name w:val="Normal (Web)"/>
    <w:basedOn w:val="Normal"/>
    <w:uiPriority w:val="99"/>
    <w:unhideWhenUsed/>
    <w:rsid w:val="00B30D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30D4B"/>
    <w:rPr>
      <w:i/>
      <w:iCs/>
    </w:rPr>
  </w:style>
  <w:style w:type="table" w:styleId="TableGrid">
    <w:name w:val="Table Grid"/>
    <w:basedOn w:val="TableNormal"/>
    <w:uiPriority w:val="39"/>
    <w:rsid w:val="00B30D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0D4B"/>
    <w:rPr>
      <w:color w:val="0000FF"/>
      <w:u w:val="single"/>
    </w:rPr>
  </w:style>
  <w:style w:type="paragraph" w:customStyle="1" w:styleId="para">
    <w:name w:val="para"/>
    <w:basedOn w:val="Normal"/>
    <w:rsid w:val="00B30D4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lfld-contribauthor">
    <w:name w:val="hlfld-contribauthor"/>
    <w:basedOn w:val="DefaultParagraphFont"/>
    <w:rsid w:val="00B30D4B"/>
  </w:style>
  <w:style w:type="character" w:customStyle="1" w:styleId="seriestitle">
    <w:name w:val="seriestitle"/>
    <w:basedOn w:val="DefaultParagraphFont"/>
    <w:rsid w:val="00B30D4B"/>
  </w:style>
  <w:style w:type="character" w:customStyle="1" w:styleId="volume">
    <w:name w:val="volume"/>
    <w:basedOn w:val="DefaultParagraphFont"/>
    <w:rsid w:val="00B30D4B"/>
  </w:style>
  <w:style w:type="character" w:customStyle="1" w:styleId="issue">
    <w:name w:val="issue"/>
    <w:basedOn w:val="DefaultParagraphFont"/>
    <w:rsid w:val="00B30D4B"/>
  </w:style>
  <w:style w:type="character" w:customStyle="1" w:styleId="page-range">
    <w:name w:val="page-range"/>
    <w:basedOn w:val="DefaultParagraphFont"/>
    <w:rsid w:val="00B30D4B"/>
  </w:style>
  <w:style w:type="paragraph" w:customStyle="1" w:styleId="Default">
    <w:name w:val="Default"/>
    <w:rsid w:val="00B30D4B"/>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F06244"/>
    <w:rPr>
      <w:color w:val="605E5C"/>
      <w:shd w:val="clear" w:color="auto" w:fill="E1DFDD"/>
    </w:rPr>
  </w:style>
  <w:style w:type="paragraph" w:styleId="Header">
    <w:name w:val="header"/>
    <w:basedOn w:val="Normal"/>
    <w:link w:val="HeaderChar"/>
    <w:uiPriority w:val="99"/>
    <w:unhideWhenUsed/>
    <w:rsid w:val="0037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0CF"/>
  </w:style>
  <w:style w:type="paragraph" w:styleId="Footer">
    <w:name w:val="footer"/>
    <w:basedOn w:val="Normal"/>
    <w:link w:val="FooterChar"/>
    <w:uiPriority w:val="99"/>
    <w:unhideWhenUsed/>
    <w:rsid w:val="0037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antibiotics12020191" TargetMode="External"/><Relationship Id="rId18" Type="http://schemas.openxmlformats.org/officeDocument/2006/relationships/hyperlink" Target="https://doi.org/10.53555/AJBR.v28i1S.33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4103/njgh.njgh_10_22" TargetMode="External"/><Relationship Id="rId7" Type="http://schemas.openxmlformats.org/officeDocument/2006/relationships/endnotes" Target="endnotes.xml"/><Relationship Id="rId12" Type="http://schemas.openxmlformats.org/officeDocument/2006/relationships/hyperlink" Target="https://falkfoundation.org/en/fgr/detail/global-prevalence-of-helicobacter-pylori-infection-and-incidence-of-gastric-cancer-between-1980-and-2022/?utm_source=chatgpt.com" TargetMode="External"/><Relationship Id="rId17" Type="http://schemas.openxmlformats.org/officeDocument/2006/relationships/hyperlink" Target="http://www.kck.usm.my/ppsg/aos/Vol_1/09_14_Ayub.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1608/MID.2022.120290.1245" TargetMode="External"/><Relationship Id="rId20" Type="http://schemas.openxmlformats.org/officeDocument/2006/relationships/hyperlink" Target="https://www.scribbr.com/methodology/inclsion-exclusion-criter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expert-reviews-in-molecular-medicine/article/helicobacter-pylori-virulence-factors-subversion-of-host-immune-system-and-development-of-various-clinical-outcomes/A5BD0FF126B70ECDF41CBA8D5B21462D?utm_source=chatgpt.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3099025007081" TargetMode="External"/><Relationship Id="rId23" Type="http://schemas.openxmlformats.org/officeDocument/2006/relationships/hyperlink" Target="https://doi.org/10.1016/S23524642(21)004004" TargetMode="External"/><Relationship Id="rId28" Type="http://schemas.openxmlformats.org/officeDocument/2006/relationships/header" Target="header3.xml"/><Relationship Id="rId10" Type="http://schemas.openxmlformats.org/officeDocument/2006/relationships/hyperlink" Target="https://doi.org/10.1186/s13643-024-02490-x" TargetMode="External"/><Relationship Id="rId19" Type="http://schemas.openxmlformats.org/officeDocument/2006/relationships/hyperlink" Target="https://journalirjgh.com/index.php/IRJGH/article/view/1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ndeley.com/catalogue/932a707c-773a-37bd-af61-662fa9604148/?utm_source=chatgpt.com" TargetMode="External"/><Relationship Id="rId22" Type="http://schemas.openxmlformats.org/officeDocument/2006/relationships/hyperlink" Target="https://www.wma.net/what-we-do/medical-ethics/declaration-of-helsinki"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26FC9-4ACF-41DE-B28B-BA723D3C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Editor-90</cp:lastModifiedBy>
  <cp:revision>181</cp:revision>
  <dcterms:created xsi:type="dcterms:W3CDTF">2025-11-04T21:29:00Z</dcterms:created>
  <dcterms:modified xsi:type="dcterms:W3CDTF">2025-12-16T07:52:00Z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6ec52bc5-d2f6-4b47-b58f-538d567c090e</vt:lpwstr>
  </property>
</Properties>
</file>