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85EC7C" w14:textId="33031365" w:rsidR="002B5866" w:rsidRPr="002B5866" w:rsidRDefault="002B5866" w:rsidP="002B5866">
      <w:pPr>
        <w:pStyle w:val="Title"/>
        <w:spacing w:line="276" w:lineRule="auto"/>
        <w:jc w:val="both"/>
        <w:rPr>
          <w:rFonts w:ascii="Arial" w:eastAsia="Arial" w:hAnsi="Arial" w:cs="Arial"/>
          <w:szCs w:val="24"/>
        </w:rPr>
      </w:pPr>
      <w:r w:rsidRPr="002B5866">
        <w:rPr>
          <w:rFonts w:ascii="Arial" w:eastAsia="Arial" w:hAnsi="Arial" w:cs="Arial"/>
          <w:szCs w:val="24"/>
        </w:rPr>
        <w:t>Beyond Bees: Emerging Roles of Non-Honeybee Pollinators in Agriculture</w:t>
      </w:r>
      <w:bookmarkStart w:id="0" w:name="_GoBack"/>
      <w:bookmarkEnd w:id="0"/>
    </w:p>
    <w:p w14:paraId="02CE1FA7" w14:textId="77777777" w:rsidR="002C57D2" w:rsidRPr="00FB3A86" w:rsidRDefault="002C57D2" w:rsidP="00441B6F">
      <w:pPr>
        <w:pStyle w:val="Affiliation"/>
        <w:spacing w:after="0" w:line="240" w:lineRule="auto"/>
        <w:jc w:val="both"/>
        <w:rPr>
          <w:rFonts w:ascii="Arial" w:hAnsi="Arial" w:cs="Arial"/>
        </w:rPr>
      </w:pPr>
    </w:p>
    <w:p w14:paraId="38A0EB89" w14:textId="77777777" w:rsidR="00B01FCD" w:rsidRPr="00FB3A86" w:rsidRDefault="000203C3" w:rsidP="00441B6F">
      <w:pPr>
        <w:pStyle w:val="Copyright"/>
        <w:spacing w:after="0" w:line="240" w:lineRule="auto"/>
        <w:jc w:val="both"/>
        <w:rPr>
          <w:rFonts w:ascii="Arial" w:hAnsi="Arial" w:cs="Arial"/>
        </w:rPr>
        <w:sectPr w:rsidR="00B01FCD" w:rsidRPr="00FB3A86" w:rsidSect="000B6577">
          <w:headerReference w:type="first" r:id="rId8"/>
          <w:footerReference w:type="first" r:id="rId9"/>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E135B16" wp14:editId="379A2F23">
                <wp:extent cx="5303520" cy="635"/>
                <wp:effectExtent l="0" t="0" r="11430" b="18415"/>
                <wp:docPr id="1298268281"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3F576F1"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" strokeweight="1.5pt">
                <o:lock v:ext="edit" shapetype="f"/>
                <w10:anchorlock/>
              </v:shape>
            </w:pict>
          </mc:Fallback>
        </mc:AlternateContent>
      </w:r>
      <w:r w:rsidR="00FB3A86">
        <w:rPr>
          <w:rFonts w:ascii="Arial" w:hAnsi="Arial" w:cs="Arial"/>
        </w:rPr>
        <w:t>.</w:t>
      </w:r>
    </w:p>
    <w:p w14:paraId="1078C483"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41782A0" w14:textId="77777777" w:rsidR="00D94C48" w:rsidRPr="00FB3A86" w:rsidRDefault="00D94C48" w:rsidP="00441B6F">
      <w:pPr>
        <w:pStyle w:val="AbstHead"/>
        <w:spacing w:after="0"/>
        <w:jc w:val="both"/>
        <w:rPr>
          <w:rFonts w:ascii="Arial" w:hAnsi="Arial" w:cs="Arial"/>
        </w:rPr>
      </w:pPr>
    </w:p>
    <w:tbl>
      <w:tblPr>
        <w:tblW w:w="8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633"/>
      </w:tblGrid>
      <w:tr w:rsidR="00296529" w:rsidRPr="001E44FE" w14:paraId="7988259F" w14:textId="77777777" w:rsidTr="00111EA1">
        <w:trPr>
          <w:trHeight w:val="4050"/>
        </w:trPr>
        <w:tc>
          <w:tcPr>
            <w:tcW w:w="8633" w:type="dxa"/>
            <w:shd w:val="clear" w:color="auto" w:fill="F2F2F2"/>
          </w:tcPr>
          <w:p w14:paraId="14FAEDF9" w14:textId="77777777" w:rsidR="00505F06" w:rsidRPr="00111EA1" w:rsidRDefault="00111EA1" w:rsidP="00111EA1">
            <w:pPr>
              <w:spacing w:after="300"/>
              <w:jc w:val="both"/>
              <w:rPr>
                <w:rFonts w:ascii="Arial" w:hAnsi="Arial" w:cs="Arial"/>
                <w:szCs w:val="24"/>
              </w:rPr>
            </w:pPr>
            <w:r w:rsidRPr="00111EA1">
              <w:rPr>
                <w:rFonts w:ascii="Arial" w:eastAsia="Arial" w:hAnsi="Arial" w:cs="Arial"/>
                <w:szCs w:val="24"/>
              </w:rPr>
              <w:t>Global agriculture has long depended on the managed European honeybee (</w:t>
            </w:r>
            <w:r w:rsidRPr="00111EA1">
              <w:rPr>
                <w:rFonts w:ascii="Arial" w:eastAsia="Arial" w:hAnsi="Arial" w:cs="Arial"/>
                <w:i/>
                <w:szCs w:val="24"/>
              </w:rPr>
              <w:t>Apis mellifera</w:t>
            </w:r>
            <w:r w:rsidRPr="00111EA1">
              <w:rPr>
                <w:rFonts w:ascii="Arial" w:eastAsia="Arial" w:hAnsi="Arial" w:cs="Arial"/>
                <w:szCs w:val="24"/>
              </w:rPr>
              <w:t xml:space="preserve">) for crop pollination, an ecosystem service valued at over €150 billion annually. However, increasing reports of honeybee population declines, coupled with the inherent risks of relying on a single pollinator species, have catalyzed a paradigm shift in pollination ecology. This review synthesizes recent peer-reviewed literature to illuminate the critical and often </w:t>
            </w:r>
            <w:proofErr w:type="gramStart"/>
            <w:r w:rsidRPr="00111EA1">
              <w:rPr>
                <w:rFonts w:ascii="Arial" w:eastAsia="Arial" w:hAnsi="Arial" w:cs="Arial"/>
                <w:szCs w:val="24"/>
              </w:rPr>
              <w:t>underestimated,</w:t>
            </w:r>
            <w:proofErr w:type="gramEnd"/>
            <w:r w:rsidRPr="00111EA1">
              <w:rPr>
                <w:rFonts w:ascii="Arial" w:eastAsia="Arial" w:hAnsi="Arial" w:cs="Arial"/>
                <w:szCs w:val="24"/>
              </w:rPr>
              <w:t xml:space="preserve"> roles of non-honeybee pollinators in sustaining agricultural productivity. We explore the diverse taxa contributing to crop pollination, including wild bees, hoverflies, moths, butterflies, beetles, birds and bats. Evidence demonstrates that these alternative pollinators are not merely supplementary but are often more efficient on a per-visit basis and can significantly enhance crop yield and quality, even in the presence of abundant honeybees. Furthermore, a high diversity of pollinators provides functional redundancy and resilience to agroecosystems against environmental change. We examine the economic implications of this biodiversity, the synergistic interactions between different pollinator groups and the urgent need for conservation strategies that extend beyond the hive. By integrating ecological knowledge with agricultural practice, policies can be developed to protect this natural capital, ensuring the stability of food production systems. This review underscores that the future of agricultural sustainability lies in recognizing and conserving the full spectrum of pollinating animals.</w:t>
            </w:r>
          </w:p>
        </w:tc>
      </w:tr>
    </w:tbl>
    <w:p w14:paraId="77183F7E" w14:textId="77777777" w:rsidR="00636EB2" w:rsidRDefault="00636EB2" w:rsidP="00441B6F">
      <w:pPr>
        <w:pStyle w:val="Body"/>
        <w:spacing w:after="0"/>
        <w:rPr>
          <w:rFonts w:ascii="Arial" w:hAnsi="Arial" w:cs="Arial"/>
          <w:i/>
        </w:rPr>
      </w:pPr>
    </w:p>
    <w:p w14:paraId="7848B2D7" w14:textId="77777777" w:rsidR="0024282C" w:rsidRPr="00832F88" w:rsidRDefault="00A24E7E" w:rsidP="00832F88">
      <w:pPr>
        <w:spacing w:after="300"/>
        <w:jc w:val="both"/>
        <w:rPr>
          <w:rFonts w:ascii="Arial" w:hAnsi="Arial" w:cs="Arial"/>
          <w:i/>
          <w:iCs/>
          <w:szCs w:val="24"/>
        </w:rPr>
      </w:pPr>
      <w:r>
        <w:rPr>
          <w:rFonts w:ascii="Arial" w:hAnsi="Arial" w:cs="Arial"/>
          <w:i/>
        </w:rPr>
        <w:t xml:space="preserve">Keywords: </w:t>
      </w:r>
      <w:r w:rsidR="007E56C8" w:rsidRPr="007E56C8">
        <w:rPr>
          <w:rFonts w:ascii="Arial" w:eastAsia="Arial" w:hAnsi="Arial" w:cs="Arial"/>
          <w:i/>
          <w:iCs/>
          <w:szCs w:val="24"/>
        </w:rPr>
        <w:t>Pollination, biodiversity, wild pollinators, agricultural sustainability, hoverflies, moths, ecosystem resilience</w:t>
      </w:r>
      <w:r w:rsidR="007E56C8">
        <w:rPr>
          <w:rFonts w:ascii="Arial" w:eastAsia="Arial" w:hAnsi="Arial" w:cs="Arial"/>
          <w:i/>
          <w:iCs/>
          <w:szCs w:val="24"/>
        </w:rPr>
        <w:t xml:space="preserve"> and </w:t>
      </w:r>
      <w:r w:rsidR="007E56C8" w:rsidRPr="007E56C8">
        <w:rPr>
          <w:rFonts w:ascii="Arial" w:eastAsia="Arial" w:hAnsi="Arial" w:cs="Arial"/>
          <w:i/>
          <w:iCs/>
          <w:szCs w:val="24"/>
        </w:rPr>
        <w:t>conservation policy</w:t>
      </w:r>
      <w:r w:rsidR="007E56C8">
        <w:rPr>
          <w:rFonts w:ascii="Arial" w:eastAsia="Arial" w:hAnsi="Arial" w:cs="Arial"/>
          <w:i/>
          <w:iCs/>
          <w:szCs w:val="24"/>
        </w:rPr>
        <w:t>.</w:t>
      </w:r>
    </w:p>
    <w:p w14:paraId="1801DBDE" w14:textId="77777777" w:rsidR="00505F06" w:rsidRPr="00A24E7E" w:rsidRDefault="00505F06" w:rsidP="00441B6F">
      <w:pPr>
        <w:pStyle w:val="Body"/>
        <w:spacing w:after="0"/>
        <w:rPr>
          <w:rFonts w:ascii="Arial" w:hAnsi="Arial" w:cs="Arial"/>
          <w:i/>
        </w:rPr>
      </w:pPr>
    </w:p>
    <w:p w14:paraId="1A5C8D92" w14:textId="77777777"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3DDB9C4" w14:textId="77777777" w:rsidR="00D71F88" w:rsidRPr="000F1DA9" w:rsidRDefault="00D71F88" w:rsidP="00D71F88">
      <w:pPr>
        <w:spacing w:after="300"/>
        <w:jc w:val="both"/>
        <w:rPr>
          <w:rFonts w:ascii="Arial" w:eastAsia="Arial" w:hAnsi="Arial" w:cs="Arial"/>
          <w:szCs w:val="24"/>
        </w:rPr>
      </w:pPr>
      <w:r w:rsidRPr="000F1DA9">
        <w:rPr>
          <w:rFonts w:ascii="Arial" w:eastAsia="Arial" w:hAnsi="Arial" w:cs="Arial"/>
          <w:szCs w:val="24"/>
        </w:rPr>
        <w:t xml:space="preserve">Animal-mediated pollination is a vital ecosystem service that supports the reproduction of more than 85% of flowering plant species and contributes to the yield of nearly 75% of the world’s leading food crops (Klein, 2007; </w:t>
      </w:r>
      <w:proofErr w:type="spellStart"/>
      <w:r w:rsidRPr="000F1DA9">
        <w:rPr>
          <w:rFonts w:ascii="Arial" w:eastAsia="Arial" w:hAnsi="Arial" w:cs="Arial"/>
          <w:szCs w:val="24"/>
        </w:rPr>
        <w:t>Sadafale</w:t>
      </w:r>
      <w:proofErr w:type="spellEnd"/>
      <w:r w:rsidRPr="000F1DA9">
        <w:rPr>
          <w:rFonts w:ascii="Arial" w:eastAsia="Arial" w:hAnsi="Arial" w:cs="Arial"/>
          <w:szCs w:val="24"/>
        </w:rPr>
        <w:t xml:space="preserve"> et al., 2025). Beyond its ecological importance, pollination also carries substantial economic value, with global estimates suggesting an annual contribution of around €153 billion to agricultural production (Gallai et al., 2009). In many agricultural landscapes, especially under intensive and industrial production systems dominated by large-scale monocultures, pollination management has historically been built around a single domesticated pollinator species: the European honeybee (</w:t>
      </w:r>
      <w:r w:rsidRPr="000F1DA9">
        <w:rPr>
          <w:rFonts w:ascii="Arial" w:eastAsia="Arial" w:hAnsi="Arial" w:cs="Arial"/>
          <w:i/>
          <w:iCs/>
          <w:szCs w:val="24"/>
        </w:rPr>
        <w:t>Apis mellifera</w:t>
      </w:r>
      <w:r w:rsidRPr="000F1DA9">
        <w:rPr>
          <w:rFonts w:ascii="Arial" w:eastAsia="Arial" w:hAnsi="Arial" w:cs="Arial"/>
          <w:szCs w:val="24"/>
        </w:rPr>
        <w:t>). Its ease of management, large colony size, and broad foraging range have made it the primary species used in commercial pollination services worldwide, frequently transported across regions to meet seasonal crop demand (Adit et al., 2024).</w:t>
      </w:r>
    </w:p>
    <w:p w14:paraId="2C2C76E3" w14:textId="77777777" w:rsidR="00D71F88" w:rsidRPr="000F1DA9" w:rsidRDefault="00D71F88" w:rsidP="00D71F88">
      <w:pPr>
        <w:spacing w:after="300"/>
        <w:jc w:val="both"/>
        <w:rPr>
          <w:rFonts w:ascii="Arial" w:eastAsia="Arial" w:hAnsi="Arial" w:cs="Arial"/>
          <w:szCs w:val="24"/>
        </w:rPr>
      </w:pPr>
      <w:r w:rsidRPr="000F1DA9">
        <w:rPr>
          <w:rFonts w:ascii="Arial" w:eastAsia="Arial" w:hAnsi="Arial" w:cs="Arial"/>
          <w:szCs w:val="24"/>
        </w:rPr>
        <w:t>However, this high dependence on one managed pollinator species has created vulnerability within agricultural production systems. Over the past two decades, widespread reports of colony losses and declines in honeybee health have raised serious concerns, with multiple interacting stressors implicated, including pesticide exposure, parasites and pathogens, habitat degradation, and climate-related disruption of flowering patterns (Maqbool et al., 2025). Such pressures have intensified warnings of an emerging “pollination crisis,” with implications not only for crop yield stability but also for broader food and nutritional security (Buchmann and Nabhan, 1996). This situation highlights that pollination reliability cannot be ensured through honeybee-based systems alone and underlines the importance of strengthening pollination services through diversification.</w:t>
      </w:r>
    </w:p>
    <w:p w14:paraId="40D99E68" w14:textId="77777777" w:rsidR="00D71F88" w:rsidRPr="000F1DA9" w:rsidRDefault="00D71F88" w:rsidP="00D71F88">
      <w:pPr>
        <w:spacing w:after="300"/>
        <w:jc w:val="both"/>
        <w:rPr>
          <w:rFonts w:ascii="Arial" w:eastAsia="Arial" w:hAnsi="Arial" w:cs="Arial"/>
          <w:szCs w:val="24"/>
        </w:rPr>
      </w:pPr>
      <w:r w:rsidRPr="000F1DA9">
        <w:rPr>
          <w:rFonts w:ascii="Arial" w:eastAsia="Arial" w:hAnsi="Arial" w:cs="Arial"/>
          <w:szCs w:val="24"/>
        </w:rPr>
        <w:lastRenderedPageBreak/>
        <w:t>In this context, the term “alternative pollinators” refers to the diverse group of non-</w:t>
      </w:r>
      <w:r w:rsidRPr="000F1DA9">
        <w:rPr>
          <w:rFonts w:ascii="Arial" w:eastAsia="Arial" w:hAnsi="Arial" w:cs="Arial"/>
          <w:i/>
          <w:iCs/>
          <w:szCs w:val="24"/>
        </w:rPr>
        <w:t>Apis mellifera</w:t>
      </w:r>
      <w:r w:rsidRPr="000F1DA9">
        <w:rPr>
          <w:rFonts w:ascii="Arial" w:eastAsia="Arial" w:hAnsi="Arial" w:cs="Arial"/>
          <w:szCs w:val="24"/>
        </w:rPr>
        <w:t xml:space="preserve"> organisms that contribute to crop pollination, including wild bees (solitary bees, bumble bees, stingless bees), flies (Syrphidae and other Diptera), beetles, butterflies and moths, and, in some cropping systems, vertebrate pollinators such as birds and bats. These pollinators may operate independently of managed honeybee colonies or complement honeybee activity through differences in foraging behavior, temporal activity, flower-handling ability, and tolerance to varied climatic conditions. Importantly, alternative pollinators can be especially valuable in farming systems where honeybee pollination is limited or unstable, including regions with fragmented habitats, low-input agroecosystems, and landscapes experiencing increasing climatic variability.</w:t>
      </w:r>
    </w:p>
    <w:p w14:paraId="779EE19B" w14:textId="77777777" w:rsidR="00D71F88" w:rsidRPr="000F1DA9" w:rsidRDefault="00D71F88" w:rsidP="00D71F88">
      <w:pPr>
        <w:spacing w:after="300"/>
        <w:jc w:val="both"/>
        <w:rPr>
          <w:rFonts w:ascii="Arial" w:eastAsia="Arial" w:hAnsi="Arial" w:cs="Arial"/>
          <w:szCs w:val="24"/>
        </w:rPr>
      </w:pPr>
      <w:r w:rsidRPr="000F1DA9">
        <w:rPr>
          <w:rFonts w:ascii="Arial" w:eastAsia="Arial" w:hAnsi="Arial" w:cs="Arial"/>
          <w:szCs w:val="24"/>
        </w:rPr>
        <w:t>This review synthesizes current research on the emerging and essential contributions of alternative pollinators to agriculture, with relevance across both industrial and agroecological production systems. We examine the diversity of non-honeybee pollinators associated with crops, assess their comparative effectiveness and economic importance, and discuss how pollinator diversity can enhance stability and resilience of pollination services through ecological complementarity. Finally, we outline conservation priorities and policy directions needed to protect these organisms and support pollinator-friendly agricultural landscapes, thereby strengthening sustainable crop production in the face of ongoing environmental change.</w:t>
      </w:r>
    </w:p>
    <w:p w14:paraId="0E47B96E" w14:textId="77777777" w:rsidR="00EB04EC" w:rsidRPr="00EB04EC" w:rsidRDefault="00EB04EC" w:rsidP="00EB04EC">
      <w:pPr>
        <w:pStyle w:val="Heading1"/>
        <w:spacing w:before="300" w:after="300"/>
        <w:jc w:val="both"/>
        <w:rPr>
          <w:rFonts w:cs="Arial"/>
          <w:sz w:val="22"/>
          <w:szCs w:val="24"/>
        </w:rPr>
      </w:pPr>
      <w:r w:rsidRPr="00EB04EC">
        <w:rPr>
          <w:rFonts w:eastAsia="Arial" w:cs="Arial"/>
          <w:sz w:val="22"/>
          <w:szCs w:val="24"/>
        </w:rPr>
        <w:t>2. THE ECONOMIC IMPERATIVE FOR DIVERSE POLLINATORS</w:t>
      </w:r>
    </w:p>
    <w:p w14:paraId="70A17179" w14:textId="77777777" w:rsidR="00EB04EC" w:rsidRPr="0008084A" w:rsidRDefault="00EB04EC" w:rsidP="00EB04EC">
      <w:pPr>
        <w:spacing w:after="300"/>
        <w:jc w:val="both"/>
        <w:rPr>
          <w:rFonts w:ascii="Arial" w:hAnsi="Arial" w:cs="Arial"/>
        </w:rPr>
      </w:pPr>
      <w:r w:rsidRPr="0008084A">
        <w:rPr>
          <w:rFonts w:ascii="Arial" w:eastAsia="Arial" w:hAnsi="Arial" w:cs="Arial"/>
        </w:rPr>
        <w:t>The economic valuation of pollination services has traditionally focused on the contributions of managed honeybees. However, recent analyses reveal that wild pollinators provide a substantial, and often unmonetized, subsidy to agriculture. Studies have shown that wild insects provide sufficient pollination for many crops and their services can be valued in the billions of dollars annually (Hein, 2009). For instance, a hypothetical collapse of wild pollinators in Europe is projected to reduce crop output by an average of 25-32%, leading to significant price increases and disruptions to global food trade (</w:t>
      </w:r>
      <w:r w:rsidRPr="0008084A">
        <w:rPr>
          <w:rFonts w:ascii="Arial" w:hAnsi="Arial" w:cs="Arial"/>
        </w:rPr>
        <w:t xml:space="preserve">Feuerbacher </w:t>
      </w:r>
      <w:r w:rsidRPr="0008084A">
        <w:rPr>
          <w:rFonts w:ascii="Arial" w:hAnsi="Arial" w:cs="Arial"/>
          <w:i/>
          <w:iCs/>
        </w:rPr>
        <w:t>et al</w:t>
      </w:r>
      <w:r w:rsidRPr="0008084A">
        <w:rPr>
          <w:rFonts w:ascii="Arial" w:hAnsi="Arial" w:cs="Arial"/>
        </w:rPr>
        <w:t>.,</w:t>
      </w:r>
      <w:r w:rsidRPr="0008084A">
        <w:rPr>
          <w:rFonts w:ascii="Arial" w:eastAsia="Arial" w:hAnsi="Arial" w:cs="Arial"/>
        </w:rPr>
        <w:t xml:space="preserve"> 2025). This underscores the profound economic vulnerability of agricultural systems that neglect the conservation of wild pollinator communities.</w:t>
      </w:r>
    </w:p>
    <w:p w14:paraId="7C8B17DA" w14:textId="43201DDB" w:rsidR="00EB04EC" w:rsidRDefault="00EB04EC" w:rsidP="00EB04EC">
      <w:pPr>
        <w:spacing w:after="300"/>
        <w:jc w:val="both"/>
        <w:rPr>
          <w:rFonts w:ascii="Arial" w:eastAsia="Arial" w:hAnsi="Arial" w:cs="Arial"/>
        </w:rPr>
      </w:pPr>
      <w:r w:rsidRPr="0008084A">
        <w:rPr>
          <w:rFonts w:ascii="Arial" w:eastAsia="Arial" w:hAnsi="Arial" w:cs="Arial"/>
        </w:rPr>
        <w:t xml:space="preserve">Investing in pollinator diversity is not merely a buffer against honeybee decline; it is a direct investment in agricultural productivity. Research across various cropping systems demonstrates that a greater diversity of pollinators often leads to higher yields. This is attributed to mechanisms such as complementary pollination, where different species forage at different times of day, under different weather conditions, or on different parts of the flower, ensuring more complete fertilization (Klatt </w:t>
      </w:r>
      <w:r w:rsidRPr="0008084A">
        <w:rPr>
          <w:rFonts w:ascii="Arial" w:eastAsia="Arial" w:hAnsi="Arial" w:cs="Arial"/>
          <w:i/>
        </w:rPr>
        <w:t>et al</w:t>
      </w:r>
      <w:r w:rsidRPr="0008084A">
        <w:rPr>
          <w:rFonts w:ascii="Arial" w:eastAsia="Arial" w:hAnsi="Arial" w:cs="Arial"/>
        </w:rPr>
        <w:t xml:space="preserve">., 2014). Furthermore, interactions between honeybees and wild pollinators can enhance overall pollination efficiency. For example, the presence of wild bees can alter honeybee foraging behavior, causing them to move more frequently between plant rows and increasing cross-pollination rates (Greenleaf and Kremen, 2006). The economic case for conserving a broad suite of pollinators is therefore clear: diversity enhances both the stability and the output of agricultural production (Lautenbach </w:t>
      </w:r>
      <w:r w:rsidRPr="0008084A">
        <w:rPr>
          <w:rFonts w:ascii="Arial" w:eastAsia="Arial" w:hAnsi="Arial" w:cs="Arial"/>
          <w:i/>
        </w:rPr>
        <w:t>et al</w:t>
      </w:r>
      <w:r w:rsidRPr="0008084A">
        <w:rPr>
          <w:rFonts w:ascii="Arial" w:eastAsia="Arial" w:hAnsi="Arial" w:cs="Arial"/>
        </w:rPr>
        <w:t>., 2012).</w:t>
      </w:r>
    </w:p>
    <w:p w14:paraId="4226300D" w14:textId="1DD2B8F6" w:rsidR="00CD08E2" w:rsidRPr="00CD08E2" w:rsidRDefault="00CD08E2" w:rsidP="00EB04EC">
      <w:pPr>
        <w:spacing w:after="300"/>
        <w:jc w:val="both"/>
        <w:rPr>
          <w:rFonts w:ascii="Arial" w:hAnsi="Arial" w:cs="Arial"/>
          <w:b/>
        </w:rPr>
      </w:pPr>
      <w:r w:rsidRPr="00CD08E2">
        <w:rPr>
          <w:rFonts w:ascii="Arial" w:hAnsi="Arial" w:cs="Arial"/>
          <w:b/>
        </w:rPr>
        <w:t xml:space="preserve">                </w:t>
      </w:r>
      <w:r>
        <w:rPr>
          <w:rFonts w:ascii="Arial" w:hAnsi="Arial" w:cs="Arial"/>
          <w:b/>
        </w:rPr>
        <w:t xml:space="preserve">Fig 1: </w:t>
      </w:r>
      <w:r w:rsidRPr="00CD08E2">
        <w:rPr>
          <w:rFonts w:ascii="Arial" w:hAnsi="Arial" w:cs="Arial"/>
          <w:b/>
        </w:rPr>
        <w:t xml:space="preserve">   The Spectrum of Non-Honeybee Pollinators in Agriculture</w:t>
      </w:r>
    </w:p>
    <w:p w14:paraId="7F1F11C8" w14:textId="77777777" w:rsidR="00EB04EC" w:rsidRPr="00832F88" w:rsidRDefault="00B66A39" w:rsidP="00832F88">
      <w:pPr>
        <w:spacing w:after="300"/>
        <w:jc w:val="both"/>
        <w:rPr>
          <w:rFonts w:ascii="Arial" w:hAnsi="Arial" w:cs="Arial"/>
          <w:szCs w:val="24"/>
        </w:rPr>
      </w:pPr>
      <w:r>
        <w:rPr>
          <w:noProof/>
        </w:rPr>
        <w:drawing>
          <wp:inline distT="0" distB="0" distL="0" distR="0" wp14:anchorId="310F2AE1" wp14:editId="20BBFA85">
            <wp:extent cx="5210810" cy="2041769"/>
            <wp:effectExtent l="0" t="0" r="8890" b="0"/>
            <wp:docPr id="409638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025" b="8806"/>
                    <a:stretch/>
                  </pic:blipFill>
                  <pic:spPr bwMode="auto">
                    <a:xfrm>
                      <a:off x="0" y="0"/>
                      <a:ext cx="5214305" cy="2043138"/>
                    </a:xfrm>
                    <a:prstGeom prst="rect">
                      <a:avLst/>
                    </a:prstGeom>
                    <a:noFill/>
                    <a:ln>
                      <a:noFill/>
                    </a:ln>
                    <a:extLst>
                      <a:ext uri="{53640926-AAD7-44D8-BBD7-CCE9431645EC}">
                        <a14:shadowObscured xmlns:a14="http://schemas.microsoft.com/office/drawing/2010/main"/>
                      </a:ext>
                    </a:extLst>
                  </pic:spPr>
                </pic:pic>
              </a:graphicData>
            </a:graphic>
          </wp:inline>
        </w:drawing>
      </w:r>
    </w:p>
    <w:p w14:paraId="65FA3524" w14:textId="77777777" w:rsidR="00790ADA" w:rsidRPr="00FB3A86" w:rsidRDefault="00B66A39" w:rsidP="00441B6F">
      <w:pPr>
        <w:pStyle w:val="Body"/>
        <w:spacing w:after="0"/>
        <w:rPr>
          <w:rFonts w:ascii="Arial" w:hAnsi="Arial" w:cs="Arial"/>
        </w:rPr>
      </w:pPr>
      <w:r>
        <w:rPr>
          <w:noProof/>
        </w:rPr>
        <w:lastRenderedPageBreak/>
        <w:drawing>
          <wp:inline distT="0" distB="0" distL="0" distR="0" wp14:anchorId="725DDC59" wp14:editId="15DB338D">
            <wp:extent cx="5212080" cy="2427849"/>
            <wp:effectExtent l="0" t="0" r="0" b="0"/>
            <wp:docPr id="1024368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539"/>
                    <a:stretch>
                      <a:fillRect/>
                    </a:stretch>
                  </pic:blipFill>
                  <pic:spPr bwMode="auto">
                    <a:xfrm>
                      <a:off x="0" y="0"/>
                      <a:ext cx="5212080" cy="2427849"/>
                    </a:xfrm>
                    <a:prstGeom prst="rect">
                      <a:avLst/>
                    </a:prstGeom>
                    <a:noFill/>
                    <a:ln>
                      <a:noFill/>
                    </a:ln>
                    <a:extLst>
                      <a:ext uri="{53640926-AAD7-44D8-BBD7-CCE9431645EC}">
                        <a14:shadowObscured xmlns:a14="http://schemas.microsoft.com/office/drawing/2010/main"/>
                      </a:ext>
                    </a:extLst>
                  </pic:spPr>
                </pic:pic>
              </a:graphicData>
            </a:graphic>
          </wp:inline>
        </w:drawing>
      </w:r>
    </w:p>
    <w:p w14:paraId="4AD5A049" w14:textId="77777777" w:rsidR="00B66A39" w:rsidRDefault="00B66A39" w:rsidP="00441B6F">
      <w:pPr>
        <w:pStyle w:val="AbstHead"/>
        <w:spacing w:after="0"/>
        <w:jc w:val="both"/>
        <w:rPr>
          <w:rFonts w:ascii="Arial" w:hAnsi="Arial" w:cs="Arial"/>
        </w:rPr>
      </w:pPr>
    </w:p>
    <w:p w14:paraId="52735D9F" w14:textId="77777777" w:rsidR="00CD08E2" w:rsidRDefault="00CD08E2" w:rsidP="00B66A39">
      <w:pPr>
        <w:spacing w:after="300"/>
        <w:jc w:val="center"/>
        <w:rPr>
          <w:rFonts w:ascii="Arial" w:eastAsia="Source Han Sans SC" w:hAnsi="Arial" w:cs="Arial"/>
          <w:b/>
          <w:szCs w:val="24"/>
        </w:rPr>
      </w:pPr>
      <w:r>
        <w:rPr>
          <w:rFonts w:ascii="Arial" w:eastAsia="Source Han Sans SC" w:hAnsi="Arial" w:cs="Arial"/>
          <w:b/>
          <w:szCs w:val="24"/>
        </w:rPr>
        <w:t>Fig. 2</w:t>
      </w:r>
      <w:r w:rsidR="00B66A39" w:rsidRPr="00B66A39">
        <w:rPr>
          <w:rFonts w:ascii="Arial" w:eastAsia="Source Han Sans SC" w:hAnsi="Arial" w:cs="Arial"/>
          <w:b/>
          <w:szCs w:val="24"/>
        </w:rPr>
        <w:t xml:space="preserve">. The Spectrum of Non-Honeybee Pollinators in Agroecosystems. </w:t>
      </w:r>
    </w:p>
    <w:p w14:paraId="0072F42E" w14:textId="66868A45" w:rsidR="00B66A39" w:rsidRPr="00B66A39" w:rsidRDefault="00B66A39" w:rsidP="00B66A39">
      <w:pPr>
        <w:spacing w:after="300"/>
        <w:jc w:val="center"/>
        <w:rPr>
          <w:rFonts w:ascii="Arial" w:hAnsi="Arial" w:cs="Arial"/>
          <w:szCs w:val="24"/>
        </w:rPr>
      </w:pPr>
      <w:r w:rsidRPr="00B66A39">
        <w:rPr>
          <w:rFonts w:ascii="Arial" w:eastAsia="Arial" w:hAnsi="Arial" w:cs="Arial"/>
          <w:b/>
          <w:szCs w:val="24"/>
        </w:rPr>
        <w:t>This conceptual figure illustrates the diverse groups of non-honeybee pollinators contributing to agricultural productivity. Their services extend beyond simple pollen transfer to include enhanced yield stability, functional redundancy and resilience against environmental change, forming a critical component of natural capital.</w:t>
      </w:r>
    </w:p>
    <w:p w14:paraId="550E2C27" w14:textId="77777777" w:rsidR="002C209F" w:rsidRPr="002C209F" w:rsidRDefault="002C209F" w:rsidP="002C209F">
      <w:pPr>
        <w:pStyle w:val="Heading1"/>
        <w:spacing w:before="300" w:after="300"/>
        <w:jc w:val="both"/>
        <w:rPr>
          <w:rFonts w:cs="Arial"/>
          <w:sz w:val="22"/>
          <w:szCs w:val="22"/>
        </w:rPr>
      </w:pPr>
      <w:r w:rsidRPr="002C209F">
        <w:rPr>
          <w:rFonts w:eastAsia="Arial" w:cs="Arial"/>
          <w:sz w:val="22"/>
          <w:szCs w:val="22"/>
        </w:rPr>
        <w:t>3. KEY NON-HONEYBEE POLLINATOR GROUPS IN AGRICULTURE</w:t>
      </w:r>
    </w:p>
    <w:p w14:paraId="1BC0AACA" w14:textId="77777777" w:rsidR="002C209F" w:rsidRPr="005664F5" w:rsidRDefault="002C209F" w:rsidP="002C209F">
      <w:pPr>
        <w:spacing w:after="300"/>
        <w:jc w:val="both"/>
        <w:rPr>
          <w:rFonts w:ascii="Arial" w:hAnsi="Arial" w:cs="Arial"/>
          <w:szCs w:val="24"/>
        </w:rPr>
      </w:pPr>
      <w:r w:rsidRPr="005664F5">
        <w:rPr>
          <w:rFonts w:ascii="Arial" w:eastAsia="Arial" w:hAnsi="Arial" w:cs="Arial"/>
          <w:szCs w:val="24"/>
        </w:rPr>
        <w:t>While honeybees are important generalists, a wide array of other insects and vertebrates act as crucial and sometimes superior, specialists or co-pollinators for many crops. Understanding the roles of these diverse groups is the first step toward their effective conservation and management.</w:t>
      </w:r>
    </w:p>
    <w:p w14:paraId="4964C56C" w14:textId="77777777" w:rsidR="002C209F" w:rsidRPr="005664F5" w:rsidRDefault="002C209F" w:rsidP="002C209F">
      <w:pPr>
        <w:pStyle w:val="Heading2"/>
        <w:spacing w:before="225" w:after="300"/>
        <w:jc w:val="both"/>
        <w:rPr>
          <w:rFonts w:ascii="Arial" w:hAnsi="Arial" w:cs="Arial"/>
          <w:b/>
          <w:color w:val="auto"/>
          <w:sz w:val="22"/>
          <w:szCs w:val="24"/>
        </w:rPr>
      </w:pPr>
      <w:r w:rsidRPr="005664F5">
        <w:rPr>
          <w:rFonts w:ascii="Arial" w:eastAsia="Arial" w:hAnsi="Arial" w:cs="Arial"/>
          <w:b/>
          <w:color w:val="auto"/>
          <w:sz w:val="22"/>
          <w:szCs w:val="24"/>
        </w:rPr>
        <w:t>3.1 Wild Bees (Non-Apis)</w:t>
      </w:r>
    </w:p>
    <w:p w14:paraId="39F6A95C" w14:textId="77777777" w:rsidR="002C209F" w:rsidRPr="005664F5" w:rsidRDefault="002C209F" w:rsidP="002C209F">
      <w:pPr>
        <w:spacing w:after="300"/>
        <w:jc w:val="both"/>
        <w:rPr>
          <w:rFonts w:ascii="Arial" w:hAnsi="Arial" w:cs="Arial"/>
          <w:szCs w:val="24"/>
        </w:rPr>
      </w:pPr>
      <w:r w:rsidRPr="005664F5">
        <w:rPr>
          <w:rFonts w:ascii="Arial" w:eastAsia="Arial" w:hAnsi="Arial" w:cs="Arial"/>
          <w:szCs w:val="24"/>
        </w:rPr>
        <w:t>Beyond the honeybee, the world is home to over 20,000 species of wild bees, including bumblebees (</w:t>
      </w:r>
      <w:r w:rsidRPr="005664F5">
        <w:rPr>
          <w:rFonts w:ascii="Arial" w:eastAsia="Arial" w:hAnsi="Arial" w:cs="Arial"/>
          <w:i/>
          <w:szCs w:val="24"/>
        </w:rPr>
        <w:t>Bombus spp.</w:t>
      </w:r>
      <w:r w:rsidRPr="005664F5">
        <w:rPr>
          <w:rFonts w:ascii="Arial" w:eastAsia="Arial" w:hAnsi="Arial" w:cs="Arial"/>
          <w:szCs w:val="24"/>
        </w:rPr>
        <w:t>), mason bees (</w:t>
      </w:r>
      <w:r w:rsidRPr="005664F5">
        <w:rPr>
          <w:rFonts w:ascii="Arial" w:eastAsia="Arial" w:hAnsi="Arial" w:cs="Arial"/>
          <w:i/>
          <w:szCs w:val="24"/>
        </w:rPr>
        <w:t>Osmia spp.</w:t>
      </w:r>
      <w:r w:rsidRPr="005664F5">
        <w:rPr>
          <w:rFonts w:ascii="Arial" w:eastAsia="Arial" w:hAnsi="Arial" w:cs="Arial"/>
          <w:szCs w:val="24"/>
        </w:rPr>
        <w:t xml:space="preserve">) and solitary bees. Many of these species are highly effective pollinators. For example, bumblebees are essential for crops requiring "buzz pollination," such as tomatoes and blueberries, a </w:t>
      </w:r>
      <w:r w:rsidR="00AA1A0B" w:rsidRPr="005664F5">
        <w:rPr>
          <w:rFonts w:ascii="Arial" w:eastAsia="Arial" w:hAnsi="Arial" w:cs="Arial"/>
          <w:szCs w:val="24"/>
        </w:rPr>
        <w:t>technique honeybee</w:t>
      </w:r>
      <w:r w:rsidRPr="005664F5">
        <w:rPr>
          <w:rFonts w:ascii="Arial" w:eastAsia="Arial" w:hAnsi="Arial" w:cs="Arial"/>
          <w:szCs w:val="24"/>
        </w:rPr>
        <w:t xml:space="preserve"> cannot perform (</w:t>
      </w:r>
      <w:r w:rsidR="005664F5" w:rsidRPr="005664F5">
        <w:rPr>
          <w:rFonts w:ascii="Arial" w:hAnsi="Arial" w:cs="Arial"/>
          <w:szCs w:val="40"/>
        </w:rPr>
        <w:t>Devi</w:t>
      </w:r>
      <w:r w:rsidR="005664F5" w:rsidRPr="005664F5">
        <w:rPr>
          <w:rFonts w:ascii="Arial" w:eastAsia="Arial" w:hAnsi="Arial" w:cs="Arial"/>
          <w:szCs w:val="24"/>
        </w:rPr>
        <w:t xml:space="preserve"> and</w:t>
      </w:r>
      <w:r w:rsidRPr="005664F5">
        <w:rPr>
          <w:rFonts w:ascii="Arial" w:eastAsia="Arial" w:hAnsi="Arial" w:cs="Arial"/>
          <w:szCs w:val="24"/>
        </w:rPr>
        <w:t xml:space="preserve"> Bhatia, 2024). Studies have shown that wild bees can provide full pollination services for some crops and their presence often correlates with increased fruit set and yield (Kremen </w:t>
      </w:r>
      <w:r w:rsidRPr="005664F5">
        <w:rPr>
          <w:rFonts w:ascii="Arial" w:eastAsia="Arial" w:hAnsi="Arial" w:cs="Arial"/>
          <w:i/>
          <w:szCs w:val="24"/>
        </w:rPr>
        <w:t>et al</w:t>
      </w:r>
      <w:r w:rsidRPr="005664F5">
        <w:rPr>
          <w:rFonts w:ascii="Arial" w:eastAsia="Arial" w:hAnsi="Arial" w:cs="Arial"/>
          <w:szCs w:val="24"/>
        </w:rPr>
        <w:t xml:space="preserve">., 2002). A meta-analysis found that non-honeybee pollinators were, on average, more effective than honeybees in single-visit pollination events (Rader </w:t>
      </w:r>
      <w:r w:rsidRPr="005664F5">
        <w:rPr>
          <w:rFonts w:ascii="Arial" w:eastAsia="Arial" w:hAnsi="Arial" w:cs="Arial"/>
          <w:i/>
          <w:szCs w:val="24"/>
        </w:rPr>
        <w:t>et al</w:t>
      </w:r>
      <w:r w:rsidRPr="005664F5">
        <w:rPr>
          <w:rFonts w:ascii="Arial" w:eastAsia="Arial" w:hAnsi="Arial" w:cs="Arial"/>
          <w:szCs w:val="24"/>
        </w:rPr>
        <w:t xml:space="preserve">., 2016). The conservation of semi-natural habitats adjacent to farms is a key strategy for supporting these vital pollinators (Garibaldi </w:t>
      </w:r>
      <w:r w:rsidRPr="005664F5">
        <w:rPr>
          <w:rFonts w:ascii="Arial" w:eastAsia="Arial" w:hAnsi="Arial" w:cs="Arial"/>
          <w:i/>
          <w:szCs w:val="24"/>
        </w:rPr>
        <w:t>et al</w:t>
      </w:r>
      <w:r w:rsidRPr="005664F5">
        <w:rPr>
          <w:rFonts w:ascii="Arial" w:eastAsia="Arial" w:hAnsi="Arial" w:cs="Arial"/>
          <w:szCs w:val="24"/>
        </w:rPr>
        <w:t>., 2011).</w:t>
      </w:r>
    </w:p>
    <w:p w14:paraId="46CC0231" w14:textId="77777777" w:rsidR="002C209F" w:rsidRPr="005664F5" w:rsidRDefault="002C209F" w:rsidP="002C209F">
      <w:pPr>
        <w:pStyle w:val="Heading2"/>
        <w:spacing w:before="225" w:after="300"/>
        <w:jc w:val="both"/>
        <w:rPr>
          <w:rFonts w:ascii="Arial" w:hAnsi="Arial" w:cs="Arial"/>
          <w:b/>
          <w:color w:val="auto"/>
          <w:sz w:val="22"/>
          <w:szCs w:val="22"/>
        </w:rPr>
      </w:pPr>
      <w:r w:rsidRPr="005664F5">
        <w:rPr>
          <w:rFonts w:ascii="Arial" w:eastAsia="Arial" w:hAnsi="Arial" w:cs="Arial"/>
          <w:b/>
          <w:color w:val="auto"/>
          <w:sz w:val="22"/>
          <w:szCs w:val="22"/>
        </w:rPr>
        <w:t>3.2 Flies (Diptera), including Hoverflies</w:t>
      </w:r>
    </w:p>
    <w:p w14:paraId="1B7CEE7D" w14:textId="77777777" w:rsidR="002C209F" w:rsidRPr="005664F5" w:rsidRDefault="002C209F" w:rsidP="002C209F">
      <w:pPr>
        <w:spacing w:after="300"/>
        <w:jc w:val="both"/>
        <w:rPr>
          <w:rFonts w:ascii="Arial" w:hAnsi="Arial" w:cs="Arial"/>
          <w:szCs w:val="24"/>
        </w:rPr>
      </w:pPr>
      <w:r w:rsidRPr="005664F5">
        <w:rPr>
          <w:rFonts w:ascii="Arial" w:eastAsia="Arial" w:hAnsi="Arial" w:cs="Arial"/>
          <w:szCs w:val="24"/>
        </w:rPr>
        <w:t>Flies, particularly hoverflies (Syrphidae), are the second most important group of pollinators after bees. They are frequent visitors to a wide range of crops, including oilseed rape, strawberries and carrots (</w:t>
      </w:r>
      <w:r w:rsidRPr="005664F5">
        <w:rPr>
          <w:rFonts w:ascii="Arial" w:hAnsi="Arial" w:cs="Arial"/>
          <w:szCs w:val="40"/>
        </w:rPr>
        <w:t>Doyle</w:t>
      </w:r>
      <w:r w:rsidRPr="005664F5">
        <w:rPr>
          <w:rFonts w:ascii="Arial" w:eastAsia="Arial" w:hAnsi="Arial" w:cs="Arial"/>
          <w:szCs w:val="24"/>
        </w:rPr>
        <w:t xml:space="preserve"> </w:t>
      </w:r>
      <w:r w:rsidRPr="005664F5">
        <w:rPr>
          <w:rFonts w:ascii="Arial" w:eastAsia="Arial" w:hAnsi="Arial" w:cs="Arial"/>
          <w:i/>
          <w:szCs w:val="24"/>
        </w:rPr>
        <w:t>et al</w:t>
      </w:r>
      <w:r w:rsidRPr="005664F5">
        <w:rPr>
          <w:rFonts w:ascii="Arial" w:eastAsia="Arial" w:hAnsi="Arial" w:cs="Arial"/>
          <w:szCs w:val="24"/>
        </w:rPr>
        <w:t xml:space="preserve">., 2020; </w:t>
      </w:r>
      <w:r w:rsidRPr="005664F5">
        <w:rPr>
          <w:rFonts w:ascii="Arial" w:hAnsi="Arial" w:cs="Arial"/>
          <w:szCs w:val="40"/>
        </w:rPr>
        <w:t>Devi</w:t>
      </w:r>
      <w:r w:rsidRPr="005664F5">
        <w:rPr>
          <w:rFonts w:ascii="Arial" w:eastAsia="Arial" w:hAnsi="Arial" w:cs="Arial"/>
          <w:szCs w:val="24"/>
        </w:rPr>
        <w:t xml:space="preserve"> and Bhatia, 2024). In some systems, such as greenhouse-grown horticultural crops, hoverflies can provide levels of pollination comparable to bees, with the added benefit that their larvae are voracious predators of pests like aphids, thus providing a dual ecosystem service (</w:t>
      </w:r>
      <w:r w:rsidRPr="005664F5">
        <w:rPr>
          <w:rFonts w:ascii="Arial" w:hAnsi="Arial" w:cs="Arial"/>
          <w:szCs w:val="40"/>
        </w:rPr>
        <w:t>Li</w:t>
      </w:r>
      <w:r w:rsidRPr="005664F5">
        <w:rPr>
          <w:rFonts w:ascii="Arial" w:eastAsia="Arial" w:hAnsi="Arial" w:cs="Arial"/>
          <w:szCs w:val="24"/>
        </w:rPr>
        <w:t xml:space="preserve"> </w:t>
      </w:r>
      <w:r w:rsidRPr="005664F5">
        <w:rPr>
          <w:rFonts w:ascii="Arial" w:eastAsia="Arial" w:hAnsi="Arial" w:cs="Arial"/>
          <w:i/>
          <w:szCs w:val="24"/>
        </w:rPr>
        <w:t>et al</w:t>
      </w:r>
      <w:r w:rsidRPr="005664F5">
        <w:rPr>
          <w:rFonts w:ascii="Arial" w:eastAsia="Arial" w:hAnsi="Arial" w:cs="Arial"/>
          <w:szCs w:val="24"/>
        </w:rPr>
        <w:t xml:space="preserve">., 2023). Their importance is particularly pronounced in high-latitude or high-altitude environments where bee activity may be limited. Despite their significance, the population dynamics and conservation </w:t>
      </w:r>
      <w:r w:rsidR="00AA1A0B" w:rsidRPr="005664F5">
        <w:rPr>
          <w:rFonts w:ascii="Arial" w:eastAsia="Arial" w:hAnsi="Arial" w:cs="Arial"/>
          <w:szCs w:val="24"/>
        </w:rPr>
        <w:t>need</w:t>
      </w:r>
      <w:r w:rsidRPr="005664F5">
        <w:rPr>
          <w:rFonts w:ascii="Arial" w:eastAsia="Arial" w:hAnsi="Arial" w:cs="Arial"/>
          <w:szCs w:val="24"/>
        </w:rPr>
        <w:t xml:space="preserve"> of many fly pollinators remain poorly understood (</w:t>
      </w:r>
      <w:r w:rsidRPr="005664F5">
        <w:rPr>
          <w:rFonts w:ascii="Arial" w:hAnsi="Arial" w:cs="Arial"/>
          <w:szCs w:val="40"/>
        </w:rPr>
        <w:t>Doyle</w:t>
      </w:r>
      <w:r w:rsidRPr="005664F5">
        <w:rPr>
          <w:rFonts w:ascii="Arial" w:eastAsia="Arial" w:hAnsi="Arial" w:cs="Arial"/>
          <w:szCs w:val="24"/>
        </w:rPr>
        <w:t xml:space="preserve"> </w:t>
      </w:r>
      <w:r w:rsidRPr="005664F5">
        <w:rPr>
          <w:rFonts w:ascii="Arial" w:eastAsia="Arial" w:hAnsi="Arial" w:cs="Arial"/>
          <w:i/>
          <w:szCs w:val="24"/>
        </w:rPr>
        <w:t>et al</w:t>
      </w:r>
      <w:r w:rsidRPr="005664F5">
        <w:rPr>
          <w:rFonts w:ascii="Arial" w:eastAsia="Arial" w:hAnsi="Arial" w:cs="Arial"/>
          <w:szCs w:val="24"/>
        </w:rPr>
        <w:t>., 2020).</w:t>
      </w:r>
    </w:p>
    <w:p w14:paraId="22D5FF56" w14:textId="77777777" w:rsidR="002C209F" w:rsidRPr="005664F5" w:rsidRDefault="002C209F" w:rsidP="002C209F">
      <w:pPr>
        <w:pStyle w:val="Heading2"/>
        <w:spacing w:before="225" w:after="300"/>
        <w:jc w:val="both"/>
        <w:rPr>
          <w:rFonts w:ascii="Arial" w:hAnsi="Arial" w:cs="Arial"/>
          <w:b/>
          <w:color w:val="auto"/>
          <w:sz w:val="22"/>
          <w:szCs w:val="24"/>
        </w:rPr>
      </w:pPr>
      <w:r w:rsidRPr="005664F5">
        <w:rPr>
          <w:rFonts w:ascii="Arial" w:eastAsia="Arial" w:hAnsi="Arial" w:cs="Arial"/>
          <w:b/>
          <w:color w:val="auto"/>
          <w:sz w:val="22"/>
          <w:szCs w:val="24"/>
        </w:rPr>
        <w:t>3.3 Moths and Butterflies (Lepidoptera)</w:t>
      </w:r>
    </w:p>
    <w:p w14:paraId="06B15C7D" w14:textId="77777777" w:rsidR="002C209F" w:rsidRPr="005664F5" w:rsidRDefault="002C209F" w:rsidP="002C209F">
      <w:pPr>
        <w:spacing w:after="300"/>
        <w:jc w:val="both"/>
        <w:rPr>
          <w:rFonts w:ascii="Arial" w:hAnsi="Arial" w:cs="Arial"/>
          <w:szCs w:val="24"/>
        </w:rPr>
      </w:pPr>
      <w:r w:rsidRPr="005664F5">
        <w:rPr>
          <w:rFonts w:ascii="Arial" w:eastAsia="Arial" w:hAnsi="Arial" w:cs="Arial"/>
          <w:szCs w:val="24"/>
        </w:rPr>
        <w:t>The role of diurnal butterflies and, increasingly, nocturnal moths as crop pollinators is gaining recognition. While often considered less efficient than bees on a per-visit basis, their high mobility can facilitate long-distance pollen transfer, which is important for maintaining genetic diversity in plant populations. Recent research has highlighted the significant contribution of nocturnal moths to the pollination of various plants, including crops like apple and oilseed rape (</w:t>
      </w:r>
      <w:r w:rsidRPr="005664F5">
        <w:rPr>
          <w:rFonts w:ascii="Arial" w:hAnsi="Arial" w:cs="Arial"/>
          <w:szCs w:val="40"/>
        </w:rPr>
        <w:t>Hahn and Brühl, 2016</w:t>
      </w:r>
      <w:r w:rsidRPr="005664F5">
        <w:rPr>
          <w:rFonts w:ascii="Arial" w:eastAsia="Arial" w:hAnsi="Arial" w:cs="Arial"/>
          <w:szCs w:val="24"/>
        </w:rPr>
        <w:t xml:space="preserve">; Walton </w:t>
      </w:r>
      <w:r w:rsidRPr="005664F5">
        <w:rPr>
          <w:rFonts w:ascii="Arial" w:eastAsia="Arial" w:hAnsi="Arial" w:cs="Arial"/>
          <w:i/>
          <w:szCs w:val="24"/>
        </w:rPr>
        <w:t>et al</w:t>
      </w:r>
      <w:r w:rsidRPr="005664F5">
        <w:rPr>
          <w:rFonts w:ascii="Arial" w:eastAsia="Arial" w:hAnsi="Arial" w:cs="Arial"/>
          <w:szCs w:val="24"/>
        </w:rPr>
        <w:t xml:space="preserve">., 2020). A global review identified 81 animal families acting as nocturnal crop pollinators, with </w:t>
      </w:r>
      <w:r w:rsidRPr="005664F5">
        <w:rPr>
          <w:rFonts w:ascii="Arial" w:eastAsia="Arial" w:hAnsi="Arial" w:cs="Arial"/>
          <w:szCs w:val="24"/>
        </w:rPr>
        <w:lastRenderedPageBreak/>
        <w:t xml:space="preserve">moths from the </w:t>
      </w:r>
      <w:proofErr w:type="spellStart"/>
      <w:r w:rsidRPr="005664F5">
        <w:rPr>
          <w:rFonts w:ascii="Arial" w:eastAsia="Arial" w:hAnsi="Arial" w:cs="Arial"/>
          <w:szCs w:val="24"/>
        </w:rPr>
        <w:t>Sphingidae</w:t>
      </w:r>
      <w:proofErr w:type="spellEnd"/>
      <w:r w:rsidRPr="005664F5">
        <w:rPr>
          <w:rFonts w:ascii="Arial" w:eastAsia="Arial" w:hAnsi="Arial" w:cs="Arial"/>
          <w:szCs w:val="24"/>
        </w:rPr>
        <w:t xml:space="preserve"> and </w:t>
      </w:r>
      <w:proofErr w:type="spellStart"/>
      <w:r w:rsidRPr="005664F5">
        <w:rPr>
          <w:rFonts w:ascii="Arial" w:eastAsia="Arial" w:hAnsi="Arial" w:cs="Arial"/>
          <w:szCs w:val="24"/>
        </w:rPr>
        <w:t>Noctuidae</w:t>
      </w:r>
      <w:proofErr w:type="spellEnd"/>
      <w:r w:rsidRPr="005664F5">
        <w:rPr>
          <w:rFonts w:ascii="Arial" w:eastAsia="Arial" w:hAnsi="Arial" w:cs="Arial"/>
          <w:szCs w:val="24"/>
        </w:rPr>
        <w:t xml:space="preserve"> families being among the most frequently cited (</w:t>
      </w:r>
      <w:r w:rsidRPr="005664F5">
        <w:rPr>
          <w:rFonts w:ascii="Arial" w:hAnsi="Arial" w:cs="Arial"/>
          <w:szCs w:val="40"/>
        </w:rPr>
        <w:t>Buxton</w:t>
      </w:r>
      <w:r w:rsidRPr="005664F5">
        <w:rPr>
          <w:rFonts w:ascii="Arial" w:eastAsia="Arial" w:hAnsi="Arial" w:cs="Arial"/>
          <w:szCs w:val="24"/>
        </w:rPr>
        <w:t xml:space="preserve"> </w:t>
      </w:r>
      <w:r w:rsidRPr="005664F5">
        <w:rPr>
          <w:rFonts w:ascii="Arial" w:eastAsia="Arial" w:hAnsi="Arial" w:cs="Arial"/>
          <w:i/>
          <w:szCs w:val="24"/>
        </w:rPr>
        <w:t>et al</w:t>
      </w:r>
      <w:r w:rsidRPr="005664F5">
        <w:rPr>
          <w:rFonts w:ascii="Arial" w:eastAsia="Arial" w:hAnsi="Arial" w:cs="Arial"/>
          <w:szCs w:val="24"/>
        </w:rPr>
        <w:t>., 2022). This nocturnal pollination "shift" provides resilience to pollination systems and may be crucial for plants whose flowers are open at night.</w:t>
      </w:r>
    </w:p>
    <w:p w14:paraId="5D35DD82" w14:textId="77777777" w:rsidR="002C209F" w:rsidRPr="005664F5" w:rsidRDefault="002C209F" w:rsidP="002C209F">
      <w:pPr>
        <w:pStyle w:val="Heading2"/>
        <w:spacing w:before="225" w:after="300"/>
        <w:jc w:val="both"/>
        <w:rPr>
          <w:rFonts w:ascii="Arial" w:hAnsi="Arial" w:cs="Arial"/>
          <w:b/>
          <w:color w:val="auto"/>
          <w:sz w:val="22"/>
          <w:szCs w:val="24"/>
        </w:rPr>
      </w:pPr>
      <w:r w:rsidRPr="005664F5">
        <w:rPr>
          <w:rFonts w:ascii="Arial" w:eastAsia="Arial" w:hAnsi="Arial" w:cs="Arial"/>
          <w:b/>
          <w:color w:val="auto"/>
          <w:sz w:val="22"/>
          <w:szCs w:val="24"/>
        </w:rPr>
        <w:t>3.4 Beetles (Coleoptera)</w:t>
      </w:r>
    </w:p>
    <w:p w14:paraId="767FA39B" w14:textId="77777777" w:rsidR="002C209F" w:rsidRPr="005664F5" w:rsidRDefault="002C209F" w:rsidP="002C209F">
      <w:pPr>
        <w:jc w:val="both"/>
        <w:rPr>
          <w:rFonts w:ascii="Arial" w:hAnsi="Arial" w:cs="Arial"/>
          <w:sz w:val="16"/>
        </w:rPr>
      </w:pPr>
      <w:r w:rsidRPr="005664F5">
        <w:rPr>
          <w:rFonts w:ascii="Arial" w:eastAsia="Arial" w:hAnsi="Arial" w:cs="Arial"/>
          <w:szCs w:val="24"/>
        </w:rPr>
        <w:t xml:space="preserve">Beetle pollination (cantharophily) is an ancient plant-pollinator interaction and beetles remain important </w:t>
      </w:r>
      <w:proofErr w:type="gramStart"/>
      <w:r w:rsidRPr="005664F5">
        <w:rPr>
          <w:rFonts w:ascii="Arial" w:eastAsia="Arial" w:hAnsi="Arial" w:cs="Arial"/>
          <w:szCs w:val="24"/>
        </w:rPr>
        <w:t>pollinators for certain</w:t>
      </w:r>
      <w:proofErr w:type="gramEnd"/>
      <w:r w:rsidRPr="005664F5">
        <w:rPr>
          <w:rFonts w:ascii="Arial" w:eastAsia="Arial" w:hAnsi="Arial" w:cs="Arial"/>
          <w:szCs w:val="24"/>
        </w:rPr>
        <w:t xml:space="preserve"> crops, particularly in tropical regions. They are key pollinators for species in the </w:t>
      </w:r>
      <w:proofErr w:type="spellStart"/>
      <w:r w:rsidRPr="005664F5">
        <w:rPr>
          <w:rFonts w:ascii="Arial" w:eastAsia="Arial" w:hAnsi="Arial" w:cs="Arial"/>
          <w:szCs w:val="24"/>
        </w:rPr>
        <w:t>Annonaceae</w:t>
      </w:r>
      <w:proofErr w:type="spellEnd"/>
      <w:r w:rsidRPr="005664F5">
        <w:rPr>
          <w:rFonts w:ascii="Arial" w:eastAsia="Arial" w:hAnsi="Arial" w:cs="Arial"/>
          <w:szCs w:val="24"/>
        </w:rPr>
        <w:t xml:space="preserve"> family (e.g., atemoya) and some palms (Bernhardt, 2000; </w:t>
      </w:r>
      <w:r w:rsidRPr="005664F5">
        <w:rPr>
          <w:rFonts w:ascii="Arial" w:hAnsi="Arial" w:cs="Arial"/>
          <w:szCs w:val="40"/>
        </w:rPr>
        <w:t>Ferreira</w:t>
      </w:r>
      <w:r w:rsidRPr="005664F5">
        <w:rPr>
          <w:rFonts w:ascii="Arial" w:eastAsia="Arial" w:hAnsi="Arial" w:cs="Arial"/>
          <w:szCs w:val="24"/>
        </w:rPr>
        <w:t xml:space="preserve"> </w:t>
      </w:r>
      <w:r w:rsidRPr="005664F5">
        <w:rPr>
          <w:rFonts w:ascii="Arial" w:eastAsia="Arial" w:hAnsi="Arial" w:cs="Arial"/>
          <w:i/>
          <w:szCs w:val="24"/>
        </w:rPr>
        <w:t>et al</w:t>
      </w:r>
      <w:r w:rsidRPr="005664F5">
        <w:rPr>
          <w:rFonts w:ascii="Arial" w:eastAsia="Arial" w:hAnsi="Arial" w:cs="Arial"/>
          <w:szCs w:val="24"/>
        </w:rPr>
        <w:t>., 2024). While often described as "mess and soil" pollinators due to their consumption of floral parts, their contribution to the yield of specific high-value crops is indispensable. For example, rain forests adjacent to atemoya plantations in Australia harbor beetle species that are essential for crop pollination, highlighting the link between natural ecosystems and agricultural production (</w:t>
      </w:r>
      <w:r w:rsidRPr="005664F5">
        <w:rPr>
          <w:rFonts w:ascii="Arial" w:hAnsi="Arial" w:cs="Arial"/>
          <w:szCs w:val="40"/>
        </w:rPr>
        <w:t>Blanche and Cunningham</w:t>
      </w:r>
      <w:r w:rsidRPr="005664F5">
        <w:rPr>
          <w:rFonts w:ascii="Arial" w:eastAsia="Arial" w:hAnsi="Arial" w:cs="Arial"/>
          <w:szCs w:val="24"/>
        </w:rPr>
        <w:t>, 2005).</w:t>
      </w:r>
    </w:p>
    <w:p w14:paraId="19B47A48" w14:textId="77777777" w:rsidR="002C209F" w:rsidRPr="005664F5" w:rsidRDefault="002C209F" w:rsidP="002C209F">
      <w:pPr>
        <w:pStyle w:val="Heading2"/>
        <w:spacing w:before="225" w:after="300"/>
        <w:jc w:val="both"/>
        <w:rPr>
          <w:rFonts w:ascii="Arial" w:hAnsi="Arial" w:cs="Arial"/>
          <w:b/>
          <w:color w:val="auto"/>
          <w:sz w:val="22"/>
          <w:szCs w:val="24"/>
        </w:rPr>
      </w:pPr>
      <w:r w:rsidRPr="005664F5">
        <w:rPr>
          <w:rFonts w:ascii="Arial" w:eastAsia="Arial" w:hAnsi="Arial" w:cs="Arial"/>
          <w:b/>
          <w:color w:val="auto"/>
          <w:sz w:val="22"/>
          <w:szCs w:val="24"/>
        </w:rPr>
        <w:t>3.5 Vertebrate Pollinators: Birds and Bats</w:t>
      </w:r>
    </w:p>
    <w:p w14:paraId="3BC3D122" w14:textId="77777777" w:rsidR="002C209F" w:rsidRDefault="002C209F" w:rsidP="002C209F">
      <w:pPr>
        <w:spacing w:after="300"/>
        <w:jc w:val="both"/>
        <w:rPr>
          <w:rFonts w:ascii="Arial" w:eastAsia="Arial" w:hAnsi="Arial" w:cs="Arial"/>
          <w:szCs w:val="24"/>
        </w:rPr>
      </w:pPr>
      <w:r w:rsidRPr="005664F5">
        <w:rPr>
          <w:rFonts w:ascii="Arial" w:eastAsia="Arial" w:hAnsi="Arial" w:cs="Arial"/>
          <w:szCs w:val="24"/>
        </w:rPr>
        <w:t xml:space="preserve">Though less ubiquitous than insect pollinators in temperate agriculture, birds and bats provide critical pollination services for over 500 cultivated plant species globally, many of which are of high economic value (Kunz </w:t>
      </w:r>
      <w:r w:rsidRPr="005664F5">
        <w:rPr>
          <w:rFonts w:ascii="Arial" w:eastAsia="Arial" w:hAnsi="Arial" w:cs="Arial"/>
          <w:i/>
          <w:szCs w:val="24"/>
        </w:rPr>
        <w:t>et al</w:t>
      </w:r>
      <w:r w:rsidRPr="005664F5">
        <w:rPr>
          <w:rFonts w:ascii="Arial" w:eastAsia="Arial" w:hAnsi="Arial" w:cs="Arial"/>
          <w:szCs w:val="24"/>
        </w:rPr>
        <w:t>., 2011). Nectar-feeding bats, for instance, are the primary pollinators for agave, the plant from which tequila is produced and for pitaya (dragon fruit) in Mexico. The economic value of bat pollination for a single cactus fruit crop in Mexico has been shown to be substantial, with benefits distributed along the entire production chain (</w:t>
      </w:r>
      <w:r w:rsidRPr="005664F5">
        <w:rPr>
          <w:rFonts w:ascii="Arial" w:hAnsi="Arial" w:cs="Arial"/>
          <w:szCs w:val="40"/>
        </w:rPr>
        <w:t>Tremlett</w:t>
      </w:r>
      <w:r w:rsidRPr="005664F5">
        <w:rPr>
          <w:rFonts w:ascii="Arial" w:eastAsia="Arial" w:hAnsi="Arial" w:cs="Arial"/>
          <w:szCs w:val="24"/>
        </w:rPr>
        <w:t xml:space="preserve"> </w:t>
      </w:r>
      <w:r w:rsidRPr="005664F5">
        <w:rPr>
          <w:rFonts w:ascii="Arial" w:eastAsia="Arial" w:hAnsi="Arial" w:cs="Arial"/>
          <w:i/>
          <w:szCs w:val="24"/>
        </w:rPr>
        <w:t>et al</w:t>
      </w:r>
      <w:r w:rsidRPr="005664F5">
        <w:rPr>
          <w:rFonts w:ascii="Arial" w:eastAsia="Arial" w:hAnsi="Arial" w:cs="Arial"/>
          <w:szCs w:val="24"/>
        </w:rPr>
        <w:t>., 2021). Similarly, birds such as hummingbirds and sunbirds are important pollinators for various fruits and ornamental plants (</w:t>
      </w:r>
      <w:proofErr w:type="spellStart"/>
      <w:r w:rsidRPr="005664F5">
        <w:rPr>
          <w:rFonts w:ascii="Arial" w:eastAsia="Arial" w:hAnsi="Arial" w:cs="Arial"/>
          <w:szCs w:val="24"/>
        </w:rPr>
        <w:t>Sekercioglu</w:t>
      </w:r>
      <w:proofErr w:type="spellEnd"/>
      <w:r w:rsidRPr="005664F5">
        <w:rPr>
          <w:rFonts w:ascii="Arial" w:eastAsia="Arial" w:hAnsi="Arial" w:cs="Arial"/>
          <w:szCs w:val="24"/>
        </w:rPr>
        <w:t>, 2006). The decline of these vertebrate pollinators, many of which are threatened, poses a significant risk to the specialized cropping systems that depend on them (</w:t>
      </w:r>
      <w:r w:rsidRPr="005664F5">
        <w:rPr>
          <w:rFonts w:ascii="Arial" w:hAnsi="Arial" w:cs="Arial"/>
          <w:szCs w:val="40"/>
        </w:rPr>
        <w:t>Regan</w:t>
      </w:r>
      <w:r w:rsidRPr="005664F5">
        <w:rPr>
          <w:rFonts w:ascii="Arial" w:eastAsia="Arial" w:hAnsi="Arial" w:cs="Arial"/>
          <w:szCs w:val="24"/>
        </w:rPr>
        <w:t xml:space="preserve"> </w:t>
      </w:r>
      <w:r w:rsidRPr="005664F5">
        <w:rPr>
          <w:rFonts w:ascii="Arial" w:eastAsia="Arial" w:hAnsi="Arial" w:cs="Arial"/>
          <w:i/>
          <w:szCs w:val="24"/>
        </w:rPr>
        <w:t>et al</w:t>
      </w:r>
      <w:r w:rsidRPr="005664F5">
        <w:rPr>
          <w:rFonts w:ascii="Arial" w:eastAsia="Arial" w:hAnsi="Arial" w:cs="Arial"/>
          <w:szCs w:val="24"/>
        </w:rPr>
        <w:t>., 2015).</w:t>
      </w:r>
    </w:p>
    <w:p w14:paraId="623AC8EF" w14:textId="77777777" w:rsidR="00AA1A0B" w:rsidRPr="00AA1A0B" w:rsidRDefault="00AA1A0B" w:rsidP="00AA1A0B">
      <w:pPr>
        <w:spacing w:after="300"/>
        <w:jc w:val="both"/>
        <w:rPr>
          <w:rFonts w:ascii="Arial" w:hAnsi="Arial" w:cs="Arial"/>
          <w:sz w:val="22"/>
          <w:szCs w:val="24"/>
        </w:rPr>
      </w:pPr>
      <w:r w:rsidRPr="00AA1A0B">
        <w:rPr>
          <w:rFonts w:ascii="Arial" w:eastAsia="Source Han Sans SC" w:hAnsi="Arial" w:cs="Arial"/>
          <w:b/>
          <w:sz w:val="22"/>
          <w:szCs w:val="24"/>
        </w:rPr>
        <w:t>Table 1. Overview of Key Non-Honeybee Pollinator Groups in Agriculture.</w:t>
      </w:r>
    </w:p>
    <w:tbl>
      <w:tblPr>
        <w:tblStyle w:val="TableGrid"/>
        <w:tblW w:w="5000" w:type="pct"/>
        <w:jc w:val="center"/>
        <w:tblLook w:val="04A0" w:firstRow="1" w:lastRow="0" w:firstColumn="1" w:lastColumn="0" w:noHBand="0" w:noVBand="1"/>
      </w:tblPr>
      <w:tblGrid>
        <w:gridCol w:w="2077"/>
        <w:gridCol w:w="2314"/>
        <w:gridCol w:w="2004"/>
        <w:gridCol w:w="2231"/>
        <w:gridCol w:w="2164"/>
      </w:tblGrid>
      <w:tr w:rsidR="00AA1A0B" w:rsidRPr="00077DF8" w14:paraId="3C93200C" w14:textId="77777777" w:rsidTr="00694A40">
        <w:trPr>
          <w:jc w:val="center"/>
        </w:trPr>
        <w:tc>
          <w:tcPr>
            <w:tcW w:w="962" w:type="pct"/>
            <w:shd w:val="clear" w:color="auto" w:fill="F2F2F2"/>
          </w:tcPr>
          <w:p w14:paraId="043B72E3"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Pollinator Group</w:t>
            </w:r>
          </w:p>
        </w:tc>
        <w:tc>
          <w:tcPr>
            <w:tcW w:w="1072" w:type="pct"/>
            <w:shd w:val="clear" w:color="auto" w:fill="F2F2F2"/>
          </w:tcPr>
          <w:p w14:paraId="77B31DD1"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Key Taxa</w:t>
            </w:r>
          </w:p>
        </w:tc>
        <w:tc>
          <w:tcPr>
            <w:tcW w:w="928" w:type="pct"/>
            <w:shd w:val="clear" w:color="auto" w:fill="F2F2F2"/>
          </w:tcPr>
          <w:p w14:paraId="2D8BD356"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Examples of Pollinated Crops</w:t>
            </w:r>
          </w:p>
        </w:tc>
        <w:tc>
          <w:tcPr>
            <w:tcW w:w="1034" w:type="pct"/>
            <w:shd w:val="clear" w:color="auto" w:fill="F2F2F2"/>
          </w:tcPr>
          <w:p w14:paraId="6837602F"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Key Pollination Characteristics</w:t>
            </w:r>
          </w:p>
        </w:tc>
        <w:tc>
          <w:tcPr>
            <w:tcW w:w="1003" w:type="pct"/>
            <w:shd w:val="clear" w:color="auto" w:fill="F2F2F2"/>
          </w:tcPr>
          <w:p w14:paraId="2F71D207"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Conservation Concerns</w:t>
            </w:r>
          </w:p>
        </w:tc>
      </w:tr>
      <w:tr w:rsidR="00AA1A0B" w:rsidRPr="00077DF8" w14:paraId="1C0D1059" w14:textId="77777777" w:rsidTr="00694A40">
        <w:trPr>
          <w:jc w:val="center"/>
        </w:trPr>
        <w:tc>
          <w:tcPr>
            <w:tcW w:w="962" w:type="pct"/>
          </w:tcPr>
          <w:p w14:paraId="73414D77"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Wild Bees</w:t>
            </w:r>
          </w:p>
        </w:tc>
        <w:tc>
          <w:tcPr>
            <w:tcW w:w="1072" w:type="pct"/>
          </w:tcPr>
          <w:p w14:paraId="2B45B7A8"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Bumblebees, Mason bees, Solitary bees</w:t>
            </w:r>
          </w:p>
        </w:tc>
        <w:tc>
          <w:tcPr>
            <w:tcW w:w="928" w:type="pct"/>
          </w:tcPr>
          <w:p w14:paraId="2CA37163"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Tomato, Blueberry, Alfalfa, Apple, Sunflower</w:t>
            </w:r>
          </w:p>
        </w:tc>
        <w:tc>
          <w:tcPr>
            <w:tcW w:w="1034" w:type="pct"/>
          </w:tcPr>
          <w:p w14:paraId="1541B623"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Highly efficient; capable of buzz pollination; diverse foraging strategies.</w:t>
            </w:r>
          </w:p>
        </w:tc>
        <w:tc>
          <w:tcPr>
            <w:tcW w:w="1003" w:type="pct"/>
          </w:tcPr>
          <w:p w14:paraId="14F52805"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Habitat loss, pesticide exposure, climate change, pathogens.</w:t>
            </w:r>
          </w:p>
        </w:tc>
      </w:tr>
      <w:tr w:rsidR="00AA1A0B" w:rsidRPr="00077DF8" w14:paraId="4F48D7DD" w14:textId="77777777" w:rsidTr="00694A40">
        <w:trPr>
          <w:jc w:val="center"/>
        </w:trPr>
        <w:tc>
          <w:tcPr>
            <w:tcW w:w="962" w:type="pct"/>
          </w:tcPr>
          <w:p w14:paraId="3C38F994"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Flies</w:t>
            </w:r>
          </w:p>
        </w:tc>
        <w:tc>
          <w:tcPr>
            <w:tcW w:w="1072" w:type="pct"/>
          </w:tcPr>
          <w:p w14:paraId="70CB7509"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Hoverflies (Syrphidae), Bee flies (Bombyliidae)</w:t>
            </w:r>
          </w:p>
        </w:tc>
        <w:tc>
          <w:tcPr>
            <w:tcW w:w="928" w:type="pct"/>
          </w:tcPr>
          <w:p w14:paraId="4855C50B"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Strawberry, Carrot, Oilseed rape, Onion, Mango</w:t>
            </w:r>
          </w:p>
        </w:tc>
        <w:tc>
          <w:tcPr>
            <w:tcW w:w="1034" w:type="pct"/>
          </w:tcPr>
          <w:p w14:paraId="1D750AB2"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Active in cool/cloudy conditions; larvae provide pest control; generalist foragers.</w:t>
            </w:r>
          </w:p>
        </w:tc>
        <w:tc>
          <w:tcPr>
            <w:tcW w:w="1003" w:type="pct"/>
          </w:tcPr>
          <w:p w14:paraId="2E27FE05"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Loss of larval habitat, agricultural intensification, knowledge gaps.</w:t>
            </w:r>
          </w:p>
        </w:tc>
      </w:tr>
      <w:tr w:rsidR="00AA1A0B" w:rsidRPr="00077DF8" w14:paraId="31834F97" w14:textId="77777777" w:rsidTr="00694A40">
        <w:trPr>
          <w:jc w:val="center"/>
        </w:trPr>
        <w:tc>
          <w:tcPr>
            <w:tcW w:w="962" w:type="pct"/>
          </w:tcPr>
          <w:p w14:paraId="388E0F27"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Lepidoptera</w:t>
            </w:r>
          </w:p>
        </w:tc>
        <w:tc>
          <w:tcPr>
            <w:tcW w:w="1072" w:type="pct"/>
          </w:tcPr>
          <w:p w14:paraId="3CE82B27"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Moths (</w:t>
            </w:r>
            <w:proofErr w:type="spellStart"/>
            <w:r w:rsidRPr="00AA1A0B">
              <w:rPr>
                <w:rFonts w:ascii="Arial" w:eastAsia="Source Han Sans SC" w:hAnsi="Arial" w:cs="Arial"/>
                <w:sz w:val="20"/>
                <w:szCs w:val="24"/>
              </w:rPr>
              <w:t>Noctuidae</w:t>
            </w:r>
            <w:proofErr w:type="spellEnd"/>
            <w:r w:rsidRPr="00AA1A0B">
              <w:rPr>
                <w:rFonts w:ascii="Arial" w:eastAsia="Source Han Sans SC" w:hAnsi="Arial" w:cs="Arial"/>
                <w:sz w:val="20"/>
                <w:szCs w:val="24"/>
              </w:rPr>
              <w:t xml:space="preserve">, </w:t>
            </w:r>
            <w:proofErr w:type="spellStart"/>
            <w:r w:rsidRPr="00AA1A0B">
              <w:rPr>
                <w:rFonts w:ascii="Arial" w:eastAsia="Source Han Sans SC" w:hAnsi="Arial" w:cs="Arial"/>
                <w:sz w:val="20"/>
                <w:szCs w:val="24"/>
              </w:rPr>
              <w:t>Sphingidae</w:t>
            </w:r>
            <w:proofErr w:type="spellEnd"/>
            <w:r w:rsidRPr="00AA1A0B">
              <w:rPr>
                <w:rFonts w:ascii="Arial" w:eastAsia="Source Han Sans SC" w:hAnsi="Arial" w:cs="Arial"/>
                <w:sz w:val="20"/>
                <w:szCs w:val="24"/>
              </w:rPr>
              <w:t>), Butterflies</w:t>
            </w:r>
          </w:p>
        </w:tc>
        <w:tc>
          <w:tcPr>
            <w:tcW w:w="928" w:type="pct"/>
          </w:tcPr>
          <w:p w14:paraId="31CC44CB"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Apple, Red clover, Papaya, various vegetables</w:t>
            </w:r>
          </w:p>
        </w:tc>
        <w:tc>
          <w:tcPr>
            <w:tcW w:w="1034" w:type="pct"/>
          </w:tcPr>
          <w:p w14:paraId="0478007C"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Facilitate long-distance pollen flow; crucial for nocturnal pollination.</w:t>
            </w:r>
          </w:p>
        </w:tc>
        <w:tc>
          <w:tcPr>
            <w:tcW w:w="1003" w:type="pct"/>
          </w:tcPr>
          <w:p w14:paraId="0AB73545"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Pesticides (especially for larvae), light pollution (for moths), habitat fragmentation.</w:t>
            </w:r>
          </w:p>
        </w:tc>
      </w:tr>
      <w:tr w:rsidR="00AA1A0B" w:rsidRPr="00077DF8" w14:paraId="289DE12A" w14:textId="77777777" w:rsidTr="00694A40">
        <w:trPr>
          <w:jc w:val="center"/>
        </w:trPr>
        <w:tc>
          <w:tcPr>
            <w:tcW w:w="962" w:type="pct"/>
          </w:tcPr>
          <w:p w14:paraId="15911E30"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Beetles</w:t>
            </w:r>
          </w:p>
        </w:tc>
        <w:tc>
          <w:tcPr>
            <w:tcW w:w="1072" w:type="pct"/>
          </w:tcPr>
          <w:p w14:paraId="7B3FD21A"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Scarab beetles, Nitidulidae</w:t>
            </w:r>
          </w:p>
        </w:tc>
        <w:tc>
          <w:tcPr>
            <w:tcW w:w="928" w:type="pct"/>
          </w:tcPr>
          <w:p w14:paraId="5A6C3843"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Atemoya, Palms (e.g., Açaí), Magnolia</w:t>
            </w:r>
          </w:p>
        </w:tc>
        <w:tc>
          <w:tcPr>
            <w:tcW w:w="1034" w:type="pct"/>
          </w:tcPr>
          <w:p w14:paraId="04B7561C"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Ancient interaction; effective for specific, robust flower structures.</w:t>
            </w:r>
          </w:p>
        </w:tc>
        <w:tc>
          <w:tcPr>
            <w:tcW w:w="1003" w:type="pct"/>
          </w:tcPr>
          <w:p w14:paraId="086F15A4"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Habitat loss (e.g., deforestation), pesticide use.</w:t>
            </w:r>
          </w:p>
        </w:tc>
      </w:tr>
      <w:tr w:rsidR="00AA1A0B" w:rsidRPr="00077DF8" w14:paraId="6B9B0366" w14:textId="77777777" w:rsidTr="00694A40">
        <w:trPr>
          <w:jc w:val="center"/>
        </w:trPr>
        <w:tc>
          <w:tcPr>
            <w:tcW w:w="962" w:type="pct"/>
          </w:tcPr>
          <w:p w14:paraId="4BD3BEA8"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Vertebrates</w:t>
            </w:r>
          </w:p>
        </w:tc>
        <w:tc>
          <w:tcPr>
            <w:tcW w:w="1072" w:type="pct"/>
          </w:tcPr>
          <w:p w14:paraId="154607EE"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Bats (Phyllostomidae), Birds (Hummingbirds, Sunbirds)</w:t>
            </w:r>
          </w:p>
        </w:tc>
        <w:tc>
          <w:tcPr>
            <w:tcW w:w="928" w:type="pct"/>
          </w:tcPr>
          <w:p w14:paraId="3AAAE138"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Agave, Pitaya (Dragon fruit), Banana, Durian</w:t>
            </w:r>
          </w:p>
        </w:tc>
        <w:tc>
          <w:tcPr>
            <w:tcW w:w="1034" w:type="pct"/>
          </w:tcPr>
          <w:p w14:paraId="488EFE2E"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Long-distance pollen dispersal; crucial for large, specialized flowers.</w:t>
            </w:r>
          </w:p>
        </w:tc>
        <w:tc>
          <w:tcPr>
            <w:tcW w:w="1003" w:type="pct"/>
          </w:tcPr>
          <w:p w14:paraId="30BA0693"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Habitat destruction, persecution, disturbance of roosts/nests.</w:t>
            </w:r>
          </w:p>
        </w:tc>
      </w:tr>
    </w:tbl>
    <w:p w14:paraId="34DE63A1" w14:textId="77777777" w:rsidR="00B66A39" w:rsidRDefault="00B66A39" w:rsidP="00441B6F">
      <w:pPr>
        <w:pStyle w:val="AbstHead"/>
        <w:spacing w:after="0"/>
        <w:jc w:val="both"/>
        <w:rPr>
          <w:rFonts w:ascii="Arial" w:hAnsi="Arial" w:cs="Arial"/>
        </w:rPr>
      </w:pPr>
    </w:p>
    <w:p w14:paraId="52A0EFD4" w14:textId="77777777" w:rsidR="00DE7FCA" w:rsidRPr="00DE7FCA" w:rsidRDefault="00DE7FCA" w:rsidP="00DE7FCA">
      <w:pPr>
        <w:pStyle w:val="Heading1"/>
        <w:spacing w:before="300" w:after="300"/>
        <w:jc w:val="both"/>
        <w:rPr>
          <w:rFonts w:cs="Arial"/>
          <w:sz w:val="22"/>
          <w:szCs w:val="24"/>
        </w:rPr>
      </w:pPr>
      <w:r w:rsidRPr="00DE7FCA">
        <w:rPr>
          <w:rFonts w:eastAsia="Arial" w:cs="Arial"/>
          <w:sz w:val="22"/>
          <w:szCs w:val="24"/>
        </w:rPr>
        <w:t>4. COMPARATIVE EFFECTIVENESS AND SYNERGIES</w:t>
      </w:r>
    </w:p>
    <w:p w14:paraId="031D77C7" w14:textId="77777777" w:rsidR="00DE7FCA" w:rsidRPr="00DE7FCA" w:rsidRDefault="00DE7FCA" w:rsidP="00DE7FCA">
      <w:pPr>
        <w:spacing w:after="300"/>
        <w:jc w:val="both"/>
        <w:rPr>
          <w:rFonts w:ascii="Arial" w:hAnsi="Arial" w:cs="Arial"/>
          <w:szCs w:val="24"/>
        </w:rPr>
      </w:pPr>
      <w:r w:rsidRPr="00DE7FCA">
        <w:rPr>
          <w:rFonts w:ascii="Arial" w:eastAsia="Arial" w:hAnsi="Arial" w:cs="Arial"/>
          <w:szCs w:val="24"/>
        </w:rPr>
        <w:t xml:space="preserve">A central question in pollination ecology is how the effectiveness of non-honeybee pollinators compares to that of the managed honeybee. A growing body of evidence suggests that, for many crops, wild pollinators are more efficient on a per-visit basis. A landmark meta-analysis covering 41 crop systems worldwide found that wild insects pollinated crops more effectively and that fruit set increased with wild-insect visitation regardless of honeybee abundance (Garibaldi </w:t>
      </w:r>
      <w:r w:rsidRPr="00DE7FCA">
        <w:rPr>
          <w:rFonts w:ascii="Arial" w:eastAsia="Arial" w:hAnsi="Arial" w:cs="Arial"/>
          <w:i/>
          <w:szCs w:val="24"/>
        </w:rPr>
        <w:t>et al</w:t>
      </w:r>
      <w:r w:rsidRPr="00DE7FCA">
        <w:rPr>
          <w:rFonts w:ascii="Arial" w:eastAsia="Arial" w:hAnsi="Arial" w:cs="Arial"/>
          <w:szCs w:val="24"/>
        </w:rPr>
        <w:t>., 2013). This indicates that honeybees supplement rather than replace the services of wild pollinators.</w:t>
      </w:r>
    </w:p>
    <w:p w14:paraId="1C88C604" w14:textId="77777777" w:rsidR="00DE7FCA" w:rsidRPr="00DE7FCA" w:rsidRDefault="00DE7FCA" w:rsidP="00DE7FCA">
      <w:pPr>
        <w:spacing w:after="300"/>
        <w:jc w:val="both"/>
        <w:rPr>
          <w:rFonts w:ascii="Arial" w:hAnsi="Arial" w:cs="Arial"/>
          <w:szCs w:val="24"/>
        </w:rPr>
      </w:pPr>
      <w:r w:rsidRPr="00DE7FCA">
        <w:rPr>
          <w:rFonts w:ascii="Arial" w:eastAsia="Arial" w:hAnsi="Arial" w:cs="Arial"/>
          <w:szCs w:val="24"/>
        </w:rPr>
        <w:t>The greatest benefits, however, often arise from the synergistic interactions within a diverse pollinator community. This concept, known as "complementarity," describes how different species contribute to pollination in unique ways. For example:</w:t>
      </w:r>
    </w:p>
    <w:p w14:paraId="46214E30" w14:textId="77777777" w:rsidR="00DE7FCA" w:rsidRPr="00A42252" w:rsidRDefault="00DE7FCA" w:rsidP="00DE7FCA">
      <w:pPr>
        <w:pStyle w:val="ListBullet"/>
        <w:spacing w:after="300"/>
        <w:jc w:val="both"/>
        <w:rPr>
          <w:rFonts w:ascii="Arial" w:hAnsi="Arial" w:cs="Arial"/>
          <w:sz w:val="20"/>
          <w:szCs w:val="24"/>
        </w:rPr>
      </w:pPr>
      <w:r w:rsidRPr="00A42252">
        <w:rPr>
          <w:rFonts w:ascii="Arial" w:eastAsia="Arial" w:hAnsi="Arial" w:cs="Arial"/>
          <w:b/>
          <w:sz w:val="20"/>
          <w:szCs w:val="24"/>
        </w:rPr>
        <w:t>Temporal Complementarity:</w:t>
      </w:r>
      <w:r w:rsidRPr="00A42252">
        <w:rPr>
          <w:rFonts w:ascii="Arial" w:hAnsi="Arial" w:cs="Arial"/>
          <w:sz w:val="20"/>
          <w:szCs w:val="24"/>
        </w:rPr>
        <w:t xml:space="preserve"> </w:t>
      </w:r>
      <w:r w:rsidRPr="00A42252">
        <w:rPr>
          <w:rFonts w:ascii="Arial" w:eastAsia="Source Han Sans SC" w:hAnsi="Arial" w:cs="Arial"/>
          <w:sz w:val="20"/>
          <w:szCs w:val="24"/>
        </w:rPr>
        <w:t xml:space="preserve"> Some species, like hoverflies, are active in cooler, cloudier weather when bees are not, extending the daily window for pollination (</w:t>
      </w:r>
      <w:r w:rsidRPr="00A42252">
        <w:rPr>
          <w:rFonts w:ascii="Arial" w:hAnsi="Arial" w:cs="Arial"/>
          <w:sz w:val="20"/>
          <w:szCs w:val="40"/>
        </w:rPr>
        <w:t>Doyle</w:t>
      </w:r>
      <w:r w:rsidRPr="00A42252">
        <w:rPr>
          <w:rFonts w:ascii="Arial" w:eastAsia="Source Han Sans SC" w:hAnsi="Arial" w:cs="Arial"/>
          <w:sz w:val="20"/>
          <w:szCs w:val="24"/>
        </w:rPr>
        <w:t xml:space="preserve"> </w:t>
      </w:r>
      <w:r w:rsidRPr="00A42252">
        <w:rPr>
          <w:rFonts w:ascii="Arial" w:eastAsia="Source Han Sans SC" w:hAnsi="Arial" w:cs="Arial"/>
          <w:i/>
          <w:sz w:val="20"/>
          <w:szCs w:val="24"/>
        </w:rPr>
        <w:t>et al</w:t>
      </w:r>
      <w:r w:rsidRPr="00A42252">
        <w:rPr>
          <w:rFonts w:ascii="Arial" w:eastAsia="Source Han Sans SC" w:hAnsi="Arial" w:cs="Arial"/>
          <w:sz w:val="20"/>
          <w:szCs w:val="24"/>
        </w:rPr>
        <w:t>., 2020). Nocturnal moths provide pollination services when diurnal species are inactive (</w:t>
      </w:r>
      <w:r w:rsidRPr="00A42252">
        <w:rPr>
          <w:rFonts w:ascii="Arial" w:hAnsi="Arial" w:cs="Arial"/>
          <w:sz w:val="20"/>
          <w:szCs w:val="40"/>
        </w:rPr>
        <w:t>Buxton</w:t>
      </w:r>
      <w:r w:rsidRPr="00A42252">
        <w:rPr>
          <w:rFonts w:ascii="Arial" w:eastAsia="Source Han Sans SC" w:hAnsi="Arial" w:cs="Arial"/>
          <w:sz w:val="20"/>
          <w:szCs w:val="24"/>
        </w:rPr>
        <w:t xml:space="preserve"> </w:t>
      </w:r>
      <w:r w:rsidRPr="00A42252">
        <w:rPr>
          <w:rFonts w:ascii="Arial" w:eastAsia="Source Han Sans SC" w:hAnsi="Arial" w:cs="Arial"/>
          <w:i/>
          <w:sz w:val="20"/>
          <w:szCs w:val="24"/>
        </w:rPr>
        <w:t>et al</w:t>
      </w:r>
      <w:r w:rsidRPr="00A42252">
        <w:rPr>
          <w:rFonts w:ascii="Arial" w:eastAsia="Source Han Sans SC" w:hAnsi="Arial" w:cs="Arial"/>
          <w:sz w:val="20"/>
          <w:szCs w:val="24"/>
        </w:rPr>
        <w:t>., 2022).</w:t>
      </w:r>
    </w:p>
    <w:p w14:paraId="06C163E7" w14:textId="77777777" w:rsidR="00DE7FCA" w:rsidRPr="00A42252" w:rsidRDefault="00DE7FCA" w:rsidP="00DE7FCA">
      <w:pPr>
        <w:pStyle w:val="ListBullet"/>
        <w:spacing w:after="300"/>
        <w:jc w:val="both"/>
        <w:rPr>
          <w:rFonts w:ascii="Arial" w:hAnsi="Arial" w:cs="Arial"/>
          <w:sz w:val="20"/>
          <w:szCs w:val="24"/>
        </w:rPr>
      </w:pPr>
      <w:r w:rsidRPr="00A42252">
        <w:rPr>
          <w:rFonts w:ascii="Arial" w:eastAsia="Arial" w:hAnsi="Arial" w:cs="Arial"/>
          <w:b/>
          <w:sz w:val="20"/>
          <w:szCs w:val="24"/>
        </w:rPr>
        <w:t>Behavioral Complementarity:</w:t>
      </w:r>
      <w:r w:rsidRPr="00A42252">
        <w:rPr>
          <w:rFonts w:ascii="Arial" w:hAnsi="Arial" w:cs="Arial"/>
          <w:sz w:val="20"/>
          <w:szCs w:val="24"/>
        </w:rPr>
        <w:t xml:space="preserve"> </w:t>
      </w:r>
      <w:r w:rsidRPr="00A42252">
        <w:rPr>
          <w:rFonts w:ascii="Arial" w:eastAsia="Source Han Sans SC" w:hAnsi="Arial" w:cs="Arial"/>
          <w:sz w:val="20"/>
          <w:szCs w:val="24"/>
        </w:rPr>
        <w:t xml:space="preserve"> The presence of wild bees can induce behavioral changes in honeybees, leading them to move more between different plants and thereby increasing cross-pollination, a phenomenon that improves both yield and quality in crops like almonds and sunflowers (Greenleaf and Kremen, 2006).</w:t>
      </w:r>
    </w:p>
    <w:p w14:paraId="146B4B6E" w14:textId="77777777" w:rsidR="00D71F88" w:rsidRPr="000F1DA9" w:rsidRDefault="00DE7FCA" w:rsidP="00D71F88">
      <w:pPr>
        <w:pStyle w:val="ListBullet"/>
        <w:spacing w:after="300"/>
        <w:jc w:val="both"/>
        <w:rPr>
          <w:rFonts w:ascii="Arial" w:hAnsi="Arial" w:cs="Arial"/>
          <w:sz w:val="20"/>
          <w:szCs w:val="24"/>
        </w:rPr>
      </w:pPr>
      <w:r w:rsidRPr="00A42252">
        <w:rPr>
          <w:rFonts w:ascii="Arial" w:eastAsia="Arial" w:hAnsi="Arial" w:cs="Arial"/>
          <w:b/>
          <w:sz w:val="20"/>
          <w:szCs w:val="24"/>
        </w:rPr>
        <w:t>Functional Complementarity:</w:t>
      </w:r>
      <w:r w:rsidRPr="00A42252">
        <w:rPr>
          <w:rFonts w:ascii="Arial" w:hAnsi="Arial" w:cs="Arial"/>
          <w:sz w:val="20"/>
          <w:szCs w:val="24"/>
        </w:rPr>
        <w:t xml:space="preserve"> </w:t>
      </w:r>
      <w:r w:rsidRPr="00A42252">
        <w:rPr>
          <w:rFonts w:ascii="Arial" w:eastAsia="Source Han Sans SC" w:hAnsi="Arial" w:cs="Arial"/>
          <w:sz w:val="20"/>
          <w:szCs w:val="24"/>
        </w:rPr>
        <w:t xml:space="preserve"> </w:t>
      </w:r>
      <w:r w:rsidR="00D71F88" w:rsidRPr="000F1DA9">
        <w:rPr>
          <w:rFonts w:ascii="Arial" w:eastAsia="Source Han Sans SC" w:hAnsi="Arial" w:cs="Arial"/>
          <w:sz w:val="20"/>
          <w:szCs w:val="24"/>
        </w:rPr>
        <w:t>Different pollinators often interact with flowers in distinct ways, resulting in more complete pollen transfer. For instance, bumblebees and other large-bodied bees can perform buzz pollination, efficiently releasing pollen from poricidal anthers in crops such as tomato, a mechanism that honeybees cannot perform effectively. In contrast, honeybees may still contribute by providing frequent visitation and supporting pollen movement among flowers when pollen is easily accessible. Such division of roles across species enhances overall pollen deposition and reproductive success, particularly in crops where floral structure requires specialized handling.</w:t>
      </w:r>
    </w:p>
    <w:p w14:paraId="7314D2CA" w14:textId="77777777" w:rsidR="00DE7FCA" w:rsidRPr="00A42252" w:rsidRDefault="00DE7FCA" w:rsidP="00DE7FCA">
      <w:pPr>
        <w:spacing w:after="300"/>
        <w:jc w:val="both"/>
        <w:rPr>
          <w:rFonts w:ascii="Arial" w:hAnsi="Arial" w:cs="Arial"/>
          <w:szCs w:val="24"/>
        </w:rPr>
      </w:pPr>
      <w:r w:rsidRPr="00A42252">
        <w:rPr>
          <w:rFonts w:ascii="Arial" w:eastAsia="Arial" w:hAnsi="Arial" w:cs="Arial"/>
          <w:szCs w:val="24"/>
        </w:rPr>
        <w:t xml:space="preserve">This functional diversity creates a more stable and resilient pollination service. An agroecosystem that relies on a wide range of pollinators is less susceptible to the decline of any single species, whether due to disease, climate events, or other stressors. Therefore, managing for pollinator diversity is a key strategy for risk mitigation in agriculture (Klatt </w:t>
      </w:r>
      <w:r w:rsidRPr="00A42252">
        <w:rPr>
          <w:rFonts w:ascii="Arial" w:eastAsia="Arial" w:hAnsi="Arial" w:cs="Arial"/>
          <w:i/>
          <w:szCs w:val="24"/>
        </w:rPr>
        <w:t>et al</w:t>
      </w:r>
      <w:r w:rsidRPr="00A42252">
        <w:rPr>
          <w:rFonts w:ascii="Arial" w:eastAsia="Arial" w:hAnsi="Arial" w:cs="Arial"/>
          <w:szCs w:val="24"/>
        </w:rPr>
        <w:t>., 2014).</w:t>
      </w:r>
    </w:p>
    <w:p w14:paraId="00E79116" w14:textId="77777777" w:rsidR="00DE7FCA" w:rsidRPr="00A42252" w:rsidRDefault="00DE7FCA" w:rsidP="00DE7FCA">
      <w:pPr>
        <w:pStyle w:val="Heading1"/>
        <w:spacing w:before="300" w:after="300"/>
        <w:jc w:val="both"/>
        <w:rPr>
          <w:rFonts w:cs="Arial"/>
          <w:sz w:val="22"/>
          <w:szCs w:val="24"/>
        </w:rPr>
      </w:pPr>
      <w:r w:rsidRPr="00A42252">
        <w:rPr>
          <w:rFonts w:eastAsia="Arial" w:cs="Arial"/>
          <w:sz w:val="22"/>
          <w:szCs w:val="24"/>
        </w:rPr>
        <w:t>5. CONSERVATION STRATEGIES AND POLICY IMPLICATIONS</w:t>
      </w:r>
    </w:p>
    <w:p w14:paraId="4EB5BCA7" w14:textId="77777777" w:rsidR="00DE7FCA" w:rsidRPr="00A42252" w:rsidRDefault="00DE7FCA" w:rsidP="00DE7FCA">
      <w:pPr>
        <w:spacing w:after="300"/>
        <w:jc w:val="both"/>
        <w:rPr>
          <w:rFonts w:ascii="Arial" w:hAnsi="Arial" w:cs="Arial"/>
          <w:szCs w:val="24"/>
        </w:rPr>
      </w:pPr>
      <w:r w:rsidRPr="00A42252">
        <w:rPr>
          <w:rFonts w:ascii="Arial" w:eastAsia="Arial" w:hAnsi="Arial" w:cs="Arial"/>
          <w:szCs w:val="24"/>
        </w:rPr>
        <w:t>The recognition of the importance of non-honeybee pollinators necessitates a shift in conservation focus from managing a single species to managing entire landscapes for pollinator health. Effective conservation requires a multi-faceted approach that integrates scientific knowledge into actionable policies and farming practices (Stout and Dicks, 2022).</w:t>
      </w:r>
    </w:p>
    <w:p w14:paraId="2D132D55" w14:textId="77777777" w:rsidR="00DE7FCA" w:rsidRPr="00A42252" w:rsidRDefault="00DE7FCA" w:rsidP="00DE7FCA">
      <w:pPr>
        <w:pStyle w:val="Heading2"/>
        <w:spacing w:before="225" w:after="300"/>
        <w:jc w:val="both"/>
        <w:rPr>
          <w:rFonts w:ascii="Arial" w:hAnsi="Arial" w:cs="Arial"/>
          <w:b/>
          <w:color w:val="auto"/>
          <w:sz w:val="20"/>
          <w:szCs w:val="24"/>
        </w:rPr>
      </w:pPr>
      <w:r w:rsidRPr="00A42252">
        <w:rPr>
          <w:rFonts w:ascii="Arial" w:eastAsia="Arial" w:hAnsi="Arial" w:cs="Arial"/>
          <w:b/>
          <w:color w:val="auto"/>
          <w:sz w:val="20"/>
          <w:szCs w:val="24"/>
        </w:rPr>
        <w:t>5.1 On-Farm Habitat Management</w:t>
      </w:r>
    </w:p>
    <w:p w14:paraId="53BEF2F0" w14:textId="77777777" w:rsidR="00DE7FCA" w:rsidRPr="00A42252" w:rsidRDefault="00DE7FCA" w:rsidP="00DE7FCA">
      <w:pPr>
        <w:spacing w:after="300"/>
        <w:jc w:val="both"/>
        <w:rPr>
          <w:rFonts w:ascii="Arial" w:hAnsi="Arial" w:cs="Arial"/>
          <w:szCs w:val="24"/>
        </w:rPr>
      </w:pPr>
      <w:r w:rsidRPr="00A42252">
        <w:rPr>
          <w:rFonts w:ascii="Arial" w:eastAsia="Arial" w:hAnsi="Arial" w:cs="Arial"/>
          <w:szCs w:val="24"/>
        </w:rPr>
        <w:t>A primary strategy for conserving wild pollinators is the creation and maintenance of on-farm habitats that provide essential resources: forage (pollen and nectar), nesting sites and refuge from pesticides. Key practices include:</w:t>
      </w:r>
    </w:p>
    <w:p w14:paraId="5F7AD1F4" w14:textId="77777777" w:rsidR="00DE7FCA" w:rsidRPr="00A42252" w:rsidRDefault="00DE7FCA" w:rsidP="00DE7FCA">
      <w:pPr>
        <w:pStyle w:val="ListBullet"/>
        <w:spacing w:after="300"/>
        <w:jc w:val="both"/>
        <w:rPr>
          <w:rFonts w:ascii="Arial" w:hAnsi="Arial" w:cs="Arial"/>
          <w:sz w:val="20"/>
          <w:szCs w:val="24"/>
        </w:rPr>
      </w:pPr>
      <w:r w:rsidRPr="00A42252">
        <w:rPr>
          <w:rFonts w:ascii="Arial" w:eastAsia="Arial" w:hAnsi="Arial" w:cs="Arial"/>
          <w:b/>
          <w:sz w:val="20"/>
          <w:szCs w:val="24"/>
        </w:rPr>
        <w:t>Planting Flower Strips and Hedgerows:</w:t>
      </w:r>
      <w:r w:rsidRPr="00A42252">
        <w:rPr>
          <w:rFonts w:ascii="Arial" w:hAnsi="Arial" w:cs="Arial"/>
          <w:sz w:val="20"/>
          <w:szCs w:val="24"/>
        </w:rPr>
        <w:t xml:space="preserve"> </w:t>
      </w:r>
      <w:r w:rsidRPr="00A42252">
        <w:rPr>
          <w:rFonts w:ascii="Arial" w:eastAsia="Source Han Sans SC" w:hAnsi="Arial" w:cs="Arial"/>
          <w:sz w:val="20"/>
          <w:szCs w:val="24"/>
        </w:rPr>
        <w:t xml:space="preserve"> Establishing strips of native wildflowers within or around crop fields provides a continuous source of food for diverse pollinators throughout the growing season. These habitats have been shown to increase the abundance and diversity of bees, hoverflies and butterflies in agricultural landscapes (</w:t>
      </w:r>
      <w:proofErr w:type="spellStart"/>
      <w:r w:rsidRPr="00A42252">
        <w:rPr>
          <w:rFonts w:ascii="Arial" w:hAnsi="Arial" w:cs="Arial"/>
          <w:sz w:val="20"/>
          <w:szCs w:val="40"/>
        </w:rPr>
        <w:t>Buhk</w:t>
      </w:r>
      <w:proofErr w:type="spellEnd"/>
      <w:r w:rsidRPr="00A42252">
        <w:rPr>
          <w:rFonts w:ascii="Arial" w:eastAsia="Source Han Sans SC" w:hAnsi="Arial" w:cs="Arial"/>
          <w:sz w:val="20"/>
          <w:szCs w:val="24"/>
        </w:rPr>
        <w:t xml:space="preserve"> </w:t>
      </w:r>
      <w:r w:rsidRPr="00A42252">
        <w:rPr>
          <w:rFonts w:ascii="Arial" w:eastAsia="Source Han Sans SC" w:hAnsi="Arial" w:cs="Arial"/>
          <w:i/>
          <w:sz w:val="20"/>
          <w:szCs w:val="24"/>
        </w:rPr>
        <w:t>et al</w:t>
      </w:r>
      <w:r w:rsidRPr="00A42252">
        <w:rPr>
          <w:rFonts w:ascii="Arial" w:eastAsia="Source Han Sans SC" w:hAnsi="Arial" w:cs="Arial"/>
          <w:sz w:val="20"/>
          <w:szCs w:val="24"/>
        </w:rPr>
        <w:t>., 2018).</w:t>
      </w:r>
    </w:p>
    <w:p w14:paraId="05D565A5" w14:textId="77777777" w:rsidR="00DE7FCA" w:rsidRPr="00A42252" w:rsidRDefault="00DE7FCA" w:rsidP="00DE7FCA">
      <w:pPr>
        <w:pStyle w:val="ListBullet"/>
        <w:spacing w:after="300"/>
        <w:jc w:val="both"/>
        <w:rPr>
          <w:rFonts w:ascii="Arial" w:hAnsi="Arial" w:cs="Arial"/>
          <w:sz w:val="20"/>
          <w:szCs w:val="24"/>
        </w:rPr>
      </w:pPr>
      <w:r w:rsidRPr="00A42252">
        <w:rPr>
          <w:rFonts w:ascii="Arial" w:eastAsia="Arial" w:hAnsi="Arial" w:cs="Arial"/>
          <w:b/>
          <w:sz w:val="20"/>
          <w:szCs w:val="24"/>
        </w:rPr>
        <w:t>Maintaining Semi-Natural Habitats:</w:t>
      </w:r>
      <w:r w:rsidRPr="00A42252">
        <w:rPr>
          <w:rFonts w:ascii="Arial" w:hAnsi="Arial" w:cs="Arial"/>
          <w:sz w:val="20"/>
          <w:szCs w:val="24"/>
        </w:rPr>
        <w:t xml:space="preserve"> </w:t>
      </w:r>
      <w:r w:rsidRPr="00A42252">
        <w:rPr>
          <w:rFonts w:ascii="Arial" w:eastAsia="Source Han Sans SC" w:hAnsi="Arial" w:cs="Arial"/>
          <w:sz w:val="20"/>
          <w:szCs w:val="24"/>
        </w:rPr>
        <w:t xml:space="preserve"> Protecting and restoring areas of forest, grassland, and wetlands adjacent to farmland is crucial, as many pollinators rely on these areas for nesting and overwintering. The proximity of such habitats is strongly correlated with higher pollinator diversity and improved crop yields (Garibaldi </w:t>
      </w:r>
      <w:r w:rsidRPr="00A42252">
        <w:rPr>
          <w:rFonts w:ascii="Arial" w:eastAsia="Source Han Sans SC" w:hAnsi="Arial" w:cs="Arial"/>
          <w:i/>
          <w:sz w:val="20"/>
          <w:szCs w:val="24"/>
        </w:rPr>
        <w:t>et al</w:t>
      </w:r>
      <w:r w:rsidRPr="00A42252">
        <w:rPr>
          <w:rFonts w:ascii="Arial" w:eastAsia="Source Han Sans SC" w:hAnsi="Arial" w:cs="Arial"/>
          <w:sz w:val="20"/>
          <w:szCs w:val="24"/>
        </w:rPr>
        <w:t xml:space="preserve">., 2011; </w:t>
      </w:r>
      <w:r w:rsidRPr="00A42252">
        <w:rPr>
          <w:rFonts w:ascii="Arial" w:hAnsi="Arial" w:cs="Arial"/>
          <w:sz w:val="20"/>
          <w:szCs w:val="40"/>
        </w:rPr>
        <w:t>Adit</w:t>
      </w:r>
      <w:r w:rsidRPr="00A42252">
        <w:rPr>
          <w:rFonts w:ascii="Arial" w:eastAsia="Source Han Sans SC" w:hAnsi="Arial" w:cs="Arial"/>
          <w:sz w:val="20"/>
          <w:szCs w:val="24"/>
        </w:rPr>
        <w:t xml:space="preserve"> </w:t>
      </w:r>
      <w:r w:rsidRPr="00A42252">
        <w:rPr>
          <w:rFonts w:ascii="Arial" w:eastAsia="Source Han Sans SC" w:hAnsi="Arial" w:cs="Arial"/>
          <w:i/>
          <w:sz w:val="20"/>
          <w:szCs w:val="24"/>
        </w:rPr>
        <w:t>et al</w:t>
      </w:r>
      <w:r w:rsidRPr="00A42252">
        <w:rPr>
          <w:rFonts w:ascii="Arial" w:eastAsia="Source Han Sans SC" w:hAnsi="Arial" w:cs="Arial"/>
          <w:sz w:val="20"/>
          <w:szCs w:val="24"/>
        </w:rPr>
        <w:t>., 2024).</w:t>
      </w:r>
    </w:p>
    <w:p w14:paraId="66A922E9" w14:textId="77777777" w:rsidR="00DE7FCA" w:rsidRPr="00A42252" w:rsidRDefault="00DE7FCA" w:rsidP="00DE7FCA">
      <w:pPr>
        <w:pStyle w:val="ListBullet"/>
        <w:spacing w:after="300"/>
        <w:jc w:val="both"/>
        <w:rPr>
          <w:rFonts w:ascii="Arial" w:hAnsi="Arial" w:cs="Arial"/>
          <w:sz w:val="20"/>
          <w:szCs w:val="24"/>
        </w:rPr>
      </w:pPr>
      <w:r w:rsidRPr="00A42252">
        <w:rPr>
          <w:rFonts w:ascii="Arial" w:eastAsia="Arial" w:hAnsi="Arial" w:cs="Arial"/>
          <w:b/>
          <w:sz w:val="20"/>
          <w:szCs w:val="24"/>
        </w:rPr>
        <w:t>Adopting Pollinator-Friendly Farming Practices:</w:t>
      </w:r>
      <w:r w:rsidRPr="00A42252">
        <w:rPr>
          <w:rFonts w:ascii="Arial" w:hAnsi="Arial" w:cs="Arial"/>
          <w:sz w:val="20"/>
          <w:szCs w:val="24"/>
        </w:rPr>
        <w:t xml:space="preserve"> </w:t>
      </w:r>
      <w:r w:rsidRPr="00A42252">
        <w:rPr>
          <w:rFonts w:ascii="Arial" w:eastAsia="Source Han Sans SC" w:hAnsi="Arial" w:cs="Arial"/>
          <w:sz w:val="20"/>
          <w:szCs w:val="24"/>
        </w:rPr>
        <w:t xml:space="preserve"> Practices such as reduced tillage (which protects ground-nesting bees), integrated pest management (IPM) to minimize pesticide use, and crop diversification can significantly benefit pollinator populations.</w:t>
      </w:r>
    </w:p>
    <w:p w14:paraId="01AD38CA" w14:textId="77777777" w:rsidR="00DE7FCA" w:rsidRPr="00A42252" w:rsidRDefault="00DE7FCA" w:rsidP="00DE7FCA">
      <w:pPr>
        <w:pStyle w:val="Heading2"/>
        <w:spacing w:before="225" w:after="300"/>
        <w:jc w:val="both"/>
        <w:rPr>
          <w:rFonts w:ascii="Arial" w:hAnsi="Arial" w:cs="Arial"/>
          <w:b/>
          <w:color w:val="auto"/>
          <w:sz w:val="20"/>
          <w:szCs w:val="24"/>
        </w:rPr>
      </w:pPr>
      <w:r w:rsidRPr="00A42252">
        <w:rPr>
          <w:rFonts w:ascii="Arial" w:eastAsia="Arial" w:hAnsi="Arial" w:cs="Arial"/>
          <w:b/>
          <w:color w:val="auto"/>
          <w:sz w:val="20"/>
          <w:szCs w:val="24"/>
        </w:rPr>
        <w:lastRenderedPageBreak/>
        <w:t>5.2 Policy and Economic Incentives</w:t>
      </w:r>
    </w:p>
    <w:p w14:paraId="6D683F53" w14:textId="77777777" w:rsidR="00DE7FCA" w:rsidRPr="00A42252" w:rsidRDefault="00DE7FCA" w:rsidP="00DE7FCA">
      <w:pPr>
        <w:spacing w:after="300"/>
        <w:jc w:val="both"/>
        <w:rPr>
          <w:rFonts w:ascii="Arial" w:hAnsi="Arial" w:cs="Arial"/>
          <w:szCs w:val="24"/>
        </w:rPr>
      </w:pPr>
      <w:r w:rsidRPr="00A42252">
        <w:rPr>
          <w:rFonts w:ascii="Arial" w:eastAsia="Arial" w:hAnsi="Arial" w:cs="Arial"/>
          <w:szCs w:val="24"/>
        </w:rPr>
        <w:t>Effective conservation cannot rely on voluntary action alone; it must be supported by robust public policies. Many countries and regions, including the European Union, have begun to implement national pollinator strategies. However, their effectiveness often depends on successful implementation and adequate funding (Stout and Dicks, 2022). The most effective policies are those that integrate scientific evidence with the socio-economic realities of farmers (</w:t>
      </w:r>
      <w:r w:rsidRPr="00A42252">
        <w:rPr>
          <w:rFonts w:ascii="Arial" w:hAnsi="Arial" w:cs="Arial"/>
          <w:szCs w:val="40"/>
        </w:rPr>
        <w:t>Medrano-Sánchez</w:t>
      </w:r>
      <w:r w:rsidRPr="00A42252">
        <w:rPr>
          <w:rFonts w:ascii="Arial" w:eastAsia="Arial" w:hAnsi="Arial" w:cs="Arial"/>
          <w:szCs w:val="24"/>
        </w:rPr>
        <w:t xml:space="preserve"> and Cuenca, 2025).</w:t>
      </w:r>
    </w:p>
    <w:p w14:paraId="535237DC" w14:textId="77777777" w:rsidR="00DE7FCA" w:rsidRPr="00A42252" w:rsidRDefault="00DE7FCA" w:rsidP="00DE7FCA">
      <w:pPr>
        <w:spacing w:after="300"/>
        <w:jc w:val="both"/>
        <w:rPr>
          <w:rFonts w:ascii="Arial" w:hAnsi="Arial" w:cs="Arial"/>
          <w:szCs w:val="24"/>
        </w:rPr>
      </w:pPr>
      <w:r w:rsidRPr="00A42252">
        <w:rPr>
          <w:rFonts w:ascii="Arial" w:eastAsia="Arial" w:hAnsi="Arial" w:cs="Arial"/>
          <w:szCs w:val="24"/>
        </w:rPr>
        <w:t xml:space="preserve">Agri-environment schemes (AES), which provide financial incentives to farmers for adopting environmentally friendly practices, are a key policy tool. Schemes that specifically target the creation of pollinator habitats have proven effective, but their design must be carefully considered to ensure they deliver real ecological benefits (Scheper </w:t>
      </w:r>
      <w:r w:rsidRPr="00A42252">
        <w:rPr>
          <w:rFonts w:ascii="Arial" w:eastAsia="Arial" w:hAnsi="Arial" w:cs="Arial"/>
          <w:i/>
          <w:szCs w:val="24"/>
        </w:rPr>
        <w:t>et al</w:t>
      </w:r>
      <w:r w:rsidRPr="00A42252">
        <w:rPr>
          <w:rFonts w:ascii="Arial" w:eastAsia="Arial" w:hAnsi="Arial" w:cs="Arial"/>
          <w:szCs w:val="24"/>
        </w:rPr>
        <w:t>., 2013). For example, paying farmers based on the ecological outcomes (e.g., measured pollinator abundance) rather than simply the action (e.g., planting a flower strip) could lead to more effective conservation. Furthermore, policies must address the drivers of pollinator decline, such as regulating the use of harmful pesticides and integrating pollinator protection into land-use planning (Stout and Dicks, 2022).</w:t>
      </w:r>
    </w:p>
    <w:p w14:paraId="1435C220" w14:textId="77777777" w:rsidR="00DE7FCA" w:rsidRPr="00A42252" w:rsidRDefault="00DE7FCA" w:rsidP="00DE7FCA">
      <w:pPr>
        <w:pStyle w:val="Heading2"/>
        <w:spacing w:before="225" w:after="300"/>
        <w:jc w:val="both"/>
        <w:rPr>
          <w:rFonts w:ascii="Arial" w:hAnsi="Arial" w:cs="Arial"/>
          <w:b/>
          <w:color w:val="auto"/>
          <w:sz w:val="20"/>
          <w:szCs w:val="24"/>
        </w:rPr>
      </w:pPr>
      <w:r w:rsidRPr="00A42252">
        <w:rPr>
          <w:rFonts w:ascii="Arial" w:eastAsia="Arial" w:hAnsi="Arial" w:cs="Arial"/>
          <w:b/>
          <w:color w:val="auto"/>
          <w:sz w:val="20"/>
          <w:szCs w:val="24"/>
        </w:rPr>
        <w:t>5.3 Bridging the Knowledge-to-Policy Gap</w:t>
      </w:r>
    </w:p>
    <w:p w14:paraId="6D64F8E0" w14:textId="77777777" w:rsidR="00DE7FCA" w:rsidRPr="00A42252" w:rsidRDefault="00DE7FCA" w:rsidP="00DE7FCA">
      <w:pPr>
        <w:spacing w:after="300"/>
        <w:jc w:val="both"/>
        <w:rPr>
          <w:rFonts w:ascii="Arial" w:hAnsi="Arial" w:cs="Arial"/>
          <w:szCs w:val="24"/>
        </w:rPr>
      </w:pPr>
      <w:r w:rsidRPr="00A42252">
        <w:rPr>
          <w:rFonts w:ascii="Arial" w:eastAsia="Arial" w:hAnsi="Arial" w:cs="Arial"/>
          <w:szCs w:val="24"/>
        </w:rPr>
        <w:t>A significant challenge remains in translating scientific knowledge about pollinator conservation into effective policy and practice. This requires better communication and collaboration between scientists, policymakers, farmers and the public. Long-term monitoring programs are essential to track pollinator populations, evaluate the effectiveness of conservation interventions and adapt strategies over time (Stout and Dicks, 2022). The U.S. Geological Survey's Pollinator Science Strategy for 2025–2035 is an example of a forward-looking plan to generate the data needed to inform management and policy decisions (</w:t>
      </w:r>
      <w:r w:rsidRPr="00A42252">
        <w:rPr>
          <w:rFonts w:ascii="Arial" w:hAnsi="Arial" w:cs="Arial"/>
          <w:szCs w:val="40"/>
        </w:rPr>
        <w:t xml:space="preserve">Otto </w:t>
      </w:r>
      <w:r w:rsidRPr="00A42252">
        <w:rPr>
          <w:rFonts w:ascii="Arial" w:hAnsi="Arial" w:cs="Arial"/>
          <w:i/>
          <w:iCs/>
          <w:szCs w:val="40"/>
        </w:rPr>
        <w:t>et al</w:t>
      </w:r>
      <w:r w:rsidRPr="00A42252">
        <w:rPr>
          <w:rFonts w:ascii="Arial" w:hAnsi="Arial" w:cs="Arial"/>
          <w:szCs w:val="40"/>
        </w:rPr>
        <w:t>.</w:t>
      </w:r>
      <w:r w:rsidRPr="00A42252">
        <w:rPr>
          <w:rFonts w:ascii="Arial" w:eastAsia="Arial" w:hAnsi="Arial" w:cs="Arial"/>
          <w:szCs w:val="24"/>
        </w:rPr>
        <w:t>, 2025). Ultimately, successful pollinator conservation will depend on a shared understanding that protecting these species is not just an environmental issue, but a cornerstone of agricultural sustainability and economic stability.</w:t>
      </w:r>
    </w:p>
    <w:p w14:paraId="55AC8C81" w14:textId="77777777" w:rsidR="00DE7FCA" w:rsidRPr="00A42252" w:rsidRDefault="00DE7FCA" w:rsidP="00DE7FCA">
      <w:pPr>
        <w:pStyle w:val="Heading1"/>
        <w:spacing w:before="300" w:after="300"/>
        <w:jc w:val="both"/>
        <w:rPr>
          <w:rFonts w:cs="Arial"/>
          <w:sz w:val="22"/>
          <w:szCs w:val="24"/>
        </w:rPr>
      </w:pPr>
      <w:r w:rsidRPr="00A42252">
        <w:rPr>
          <w:rFonts w:eastAsia="Arial" w:cs="Arial"/>
          <w:sz w:val="22"/>
          <w:szCs w:val="24"/>
        </w:rPr>
        <w:t>6. CONCLUSION</w:t>
      </w:r>
    </w:p>
    <w:p w14:paraId="579716B1" w14:textId="77777777" w:rsidR="008626C8" w:rsidRPr="00D915D1" w:rsidRDefault="00DE7FCA" w:rsidP="009958DC">
      <w:pPr>
        <w:spacing w:after="300"/>
        <w:jc w:val="both"/>
        <w:rPr>
          <w:rFonts w:ascii="Arial" w:eastAsia="Arial" w:hAnsi="Arial" w:cs="Arial"/>
          <w:szCs w:val="24"/>
        </w:rPr>
      </w:pPr>
      <w:r w:rsidRPr="00A42252">
        <w:rPr>
          <w:rFonts w:ascii="Arial" w:eastAsia="Arial" w:hAnsi="Arial" w:cs="Arial"/>
          <w:szCs w:val="24"/>
        </w:rPr>
        <w:t>The paradigm of agricultural pollination is expanding far beyond its traditional focus on the managed honeybee. The evidence synthesized in this review clearly demonstrates that a diverse assemblage of non-honeybee pollinators including wild bees, flies, lepidopterans, beetles, and vertebrates plays a fundamental and economically significant role in global food production. These pollinators are not merely a backup for honeybees; they provide unique and complementary services, enhance pollination efficiency through synergistic interactions and confer critical resilience to agroecosystems in the face of environmental change.</w:t>
      </w:r>
      <w:r w:rsidR="006718C0">
        <w:rPr>
          <w:rFonts w:ascii="Arial" w:hAnsi="Arial" w:cs="Arial"/>
          <w:szCs w:val="24"/>
        </w:rPr>
        <w:t xml:space="preserve"> </w:t>
      </w:r>
      <w:r w:rsidRPr="00A42252">
        <w:rPr>
          <w:rFonts w:ascii="Arial" w:eastAsia="Arial" w:hAnsi="Arial" w:cs="Arial"/>
          <w:szCs w:val="24"/>
        </w:rPr>
        <w:t xml:space="preserve">The continued decline of these wild species, driven by habitat loss, pesticide use and climate change, poses a direct threat to agricultural sustainability. Addressing this challenge requires a decisive shift in both practice and policy. Conservation efforts must move from a species-centric to a landscape-level approach, focusing on restoring the habitat mosaics that support diverse pollinator communities. This includes implementing on-farm strategies like flower strips and protecting semi-natural habitats, supported by well-designed </w:t>
      </w:r>
      <w:proofErr w:type="spellStart"/>
      <w:r w:rsidRPr="00A42252">
        <w:rPr>
          <w:rFonts w:ascii="Arial" w:eastAsia="Arial" w:hAnsi="Arial" w:cs="Arial"/>
          <w:szCs w:val="24"/>
        </w:rPr>
        <w:t>agri</w:t>
      </w:r>
      <w:proofErr w:type="spellEnd"/>
      <w:r w:rsidRPr="00A42252">
        <w:rPr>
          <w:rFonts w:ascii="Arial" w:eastAsia="Arial" w:hAnsi="Arial" w:cs="Arial"/>
          <w:szCs w:val="24"/>
        </w:rPr>
        <w:t>-environment schemes and robust regulations.</w:t>
      </w:r>
      <w:r w:rsidR="006718C0">
        <w:rPr>
          <w:rFonts w:ascii="Arial" w:hAnsi="Arial" w:cs="Arial"/>
          <w:szCs w:val="24"/>
        </w:rPr>
        <w:t xml:space="preserve"> </w:t>
      </w:r>
      <w:r w:rsidRPr="00A42252">
        <w:rPr>
          <w:rFonts w:ascii="Arial" w:eastAsia="Arial" w:hAnsi="Arial" w:cs="Arial"/>
          <w:szCs w:val="24"/>
        </w:rPr>
        <w:t>Future research should continue to fill knowledge gaps, particularly concerning the population dynamics of understudied groups like moths and flies and to refine the economic valuation of their services. However, the existing evidence is more than sufficient to justify immediate and concerted action. By recognizing, valuing and protecting the full spectrum of pollinators, we can build more resilient, productive and sustainable agricultural systems capable of meeting the food security challenges of the twenty-first century. The future of our food supply may depend less on managing hives and more on cultivating biodiversity.</w:t>
      </w:r>
    </w:p>
    <w:p w14:paraId="5A4E585E" w14:textId="77777777" w:rsidR="00077435" w:rsidRPr="00444D85" w:rsidRDefault="00077435" w:rsidP="00077435">
      <w:pPr>
        <w:spacing w:line="276" w:lineRule="auto"/>
        <w:rPr>
          <w:rFonts w:ascii="Arial" w:hAnsi="Arial" w:cs="Arial"/>
          <w:b/>
          <w:sz w:val="22"/>
        </w:rPr>
      </w:pPr>
      <w:r w:rsidRPr="00444D85">
        <w:rPr>
          <w:rFonts w:ascii="Arial" w:hAnsi="Arial" w:cs="Arial"/>
          <w:b/>
          <w:sz w:val="22"/>
        </w:rPr>
        <w:t>DATA AVAILABILITY STATEMENT</w:t>
      </w:r>
    </w:p>
    <w:p w14:paraId="0AA106B6" w14:textId="77777777" w:rsidR="00077435" w:rsidRPr="00444D85" w:rsidRDefault="00077435" w:rsidP="00077435">
      <w:pPr>
        <w:spacing w:before="100" w:beforeAutospacing="1" w:after="100" w:afterAutospacing="1"/>
        <w:rPr>
          <w:rFonts w:ascii="Arial" w:hAnsi="Arial" w:cs="Arial"/>
          <w:lang w:val="en-IN" w:eastAsia="en-IN"/>
        </w:rPr>
      </w:pPr>
      <w:r w:rsidRPr="00444D85">
        <w:rPr>
          <w:rFonts w:ascii="Arial" w:hAnsi="Arial" w:cs="Arial"/>
          <w:lang w:val="en-IN" w:eastAsia="en-IN"/>
        </w:rPr>
        <w:t>No primary datasets were generated or analysed in the preparation of this review paper. All information presented is derived from previously published literature, properly cited and publicly accessible through academic databases, journals, or other standard sources.</w:t>
      </w:r>
    </w:p>
    <w:p w14:paraId="33B3FF48" w14:textId="77777777" w:rsidR="000D4C9D" w:rsidRDefault="000D4C9D" w:rsidP="00077435">
      <w:pPr>
        <w:spacing w:line="276" w:lineRule="auto"/>
        <w:rPr>
          <w:rFonts w:ascii="Arial" w:hAnsi="Arial" w:cs="Arial"/>
          <w:b/>
        </w:rPr>
      </w:pPr>
    </w:p>
    <w:p w14:paraId="1B553AA2" w14:textId="77777777" w:rsidR="000D4C9D" w:rsidRPr="000D4C9D" w:rsidRDefault="000D4C9D" w:rsidP="000D4C9D">
      <w:pPr>
        <w:rPr>
          <w:rFonts w:ascii="Arial" w:eastAsia="Calibri" w:hAnsi="Arial" w:cs="Arial"/>
          <w:kern w:val="2"/>
          <w:sz w:val="22"/>
          <w:szCs w:val="22"/>
          <w:highlight w:val="yellow"/>
        </w:rPr>
      </w:pPr>
      <w:bookmarkStart w:id="1" w:name="_Hlk198031404"/>
      <w:r w:rsidRPr="000D4C9D">
        <w:rPr>
          <w:rFonts w:ascii="Arial" w:eastAsia="Calibri" w:hAnsi="Arial" w:cs="Arial"/>
          <w:kern w:val="2"/>
          <w:sz w:val="22"/>
          <w:szCs w:val="22"/>
          <w:highlight w:val="yellow"/>
        </w:rPr>
        <w:t>Disclaimer (Artificial intelligence)</w:t>
      </w:r>
    </w:p>
    <w:p w14:paraId="2FB72BA6" w14:textId="77777777" w:rsidR="000D4C9D" w:rsidRPr="000D4C9D" w:rsidRDefault="000D4C9D" w:rsidP="000D4C9D">
      <w:pPr>
        <w:rPr>
          <w:rFonts w:ascii="Arial" w:eastAsia="Calibri" w:hAnsi="Arial" w:cs="Arial"/>
          <w:kern w:val="2"/>
          <w:sz w:val="22"/>
          <w:szCs w:val="22"/>
          <w:highlight w:val="yellow"/>
        </w:rPr>
      </w:pPr>
    </w:p>
    <w:p w14:paraId="21124E22" w14:textId="77777777" w:rsidR="000D4C9D" w:rsidRPr="000D4C9D" w:rsidRDefault="000D4C9D" w:rsidP="000D4C9D">
      <w:pPr>
        <w:rPr>
          <w:rFonts w:ascii="Arial" w:eastAsia="Calibri" w:hAnsi="Arial" w:cs="Arial"/>
          <w:kern w:val="2"/>
          <w:sz w:val="22"/>
          <w:szCs w:val="22"/>
          <w:highlight w:val="yellow"/>
        </w:rPr>
      </w:pPr>
      <w:r w:rsidRPr="000D4C9D">
        <w:rPr>
          <w:rFonts w:ascii="Arial" w:eastAsia="Calibri" w:hAnsi="Arial" w:cs="Arial"/>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bookmarkEnd w:id="1"/>
    <w:p w14:paraId="564C2520" w14:textId="77777777" w:rsidR="000D4C9D" w:rsidRPr="00EF0138" w:rsidRDefault="000D4C9D" w:rsidP="00077435">
      <w:pPr>
        <w:spacing w:line="276" w:lineRule="auto"/>
        <w:rPr>
          <w:rFonts w:ascii="Arial" w:hAnsi="Arial" w:cs="Arial"/>
          <w:b/>
        </w:rPr>
      </w:pPr>
    </w:p>
    <w:p w14:paraId="42390DFF" w14:textId="77777777" w:rsidR="00860000" w:rsidRDefault="00860000" w:rsidP="00441B6F">
      <w:pPr>
        <w:pStyle w:val="ReferHead"/>
        <w:spacing w:after="0"/>
        <w:jc w:val="both"/>
        <w:rPr>
          <w:rFonts w:ascii="Arial" w:hAnsi="Arial" w:cs="Arial"/>
        </w:rPr>
      </w:pPr>
    </w:p>
    <w:p w14:paraId="21DAD38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2F14DA9" w14:textId="77777777" w:rsidR="00FE339A" w:rsidRDefault="00FE339A" w:rsidP="00441B6F">
      <w:pPr>
        <w:pStyle w:val="ReferHead"/>
        <w:spacing w:after="0"/>
        <w:jc w:val="both"/>
        <w:rPr>
          <w:rFonts w:ascii="Arial" w:hAnsi="Arial" w:cs="Arial"/>
        </w:rPr>
      </w:pPr>
    </w:p>
    <w:p w14:paraId="5E3D3D03"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Adit, A., Singh, V. K., Tandon, R., and </w:t>
      </w:r>
      <w:proofErr w:type="spellStart"/>
      <w:r w:rsidRPr="00FE339A">
        <w:rPr>
          <w:rFonts w:ascii="Arial" w:hAnsi="Arial" w:cs="Arial"/>
          <w:szCs w:val="40"/>
        </w:rPr>
        <w:t>Shivanna</w:t>
      </w:r>
      <w:proofErr w:type="spellEnd"/>
      <w:r w:rsidRPr="00FE339A">
        <w:rPr>
          <w:rFonts w:ascii="Arial" w:hAnsi="Arial" w:cs="Arial"/>
          <w:szCs w:val="40"/>
        </w:rPr>
        <w:t xml:space="preserve">, K. R. (2024). Pollination research in India: </w:t>
      </w:r>
      <w:proofErr w:type="gramStart"/>
      <w:r w:rsidRPr="00FE339A">
        <w:rPr>
          <w:rFonts w:ascii="Arial" w:hAnsi="Arial" w:cs="Arial"/>
          <w:szCs w:val="40"/>
        </w:rPr>
        <w:t>Current status</w:t>
      </w:r>
      <w:proofErr w:type="gramEnd"/>
      <w:r w:rsidRPr="00FE339A">
        <w:rPr>
          <w:rFonts w:ascii="Arial" w:hAnsi="Arial" w:cs="Arial"/>
          <w:szCs w:val="40"/>
        </w:rPr>
        <w:t>, future vision and conservation implications. </w:t>
      </w:r>
      <w:r w:rsidRPr="00FE339A">
        <w:rPr>
          <w:rFonts w:ascii="Arial" w:hAnsi="Arial" w:cs="Arial"/>
          <w:i/>
          <w:iCs/>
          <w:szCs w:val="40"/>
        </w:rPr>
        <w:t>Integrative Conservation</w:t>
      </w:r>
      <w:r w:rsidRPr="00FE339A">
        <w:rPr>
          <w:rFonts w:ascii="Arial" w:hAnsi="Arial" w:cs="Arial"/>
          <w:szCs w:val="40"/>
        </w:rPr>
        <w:t>, </w:t>
      </w:r>
      <w:r w:rsidRPr="00FE339A">
        <w:rPr>
          <w:rFonts w:ascii="Arial" w:hAnsi="Arial" w:cs="Arial"/>
          <w:i/>
          <w:iCs/>
          <w:szCs w:val="40"/>
        </w:rPr>
        <w:t>3</w:t>
      </w:r>
      <w:r w:rsidRPr="00FE339A">
        <w:rPr>
          <w:rFonts w:ascii="Arial" w:hAnsi="Arial" w:cs="Arial"/>
          <w:szCs w:val="40"/>
        </w:rPr>
        <w:t>(4), 330-341.</w:t>
      </w:r>
    </w:p>
    <w:p w14:paraId="6E5A7627"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Bernhardt, P. (2000). Convergent evolution and adaptive radiation of beetle-pollinated angiosperms. </w:t>
      </w:r>
      <w:r w:rsidRPr="00FE339A">
        <w:rPr>
          <w:rFonts w:ascii="Arial" w:eastAsia="Arial" w:hAnsi="Arial" w:cs="Arial"/>
          <w:i/>
          <w:szCs w:val="40"/>
        </w:rPr>
        <w:t>Plant Systematics and Evolution, 222</w:t>
      </w:r>
      <w:r w:rsidRPr="00FE339A">
        <w:rPr>
          <w:rFonts w:ascii="Arial" w:hAnsi="Arial" w:cs="Arial"/>
          <w:szCs w:val="40"/>
        </w:rPr>
        <w:t>(1-4), 293-320.</w:t>
      </w:r>
    </w:p>
    <w:p w14:paraId="1F739CBF" w14:textId="77777777" w:rsidR="00FE339A" w:rsidRPr="00FE339A" w:rsidRDefault="00FE339A" w:rsidP="00FE339A">
      <w:pPr>
        <w:rPr>
          <w:rFonts w:ascii="Arial" w:hAnsi="Arial" w:cs="Arial"/>
          <w:sz w:val="16"/>
        </w:rPr>
      </w:pPr>
      <w:r w:rsidRPr="00FE339A">
        <w:rPr>
          <w:rFonts w:ascii="Arial" w:hAnsi="Arial" w:cs="Arial"/>
          <w:szCs w:val="40"/>
        </w:rPr>
        <w:t>Blanche, R., and Cunningham, S. A. (2005). Rain forest provides pollinating beetles for atemoya crops. </w:t>
      </w:r>
      <w:r w:rsidRPr="00FE339A">
        <w:rPr>
          <w:rFonts w:ascii="Arial" w:hAnsi="Arial" w:cs="Arial"/>
          <w:i/>
          <w:iCs/>
          <w:szCs w:val="40"/>
        </w:rPr>
        <w:t>Journal of Economic Entomology</w:t>
      </w:r>
      <w:r w:rsidRPr="00FE339A">
        <w:rPr>
          <w:rFonts w:ascii="Arial" w:hAnsi="Arial" w:cs="Arial"/>
          <w:szCs w:val="40"/>
        </w:rPr>
        <w:t>, </w:t>
      </w:r>
      <w:r w:rsidRPr="00FE339A">
        <w:rPr>
          <w:rFonts w:ascii="Arial" w:hAnsi="Arial" w:cs="Arial"/>
          <w:i/>
          <w:iCs/>
          <w:szCs w:val="40"/>
        </w:rPr>
        <w:t>98</w:t>
      </w:r>
      <w:r w:rsidRPr="00FE339A">
        <w:rPr>
          <w:rFonts w:ascii="Arial" w:hAnsi="Arial" w:cs="Arial"/>
          <w:szCs w:val="40"/>
        </w:rPr>
        <w:t>(4), 1193-1201.</w:t>
      </w:r>
    </w:p>
    <w:p w14:paraId="3151187D" w14:textId="77777777" w:rsidR="00FE339A" w:rsidRPr="00FE339A" w:rsidRDefault="00FE339A" w:rsidP="00FE339A">
      <w:pPr>
        <w:ind w:left="720" w:hanging="720"/>
        <w:jc w:val="both"/>
        <w:rPr>
          <w:rFonts w:ascii="Arial" w:hAnsi="Arial" w:cs="Arial"/>
          <w:szCs w:val="40"/>
          <w:lang w:val="de-DE"/>
        </w:rPr>
      </w:pPr>
      <w:r w:rsidRPr="00D71F88">
        <w:rPr>
          <w:rFonts w:ascii="Arial" w:hAnsi="Arial" w:cs="Arial"/>
          <w:szCs w:val="40"/>
        </w:rPr>
        <w:t xml:space="preserve">Buchmann, S. L., and Nabhan, G. P. (1996). </w:t>
      </w:r>
      <w:r w:rsidRPr="00FE339A">
        <w:rPr>
          <w:rFonts w:ascii="Arial" w:hAnsi="Arial" w:cs="Arial"/>
          <w:szCs w:val="40"/>
        </w:rPr>
        <w:t>The Forgotten Pollinators Island Press. </w:t>
      </w:r>
      <w:r w:rsidRPr="00FE339A">
        <w:rPr>
          <w:rFonts w:ascii="Arial" w:hAnsi="Arial" w:cs="Arial"/>
          <w:i/>
          <w:iCs/>
          <w:szCs w:val="40"/>
          <w:lang w:val="de-DE"/>
        </w:rPr>
        <w:t>Washington, DC</w:t>
      </w:r>
      <w:r w:rsidRPr="00FE339A">
        <w:rPr>
          <w:rFonts w:ascii="Arial" w:hAnsi="Arial" w:cs="Arial"/>
          <w:szCs w:val="40"/>
          <w:lang w:val="de-DE"/>
        </w:rPr>
        <w:t>.</w:t>
      </w:r>
    </w:p>
    <w:p w14:paraId="0F2549BB"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lang w:val="de-DE"/>
        </w:rPr>
        <w:t xml:space="preserve">Buhk, C., Oppermann, R., Schanowski, A., Bleil, R., Lüdemann, J., and Maus, C. (2018). </w:t>
      </w:r>
      <w:r w:rsidRPr="00FE339A">
        <w:rPr>
          <w:rFonts w:ascii="Arial" w:hAnsi="Arial" w:cs="Arial"/>
          <w:szCs w:val="40"/>
        </w:rPr>
        <w:t xml:space="preserve">Flower strip networks offer promising </w:t>
      </w:r>
      <w:r w:rsidR="00466E17" w:rsidRPr="00FE339A">
        <w:rPr>
          <w:rFonts w:ascii="Arial" w:hAnsi="Arial" w:cs="Arial"/>
          <w:szCs w:val="40"/>
        </w:rPr>
        <w:t>long-term</w:t>
      </w:r>
      <w:r w:rsidRPr="00FE339A">
        <w:rPr>
          <w:rFonts w:ascii="Arial" w:hAnsi="Arial" w:cs="Arial"/>
          <w:szCs w:val="40"/>
        </w:rPr>
        <w:t xml:space="preserve"> effects on pollinator species richness in intensively cultivated agricultural areas. </w:t>
      </w:r>
      <w:r w:rsidRPr="00FE339A">
        <w:rPr>
          <w:rFonts w:ascii="Arial" w:hAnsi="Arial" w:cs="Arial"/>
          <w:i/>
          <w:iCs/>
          <w:szCs w:val="40"/>
        </w:rPr>
        <w:t>BMC ecology</w:t>
      </w:r>
      <w:r w:rsidRPr="00FE339A">
        <w:rPr>
          <w:rFonts w:ascii="Arial" w:hAnsi="Arial" w:cs="Arial"/>
          <w:szCs w:val="40"/>
        </w:rPr>
        <w:t>, </w:t>
      </w:r>
      <w:r w:rsidRPr="00FE339A">
        <w:rPr>
          <w:rFonts w:ascii="Arial" w:hAnsi="Arial" w:cs="Arial"/>
          <w:i/>
          <w:iCs/>
          <w:szCs w:val="40"/>
        </w:rPr>
        <w:t>18</w:t>
      </w:r>
      <w:r w:rsidRPr="00FE339A">
        <w:rPr>
          <w:rFonts w:ascii="Arial" w:hAnsi="Arial" w:cs="Arial"/>
          <w:szCs w:val="40"/>
        </w:rPr>
        <w:t>(1), 55.</w:t>
      </w:r>
    </w:p>
    <w:p w14:paraId="248A4801"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Buxton, M. N., Gaskett, A. C., Lord, J. M., and </w:t>
      </w:r>
      <w:proofErr w:type="spellStart"/>
      <w:r w:rsidRPr="00FE339A">
        <w:rPr>
          <w:rFonts w:ascii="Arial" w:hAnsi="Arial" w:cs="Arial"/>
          <w:szCs w:val="40"/>
        </w:rPr>
        <w:t>Pattemore</w:t>
      </w:r>
      <w:proofErr w:type="spellEnd"/>
      <w:r w:rsidRPr="00FE339A">
        <w:rPr>
          <w:rFonts w:ascii="Arial" w:hAnsi="Arial" w:cs="Arial"/>
          <w:szCs w:val="40"/>
        </w:rPr>
        <w:t>, D. E. (2022). A global review demonstrating the importance of nocturnal pollinators for crop plants. </w:t>
      </w:r>
      <w:r w:rsidRPr="00FE339A">
        <w:rPr>
          <w:rFonts w:ascii="Arial" w:hAnsi="Arial" w:cs="Arial"/>
          <w:i/>
          <w:iCs/>
          <w:szCs w:val="40"/>
        </w:rPr>
        <w:t>Journal of Applied Ecology</w:t>
      </w:r>
      <w:r w:rsidRPr="00FE339A">
        <w:rPr>
          <w:rFonts w:ascii="Arial" w:hAnsi="Arial" w:cs="Arial"/>
          <w:szCs w:val="40"/>
        </w:rPr>
        <w:t>, </w:t>
      </w:r>
      <w:r w:rsidRPr="00FE339A">
        <w:rPr>
          <w:rFonts w:ascii="Arial" w:hAnsi="Arial" w:cs="Arial"/>
          <w:i/>
          <w:iCs/>
          <w:szCs w:val="40"/>
        </w:rPr>
        <w:t>59</w:t>
      </w:r>
      <w:r w:rsidRPr="00FE339A">
        <w:rPr>
          <w:rFonts w:ascii="Arial" w:hAnsi="Arial" w:cs="Arial"/>
          <w:szCs w:val="40"/>
        </w:rPr>
        <w:t>(12), 2890-2901.</w:t>
      </w:r>
    </w:p>
    <w:p w14:paraId="67F90343"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Devi, D., Rani, P., and Bhatia, S. (2024). Insect Pollinators and their use in crop production. </w:t>
      </w:r>
      <w:r w:rsidRPr="00FE339A">
        <w:rPr>
          <w:rFonts w:ascii="Arial" w:hAnsi="Arial" w:cs="Arial"/>
          <w:i/>
          <w:iCs/>
          <w:szCs w:val="40"/>
        </w:rPr>
        <w:t>Imminent Farm</w:t>
      </w:r>
      <w:r w:rsidRPr="00FE339A">
        <w:rPr>
          <w:rFonts w:ascii="Arial" w:hAnsi="Arial" w:cs="Arial"/>
          <w:szCs w:val="40"/>
        </w:rPr>
        <w:t>, 134-154.</w:t>
      </w:r>
    </w:p>
    <w:p w14:paraId="56FF0452"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Doyle, T., Hawkes, W. L., Massy, R., Powney, G. D., Menz, M. H., and Wotton, K. R. (2020). Pollination by hoverflies in the Anthropocene. </w:t>
      </w:r>
      <w:r w:rsidRPr="00FE339A">
        <w:rPr>
          <w:rFonts w:ascii="Arial" w:hAnsi="Arial" w:cs="Arial"/>
          <w:i/>
          <w:iCs/>
          <w:szCs w:val="40"/>
        </w:rPr>
        <w:t>Proceedings of the Royal Society B</w:t>
      </w:r>
      <w:r w:rsidRPr="00FE339A">
        <w:rPr>
          <w:rFonts w:ascii="Arial" w:hAnsi="Arial" w:cs="Arial"/>
          <w:szCs w:val="40"/>
        </w:rPr>
        <w:t>, </w:t>
      </w:r>
      <w:r w:rsidRPr="00FE339A">
        <w:rPr>
          <w:rFonts w:ascii="Arial" w:hAnsi="Arial" w:cs="Arial"/>
          <w:i/>
          <w:iCs/>
          <w:szCs w:val="40"/>
        </w:rPr>
        <w:t>287</w:t>
      </w:r>
      <w:r w:rsidRPr="00FE339A">
        <w:rPr>
          <w:rFonts w:ascii="Arial" w:hAnsi="Arial" w:cs="Arial"/>
          <w:szCs w:val="40"/>
        </w:rPr>
        <w:t>(1927), 20200508.</w:t>
      </w:r>
    </w:p>
    <w:p w14:paraId="1055959C"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Ferreira, J. C., Sabino, W. D. O., and Giannini, T. C. (2024). Valuation of agricultural production and pollination services in palm trees (</w:t>
      </w:r>
      <w:proofErr w:type="spellStart"/>
      <w:r w:rsidRPr="00FE339A">
        <w:rPr>
          <w:rFonts w:ascii="Arial" w:hAnsi="Arial" w:cs="Arial"/>
          <w:szCs w:val="40"/>
        </w:rPr>
        <w:t>Arecaceae</w:t>
      </w:r>
      <w:proofErr w:type="spellEnd"/>
      <w:r w:rsidRPr="00FE339A">
        <w:rPr>
          <w:rFonts w:ascii="Arial" w:hAnsi="Arial" w:cs="Arial"/>
          <w:szCs w:val="40"/>
        </w:rPr>
        <w:t>) in the Amazon forest. </w:t>
      </w:r>
      <w:r w:rsidRPr="00FE339A">
        <w:rPr>
          <w:rFonts w:ascii="Arial" w:hAnsi="Arial" w:cs="Arial"/>
          <w:i/>
          <w:iCs/>
          <w:szCs w:val="40"/>
        </w:rPr>
        <w:t>Arthropod-Plant Interactions</w:t>
      </w:r>
      <w:r w:rsidRPr="00FE339A">
        <w:rPr>
          <w:rFonts w:ascii="Arial" w:hAnsi="Arial" w:cs="Arial"/>
          <w:szCs w:val="40"/>
        </w:rPr>
        <w:t>, </w:t>
      </w:r>
      <w:r w:rsidRPr="00FE339A">
        <w:rPr>
          <w:rFonts w:ascii="Arial" w:hAnsi="Arial" w:cs="Arial"/>
          <w:i/>
          <w:iCs/>
          <w:szCs w:val="40"/>
        </w:rPr>
        <w:t>18</w:t>
      </w:r>
      <w:r w:rsidRPr="00FE339A">
        <w:rPr>
          <w:rFonts w:ascii="Arial" w:hAnsi="Arial" w:cs="Arial"/>
          <w:szCs w:val="40"/>
        </w:rPr>
        <w:t>(3), 425-437.</w:t>
      </w:r>
    </w:p>
    <w:p w14:paraId="3E5930A7" w14:textId="77777777" w:rsidR="00FE339A" w:rsidRPr="00FE339A" w:rsidRDefault="00FE339A" w:rsidP="00FE339A">
      <w:pPr>
        <w:ind w:left="720" w:hanging="720"/>
        <w:jc w:val="both"/>
        <w:rPr>
          <w:rFonts w:ascii="Arial" w:hAnsi="Arial" w:cs="Arial"/>
          <w:szCs w:val="40"/>
        </w:rPr>
      </w:pPr>
      <w:r w:rsidRPr="00D71F88">
        <w:rPr>
          <w:rFonts w:ascii="Arial" w:hAnsi="Arial" w:cs="Arial"/>
          <w:szCs w:val="40"/>
        </w:rPr>
        <w:t xml:space="preserve">Feuerbacher, A., Kempen, M., Steidle, J. L., and Wieck, C. (2025). </w:t>
      </w:r>
      <w:r w:rsidRPr="00FE339A">
        <w:rPr>
          <w:rFonts w:ascii="Arial" w:hAnsi="Arial" w:cs="Arial"/>
          <w:szCs w:val="40"/>
        </w:rPr>
        <w:t>The economic, agricultural, and food security repercussions of a wild pollinator collapse in Europe. </w:t>
      </w:r>
      <w:r w:rsidRPr="00FE339A">
        <w:rPr>
          <w:rFonts w:ascii="Arial" w:hAnsi="Arial" w:cs="Arial"/>
          <w:i/>
          <w:iCs/>
          <w:szCs w:val="40"/>
        </w:rPr>
        <w:t>Nature Communications</w:t>
      </w:r>
      <w:r w:rsidRPr="00FE339A">
        <w:rPr>
          <w:rFonts w:ascii="Arial" w:hAnsi="Arial" w:cs="Arial"/>
          <w:szCs w:val="40"/>
        </w:rPr>
        <w:t>, </w:t>
      </w:r>
      <w:r w:rsidRPr="00FE339A">
        <w:rPr>
          <w:rFonts w:ascii="Arial" w:hAnsi="Arial" w:cs="Arial"/>
          <w:i/>
          <w:iCs/>
          <w:szCs w:val="40"/>
        </w:rPr>
        <w:t>16</w:t>
      </w:r>
      <w:r w:rsidRPr="00FE339A">
        <w:rPr>
          <w:rFonts w:ascii="Arial" w:hAnsi="Arial" w:cs="Arial"/>
          <w:szCs w:val="40"/>
        </w:rPr>
        <w:t>(1), 9892.</w:t>
      </w:r>
    </w:p>
    <w:p w14:paraId="7EAC4C3C"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Gallai, N., Salles, J. M., </w:t>
      </w:r>
      <w:proofErr w:type="spellStart"/>
      <w:r w:rsidRPr="00FE339A">
        <w:rPr>
          <w:rFonts w:ascii="Arial" w:hAnsi="Arial" w:cs="Arial"/>
          <w:szCs w:val="40"/>
        </w:rPr>
        <w:t>Settele</w:t>
      </w:r>
      <w:proofErr w:type="spellEnd"/>
      <w:r w:rsidRPr="00FE339A">
        <w:rPr>
          <w:rFonts w:ascii="Arial" w:hAnsi="Arial" w:cs="Arial"/>
          <w:szCs w:val="40"/>
        </w:rPr>
        <w:t xml:space="preserve">, J., and </w:t>
      </w:r>
      <w:proofErr w:type="spellStart"/>
      <w:r w:rsidRPr="00FE339A">
        <w:rPr>
          <w:rFonts w:ascii="Arial" w:hAnsi="Arial" w:cs="Arial"/>
          <w:szCs w:val="40"/>
        </w:rPr>
        <w:t>Vaissière</w:t>
      </w:r>
      <w:proofErr w:type="spellEnd"/>
      <w:r w:rsidRPr="00FE339A">
        <w:rPr>
          <w:rFonts w:ascii="Arial" w:hAnsi="Arial" w:cs="Arial"/>
          <w:szCs w:val="40"/>
        </w:rPr>
        <w:t xml:space="preserve">, B. E. (2009). Economic valuation of the vulnerability of world agriculture confronted with pollinator decline. </w:t>
      </w:r>
      <w:r w:rsidRPr="00FE339A">
        <w:rPr>
          <w:rFonts w:ascii="Arial" w:eastAsia="Arial" w:hAnsi="Arial" w:cs="Arial"/>
          <w:i/>
          <w:szCs w:val="40"/>
        </w:rPr>
        <w:t>Ecological Economics, 68</w:t>
      </w:r>
      <w:r w:rsidRPr="00FE339A">
        <w:rPr>
          <w:rFonts w:ascii="Arial" w:hAnsi="Arial" w:cs="Arial"/>
          <w:szCs w:val="40"/>
        </w:rPr>
        <w:t>(3), 810-821.</w:t>
      </w:r>
    </w:p>
    <w:p w14:paraId="32F58445"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Garibaldi, L. A., Steffan</w:t>
      </w:r>
      <w:r w:rsidRPr="00FE339A">
        <w:rPr>
          <w:rFonts w:ascii="Cambria Math" w:hAnsi="Cambria Math" w:cs="Cambria Math"/>
          <w:szCs w:val="40"/>
        </w:rPr>
        <w:t>‐</w:t>
      </w:r>
      <w:r w:rsidRPr="00FE339A">
        <w:rPr>
          <w:rFonts w:ascii="Arial" w:hAnsi="Arial" w:cs="Arial"/>
          <w:szCs w:val="40"/>
        </w:rPr>
        <w:t xml:space="preserve">Dewenter, I., Kremen, C., Morales, J. M., </w:t>
      </w:r>
      <w:proofErr w:type="spellStart"/>
      <w:r w:rsidRPr="00FE339A">
        <w:rPr>
          <w:rFonts w:ascii="Arial" w:hAnsi="Arial" w:cs="Arial"/>
          <w:szCs w:val="40"/>
        </w:rPr>
        <w:t>Bommarco</w:t>
      </w:r>
      <w:proofErr w:type="spellEnd"/>
      <w:r w:rsidRPr="00FE339A">
        <w:rPr>
          <w:rFonts w:ascii="Arial" w:hAnsi="Arial" w:cs="Arial"/>
          <w:szCs w:val="40"/>
        </w:rPr>
        <w:t>, R., Cunningham, S. A., ... and Klein, A. M. (2011). Stability of pollination services decreases with isolation from natural areas despite honey bee visits. </w:t>
      </w:r>
      <w:r w:rsidRPr="00FE339A">
        <w:rPr>
          <w:rFonts w:ascii="Arial" w:hAnsi="Arial" w:cs="Arial"/>
          <w:i/>
          <w:iCs/>
          <w:szCs w:val="40"/>
        </w:rPr>
        <w:t>Ecology letters</w:t>
      </w:r>
      <w:r w:rsidRPr="00FE339A">
        <w:rPr>
          <w:rFonts w:ascii="Arial" w:hAnsi="Arial" w:cs="Arial"/>
          <w:szCs w:val="40"/>
        </w:rPr>
        <w:t>, </w:t>
      </w:r>
      <w:r w:rsidRPr="00FE339A">
        <w:rPr>
          <w:rFonts w:ascii="Arial" w:hAnsi="Arial" w:cs="Arial"/>
          <w:i/>
          <w:iCs/>
          <w:szCs w:val="40"/>
        </w:rPr>
        <w:t>14</w:t>
      </w:r>
      <w:r w:rsidRPr="00FE339A">
        <w:rPr>
          <w:rFonts w:ascii="Arial" w:hAnsi="Arial" w:cs="Arial"/>
          <w:szCs w:val="40"/>
        </w:rPr>
        <w:t>(10), 1062-1072.</w:t>
      </w:r>
    </w:p>
    <w:p w14:paraId="0FE02941"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Garibaldi, L. A., Steffan-Dewenter, I., Winfree, R., Aizen, M. A., </w:t>
      </w:r>
      <w:proofErr w:type="spellStart"/>
      <w:r w:rsidRPr="00FE339A">
        <w:rPr>
          <w:rFonts w:ascii="Arial" w:hAnsi="Arial" w:cs="Arial"/>
          <w:szCs w:val="40"/>
        </w:rPr>
        <w:t>Bommarco</w:t>
      </w:r>
      <w:proofErr w:type="spellEnd"/>
      <w:r w:rsidRPr="00FE339A">
        <w:rPr>
          <w:rFonts w:ascii="Arial" w:hAnsi="Arial" w:cs="Arial"/>
          <w:szCs w:val="40"/>
        </w:rPr>
        <w:t xml:space="preserve">, R., Cunningham, S. A., ... and Klein, A. M. (2013). Wild pollinators enhance fruit set of crops regardless of </w:t>
      </w:r>
      <w:proofErr w:type="gramStart"/>
      <w:r w:rsidRPr="00FE339A">
        <w:rPr>
          <w:rFonts w:ascii="Arial" w:hAnsi="Arial" w:cs="Arial"/>
          <w:szCs w:val="40"/>
        </w:rPr>
        <w:t>honey bee</w:t>
      </w:r>
      <w:proofErr w:type="gramEnd"/>
      <w:r w:rsidRPr="00FE339A">
        <w:rPr>
          <w:rFonts w:ascii="Arial" w:hAnsi="Arial" w:cs="Arial"/>
          <w:szCs w:val="40"/>
        </w:rPr>
        <w:t xml:space="preserve"> abundance. </w:t>
      </w:r>
      <w:r w:rsidRPr="00FE339A">
        <w:rPr>
          <w:rFonts w:ascii="Arial" w:hAnsi="Arial" w:cs="Arial"/>
          <w:i/>
          <w:iCs/>
          <w:szCs w:val="40"/>
        </w:rPr>
        <w:t>science</w:t>
      </w:r>
      <w:r w:rsidRPr="00FE339A">
        <w:rPr>
          <w:rFonts w:ascii="Arial" w:hAnsi="Arial" w:cs="Arial"/>
          <w:szCs w:val="40"/>
        </w:rPr>
        <w:t>, </w:t>
      </w:r>
      <w:r w:rsidRPr="00FE339A">
        <w:rPr>
          <w:rFonts w:ascii="Arial" w:hAnsi="Arial" w:cs="Arial"/>
          <w:i/>
          <w:iCs/>
          <w:szCs w:val="40"/>
        </w:rPr>
        <w:t>339</w:t>
      </w:r>
      <w:r w:rsidRPr="00FE339A">
        <w:rPr>
          <w:rFonts w:ascii="Arial" w:hAnsi="Arial" w:cs="Arial"/>
          <w:szCs w:val="40"/>
        </w:rPr>
        <w:t>(6127), 1608-1611.</w:t>
      </w:r>
    </w:p>
    <w:p w14:paraId="259B6274"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Greenleaf, S. S., and Kremen, C. (2006). Wild bees enhance </w:t>
      </w:r>
      <w:proofErr w:type="gramStart"/>
      <w:r w:rsidRPr="00FE339A">
        <w:rPr>
          <w:rFonts w:ascii="Arial" w:hAnsi="Arial" w:cs="Arial"/>
          <w:szCs w:val="40"/>
        </w:rPr>
        <w:t>honey bees</w:t>
      </w:r>
      <w:proofErr w:type="gramEnd"/>
      <w:r w:rsidRPr="00FE339A">
        <w:rPr>
          <w:rFonts w:ascii="Arial" w:hAnsi="Arial" w:cs="Arial"/>
          <w:szCs w:val="40"/>
        </w:rPr>
        <w:t xml:space="preserve">’ pollination of hybrid sunflower. </w:t>
      </w:r>
      <w:r w:rsidRPr="00FE339A">
        <w:rPr>
          <w:rFonts w:ascii="Arial" w:eastAsia="Arial" w:hAnsi="Arial" w:cs="Arial"/>
          <w:i/>
          <w:szCs w:val="40"/>
        </w:rPr>
        <w:t>Proceedings of the National Academy of Sciences, 103</w:t>
      </w:r>
      <w:r w:rsidRPr="00FE339A">
        <w:rPr>
          <w:rFonts w:ascii="Arial" w:hAnsi="Arial" w:cs="Arial"/>
          <w:szCs w:val="40"/>
        </w:rPr>
        <w:t>(37), 13890-13895.</w:t>
      </w:r>
    </w:p>
    <w:p w14:paraId="551CCCB0" w14:textId="77777777" w:rsidR="00FE339A" w:rsidRPr="00FE339A" w:rsidRDefault="00FE339A" w:rsidP="00FE339A">
      <w:pPr>
        <w:ind w:left="720" w:hanging="720"/>
        <w:jc w:val="both"/>
        <w:rPr>
          <w:rFonts w:ascii="Arial" w:hAnsi="Arial" w:cs="Arial"/>
          <w:szCs w:val="40"/>
        </w:rPr>
      </w:pPr>
      <w:r w:rsidRPr="00D71F88">
        <w:rPr>
          <w:rFonts w:ascii="Arial" w:hAnsi="Arial" w:cs="Arial"/>
          <w:szCs w:val="40"/>
        </w:rPr>
        <w:t xml:space="preserve">Hahn, M., and Brühl, C. A. (2016). </w:t>
      </w:r>
      <w:r w:rsidRPr="00FE339A">
        <w:rPr>
          <w:rFonts w:ascii="Arial" w:hAnsi="Arial" w:cs="Arial"/>
          <w:szCs w:val="40"/>
        </w:rPr>
        <w:t>The secret pollinators: an overview of moth pollination with a focus on Europe and North America. </w:t>
      </w:r>
      <w:r w:rsidRPr="00FE339A">
        <w:rPr>
          <w:rFonts w:ascii="Arial" w:hAnsi="Arial" w:cs="Arial"/>
          <w:i/>
          <w:iCs/>
          <w:szCs w:val="40"/>
        </w:rPr>
        <w:t>Arthropod-Plant Interactions</w:t>
      </w:r>
      <w:r w:rsidRPr="00FE339A">
        <w:rPr>
          <w:rFonts w:ascii="Arial" w:hAnsi="Arial" w:cs="Arial"/>
          <w:szCs w:val="40"/>
        </w:rPr>
        <w:t>, </w:t>
      </w:r>
      <w:r w:rsidRPr="00FE339A">
        <w:rPr>
          <w:rFonts w:ascii="Arial" w:hAnsi="Arial" w:cs="Arial"/>
          <w:i/>
          <w:iCs/>
          <w:szCs w:val="40"/>
        </w:rPr>
        <w:t>10</w:t>
      </w:r>
      <w:r w:rsidRPr="00FE339A">
        <w:rPr>
          <w:rFonts w:ascii="Arial" w:hAnsi="Arial" w:cs="Arial"/>
          <w:szCs w:val="40"/>
        </w:rPr>
        <w:t>(1), 21-28.</w:t>
      </w:r>
    </w:p>
    <w:p w14:paraId="4CE55FE4"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Hein, L. (2009). The economic value of the pollination service, a review across scales. </w:t>
      </w:r>
      <w:r w:rsidRPr="00FE339A">
        <w:rPr>
          <w:rFonts w:ascii="Arial" w:hAnsi="Arial" w:cs="Arial"/>
          <w:i/>
          <w:iCs/>
          <w:szCs w:val="40"/>
        </w:rPr>
        <w:t>Open Ecology Journal</w:t>
      </w:r>
      <w:r w:rsidRPr="00FE339A">
        <w:rPr>
          <w:rFonts w:ascii="Arial" w:hAnsi="Arial" w:cs="Arial"/>
          <w:szCs w:val="40"/>
        </w:rPr>
        <w:t>, </w:t>
      </w:r>
      <w:r w:rsidRPr="00FE339A">
        <w:rPr>
          <w:rFonts w:ascii="Arial" w:hAnsi="Arial" w:cs="Arial"/>
          <w:i/>
          <w:iCs/>
          <w:szCs w:val="40"/>
        </w:rPr>
        <w:t>2</w:t>
      </w:r>
      <w:r w:rsidRPr="00FE339A">
        <w:rPr>
          <w:rFonts w:ascii="Arial" w:hAnsi="Arial" w:cs="Arial"/>
          <w:szCs w:val="40"/>
        </w:rPr>
        <w:t>(1), 74-82.</w:t>
      </w:r>
    </w:p>
    <w:p w14:paraId="169C9382"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Klatt, B. K., Holzschuh, A., Westphal, C., Clough, Y., Smit, I., </w:t>
      </w:r>
      <w:proofErr w:type="spellStart"/>
      <w:r w:rsidRPr="00FE339A">
        <w:rPr>
          <w:rFonts w:ascii="Arial" w:hAnsi="Arial" w:cs="Arial"/>
          <w:szCs w:val="40"/>
        </w:rPr>
        <w:t>Pawelzik</w:t>
      </w:r>
      <w:proofErr w:type="spellEnd"/>
      <w:r w:rsidRPr="00FE339A">
        <w:rPr>
          <w:rFonts w:ascii="Arial" w:hAnsi="Arial" w:cs="Arial"/>
          <w:szCs w:val="40"/>
        </w:rPr>
        <w:t xml:space="preserve">, E., and </w:t>
      </w:r>
      <w:proofErr w:type="spellStart"/>
      <w:r w:rsidRPr="00FE339A">
        <w:rPr>
          <w:rFonts w:ascii="Arial" w:hAnsi="Arial" w:cs="Arial"/>
          <w:szCs w:val="40"/>
        </w:rPr>
        <w:t>Tscharntke</w:t>
      </w:r>
      <w:proofErr w:type="spellEnd"/>
      <w:r w:rsidRPr="00FE339A">
        <w:rPr>
          <w:rFonts w:ascii="Arial" w:hAnsi="Arial" w:cs="Arial"/>
          <w:szCs w:val="40"/>
        </w:rPr>
        <w:t>, T. (2014). Bee pollination improves crop quality, shelf life and commercial value. </w:t>
      </w:r>
      <w:r w:rsidRPr="00FE339A">
        <w:rPr>
          <w:rFonts w:ascii="Arial" w:hAnsi="Arial" w:cs="Arial"/>
          <w:i/>
          <w:iCs/>
          <w:szCs w:val="40"/>
        </w:rPr>
        <w:t>Proceedings of the Royal Society B: Biological Sciences</w:t>
      </w:r>
      <w:r w:rsidRPr="00FE339A">
        <w:rPr>
          <w:rFonts w:ascii="Arial" w:hAnsi="Arial" w:cs="Arial"/>
          <w:szCs w:val="40"/>
        </w:rPr>
        <w:t>, </w:t>
      </w:r>
      <w:r w:rsidRPr="00FE339A">
        <w:rPr>
          <w:rFonts w:ascii="Arial" w:hAnsi="Arial" w:cs="Arial"/>
          <w:i/>
          <w:iCs/>
          <w:szCs w:val="40"/>
        </w:rPr>
        <w:t>281</w:t>
      </w:r>
      <w:r w:rsidRPr="00FE339A">
        <w:rPr>
          <w:rFonts w:ascii="Arial" w:hAnsi="Arial" w:cs="Arial"/>
          <w:szCs w:val="40"/>
        </w:rPr>
        <w:t>(1775), 20132440.</w:t>
      </w:r>
    </w:p>
    <w:p w14:paraId="0FD3A85D"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Klein, A. M., (2007). Importance of pollinators in changing landscapes for world crops. </w:t>
      </w:r>
      <w:r w:rsidRPr="00FE339A">
        <w:rPr>
          <w:rFonts w:ascii="Arial" w:eastAsia="Arial" w:hAnsi="Arial" w:cs="Arial"/>
          <w:i/>
          <w:szCs w:val="40"/>
        </w:rPr>
        <w:t>Proceedings of the Royal Society B: Biological Sciences, 274</w:t>
      </w:r>
      <w:r w:rsidRPr="00FE339A">
        <w:rPr>
          <w:rFonts w:ascii="Arial" w:hAnsi="Arial" w:cs="Arial"/>
          <w:szCs w:val="40"/>
        </w:rPr>
        <w:t>(1608), 303-313.</w:t>
      </w:r>
    </w:p>
    <w:p w14:paraId="45EEABDC"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Kremen, C., Williams, N. M., and Thorp, R. W. (2002). Crop pollination from native bees at risk from agricultural intensification. </w:t>
      </w:r>
      <w:r w:rsidRPr="00FE339A">
        <w:rPr>
          <w:rFonts w:ascii="Arial" w:eastAsia="Arial" w:hAnsi="Arial" w:cs="Arial"/>
          <w:i/>
          <w:szCs w:val="40"/>
        </w:rPr>
        <w:t>Proceedings of the National Academy of Sciences, 99</w:t>
      </w:r>
      <w:r w:rsidRPr="00FE339A">
        <w:rPr>
          <w:rFonts w:ascii="Arial" w:hAnsi="Arial" w:cs="Arial"/>
          <w:szCs w:val="40"/>
        </w:rPr>
        <w:t>(26), 16812-16816.</w:t>
      </w:r>
    </w:p>
    <w:p w14:paraId="7043F9F9"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Kunz, T. H., de Torrez, E. B., Bauer, D., </w:t>
      </w:r>
      <w:proofErr w:type="spellStart"/>
      <w:r w:rsidRPr="00FE339A">
        <w:rPr>
          <w:rFonts w:ascii="Arial" w:hAnsi="Arial" w:cs="Arial"/>
          <w:szCs w:val="40"/>
        </w:rPr>
        <w:t>Lobova</w:t>
      </w:r>
      <w:proofErr w:type="spellEnd"/>
      <w:r w:rsidRPr="00FE339A">
        <w:rPr>
          <w:rFonts w:ascii="Arial" w:hAnsi="Arial" w:cs="Arial"/>
          <w:szCs w:val="40"/>
        </w:rPr>
        <w:t xml:space="preserve">, T., and Fleming, T. H. (2011). Ecosystem services provided by bats. </w:t>
      </w:r>
      <w:r w:rsidRPr="00FE339A">
        <w:rPr>
          <w:rFonts w:ascii="Arial" w:eastAsia="Arial" w:hAnsi="Arial" w:cs="Arial"/>
          <w:i/>
          <w:szCs w:val="40"/>
        </w:rPr>
        <w:t>Annals of the New York Academy of Sciences, 1223</w:t>
      </w:r>
      <w:r w:rsidRPr="00FE339A">
        <w:rPr>
          <w:rFonts w:ascii="Arial" w:hAnsi="Arial" w:cs="Arial"/>
          <w:szCs w:val="40"/>
        </w:rPr>
        <w:t>(1), 1-38.</w:t>
      </w:r>
    </w:p>
    <w:p w14:paraId="7AD9CA9A"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lang w:val="de-DE"/>
        </w:rPr>
        <w:t xml:space="preserve">Lautenbach, S., Seppelt, R., Liebscher, J., and Dormann, C. F. (2012). </w:t>
      </w:r>
      <w:r w:rsidRPr="00FE339A">
        <w:rPr>
          <w:rFonts w:ascii="Arial" w:hAnsi="Arial" w:cs="Arial"/>
          <w:szCs w:val="40"/>
        </w:rPr>
        <w:t>Spatial and temporal trends of global pollination benefit. </w:t>
      </w:r>
      <w:proofErr w:type="spellStart"/>
      <w:r w:rsidRPr="00FE339A">
        <w:rPr>
          <w:rFonts w:ascii="Arial" w:hAnsi="Arial" w:cs="Arial"/>
          <w:i/>
          <w:iCs/>
          <w:szCs w:val="40"/>
        </w:rPr>
        <w:t>PLoS</w:t>
      </w:r>
      <w:proofErr w:type="spellEnd"/>
      <w:r w:rsidRPr="00FE339A">
        <w:rPr>
          <w:rFonts w:ascii="Arial" w:hAnsi="Arial" w:cs="Arial"/>
          <w:i/>
          <w:iCs/>
          <w:szCs w:val="40"/>
        </w:rPr>
        <w:t xml:space="preserve"> one</w:t>
      </w:r>
      <w:r w:rsidRPr="00FE339A">
        <w:rPr>
          <w:rFonts w:ascii="Arial" w:hAnsi="Arial" w:cs="Arial"/>
          <w:szCs w:val="40"/>
        </w:rPr>
        <w:t>, </w:t>
      </w:r>
      <w:r w:rsidRPr="00FE339A">
        <w:rPr>
          <w:rFonts w:ascii="Arial" w:hAnsi="Arial" w:cs="Arial"/>
          <w:i/>
          <w:iCs/>
          <w:szCs w:val="40"/>
        </w:rPr>
        <w:t>7</w:t>
      </w:r>
      <w:r w:rsidRPr="00FE339A">
        <w:rPr>
          <w:rFonts w:ascii="Arial" w:hAnsi="Arial" w:cs="Arial"/>
          <w:szCs w:val="40"/>
        </w:rPr>
        <w:t>(4), e35954.</w:t>
      </w:r>
    </w:p>
    <w:p w14:paraId="103E6D9C"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Li, H., </w:t>
      </w:r>
      <w:proofErr w:type="spellStart"/>
      <w:r w:rsidRPr="00FE339A">
        <w:rPr>
          <w:rFonts w:ascii="Arial" w:hAnsi="Arial" w:cs="Arial"/>
          <w:szCs w:val="40"/>
        </w:rPr>
        <w:t>Wyckhuys</w:t>
      </w:r>
      <w:proofErr w:type="spellEnd"/>
      <w:r w:rsidRPr="00FE339A">
        <w:rPr>
          <w:rFonts w:ascii="Arial" w:hAnsi="Arial" w:cs="Arial"/>
          <w:szCs w:val="40"/>
        </w:rPr>
        <w:t>, K. A., and Wu, K. (2023). Hoverflies provide pollination and biological pest control in greenhouse-grown horticultural crops. </w:t>
      </w:r>
      <w:r w:rsidRPr="00FE339A">
        <w:rPr>
          <w:rFonts w:ascii="Arial" w:hAnsi="Arial" w:cs="Arial"/>
          <w:i/>
          <w:iCs/>
          <w:szCs w:val="40"/>
        </w:rPr>
        <w:t>Frontiers in Plant Science</w:t>
      </w:r>
      <w:r w:rsidRPr="00FE339A">
        <w:rPr>
          <w:rFonts w:ascii="Arial" w:hAnsi="Arial" w:cs="Arial"/>
          <w:szCs w:val="40"/>
        </w:rPr>
        <w:t>, </w:t>
      </w:r>
      <w:r w:rsidRPr="00FE339A">
        <w:rPr>
          <w:rFonts w:ascii="Arial" w:hAnsi="Arial" w:cs="Arial"/>
          <w:i/>
          <w:iCs/>
          <w:szCs w:val="40"/>
        </w:rPr>
        <w:t>14</w:t>
      </w:r>
      <w:r w:rsidRPr="00FE339A">
        <w:rPr>
          <w:rFonts w:ascii="Arial" w:hAnsi="Arial" w:cs="Arial"/>
          <w:szCs w:val="40"/>
        </w:rPr>
        <w:t>, 1118388.</w:t>
      </w:r>
    </w:p>
    <w:p w14:paraId="45FFB04B"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Maqbool, F., Ali, M., Salman, M., Ghani, M. U., Hassan, A., Achakzai, W. M., ... and Humayun, M. (2025). Decline of Honeybee Populations and Its Consequences for Wildlife and Ecosystem Stability. </w:t>
      </w:r>
      <w:r w:rsidRPr="00FE339A">
        <w:rPr>
          <w:rFonts w:ascii="Arial" w:hAnsi="Arial" w:cs="Arial"/>
          <w:i/>
          <w:iCs/>
          <w:szCs w:val="40"/>
        </w:rPr>
        <w:t>Planta Animalia</w:t>
      </w:r>
      <w:r w:rsidRPr="00FE339A">
        <w:rPr>
          <w:rFonts w:ascii="Arial" w:hAnsi="Arial" w:cs="Arial"/>
          <w:szCs w:val="40"/>
        </w:rPr>
        <w:t>, </w:t>
      </w:r>
      <w:r w:rsidRPr="00FE339A">
        <w:rPr>
          <w:rFonts w:ascii="Arial" w:hAnsi="Arial" w:cs="Arial"/>
          <w:i/>
          <w:iCs/>
          <w:szCs w:val="40"/>
        </w:rPr>
        <w:t>4</w:t>
      </w:r>
      <w:r w:rsidRPr="00FE339A">
        <w:rPr>
          <w:rFonts w:ascii="Arial" w:hAnsi="Arial" w:cs="Arial"/>
          <w:szCs w:val="40"/>
        </w:rPr>
        <w:t>(5), 505-515.</w:t>
      </w:r>
    </w:p>
    <w:p w14:paraId="7D1B170B"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Medrano-Sánchez, E. J., and Cuenca-Silva, L. S. (2025). Public policies and pollinator conservation: Implications for agricultural sustainability. </w:t>
      </w:r>
      <w:r w:rsidRPr="00FE339A">
        <w:rPr>
          <w:rFonts w:ascii="Arial" w:hAnsi="Arial" w:cs="Arial"/>
          <w:i/>
          <w:iCs/>
          <w:szCs w:val="40"/>
        </w:rPr>
        <w:t>Trees, Forests and People</w:t>
      </w:r>
      <w:r w:rsidRPr="00FE339A">
        <w:rPr>
          <w:rFonts w:ascii="Arial" w:hAnsi="Arial" w:cs="Arial"/>
          <w:szCs w:val="40"/>
        </w:rPr>
        <w:t>, 100921.</w:t>
      </w:r>
    </w:p>
    <w:p w14:paraId="134FED1F"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Otto, C. R., Graves, T. A., Robertson-Thompson, D., Pearse, I., Thogmartin, W. E., Murphy, C., ... and Grundel, R. (2025). US Geological Survey Pollinator Science Strategy, 2025–35 A Review and Look Forward. </w:t>
      </w:r>
      <w:r w:rsidRPr="00FE339A">
        <w:rPr>
          <w:rFonts w:ascii="Arial" w:hAnsi="Arial" w:cs="Arial"/>
          <w:i/>
          <w:iCs/>
          <w:szCs w:val="40"/>
        </w:rPr>
        <w:t>Circular</w:t>
      </w:r>
      <w:r w:rsidRPr="00FE339A">
        <w:rPr>
          <w:rFonts w:ascii="Arial" w:hAnsi="Arial" w:cs="Arial"/>
          <w:szCs w:val="40"/>
        </w:rPr>
        <w:t>, (1556).</w:t>
      </w:r>
    </w:p>
    <w:p w14:paraId="7C4875EE"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Rader, R., Bartomeus, I., Garibaldi, L. A., Garratt, M. P., Howlett, B. G., Winfree, R., ... and </w:t>
      </w:r>
      <w:proofErr w:type="spellStart"/>
      <w:r w:rsidRPr="00FE339A">
        <w:rPr>
          <w:rFonts w:ascii="Arial" w:hAnsi="Arial" w:cs="Arial"/>
          <w:szCs w:val="40"/>
        </w:rPr>
        <w:t>Woyciechowski</w:t>
      </w:r>
      <w:proofErr w:type="spellEnd"/>
      <w:r w:rsidRPr="00FE339A">
        <w:rPr>
          <w:rFonts w:ascii="Arial" w:hAnsi="Arial" w:cs="Arial"/>
          <w:szCs w:val="40"/>
        </w:rPr>
        <w:t>, M. (2016). Non-bee insects are important contributors to global crop pollination. </w:t>
      </w:r>
      <w:r w:rsidRPr="00FE339A">
        <w:rPr>
          <w:rFonts w:ascii="Arial" w:hAnsi="Arial" w:cs="Arial"/>
          <w:i/>
          <w:iCs/>
          <w:szCs w:val="40"/>
        </w:rPr>
        <w:t>Proceedings of the National Academy of Sciences</w:t>
      </w:r>
      <w:r w:rsidRPr="00FE339A">
        <w:rPr>
          <w:rFonts w:ascii="Arial" w:hAnsi="Arial" w:cs="Arial"/>
          <w:szCs w:val="40"/>
        </w:rPr>
        <w:t>, </w:t>
      </w:r>
      <w:r w:rsidRPr="00FE339A">
        <w:rPr>
          <w:rFonts w:ascii="Arial" w:hAnsi="Arial" w:cs="Arial"/>
          <w:i/>
          <w:iCs/>
          <w:szCs w:val="40"/>
        </w:rPr>
        <w:t>113</w:t>
      </w:r>
      <w:r w:rsidRPr="00FE339A">
        <w:rPr>
          <w:rFonts w:ascii="Arial" w:hAnsi="Arial" w:cs="Arial"/>
          <w:szCs w:val="40"/>
        </w:rPr>
        <w:t>(1), 146-151.</w:t>
      </w:r>
    </w:p>
    <w:p w14:paraId="02E12A18"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Regan, E. C., Santini, L., </w:t>
      </w:r>
      <w:proofErr w:type="spellStart"/>
      <w:r w:rsidRPr="00FE339A">
        <w:rPr>
          <w:rFonts w:ascii="Arial" w:hAnsi="Arial" w:cs="Arial"/>
          <w:szCs w:val="40"/>
        </w:rPr>
        <w:t>Ingwall</w:t>
      </w:r>
      <w:proofErr w:type="spellEnd"/>
      <w:r w:rsidRPr="00FE339A">
        <w:rPr>
          <w:rFonts w:ascii="Cambria Math" w:hAnsi="Cambria Math" w:cs="Cambria Math"/>
          <w:szCs w:val="40"/>
        </w:rPr>
        <w:t>‐</w:t>
      </w:r>
      <w:r w:rsidRPr="00FE339A">
        <w:rPr>
          <w:rFonts w:ascii="Arial" w:hAnsi="Arial" w:cs="Arial"/>
          <w:szCs w:val="40"/>
        </w:rPr>
        <w:t>King, L., Hoffmann, M., Rondinini, C., Symes, A., ... and Butchart, S. H. (2015). Global trends in the status of bird and mammal pollinators. </w:t>
      </w:r>
      <w:r w:rsidRPr="00FE339A">
        <w:rPr>
          <w:rFonts w:ascii="Arial" w:hAnsi="Arial" w:cs="Arial"/>
          <w:i/>
          <w:iCs/>
          <w:szCs w:val="40"/>
        </w:rPr>
        <w:t>Conservation letters</w:t>
      </w:r>
      <w:r w:rsidRPr="00FE339A">
        <w:rPr>
          <w:rFonts w:ascii="Arial" w:hAnsi="Arial" w:cs="Arial"/>
          <w:szCs w:val="40"/>
        </w:rPr>
        <w:t>, </w:t>
      </w:r>
      <w:r w:rsidRPr="00FE339A">
        <w:rPr>
          <w:rFonts w:ascii="Arial" w:hAnsi="Arial" w:cs="Arial"/>
          <w:i/>
          <w:iCs/>
          <w:szCs w:val="40"/>
        </w:rPr>
        <w:t>8</w:t>
      </w:r>
      <w:r w:rsidRPr="00FE339A">
        <w:rPr>
          <w:rFonts w:ascii="Arial" w:hAnsi="Arial" w:cs="Arial"/>
          <w:szCs w:val="40"/>
        </w:rPr>
        <w:t>(6), 397-403.</w:t>
      </w:r>
    </w:p>
    <w:p w14:paraId="13188D26" w14:textId="77777777" w:rsidR="00FE339A" w:rsidRPr="00FE339A" w:rsidRDefault="00FE339A" w:rsidP="00FE339A">
      <w:pPr>
        <w:ind w:left="720" w:hanging="720"/>
        <w:jc w:val="both"/>
        <w:rPr>
          <w:rFonts w:ascii="Arial" w:hAnsi="Arial" w:cs="Arial"/>
          <w:szCs w:val="40"/>
          <w:lang w:val="de-DE"/>
        </w:rPr>
      </w:pPr>
      <w:proofErr w:type="spellStart"/>
      <w:r w:rsidRPr="00FE339A">
        <w:rPr>
          <w:rFonts w:ascii="Arial" w:hAnsi="Arial" w:cs="Arial"/>
          <w:szCs w:val="40"/>
        </w:rPr>
        <w:t>Sadafale</w:t>
      </w:r>
      <w:proofErr w:type="spellEnd"/>
      <w:r w:rsidRPr="00FE339A">
        <w:rPr>
          <w:rFonts w:ascii="Arial" w:hAnsi="Arial" w:cs="Arial"/>
          <w:szCs w:val="40"/>
        </w:rPr>
        <w:t xml:space="preserve">, G. V. R., </w:t>
      </w:r>
      <w:proofErr w:type="spellStart"/>
      <w:r w:rsidRPr="00FE339A">
        <w:rPr>
          <w:rFonts w:ascii="Arial" w:hAnsi="Arial" w:cs="Arial"/>
          <w:szCs w:val="40"/>
        </w:rPr>
        <w:t>Vishnupandi</w:t>
      </w:r>
      <w:proofErr w:type="spellEnd"/>
      <w:r w:rsidRPr="00FE339A">
        <w:rPr>
          <w:rFonts w:ascii="Arial" w:hAnsi="Arial" w:cs="Arial"/>
          <w:szCs w:val="40"/>
        </w:rPr>
        <w:t xml:space="preserve">, M., Sami, A., </w:t>
      </w:r>
      <w:proofErr w:type="spellStart"/>
      <w:r w:rsidRPr="00FE339A">
        <w:rPr>
          <w:rFonts w:ascii="Arial" w:hAnsi="Arial" w:cs="Arial"/>
          <w:szCs w:val="40"/>
        </w:rPr>
        <w:t>Sudalaiyandi</w:t>
      </w:r>
      <w:proofErr w:type="spellEnd"/>
      <w:r w:rsidRPr="00FE339A">
        <w:rPr>
          <w:rFonts w:ascii="Arial" w:hAnsi="Arial" w:cs="Arial"/>
          <w:szCs w:val="40"/>
        </w:rPr>
        <w:t>, Y., Subal, B. K., Ashish Kamal, P., and Shukla, A. (2025). Global Decline of Pollinators: Drivers, Consequences and Mitigation Strategies. </w:t>
      </w:r>
      <w:r w:rsidRPr="00FE339A">
        <w:rPr>
          <w:rFonts w:ascii="Arial" w:hAnsi="Arial" w:cs="Arial"/>
          <w:i/>
          <w:iCs/>
          <w:szCs w:val="40"/>
        </w:rPr>
        <w:t xml:space="preserve">J. Biol. </w:t>
      </w:r>
      <w:r w:rsidRPr="00FE339A">
        <w:rPr>
          <w:rFonts w:ascii="Arial" w:hAnsi="Arial" w:cs="Arial"/>
          <w:i/>
          <w:iCs/>
          <w:szCs w:val="40"/>
          <w:lang w:val="de-DE"/>
        </w:rPr>
        <w:t>Nature</w:t>
      </w:r>
      <w:r w:rsidRPr="00FE339A">
        <w:rPr>
          <w:rFonts w:ascii="Arial" w:hAnsi="Arial" w:cs="Arial"/>
          <w:szCs w:val="40"/>
          <w:lang w:val="de-DE"/>
        </w:rPr>
        <w:t>, </w:t>
      </w:r>
      <w:r w:rsidRPr="00FE339A">
        <w:rPr>
          <w:rFonts w:ascii="Arial" w:hAnsi="Arial" w:cs="Arial"/>
          <w:i/>
          <w:iCs/>
          <w:szCs w:val="40"/>
          <w:lang w:val="de-DE"/>
        </w:rPr>
        <w:t>17</w:t>
      </w:r>
      <w:r w:rsidRPr="00FE339A">
        <w:rPr>
          <w:rFonts w:ascii="Arial" w:hAnsi="Arial" w:cs="Arial"/>
          <w:szCs w:val="40"/>
          <w:lang w:val="de-DE"/>
        </w:rPr>
        <w:t>(2), 356-379.</w:t>
      </w:r>
    </w:p>
    <w:p w14:paraId="2FEBA7A6"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lang w:val="de-DE"/>
        </w:rPr>
        <w:lastRenderedPageBreak/>
        <w:t xml:space="preserve">Scheper, J., Holzschuh, A., Kuussaari, M., Potts, S. G., Rundlöf, M., Smith, H. G., and Kleijn, D. (2013). </w:t>
      </w:r>
      <w:r w:rsidRPr="00FE339A">
        <w:rPr>
          <w:rFonts w:ascii="Arial" w:hAnsi="Arial" w:cs="Arial"/>
          <w:szCs w:val="40"/>
        </w:rPr>
        <w:t>Environmental factors driving the effectiveness of European agri</w:t>
      </w:r>
      <w:r w:rsidRPr="00FE339A">
        <w:rPr>
          <w:rFonts w:ascii="Cambria Math" w:hAnsi="Cambria Math" w:cs="Cambria Math"/>
          <w:szCs w:val="40"/>
        </w:rPr>
        <w:t>‐</w:t>
      </w:r>
      <w:r w:rsidRPr="00FE339A">
        <w:rPr>
          <w:rFonts w:ascii="Arial" w:hAnsi="Arial" w:cs="Arial"/>
          <w:szCs w:val="40"/>
        </w:rPr>
        <w:t>environmental measures in mitigating pollinator loss–a meta</w:t>
      </w:r>
      <w:r w:rsidRPr="00FE339A">
        <w:rPr>
          <w:rFonts w:ascii="Cambria Math" w:hAnsi="Cambria Math" w:cs="Cambria Math"/>
          <w:szCs w:val="40"/>
        </w:rPr>
        <w:t>‐</w:t>
      </w:r>
      <w:r w:rsidRPr="00FE339A">
        <w:rPr>
          <w:rFonts w:ascii="Arial" w:hAnsi="Arial" w:cs="Arial"/>
          <w:szCs w:val="40"/>
        </w:rPr>
        <w:t>analysis. </w:t>
      </w:r>
      <w:r w:rsidRPr="00FE339A">
        <w:rPr>
          <w:rFonts w:ascii="Arial" w:hAnsi="Arial" w:cs="Arial"/>
          <w:i/>
          <w:iCs/>
          <w:szCs w:val="40"/>
        </w:rPr>
        <w:t>Ecology letters</w:t>
      </w:r>
      <w:r w:rsidRPr="00FE339A">
        <w:rPr>
          <w:rFonts w:ascii="Arial" w:hAnsi="Arial" w:cs="Arial"/>
          <w:szCs w:val="40"/>
        </w:rPr>
        <w:t>, </w:t>
      </w:r>
      <w:r w:rsidRPr="00FE339A">
        <w:rPr>
          <w:rFonts w:ascii="Arial" w:hAnsi="Arial" w:cs="Arial"/>
          <w:i/>
          <w:iCs/>
          <w:szCs w:val="40"/>
        </w:rPr>
        <w:t>16</w:t>
      </w:r>
      <w:r w:rsidRPr="00FE339A">
        <w:rPr>
          <w:rFonts w:ascii="Arial" w:hAnsi="Arial" w:cs="Arial"/>
          <w:szCs w:val="40"/>
        </w:rPr>
        <w:t>(7), 912-920.</w:t>
      </w:r>
    </w:p>
    <w:p w14:paraId="7E8B68A9" w14:textId="77777777" w:rsidR="00FE339A" w:rsidRPr="00FE339A" w:rsidRDefault="00FE339A" w:rsidP="00FE339A">
      <w:pPr>
        <w:ind w:left="720" w:hanging="720"/>
        <w:jc w:val="both"/>
        <w:rPr>
          <w:rFonts w:ascii="Arial" w:hAnsi="Arial" w:cs="Arial"/>
          <w:szCs w:val="40"/>
        </w:rPr>
      </w:pPr>
      <w:proofErr w:type="spellStart"/>
      <w:r w:rsidRPr="00FE339A">
        <w:rPr>
          <w:rFonts w:ascii="Arial" w:hAnsi="Arial" w:cs="Arial"/>
          <w:szCs w:val="40"/>
        </w:rPr>
        <w:t>Sekercioglu</w:t>
      </w:r>
      <w:proofErr w:type="spellEnd"/>
      <w:r w:rsidRPr="00FE339A">
        <w:rPr>
          <w:rFonts w:ascii="Arial" w:hAnsi="Arial" w:cs="Arial"/>
          <w:szCs w:val="40"/>
        </w:rPr>
        <w:t xml:space="preserve">, C. H. (2006). Increasing awareness of avian ecological function. </w:t>
      </w:r>
      <w:r w:rsidRPr="00FE339A">
        <w:rPr>
          <w:rFonts w:ascii="Arial" w:eastAsia="Arial" w:hAnsi="Arial" w:cs="Arial"/>
          <w:i/>
          <w:szCs w:val="40"/>
        </w:rPr>
        <w:t>Trends in Ecology and Evolution, 21</w:t>
      </w:r>
      <w:r w:rsidRPr="00FE339A">
        <w:rPr>
          <w:rFonts w:ascii="Arial" w:hAnsi="Arial" w:cs="Arial"/>
          <w:szCs w:val="40"/>
        </w:rPr>
        <w:t>(8), 464-471.</w:t>
      </w:r>
    </w:p>
    <w:p w14:paraId="453B2809"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Stout, J. C., and Dicks, L. V. (2022). From science to society: implementing effective strategies to improve wild pollinator health. </w:t>
      </w:r>
      <w:r w:rsidRPr="00FE339A">
        <w:rPr>
          <w:rFonts w:ascii="Arial" w:hAnsi="Arial" w:cs="Arial"/>
          <w:i/>
          <w:iCs/>
          <w:szCs w:val="40"/>
        </w:rPr>
        <w:t>Philosophical Transactions of the Royal Society B</w:t>
      </w:r>
      <w:r w:rsidRPr="00FE339A">
        <w:rPr>
          <w:rFonts w:ascii="Arial" w:hAnsi="Arial" w:cs="Arial"/>
          <w:szCs w:val="40"/>
        </w:rPr>
        <w:t>, </w:t>
      </w:r>
      <w:r w:rsidRPr="00FE339A">
        <w:rPr>
          <w:rFonts w:ascii="Arial" w:hAnsi="Arial" w:cs="Arial"/>
          <w:i/>
          <w:iCs/>
          <w:szCs w:val="40"/>
        </w:rPr>
        <w:t>377</w:t>
      </w:r>
      <w:r w:rsidRPr="00FE339A">
        <w:rPr>
          <w:rFonts w:ascii="Arial" w:hAnsi="Arial" w:cs="Arial"/>
          <w:szCs w:val="40"/>
        </w:rPr>
        <w:t>(1853), 20210165.</w:t>
      </w:r>
    </w:p>
    <w:p w14:paraId="097BB8DD" w14:textId="77777777" w:rsidR="00FE339A" w:rsidRPr="00FE339A" w:rsidRDefault="00FE339A" w:rsidP="00FE339A">
      <w:pPr>
        <w:ind w:left="720" w:hanging="720"/>
        <w:jc w:val="both"/>
        <w:rPr>
          <w:rFonts w:ascii="Arial" w:hAnsi="Arial" w:cs="Arial"/>
          <w:szCs w:val="40"/>
        </w:rPr>
      </w:pPr>
      <w:r w:rsidRPr="00D71F88">
        <w:rPr>
          <w:rFonts w:ascii="Arial" w:hAnsi="Arial" w:cs="Arial"/>
          <w:szCs w:val="40"/>
        </w:rPr>
        <w:t xml:space="preserve">Tremlett, C. J., Peh, K. S. H., Zamora-Gutierrez, V., and Schaafsma, M. (2021). </w:t>
      </w:r>
      <w:r w:rsidRPr="00FE339A">
        <w:rPr>
          <w:rFonts w:ascii="Arial" w:hAnsi="Arial" w:cs="Arial"/>
          <w:szCs w:val="40"/>
        </w:rPr>
        <w:t>Value and benefit distribution of pollination services provided by bats in the production of cactus fruits in central Mexico. </w:t>
      </w:r>
      <w:r w:rsidRPr="00FE339A">
        <w:rPr>
          <w:rFonts w:ascii="Arial" w:hAnsi="Arial" w:cs="Arial"/>
          <w:i/>
          <w:iCs/>
          <w:szCs w:val="40"/>
        </w:rPr>
        <w:t>Ecosystem Services</w:t>
      </w:r>
      <w:r w:rsidRPr="00FE339A">
        <w:rPr>
          <w:rFonts w:ascii="Arial" w:hAnsi="Arial" w:cs="Arial"/>
          <w:szCs w:val="40"/>
        </w:rPr>
        <w:t>, </w:t>
      </w:r>
      <w:r w:rsidRPr="00FE339A">
        <w:rPr>
          <w:rFonts w:ascii="Arial" w:hAnsi="Arial" w:cs="Arial"/>
          <w:i/>
          <w:iCs/>
          <w:szCs w:val="40"/>
        </w:rPr>
        <w:t>47</w:t>
      </w:r>
      <w:r w:rsidRPr="00FE339A">
        <w:rPr>
          <w:rFonts w:ascii="Arial" w:hAnsi="Arial" w:cs="Arial"/>
          <w:szCs w:val="40"/>
        </w:rPr>
        <w:t>, 101197.</w:t>
      </w:r>
    </w:p>
    <w:p w14:paraId="6A6FB6B9"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Walton, R. E., Sayer, C. D., Bennion, H., and Axmacher, J. C. (2020). Nocturnal pollinators strongly contribute to pollen transport of wild flowers in an agricultural landscape. </w:t>
      </w:r>
      <w:r w:rsidRPr="00FE339A">
        <w:rPr>
          <w:rFonts w:ascii="Arial" w:hAnsi="Arial" w:cs="Arial"/>
          <w:i/>
          <w:iCs/>
          <w:szCs w:val="40"/>
        </w:rPr>
        <w:t>Biology letters</w:t>
      </w:r>
      <w:r w:rsidRPr="00FE339A">
        <w:rPr>
          <w:rFonts w:ascii="Arial" w:hAnsi="Arial" w:cs="Arial"/>
          <w:szCs w:val="40"/>
        </w:rPr>
        <w:t>, </w:t>
      </w:r>
      <w:r w:rsidRPr="00FE339A">
        <w:rPr>
          <w:rFonts w:ascii="Arial" w:hAnsi="Arial" w:cs="Arial"/>
          <w:i/>
          <w:iCs/>
          <w:szCs w:val="40"/>
        </w:rPr>
        <w:t>16</w:t>
      </w:r>
      <w:r w:rsidRPr="00FE339A">
        <w:rPr>
          <w:rFonts w:ascii="Arial" w:hAnsi="Arial" w:cs="Arial"/>
          <w:szCs w:val="40"/>
        </w:rPr>
        <w:t>(5), 20190877.</w:t>
      </w:r>
    </w:p>
    <w:p w14:paraId="5AC1B923" w14:textId="77777777" w:rsidR="00FE339A" w:rsidRPr="00FE339A" w:rsidRDefault="00FE339A" w:rsidP="00441B6F">
      <w:pPr>
        <w:pStyle w:val="ReferHead"/>
        <w:spacing w:after="0"/>
        <w:jc w:val="both"/>
        <w:rPr>
          <w:rFonts w:ascii="Arial" w:hAnsi="Arial" w:cs="Arial"/>
          <w:sz w:val="18"/>
        </w:rPr>
      </w:pPr>
    </w:p>
    <w:p w14:paraId="54E85D10" w14:textId="77777777" w:rsidR="00B01FCD" w:rsidRPr="00FB3A86" w:rsidRDefault="00B01FCD" w:rsidP="00441B6F">
      <w:pPr>
        <w:pStyle w:val="Reference"/>
        <w:numPr>
          <w:ilvl w:val="0"/>
          <w:numId w:val="0"/>
        </w:numPr>
        <w:spacing w:line="240" w:lineRule="auto"/>
        <w:rPr>
          <w:rFonts w:ascii="Arial" w:hAnsi="Arial" w:cs="Arial"/>
        </w:rPr>
      </w:pPr>
    </w:p>
    <w:p w14:paraId="0DFDE703" w14:textId="77777777" w:rsidR="00790ADA" w:rsidRPr="00FB3A86" w:rsidRDefault="00790ADA" w:rsidP="00441B6F">
      <w:pPr>
        <w:pStyle w:val="Body"/>
        <w:spacing w:after="0"/>
        <w:rPr>
          <w:rFonts w:ascii="Arial" w:hAnsi="Arial" w:cs="Arial"/>
        </w:rPr>
      </w:pPr>
    </w:p>
    <w:p w14:paraId="60942319" w14:textId="77777777" w:rsidR="00B01FCD" w:rsidRPr="00FB3A86" w:rsidRDefault="00B01FCD" w:rsidP="00441B6F">
      <w:pPr>
        <w:pStyle w:val="Appendix"/>
        <w:spacing w:after="0"/>
        <w:jc w:val="both"/>
        <w:rPr>
          <w:rFonts w:ascii="Arial" w:hAnsi="Arial" w:cs="Arial"/>
          <w:b w:val="0"/>
        </w:rPr>
      </w:pPr>
    </w:p>
    <w:sectPr w:rsidR="00B01FCD" w:rsidRPr="00FB3A86" w:rsidSect="000B6577">
      <w:footerReference w:type="default" r:id="rId1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DE65EA" w14:textId="77777777" w:rsidR="00BC1D11" w:rsidRDefault="00BC1D11" w:rsidP="00C37E61">
      <w:r>
        <w:separator/>
      </w:r>
    </w:p>
  </w:endnote>
  <w:endnote w:type="continuationSeparator" w:id="0">
    <w:p w14:paraId="5C4F1EB9" w14:textId="77777777" w:rsidR="00BC1D11" w:rsidRDefault="00BC1D1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unga">
    <w:altName w:val="Courier New"/>
    <w:panose1 w:val="000004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Han Sans SC">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B1750" w14:textId="77777777" w:rsidR="00754C9A" w:rsidRPr="000B6577" w:rsidRDefault="00754C9A" w:rsidP="000B65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28A3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66C7F1" w14:textId="77777777" w:rsidR="00BC1D11" w:rsidRDefault="00BC1D11" w:rsidP="00C37E61">
      <w:r>
        <w:separator/>
      </w:r>
    </w:p>
  </w:footnote>
  <w:footnote w:type="continuationSeparator" w:id="0">
    <w:p w14:paraId="3932B341" w14:textId="77777777" w:rsidR="00BC1D11" w:rsidRDefault="00BC1D1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5209C" w14:textId="77777777" w:rsidR="00296529" w:rsidRPr="00296529" w:rsidRDefault="00296529" w:rsidP="00296529">
    <w:pPr>
      <w:ind w:left="2160"/>
      <w:jc w:val="center"/>
      <w:rPr>
        <w:rFonts w:ascii="Times New Roman" w:eastAsia="Calibri" w:hAnsi="Times New Roman"/>
        <w:i/>
        <w:sz w:val="18"/>
        <w:szCs w:val="22"/>
      </w:rPr>
    </w:pPr>
  </w:p>
  <w:p w14:paraId="40B0E44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D31548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8847A6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57FC6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37B16D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427457D"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250A1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1"/>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6"/>
  </w:num>
  <w:num w:numId="10">
    <w:abstractNumId w:val="3"/>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203C3"/>
    <w:rsid w:val="00030174"/>
    <w:rsid w:val="0004579C"/>
    <w:rsid w:val="00077435"/>
    <w:rsid w:val="0008084A"/>
    <w:rsid w:val="000A3031"/>
    <w:rsid w:val="000A47FA"/>
    <w:rsid w:val="000A65D3"/>
    <w:rsid w:val="000B1E33"/>
    <w:rsid w:val="000B5C57"/>
    <w:rsid w:val="000B6577"/>
    <w:rsid w:val="000C088F"/>
    <w:rsid w:val="000D4C9D"/>
    <w:rsid w:val="000D689F"/>
    <w:rsid w:val="000E7B7B"/>
    <w:rsid w:val="000E7D62"/>
    <w:rsid w:val="00103357"/>
    <w:rsid w:val="00107024"/>
    <w:rsid w:val="00111EA1"/>
    <w:rsid w:val="001227F2"/>
    <w:rsid w:val="00123C9F"/>
    <w:rsid w:val="00126190"/>
    <w:rsid w:val="00130F17"/>
    <w:rsid w:val="001320BF"/>
    <w:rsid w:val="0014076F"/>
    <w:rsid w:val="00163BC4"/>
    <w:rsid w:val="0016695C"/>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72FBC"/>
    <w:rsid w:val="00282105"/>
    <w:rsid w:val="00283105"/>
    <w:rsid w:val="00284C4C"/>
    <w:rsid w:val="00287E68"/>
    <w:rsid w:val="00293EB5"/>
    <w:rsid w:val="00296529"/>
    <w:rsid w:val="002B27FB"/>
    <w:rsid w:val="002B5866"/>
    <w:rsid w:val="002B685A"/>
    <w:rsid w:val="002C209F"/>
    <w:rsid w:val="002C57D2"/>
    <w:rsid w:val="002E0D56"/>
    <w:rsid w:val="00315186"/>
    <w:rsid w:val="0033343E"/>
    <w:rsid w:val="003512C2"/>
    <w:rsid w:val="003620E6"/>
    <w:rsid w:val="00371FB6"/>
    <w:rsid w:val="003763C1"/>
    <w:rsid w:val="00376BBE"/>
    <w:rsid w:val="00384FEA"/>
    <w:rsid w:val="0039224F"/>
    <w:rsid w:val="003A43A4"/>
    <w:rsid w:val="003A7E18"/>
    <w:rsid w:val="003B6701"/>
    <w:rsid w:val="003C4C86"/>
    <w:rsid w:val="003C6258"/>
    <w:rsid w:val="003E2904"/>
    <w:rsid w:val="00401927"/>
    <w:rsid w:val="0041027F"/>
    <w:rsid w:val="00412475"/>
    <w:rsid w:val="00423789"/>
    <w:rsid w:val="00426E20"/>
    <w:rsid w:val="00440F43"/>
    <w:rsid w:val="00441B6F"/>
    <w:rsid w:val="00444D85"/>
    <w:rsid w:val="00446221"/>
    <w:rsid w:val="00450E62"/>
    <w:rsid w:val="004539DB"/>
    <w:rsid w:val="00466E17"/>
    <w:rsid w:val="00471A80"/>
    <w:rsid w:val="004D305E"/>
    <w:rsid w:val="004D4277"/>
    <w:rsid w:val="00502516"/>
    <w:rsid w:val="00505F06"/>
    <w:rsid w:val="00506828"/>
    <w:rsid w:val="0053056E"/>
    <w:rsid w:val="00554FDA"/>
    <w:rsid w:val="005664F5"/>
    <w:rsid w:val="005C784C"/>
    <w:rsid w:val="005D17F6"/>
    <w:rsid w:val="005E5539"/>
    <w:rsid w:val="00602BF5"/>
    <w:rsid w:val="00617FDD"/>
    <w:rsid w:val="00633614"/>
    <w:rsid w:val="00633F68"/>
    <w:rsid w:val="00636EB2"/>
    <w:rsid w:val="006375B8"/>
    <w:rsid w:val="0066510A"/>
    <w:rsid w:val="006718C0"/>
    <w:rsid w:val="00673F9F"/>
    <w:rsid w:val="006763A7"/>
    <w:rsid w:val="00676E97"/>
    <w:rsid w:val="00686953"/>
    <w:rsid w:val="00687DEA"/>
    <w:rsid w:val="00687E67"/>
    <w:rsid w:val="006967F7"/>
    <w:rsid w:val="006A250C"/>
    <w:rsid w:val="006B21D3"/>
    <w:rsid w:val="006B57D0"/>
    <w:rsid w:val="006D30FF"/>
    <w:rsid w:val="006D6940"/>
    <w:rsid w:val="006F11EC"/>
    <w:rsid w:val="0070082C"/>
    <w:rsid w:val="007118B4"/>
    <w:rsid w:val="007369E6"/>
    <w:rsid w:val="00746E59"/>
    <w:rsid w:val="00754C9A"/>
    <w:rsid w:val="0075599A"/>
    <w:rsid w:val="00761D52"/>
    <w:rsid w:val="0077749E"/>
    <w:rsid w:val="00790ADA"/>
    <w:rsid w:val="007B6470"/>
    <w:rsid w:val="007D2288"/>
    <w:rsid w:val="007E088F"/>
    <w:rsid w:val="007E56C8"/>
    <w:rsid w:val="007F7B32"/>
    <w:rsid w:val="00804BC2"/>
    <w:rsid w:val="00805AC9"/>
    <w:rsid w:val="0081431A"/>
    <w:rsid w:val="0083216F"/>
    <w:rsid w:val="00832F88"/>
    <w:rsid w:val="00860000"/>
    <w:rsid w:val="008626C8"/>
    <w:rsid w:val="00863BD3"/>
    <w:rsid w:val="008641ED"/>
    <w:rsid w:val="00866D66"/>
    <w:rsid w:val="008671C6"/>
    <w:rsid w:val="00875803"/>
    <w:rsid w:val="008B090B"/>
    <w:rsid w:val="008B459E"/>
    <w:rsid w:val="008E13AE"/>
    <w:rsid w:val="008E1506"/>
    <w:rsid w:val="008E710C"/>
    <w:rsid w:val="008F69D6"/>
    <w:rsid w:val="00902823"/>
    <w:rsid w:val="00915CA6"/>
    <w:rsid w:val="00927834"/>
    <w:rsid w:val="009500A6"/>
    <w:rsid w:val="00957C18"/>
    <w:rsid w:val="009659BA"/>
    <w:rsid w:val="00983040"/>
    <w:rsid w:val="009958DC"/>
    <w:rsid w:val="009B3FB9"/>
    <w:rsid w:val="009C2465"/>
    <w:rsid w:val="009D35A0"/>
    <w:rsid w:val="009D7EB7"/>
    <w:rsid w:val="009E048A"/>
    <w:rsid w:val="009E08E9"/>
    <w:rsid w:val="009E3DB9"/>
    <w:rsid w:val="009E6E35"/>
    <w:rsid w:val="009F0B18"/>
    <w:rsid w:val="009F0EDA"/>
    <w:rsid w:val="00A03B96"/>
    <w:rsid w:val="00A05B19"/>
    <w:rsid w:val="00A10842"/>
    <w:rsid w:val="00A1134E"/>
    <w:rsid w:val="00A24E7E"/>
    <w:rsid w:val="00A258C3"/>
    <w:rsid w:val="00A347C0"/>
    <w:rsid w:val="00A42252"/>
    <w:rsid w:val="00A51431"/>
    <w:rsid w:val="00A539AD"/>
    <w:rsid w:val="00A94063"/>
    <w:rsid w:val="00AA1A0B"/>
    <w:rsid w:val="00AA6219"/>
    <w:rsid w:val="00AA74E0"/>
    <w:rsid w:val="00AB703F"/>
    <w:rsid w:val="00AC6BB8"/>
    <w:rsid w:val="00AE008F"/>
    <w:rsid w:val="00B01FCD"/>
    <w:rsid w:val="00B1776C"/>
    <w:rsid w:val="00B52583"/>
    <w:rsid w:val="00B52896"/>
    <w:rsid w:val="00B52C63"/>
    <w:rsid w:val="00B66A39"/>
    <w:rsid w:val="00B713ED"/>
    <w:rsid w:val="00B95236"/>
    <w:rsid w:val="00B96BD9"/>
    <w:rsid w:val="00BA1B01"/>
    <w:rsid w:val="00BA2641"/>
    <w:rsid w:val="00BB37AA"/>
    <w:rsid w:val="00BC1D11"/>
    <w:rsid w:val="00BC53A0"/>
    <w:rsid w:val="00BE62AD"/>
    <w:rsid w:val="00BF121F"/>
    <w:rsid w:val="00BF1F80"/>
    <w:rsid w:val="00C166EF"/>
    <w:rsid w:val="00C16C53"/>
    <w:rsid w:val="00C17EB0"/>
    <w:rsid w:val="00C20A94"/>
    <w:rsid w:val="00C27F5F"/>
    <w:rsid w:val="00C30A0F"/>
    <w:rsid w:val="00C37E61"/>
    <w:rsid w:val="00C50AF0"/>
    <w:rsid w:val="00C70F1B"/>
    <w:rsid w:val="00C71A47"/>
    <w:rsid w:val="00C7464C"/>
    <w:rsid w:val="00C85588"/>
    <w:rsid w:val="00CB7C86"/>
    <w:rsid w:val="00CD08E2"/>
    <w:rsid w:val="00CD6755"/>
    <w:rsid w:val="00CD6856"/>
    <w:rsid w:val="00CE0089"/>
    <w:rsid w:val="00CE793C"/>
    <w:rsid w:val="00CF193C"/>
    <w:rsid w:val="00D100A8"/>
    <w:rsid w:val="00D173F1"/>
    <w:rsid w:val="00D409E9"/>
    <w:rsid w:val="00D71F88"/>
    <w:rsid w:val="00D74CB0"/>
    <w:rsid w:val="00D8295D"/>
    <w:rsid w:val="00D836BB"/>
    <w:rsid w:val="00D915D1"/>
    <w:rsid w:val="00D91EAB"/>
    <w:rsid w:val="00D94C48"/>
    <w:rsid w:val="00DC2A65"/>
    <w:rsid w:val="00DE15F0"/>
    <w:rsid w:val="00DE5663"/>
    <w:rsid w:val="00DE78AA"/>
    <w:rsid w:val="00DE7FCA"/>
    <w:rsid w:val="00E053D0"/>
    <w:rsid w:val="00E15994"/>
    <w:rsid w:val="00E3114E"/>
    <w:rsid w:val="00E31A70"/>
    <w:rsid w:val="00E35B02"/>
    <w:rsid w:val="00E415F2"/>
    <w:rsid w:val="00E66496"/>
    <w:rsid w:val="00E66B35"/>
    <w:rsid w:val="00E66E10"/>
    <w:rsid w:val="00E769F6"/>
    <w:rsid w:val="00E8407C"/>
    <w:rsid w:val="00E84F3C"/>
    <w:rsid w:val="00EA012C"/>
    <w:rsid w:val="00EB04EC"/>
    <w:rsid w:val="00EC6A55"/>
    <w:rsid w:val="00ED0288"/>
    <w:rsid w:val="00EE52CB"/>
    <w:rsid w:val="00EF0138"/>
    <w:rsid w:val="00EF581D"/>
    <w:rsid w:val="00EF6831"/>
    <w:rsid w:val="00EF7FD8"/>
    <w:rsid w:val="00F06F59"/>
    <w:rsid w:val="00F17988"/>
    <w:rsid w:val="00F469F0"/>
    <w:rsid w:val="00F53273"/>
    <w:rsid w:val="00F55C71"/>
    <w:rsid w:val="00F755E4"/>
    <w:rsid w:val="00F77D02"/>
    <w:rsid w:val="00FB3A86"/>
    <w:rsid w:val="00FD36C8"/>
    <w:rsid w:val="00FE339A"/>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F1FC5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2C209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8B090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TitleChar">
    <w:name w:val="Title Char"/>
    <w:basedOn w:val="DefaultParagraphFont"/>
    <w:link w:val="Title"/>
    <w:uiPriority w:val="10"/>
    <w:rsid w:val="002B5866"/>
    <w:rPr>
      <w:rFonts w:ascii="Helvetica" w:hAnsi="Helvetica"/>
      <w:b/>
      <w:kern w:val="28"/>
      <w:sz w:val="36"/>
    </w:rPr>
  </w:style>
  <w:style w:type="character" w:customStyle="1" w:styleId="Heading2Char">
    <w:name w:val="Heading 2 Char"/>
    <w:basedOn w:val="DefaultParagraphFont"/>
    <w:link w:val="Heading2"/>
    <w:semiHidden/>
    <w:rsid w:val="002C209F"/>
    <w:rPr>
      <w:rFonts w:asciiTheme="majorHAnsi" w:eastAsiaTheme="majorEastAsia" w:hAnsiTheme="majorHAnsi" w:cstheme="majorBidi"/>
      <w:color w:val="365F91" w:themeColor="accent1" w:themeShade="BF"/>
      <w:sz w:val="26"/>
      <w:szCs w:val="26"/>
    </w:rPr>
  </w:style>
  <w:style w:type="paragraph" w:styleId="ListBullet">
    <w:name w:val="List Bullet"/>
    <w:basedOn w:val="Normal"/>
    <w:uiPriority w:val="99"/>
    <w:unhideWhenUsed/>
    <w:rsid w:val="00DE7FCA"/>
    <w:pPr>
      <w:numPr>
        <w:numId w:val="31"/>
      </w:numPr>
      <w:spacing w:after="200" w:line="276" w:lineRule="auto"/>
      <w:contextualSpacing/>
    </w:pPr>
    <w:rPr>
      <w:rFonts w:ascii="Source Han Sans SC" w:eastAsiaTheme="minorEastAsia" w:hAnsi="Source Han Sans SC" w:cstheme="minorBidi"/>
      <w:sz w:val="14"/>
      <w:szCs w:val="22"/>
    </w:rPr>
  </w:style>
  <w:style w:type="paragraph" w:styleId="NormalWeb">
    <w:name w:val="Normal (Web)"/>
    <w:basedOn w:val="Normal"/>
    <w:uiPriority w:val="99"/>
    <w:unhideWhenUsed/>
    <w:rsid w:val="00077435"/>
    <w:pPr>
      <w:spacing w:before="100" w:beforeAutospacing="1" w:after="100" w:afterAutospacing="1"/>
    </w:pPr>
    <w:rPr>
      <w:rFonts w:ascii="Times New Roman" w:hAnsi="Times New Roman"/>
      <w:sz w:val="24"/>
      <w:szCs w:val="24"/>
      <w:lang w:val="en-IN" w:eastAsia="en-IN"/>
    </w:rPr>
  </w:style>
  <w:style w:type="character" w:customStyle="1" w:styleId="Heading3Char">
    <w:name w:val="Heading 3 Char"/>
    <w:basedOn w:val="DefaultParagraphFont"/>
    <w:link w:val="Heading3"/>
    <w:semiHidden/>
    <w:rsid w:val="008B090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2A7B8-9691-40CA-9CCC-BD42F7DA9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8</Pages>
  <Words>4326</Words>
  <Characters>24663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28932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1117</cp:lastModifiedBy>
  <cp:revision>4</cp:revision>
  <cp:lastPrinted>1999-07-06T11:00:00Z</cp:lastPrinted>
  <dcterms:created xsi:type="dcterms:W3CDTF">2026-01-14T15:47:00Z</dcterms:created>
  <dcterms:modified xsi:type="dcterms:W3CDTF">2026-01-17T06:11:00Z</dcterms:modified>
</cp:coreProperties>
</file>