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088E" w14:textId="2216946F" w:rsidR="00266E33" w:rsidRPr="00F65238" w:rsidRDefault="000D510D" w:rsidP="00266E33">
      <w:pPr>
        <w:jc w:val="both"/>
        <w:rPr>
          <w:rFonts w:ascii="Times New Roman" w:hAnsi="Times New Roman" w:cs="Times New Roman"/>
          <w:b/>
          <w:bCs/>
          <w:color w:val="EE0000"/>
        </w:rPr>
      </w:pPr>
      <w:r w:rsidRPr="00F65238">
        <w:rPr>
          <w:rFonts w:ascii="Times New Roman" w:hAnsi="Times New Roman" w:cs="Times New Roman"/>
          <w:b/>
          <w:bCs/>
          <w:color w:val="EE0000"/>
        </w:rPr>
        <w:t>Original Research Article</w:t>
      </w:r>
    </w:p>
    <w:p w14:paraId="52754A07" w14:textId="1A99EFBF" w:rsidR="000315EF" w:rsidRPr="00F65238" w:rsidRDefault="00266E33" w:rsidP="00266E33">
      <w:pPr>
        <w:jc w:val="both"/>
        <w:rPr>
          <w:rFonts w:ascii="Times New Roman" w:hAnsi="Times New Roman" w:cs="Times New Roman"/>
          <w:b/>
          <w:bCs/>
        </w:rPr>
      </w:pPr>
      <w:r w:rsidRPr="00E87765">
        <w:rPr>
          <w:rFonts w:ascii="Times New Roman" w:hAnsi="Times New Roman" w:cs="Times New Roman"/>
          <w:b/>
          <w:bCs/>
          <w:highlight w:val="yellow"/>
        </w:rPr>
        <w:t>IMPACT OF HERBICIDE</w:t>
      </w:r>
      <w:r w:rsidR="00C41702" w:rsidRPr="00E87765">
        <w:rPr>
          <w:rFonts w:ascii="Times New Roman" w:hAnsi="Times New Roman" w:cs="Times New Roman"/>
          <w:b/>
          <w:bCs/>
          <w:highlight w:val="yellow"/>
        </w:rPr>
        <w:t>S</w:t>
      </w:r>
      <w:r w:rsidRPr="00E87765">
        <w:rPr>
          <w:rFonts w:ascii="Times New Roman" w:hAnsi="Times New Roman" w:cs="Times New Roman"/>
          <w:b/>
          <w:bCs/>
          <w:highlight w:val="yellow"/>
        </w:rPr>
        <w:t xml:space="preserve"> ON BIOCHEMICAL </w:t>
      </w:r>
      <w:r w:rsidR="00E87765" w:rsidRPr="00E87765">
        <w:rPr>
          <w:rFonts w:ascii="Times New Roman" w:hAnsi="Times New Roman" w:cs="Times New Roman"/>
          <w:b/>
          <w:bCs/>
          <w:highlight w:val="yellow"/>
        </w:rPr>
        <w:t>AND ANTIOXIDANT TRAITS OF MOTH BEAN (</w:t>
      </w:r>
      <w:r w:rsidR="009A3A25" w:rsidRPr="00E87765">
        <w:rPr>
          <w:rFonts w:ascii="Times New Roman" w:hAnsi="Times New Roman" w:cs="Times New Roman"/>
          <w:b/>
          <w:bCs/>
          <w:i/>
          <w:iCs/>
          <w:highlight w:val="yellow"/>
        </w:rPr>
        <w:t>VIGNA ACONITIFOLIA</w:t>
      </w:r>
      <w:r w:rsidR="009A3A25" w:rsidRPr="00E87765">
        <w:rPr>
          <w:rFonts w:ascii="Times New Roman" w:hAnsi="Times New Roman" w:cs="Times New Roman"/>
          <w:b/>
          <w:bCs/>
          <w:highlight w:val="yellow"/>
        </w:rPr>
        <w:t xml:space="preserve"> </w:t>
      </w:r>
      <w:r w:rsidR="00E87765" w:rsidRPr="00E87765">
        <w:rPr>
          <w:rFonts w:ascii="Times New Roman" w:hAnsi="Times New Roman" w:cs="Times New Roman"/>
          <w:b/>
          <w:bCs/>
          <w:highlight w:val="yellow"/>
        </w:rPr>
        <w:t>L.)”</w:t>
      </w:r>
    </w:p>
    <w:p w14:paraId="06BA0992" w14:textId="77777777" w:rsidR="00732EAD" w:rsidRDefault="00732EAD" w:rsidP="00266E33">
      <w:pPr>
        <w:jc w:val="both"/>
        <w:rPr>
          <w:rFonts w:ascii="Times New Roman" w:hAnsi="Times New Roman" w:cs="Times New Roman"/>
          <w:b/>
          <w:bCs/>
        </w:rPr>
      </w:pPr>
    </w:p>
    <w:p w14:paraId="4ABCC8B6" w14:textId="5C2B5DCB" w:rsidR="000D218C" w:rsidRDefault="00266E33" w:rsidP="00266E33">
      <w:pPr>
        <w:jc w:val="both"/>
        <w:rPr>
          <w:rFonts w:ascii="Times New Roman" w:hAnsi="Times New Roman" w:cs="Times New Roman"/>
          <w:b/>
          <w:bCs/>
        </w:rPr>
      </w:pPr>
      <w:r w:rsidRPr="00F65238">
        <w:rPr>
          <w:rFonts w:ascii="Times New Roman" w:hAnsi="Times New Roman" w:cs="Times New Roman"/>
          <w:b/>
          <w:bCs/>
        </w:rPr>
        <w:t xml:space="preserve">ABSTRACT </w:t>
      </w:r>
    </w:p>
    <w:p w14:paraId="267072CF" w14:textId="205A777D" w:rsidR="00C91607" w:rsidRDefault="00C91607" w:rsidP="001B35C1">
      <w:pPr>
        <w:spacing w:after="0" w:line="360" w:lineRule="auto"/>
        <w:jc w:val="both"/>
        <w:rPr>
          <w:rFonts w:ascii="Times New Roman" w:hAnsi="Times New Roman" w:cs="Times New Roman"/>
        </w:rPr>
      </w:pPr>
      <w:r w:rsidRPr="00C91607">
        <w:rPr>
          <w:rFonts w:ascii="Times New Roman" w:hAnsi="Times New Roman" w:cs="Times New Roman"/>
        </w:rPr>
        <w:t>Herbicides are widely used for effective weed control in legume crops,</w:t>
      </w:r>
      <w:r>
        <w:rPr>
          <w:rFonts w:ascii="Times New Roman" w:hAnsi="Times New Roman" w:cs="Times New Roman"/>
        </w:rPr>
        <w:t xml:space="preserve"> and</w:t>
      </w:r>
      <w:r w:rsidRPr="00C91607">
        <w:rPr>
          <w:rFonts w:ascii="Times New Roman" w:hAnsi="Times New Roman" w:cs="Times New Roman"/>
        </w:rPr>
        <w:t xml:space="preserve"> their application may </w:t>
      </w:r>
      <w:r>
        <w:rPr>
          <w:rFonts w:ascii="Times New Roman" w:hAnsi="Times New Roman" w:cs="Times New Roman"/>
        </w:rPr>
        <w:t xml:space="preserve">alter </w:t>
      </w:r>
      <w:r w:rsidRPr="00C91607">
        <w:rPr>
          <w:rFonts w:ascii="Times New Roman" w:hAnsi="Times New Roman" w:cs="Times New Roman"/>
        </w:rPr>
        <w:t>physiological and biochemical</w:t>
      </w:r>
      <w:r>
        <w:rPr>
          <w:rFonts w:ascii="Times New Roman" w:hAnsi="Times New Roman" w:cs="Times New Roman"/>
        </w:rPr>
        <w:t xml:space="preserve"> attributes</w:t>
      </w:r>
      <w:r w:rsidRPr="00C91607">
        <w:rPr>
          <w:rFonts w:ascii="Times New Roman" w:hAnsi="Times New Roman" w:cs="Times New Roman"/>
        </w:rPr>
        <w:t>. In the present investigation, the impact of pre and post</w:t>
      </w:r>
      <w:r>
        <w:rPr>
          <w:rFonts w:ascii="Times New Roman" w:hAnsi="Times New Roman" w:cs="Times New Roman"/>
        </w:rPr>
        <w:t xml:space="preserve"> </w:t>
      </w:r>
      <w:r w:rsidRPr="00C91607">
        <w:rPr>
          <w:rFonts w:ascii="Times New Roman" w:hAnsi="Times New Roman" w:cs="Times New Roman"/>
        </w:rPr>
        <w:t xml:space="preserve">emergence herbicides on major biochemical and antioxidant traits of </w:t>
      </w:r>
      <w:r w:rsidRPr="00C91607">
        <w:rPr>
          <w:rFonts w:ascii="Times New Roman" w:hAnsi="Times New Roman" w:cs="Times New Roman"/>
          <w:i/>
          <w:iCs/>
        </w:rPr>
        <w:t xml:space="preserve">Vigna </w:t>
      </w:r>
      <w:proofErr w:type="spellStart"/>
      <w:r w:rsidRPr="00C91607">
        <w:rPr>
          <w:rFonts w:ascii="Times New Roman" w:hAnsi="Times New Roman" w:cs="Times New Roman"/>
          <w:i/>
          <w:iCs/>
        </w:rPr>
        <w:t>aconitifolia</w:t>
      </w:r>
      <w:proofErr w:type="spellEnd"/>
      <w:r w:rsidRPr="00C91607">
        <w:rPr>
          <w:rFonts w:ascii="Times New Roman" w:hAnsi="Times New Roman" w:cs="Times New Roman"/>
        </w:rPr>
        <w:t xml:space="preserve"> L. was evaluated under field conditions during the Kharif seasons of 2024–25. The experiment was conducted in a Randomized Block Design with three replications using two genotypes</w:t>
      </w:r>
      <w:r>
        <w:rPr>
          <w:rFonts w:ascii="Times New Roman" w:hAnsi="Times New Roman" w:cs="Times New Roman"/>
        </w:rPr>
        <w:t xml:space="preserve"> viz.,</w:t>
      </w:r>
      <w:r w:rsidRPr="00C91607">
        <w:rPr>
          <w:rFonts w:ascii="Times New Roman" w:hAnsi="Times New Roman" w:cs="Times New Roman"/>
        </w:rPr>
        <w:t xml:space="preserve"> MH-65 and MH-45</w:t>
      </w:r>
      <w:r>
        <w:rPr>
          <w:rFonts w:ascii="Times New Roman" w:hAnsi="Times New Roman" w:cs="Times New Roman"/>
        </w:rPr>
        <w:t xml:space="preserve"> and under the application of </w:t>
      </w:r>
      <w:r w:rsidRPr="00C91607">
        <w:rPr>
          <w:rFonts w:ascii="Times New Roman" w:hAnsi="Times New Roman" w:cs="Times New Roman"/>
        </w:rPr>
        <w:t xml:space="preserve">pendimethalin, imazethapyr, and quizalofop individually and in </w:t>
      </w:r>
      <w:r>
        <w:rPr>
          <w:rFonts w:ascii="Times New Roman" w:hAnsi="Times New Roman" w:cs="Times New Roman"/>
        </w:rPr>
        <w:t>different</w:t>
      </w:r>
      <w:r w:rsidRPr="00C91607">
        <w:rPr>
          <w:rFonts w:ascii="Times New Roman" w:hAnsi="Times New Roman" w:cs="Times New Roman"/>
        </w:rPr>
        <w:t xml:space="preserve"> combinations.</w:t>
      </w:r>
      <w:r w:rsidR="001B35C1">
        <w:rPr>
          <w:rFonts w:ascii="Times New Roman" w:hAnsi="Times New Roman" w:cs="Times New Roman"/>
        </w:rPr>
        <w:t xml:space="preserve"> </w:t>
      </w:r>
      <w:r w:rsidRPr="00C91607">
        <w:rPr>
          <w:rFonts w:ascii="Times New Roman" w:hAnsi="Times New Roman" w:cs="Times New Roman"/>
        </w:rPr>
        <w:t xml:space="preserve">The biochemical responses revealed that control plants maintained the highest levels of </w:t>
      </w:r>
      <w:proofErr w:type="gramStart"/>
      <w:r w:rsidRPr="00C91607">
        <w:rPr>
          <w:rFonts w:ascii="Times New Roman" w:hAnsi="Times New Roman" w:cs="Times New Roman"/>
        </w:rPr>
        <w:t>water</w:t>
      </w:r>
      <w:r>
        <w:rPr>
          <w:rFonts w:ascii="Times New Roman" w:hAnsi="Times New Roman" w:cs="Times New Roman"/>
        </w:rPr>
        <w:t xml:space="preserve"> </w:t>
      </w:r>
      <w:r w:rsidRPr="00C91607">
        <w:rPr>
          <w:rFonts w:ascii="Times New Roman" w:hAnsi="Times New Roman" w:cs="Times New Roman"/>
        </w:rPr>
        <w:t>soluble</w:t>
      </w:r>
      <w:proofErr w:type="gramEnd"/>
      <w:r w:rsidRPr="00C91607">
        <w:rPr>
          <w:rFonts w:ascii="Times New Roman" w:hAnsi="Times New Roman" w:cs="Times New Roman"/>
        </w:rPr>
        <w:t xml:space="preserve"> carbohydrates, protein, and </w:t>
      </w:r>
      <w:r w:rsidR="004E7E16">
        <w:rPr>
          <w:rFonts w:ascii="Times New Roman" w:hAnsi="Times New Roman" w:cs="Times New Roman"/>
        </w:rPr>
        <w:t>leghemoglobin</w:t>
      </w:r>
      <w:r w:rsidRPr="00C91607">
        <w:rPr>
          <w:rFonts w:ascii="Times New Roman" w:hAnsi="Times New Roman" w:cs="Times New Roman"/>
        </w:rPr>
        <w:t xml:space="preserve">. In MH-65 and MH-45, </w:t>
      </w:r>
      <w:r w:rsidR="001B35C1">
        <w:rPr>
          <w:rFonts w:ascii="Times New Roman" w:hAnsi="Times New Roman" w:cs="Times New Roman"/>
        </w:rPr>
        <w:t>it showed</w:t>
      </w:r>
      <w:r>
        <w:rPr>
          <w:rFonts w:ascii="Times New Roman" w:hAnsi="Times New Roman" w:cs="Times New Roman"/>
        </w:rPr>
        <w:t xml:space="preserve"> variation in the </w:t>
      </w:r>
      <w:r w:rsidRPr="00C91607">
        <w:rPr>
          <w:rFonts w:ascii="Times New Roman" w:hAnsi="Times New Roman" w:cs="Times New Roman"/>
        </w:rPr>
        <w:t xml:space="preserve">carbohydrate content </w:t>
      </w:r>
      <w:r>
        <w:rPr>
          <w:rFonts w:ascii="Times New Roman" w:hAnsi="Times New Roman" w:cs="Times New Roman"/>
        </w:rPr>
        <w:t>(</w:t>
      </w:r>
      <w:r w:rsidRPr="00C91607">
        <w:rPr>
          <w:rFonts w:ascii="Times New Roman" w:hAnsi="Times New Roman" w:cs="Times New Roman"/>
        </w:rPr>
        <w:t>73.20 and 69.80 mg g</w:t>
      </w:r>
      <w:r w:rsidRPr="00C91607">
        <w:rPr>
          <w:rFonts w:ascii="Times New Roman" w:hAnsi="Times New Roman" w:cs="Times New Roman"/>
          <w:vertAlign w:val="superscript"/>
        </w:rPr>
        <w:t>-1</w:t>
      </w:r>
      <w:r w:rsidRPr="00C91607">
        <w:rPr>
          <w:rFonts w:ascii="Times New Roman" w:hAnsi="Times New Roman" w:cs="Times New Roman"/>
        </w:rPr>
        <w:t xml:space="preserve"> FW</w:t>
      </w:r>
      <w:r>
        <w:rPr>
          <w:rFonts w:ascii="Times New Roman" w:hAnsi="Times New Roman" w:cs="Times New Roman"/>
        </w:rPr>
        <w:t>)</w:t>
      </w:r>
      <w:r w:rsidRPr="00C91607">
        <w:rPr>
          <w:rFonts w:ascii="Times New Roman" w:hAnsi="Times New Roman" w:cs="Times New Roman"/>
        </w:rPr>
        <w:t xml:space="preserve">, protein content </w:t>
      </w:r>
      <w:r>
        <w:rPr>
          <w:rFonts w:ascii="Times New Roman" w:hAnsi="Times New Roman" w:cs="Times New Roman"/>
        </w:rPr>
        <w:t>(</w:t>
      </w:r>
      <w:r w:rsidRPr="00C91607">
        <w:rPr>
          <w:rFonts w:ascii="Times New Roman" w:hAnsi="Times New Roman" w:cs="Times New Roman"/>
        </w:rPr>
        <w:t>29.80 and 26.90 mg g</w:t>
      </w:r>
      <w:r w:rsidRPr="00C91607">
        <w:rPr>
          <w:rFonts w:ascii="Times New Roman" w:hAnsi="Times New Roman" w:cs="Times New Roman"/>
          <w:vertAlign w:val="superscript"/>
        </w:rPr>
        <w:t>-1</w:t>
      </w:r>
      <w:r>
        <w:rPr>
          <w:rFonts w:ascii="Times New Roman" w:hAnsi="Times New Roman" w:cs="Times New Roman"/>
          <w:vertAlign w:val="superscript"/>
        </w:rPr>
        <w:t xml:space="preserve"> </w:t>
      </w:r>
      <w:r w:rsidRPr="00C91607">
        <w:rPr>
          <w:rFonts w:ascii="Times New Roman" w:hAnsi="Times New Roman" w:cs="Times New Roman"/>
        </w:rPr>
        <w:t>FW</w:t>
      </w:r>
      <w:r>
        <w:rPr>
          <w:rFonts w:ascii="Times New Roman" w:hAnsi="Times New Roman" w:cs="Times New Roman"/>
        </w:rPr>
        <w:t>)</w:t>
      </w:r>
      <w:r w:rsidRPr="00C91607">
        <w:rPr>
          <w:rFonts w:ascii="Times New Roman" w:hAnsi="Times New Roman" w:cs="Times New Roman"/>
        </w:rPr>
        <w:t xml:space="preserve">, and </w:t>
      </w:r>
      <w:r w:rsidR="00A25E9D" w:rsidRPr="00A25E9D">
        <w:rPr>
          <w:rFonts w:ascii="Times New Roman" w:hAnsi="Times New Roman" w:cs="Times New Roman"/>
        </w:rPr>
        <w:t>leghemoglobin</w:t>
      </w:r>
      <w:r w:rsidRPr="00C91607">
        <w:rPr>
          <w:rFonts w:ascii="Times New Roman" w:hAnsi="Times New Roman" w:cs="Times New Roman"/>
        </w:rPr>
        <w:t xml:space="preserve"> </w:t>
      </w:r>
      <w:r>
        <w:rPr>
          <w:rFonts w:ascii="Times New Roman" w:hAnsi="Times New Roman" w:cs="Times New Roman"/>
        </w:rPr>
        <w:t>(</w:t>
      </w:r>
      <w:r w:rsidRPr="00C91607">
        <w:rPr>
          <w:rFonts w:ascii="Times New Roman" w:hAnsi="Times New Roman" w:cs="Times New Roman"/>
        </w:rPr>
        <w:t>1.80 and 1.15 mg g</w:t>
      </w:r>
      <w:r w:rsidRPr="00C91607">
        <w:rPr>
          <w:rFonts w:ascii="Times New Roman" w:hAnsi="Times New Roman" w:cs="Times New Roman"/>
          <w:vertAlign w:val="superscript"/>
        </w:rPr>
        <w:t>-1</w:t>
      </w:r>
      <w:r>
        <w:rPr>
          <w:rFonts w:ascii="Times New Roman" w:hAnsi="Times New Roman" w:cs="Times New Roman"/>
        </w:rPr>
        <w:t>),</w:t>
      </w:r>
      <w:r w:rsidRPr="00C91607">
        <w:rPr>
          <w:rFonts w:ascii="Times New Roman" w:hAnsi="Times New Roman" w:cs="Times New Roman"/>
        </w:rPr>
        <w:t xml:space="preserve"> respectively. Herbicide application, particularly in </w:t>
      </w:r>
      <w:r w:rsidR="005F2A24">
        <w:rPr>
          <w:rFonts w:ascii="Times New Roman" w:hAnsi="Times New Roman" w:cs="Times New Roman"/>
        </w:rPr>
        <w:t>combination</w:t>
      </w:r>
      <w:r w:rsidRPr="00C91607">
        <w:rPr>
          <w:rFonts w:ascii="Times New Roman" w:hAnsi="Times New Roman" w:cs="Times New Roman"/>
        </w:rPr>
        <w:t xml:space="preserve">, resulted </w:t>
      </w:r>
      <w:r w:rsidR="005F2A24">
        <w:rPr>
          <w:rFonts w:ascii="Times New Roman" w:hAnsi="Times New Roman" w:cs="Times New Roman"/>
        </w:rPr>
        <w:t xml:space="preserve">remarkable </w:t>
      </w:r>
      <w:r w:rsidRPr="00C91607">
        <w:rPr>
          <w:rFonts w:ascii="Times New Roman" w:hAnsi="Times New Roman" w:cs="Times New Roman"/>
        </w:rPr>
        <w:t xml:space="preserve">reductions in </w:t>
      </w:r>
      <w:r w:rsidR="005F2A24">
        <w:rPr>
          <w:rFonts w:ascii="Times New Roman" w:hAnsi="Times New Roman" w:cs="Times New Roman"/>
        </w:rPr>
        <w:t>tested</w:t>
      </w:r>
      <w:r w:rsidRPr="00C91607">
        <w:rPr>
          <w:rFonts w:ascii="Times New Roman" w:hAnsi="Times New Roman" w:cs="Times New Roman"/>
        </w:rPr>
        <w:t xml:space="preserve"> parameters</w:t>
      </w:r>
      <w:r w:rsidR="001B35C1">
        <w:rPr>
          <w:rFonts w:ascii="Times New Roman" w:hAnsi="Times New Roman" w:cs="Times New Roman"/>
        </w:rPr>
        <w:t xml:space="preserve"> whereas</w:t>
      </w:r>
      <w:r w:rsidRPr="00C91607">
        <w:rPr>
          <w:rFonts w:ascii="Times New Roman" w:hAnsi="Times New Roman" w:cs="Times New Roman"/>
        </w:rPr>
        <w:t xml:space="preserve"> proline </w:t>
      </w:r>
      <w:r w:rsidR="001B35C1">
        <w:rPr>
          <w:rFonts w:ascii="Times New Roman" w:hAnsi="Times New Roman" w:cs="Times New Roman"/>
        </w:rPr>
        <w:t xml:space="preserve">showed </w:t>
      </w:r>
      <w:r w:rsidRPr="00C91607">
        <w:rPr>
          <w:rFonts w:ascii="Times New Roman" w:hAnsi="Times New Roman" w:cs="Times New Roman"/>
        </w:rPr>
        <w:t xml:space="preserve">accumulation and superoxide dismutase activity increased significantly under herbicide exposure, with maximum values of 5.35 </w:t>
      </w:r>
      <w:proofErr w:type="spellStart"/>
      <w:r w:rsidRPr="00C91607">
        <w:rPr>
          <w:rFonts w:ascii="Times New Roman" w:hAnsi="Times New Roman" w:cs="Times New Roman"/>
        </w:rPr>
        <w:t>μmol</w:t>
      </w:r>
      <w:proofErr w:type="spellEnd"/>
      <w:r w:rsidRPr="00C91607">
        <w:rPr>
          <w:rFonts w:ascii="Times New Roman" w:hAnsi="Times New Roman" w:cs="Times New Roman"/>
        </w:rPr>
        <w:t xml:space="preserve"> g⁻¹ FW for proline and 30.20 U mg⁻¹ protein for SOD. Overall, genotype MH-65 exhibited greater metabolic stability, whereas MH-45 showed stronger stress-responsive biochemical activation.</w:t>
      </w:r>
    </w:p>
    <w:p w14:paraId="292751AB" w14:textId="28733C81" w:rsidR="001B35C1" w:rsidRPr="0031415D" w:rsidRDefault="001B35C1" w:rsidP="00C91607">
      <w:pPr>
        <w:spacing w:after="0"/>
        <w:jc w:val="both"/>
        <w:rPr>
          <w:rFonts w:ascii="Times New Roman" w:hAnsi="Times New Roman" w:cs="Times New Roman"/>
          <w:b/>
          <w:bCs/>
        </w:rPr>
      </w:pPr>
      <w:proofErr w:type="gramStart"/>
      <w:r w:rsidRPr="0031415D">
        <w:rPr>
          <w:rFonts w:ascii="Times New Roman" w:hAnsi="Times New Roman" w:cs="Times New Roman"/>
          <w:b/>
          <w:bCs/>
          <w:i/>
          <w:iCs/>
        </w:rPr>
        <w:t>Keywords:-</w:t>
      </w:r>
      <w:proofErr w:type="gramEnd"/>
      <w:r w:rsidRPr="0031415D">
        <w:rPr>
          <w:rFonts w:ascii="Times New Roman" w:hAnsi="Times New Roman" w:cs="Times New Roman"/>
          <w:b/>
          <w:bCs/>
        </w:rPr>
        <w:t xml:space="preserve"> </w:t>
      </w:r>
      <w:r w:rsidRPr="0031415D">
        <w:rPr>
          <w:rFonts w:ascii="Times New Roman" w:hAnsi="Times New Roman" w:cs="Times New Roman"/>
          <w:b/>
          <w:bCs/>
          <w:i/>
          <w:iCs/>
        </w:rPr>
        <w:t xml:space="preserve">Vigna </w:t>
      </w:r>
      <w:proofErr w:type="spellStart"/>
      <w:r w:rsidRPr="0031415D">
        <w:rPr>
          <w:rFonts w:ascii="Times New Roman" w:hAnsi="Times New Roman" w:cs="Times New Roman"/>
          <w:b/>
          <w:bCs/>
          <w:i/>
          <w:iCs/>
        </w:rPr>
        <w:t>aconitifolia</w:t>
      </w:r>
      <w:proofErr w:type="spellEnd"/>
      <w:r w:rsidRPr="0031415D">
        <w:rPr>
          <w:rFonts w:ascii="Times New Roman" w:hAnsi="Times New Roman" w:cs="Times New Roman"/>
          <w:b/>
          <w:bCs/>
          <w:i/>
          <w:iCs/>
        </w:rPr>
        <w:t>, biochemical traits,</w:t>
      </w:r>
      <w:r w:rsidR="006566FF" w:rsidRPr="0031415D">
        <w:rPr>
          <w:rFonts w:ascii="Times New Roman" w:hAnsi="Times New Roman" w:cs="Times New Roman"/>
          <w:b/>
          <w:bCs/>
          <w:i/>
          <w:iCs/>
        </w:rPr>
        <w:t xml:space="preserve"> pre and post emergence herbicide</w:t>
      </w:r>
    </w:p>
    <w:p w14:paraId="440074ED" w14:textId="1292D7E0" w:rsidR="00266E33" w:rsidRPr="00F65238" w:rsidRDefault="000D218C" w:rsidP="00C91607">
      <w:pPr>
        <w:spacing w:after="0"/>
        <w:jc w:val="both"/>
        <w:rPr>
          <w:rFonts w:ascii="Times New Roman" w:hAnsi="Times New Roman" w:cs="Times New Roman"/>
          <w:b/>
          <w:bCs/>
        </w:rPr>
      </w:pPr>
      <w:r>
        <w:rPr>
          <w:rFonts w:ascii="Times New Roman" w:hAnsi="Times New Roman" w:cs="Times New Roman"/>
          <w:b/>
          <w:bCs/>
        </w:rPr>
        <w:br/>
        <w:t>INTRODUCTION</w:t>
      </w:r>
    </w:p>
    <w:p w14:paraId="66751086" w14:textId="201AEE0C" w:rsidR="00991B9A" w:rsidRPr="00AE5532" w:rsidRDefault="00991B9A" w:rsidP="00AE6CC7">
      <w:pPr>
        <w:spacing w:line="360" w:lineRule="auto"/>
        <w:jc w:val="both"/>
        <w:rPr>
          <w:rFonts w:ascii="Times New Roman" w:hAnsi="Times New Roman" w:cs="Times New Roman"/>
        </w:rPr>
      </w:pPr>
      <w:r w:rsidRPr="00AE5532">
        <w:rPr>
          <w:rFonts w:ascii="Times New Roman" w:hAnsi="Times New Roman" w:cs="Times New Roman"/>
        </w:rPr>
        <w:t>Weed infestation during the developmental phase are the serious constraints affecting the productivity of legumes crops. Weeds compete with crops generally for water, nutrients, light, and space and resulting reductions in yield and resource use efficiency</w:t>
      </w:r>
      <w:r w:rsidR="000D218C">
        <w:rPr>
          <w:rFonts w:ascii="Times New Roman" w:hAnsi="Times New Roman" w:cs="Times New Roman"/>
        </w:rPr>
        <w:t xml:space="preserve"> (</w:t>
      </w:r>
      <w:proofErr w:type="spellStart"/>
      <w:r w:rsidR="000D218C" w:rsidRPr="008C1674">
        <w:rPr>
          <w:rFonts w:ascii="Times New Roman" w:hAnsi="Times New Roman" w:cs="Times New Roman"/>
        </w:rPr>
        <w:t>Bagale</w:t>
      </w:r>
      <w:proofErr w:type="spellEnd"/>
      <w:r w:rsidR="000D218C">
        <w:rPr>
          <w:rFonts w:ascii="Times New Roman" w:hAnsi="Times New Roman" w:cs="Times New Roman"/>
        </w:rPr>
        <w:t>, 2022)</w:t>
      </w:r>
      <w:r w:rsidRPr="00AE5532">
        <w:rPr>
          <w:rFonts w:ascii="Times New Roman" w:hAnsi="Times New Roman" w:cs="Times New Roman"/>
        </w:rPr>
        <w:t>. Herbicides can control weed infestation but also affect biochemical metabolic activities</w:t>
      </w:r>
      <w:r w:rsidR="000D218C">
        <w:rPr>
          <w:rFonts w:ascii="Times New Roman" w:hAnsi="Times New Roman" w:cs="Times New Roman"/>
        </w:rPr>
        <w:t xml:space="preserve"> (Jat &amp; Singh, 2021)</w:t>
      </w:r>
      <w:r w:rsidRPr="00AE5532">
        <w:rPr>
          <w:rFonts w:ascii="Times New Roman" w:hAnsi="Times New Roman" w:cs="Times New Roman"/>
        </w:rPr>
        <w:t xml:space="preserve">. Pre-emergence herbicides are applied after sowing but before the emergence of crops and act primarily in the soil, inhibiting weed seed germination or early seedling development by </w:t>
      </w:r>
      <w:r w:rsidR="000D218C" w:rsidRPr="00AE5532">
        <w:rPr>
          <w:rFonts w:ascii="Times New Roman" w:hAnsi="Times New Roman" w:cs="Times New Roman"/>
        </w:rPr>
        <w:t>interfering with</w:t>
      </w:r>
      <w:r w:rsidRPr="00AE5532">
        <w:rPr>
          <w:rFonts w:ascii="Times New Roman" w:hAnsi="Times New Roman" w:cs="Times New Roman"/>
        </w:rPr>
        <w:t xml:space="preserve"> cell </w:t>
      </w:r>
      <w:r w:rsidRPr="000D218C">
        <w:rPr>
          <w:rFonts w:ascii="Times New Roman" w:hAnsi="Times New Roman" w:cs="Times New Roman"/>
        </w:rPr>
        <w:t>division, root elongation, and coleoptile membrane integrity</w:t>
      </w:r>
      <w:r w:rsidR="000D218C" w:rsidRPr="000D218C">
        <w:rPr>
          <w:rFonts w:ascii="Times New Roman" w:hAnsi="Times New Roman" w:cs="Times New Roman"/>
        </w:rPr>
        <w:t xml:space="preserve"> (Granero </w:t>
      </w:r>
      <w:r w:rsidR="00D23B31" w:rsidRPr="00D23B31">
        <w:rPr>
          <w:rFonts w:ascii="Times New Roman" w:hAnsi="Times New Roman" w:cs="Times New Roman"/>
          <w:i/>
          <w:iCs/>
        </w:rPr>
        <w:t>et al.,</w:t>
      </w:r>
      <w:r w:rsidR="000D218C" w:rsidRPr="000D218C">
        <w:rPr>
          <w:rFonts w:ascii="Times New Roman" w:hAnsi="Times New Roman" w:cs="Times New Roman"/>
        </w:rPr>
        <w:t xml:space="preserve"> 2025)</w:t>
      </w:r>
      <w:r w:rsidRPr="000D218C">
        <w:rPr>
          <w:rFonts w:ascii="Times New Roman" w:hAnsi="Times New Roman" w:cs="Times New Roman"/>
        </w:rPr>
        <w:t xml:space="preserve">. Whereas, post- emergence herbicides, are applied after crop and weed emergence and </w:t>
      </w:r>
      <w:r w:rsidRPr="00AE5532">
        <w:rPr>
          <w:rFonts w:ascii="Times New Roman" w:hAnsi="Times New Roman" w:cs="Times New Roman"/>
        </w:rPr>
        <w:t xml:space="preserve">target amino acid </w:t>
      </w:r>
      <w:r w:rsidRPr="00AE5532">
        <w:rPr>
          <w:rFonts w:ascii="Times New Roman" w:hAnsi="Times New Roman" w:cs="Times New Roman"/>
        </w:rPr>
        <w:lastRenderedPageBreak/>
        <w:t>biosynthesis, lipid metabolism, and photosynthetic processes but these act as selective weed control chemicals</w:t>
      </w:r>
      <w:r w:rsidR="000D218C">
        <w:rPr>
          <w:rFonts w:ascii="Times New Roman" w:hAnsi="Times New Roman" w:cs="Times New Roman"/>
        </w:rPr>
        <w:t xml:space="preserve"> (</w:t>
      </w:r>
      <w:proofErr w:type="spellStart"/>
      <w:r w:rsidR="000D218C" w:rsidRPr="008C1674">
        <w:rPr>
          <w:rFonts w:ascii="Times New Roman" w:hAnsi="Times New Roman" w:cs="Times New Roman"/>
        </w:rPr>
        <w:t>Krähmer</w:t>
      </w:r>
      <w:proofErr w:type="spellEnd"/>
      <w:r w:rsidR="000D218C">
        <w:rPr>
          <w:rFonts w:ascii="Times New Roman" w:hAnsi="Times New Roman" w:cs="Times New Roman"/>
        </w:rPr>
        <w:t xml:space="preserve"> </w:t>
      </w:r>
      <w:r w:rsidR="00D23B31" w:rsidRPr="00D23B31">
        <w:rPr>
          <w:rFonts w:ascii="Times New Roman" w:hAnsi="Times New Roman" w:cs="Times New Roman"/>
          <w:i/>
          <w:iCs/>
        </w:rPr>
        <w:t>et al.,</w:t>
      </w:r>
      <w:r w:rsidR="000D218C">
        <w:rPr>
          <w:rFonts w:ascii="Times New Roman" w:hAnsi="Times New Roman" w:cs="Times New Roman"/>
        </w:rPr>
        <w:t xml:space="preserve"> 2021; </w:t>
      </w:r>
      <w:r w:rsidR="000D218C" w:rsidRPr="008C1674">
        <w:rPr>
          <w:rFonts w:ascii="Times New Roman" w:hAnsi="Times New Roman" w:cs="Times New Roman"/>
        </w:rPr>
        <w:t>Naveed</w:t>
      </w:r>
      <w:r w:rsidR="000D218C">
        <w:rPr>
          <w:rFonts w:ascii="Times New Roman" w:hAnsi="Times New Roman" w:cs="Times New Roman"/>
        </w:rPr>
        <w:t xml:space="preserve"> </w:t>
      </w:r>
      <w:r w:rsidR="00D23B31" w:rsidRPr="00D23B31">
        <w:rPr>
          <w:rFonts w:ascii="Times New Roman" w:hAnsi="Times New Roman" w:cs="Times New Roman"/>
          <w:i/>
          <w:iCs/>
        </w:rPr>
        <w:t>et al.,</w:t>
      </w:r>
      <w:r w:rsidR="000D218C">
        <w:rPr>
          <w:rFonts w:ascii="Times New Roman" w:hAnsi="Times New Roman" w:cs="Times New Roman"/>
        </w:rPr>
        <w:t xml:space="preserve"> 2024)</w:t>
      </w:r>
      <w:r w:rsidRPr="00AE5532">
        <w:rPr>
          <w:rFonts w:ascii="Times New Roman" w:hAnsi="Times New Roman" w:cs="Times New Roman"/>
        </w:rPr>
        <w:t xml:space="preserve">. </w:t>
      </w:r>
    </w:p>
    <w:p w14:paraId="3407CA82" w14:textId="54F48848" w:rsidR="00991B9A" w:rsidRDefault="00991B9A" w:rsidP="00AE6CC7">
      <w:pPr>
        <w:spacing w:line="360" w:lineRule="auto"/>
        <w:jc w:val="both"/>
        <w:rPr>
          <w:rFonts w:ascii="Times New Roman" w:hAnsi="Times New Roman" w:cs="Times New Roman"/>
        </w:rPr>
      </w:pPr>
      <w:r w:rsidRPr="00AE5532">
        <w:rPr>
          <w:rFonts w:ascii="Times New Roman" w:hAnsi="Times New Roman" w:cs="Times New Roman"/>
        </w:rPr>
        <w:t>Moth bean (</w:t>
      </w:r>
      <w:r w:rsidRPr="00AE5532">
        <w:rPr>
          <w:rFonts w:ascii="Times New Roman" w:hAnsi="Times New Roman" w:cs="Times New Roman"/>
          <w:i/>
          <w:iCs/>
        </w:rPr>
        <w:t xml:space="preserve">Vigna </w:t>
      </w:r>
      <w:proofErr w:type="spellStart"/>
      <w:r w:rsidRPr="00AE5532">
        <w:rPr>
          <w:rFonts w:ascii="Times New Roman" w:hAnsi="Times New Roman" w:cs="Times New Roman"/>
          <w:i/>
          <w:iCs/>
        </w:rPr>
        <w:t>aconitifolia</w:t>
      </w:r>
      <w:proofErr w:type="spellEnd"/>
      <w:r w:rsidRPr="00AE5532">
        <w:rPr>
          <w:rFonts w:ascii="Times New Roman" w:hAnsi="Times New Roman" w:cs="Times New Roman"/>
        </w:rPr>
        <w:t xml:space="preserve"> L.) is cultivated in arid and semi-arid regions of India and contributes significantly to human nutrition due to its high protein content, essential amino acids, and dietary fiber</w:t>
      </w:r>
      <w:r w:rsidR="001377C6">
        <w:rPr>
          <w:rFonts w:ascii="Times New Roman" w:hAnsi="Times New Roman" w:cs="Times New Roman"/>
        </w:rPr>
        <w:t xml:space="preserve"> (</w:t>
      </w:r>
      <w:proofErr w:type="spellStart"/>
      <w:r w:rsidR="001377C6" w:rsidRPr="008C1674">
        <w:rPr>
          <w:rFonts w:ascii="Times New Roman" w:hAnsi="Times New Roman" w:cs="Times New Roman"/>
        </w:rPr>
        <w:t>Chandora</w:t>
      </w:r>
      <w:proofErr w:type="spellEnd"/>
      <w:r w:rsidR="001377C6">
        <w:rPr>
          <w:rFonts w:ascii="Times New Roman" w:hAnsi="Times New Roman" w:cs="Times New Roman"/>
        </w:rPr>
        <w:t xml:space="preserve"> &amp; Rana, 2023; </w:t>
      </w:r>
      <w:r w:rsidR="001377C6" w:rsidRPr="008C1674">
        <w:rPr>
          <w:rFonts w:ascii="Times New Roman" w:hAnsi="Times New Roman" w:cs="Times New Roman"/>
        </w:rPr>
        <w:t>Saxena</w:t>
      </w:r>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2023)</w:t>
      </w:r>
      <w:r w:rsidRPr="00AE5532">
        <w:rPr>
          <w:rFonts w:ascii="Times New Roman" w:hAnsi="Times New Roman" w:cs="Times New Roman"/>
        </w:rPr>
        <w:t>. In addition to its nutritional importance, moth beans improve soil health through biological nitrogen fixation, enhancing soil fertility and reducing dependence on synthetic nitrogen fertilizers</w:t>
      </w:r>
      <w:r w:rsidR="001377C6">
        <w:rPr>
          <w:rFonts w:ascii="Times New Roman" w:hAnsi="Times New Roman" w:cs="Times New Roman"/>
        </w:rPr>
        <w:t xml:space="preserve"> (</w:t>
      </w:r>
      <w:r w:rsidR="001377C6" w:rsidRPr="008C1674">
        <w:rPr>
          <w:rFonts w:ascii="Times New Roman" w:hAnsi="Times New Roman" w:cs="Times New Roman"/>
        </w:rPr>
        <w:t>Huang</w:t>
      </w:r>
      <w:r w:rsidR="001377C6">
        <w:rPr>
          <w:rFonts w:ascii="Times New Roman" w:hAnsi="Times New Roman" w:cs="Times New Roman"/>
        </w:rPr>
        <w:t>, 2023)</w:t>
      </w:r>
      <w:r w:rsidRPr="00AE5532">
        <w:rPr>
          <w:rFonts w:ascii="Times New Roman" w:hAnsi="Times New Roman" w:cs="Times New Roman"/>
        </w:rPr>
        <w:t xml:space="preserve">. The crop exhibits slow preliminary growth and narrow canopy coverage, which allows weeds to </w:t>
      </w:r>
      <w:r>
        <w:rPr>
          <w:rFonts w:ascii="Times New Roman" w:hAnsi="Times New Roman" w:cs="Times New Roman"/>
        </w:rPr>
        <w:t xml:space="preserve">grow </w:t>
      </w:r>
      <w:r w:rsidRPr="00AE5532">
        <w:rPr>
          <w:rFonts w:ascii="Times New Roman" w:hAnsi="Times New Roman" w:cs="Times New Roman"/>
        </w:rPr>
        <w:t xml:space="preserve">rapidly and dominate the </w:t>
      </w:r>
      <w:r>
        <w:rPr>
          <w:rFonts w:ascii="Times New Roman" w:hAnsi="Times New Roman" w:cs="Times New Roman"/>
        </w:rPr>
        <w:t xml:space="preserve">crop </w:t>
      </w:r>
      <w:proofErr w:type="spellStart"/>
      <w:r w:rsidRPr="00AE5532">
        <w:rPr>
          <w:rFonts w:ascii="Times New Roman" w:hAnsi="Times New Roman" w:cs="Times New Roman"/>
        </w:rPr>
        <w:t>agro</w:t>
      </w:r>
      <w:proofErr w:type="spellEnd"/>
      <w:r w:rsidRPr="00AE5532">
        <w:rPr>
          <w:rFonts w:ascii="Times New Roman" w:hAnsi="Times New Roman" w:cs="Times New Roman"/>
        </w:rPr>
        <w:t>-ecosystem</w:t>
      </w:r>
      <w:r w:rsidR="001377C6">
        <w:rPr>
          <w:rFonts w:ascii="Times New Roman" w:hAnsi="Times New Roman" w:cs="Times New Roman"/>
        </w:rPr>
        <w:t xml:space="preserve"> (</w:t>
      </w:r>
      <w:r w:rsidR="001377C6" w:rsidRPr="00A205B9">
        <w:rPr>
          <w:rFonts w:ascii="Times New Roman" w:hAnsi="Times New Roman" w:cs="Times New Roman"/>
        </w:rPr>
        <w:t>Lacroix</w:t>
      </w:r>
      <w:r w:rsidR="001377C6">
        <w:rPr>
          <w:rFonts w:ascii="Times New Roman" w:hAnsi="Times New Roman" w:cs="Times New Roman"/>
        </w:rPr>
        <w:t>, 2024)</w:t>
      </w:r>
      <w:r w:rsidRPr="00AE5532">
        <w:rPr>
          <w:rFonts w:ascii="Times New Roman" w:hAnsi="Times New Roman" w:cs="Times New Roman"/>
        </w:rPr>
        <w:t>. Traditional weed control practices, such as hand weeding and mechanical methods, are often labor-intensive, time</w:t>
      </w:r>
      <w:r>
        <w:rPr>
          <w:rFonts w:ascii="Times New Roman" w:hAnsi="Times New Roman" w:cs="Times New Roman"/>
        </w:rPr>
        <w:t xml:space="preserve"> </w:t>
      </w:r>
      <w:r w:rsidRPr="00AE5532">
        <w:rPr>
          <w:rFonts w:ascii="Times New Roman" w:hAnsi="Times New Roman" w:cs="Times New Roman"/>
        </w:rPr>
        <w:t xml:space="preserve">consuming, and </w:t>
      </w:r>
      <w:r w:rsidR="00121C26">
        <w:rPr>
          <w:rFonts w:ascii="Times New Roman" w:hAnsi="Times New Roman" w:cs="Times New Roman"/>
        </w:rPr>
        <w:t>un</w:t>
      </w:r>
      <w:r w:rsidRPr="00AE5532">
        <w:rPr>
          <w:rFonts w:ascii="Times New Roman" w:hAnsi="Times New Roman" w:cs="Times New Roman"/>
        </w:rPr>
        <w:t>economical</w:t>
      </w:r>
      <w:r w:rsidR="00121C26">
        <w:rPr>
          <w:rFonts w:ascii="Times New Roman" w:hAnsi="Times New Roman" w:cs="Times New Roman"/>
        </w:rPr>
        <w:t xml:space="preserve"> </w:t>
      </w:r>
      <w:r w:rsidRPr="00AE5532">
        <w:rPr>
          <w:rFonts w:ascii="Times New Roman" w:hAnsi="Times New Roman" w:cs="Times New Roman"/>
        </w:rPr>
        <w:t xml:space="preserve">under current agricultural </w:t>
      </w:r>
      <w:r>
        <w:rPr>
          <w:rFonts w:ascii="Times New Roman" w:hAnsi="Times New Roman" w:cs="Times New Roman"/>
        </w:rPr>
        <w:t>scenario</w:t>
      </w:r>
      <w:r w:rsidR="001377C6">
        <w:rPr>
          <w:rFonts w:ascii="Times New Roman" w:hAnsi="Times New Roman" w:cs="Times New Roman"/>
        </w:rPr>
        <w:t xml:space="preserve"> (</w:t>
      </w:r>
      <w:proofErr w:type="spellStart"/>
      <w:r w:rsidR="001377C6" w:rsidRPr="00A205B9">
        <w:rPr>
          <w:rFonts w:ascii="Times New Roman" w:hAnsi="Times New Roman" w:cs="Times New Roman"/>
        </w:rPr>
        <w:t>Gatkal</w:t>
      </w:r>
      <w:proofErr w:type="spellEnd"/>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Pr="00AE5532">
        <w:rPr>
          <w:rFonts w:ascii="Times New Roman" w:hAnsi="Times New Roman" w:cs="Times New Roman"/>
        </w:rPr>
        <w:t xml:space="preserve">. </w:t>
      </w:r>
      <w:r>
        <w:rPr>
          <w:rFonts w:ascii="Times New Roman" w:hAnsi="Times New Roman" w:cs="Times New Roman"/>
        </w:rPr>
        <w:t xml:space="preserve">So, </w:t>
      </w:r>
      <w:r w:rsidRPr="00AE5532">
        <w:rPr>
          <w:rFonts w:ascii="Times New Roman" w:hAnsi="Times New Roman" w:cs="Times New Roman"/>
        </w:rPr>
        <w:t>the use of pre-and post</w:t>
      </w:r>
      <w:r>
        <w:rPr>
          <w:rFonts w:ascii="Times New Roman" w:hAnsi="Times New Roman" w:cs="Times New Roman"/>
        </w:rPr>
        <w:t>-</w:t>
      </w:r>
      <w:r w:rsidRPr="00AE5532">
        <w:rPr>
          <w:rFonts w:ascii="Times New Roman" w:hAnsi="Times New Roman" w:cs="Times New Roman"/>
        </w:rPr>
        <w:t xml:space="preserve">emergence herbicides has become an integral component of weed management in </w:t>
      </w:r>
      <w:r>
        <w:rPr>
          <w:rFonts w:ascii="Times New Roman" w:hAnsi="Times New Roman" w:cs="Times New Roman"/>
        </w:rPr>
        <w:t>pluses</w:t>
      </w:r>
      <w:r w:rsidRPr="00AE5532">
        <w:rPr>
          <w:rFonts w:ascii="Times New Roman" w:hAnsi="Times New Roman" w:cs="Times New Roman"/>
        </w:rPr>
        <w:t xml:space="preserve"> cultivation</w:t>
      </w:r>
      <w:r w:rsidR="001377C6">
        <w:rPr>
          <w:rFonts w:ascii="Times New Roman" w:hAnsi="Times New Roman" w:cs="Times New Roman"/>
        </w:rPr>
        <w:t xml:space="preserve"> (</w:t>
      </w:r>
      <w:r w:rsidR="001377C6" w:rsidRPr="00A205B9">
        <w:rPr>
          <w:rFonts w:ascii="Times New Roman" w:hAnsi="Times New Roman" w:cs="Times New Roman"/>
        </w:rPr>
        <w:t>Kumar</w:t>
      </w:r>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007348C7">
        <w:rPr>
          <w:rFonts w:ascii="Times New Roman" w:hAnsi="Times New Roman" w:cs="Times New Roman"/>
        </w:rPr>
        <w:t xml:space="preserve">; </w:t>
      </w:r>
      <w:r w:rsidR="007348C7" w:rsidRPr="007348C7">
        <w:rPr>
          <w:rFonts w:ascii="Times New Roman" w:hAnsi="Times New Roman" w:cs="Times New Roman"/>
        </w:rPr>
        <w:t>Khare</w:t>
      </w:r>
      <w:r w:rsidR="007348C7">
        <w:rPr>
          <w:rFonts w:ascii="Times New Roman" w:hAnsi="Times New Roman" w:cs="Times New Roman"/>
        </w:rPr>
        <w:t xml:space="preserve"> et al., 2024</w:t>
      </w:r>
      <w:r w:rsidR="001377C6">
        <w:rPr>
          <w:rFonts w:ascii="Times New Roman" w:hAnsi="Times New Roman" w:cs="Times New Roman"/>
        </w:rPr>
        <w:t>)</w:t>
      </w:r>
      <w:r w:rsidRPr="00AE5532">
        <w:rPr>
          <w:rFonts w:ascii="Times New Roman" w:hAnsi="Times New Roman" w:cs="Times New Roman"/>
        </w:rPr>
        <w:t xml:space="preserve">. </w:t>
      </w:r>
    </w:p>
    <w:p w14:paraId="79AD91ED" w14:textId="3AFCC3F3" w:rsidR="004A0483" w:rsidRDefault="00991B9A" w:rsidP="00AF6381">
      <w:pPr>
        <w:spacing w:line="360" w:lineRule="auto"/>
        <w:jc w:val="both"/>
        <w:rPr>
          <w:rFonts w:ascii="Times New Roman" w:hAnsi="Times New Roman" w:cs="Times New Roman"/>
        </w:rPr>
      </w:pPr>
      <w:r w:rsidRPr="00AE5532">
        <w:rPr>
          <w:rFonts w:ascii="Times New Roman" w:hAnsi="Times New Roman" w:cs="Times New Roman"/>
        </w:rPr>
        <w:t xml:space="preserve">Herbicides, </w:t>
      </w:r>
      <w:r>
        <w:rPr>
          <w:rFonts w:ascii="Times New Roman" w:hAnsi="Times New Roman" w:cs="Times New Roman"/>
        </w:rPr>
        <w:t xml:space="preserve">generally </w:t>
      </w:r>
      <w:r w:rsidRPr="00AE5532">
        <w:rPr>
          <w:rFonts w:ascii="Times New Roman" w:hAnsi="Times New Roman" w:cs="Times New Roman"/>
        </w:rPr>
        <w:t>fabricated to target weed</w:t>
      </w:r>
      <w:r>
        <w:rPr>
          <w:rFonts w:ascii="Times New Roman" w:hAnsi="Times New Roman" w:cs="Times New Roman"/>
        </w:rPr>
        <w:t xml:space="preserve"> species but also </w:t>
      </w:r>
      <w:r w:rsidRPr="00AE5532">
        <w:rPr>
          <w:rFonts w:ascii="Times New Roman" w:hAnsi="Times New Roman" w:cs="Times New Roman"/>
        </w:rPr>
        <w:t>influence crop metabolism either directly or indirectly</w:t>
      </w:r>
      <w:r w:rsidR="001377C6">
        <w:rPr>
          <w:rFonts w:ascii="Times New Roman" w:hAnsi="Times New Roman" w:cs="Times New Roman"/>
        </w:rPr>
        <w:t xml:space="preserve"> (</w:t>
      </w:r>
      <w:proofErr w:type="spellStart"/>
      <w:r w:rsidR="001377C6" w:rsidRPr="00A205B9">
        <w:rPr>
          <w:rFonts w:ascii="Times New Roman" w:hAnsi="Times New Roman" w:cs="Times New Roman"/>
        </w:rPr>
        <w:t>Tandathu</w:t>
      </w:r>
      <w:proofErr w:type="spellEnd"/>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Pr="00AE5532">
        <w:rPr>
          <w:rFonts w:ascii="Times New Roman" w:hAnsi="Times New Roman" w:cs="Times New Roman"/>
        </w:rPr>
        <w:t>. Exposure to herbicides may disrupt normal metabolic pathways, leading to alterations in photosynthesis, respiration, nitrogen metabolism, and antioxidant defense systems</w:t>
      </w:r>
      <w:r>
        <w:rPr>
          <w:rFonts w:ascii="Times New Roman" w:hAnsi="Times New Roman" w:cs="Times New Roman"/>
        </w:rPr>
        <w:t xml:space="preserve"> by altering the </w:t>
      </w:r>
      <w:r w:rsidRPr="00AE5532">
        <w:rPr>
          <w:rFonts w:ascii="Times New Roman" w:hAnsi="Times New Roman" w:cs="Times New Roman"/>
        </w:rPr>
        <w:t>enzym</w:t>
      </w:r>
      <w:r>
        <w:rPr>
          <w:rFonts w:ascii="Times New Roman" w:hAnsi="Times New Roman" w:cs="Times New Roman"/>
        </w:rPr>
        <w:t>atic pathway</w:t>
      </w:r>
      <w:r w:rsidRPr="00AE5532">
        <w:rPr>
          <w:rFonts w:ascii="Times New Roman" w:hAnsi="Times New Roman" w:cs="Times New Roman"/>
        </w:rPr>
        <w:t xml:space="preserve">, membrane </w:t>
      </w:r>
      <w:r>
        <w:rPr>
          <w:rFonts w:ascii="Times New Roman" w:hAnsi="Times New Roman" w:cs="Times New Roman"/>
        </w:rPr>
        <w:t>integrity</w:t>
      </w:r>
      <w:r w:rsidRPr="00AE5532">
        <w:rPr>
          <w:rFonts w:ascii="Times New Roman" w:hAnsi="Times New Roman" w:cs="Times New Roman"/>
        </w:rPr>
        <w:t>, cellular redox balance</w:t>
      </w:r>
      <w:r>
        <w:rPr>
          <w:rFonts w:ascii="Times New Roman" w:hAnsi="Times New Roman" w:cs="Times New Roman"/>
        </w:rPr>
        <w:t xml:space="preserve"> </w:t>
      </w:r>
      <w:r w:rsidRPr="00AE5532">
        <w:rPr>
          <w:rFonts w:ascii="Times New Roman" w:hAnsi="Times New Roman" w:cs="Times New Roman"/>
        </w:rPr>
        <w:t xml:space="preserve">and </w:t>
      </w:r>
      <w:r>
        <w:rPr>
          <w:rFonts w:ascii="Times New Roman" w:hAnsi="Times New Roman" w:cs="Times New Roman"/>
        </w:rPr>
        <w:t xml:space="preserve">ultimately </w:t>
      </w:r>
      <w:r w:rsidRPr="00AE5532">
        <w:rPr>
          <w:rFonts w:ascii="Times New Roman" w:hAnsi="Times New Roman" w:cs="Times New Roman"/>
        </w:rPr>
        <w:t>degradation of key biomolecules</w:t>
      </w:r>
      <w:r w:rsidR="006A7C3F">
        <w:rPr>
          <w:rFonts w:ascii="Times New Roman" w:hAnsi="Times New Roman" w:cs="Times New Roman"/>
        </w:rPr>
        <w:t xml:space="preserve"> (</w:t>
      </w:r>
      <w:proofErr w:type="spellStart"/>
      <w:r w:rsidR="00DD52DB" w:rsidRPr="00F00B72">
        <w:rPr>
          <w:rFonts w:ascii="Times New Roman" w:hAnsi="Times New Roman" w:cs="Times New Roman"/>
        </w:rPr>
        <w:t>Huchzermeyer</w:t>
      </w:r>
      <w:proofErr w:type="spellEnd"/>
      <w:r w:rsidR="00DD52DB" w:rsidRPr="00A205B9">
        <w:rPr>
          <w:rFonts w:ascii="Times New Roman" w:hAnsi="Times New Roman" w:cs="Times New Roman"/>
        </w:rPr>
        <w:t xml:space="preserve"> </w:t>
      </w:r>
      <w:r w:rsidR="00D23B31" w:rsidRPr="00D23B31">
        <w:rPr>
          <w:rFonts w:ascii="Times New Roman" w:hAnsi="Times New Roman" w:cs="Times New Roman"/>
          <w:i/>
          <w:iCs/>
        </w:rPr>
        <w:t>et al.,</w:t>
      </w:r>
      <w:r w:rsidR="006A7C3F">
        <w:rPr>
          <w:rFonts w:ascii="Times New Roman" w:hAnsi="Times New Roman" w:cs="Times New Roman"/>
        </w:rPr>
        <w:t xml:space="preserve"> 2022; </w:t>
      </w:r>
      <w:r w:rsidR="006A7C3F" w:rsidRPr="00A205B9">
        <w:rPr>
          <w:rFonts w:ascii="Times New Roman" w:hAnsi="Times New Roman" w:cs="Times New Roman"/>
        </w:rPr>
        <w:t>Fathy</w:t>
      </w:r>
      <w:r w:rsidR="006A7C3F">
        <w:rPr>
          <w:rFonts w:ascii="Times New Roman" w:hAnsi="Times New Roman" w:cs="Times New Roman"/>
        </w:rPr>
        <w:t xml:space="preserve"> </w:t>
      </w:r>
      <w:r w:rsidR="00D23B31" w:rsidRPr="00D23B31">
        <w:rPr>
          <w:rFonts w:ascii="Times New Roman" w:hAnsi="Times New Roman" w:cs="Times New Roman"/>
          <w:i/>
          <w:iCs/>
        </w:rPr>
        <w:t>et al.,</w:t>
      </w:r>
      <w:r w:rsidR="006A7C3F">
        <w:rPr>
          <w:rFonts w:ascii="Times New Roman" w:hAnsi="Times New Roman" w:cs="Times New Roman"/>
        </w:rPr>
        <w:t xml:space="preserve"> 2025)</w:t>
      </w:r>
      <w:r w:rsidRPr="00AE5532">
        <w:rPr>
          <w:rFonts w:ascii="Times New Roman" w:hAnsi="Times New Roman" w:cs="Times New Roman"/>
        </w:rPr>
        <w:t xml:space="preserve">. </w:t>
      </w:r>
      <w:r w:rsidR="001377C6" w:rsidRPr="00AE5532">
        <w:rPr>
          <w:rFonts w:ascii="Times New Roman" w:hAnsi="Times New Roman" w:cs="Times New Roman"/>
        </w:rPr>
        <w:t>This biochemical disruption</w:t>
      </w:r>
      <w:r w:rsidRPr="00F86FC5">
        <w:rPr>
          <w:rFonts w:ascii="Times New Roman" w:hAnsi="Times New Roman" w:cs="Times New Roman"/>
        </w:rPr>
        <w:t xml:space="preserve"> </w:t>
      </w:r>
      <w:r w:rsidRPr="00AE5532">
        <w:rPr>
          <w:rFonts w:ascii="Times New Roman" w:hAnsi="Times New Roman" w:cs="Times New Roman"/>
        </w:rPr>
        <w:t>result</w:t>
      </w:r>
      <w:r>
        <w:rPr>
          <w:rFonts w:ascii="Times New Roman" w:hAnsi="Times New Roman" w:cs="Times New Roman"/>
        </w:rPr>
        <w:t xml:space="preserve">ed </w:t>
      </w:r>
      <w:r w:rsidRPr="00AE5532">
        <w:rPr>
          <w:rFonts w:ascii="Times New Roman" w:hAnsi="Times New Roman" w:cs="Times New Roman"/>
        </w:rPr>
        <w:t>in oxidative stress due to the overproduction of reactive oxygen species (ROS), which can damage proteins, lipids, and nucleic acids if not adequately detoxified</w:t>
      </w:r>
      <w:r w:rsidR="00DD52DB">
        <w:rPr>
          <w:rFonts w:ascii="Times New Roman" w:hAnsi="Times New Roman" w:cs="Times New Roman"/>
        </w:rPr>
        <w:t xml:space="preserve"> (</w:t>
      </w:r>
      <w:r w:rsidR="00DD52DB" w:rsidRPr="00F00B72">
        <w:rPr>
          <w:rFonts w:ascii="Times New Roman" w:hAnsi="Times New Roman" w:cs="Times New Roman"/>
        </w:rPr>
        <w:t>Zandi</w:t>
      </w:r>
      <w:r w:rsidR="00DD52DB">
        <w:rPr>
          <w:rFonts w:ascii="Times New Roman" w:hAnsi="Times New Roman" w:cs="Times New Roman"/>
        </w:rPr>
        <w:t xml:space="preserve"> </w:t>
      </w:r>
      <w:r w:rsidR="00DD52DB" w:rsidRPr="00F00B72">
        <w:rPr>
          <w:rFonts w:ascii="Times New Roman" w:hAnsi="Times New Roman" w:cs="Times New Roman"/>
        </w:rPr>
        <w:t>&amp; Schnug</w:t>
      </w:r>
      <w:r w:rsidR="00DD52DB">
        <w:rPr>
          <w:rFonts w:ascii="Times New Roman" w:hAnsi="Times New Roman" w:cs="Times New Roman"/>
        </w:rPr>
        <w:t>, 2022)</w:t>
      </w:r>
      <w:r w:rsidRPr="00AE5532">
        <w:rPr>
          <w:rFonts w:ascii="Times New Roman" w:hAnsi="Times New Roman" w:cs="Times New Roman"/>
        </w:rPr>
        <w:t>.</w:t>
      </w:r>
      <w:r>
        <w:rPr>
          <w:rFonts w:ascii="Times New Roman" w:hAnsi="Times New Roman" w:cs="Times New Roman"/>
        </w:rPr>
        <w:t xml:space="preserve"> </w:t>
      </w:r>
      <w:r w:rsidR="00AE6CC7">
        <w:rPr>
          <w:rFonts w:ascii="Times New Roman" w:hAnsi="Times New Roman" w:cs="Times New Roman"/>
        </w:rPr>
        <w:t xml:space="preserve"> </w:t>
      </w:r>
      <w:r w:rsidRPr="00AE5532">
        <w:rPr>
          <w:rFonts w:ascii="Times New Roman" w:hAnsi="Times New Roman" w:cs="Times New Roman"/>
        </w:rPr>
        <w:t>Herbicide applications can influence carbohydrate accumulation by affecting photosynthetic efficiency and carbon partitioning. Changes in water-soluble carbohydrate content in moth bean may indicate alterations in energy balance and osmotic adjustment under herbicide stress</w:t>
      </w:r>
      <w:r w:rsidR="00DD52DB">
        <w:rPr>
          <w:rFonts w:ascii="Times New Roman" w:hAnsi="Times New Roman" w:cs="Times New Roman"/>
        </w:rPr>
        <w:t xml:space="preserve"> (</w:t>
      </w:r>
      <w:r w:rsidR="00DD52DB" w:rsidRPr="00F00B72">
        <w:rPr>
          <w:rFonts w:ascii="Times New Roman" w:hAnsi="Times New Roman" w:cs="Times New Roman"/>
        </w:rPr>
        <w:t>Meena</w:t>
      </w:r>
      <w:r w:rsidR="00DD52DB">
        <w:rPr>
          <w:rFonts w:ascii="Times New Roman" w:hAnsi="Times New Roman" w:cs="Times New Roman"/>
        </w:rPr>
        <w:t xml:space="preserve"> </w:t>
      </w:r>
      <w:r w:rsidR="00D23B31" w:rsidRPr="00D23B31">
        <w:rPr>
          <w:rFonts w:ascii="Times New Roman" w:hAnsi="Times New Roman" w:cs="Times New Roman"/>
          <w:i/>
          <w:iCs/>
        </w:rPr>
        <w:t>et al.,</w:t>
      </w:r>
      <w:r w:rsidR="00DD52DB">
        <w:rPr>
          <w:rFonts w:ascii="Times New Roman" w:hAnsi="Times New Roman" w:cs="Times New Roman"/>
        </w:rPr>
        <w:t xml:space="preserve"> 2023)</w:t>
      </w:r>
      <w:r w:rsidRPr="00AE5532">
        <w:rPr>
          <w:rFonts w:ascii="Times New Roman" w:hAnsi="Times New Roman" w:cs="Times New Roman"/>
        </w:rPr>
        <w:t>.</w:t>
      </w:r>
      <w:r>
        <w:rPr>
          <w:rFonts w:ascii="Times New Roman" w:hAnsi="Times New Roman" w:cs="Times New Roman"/>
        </w:rPr>
        <w:t xml:space="preserve"> L</w:t>
      </w:r>
      <w:r w:rsidRPr="00AE5532">
        <w:rPr>
          <w:rFonts w:ascii="Times New Roman" w:hAnsi="Times New Roman" w:cs="Times New Roman"/>
        </w:rPr>
        <w:t>egumes, protein synthesis is closely linked to symbiotic nitrogen fixation and enzymatic functioning</w:t>
      </w:r>
      <w:r w:rsidR="00595A6E">
        <w:rPr>
          <w:rFonts w:ascii="Times New Roman" w:hAnsi="Times New Roman" w:cs="Times New Roman"/>
        </w:rPr>
        <w:t xml:space="preserve"> (</w:t>
      </w:r>
      <w:r w:rsidR="00595A6E" w:rsidRPr="00A207CA">
        <w:rPr>
          <w:rFonts w:ascii="Times New Roman" w:hAnsi="Times New Roman" w:cs="Times New Roman"/>
        </w:rPr>
        <w:t>Goyal</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2021)</w:t>
      </w:r>
      <w:r w:rsidRPr="00AE5532">
        <w:rPr>
          <w:rFonts w:ascii="Times New Roman" w:hAnsi="Times New Roman" w:cs="Times New Roman"/>
        </w:rPr>
        <w:t xml:space="preserve">. </w:t>
      </w:r>
      <w:r w:rsidR="00903BFF" w:rsidRPr="00AE5532">
        <w:rPr>
          <w:rFonts w:ascii="Times New Roman" w:hAnsi="Times New Roman" w:cs="Times New Roman"/>
        </w:rPr>
        <w:t>Leghemoglobin</w:t>
      </w:r>
      <w:r w:rsidRPr="00AE5532">
        <w:rPr>
          <w:rFonts w:ascii="Times New Roman" w:hAnsi="Times New Roman" w:cs="Times New Roman"/>
        </w:rPr>
        <w:t>, a key oxygen-binding protein in legume root nodules, plays a crucial role in regulating oxygen availability for nitrogen-fixing bacteria</w:t>
      </w:r>
      <w:r w:rsidR="00595A6E">
        <w:rPr>
          <w:rFonts w:ascii="Times New Roman" w:hAnsi="Times New Roman" w:cs="Times New Roman"/>
        </w:rPr>
        <w:t xml:space="preserve"> (</w:t>
      </w:r>
      <w:r w:rsidR="00595A6E" w:rsidRPr="00A207CA">
        <w:rPr>
          <w:rFonts w:ascii="Times New Roman" w:hAnsi="Times New Roman" w:cs="Times New Roman"/>
        </w:rPr>
        <w:t>Yang</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2025)</w:t>
      </w:r>
      <w:r w:rsidRPr="00AE5532">
        <w:rPr>
          <w:rFonts w:ascii="Times New Roman" w:hAnsi="Times New Roman" w:cs="Times New Roman"/>
        </w:rPr>
        <w:t xml:space="preserve">. </w:t>
      </w:r>
      <w:r>
        <w:rPr>
          <w:rFonts w:ascii="Times New Roman" w:hAnsi="Times New Roman" w:cs="Times New Roman"/>
        </w:rPr>
        <w:t>R</w:t>
      </w:r>
      <w:r w:rsidRPr="00AE5532">
        <w:rPr>
          <w:rFonts w:ascii="Times New Roman" w:hAnsi="Times New Roman" w:cs="Times New Roman"/>
        </w:rPr>
        <w:t xml:space="preserve">eduction in </w:t>
      </w:r>
      <w:r w:rsidR="00903BFF" w:rsidRPr="00AE5532">
        <w:rPr>
          <w:rFonts w:ascii="Times New Roman" w:hAnsi="Times New Roman" w:cs="Times New Roman"/>
        </w:rPr>
        <w:t>leghemoglobin</w:t>
      </w:r>
      <w:r w:rsidRPr="00AE5532">
        <w:rPr>
          <w:rFonts w:ascii="Times New Roman" w:hAnsi="Times New Roman" w:cs="Times New Roman"/>
        </w:rPr>
        <w:t xml:space="preserve"> content due to herbicide application can impair nodule function and nitrogen fixation efficiency, ultimately affecting plant growth and yield</w:t>
      </w:r>
      <w:r w:rsidR="00595A6E">
        <w:rPr>
          <w:rFonts w:ascii="Times New Roman" w:hAnsi="Times New Roman" w:cs="Times New Roman"/>
        </w:rPr>
        <w:t xml:space="preserve"> (</w:t>
      </w:r>
      <w:r w:rsidR="00595A6E" w:rsidRPr="00A207CA">
        <w:rPr>
          <w:rFonts w:ascii="Times New Roman" w:hAnsi="Times New Roman" w:cs="Times New Roman"/>
        </w:rPr>
        <w:t>Burul</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2022)</w:t>
      </w:r>
      <w:r w:rsidRPr="00AE5532">
        <w:rPr>
          <w:rFonts w:ascii="Times New Roman" w:hAnsi="Times New Roman" w:cs="Times New Roman"/>
        </w:rPr>
        <w:t>.</w:t>
      </w:r>
      <w:r w:rsidR="00595A6E">
        <w:rPr>
          <w:rFonts w:ascii="Times New Roman" w:hAnsi="Times New Roman" w:cs="Times New Roman"/>
        </w:rPr>
        <w:t xml:space="preserve"> </w:t>
      </w:r>
      <w:r w:rsidRPr="00AE5532">
        <w:rPr>
          <w:rFonts w:ascii="Times New Roman" w:hAnsi="Times New Roman" w:cs="Times New Roman"/>
        </w:rPr>
        <w:t xml:space="preserve">Increased proline content in moth bean plants under herbicide treatment may therefore serve as an indicator </w:t>
      </w:r>
      <w:r w:rsidRPr="00AE5532">
        <w:rPr>
          <w:rFonts w:ascii="Times New Roman" w:hAnsi="Times New Roman" w:cs="Times New Roman"/>
        </w:rPr>
        <w:lastRenderedPageBreak/>
        <w:t>of stress perception and adaptive response</w:t>
      </w:r>
      <w:r w:rsidR="00595A6E">
        <w:rPr>
          <w:rFonts w:ascii="Times New Roman" w:hAnsi="Times New Roman" w:cs="Times New Roman"/>
        </w:rPr>
        <w:t xml:space="preserve"> (</w:t>
      </w:r>
      <w:r w:rsidR="00AF6381" w:rsidRPr="00AF6381">
        <w:rPr>
          <w:rFonts w:ascii="Times New Roman" w:hAnsi="Times New Roman" w:cs="Times New Roman"/>
        </w:rPr>
        <w:t>Gaur</w:t>
      </w:r>
      <w:r w:rsidR="00AF6381">
        <w:rPr>
          <w:rFonts w:ascii="Times New Roman" w:hAnsi="Times New Roman" w:cs="Times New Roman"/>
        </w:rPr>
        <w:t xml:space="preserve"> &amp; </w:t>
      </w:r>
      <w:r w:rsidR="00AF6381" w:rsidRPr="00AF6381">
        <w:rPr>
          <w:rFonts w:ascii="Times New Roman" w:hAnsi="Times New Roman" w:cs="Times New Roman"/>
        </w:rPr>
        <w:t>Kamakshi</w:t>
      </w:r>
      <w:r w:rsidR="00AF6381">
        <w:rPr>
          <w:rFonts w:ascii="Times New Roman" w:hAnsi="Times New Roman" w:cs="Times New Roman"/>
        </w:rPr>
        <w:t xml:space="preserve">, </w:t>
      </w:r>
      <w:r w:rsidR="00595A6E">
        <w:rPr>
          <w:rFonts w:ascii="Times New Roman" w:hAnsi="Times New Roman" w:cs="Times New Roman"/>
        </w:rPr>
        <w:t>202</w:t>
      </w:r>
      <w:r w:rsidR="00AF6381">
        <w:rPr>
          <w:rFonts w:ascii="Times New Roman" w:hAnsi="Times New Roman" w:cs="Times New Roman"/>
        </w:rPr>
        <w:t>5</w:t>
      </w:r>
      <w:r w:rsidR="00595A6E">
        <w:rPr>
          <w:rFonts w:ascii="Times New Roman" w:hAnsi="Times New Roman" w:cs="Times New Roman"/>
        </w:rPr>
        <w:t>)</w:t>
      </w:r>
      <w:r w:rsidRPr="00AE5532">
        <w:rPr>
          <w:rFonts w:ascii="Times New Roman" w:hAnsi="Times New Roman" w:cs="Times New Roman"/>
        </w:rPr>
        <w:t>. Enhanced SOD activity under herbicide application reflects the activation of antioxidant defense mechanisms aimed at mitigating oxidative stress</w:t>
      </w:r>
      <w:r w:rsidR="00BB0415">
        <w:rPr>
          <w:rFonts w:ascii="Times New Roman" w:hAnsi="Times New Roman" w:cs="Times New Roman"/>
        </w:rPr>
        <w:t xml:space="preserve"> (</w:t>
      </w:r>
      <w:proofErr w:type="spellStart"/>
      <w:r w:rsidR="00BB0415" w:rsidRPr="00BB0415">
        <w:rPr>
          <w:rFonts w:ascii="Times New Roman" w:hAnsi="Times New Roman" w:cs="Times New Roman"/>
        </w:rPr>
        <w:t>Caverzan</w:t>
      </w:r>
      <w:proofErr w:type="spellEnd"/>
      <w:r w:rsidR="00BB0415">
        <w:rPr>
          <w:rFonts w:ascii="Times New Roman" w:hAnsi="Times New Roman" w:cs="Times New Roman"/>
        </w:rPr>
        <w:t xml:space="preserve"> </w:t>
      </w:r>
      <w:r w:rsidR="00D23B31" w:rsidRPr="00D23B31">
        <w:rPr>
          <w:rFonts w:ascii="Times New Roman" w:hAnsi="Times New Roman" w:cs="Times New Roman"/>
          <w:i/>
          <w:iCs/>
        </w:rPr>
        <w:t>et al.,</w:t>
      </w:r>
      <w:r w:rsidR="00BB0415">
        <w:rPr>
          <w:rFonts w:ascii="Times New Roman" w:hAnsi="Times New Roman" w:cs="Times New Roman"/>
        </w:rPr>
        <w:t xml:space="preserve"> 2019)</w:t>
      </w:r>
      <w:r w:rsidRPr="00AE5532">
        <w:rPr>
          <w:rFonts w:ascii="Times New Roman" w:hAnsi="Times New Roman" w:cs="Times New Roman"/>
        </w:rPr>
        <w:t>.</w:t>
      </w:r>
      <w:r w:rsidR="007B14F1">
        <w:rPr>
          <w:rFonts w:ascii="Times New Roman" w:hAnsi="Times New Roman" w:cs="Times New Roman"/>
        </w:rPr>
        <w:t xml:space="preserve"> </w:t>
      </w:r>
      <w:r w:rsidR="007B14F1" w:rsidRPr="007B14F1">
        <w:rPr>
          <w:rFonts w:ascii="Times New Roman" w:hAnsi="Times New Roman" w:cs="Times New Roman"/>
        </w:rPr>
        <w:t xml:space="preserve">Keeping the above-cited literature in </w:t>
      </w:r>
      <w:r w:rsidR="007B14F1">
        <w:rPr>
          <w:rFonts w:ascii="Times New Roman" w:hAnsi="Times New Roman" w:cs="Times New Roman"/>
        </w:rPr>
        <w:t>mind</w:t>
      </w:r>
      <w:r w:rsidR="007B14F1" w:rsidRPr="007B14F1">
        <w:rPr>
          <w:rFonts w:ascii="Times New Roman" w:hAnsi="Times New Roman" w:cs="Times New Roman"/>
        </w:rPr>
        <w:t xml:space="preserve">, the present investigation was undertaken to assess </w:t>
      </w:r>
      <w:r w:rsidR="007B14F1">
        <w:rPr>
          <w:rFonts w:ascii="Times New Roman" w:hAnsi="Times New Roman" w:cs="Times New Roman"/>
        </w:rPr>
        <w:t xml:space="preserve">the </w:t>
      </w:r>
      <w:r w:rsidR="007B14F1" w:rsidRPr="007B14F1">
        <w:rPr>
          <w:rFonts w:ascii="Times New Roman" w:hAnsi="Times New Roman" w:cs="Times New Roman"/>
        </w:rPr>
        <w:t>changes in biochemical traits of moth bean (</w:t>
      </w:r>
      <w:r w:rsidR="007B14F1" w:rsidRPr="007B14F1">
        <w:rPr>
          <w:rFonts w:ascii="Times New Roman" w:hAnsi="Times New Roman" w:cs="Times New Roman"/>
          <w:i/>
          <w:iCs/>
        </w:rPr>
        <w:t xml:space="preserve">Vigna </w:t>
      </w:r>
      <w:proofErr w:type="spellStart"/>
      <w:r w:rsidR="007B14F1" w:rsidRPr="007B14F1">
        <w:rPr>
          <w:rFonts w:ascii="Times New Roman" w:hAnsi="Times New Roman" w:cs="Times New Roman"/>
          <w:i/>
          <w:iCs/>
        </w:rPr>
        <w:t>aconitifolia</w:t>
      </w:r>
      <w:proofErr w:type="spellEnd"/>
      <w:r w:rsidR="007B14F1" w:rsidRPr="007B14F1">
        <w:rPr>
          <w:rFonts w:ascii="Times New Roman" w:hAnsi="Times New Roman" w:cs="Times New Roman"/>
        </w:rPr>
        <w:t xml:space="preserve"> L.) in response to the application of pre and post</w:t>
      </w:r>
      <w:r w:rsidR="007B14F1">
        <w:rPr>
          <w:rFonts w:ascii="Times New Roman" w:hAnsi="Times New Roman" w:cs="Times New Roman"/>
        </w:rPr>
        <w:t xml:space="preserve"> </w:t>
      </w:r>
      <w:r w:rsidR="007B14F1" w:rsidRPr="007B14F1">
        <w:rPr>
          <w:rFonts w:ascii="Times New Roman" w:hAnsi="Times New Roman" w:cs="Times New Roman"/>
        </w:rPr>
        <w:t xml:space="preserve">emergence herbicides, </w:t>
      </w:r>
      <w:r w:rsidR="007B14F1">
        <w:rPr>
          <w:rFonts w:ascii="Times New Roman" w:hAnsi="Times New Roman" w:cs="Times New Roman"/>
        </w:rPr>
        <w:t xml:space="preserve">and </w:t>
      </w:r>
      <w:r w:rsidR="007B14F1" w:rsidRPr="007B14F1">
        <w:rPr>
          <w:rFonts w:ascii="Times New Roman" w:hAnsi="Times New Roman" w:cs="Times New Roman"/>
        </w:rPr>
        <w:t xml:space="preserve">their influence on metabolic </w:t>
      </w:r>
      <w:r w:rsidR="007B14F1">
        <w:rPr>
          <w:rFonts w:ascii="Times New Roman" w:hAnsi="Times New Roman" w:cs="Times New Roman"/>
        </w:rPr>
        <w:t>pathway</w:t>
      </w:r>
      <w:r w:rsidR="007B14F1" w:rsidRPr="007B14F1">
        <w:rPr>
          <w:rFonts w:ascii="Times New Roman" w:hAnsi="Times New Roman" w:cs="Times New Roman"/>
        </w:rPr>
        <w:t>, oxidative</w:t>
      </w:r>
      <w:r w:rsidR="007B14F1">
        <w:rPr>
          <w:rFonts w:ascii="Times New Roman" w:hAnsi="Times New Roman" w:cs="Times New Roman"/>
        </w:rPr>
        <w:t xml:space="preserve"> </w:t>
      </w:r>
      <w:r w:rsidR="007B14F1" w:rsidRPr="007B14F1">
        <w:rPr>
          <w:rFonts w:ascii="Times New Roman" w:hAnsi="Times New Roman" w:cs="Times New Roman"/>
        </w:rPr>
        <w:t xml:space="preserve">responses, and </w:t>
      </w:r>
      <w:r w:rsidR="007B14F1">
        <w:rPr>
          <w:rFonts w:ascii="Times New Roman" w:hAnsi="Times New Roman" w:cs="Times New Roman"/>
        </w:rPr>
        <w:t>leg hemoglobin content</w:t>
      </w:r>
      <w:r w:rsidR="007B14F1" w:rsidRPr="007B14F1">
        <w:rPr>
          <w:rFonts w:ascii="Times New Roman" w:hAnsi="Times New Roman" w:cs="Times New Roman"/>
        </w:rPr>
        <w:t>.</w:t>
      </w:r>
    </w:p>
    <w:p w14:paraId="333DA129" w14:textId="77777777" w:rsidR="004A0483" w:rsidRPr="00F65238" w:rsidRDefault="004A0483" w:rsidP="004A0483">
      <w:pPr>
        <w:spacing w:line="360" w:lineRule="auto"/>
        <w:jc w:val="both"/>
        <w:rPr>
          <w:rFonts w:ascii="Times New Roman" w:hAnsi="Times New Roman" w:cs="Times New Roman"/>
          <w:b/>
          <w:bCs/>
        </w:rPr>
      </w:pPr>
      <w:r w:rsidRPr="00F65238">
        <w:rPr>
          <w:rFonts w:ascii="Times New Roman" w:hAnsi="Times New Roman" w:cs="Times New Roman"/>
          <w:b/>
          <w:bCs/>
        </w:rPr>
        <w:t xml:space="preserve">MATERIALS AND METHODS </w:t>
      </w:r>
    </w:p>
    <w:p w14:paraId="22FE6094" w14:textId="468EF2CF" w:rsidR="004A0483" w:rsidRPr="004A0483" w:rsidRDefault="004A0483" w:rsidP="004A0483">
      <w:pPr>
        <w:spacing w:line="360" w:lineRule="auto"/>
        <w:jc w:val="both"/>
        <w:rPr>
          <w:rFonts w:ascii="Times New Roman" w:hAnsi="Times New Roman" w:cs="Times New Roman"/>
        </w:rPr>
      </w:pPr>
      <w:r w:rsidRPr="004A0483">
        <w:rPr>
          <w:rFonts w:ascii="Times New Roman" w:hAnsi="Times New Roman" w:cs="Times New Roman"/>
          <w:b/>
          <w:bCs/>
        </w:rPr>
        <w:t>Seed procurement and crop establishment</w:t>
      </w:r>
      <w:r>
        <w:rPr>
          <w:rFonts w:ascii="Times New Roman" w:hAnsi="Times New Roman" w:cs="Times New Roman"/>
          <w:b/>
          <w:bCs/>
        </w:rPr>
        <w:t xml:space="preserve">: </w:t>
      </w:r>
      <w:r w:rsidRPr="004A0483">
        <w:rPr>
          <w:rFonts w:ascii="Times New Roman" w:hAnsi="Times New Roman" w:cs="Times New Roman"/>
        </w:rPr>
        <w:t xml:space="preserve">The field experiment was </w:t>
      </w:r>
      <w:r>
        <w:rPr>
          <w:rFonts w:ascii="Times New Roman" w:hAnsi="Times New Roman" w:cs="Times New Roman"/>
        </w:rPr>
        <w:t>conducted</w:t>
      </w:r>
      <w:r w:rsidRPr="004A0483">
        <w:rPr>
          <w:rFonts w:ascii="Times New Roman" w:hAnsi="Times New Roman" w:cs="Times New Roman"/>
        </w:rPr>
        <w:t xml:space="preserve"> during the Kharif seasons of 2024–25 at the research farm of the Department of Botany, Baba Mastnath University, Asthal Bohar, Rohtak, Haryana, India (28.87° N, 76.64° E). Two genotypes of moth bean (</w:t>
      </w:r>
      <w:r w:rsidRPr="004A0483">
        <w:rPr>
          <w:rFonts w:ascii="Times New Roman" w:hAnsi="Times New Roman" w:cs="Times New Roman"/>
          <w:i/>
          <w:iCs/>
        </w:rPr>
        <w:t xml:space="preserve">Vigna </w:t>
      </w:r>
      <w:proofErr w:type="spellStart"/>
      <w:r w:rsidRPr="004A0483">
        <w:rPr>
          <w:rFonts w:ascii="Times New Roman" w:hAnsi="Times New Roman" w:cs="Times New Roman"/>
          <w:i/>
          <w:iCs/>
        </w:rPr>
        <w:t>aconitifolia</w:t>
      </w:r>
      <w:proofErr w:type="spellEnd"/>
      <w:r w:rsidRPr="004A0483">
        <w:rPr>
          <w:rFonts w:ascii="Times New Roman" w:hAnsi="Times New Roman" w:cs="Times New Roman"/>
        </w:rPr>
        <w:t xml:space="preserve"> L.) were </w:t>
      </w:r>
      <w:r w:rsidRPr="00CD34FA">
        <w:rPr>
          <w:rFonts w:ascii="Times New Roman" w:hAnsi="Times New Roman" w:cs="Times New Roman"/>
          <w:highlight w:val="yellow"/>
        </w:rPr>
        <w:t>pr</w:t>
      </w:r>
      <w:r w:rsidR="00121C26" w:rsidRPr="00CD34FA">
        <w:rPr>
          <w:rFonts w:ascii="Times New Roman" w:hAnsi="Times New Roman" w:cs="Times New Roman"/>
          <w:highlight w:val="yellow"/>
        </w:rPr>
        <w:t>o</w:t>
      </w:r>
      <w:r w:rsidRPr="00CD34FA">
        <w:rPr>
          <w:rFonts w:ascii="Times New Roman" w:hAnsi="Times New Roman" w:cs="Times New Roman"/>
          <w:highlight w:val="yellow"/>
        </w:rPr>
        <w:t>cured</w:t>
      </w:r>
      <w:r w:rsidRPr="004A0483">
        <w:rPr>
          <w:rFonts w:ascii="Times New Roman" w:hAnsi="Times New Roman" w:cs="Times New Roman"/>
        </w:rPr>
        <w:t xml:space="preserve"> from the ICAR–National Bureau of Plant Genetic Resources (NBPGR), Pusa Campus, New Delhi. Before sowing, seeds were surface</w:t>
      </w:r>
      <w:r>
        <w:rPr>
          <w:rFonts w:ascii="Times New Roman" w:hAnsi="Times New Roman" w:cs="Times New Roman"/>
        </w:rPr>
        <w:t xml:space="preserve"> </w:t>
      </w:r>
      <w:r w:rsidRPr="004A0483">
        <w:rPr>
          <w:rFonts w:ascii="Times New Roman" w:hAnsi="Times New Roman" w:cs="Times New Roman"/>
        </w:rPr>
        <w:t xml:space="preserve">sanitized with 0.1% (w/v) mercuric chloride. The experiment was </w:t>
      </w:r>
      <w:r>
        <w:rPr>
          <w:rFonts w:ascii="Times New Roman" w:hAnsi="Times New Roman" w:cs="Times New Roman"/>
        </w:rPr>
        <w:t>laid out</w:t>
      </w:r>
      <w:r w:rsidRPr="004A0483">
        <w:rPr>
          <w:rFonts w:ascii="Times New Roman" w:hAnsi="Times New Roman" w:cs="Times New Roman"/>
        </w:rPr>
        <w:t xml:space="preserve"> in a Randomized Block Design with three replications</w:t>
      </w:r>
      <w:r>
        <w:rPr>
          <w:rFonts w:ascii="Times New Roman" w:hAnsi="Times New Roman" w:cs="Times New Roman"/>
        </w:rPr>
        <w:t xml:space="preserve"> in plot of </w:t>
      </w:r>
      <w:r w:rsidRPr="004A0483">
        <w:rPr>
          <w:rFonts w:ascii="Times New Roman" w:hAnsi="Times New Roman" w:cs="Times New Roman"/>
        </w:rPr>
        <w:t>2×1m</w:t>
      </w:r>
      <w:r>
        <w:rPr>
          <w:rFonts w:ascii="Times New Roman" w:hAnsi="Times New Roman" w:cs="Times New Roman"/>
        </w:rPr>
        <w:t xml:space="preserve"> dimension</w:t>
      </w:r>
      <w:r w:rsidRPr="004A0483">
        <w:rPr>
          <w:rFonts w:ascii="Times New Roman" w:hAnsi="Times New Roman" w:cs="Times New Roman"/>
        </w:rPr>
        <w:t xml:space="preserve">. The experimental field supported a natural population of weeds, predominantly </w:t>
      </w:r>
      <w:r w:rsidRPr="004A0483">
        <w:rPr>
          <w:rFonts w:ascii="Times New Roman" w:hAnsi="Times New Roman" w:cs="Times New Roman"/>
          <w:i/>
          <w:iCs/>
        </w:rPr>
        <w:t>Chenopodium album</w:t>
      </w:r>
      <w:r w:rsidRPr="004A0483">
        <w:rPr>
          <w:rFonts w:ascii="Times New Roman" w:hAnsi="Times New Roman" w:cs="Times New Roman"/>
        </w:rPr>
        <w:t xml:space="preserve">, </w:t>
      </w:r>
      <w:proofErr w:type="spellStart"/>
      <w:r w:rsidRPr="004A0483">
        <w:rPr>
          <w:rFonts w:ascii="Times New Roman" w:hAnsi="Times New Roman" w:cs="Times New Roman"/>
          <w:i/>
          <w:iCs/>
        </w:rPr>
        <w:t>Dactyloctenium</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aegyptium</w:t>
      </w:r>
      <w:proofErr w:type="spellEnd"/>
      <w:r w:rsidRPr="004A0483">
        <w:rPr>
          <w:rFonts w:ascii="Times New Roman" w:hAnsi="Times New Roman" w:cs="Times New Roman"/>
        </w:rPr>
        <w:t xml:space="preserve">, </w:t>
      </w:r>
      <w:r w:rsidRPr="004A0483">
        <w:rPr>
          <w:rFonts w:ascii="Times New Roman" w:hAnsi="Times New Roman" w:cs="Times New Roman"/>
          <w:i/>
          <w:iCs/>
        </w:rPr>
        <w:t>Portulaca oleracea</w:t>
      </w:r>
      <w:r w:rsidRPr="004A0483">
        <w:rPr>
          <w:rFonts w:ascii="Times New Roman" w:hAnsi="Times New Roman" w:cs="Times New Roman"/>
        </w:rPr>
        <w:t xml:space="preserve">, </w:t>
      </w:r>
      <w:proofErr w:type="spellStart"/>
      <w:r w:rsidRPr="004A0483">
        <w:rPr>
          <w:rFonts w:ascii="Times New Roman" w:hAnsi="Times New Roman" w:cs="Times New Roman"/>
          <w:i/>
          <w:iCs/>
        </w:rPr>
        <w:t>Digera</w:t>
      </w:r>
      <w:proofErr w:type="spellEnd"/>
      <w:r w:rsidRPr="004A0483">
        <w:rPr>
          <w:rFonts w:ascii="Times New Roman" w:hAnsi="Times New Roman" w:cs="Times New Roman"/>
          <w:i/>
          <w:iCs/>
        </w:rPr>
        <w:t xml:space="preserve"> arvensis</w:t>
      </w:r>
      <w:r w:rsidRPr="004A0483">
        <w:rPr>
          <w:rFonts w:ascii="Times New Roman" w:hAnsi="Times New Roman" w:cs="Times New Roman"/>
        </w:rPr>
        <w:t xml:space="preserve">, </w:t>
      </w:r>
      <w:r w:rsidRPr="004A0483">
        <w:rPr>
          <w:rFonts w:ascii="Times New Roman" w:hAnsi="Times New Roman" w:cs="Times New Roman"/>
          <w:i/>
          <w:iCs/>
        </w:rPr>
        <w:t>Cyperus rotundus</w:t>
      </w:r>
      <w:r w:rsidRPr="004A0483">
        <w:rPr>
          <w:rFonts w:ascii="Times New Roman" w:hAnsi="Times New Roman" w:cs="Times New Roman"/>
        </w:rPr>
        <w:t xml:space="preserve">, and </w:t>
      </w:r>
      <w:proofErr w:type="spellStart"/>
      <w:r w:rsidRPr="004A0483">
        <w:rPr>
          <w:rFonts w:ascii="Times New Roman" w:hAnsi="Times New Roman" w:cs="Times New Roman"/>
          <w:i/>
          <w:iCs/>
        </w:rPr>
        <w:t>Trianthema</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portulacastrum</w:t>
      </w:r>
      <w:proofErr w:type="spellEnd"/>
      <w:r w:rsidRPr="004A0483">
        <w:rPr>
          <w:rFonts w:ascii="Times New Roman" w:hAnsi="Times New Roman" w:cs="Times New Roman"/>
        </w:rPr>
        <w:t>.</w:t>
      </w:r>
    </w:p>
    <w:p w14:paraId="13CBDF37" w14:textId="2F19C7F8" w:rsidR="004A0483" w:rsidRDefault="004A0483" w:rsidP="004A0483">
      <w:pPr>
        <w:spacing w:line="360" w:lineRule="auto"/>
        <w:jc w:val="both"/>
        <w:rPr>
          <w:rFonts w:ascii="Times New Roman" w:hAnsi="Times New Roman" w:cs="Times New Roman"/>
        </w:rPr>
      </w:pPr>
      <w:r w:rsidRPr="004A0483">
        <w:rPr>
          <w:rFonts w:ascii="Times New Roman" w:hAnsi="Times New Roman" w:cs="Times New Roman"/>
          <w:b/>
          <w:bCs/>
        </w:rPr>
        <w:t>Herbicide treatments and application schedule</w:t>
      </w:r>
      <w:r>
        <w:rPr>
          <w:rFonts w:ascii="Times New Roman" w:hAnsi="Times New Roman" w:cs="Times New Roman"/>
          <w:b/>
          <w:bCs/>
        </w:rPr>
        <w:t xml:space="preserve">: </w:t>
      </w:r>
      <w:r w:rsidRPr="004A0483">
        <w:rPr>
          <w:rFonts w:ascii="Times New Roman" w:hAnsi="Times New Roman" w:cs="Times New Roman"/>
        </w:rPr>
        <w:t>The study involved the use of pendimethalin 30% EC as a pre-emergence herbicide, imazethapyr 10% SL as a post-emergence herbicide, and quizalofop 10% EC applied at both pre- and post-emergence stages. These herbicides were tested individually and in various combinations, along with untreated control. The treatment layout consisted of T</w:t>
      </w:r>
      <w:r w:rsidR="00EF4398">
        <w:rPr>
          <w:rFonts w:ascii="Times New Roman" w:hAnsi="Times New Roman" w:cs="Times New Roman"/>
          <w:vertAlign w:val="subscript"/>
        </w:rPr>
        <w:t>0</w:t>
      </w:r>
      <w:r w:rsidRPr="004A0483">
        <w:rPr>
          <w:rFonts w:ascii="Times New Roman" w:hAnsi="Times New Roman" w:cs="Times New Roman"/>
        </w:rPr>
        <w:t xml:space="preserve"> (no herbicide), T</w:t>
      </w:r>
      <w:r w:rsidR="00EF4398">
        <w:rPr>
          <w:rFonts w:ascii="Times New Roman" w:hAnsi="Times New Roman" w:cs="Times New Roman"/>
          <w:vertAlign w:val="subscript"/>
        </w:rPr>
        <w:t>1</w:t>
      </w:r>
      <w:r w:rsidRPr="004A0483">
        <w:rPr>
          <w:rFonts w:ascii="Times New Roman" w:hAnsi="Times New Roman" w:cs="Times New Roman"/>
        </w:rPr>
        <w:t xml:space="preserve"> (pendimethalin applied within 10h</w:t>
      </w:r>
      <w:r w:rsidR="00EF4398">
        <w:rPr>
          <w:rFonts w:ascii="Times New Roman" w:hAnsi="Times New Roman" w:cs="Times New Roman"/>
        </w:rPr>
        <w:t>r</w:t>
      </w:r>
      <w:r w:rsidRPr="004A0483">
        <w:rPr>
          <w:rFonts w:ascii="Times New Roman" w:hAnsi="Times New Roman" w:cs="Times New Roman"/>
        </w:rPr>
        <w:t xml:space="preserve"> after sowing), T</w:t>
      </w:r>
      <w:r w:rsidR="00EF4398" w:rsidRPr="00EF4398">
        <w:rPr>
          <w:rFonts w:ascii="Times New Roman" w:hAnsi="Times New Roman" w:cs="Times New Roman"/>
          <w:vertAlign w:val="subscript"/>
        </w:rPr>
        <w:t>2</w:t>
      </w:r>
      <w:r w:rsidRPr="004A0483">
        <w:rPr>
          <w:rFonts w:ascii="Times New Roman" w:hAnsi="Times New Roman" w:cs="Times New Roman"/>
        </w:rPr>
        <w:t xml:space="preserve"> (imazethapyr applied at 30 days after sowing), T</w:t>
      </w:r>
      <w:r w:rsidR="00EF4398" w:rsidRPr="00EF4398">
        <w:rPr>
          <w:rFonts w:ascii="Times New Roman" w:hAnsi="Times New Roman" w:cs="Times New Roman"/>
          <w:vertAlign w:val="subscript"/>
        </w:rPr>
        <w:t>3</w:t>
      </w:r>
      <w:r w:rsidRPr="004A0483">
        <w:rPr>
          <w:rFonts w:ascii="Times New Roman" w:hAnsi="Times New Roman" w:cs="Times New Roman"/>
        </w:rPr>
        <w:t xml:space="preserve"> (quizalofop applied within 10h</w:t>
      </w:r>
      <w:r w:rsidR="00EF4398">
        <w:rPr>
          <w:rFonts w:ascii="Times New Roman" w:hAnsi="Times New Roman" w:cs="Times New Roman"/>
        </w:rPr>
        <w:t>r</w:t>
      </w:r>
      <w:r w:rsidRPr="004A0483">
        <w:rPr>
          <w:rFonts w:ascii="Times New Roman" w:hAnsi="Times New Roman" w:cs="Times New Roman"/>
        </w:rPr>
        <w:t xml:space="preserve"> after sowing and again at 30 days after sowing), T</w:t>
      </w:r>
      <w:r w:rsidR="00EF4398" w:rsidRPr="00EF4398">
        <w:rPr>
          <w:rFonts w:ascii="Times New Roman" w:hAnsi="Times New Roman" w:cs="Times New Roman"/>
          <w:vertAlign w:val="subscript"/>
        </w:rPr>
        <w:t>4</w:t>
      </w:r>
      <w:r w:rsidRPr="004A0483">
        <w:rPr>
          <w:rFonts w:ascii="Times New Roman" w:hAnsi="Times New Roman" w:cs="Times New Roman"/>
        </w:rPr>
        <w:t xml:space="preserve"> (pendimethalin</w:t>
      </w:r>
      <w:r w:rsidR="00EF4398">
        <w:rPr>
          <w:rFonts w:ascii="Times New Roman" w:hAnsi="Times New Roman" w:cs="Times New Roman"/>
        </w:rPr>
        <w:t xml:space="preserve"> + </w:t>
      </w:r>
      <w:r w:rsidRPr="004A0483">
        <w:rPr>
          <w:rFonts w:ascii="Times New Roman" w:hAnsi="Times New Roman" w:cs="Times New Roman"/>
        </w:rPr>
        <w:t>imazethapyr), T</w:t>
      </w:r>
      <w:r w:rsidR="00EF4398" w:rsidRPr="00EF4398">
        <w:rPr>
          <w:rFonts w:ascii="Times New Roman" w:hAnsi="Times New Roman" w:cs="Times New Roman"/>
          <w:vertAlign w:val="subscript"/>
        </w:rPr>
        <w:t>5</w:t>
      </w:r>
      <w:r w:rsidR="00EF4398">
        <w:rPr>
          <w:rFonts w:ascii="Times New Roman" w:hAnsi="Times New Roman" w:cs="Times New Roman"/>
        </w:rPr>
        <w:t xml:space="preserve"> </w:t>
      </w:r>
      <w:r w:rsidRPr="004A0483">
        <w:rPr>
          <w:rFonts w:ascii="Times New Roman" w:hAnsi="Times New Roman" w:cs="Times New Roman"/>
        </w:rPr>
        <w:t xml:space="preserve">(pendimethalin </w:t>
      </w:r>
      <w:r w:rsidR="00EF4398">
        <w:rPr>
          <w:rFonts w:ascii="Times New Roman" w:hAnsi="Times New Roman" w:cs="Times New Roman"/>
        </w:rPr>
        <w:t>+</w:t>
      </w:r>
      <w:r w:rsidRPr="004A0483">
        <w:rPr>
          <w:rFonts w:ascii="Times New Roman" w:hAnsi="Times New Roman" w:cs="Times New Roman"/>
        </w:rPr>
        <w:t xml:space="preserve"> quizalofop), and T</w:t>
      </w:r>
      <w:r w:rsidR="00EF4398" w:rsidRPr="00EF4398">
        <w:rPr>
          <w:rFonts w:ascii="Times New Roman" w:hAnsi="Times New Roman" w:cs="Times New Roman"/>
          <w:vertAlign w:val="subscript"/>
        </w:rPr>
        <w:t>6</w:t>
      </w:r>
      <w:r w:rsidRPr="004A0483">
        <w:rPr>
          <w:rFonts w:ascii="Times New Roman" w:hAnsi="Times New Roman" w:cs="Times New Roman"/>
        </w:rPr>
        <w:t xml:space="preserve"> (imazethapyr </w:t>
      </w:r>
      <w:r w:rsidR="00EF4398">
        <w:rPr>
          <w:rFonts w:ascii="Times New Roman" w:hAnsi="Times New Roman" w:cs="Times New Roman"/>
        </w:rPr>
        <w:t>+</w:t>
      </w:r>
      <w:r w:rsidRPr="004A0483">
        <w:rPr>
          <w:rFonts w:ascii="Times New Roman" w:hAnsi="Times New Roman" w:cs="Times New Roman"/>
        </w:rPr>
        <w:t xml:space="preserve"> quizalofop).</w:t>
      </w:r>
    </w:p>
    <w:p w14:paraId="08F8EEFC" w14:textId="7ED43D17" w:rsidR="004F2CFA" w:rsidRPr="004F2CFA" w:rsidRDefault="00563C3E" w:rsidP="004F2CFA">
      <w:pPr>
        <w:spacing w:line="360" w:lineRule="auto"/>
        <w:jc w:val="both"/>
        <w:rPr>
          <w:rFonts w:ascii="Times New Roman" w:hAnsi="Times New Roman" w:cs="Times New Roman"/>
        </w:rPr>
      </w:pPr>
      <w:r w:rsidRPr="00563C3E">
        <w:rPr>
          <w:rFonts w:ascii="Times New Roman" w:hAnsi="Times New Roman" w:cs="Times New Roman"/>
          <w:highlight w:val="yellow"/>
        </w:rPr>
        <w:t xml:space="preserve">All herbicides were applied </w:t>
      </w:r>
      <w:r w:rsidR="006F510D">
        <w:rPr>
          <w:rFonts w:ascii="Times New Roman" w:hAnsi="Times New Roman" w:cs="Times New Roman"/>
          <w:highlight w:val="yellow"/>
        </w:rPr>
        <w:t>as per</w:t>
      </w:r>
      <w:r w:rsidRPr="00563C3E">
        <w:rPr>
          <w:rFonts w:ascii="Times New Roman" w:hAnsi="Times New Roman" w:cs="Times New Roman"/>
          <w:highlight w:val="yellow"/>
        </w:rPr>
        <w:t xml:space="preserve"> recommended </w:t>
      </w:r>
      <w:r w:rsidR="006F510D">
        <w:rPr>
          <w:rFonts w:ascii="Times New Roman" w:hAnsi="Times New Roman" w:cs="Times New Roman"/>
          <w:highlight w:val="yellow"/>
        </w:rPr>
        <w:t xml:space="preserve">dose suggested </w:t>
      </w:r>
      <w:r w:rsidRPr="00563C3E">
        <w:rPr>
          <w:rFonts w:ascii="Times New Roman" w:hAnsi="Times New Roman" w:cs="Times New Roman"/>
          <w:highlight w:val="yellow"/>
        </w:rPr>
        <w:t>by the respective manufacturers. Pendimethalin 30% EC (</w:t>
      </w:r>
      <w:proofErr w:type="spellStart"/>
      <w:r w:rsidRPr="00563C3E">
        <w:rPr>
          <w:rFonts w:ascii="Times New Roman" w:hAnsi="Times New Roman" w:cs="Times New Roman"/>
          <w:highlight w:val="yellow"/>
        </w:rPr>
        <w:t>Dhanutop</w:t>
      </w:r>
      <w:proofErr w:type="spellEnd"/>
      <w:r w:rsidRPr="00563C3E">
        <w:rPr>
          <w:rFonts w:ascii="Times New Roman" w:hAnsi="Times New Roman" w:cs="Times New Roman"/>
          <w:highlight w:val="yellow"/>
        </w:rPr>
        <w:t>) was applied at 5ml L⁻¹ of water, equivalent to 1.0L per acre diluted in 200L of water and sprayed immediately after sowing as a pre-emergence treatment. Imazethapyr 10% SL (</w:t>
      </w:r>
      <w:proofErr w:type="spellStart"/>
      <w:r w:rsidRPr="00563C3E">
        <w:rPr>
          <w:rFonts w:ascii="Times New Roman" w:hAnsi="Times New Roman" w:cs="Times New Roman"/>
          <w:highlight w:val="yellow"/>
        </w:rPr>
        <w:t>Lagaam</w:t>
      </w:r>
      <w:proofErr w:type="spellEnd"/>
      <w:r w:rsidRPr="00563C3E">
        <w:rPr>
          <w:rFonts w:ascii="Times New Roman" w:hAnsi="Times New Roman" w:cs="Times New Roman"/>
          <w:highlight w:val="yellow"/>
        </w:rPr>
        <w:t xml:space="preserve">) was applied at 1.5ml L⁻¹ of water (300ml per acre in 200L of water) during the early crop growth stage after germination. Quizalofop 10% EC (Bango) was applied at 0.9ml L⁻¹ of water, corresponding to 180ml per acre in 200L of water, after crop </w:t>
      </w:r>
      <w:r w:rsidRPr="00563C3E">
        <w:rPr>
          <w:rFonts w:ascii="Times New Roman" w:hAnsi="Times New Roman" w:cs="Times New Roman"/>
          <w:highlight w:val="yellow"/>
        </w:rPr>
        <w:lastRenderedPageBreak/>
        <w:t>emergence. An ASPEE portable 2L handheld pressure sprayer was used to ensure uniform spray coverage across the experimental plots. Herbicide application was carried out under favorable environmental conditions, with soil moisture maintained at field capacity and sampling was carried out at the time flowering and 10 days after herbicide application.</w:t>
      </w:r>
    </w:p>
    <w:p w14:paraId="06E6881F" w14:textId="47185215"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Water-soluble carbohydrates (</w:t>
      </w:r>
      <w:r>
        <w:rPr>
          <w:rFonts w:ascii="Times New Roman" w:hAnsi="Times New Roman" w:cs="Times New Roman"/>
          <w:b/>
          <w:bCs/>
        </w:rPr>
        <w:t>mg g</w:t>
      </w:r>
      <w:r w:rsidRPr="00EF4398">
        <w:rPr>
          <w:rFonts w:ascii="Times New Roman" w:hAnsi="Times New Roman" w:cs="Times New Roman"/>
          <w:b/>
          <w:bCs/>
          <w:vertAlign w:val="superscript"/>
        </w:rPr>
        <w:t>-1</w:t>
      </w:r>
      <w:r>
        <w:rPr>
          <w:rFonts w:ascii="Times New Roman" w:hAnsi="Times New Roman" w:cs="Times New Roman"/>
          <w:b/>
          <w:bCs/>
        </w:rPr>
        <w:t xml:space="preserve"> FW</w:t>
      </w:r>
      <w:r w:rsidRPr="00EF4398">
        <w:rPr>
          <w:rFonts w:ascii="Times New Roman" w:hAnsi="Times New Roman" w:cs="Times New Roman"/>
          <w:b/>
          <w:bCs/>
        </w:rPr>
        <w:t>)</w:t>
      </w:r>
      <w:r>
        <w:rPr>
          <w:rFonts w:ascii="Times New Roman" w:hAnsi="Times New Roman" w:cs="Times New Roman"/>
          <w:b/>
          <w:bCs/>
        </w:rPr>
        <w:t xml:space="preserve">: </w:t>
      </w:r>
      <w:r w:rsidRPr="00EF4398">
        <w:rPr>
          <w:rFonts w:ascii="Times New Roman" w:hAnsi="Times New Roman" w:cs="Times New Roman"/>
        </w:rPr>
        <w:t xml:space="preserve">Water-soluble carbohydrate content was estimated </w:t>
      </w:r>
      <w:r w:rsidR="00061FB3">
        <w:rPr>
          <w:rFonts w:ascii="Times New Roman" w:hAnsi="Times New Roman" w:cs="Times New Roman"/>
        </w:rPr>
        <w:t xml:space="preserve">by </w:t>
      </w:r>
      <w:r w:rsidRPr="00EF4398">
        <w:rPr>
          <w:rFonts w:ascii="Times New Roman" w:hAnsi="Times New Roman" w:cs="Times New Roman"/>
        </w:rPr>
        <w:t xml:space="preserve">the method of Yemm and Willis (1954). Fresh plant tissue (100 mg) was homogenized in 80% ethanol and centrifuged at 10,000 rpm for 10 min. The supernatant was collected, and </w:t>
      </w:r>
      <w:proofErr w:type="spellStart"/>
      <w:r w:rsidRPr="00EF4398">
        <w:rPr>
          <w:rFonts w:ascii="Times New Roman" w:hAnsi="Times New Roman" w:cs="Times New Roman"/>
        </w:rPr>
        <w:t>anthrone</w:t>
      </w:r>
      <w:proofErr w:type="spellEnd"/>
      <w:r w:rsidRPr="00EF4398">
        <w:rPr>
          <w:rFonts w:ascii="Times New Roman" w:hAnsi="Times New Roman" w:cs="Times New Roman"/>
        </w:rPr>
        <w:t xml:space="preserve"> reagent was added. The mixture was heated in a boiling water bath for 10 min, cooled to room temperature, and absorbance was recorded at 620 nm using </w:t>
      </w:r>
      <w:r w:rsidR="00061FB3" w:rsidRPr="00F65238">
        <w:rPr>
          <w:rFonts w:ascii="Times New Roman" w:hAnsi="Times New Roman" w:cs="Times New Roman"/>
        </w:rPr>
        <w:t>LABMAN Double Beam UV-VIS Spectrophotometer (LMSP-UV1000B)</w:t>
      </w:r>
      <w:r w:rsidRPr="00EF4398">
        <w:rPr>
          <w:rFonts w:ascii="Times New Roman" w:hAnsi="Times New Roman" w:cs="Times New Roman"/>
        </w:rPr>
        <w:t xml:space="preserve">. Glucose </w:t>
      </w:r>
      <w:r w:rsidR="00CD34FA" w:rsidRPr="00CD34FA">
        <w:rPr>
          <w:rFonts w:ascii="Times New Roman" w:hAnsi="Times New Roman" w:cs="Times New Roman"/>
          <w:highlight w:val="yellow"/>
        </w:rPr>
        <w:t>was</w:t>
      </w:r>
      <w:r w:rsidR="00CD34FA">
        <w:rPr>
          <w:rFonts w:ascii="Times New Roman" w:hAnsi="Times New Roman" w:cs="Times New Roman"/>
        </w:rPr>
        <w:t xml:space="preserve"> </w:t>
      </w:r>
      <w:r w:rsidRPr="00EF4398">
        <w:rPr>
          <w:rFonts w:ascii="Times New Roman" w:hAnsi="Times New Roman" w:cs="Times New Roman"/>
        </w:rPr>
        <w:t>used as the standard, and WSC content was expressed as mg g⁻¹ fresh weight (FW).</w:t>
      </w:r>
    </w:p>
    <w:p w14:paraId="5500BA84" w14:textId="3DB751E2"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Protein content</w:t>
      </w:r>
      <w:r>
        <w:rPr>
          <w:rFonts w:ascii="Times New Roman" w:hAnsi="Times New Roman" w:cs="Times New Roman"/>
          <w:b/>
          <w:bCs/>
        </w:rPr>
        <w:t xml:space="preserve"> (mg g</w:t>
      </w:r>
      <w:r w:rsidRPr="00EF4398">
        <w:rPr>
          <w:rFonts w:ascii="Times New Roman" w:hAnsi="Times New Roman" w:cs="Times New Roman"/>
          <w:b/>
          <w:bCs/>
          <w:vertAlign w:val="superscript"/>
        </w:rPr>
        <w:t>-1</w:t>
      </w:r>
      <w:r>
        <w:rPr>
          <w:rFonts w:ascii="Times New Roman" w:hAnsi="Times New Roman" w:cs="Times New Roman"/>
          <w:b/>
          <w:bCs/>
        </w:rPr>
        <w:t xml:space="preserve"> FW): </w:t>
      </w:r>
      <w:r w:rsidRPr="00EF4398">
        <w:rPr>
          <w:rFonts w:ascii="Times New Roman" w:hAnsi="Times New Roman" w:cs="Times New Roman"/>
        </w:rPr>
        <w:t xml:space="preserve">Total soluble protein content was determined according to the Lowry et al. (1951). Fresh leaf samples were homogenized in phosphate buffer (pH 7.0) and centrifuged at 12,000 rpm for 15 min. The supernatant was </w:t>
      </w:r>
      <w:r w:rsidR="00061FB3">
        <w:rPr>
          <w:rFonts w:ascii="Times New Roman" w:hAnsi="Times New Roman" w:cs="Times New Roman"/>
        </w:rPr>
        <w:t>mixed</w:t>
      </w:r>
      <w:r w:rsidRPr="00EF4398">
        <w:rPr>
          <w:rFonts w:ascii="Times New Roman" w:hAnsi="Times New Roman" w:cs="Times New Roman"/>
        </w:rPr>
        <w:t xml:space="preserve"> with alkaline copper reagent followed by Folin</w:t>
      </w:r>
      <w:r w:rsidR="00061FB3">
        <w:rPr>
          <w:rFonts w:ascii="Times New Roman" w:hAnsi="Times New Roman" w:cs="Times New Roman"/>
        </w:rPr>
        <w:t>-</w:t>
      </w:r>
      <w:proofErr w:type="spellStart"/>
      <w:r w:rsidRPr="00EF4398">
        <w:rPr>
          <w:rFonts w:ascii="Times New Roman" w:hAnsi="Times New Roman" w:cs="Times New Roman"/>
        </w:rPr>
        <w:t>Ciocalteu</w:t>
      </w:r>
      <w:proofErr w:type="spellEnd"/>
      <w:r w:rsidRPr="00EF4398">
        <w:rPr>
          <w:rFonts w:ascii="Times New Roman" w:hAnsi="Times New Roman" w:cs="Times New Roman"/>
        </w:rPr>
        <w:t xml:space="preserve"> reagent. After incubation, absorbance was measured at 660 nm</w:t>
      </w:r>
      <w:r w:rsidR="00061FB3">
        <w:rPr>
          <w:rFonts w:ascii="Times New Roman" w:hAnsi="Times New Roman" w:cs="Times New Roman"/>
        </w:rPr>
        <w:t xml:space="preserve"> </w:t>
      </w:r>
      <w:r w:rsidR="00061FB3" w:rsidRPr="00EF4398">
        <w:rPr>
          <w:rFonts w:ascii="Times New Roman" w:hAnsi="Times New Roman" w:cs="Times New Roman"/>
        </w:rPr>
        <w:t xml:space="preserve">using </w:t>
      </w:r>
      <w:r w:rsidR="00061FB3" w:rsidRPr="00F65238">
        <w:rPr>
          <w:rFonts w:ascii="Times New Roman" w:hAnsi="Times New Roman" w:cs="Times New Roman"/>
        </w:rPr>
        <w:t>LABMAN Double Beam UV-VIS Spectrophotometer (LMSP-UV1000B)</w:t>
      </w:r>
      <w:r w:rsidRPr="00EF4398">
        <w:rPr>
          <w:rFonts w:ascii="Times New Roman" w:hAnsi="Times New Roman" w:cs="Times New Roman"/>
        </w:rPr>
        <w:t>. Bovine serum albumin (BSA)</w:t>
      </w:r>
      <w:r w:rsidR="00CD34FA">
        <w:rPr>
          <w:rFonts w:ascii="Times New Roman" w:hAnsi="Times New Roman" w:cs="Times New Roman"/>
        </w:rPr>
        <w:t xml:space="preserve"> was</w:t>
      </w:r>
      <w:r w:rsidR="00061FB3">
        <w:rPr>
          <w:rFonts w:ascii="Times New Roman" w:hAnsi="Times New Roman" w:cs="Times New Roman"/>
        </w:rPr>
        <w:t xml:space="preserve"> used</w:t>
      </w:r>
      <w:r w:rsidRPr="00EF4398">
        <w:rPr>
          <w:rFonts w:ascii="Times New Roman" w:hAnsi="Times New Roman" w:cs="Times New Roman"/>
        </w:rPr>
        <w:t xml:space="preserve"> as the standard</w:t>
      </w:r>
      <w:r w:rsidR="00061FB3">
        <w:rPr>
          <w:rFonts w:ascii="Times New Roman" w:hAnsi="Times New Roman" w:cs="Times New Roman"/>
        </w:rPr>
        <w:t>.</w:t>
      </w:r>
    </w:p>
    <w:p w14:paraId="18004F12" w14:textId="1E4B278A" w:rsidR="00EF4398" w:rsidRPr="00EF4398" w:rsidRDefault="00A25E9D" w:rsidP="00136F38">
      <w:pPr>
        <w:spacing w:line="360" w:lineRule="auto"/>
        <w:jc w:val="both"/>
        <w:rPr>
          <w:rFonts w:ascii="Times New Roman" w:hAnsi="Times New Roman" w:cs="Times New Roman"/>
        </w:rPr>
      </w:pPr>
      <w:r>
        <w:rPr>
          <w:rFonts w:ascii="Times New Roman" w:hAnsi="Times New Roman" w:cs="Times New Roman"/>
          <w:b/>
          <w:bCs/>
        </w:rPr>
        <w:t>L</w:t>
      </w:r>
      <w:r w:rsidRPr="00A25E9D">
        <w:rPr>
          <w:rFonts w:ascii="Times New Roman" w:hAnsi="Times New Roman" w:cs="Times New Roman"/>
          <w:b/>
          <w:bCs/>
        </w:rPr>
        <w:t>eghemoglobin</w:t>
      </w:r>
      <w:r w:rsidR="00EF4398" w:rsidRPr="00EF4398">
        <w:rPr>
          <w:rFonts w:ascii="Times New Roman" w:hAnsi="Times New Roman" w:cs="Times New Roman"/>
          <w:b/>
          <w:bCs/>
        </w:rPr>
        <w:t xml:space="preserve"> (LHb) content</w:t>
      </w:r>
      <w:r w:rsidR="00EF4398">
        <w:rPr>
          <w:rFonts w:ascii="Times New Roman" w:hAnsi="Times New Roman" w:cs="Times New Roman"/>
          <w:b/>
          <w:bCs/>
        </w:rPr>
        <w:t xml:space="preserve"> (mg g</w:t>
      </w:r>
      <w:r w:rsidR="00EF4398" w:rsidRPr="00EF4398">
        <w:rPr>
          <w:rFonts w:ascii="Times New Roman" w:hAnsi="Times New Roman" w:cs="Times New Roman"/>
          <w:b/>
          <w:bCs/>
          <w:vertAlign w:val="superscript"/>
        </w:rPr>
        <w:t>-1</w:t>
      </w:r>
      <w:r w:rsidR="00EF4398">
        <w:rPr>
          <w:rFonts w:ascii="Times New Roman" w:hAnsi="Times New Roman" w:cs="Times New Roman"/>
          <w:b/>
          <w:bCs/>
        </w:rPr>
        <w:t xml:space="preserve"> FW): </w:t>
      </w:r>
      <w:r w:rsidR="00CD34FA" w:rsidRPr="00CD34FA">
        <w:rPr>
          <w:rFonts w:ascii="Times New Roman" w:hAnsi="Times New Roman" w:cs="Times New Roman"/>
          <w:highlight w:val="yellow"/>
        </w:rPr>
        <w:t>Root-nodule</w:t>
      </w:r>
      <w:r w:rsidR="00061FB3">
        <w:rPr>
          <w:rFonts w:ascii="Times New Roman" w:hAnsi="Times New Roman" w:cs="Times New Roman"/>
        </w:rPr>
        <w:t xml:space="preserve"> l</w:t>
      </w:r>
      <w:r w:rsidR="00061FB3" w:rsidRPr="00EF4398">
        <w:rPr>
          <w:rFonts w:ascii="Times New Roman" w:hAnsi="Times New Roman" w:cs="Times New Roman"/>
        </w:rPr>
        <w:t>eghemoglobin</w:t>
      </w:r>
      <w:r w:rsidR="00EF4398" w:rsidRPr="00EF4398">
        <w:rPr>
          <w:rFonts w:ascii="Times New Roman" w:hAnsi="Times New Roman" w:cs="Times New Roman"/>
        </w:rPr>
        <w:t xml:space="preserve"> content was estimated using</w:t>
      </w:r>
      <w:r w:rsidR="00061FB3">
        <w:rPr>
          <w:rFonts w:ascii="Times New Roman" w:hAnsi="Times New Roman" w:cs="Times New Roman"/>
        </w:rPr>
        <w:t xml:space="preserve"> </w:t>
      </w:r>
      <w:r w:rsidR="00136F38" w:rsidRPr="00136F38">
        <w:rPr>
          <w:rFonts w:ascii="Times New Roman" w:hAnsi="Times New Roman" w:cs="Times New Roman"/>
        </w:rPr>
        <w:t>Wilson</w:t>
      </w:r>
      <w:r w:rsidR="00136F38">
        <w:rPr>
          <w:rFonts w:ascii="Times New Roman" w:hAnsi="Times New Roman" w:cs="Times New Roman"/>
        </w:rPr>
        <w:t xml:space="preserve"> &amp; </w:t>
      </w:r>
      <w:r w:rsidR="00136F38" w:rsidRPr="00136F38">
        <w:rPr>
          <w:rFonts w:ascii="Times New Roman" w:hAnsi="Times New Roman" w:cs="Times New Roman"/>
        </w:rPr>
        <w:t>Reisenauer</w:t>
      </w:r>
      <w:r w:rsidR="00EF4398" w:rsidRPr="00EF4398">
        <w:rPr>
          <w:rFonts w:ascii="Times New Roman" w:hAnsi="Times New Roman" w:cs="Times New Roman"/>
        </w:rPr>
        <w:t xml:space="preserve"> (19</w:t>
      </w:r>
      <w:r w:rsidR="00136F38">
        <w:rPr>
          <w:rFonts w:ascii="Times New Roman" w:hAnsi="Times New Roman" w:cs="Times New Roman"/>
        </w:rPr>
        <w:t>63</w:t>
      </w:r>
      <w:r w:rsidR="00EF4398" w:rsidRPr="00EF4398">
        <w:rPr>
          <w:rFonts w:ascii="Times New Roman" w:hAnsi="Times New Roman" w:cs="Times New Roman"/>
        </w:rPr>
        <w:t>)</w:t>
      </w:r>
      <w:r w:rsidR="007348C7">
        <w:rPr>
          <w:rFonts w:ascii="Times New Roman" w:hAnsi="Times New Roman" w:cs="Times New Roman"/>
        </w:rPr>
        <w:t xml:space="preserve"> </w:t>
      </w:r>
      <w:r w:rsidR="007348C7" w:rsidRPr="007348C7">
        <w:rPr>
          <w:rFonts w:ascii="Times New Roman" w:hAnsi="Times New Roman" w:cs="Times New Roman"/>
          <w:highlight w:val="yellow"/>
        </w:rPr>
        <w:t>method. Freshly</w:t>
      </w:r>
      <w:r w:rsidR="007348C7" w:rsidRPr="007348C7">
        <w:rPr>
          <w:rFonts w:ascii="Times New Roman" w:hAnsi="Times New Roman" w:cs="Times New Roman"/>
        </w:rPr>
        <w:t xml:space="preserve"> </w:t>
      </w:r>
      <w:r w:rsidR="00061FB3">
        <w:rPr>
          <w:rFonts w:ascii="Times New Roman" w:hAnsi="Times New Roman" w:cs="Times New Roman"/>
        </w:rPr>
        <w:t xml:space="preserve">collected </w:t>
      </w:r>
      <w:r w:rsidR="00EF4398" w:rsidRPr="00EF4398">
        <w:rPr>
          <w:rFonts w:ascii="Times New Roman" w:hAnsi="Times New Roman" w:cs="Times New Roman"/>
        </w:rPr>
        <w:t>nodules were homogenized in chilled phosphate buffer and centrifuged at 10,000 rpm for 15 min at 4 °C</w:t>
      </w:r>
      <w:r w:rsidR="00061FB3">
        <w:rPr>
          <w:rFonts w:ascii="Times New Roman" w:hAnsi="Times New Roman" w:cs="Times New Roman"/>
        </w:rPr>
        <w:t xml:space="preserve"> and </w:t>
      </w:r>
      <w:r w:rsidR="00EF4398" w:rsidRPr="00EF4398">
        <w:rPr>
          <w:rFonts w:ascii="Times New Roman" w:hAnsi="Times New Roman" w:cs="Times New Roman"/>
        </w:rPr>
        <w:t xml:space="preserve">absorbance of supernatant was </w:t>
      </w:r>
      <w:r w:rsidR="00061FB3">
        <w:rPr>
          <w:rFonts w:ascii="Times New Roman" w:hAnsi="Times New Roman" w:cs="Times New Roman"/>
        </w:rPr>
        <w:t xml:space="preserve">recorded </w:t>
      </w:r>
      <w:r w:rsidR="00EF4398" w:rsidRPr="00EF4398">
        <w:rPr>
          <w:rFonts w:ascii="Times New Roman" w:hAnsi="Times New Roman" w:cs="Times New Roman"/>
        </w:rPr>
        <w:t>at 540 nm and 556 nm</w:t>
      </w:r>
      <w:r w:rsid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00EF4398" w:rsidRPr="00EF4398">
        <w:rPr>
          <w:rFonts w:ascii="Times New Roman" w:hAnsi="Times New Roman" w:cs="Times New Roman"/>
        </w:rPr>
        <w:t xml:space="preserve">. </w:t>
      </w:r>
      <w:r w:rsidR="004E7E16">
        <w:rPr>
          <w:rFonts w:ascii="Times New Roman" w:hAnsi="Times New Roman" w:cs="Times New Roman"/>
        </w:rPr>
        <w:t>Leghemoglobin</w:t>
      </w:r>
      <w:r w:rsidR="00EF4398" w:rsidRPr="00EF4398">
        <w:rPr>
          <w:rFonts w:ascii="Times New Roman" w:hAnsi="Times New Roman" w:cs="Times New Roman"/>
        </w:rPr>
        <w:t xml:space="preserve"> concentration was calculated using the extinction coefficient and expressed as mg g</w:t>
      </w:r>
      <w:r w:rsidR="00EF4398" w:rsidRPr="00EF4398">
        <w:rPr>
          <w:rFonts w:ascii="Times New Roman" w:hAnsi="Times New Roman" w:cs="Times New Roman"/>
          <w:vertAlign w:val="superscript"/>
        </w:rPr>
        <w:t>-1</w:t>
      </w:r>
      <w:r w:rsidR="00EF4398" w:rsidRPr="00EF4398">
        <w:rPr>
          <w:rFonts w:ascii="Times New Roman" w:hAnsi="Times New Roman" w:cs="Times New Roman"/>
        </w:rPr>
        <w:t xml:space="preserve"> fresh weight.</w:t>
      </w:r>
    </w:p>
    <w:p w14:paraId="5EE61557" w14:textId="6AA59744"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Proline content</w:t>
      </w:r>
      <w:r w:rsidR="00061FB3">
        <w:rPr>
          <w:rFonts w:ascii="Times New Roman" w:hAnsi="Times New Roman" w:cs="Times New Roman"/>
          <w:b/>
          <w:bCs/>
        </w:rPr>
        <w:t xml:space="preserve"> (</w:t>
      </w:r>
      <w:proofErr w:type="spellStart"/>
      <w:r w:rsidR="00061FB3" w:rsidRPr="00061FB3">
        <w:rPr>
          <w:rFonts w:ascii="Times New Roman" w:hAnsi="Times New Roman" w:cs="Times New Roman"/>
          <w:b/>
          <w:bCs/>
        </w:rPr>
        <w:t>μmol</w:t>
      </w:r>
      <w:proofErr w:type="spellEnd"/>
      <w:r w:rsidR="00E70090">
        <w:rPr>
          <w:rFonts w:ascii="Times New Roman" w:hAnsi="Times New Roman" w:cs="Times New Roman"/>
          <w:b/>
          <w:bCs/>
        </w:rPr>
        <w:t xml:space="preserve"> </w:t>
      </w:r>
      <w:r w:rsidR="00061FB3" w:rsidRPr="00061FB3">
        <w:rPr>
          <w:rFonts w:ascii="Times New Roman" w:hAnsi="Times New Roman" w:cs="Times New Roman"/>
          <w:b/>
          <w:bCs/>
        </w:rPr>
        <w:t>g</w:t>
      </w:r>
      <w:r w:rsidR="00E70090" w:rsidRPr="00E70090">
        <w:rPr>
          <w:rFonts w:ascii="Times New Roman" w:hAnsi="Times New Roman" w:cs="Times New Roman"/>
          <w:b/>
          <w:bCs/>
          <w:vertAlign w:val="superscript"/>
        </w:rPr>
        <w:t>-1</w:t>
      </w:r>
      <w:r w:rsidR="00061FB3" w:rsidRPr="00061FB3">
        <w:rPr>
          <w:rFonts w:ascii="Times New Roman" w:hAnsi="Times New Roman" w:cs="Times New Roman"/>
          <w:b/>
          <w:bCs/>
        </w:rPr>
        <w:t xml:space="preserve"> FW</w:t>
      </w:r>
      <w:r w:rsidR="00061FB3">
        <w:rPr>
          <w:rFonts w:ascii="Times New Roman" w:hAnsi="Times New Roman" w:cs="Times New Roman"/>
          <w:b/>
          <w:bCs/>
        </w:rPr>
        <w:t>)</w:t>
      </w:r>
      <w:r>
        <w:rPr>
          <w:rFonts w:ascii="Times New Roman" w:hAnsi="Times New Roman" w:cs="Times New Roman"/>
          <w:b/>
          <w:bCs/>
        </w:rPr>
        <w:t xml:space="preserve">: </w:t>
      </w:r>
      <w:r w:rsidRPr="00EF4398">
        <w:rPr>
          <w:rFonts w:ascii="Times New Roman" w:hAnsi="Times New Roman" w:cs="Times New Roman"/>
        </w:rPr>
        <w:t xml:space="preserve">Proline content was estimated </w:t>
      </w:r>
      <w:r w:rsidR="00061FB3">
        <w:rPr>
          <w:rFonts w:ascii="Times New Roman" w:hAnsi="Times New Roman" w:cs="Times New Roman"/>
        </w:rPr>
        <w:t>by the</w:t>
      </w:r>
      <w:r w:rsidRPr="00EF4398">
        <w:rPr>
          <w:rFonts w:ascii="Times New Roman" w:hAnsi="Times New Roman" w:cs="Times New Roman"/>
        </w:rPr>
        <w:t xml:space="preserve"> acid-ninhydrin method</w:t>
      </w:r>
      <w:r w:rsidR="00061FB3">
        <w:rPr>
          <w:rFonts w:ascii="Times New Roman" w:hAnsi="Times New Roman" w:cs="Times New Roman"/>
        </w:rPr>
        <w:t xml:space="preserve"> suggested by</w:t>
      </w:r>
      <w:r w:rsidRPr="00EF4398">
        <w:rPr>
          <w:rFonts w:ascii="Times New Roman" w:hAnsi="Times New Roman" w:cs="Times New Roman"/>
        </w:rPr>
        <w:t xml:space="preserve"> Bates et al. (1973). </w:t>
      </w:r>
      <w:r w:rsidR="00061FB3">
        <w:rPr>
          <w:rFonts w:ascii="Times New Roman" w:hAnsi="Times New Roman" w:cs="Times New Roman"/>
        </w:rPr>
        <w:t>L</w:t>
      </w:r>
      <w:r w:rsidRPr="00EF4398">
        <w:rPr>
          <w:rFonts w:ascii="Times New Roman" w:hAnsi="Times New Roman" w:cs="Times New Roman"/>
        </w:rPr>
        <w:t>eaf tissue (0.5 g) was homogenized in 3% sulfosalicylic acid. The filtrate was reacted with acid-ninhydrin and glacial acetic acid, followed by incubation in a boiling water bath for 1h</w:t>
      </w:r>
      <w:r w:rsidR="00061FB3">
        <w:rPr>
          <w:rFonts w:ascii="Times New Roman" w:hAnsi="Times New Roman" w:cs="Times New Roman"/>
        </w:rPr>
        <w:t xml:space="preserve">r and then </w:t>
      </w:r>
      <w:r w:rsidRPr="00EF4398">
        <w:rPr>
          <w:rFonts w:ascii="Times New Roman" w:hAnsi="Times New Roman" w:cs="Times New Roman"/>
        </w:rPr>
        <w:t>reaction mixture was cooled</w:t>
      </w:r>
      <w:r w:rsidR="00061FB3">
        <w:rPr>
          <w:rFonts w:ascii="Times New Roman" w:hAnsi="Times New Roman" w:cs="Times New Roman"/>
        </w:rPr>
        <w:t xml:space="preserve"> at room temperature</w:t>
      </w:r>
      <w:r w:rsidRPr="00EF4398">
        <w:rPr>
          <w:rFonts w:ascii="Times New Roman" w:hAnsi="Times New Roman" w:cs="Times New Roman"/>
        </w:rPr>
        <w:t xml:space="preserve">, and chromophore was extracted using toluene. Absorbance was </w:t>
      </w:r>
      <w:r w:rsidR="00061FB3">
        <w:rPr>
          <w:rFonts w:ascii="Times New Roman" w:hAnsi="Times New Roman" w:cs="Times New Roman"/>
        </w:rPr>
        <w:t>measured</w:t>
      </w:r>
      <w:r w:rsidRPr="00EF4398">
        <w:rPr>
          <w:rFonts w:ascii="Times New Roman" w:hAnsi="Times New Roman" w:cs="Times New Roman"/>
        </w:rPr>
        <w:t xml:space="preserve"> at 520 nm</w:t>
      </w:r>
      <w:r w:rsidR="00E70090" w:rsidRP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Pr="00EF4398">
        <w:rPr>
          <w:rFonts w:ascii="Times New Roman" w:hAnsi="Times New Roman" w:cs="Times New Roman"/>
        </w:rPr>
        <w:t xml:space="preserve">, and proline concentration was calculated from a standard curve and expressed as </w:t>
      </w:r>
      <w:proofErr w:type="spellStart"/>
      <w:r w:rsidRPr="00EF4398">
        <w:rPr>
          <w:rFonts w:ascii="Times New Roman" w:hAnsi="Times New Roman" w:cs="Times New Roman"/>
        </w:rPr>
        <w:t>μmol</w:t>
      </w:r>
      <w:proofErr w:type="spellEnd"/>
      <w:r w:rsidRPr="00EF4398">
        <w:rPr>
          <w:rFonts w:ascii="Times New Roman" w:hAnsi="Times New Roman" w:cs="Times New Roman"/>
        </w:rPr>
        <w:t xml:space="preserve"> g</w:t>
      </w:r>
      <w:r w:rsidR="00E70090" w:rsidRPr="00E70090">
        <w:rPr>
          <w:rFonts w:ascii="Times New Roman" w:hAnsi="Times New Roman" w:cs="Times New Roman"/>
          <w:vertAlign w:val="superscript"/>
        </w:rPr>
        <w:t>-1</w:t>
      </w:r>
      <w:r w:rsidR="00E70090">
        <w:rPr>
          <w:rFonts w:ascii="Times New Roman" w:hAnsi="Times New Roman" w:cs="Times New Roman"/>
        </w:rPr>
        <w:t xml:space="preserve"> </w:t>
      </w:r>
      <w:r w:rsidRPr="00EF4398">
        <w:rPr>
          <w:rFonts w:ascii="Times New Roman" w:hAnsi="Times New Roman" w:cs="Times New Roman"/>
        </w:rPr>
        <w:t>fresh weight.</w:t>
      </w:r>
    </w:p>
    <w:p w14:paraId="3BCDA676" w14:textId="45E7C8E4" w:rsid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lastRenderedPageBreak/>
        <w:t>Superoxide dismutase (SOD) activity</w:t>
      </w:r>
      <w:r w:rsidR="00E70090">
        <w:rPr>
          <w:rFonts w:ascii="Times New Roman" w:hAnsi="Times New Roman" w:cs="Times New Roman"/>
          <w:b/>
          <w:bCs/>
        </w:rPr>
        <w:t xml:space="preserve"> (Unit mg</w:t>
      </w:r>
      <w:r w:rsidR="00E70090" w:rsidRPr="00E70090">
        <w:rPr>
          <w:rFonts w:ascii="Times New Roman" w:hAnsi="Times New Roman" w:cs="Times New Roman"/>
          <w:b/>
          <w:bCs/>
          <w:vertAlign w:val="superscript"/>
        </w:rPr>
        <w:t>-1</w:t>
      </w:r>
      <w:r w:rsidR="00E70090">
        <w:rPr>
          <w:rFonts w:ascii="Times New Roman" w:hAnsi="Times New Roman" w:cs="Times New Roman"/>
          <w:b/>
          <w:bCs/>
        </w:rPr>
        <w:t xml:space="preserve"> protein)</w:t>
      </w:r>
      <w:r w:rsidR="00061FB3">
        <w:rPr>
          <w:rFonts w:ascii="Times New Roman" w:hAnsi="Times New Roman" w:cs="Times New Roman"/>
          <w:b/>
          <w:bCs/>
        </w:rPr>
        <w:t xml:space="preserve">: </w:t>
      </w:r>
      <w:r w:rsidRPr="00EF4398">
        <w:rPr>
          <w:rFonts w:ascii="Times New Roman" w:hAnsi="Times New Roman" w:cs="Times New Roman"/>
        </w:rPr>
        <w:t xml:space="preserve">SOD activity was assayed </w:t>
      </w:r>
      <w:r w:rsidR="00E70090">
        <w:rPr>
          <w:rFonts w:ascii="Times New Roman" w:hAnsi="Times New Roman" w:cs="Times New Roman"/>
        </w:rPr>
        <w:t xml:space="preserve">by the </w:t>
      </w:r>
      <w:r w:rsidRPr="00EF4398">
        <w:rPr>
          <w:rFonts w:ascii="Times New Roman" w:hAnsi="Times New Roman" w:cs="Times New Roman"/>
        </w:rPr>
        <w:t xml:space="preserve">method of Asada et al. (1974) based on the inhibition of </w:t>
      </w:r>
      <w:proofErr w:type="spellStart"/>
      <w:r w:rsidRPr="00EF4398">
        <w:rPr>
          <w:rFonts w:ascii="Times New Roman" w:hAnsi="Times New Roman" w:cs="Times New Roman"/>
        </w:rPr>
        <w:t>nitroblue</w:t>
      </w:r>
      <w:proofErr w:type="spellEnd"/>
      <w:r w:rsidRPr="00EF4398">
        <w:rPr>
          <w:rFonts w:ascii="Times New Roman" w:hAnsi="Times New Roman" w:cs="Times New Roman"/>
        </w:rPr>
        <w:t xml:space="preserve"> tetrazolium (NBT) photoreduction. Fresh leaf tissue was homogenized in </w:t>
      </w:r>
      <w:r w:rsidR="00E70090">
        <w:rPr>
          <w:rFonts w:ascii="Times New Roman" w:hAnsi="Times New Roman" w:cs="Times New Roman"/>
        </w:rPr>
        <w:t xml:space="preserve">ice </w:t>
      </w:r>
      <w:r w:rsidRPr="00EF4398">
        <w:rPr>
          <w:rFonts w:ascii="Times New Roman" w:hAnsi="Times New Roman" w:cs="Times New Roman"/>
        </w:rPr>
        <w:t xml:space="preserve">chilled phosphate buffer and centrifuged at 15,000 rpm </w:t>
      </w:r>
      <w:r w:rsidR="00E70090">
        <w:rPr>
          <w:rFonts w:ascii="Times New Roman" w:hAnsi="Times New Roman" w:cs="Times New Roman"/>
        </w:rPr>
        <w:t xml:space="preserve">using </w:t>
      </w:r>
      <w:r w:rsidR="00E70090" w:rsidRPr="00E70090">
        <w:rPr>
          <w:rFonts w:ascii="Times New Roman" w:hAnsi="Times New Roman" w:cs="Times New Roman"/>
        </w:rPr>
        <w:t>Remi Centrifuge Machine, R-8C</w:t>
      </w:r>
      <w:r w:rsidR="00E70090">
        <w:rPr>
          <w:rFonts w:ascii="Times New Roman" w:hAnsi="Times New Roman" w:cs="Times New Roman"/>
        </w:rPr>
        <w:t xml:space="preserve"> </w:t>
      </w:r>
      <w:r w:rsidRPr="00EF4398">
        <w:rPr>
          <w:rFonts w:ascii="Times New Roman" w:hAnsi="Times New Roman" w:cs="Times New Roman"/>
        </w:rPr>
        <w:t>for 20 min at 4 °C. The reaction mixture contained phosphate buffer, methionine, NBT, riboflavin, and enzyme extract. The reaction was initiated by illumination, and absorbance was recorded at 560 nm</w:t>
      </w:r>
      <w:r w:rsidR="00E70090" w:rsidRP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Pr="00EF4398">
        <w:rPr>
          <w:rFonts w:ascii="Times New Roman" w:hAnsi="Times New Roman" w:cs="Times New Roman"/>
        </w:rPr>
        <w:t>. One unit of SOD activity was defined as the amount of enzyme required to cause 50% inhibition of NBT reduction and expressed as U mg⁻¹ protein.</w:t>
      </w:r>
    </w:p>
    <w:p w14:paraId="3B706015" w14:textId="73AB64CB" w:rsidR="00E70090" w:rsidRDefault="00E70090" w:rsidP="00E70090">
      <w:pPr>
        <w:spacing w:line="360" w:lineRule="auto"/>
        <w:jc w:val="both"/>
        <w:rPr>
          <w:rFonts w:ascii="Times New Roman" w:hAnsi="Times New Roman" w:cs="Times New Roman"/>
        </w:rPr>
      </w:pPr>
      <w:r w:rsidRPr="00F65238">
        <w:rPr>
          <w:rFonts w:ascii="Times New Roman" w:hAnsi="Times New Roman" w:cs="Times New Roman"/>
          <w:b/>
          <w:bCs/>
        </w:rPr>
        <w:t>Data analysis-</w:t>
      </w:r>
      <w:r w:rsidRPr="00F65238">
        <w:rPr>
          <w:rFonts w:ascii="Times New Roman" w:hAnsi="Times New Roman" w:cs="Times New Roman"/>
        </w:rPr>
        <w:t xml:space="preserve"> </w:t>
      </w:r>
      <w:r w:rsidRPr="00E70090">
        <w:rPr>
          <w:rFonts w:ascii="Times New Roman" w:hAnsi="Times New Roman" w:cs="Times New Roman"/>
        </w:rPr>
        <w:t xml:space="preserve">The experimental data were </w:t>
      </w:r>
      <w:r>
        <w:rPr>
          <w:rFonts w:ascii="Times New Roman" w:hAnsi="Times New Roman" w:cs="Times New Roman"/>
        </w:rPr>
        <w:t>analyzed for</w:t>
      </w:r>
      <w:r w:rsidRPr="00E70090">
        <w:rPr>
          <w:rFonts w:ascii="Times New Roman" w:hAnsi="Times New Roman" w:cs="Times New Roman"/>
        </w:rPr>
        <w:t xml:space="preserve"> analysis of variance (ANOVA) appropriate for a Randomized Block Design (RBD). Differences among treatment means were tested for statistical significance at the 5% probability level.</w:t>
      </w:r>
    </w:p>
    <w:p w14:paraId="6DA7CD40" w14:textId="3D8209DB" w:rsidR="000D510D" w:rsidRPr="000D510D" w:rsidRDefault="000D510D" w:rsidP="00E70090">
      <w:pPr>
        <w:spacing w:line="360" w:lineRule="auto"/>
        <w:jc w:val="both"/>
        <w:rPr>
          <w:rFonts w:ascii="Times New Roman" w:hAnsi="Times New Roman" w:cs="Times New Roman"/>
          <w:b/>
          <w:bCs/>
        </w:rPr>
      </w:pPr>
      <w:r w:rsidRPr="000D510D">
        <w:rPr>
          <w:rFonts w:ascii="Times New Roman" w:hAnsi="Times New Roman" w:cs="Times New Roman"/>
          <w:b/>
          <w:bCs/>
        </w:rPr>
        <w:t xml:space="preserve">Result </w:t>
      </w:r>
    </w:p>
    <w:p w14:paraId="1238A2B2" w14:textId="4FE1A97B" w:rsidR="00233AE0" w:rsidRDefault="00233AE0" w:rsidP="00233AE0">
      <w:pPr>
        <w:spacing w:line="360" w:lineRule="auto"/>
        <w:jc w:val="both"/>
        <w:rPr>
          <w:rFonts w:ascii="Times New Roman" w:hAnsi="Times New Roman" w:cs="Times New Roman"/>
        </w:rPr>
      </w:pPr>
      <w:r>
        <w:rPr>
          <w:rFonts w:ascii="Times New Roman" w:hAnsi="Times New Roman" w:cs="Times New Roman"/>
          <w:b/>
          <w:bCs/>
        </w:rPr>
        <w:t>W</w:t>
      </w:r>
      <w:r w:rsidRPr="00233AE0">
        <w:rPr>
          <w:rFonts w:ascii="Times New Roman" w:hAnsi="Times New Roman" w:cs="Times New Roman"/>
          <w:b/>
          <w:bCs/>
        </w:rPr>
        <w:t>ater</w:t>
      </w:r>
      <w:r>
        <w:rPr>
          <w:rFonts w:ascii="Times New Roman" w:hAnsi="Times New Roman" w:cs="Times New Roman"/>
          <w:b/>
          <w:bCs/>
        </w:rPr>
        <w:t xml:space="preserve"> </w:t>
      </w:r>
      <w:r w:rsidRPr="00233AE0">
        <w:rPr>
          <w:rFonts w:ascii="Times New Roman" w:hAnsi="Times New Roman" w:cs="Times New Roman"/>
          <w:b/>
          <w:bCs/>
        </w:rPr>
        <w:t>soluble carbohydrates</w:t>
      </w:r>
      <w:r>
        <w:rPr>
          <w:rFonts w:ascii="Times New Roman" w:hAnsi="Times New Roman" w:cs="Times New Roman"/>
          <w:b/>
          <w:bCs/>
        </w:rPr>
        <w:t xml:space="preserve"> </w:t>
      </w:r>
      <w:r w:rsidRPr="00233AE0">
        <w:rPr>
          <w:rFonts w:ascii="Times New Roman" w:hAnsi="Times New Roman" w:cs="Times New Roman"/>
          <w:b/>
          <w:bCs/>
        </w:rPr>
        <w:t>(WSC)</w:t>
      </w:r>
      <w:r>
        <w:rPr>
          <w:rFonts w:ascii="Times New Roman" w:hAnsi="Times New Roman" w:cs="Times New Roman"/>
          <w:b/>
          <w:bCs/>
        </w:rPr>
        <w:t xml:space="preserve">: </w:t>
      </w:r>
      <w:r w:rsidRPr="00233AE0">
        <w:rPr>
          <w:rFonts w:ascii="Times New Roman" w:hAnsi="Times New Roman" w:cs="Times New Roman"/>
        </w:rPr>
        <w:t>Water-soluble carbohydrate content showed significant variation among herbicide treatments in both genotypes (MH-65 and MH-45)</w:t>
      </w:r>
      <w:r>
        <w:rPr>
          <w:rFonts w:ascii="Times New Roman" w:hAnsi="Times New Roman" w:cs="Times New Roman"/>
        </w:rPr>
        <w:t xml:space="preserve"> and </w:t>
      </w:r>
      <w:r w:rsidRPr="00233AE0">
        <w:rPr>
          <w:rFonts w:ascii="Times New Roman" w:hAnsi="Times New Roman" w:cs="Times New Roman"/>
        </w:rPr>
        <w:t>indicating differential metabolic responses to weed management practices</w:t>
      </w:r>
      <w:r w:rsidR="00501E1C">
        <w:rPr>
          <w:rFonts w:ascii="Times New Roman" w:hAnsi="Times New Roman" w:cs="Times New Roman"/>
        </w:rPr>
        <w:t xml:space="preserve"> (Table-1)</w:t>
      </w:r>
      <w:r w:rsidRPr="00233AE0">
        <w:rPr>
          <w:rFonts w:ascii="Times New Roman" w:hAnsi="Times New Roman" w:cs="Times New Roman"/>
        </w:rPr>
        <w:t>. In the control treatment (T</w:t>
      </w:r>
      <w:r w:rsidR="00501E1C">
        <w:rPr>
          <w:rFonts w:ascii="Times New Roman" w:hAnsi="Times New Roman" w:cs="Times New Roman"/>
          <w:vertAlign w:val="subscript"/>
        </w:rPr>
        <w:t>0</w:t>
      </w:r>
      <w:r w:rsidRPr="00233AE0">
        <w:rPr>
          <w:rFonts w:ascii="Times New Roman" w:hAnsi="Times New Roman" w:cs="Times New Roman"/>
        </w:rPr>
        <w:t>), the highest WSC content was recorded in both genotypes, with MH-65 exhibiting 73.20 mg g</w:t>
      </w:r>
      <w:r w:rsidRPr="00233AE0">
        <w:rPr>
          <w:rFonts w:ascii="Times New Roman" w:hAnsi="Times New Roman" w:cs="Times New Roman"/>
          <w:vertAlign w:val="superscript"/>
        </w:rPr>
        <w:t>-1</w:t>
      </w:r>
      <w:r w:rsidRPr="00233AE0">
        <w:rPr>
          <w:rFonts w:ascii="Times New Roman" w:hAnsi="Times New Roman" w:cs="Times New Roman"/>
        </w:rPr>
        <w:t xml:space="preserve"> and MH-45 showing 69.80 mg g</w:t>
      </w:r>
      <w:r w:rsidRPr="00233AE0">
        <w:rPr>
          <w:rFonts w:ascii="Times New Roman" w:hAnsi="Times New Roman" w:cs="Times New Roman"/>
          <w:vertAlign w:val="superscript"/>
        </w:rPr>
        <w:t>-1</w:t>
      </w:r>
      <w:r w:rsidRPr="00233AE0">
        <w:rPr>
          <w:rFonts w:ascii="Times New Roman" w:hAnsi="Times New Roman" w:cs="Times New Roman"/>
        </w:rPr>
        <w:t>. Among single herbicide applications, pendimethalin (T</w:t>
      </w:r>
      <w:r w:rsidR="00501E1C" w:rsidRPr="00501E1C">
        <w:rPr>
          <w:rFonts w:ascii="Times New Roman" w:hAnsi="Times New Roman" w:cs="Times New Roman"/>
          <w:vertAlign w:val="subscript"/>
        </w:rPr>
        <w:t>1</w:t>
      </w:r>
      <w:r w:rsidRPr="00233AE0">
        <w:rPr>
          <w:rFonts w:ascii="Times New Roman" w:hAnsi="Times New Roman" w:cs="Times New Roman"/>
        </w:rPr>
        <w:t xml:space="preserve">) maintained relatively higher WSC levels compared to other treatments, particularly in MH-65 (72.10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w:t>
      </w:r>
      <w:r>
        <w:rPr>
          <w:rFonts w:ascii="Times New Roman" w:hAnsi="Times New Roman" w:cs="Times New Roman"/>
        </w:rPr>
        <w:t xml:space="preserve"> and</w:t>
      </w:r>
      <w:r w:rsidRPr="00233AE0">
        <w:rPr>
          <w:rFonts w:ascii="Times New Roman" w:hAnsi="Times New Roman" w:cs="Times New Roman"/>
        </w:rPr>
        <w:t xml:space="preserve"> Quizalofop (T</w:t>
      </w:r>
      <w:r w:rsidR="00501E1C" w:rsidRPr="00501E1C">
        <w:rPr>
          <w:rFonts w:ascii="Times New Roman" w:hAnsi="Times New Roman" w:cs="Times New Roman"/>
          <w:vertAlign w:val="subscript"/>
        </w:rPr>
        <w:t>3</w:t>
      </w:r>
      <w:r w:rsidRPr="00233AE0">
        <w:rPr>
          <w:rFonts w:ascii="Times New Roman" w:hAnsi="Times New Roman" w:cs="Times New Roman"/>
        </w:rPr>
        <w:t xml:space="preserve">) </w:t>
      </w:r>
      <w:r>
        <w:rPr>
          <w:rFonts w:ascii="Times New Roman" w:hAnsi="Times New Roman" w:cs="Times New Roman"/>
        </w:rPr>
        <w:t xml:space="preserve">had </w:t>
      </w:r>
      <w:r w:rsidRPr="00233AE0">
        <w:rPr>
          <w:rFonts w:ascii="Times New Roman" w:hAnsi="Times New Roman" w:cs="Times New Roman"/>
        </w:rPr>
        <w:t xml:space="preserve">moderate </w:t>
      </w:r>
      <w:r>
        <w:rPr>
          <w:rFonts w:ascii="Times New Roman" w:hAnsi="Times New Roman" w:cs="Times New Roman"/>
        </w:rPr>
        <w:t xml:space="preserve">level of </w:t>
      </w:r>
      <w:r w:rsidRPr="00233AE0">
        <w:rPr>
          <w:rFonts w:ascii="Times New Roman" w:hAnsi="Times New Roman" w:cs="Times New Roman"/>
        </w:rPr>
        <w:t xml:space="preserve">WSC content in MH-65 (71.00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 xml:space="preserve">), whereas a marked reduction was observed in MH-45 (61.80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w:t>
      </w:r>
      <w:r>
        <w:rPr>
          <w:rFonts w:ascii="Times New Roman" w:hAnsi="Times New Roman" w:cs="Times New Roman"/>
        </w:rPr>
        <w:t xml:space="preserve">. </w:t>
      </w:r>
      <w:r w:rsidRPr="00233AE0">
        <w:rPr>
          <w:rFonts w:ascii="Times New Roman" w:hAnsi="Times New Roman" w:cs="Times New Roman"/>
        </w:rPr>
        <w:t>Combined herbicide treatments resulted lowest carbohydrate accumulation under the imazethapyr + quizalofop combination (T</w:t>
      </w:r>
      <w:r w:rsidR="00501E1C" w:rsidRPr="00501E1C">
        <w:rPr>
          <w:rFonts w:ascii="Times New Roman" w:hAnsi="Times New Roman" w:cs="Times New Roman"/>
          <w:vertAlign w:val="subscript"/>
        </w:rPr>
        <w:t>6</w:t>
      </w:r>
      <w:r w:rsidRPr="00233AE0">
        <w:rPr>
          <w:rFonts w:ascii="Times New Roman" w:hAnsi="Times New Roman" w:cs="Times New Roman"/>
        </w:rPr>
        <w:t xml:space="preserve">), with values of 60.50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00501E1C">
        <w:rPr>
          <w:rFonts w:ascii="Times New Roman" w:hAnsi="Times New Roman" w:cs="Times New Roman"/>
          <w:vertAlign w:val="superscript"/>
        </w:rPr>
        <w:t xml:space="preserve"> </w:t>
      </w:r>
      <w:r w:rsidRPr="00233AE0">
        <w:rPr>
          <w:rFonts w:ascii="Times New Roman" w:hAnsi="Times New Roman" w:cs="Times New Roman"/>
        </w:rPr>
        <w:t xml:space="preserve">in MH-65 and 65.10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00501E1C">
        <w:rPr>
          <w:rFonts w:ascii="Times New Roman" w:hAnsi="Times New Roman" w:cs="Times New Roman"/>
          <w:vertAlign w:val="superscript"/>
        </w:rPr>
        <w:t xml:space="preserve"> </w:t>
      </w:r>
      <w:r w:rsidRPr="00233AE0">
        <w:rPr>
          <w:rFonts w:ascii="Times New Roman" w:hAnsi="Times New Roman" w:cs="Times New Roman"/>
        </w:rPr>
        <w:t>in MH-45. The observed differences exceeded the critical difference (C.D.) values at the 5% significance level, confirming the statistical reliability of treatment effects.</w:t>
      </w:r>
      <w:r w:rsidR="003867F7">
        <w:rPr>
          <w:rFonts w:ascii="Times New Roman" w:hAnsi="Times New Roman" w:cs="Times New Roman"/>
        </w:rPr>
        <w:t xml:space="preserve"> Finally</w:t>
      </w:r>
      <w:r w:rsidRPr="00233AE0">
        <w:rPr>
          <w:rFonts w:ascii="Times New Roman" w:hAnsi="Times New Roman" w:cs="Times New Roman"/>
        </w:rPr>
        <w:t xml:space="preserve">, MH-65 maintained higher WSC levels than MH-45 across treatments, indicating superior metabolic resilience </w:t>
      </w:r>
      <w:r w:rsidR="003867F7">
        <w:rPr>
          <w:rFonts w:ascii="Times New Roman" w:hAnsi="Times New Roman" w:cs="Times New Roman"/>
        </w:rPr>
        <w:t>significant genotype</w:t>
      </w:r>
      <w:r w:rsidRPr="00233AE0">
        <w:rPr>
          <w:rFonts w:ascii="Times New Roman" w:hAnsi="Times New Roman" w:cs="Times New Roman"/>
        </w:rPr>
        <w:t>.</w:t>
      </w:r>
    </w:p>
    <w:p w14:paraId="6AFCC1CA" w14:textId="1B190DA7" w:rsidR="003867F7" w:rsidRPr="00EF26DB" w:rsidRDefault="003867F7" w:rsidP="003867F7">
      <w:pPr>
        <w:spacing w:after="0" w:line="360" w:lineRule="auto"/>
        <w:jc w:val="both"/>
        <w:rPr>
          <w:rFonts w:ascii="Times New Roman" w:hAnsi="Times New Roman" w:cs="Times New Roman"/>
          <w:b/>
          <w:bCs/>
        </w:rPr>
      </w:pPr>
      <w:r w:rsidRPr="003867F7">
        <w:rPr>
          <w:rFonts w:ascii="Times New Roman" w:hAnsi="Times New Roman" w:cs="Times New Roman"/>
          <w:b/>
          <w:bCs/>
        </w:rPr>
        <w:t xml:space="preserve">Table- 1. Effect of different pre and post emergence </w:t>
      </w:r>
      <w:r w:rsidRPr="00EF26DB">
        <w:rPr>
          <w:rFonts w:ascii="Times New Roman" w:hAnsi="Times New Roman" w:cs="Times New Roman"/>
          <w:b/>
          <w:bCs/>
        </w:rPr>
        <w:t xml:space="preserve">herbicide in the </w:t>
      </w:r>
      <w:proofErr w:type="gramStart"/>
      <w:r w:rsidR="00EF26DB" w:rsidRPr="00EF26DB">
        <w:rPr>
          <w:rFonts w:ascii="Times New Roman" w:eastAsia="Times New Roman" w:hAnsi="Times New Roman" w:cs="Times New Roman"/>
          <w:b/>
          <w:bCs/>
          <w:color w:val="000000"/>
          <w:kern w:val="0"/>
          <w14:ligatures w14:val="none"/>
        </w:rPr>
        <w:t>water soluble</w:t>
      </w:r>
      <w:proofErr w:type="gramEnd"/>
      <w:r w:rsidR="00EF26DB" w:rsidRPr="00EF26DB">
        <w:rPr>
          <w:rFonts w:ascii="Times New Roman" w:eastAsia="Times New Roman" w:hAnsi="Times New Roman" w:cs="Times New Roman"/>
          <w:b/>
          <w:bCs/>
          <w:color w:val="000000"/>
          <w:kern w:val="0"/>
          <w14:ligatures w14:val="none"/>
        </w:rPr>
        <w:t xml:space="preserve"> carbohydrates </w:t>
      </w:r>
      <w:r w:rsidRPr="00EF26DB">
        <w:rPr>
          <w:rFonts w:ascii="Times New Roman" w:hAnsi="Times New Roman" w:cs="Times New Roman"/>
          <w:b/>
          <w:bCs/>
        </w:rPr>
        <w:t xml:space="preserve">and </w:t>
      </w:r>
      <w:r w:rsidR="00EF26DB" w:rsidRPr="00EF26DB">
        <w:rPr>
          <w:rFonts w:ascii="Times New Roman" w:hAnsi="Times New Roman" w:cs="Times New Roman"/>
          <w:b/>
          <w:bCs/>
        </w:rPr>
        <w:t xml:space="preserve">protein content </w:t>
      </w:r>
      <w:r w:rsidRPr="00EF26DB">
        <w:rPr>
          <w:rFonts w:ascii="Times New Roman" w:hAnsi="Times New Roman" w:cs="Times New Roman"/>
          <w:b/>
          <w:bCs/>
        </w:rPr>
        <w:t>of moth bean genotype</w:t>
      </w:r>
    </w:p>
    <w:tbl>
      <w:tblPr>
        <w:tblW w:w="5000" w:type="pct"/>
        <w:tblLook w:val="04A0" w:firstRow="1" w:lastRow="0" w:firstColumn="1" w:lastColumn="0" w:noHBand="0" w:noVBand="1"/>
      </w:tblPr>
      <w:tblGrid>
        <w:gridCol w:w="2425"/>
        <w:gridCol w:w="1821"/>
        <w:gridCol w:w="2008"/>
        <w:gridCol w:w="1548"/>
        <w:gridCol w:w="1548"/>
      </w:tblGrid>
      <w:tr w:rsidR="003867F7" w:rsidRPr="005B3A55" w14:paraId="2FBBA88D" w14:textId="77777777" w:rsidTr="00237F06">
        <w:trPr>
          <w:trHeight w:val="288"/>
        </w:trPr>
        <w:tc>
          <w:tcPr>
            <w:tcW w:w="1297" w:type="pct"/>
            <w:vMerge w:val="restart"/>
            <w:tcBorders>
              <w:top w:val="single" w:sz="4" w:space="0" w:color="auto"/>
              <w:left w:val="single" w:sz="4" w:space="0" w:color="auto"/>
              <w:bottom w:val="single" w:sz="4" w:space="0" w:color="auto"/>
              <w:right w:val="single" w:sz="4" w:space="0" w:color="auto"/>
            </w:tcBorders>
            <w:hideMark/>
          </w:tcPr>
          <w:p w14:paraId="3697E01B"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Treatment</w:t>
            </w:r>
          </w:p>
        </w:tc>
        <w:tc>
          <w:tcPr>
            <w:tcW w:w="2048" w:type="pct"/>
            <w:gridSpan w:val="2"/>
            <w:tcBorders>
              <w:top w:val="single" w:sz="4" w:space="0" w:color="auto"/>
              <w:left w:val="nil"/>
              <w:bottom w:val="single" w:sz="4" w:space="0" w:color="auto"/>
              <w:right w:val="single" w:sz="4" w:space="0" w:color="auto"/>
            </w:tcBorders>
            <w:hideMark/>
          </w:tcPr>
          <w:p w14:paraId="7B7D42B9"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Water Soluble Carbohydrates (mg/g)</w:t>
            </w:r>
          </w:p>
        </w:tc>
        <w:tc>
          <w:tcPr>
            <w:tcW w:w="1656" w:type="pct"/>
            <w:gridSpan w:val="2"/>
            <w:tcBorders>
              <w:top w:val="single" w:sz="4" w:space="0" w:color="auto"/>
              <w:left w:val="nil"/>
              <w:bottom w:val="single" w:sz="4" w:space="0" w:color="auto"/>
              <w:right w:val="single" w:sz="4" w:space="0" w:color="auto"/>
            </w:tcBorders>
            <w:hideMark/>
          </w:tcPr>
          <w:p w14:paraId="0F75A806"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Protein Content (mg/g FW)</w:t>
            </w:r>
          </w:p>
        </w:tc>
      </w:tr>
      <w:tr w:rsidR="003867F7" w:rsidRPr="005B3A55" w14:paraId="603B5FDC" w14:textId="77777777" w:rsidTr="00237F06">
        <w:trPr>
          <w:trHeight w:val="288"/>
        </w:trPr>
        <w:tc>
          <w:tcPr>
            <w:tcW w:w="1297" w:type="pct"/>
            <w:vMerge/>
            <w:tcBorders>
              <w:top w:val="single" w:sz="4" w:space="0" w:color="auto"/>
              <w:left w:val="single" w:sz="4" w:space="0" w:color="auto"/>
              <w:bottom w:val="single" w:sz="4" w:space="0" w:color="auto"/>
              <w:right w:val="single" w:sz="4" w:space="0" w:color="auto"/>
            </w:tcBorders>
            <w:vAlign w:val="center"/>
            <w:hideMark/>
          </w:tcPr>
          <w:p w14:paraId="4D3DEFCE"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p>
        </w:tc>
        <w:tc>
          <w:tcPr>
            <w:tcW w:w="974" w:type="pct"/>
            <w:tcBorders>
              <w:top w:val="nil"/>
              <w:left w:val="nil"/>
              <w:bottom w:val="single" w:sz="4" w:space="0" w:color="auto"/>
              <w:right w:val="single" w:sz="4" w:space="0" w:color="auto"/>
            </w:tcBorders>
            <w:noWrap/>
            <w:hideMark/>
          </w:tcPr>
          <w:p w14:paraId="5C258FB8"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MH-65</w:t>
            </w:r>
          </w:p>
        </w:tc>
        <w:tc>
          <w:tcPr>
            <w:tcW w:w="1074" w:type="pct"/>
            <w:tcBorders>
              <w:top w:val="nil"/>
              <w:left w:val="nil"/>
              <w:bottom w:val="single" w:sz="4" w:space="0" w:color="auto"/>
              <w:right w:val="single" w:sz="4" w:space="0" w:color="auto"/>
            </w:tcBorders>
            <w:noWrap/>
            <w:hideMark/>
          </w:tcPr>
          <w:p w14:paraId="2807768A"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MH-45</w:t>
            </w:r>
          </w:p>
        </w:tc>
        <w:tc>
          <w:tcPr>
            <w:tcW w:w="828" w:type="pct"/>
            <w:tcBorders>
              <w:top w:val="nil"/>
              <w:left w:val="nil"/>
              <w:bottom w:val="single" w:sz="4" w:space="0" w:color="auto"/>
              <w:right w:val="single" w:sz="4" w:space="0" w:color="auto"/>
            </w:tcBorders>
            <w:noWrap/>
            <w:hideMark/>
          </w:tcPr>
          <w:p w14:paraId="415B46CD"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MH-65</w:t>
            </w:r>
          </w:p>
        </w:tc>
        <w:tc>
          <w:tcPr>
            <w:tcW w:w="828" w:type="pct"/>
            <w:tcBorders>
              <w:top w:val="nil"/>
              <w:left w:val="nil"/>
              <w:bottom w:val="single" w:sz="4" w:space="0" w:color="auto"/>
              <w:right w:val="single" w:sz="4" w:space="0" w:color="auto"/>
            </w:tcBorders>
            <w:noWrap/>
            <w:hideMark/>
          </w:tcPr>
          <w:p w14:paraId="65B808ED"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MH-45</w:t>
            </w:r>
          </w:p>
        </w:tc>
      </w:tr>
      <w:tr w:rsidR="003867F7" w:rsidRPr="005B3A55" w14:paraId="2A2B9220"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0D96D1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T0 – Control</w:t>
            </w:r>
          </w:p>
        </w:tc>
        <w:tc>
          <w:tcPr>
            <w:tcW w:w="974" w:type="pct"/>
            <w:tcBorders>
              <w:top w:val="nil"/>
              <w:left w:val="nil"/>
              <w:bottom w:val="single" w:sz="4" w:space="0" w:color="auto"/>
              <w:right w:val="single" w:sz="4" w:space="0" w:color="auto"/>
            </w:tcBorders>
            <w:noWrap/>
            <w:hideMark/>
          </w:tcPr>
          <w:p w14:paraId="103BC47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73.20 ± 0.025</w:t>
            </w:r>
          </w:p>
        </w:tc>
        <w:tc>
          <w:tcPr>
            <w:tcW w:w="1074" w:type="pct"/>
            <w:tcBorders>
              <w:top w:val="nil"/>
              <w:left w:val="nil"/>
              <w:bottom w:val="single" w:sz="4" w:space="0" w:color="auto"/>
              <w:right w:val="single" w:sz="4" w:space="0" w:color="auto"/>
            </w:tcBorders>
            <w:noWrap/>
            <w:hideMark/>
          </w:tcPr>
          <w:p w14:paraId="5FED7F71"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69.80 ± 1.743</w:t>
            </w:r>
          </w:p>
        </w:tc>
        <w:tc>
          <w:tcPr>
            <w:tcW w:w="828" w:type="pct"/>
            <w:tcBorders>
              <w:top w:val="nil"/>
              <w:left w:val="nil"/>
              <w:bottom w:val="single" w:sz="4" w:space="0" w:color="auto"/>
              <w:right w:val="single" w:sz="4" w:space="0" w:color="auto"/>
            </w:tcBorders>
            <w:noWrap/>
            <w:hideMark/>
          </w:tcPr>
          <w:p w14:paraId="353F0D4F"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29.80 ± 0.000</w:t>
            </w:r>
          </w:p>
        </w:tc>
        <w:tc>
          <w:tcPr>
            <w:tcW w:w="828" w:type="pct"/>
            <w:tcBorders>
              <w:top w:val="nil"/>
              <w:left w:val="nil"/>
              <w:bottom w:val="single" w:sz="4" w:space="0" w:color="auto"/>
              <w:right w:val="single" w:sz="4" w:space="0" w:color="auto"/>
            </w:tcBorders>
            <w:noWrap/>
            <w:hideMark/>
          </w:tcPr>
          <w:p w14:paraId="4EEE61D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26.90 ± 0.562</w:t>
            </w:r>
          </w:p>
        </w:tc>
      </w:tr>
      <w:tr w:rsidR="003867F7" w:rsidRPr="005B3A55" w14:paraId="11C1D8A6"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491B17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T1 – Pendimethalin</w:t>
            </w:r>
          </w:p>
        </w:tc>
        <w:tc>
          <w:tcPr>
            <w:tcW w:w="974" w:type="pct"/>
            <w:tcBorders>
              <w:top w:val="nil"/>
              <w:left w:val="nil"/>
              <w:bottom w:val="single" w:sz="4" w:space="0" w:color="auto"/>
              <w:right w:val="single" w:sz="4" w:space="0" w:color="auto"/>
            </w:tcBorders>
            <w:noWrap/>
            <w:hideMark/>
          </w:tcPr>
          <w:p w14:paraId="4452D669"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72.10 ± 0.862</w:t>
            </w:r>
          </w:p>
        </w:tc>
        <w:tc>
          <w:tcPr>
            <w:tcW w:w="1074" w:type="pct"/>
            <w:tcBorders>
              <w:top w:val="nil"/>
              <w:left w:val="nil"/>
              <w:bottom w:val="single" w:sz="4" w:space="0" w:color="auto"/>
              <w:right w:val="single" w:sz="4" w:space="0" w:color="auto"/>
            </w:tcBorders>
            <w:noWrap/>
            <w:hideMark/>
          </w:tcPr>
          <w:p w14:paraId="38F8575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65.20 ± 0.779</w:t>
            </w:r>
          </w:p>
        </w:tc>
        <w:tc>
          <w:tcPr>
            <w:tcW w:w="828" w:type="pct"/>
            <w:tcBorders>
              <w:top w:val="nil"/>
              <w:left w:val="nil"/>
              <w:bottom w:val="single" w:sz="4" w:space="0" w:color="auto"/>
              <w:right w:val="single" w:sz="4" w:space="0" w:color="auto"/>
            </w:tcBorders>
            <w:noWrap/>
            <w:hideMark/>
          </w:tcPr>
          <w:p w14:paraId="2A3C166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28.12 ± 0.191</w:t>
            </w:r>
          </w:p>
        </w:tc>
        <w:tc>
          <w:tcPr>
            <w:tcW w:w="828" w:type="pct"/>
            <w:tcBorders>
              <w:top w:val="nil"/>
              <w:left w:val="nil"/>
              <w:bottom w:val="single" w:sz="4" w:space="0" w:color="auto"/>
              <w:right w:val="single" w:sz="4" w:space="0" w:color="auto"/>
            </w:tcBorders>
            <w:noWrap/>
            <w:hideMark/>
          </w:tcPr>
          <w:p w14:paraId="5E3426D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25.10 ± 0.119</w:t>
            </w:r>
          </w:p>
        </w:tc>
      </w:tr>
      <w:tr w:rsidR="003867F7" w:rsidRPr="005B3A55" w14:paraId="73B3E81D"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4A11F09"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T2 – Imazethapyr</w:t>
            </w:r>
          </w:p>
        </w:tc>
        <w:tc>
          <w:tcPr>
            <w:tcW w:w="974" w:type="pct"/>
            <w:tcBorders>
              <w:top w:val="nil"/>
              <w:left w:val="nil"/>
              <w:bottom w:val="single" w:sz="4" w:space="0" w:color="auto"/>
              <w:right w:val="single" w:sz="4" w:space="0" w:color="auto"/>
            </w:tcBorders>
            <w:noWrap/>
            <w:hideMark/>
          </w:tcPr>
          <w:p w14:paraId="4430881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68.00 ± 0.250</w:t>
            </w:r>
          </w:p>
        </w:tc>
        <w:tc>
          <w:tcPr>
            <w:tcW w:w="1074" w:type="pct"/>
            <w:tcBorders>
              <w:top w:val="nil"/>
              <w:left w:val="nil"/>
              <w:bottom w:val="single" w:sz="4" w:space="0" w:color="auto"/>
              <w:right w:val="single" w:sz="4" w:space="0" w:color="auto"/>
            </w:tcBorders>
            <w:noWrap/>
            <w:hideMark/>
          </w:tcPr>
          <w:p w14:paraId="14E1C2CF"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67.40 ± 1.017</w:t>
            </w:r>
          </w:p>
        </w:tc>
        <w:tc>
          <w:tcPr>
            <w:tcW w:w="828" w:type="pct"/>
            <w:tcBorders>
              <w:top w:val="nil"/>
              <w:left w:val="nil"/>
              <w:bottom w:val="single" w:sz="4" w:space="0" w:color="auto"/>
              <w:right w:val="single" w:sz="4" w:space="0" w:color="auto"/>
            </w:tcBorders>
            <w:noWrap/>
            <w:hideMark/>
          </w:tcPr>
          <w:p w14:paraId="33FB3A9E"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26.50 ± 0.303</w:t>
            </w:r>
          </w:p>
        </w:tc>
        <w:tc>
          <w:tcPr>
            <w:tcW w:w="828" w:type="pct"/>
            <w:tcBorders>
              <w:top w:val="nil"/>
              <w:left w:val="nil"/>
              <w:bottom w:val="single" w:sz="4" w:space="0" w:color="auto"/>
              <w:right w:val="single" w:sz="4" w:space="0" w:color="auto"/>
            </w:tcBorders>
            <w:noWrap/>
            <w:hideMark/>
          </w:tcPr>
          <w:p w14:paraId="48049AD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25.90 ± 0.214</w:t>
            </w:r>
          </w:p>
        </w:tc>
      </w:tr>
      <w:tr w:rsidR="003867F7" w:rsidRPr="005B3A55" w14:paraId="46A57088"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7DC9679"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T3 – Quizalofop</w:t>
            </w:r>
          </w:p>
        </w:tc>
        <w:tc>
          <w:tcPr>
            <w:tcW w:w="974" w:type="pct"/>
            <w:tcBorders>
              <w:top w:val="nil"/>
              <w:left w:val="nil"/>
              <w:bottom w:val="single" w:sz="4" w:space="0" w:color="auto"/>
              <w:right w:val="single" w:sz="4" w:space="0" w:color="auto"/>
            </w:tcBorders>
            <w:noWrap/>
            <w:hideMark/>
          </w:tcPr>
          <w:p w14:paraId="4485763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71.00 ± 1.145</w:t>
            </w:r>
          </w:p>
        </w:tc>
        <w:tc>
          <w:tcPr>
            <w:tcW w:w="1074" w:type="pct"/>
            <w:tcBorders>
              <w:top w:val="nil"/>
              <w:left w:val="nil"/>
              <w:bottom w:val="single" w:sz="4" w:space="0" w:color="auto"/>
              <w:right w:val="single" w:sz="4" w:space="0" w:color="auto"/>
            </w:tcBorders>
            <w:noWrap/>
            <w:hideMark/>
          </w:tcPr>
          <w:p w14:paraId="4F145EF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61.80 ± 0.675</w:t>
            </w:r>
          </w:p>
        </w:tc>
        <w:tc>
          <w:tcPr>
            <w:tcW w:w="828" w:type="pct"/>
            <w:tcBorders>
              <w:top w:val="nil"/>
              <w:left w:val="nil"/>
              <w:bottom w:val="single" w:sz="4" w:space="0" w:color="auto"/>
              <w:right w:val="single" w:sz="4" w:space="0" w:color="auto"/>
            </w:tcBorders>
            <w:noWrap/>
            <w:hideMark/>
          </w:tcPr>
          <w:p w14:paraId="5B8CEF4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27.40 ± 0.187</w:t>
            </w:r>
          </w:p>
        </w:tc>
        <w:tc>
          <w:tcPr>
            <w:tcW w:w="828" w:type="pct"/>
            <w:tcBorders>
              <w:top w:val="nil"/>
              <w:left w:val="nil"/>
              <w:bottom w:val="single" w:sz="4" w:space="0" w:color="auto"/>
              <w:right w:val="single" w:sz="4" w:space="0" w:color="auto"/>
            </w:tcBorders>
            <w:noWrap/>
            <w:hideMark/>
          </w:tcPr>
          <w:p w14:paraId="48C4F2D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22.80 ± 0.224</w:t>
            </w:r>
          </w:p>
        </w:tc>
      </w:tr>
      <w:tr w:rsidR="003867F7" w:rsidRPr="005B3A55" w14:paraId="757E3336"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3DAFB5B"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T4 – Pendi + Imaza</w:t>
            </w:r>
          </w:p>
        </w:tc>
        <w:tc>
          <w:tcPr>
            <w:tcW w:w="974" w:type="pct"/>
            <w:tcBorders>
              <w:top w:val="nil"/>
              <w:left w:val="nil"/>
              <w:bottom w:val="single" w:sz="4" w:space="0" w:color="auto"/>
              <w:right w:val="single" w:sz="4" w:space="0" w:color="auto"/>
            </w:tcBorders>
            <w:noWrap/>
            <w:hideMark/>
          </w:tcPr>
          <w:p w14:paraId="12E9A5C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64.50 ± 1.275</w:t>
            </w:r>
          </w:p>
        </w:tc>
        <w:tc>
          <w:tcPr>
            <w:tcW w:w="1074" w:type="pct"/>
            <w:tcBorders>
              <w:top w:val="nil"/>
              <w:left w:val="nil"/>
              <w:bottom w:val="single" w:sz="4" w:space="0" w:color="auto"/>
              <w:right w:val="single" w:sz="4" w:space="0" w:color="auto"/>
            </w:tcBorders>
            <w:noWrap/>
            <w:hideMark/>
          </w:tcPr>
          <w:p w14:paraId="2888B2D5"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63.90 ± 1.561</w:t>
            </w:r>
          </w:p>
        </w:tc>
        <w:tc>
          <w:tcPr>
            <w:tcW w:w="828" w:type="pct"/>
            <w:tcBorders>
              <w:top w:val="nil"/>
              <w:left w:val="nil"/>
              <w:bottom w:val="single" w:sz="4" w:space="0" w:color="auto"/>
              <w:right w:val="single" w:sz="4" w:space="0" w:color="auto"/>
            </w:tcBorders>
            <w:noWrap/>
            <w:hideMark/>
          </w:tcPr>
          <w:p w14:paraId="1F41676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24.00 ± 0.036</w:t>
            </w:r>
          </w:p>
        </w:tc>
        <w:tc>
          <w:tcPr>
            <w:tcW w:w="828" w:type="pct"/>
            <w:tcBorders>
              <w:top w:val="nil"/>
              <w:left w:val="nil"/>
              <w:bottom w:val="single" w:sz="4" w:space="0" w:color="auto"/>
              <w:right w:val="single" w:sz="4" w:space="0" w:color="auto"/>
            </w:tcBorders>
            <w:noWrap/>
            <w:hideMark/>
          </w:tcPr>
          <w:p w14:paraId="2B29967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23.95 ± 0.574</w:t>
            </w:r>
          </w:p>
        </w:tc>
      </w:tr>
      <w:tr w:rsidR="003867F7" w:rsidRPr="005B3A55" w14:paraId="58C39BAB"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057F929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T5 – Pendi + Quiza</w:t>
            </w:r>
          </w:p>
        </w:tc>
        <w:tc>
          <w:tcPr>
            <w:tcW w:w="974" w:type="pct"/>
            <w:tcBorders>
              <w:top w:val="nil"/>
              <w:left w:val="nil"/>
              <w:bottom w:val="single" w:sz="4" w:space="0" w:color="auto"/>
              <w:right w:val="single" w:sz="4" w:space="0" w:color="auto"/>
            </w:tcBorders>
            <w:noWrap/>
            <w:hideMark/>
          </w:tcPr>
          <w:p w14:paraId="0A28250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66.50 ± 1.523</w:t>
            </w:r>
          </w:p>
        </w:tc>
        <w:tc>
          <w:tcPr>
            <w:tcW w:w="1074" w:type="pct"/>
            <w:tcBorders>
              <w:top w:val="nil"/>
              <w:left w:val="nil"/>
              <w:bottom w:val="single" w:sz="4" w:space="0" w:color="auto"/>
              <w:right w:val="single" w:sz="4" w:space="0" w:color="auto"/>
            </w:tcBorders>
            <w:noWrap/>
            <w:hideMark/>
          </w:tcPr>
          <w:p w14:paraId="4121DD94"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58.40 ± 1.154</w:t>
            </w:r>
          </w:p>
        </w:tc>
        <w:tc>
          <w:tcPr>
            <w:tcW w:w="828" w:type="pct"/>
            <w:tcBorders>
              <w:top w:val="nil"/>
              <w:left w:val="nil"/>
              <w:bottom w:val="single" w:sz="4" w:space="0" w:color="auto"/>
              <w:right w:val="single" w:sz="4" w:space="0" w:color="auto"/>
            </w:tcBorders>
            <w:noWrap/>
            <w:hideMark/>
          </w:tcPr>
          <w:p w14:paraId="4B3E54A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25.45 ± 0.396</w:t>
            </w:r>
          </w:p>
        </w:tc>
        <w:tc>
          <w:tcPr>
            <w:tcW w:w="828" w:type="pct"/>
            <w:tcBorders>
              <w:top w:val="nil"/>
              <w:left w:val="nil"/>
              <w:bottom w:val="single" w:sz="4" w:space="0" w:color="auto"/>
              <w:right w:val="single" w:sz="4" w:space="0" w:color="auto"/>
            </w:tcBorders>
            <w:noWrap/>
            <w:hideMark/>
          </w:tcPr>
          <w:p w14:paraId="3142550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21.30 ± 0.443</w:t>
            </w:r>
          </w:p>
        </w:tc>
      </w:tr>
      <w:tr w:rsidR="003867F7" w:rsidRPr="005B3A55" w14:paraId="42B9B6FD"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337D193"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T6 – Imaza + Quiza</w:t>
            </w:r>
          </w:p>
        </w:tc>
        <w:tc>
          <w:tcPr>
            <w:tcW w:w="974" w:type="pct"/>
            <w:tcBorders>
              <w:top w:val="nil"/>
              <w:left w:val="nil"/>
              <w:bottom w:val="single" w:sz="4" w:space="0" w:color="auto"/>
              <w:right w:val="single" w:sz="4" w:space="0" w:color="auto"/>
            </w:tcBorders>
            <w:noWrap/>
            <w:hideMark/>
          </w:tcPr>
          <w:p w14:paraId="6F6FE82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60.50 ± 1.448</w:t>
            </w:r>
          </w:p>
        </w:tc>
        <w:tc>
          <w:tcPr>
            <w:tcW w:w="1074" w:type="pct"/>
            <w:tcBorders>
              <w:top w:val="nil"/>
              <w:left w:val="nil"/>
              <w:bottom w:val="single" w:sz="4" w:space="0" w:color="auto"/>
              <w:right w:val="single" w:sz="4" w:space="0" w:color="auto"/>
            </w:tcBorders>
            <w:noWrap/>
            <w:hideMark/>
          </w:tcPr>
          <w:p w14:paraId="332A857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65.10 ± 1.228</w:t>
            </w:r>
          </w:p>
        </w:tc>
        <w:tc>
          <w:tcPr>
            <w:tcW w:w="828" w:type="pct"/>
            <w:tcBorders>
              <w:top w:val="nil"/>
              <w:left w:val="nil"/>
              <w:bottom w:val="single" w:sz="4" w:space="0" w:color="auto"/>
              <w:right w:val="single" w:sz="4" w:space="0" w:color="auto"/>
            </w:tcBorders>
            <w:noWrap/>
            <w:hideMark/>
          </w:tcPr>
          <w:p w14:paraId="014E5FB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22.50 ± 0.515</w:t>
            </w:r>
          </w:p>
        </w:tc>
        <w:tc>
          <w:tcPr>
            <w:tcW w:w="828" w:type="pct"/>
            <w:tcBorders>
              <w:top w:val="nil"/>
              <w:left w:val="nil"/>
              <w:bottom w:val="single" w:sz="4" w:space="0" w:color="auto"/>
              <w:right w:val="single" w:sz="4" w:space="0" w:color="auto"/>
            </w:tcBorders>
            <w:noWrap/>
            <w:hideMark/>
          </w:tcPr>
          <w:p w14:paraId="36BB18F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24.60 ± 0.327</w:t>
            </w:r>
          </w:p>
        </w:tc>
      </w:tr>
      <w:tr w:rsidR="003867F7" w:rsidRPr="005B3A55" w14:paraId="39980527"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9ADE57E"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C.D.</w:t>
            </w:r>
          </w:p>
        </w:tc>
        <w:tc>
          <w:tcPr>
            <w:tcW w:w="974" w:type="pct"/>
            <w:tcBorders>
              <w:top w:val="nil"/>
              <w:left w:val="nil"/>
              <w:bottom w:val="single" w:sz="4" w:space="0" w:color="auto"/>
              <w:right w:val="single" w:sz="4" w:space="0" w:color="auto"/>
            </w:tcBorders>
            <w:noWrap/>
            <w:vAlign w:val="bottom"/>
            <w:hideMark/>
          </w:tcPr>
          <w:p w14:paraId="4F4A0DF4"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3.606</w:t>
            </w:r>
          </w:p>
        </w:tc>
        <w:tc>
          <w:tcPr>
            <w:tcW w:w="1074" w:type="pct"/>
            <w:tcBorders>
              <w:top w:val="nil"/>
              <w:left w:val="nil"/>
              <w:bottom w:val="single" w:sz="4" w:space="0" w:color="auto"/>
              <w:right w:val="single" w:sz="4" w:space="0" w:color="auto"/>
            </w:tcBorders>
            <w:vAlign w:val="center"/>
            <w:hideMark/>
          </w:tcPr>
          <w:p w14:paraId="67063B2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3.618</w:t>
            </w:r>
          </w:p>
        </w:tc>
        <w:tc>
          <w:tcPr>
            <w:tcW w:w="828" w:type="pct"/>
            <w:tcBorders>
              <w:top w:val="nil"/>
              <w:left w:val="nil"/>
              <w:bottom w:val="single" w:sz="4" w:space="0" w:color="000000"/>
              <w:right w:val="single" w:sz="4" w:space="0" w:color="000000"/>
            </w:tcBorders>
            <w:vAlign w:val="center"/>
            <w:hideMark/>
          </w:tcPr>
          <w:p w14:paraId="75184E7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0.815</w:t>
            </w:r>
          </w:p>
        </w:tc>
        <w:tc>
          <w:tcPr>
            <w:tcW w:w="828" w:type="pct"/>
            <w:tcBorders>
              <w:top w:val="nil"/>
              <w:left w:val="nil"/>
              <w:bottom w:val="single" w:sz="4" w:space="0" w:color="000000"/>
              <w:right w:val="single" w:sz="4" w:space="0" w:color="000000"/>
            </w:tcBorders>
            <w:vAlign w:val="center"/>
            <w:hideMark/>
          </w:tcPr>
          <w:p w14:paraId="4087ECE6"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1.122</w:t>
            </w:r>
          </w:p>
        </w:tc>
      </w:tr>
      <w:tr w:rsidR="003867F7" w:rsidRPr="005B3A55" w14:paraId="651CD61E"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180A7B98"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SE(m)</w:t>
            </w:r>
          </w:p>
        </w:tc>
        <w:tc>
          <w:tcPr>
            <w:tcW w:w="974" w:type="pct"/>
            <w:tcBorders>
              <w:top w:val="nil"/>
              <w:left w:val="nil"/>
              <w:bottom w:val="single" w:sz="4" w:space="0" w:color="auto"/>
              <w:right w:val="single" w:sz="4" w:space="0" w:color="auto"/>
            </w:tcBorders>
            <w:noWrap/>
            <w:vAlign w:val="bottom"/>
            <w:hideMark/>
          </w:tcPr>
          <w:p w14:paraId="6534223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1.157</w:t>
            </w:r>
          </w:p>
        </w:tc>
        <w:tc>
          <w:tcPr>
            <w:tcW w:w="1074" w:type="pct"/>
            <w:tcBorders>
              <w:top w:val="nil"/>
              <w:left w:val="nil"/>
              <w:bottom w:val="single" w:sz="4" w:space="0" w:color="auto"/>
              <w:right w:val="single" w:sz="4" w:space="0" w:color="auto"/>
            </w:tcBorders>
            <w:vAlign w:val="center"/>
            <w:hideMark/>
          </w:tcPr>
          <w:p w14:paraId="1C10F045"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1.161</w:t>
            </w:r>
          </w:p>
        </w:tc>
        <w:tc>
          <w:tcPr>
            <w:tcW w:w="828" w:type="pct"/>
            <w:tcBorders>
              <w:top w:val="nil"/>
              <w:left w:val="nil"/>
              <w:bottom w:val="single" w:sz="4" w:space="0" w:color="000000"/>
              <w:right w:val="single" w:sz="4" w:space="0" w:color="000000"/>
            </w:tcBorders>
            <w:vAlign w:val="center"/>
            <w:hideMark/>
          </w:tcPr>
          <w:p w14:paraId="50DE5691"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0.262</w:t>
            </w:r>
          </w:p>
        </w:tc>
        <w:tc>
          <w:tcPr>
            <w:tcW w:w="828" w:type="pct"/>
            <w:tcBorders>
              <w:top w:val="nil"/>
              <w:left w:val="nil"/>
              <w:bottom w:val="single" w:sz="4" w:space="0" w:color="000000"/>
              <w:right w:val="single" w:sz="4" w:space="0" w:color="000000"/>
            </w:tcBorders>
            <w:vAlign w:val="center"/>
            <w:hideMark/>
          </w:tcPr>
          <w:p w14:paraId="7CABC7C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0.360</w:t>
            </w:r>
          </w:p>
        </w:tc>
      </w:tr>
      <w:tr w:rsidR="003867F7" w:rsidRPr="005B3A55" w14:paraId="5AA3D923"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1E4F243A"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SE(d)</w:t>
            </w:r>
          </w:p>
        </w:tc>
        <w:tc>
          <w:tcPr>
            <w:tcW w:w="974" w:type="pct"/>
            <w:tcBorders>
              <w:top w:val="nil"/>
              <w:left w:val="nil"/>
              <w:bottom w:val="single" w:sz="4" w:space="0" w:color="auto"/>
              <w:right w:val="single" w:sz="4" w:space="0" w:color="auto"/>
            </w:tcBorders>
            <w:noWrap/>
            <w:vAlign w:val="bottom"/>
            <w:hideMark/>
          </w:tcPr>
          <w:p w14:paraId="5D2D8B0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1.637</w:t>
            </w:r>
          </w:p>
        </w:tc>
        <w:tc>
          <w:tcPr>
            <w:tcW w:w="1074" w:type="pct"/>
            <w:tcBorders>
              <w:top w:val="nil"/>
              <w:left w:val="nil"/>
              <w:bottom w:val="single" w:sz="4" w:space="0" w:color="auto"/>
              <w:right w:val="single" w:sz="4" w:space="0" w:color="auto"/>
            </w:tcBorders>
            <w:vAlign w:val="center"/>
            <w:hideMark/>
          </w:tcPr>
          <w:p w14:paraId="373C649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1.642</w:t>
            </w:r>
          </w:p>
        </w:tc>
        <w:tc>
          <w:tcPr>
            <w:tcW w:w="828" w:type="pct"/>
            <w:tcBorders>
              <w:top w:val="nil"/>
              <w:left w:val="nil"/>
              <w:bottom w:val="single" w:sz="4" w:space="0" w:color="000000"/>
              <w:right w:val="single" w:sz="4" w:space="0" w:color="000000"/>
            </w:tcBorders>
            <w:vAlign w:val="center"/>
            <w:hideMark/>
          </w:tcPr>
          <w:p w14:paraId="22EBB9C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0.370</w:t>
            </w:r>
          </w:p>
        </w:tc>
        <w:tc>
          <w:tcPr>
            <w:tcW w:w="828" w:type="pct"/>
            <w:tcBorders>
              <w:top w:val="nil"/>
              <w:left w:val="nil"/>
              <w:bottom w:val="single" w:sz="4" w:space="0" w:color="000000"/>
              <w:right w:val="single" w:sz="4" w:space="0" w:color="000000"/>
            </w:tcBorders>
            <w:vAlign w:val="center"/>
            <w:hideMark/>
          </w:tcPr>
          <w:p w14:paraId="4843586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0.509</w:t>
            </w:r>
          </w:p>
        </w:tc>
      </w:tr>
      <w:tr w:rsidR="003867F7" w:rsidRPr="005B3A55" w14:paraId="376180C7"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ACDEC81"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C.V.</w:t>
            </w:r>
          </w:p>
        </w:tc>
        <w:tc>
          <w:tcPr>
            <w:tcW w:w="974" w:type="pct"/>
            <w:tcBorders>
              <w:top w:val="nil"/>
              <w:left w:val="nil"/>
              <w:bottom w:val="single" w:sz="4" w:space="0" w:color="auto"/>
              <w:right w:val="single" w:sz="4" w:space="0" w:color="auto"/>
            </w:tcBorders>
            <w:noWrap/>
            <w:vAlign w:val="bottom"/>
            <w:hideMark/>
          </w:tcPr>
          <w:p w14:paraId="28F6F41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2.950</w:t>
            </w:r>
          </w:p>
        </w:tc>
        <w:tc>
          <w:tcPr>
            <w:tcW w:w="1074" w:type="pct"/>
            <w:tcBorders>
              <w:top w:val="nil"/>
              <w:left w:val="nil"/>
              <w:bottom w:val="single" w:sz="4" w:space="0" w:color="auto"/>
              <w:right w:val="single" w:sz="4" w:space="0" w:color="auto"/>
            </w:tcBorders>
            <w:vAlign w:val="center"/>
            <w:hideMark/>
          </w:tcPr>
          <w:p w14:paraId="24FE1CE6"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3.118</w:t>
            </w:r>
          </w:p>
        </w:tc>
        <w:tc>
          <w:tcPr>
            <w:tcW w:w="828" w:type="pct"/>
            <w:tcBorders>
              <w:top w:val="nil"/>
              <w:left w:val="nil"/>
              <w:bottom w:val="single" w:sz="4" w:space="0" w:color="000000"/>
              <w:right w:val="single" w:sz="4" w:space="0" w:color="000000"/>
            </w:tcBorders>
            <w:vAlign w:val="center"/>
            <w:hideMark/>
          </w:tcPr>
          <w:p w14:paraId="43A76C89"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1.726</w:t>
            </w:r>
          </w:p>
        </w:tc>
        <w:tc>
          <w:tcPr>
            <w:tcW w:w="828" w:type="pct"/>
            <w:tcBorders>
              <w:top w:val="nil"/>
              <w:left w:val="nil"/>
              <w:bottom w:val="single" w:sz="4" w:space="0" w:color="000000"/>
              <w:right w:val="single" w:sz="4" w:space="0" w:color="000000"/>
            </w:tcBorders>
            <w:vAlign w:val="center"/>
            <w:hideMark/>
          </w:tcPr>
          <w:p w14:paraId="08FB9A7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2.561</w:t>
            </w:r>
          </w:p>
        </w:tc>
      </w:tr>
    </w:tbl>
    <w:p w14:paraId="58AB48C5" w14:textId="77777777" w:rsidR="00D13147" w:rsidRPr="00F65238" w:rsidRDefault="00D13147" w:rsidP="00D13147">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14:paraId="730AE9CC" w14:textId="27EA169E" w:rsidR="00233AE0" w:rsidRPr="00233AE0" w:rsidRDefault="00501E1C" w:rsidP="00C21956">
      <w:pPr>
        <w:spacing w:after="0" w:line="360" w:lineRule="auto"/>
        <w:jc w:val="both"/>
        <w:rPr>
          <w:rFonts w:ascii="Times New Roman" w:hAnsi="Times New Roman" w:cs="Times New Roman"/>
        </w:rPr>
      </w:pPr>
      <w:r>
        <w:rPr>
          <w:rFonts w:ascii="Times New Roman" w:hAnsi="Times New Roman" w:cs="Times New Roman"/>
          <w:b/>
          <w:bCs/>
        </w:rPr>
        <w:t>P</w:t>
      </w:r>
      <w:r w:rsidR="00233AE0" w:rsidRPr="00233AE0">
        <w:rPr>
          <w:rFonts w:ascii="Times New Roman" w:hAnsi="Times New Roman" w:cs="Times New Roman"/>
          <w:b/>
          <w:bCs/>
        </w:rPr>
        <w:t>rotein content</w:t>
      </w:r>
      <w:r>
        <w:rPr>
          <w:rFonts w:ascii="Times New Roman" w:hAnsi="Times New Roman" w:cs="Times New Roman"/>
          <w:b/>
          <w:bCs/>
        </w:rPr>
        <w:t xml:space="preserve">: </w:t>
      </w:r>
      <w:r>
        <w:rPr>
          <w:rFonts w:ascii="Times New Roman" w:hAnsi="Times New Roman" w:cs="Times New Roman"/>
        </w:rPr>
        <w:t>A significant reductional pattern was observed in p</w:t>
      </w:r>
      <w:r w:rsidR="00233AE0" w:rsidRPr="00233AE0">
        <w:rPr>
          <w:rFonts w:ascii="Times New Roman" w:hAnsi="Times New Roman" w:cs="Times New Roman"/>
        </w:rPr>
        <w:t xml:space="preserve">rotein content </w:t>
      </w:r>
      <w:r>
        <w:rPr>
          <w:rFonts w:ascii="Times New Roman" w:hAnsi="Times New Roman" w:cs="Times New Roman"/>
        </w:rPr>
        <w:t xml:space="preserve">with </w:t>
      </w:r>
      <w:r w:rsidR="00233AE0" w:rsidRPr="00233AE0">
        <w:rPr>
          <w:rFonts w:ascii="Times New Roman" w:hAnsi="Times New Roman" w:cs="Times New Roman"/>
        </w:rPr>
        <w:t xml:space="preserve">herbicide treatments in </w:t>
      </w:r>
      <w:r>
        <w:rPr>
          <w:rFonts w:ascii="Times New Roman" w:hAnsi="Times New Roman" w:cs="Times New Roman"/>
        </w:rPr>
        <w:t xml:space="preserve">tested </w:t>
      </w:r>
      <w:r w:rsidR="00233AE0" w:rsidRPr="00233AE0">
        <w:rPr>
          <w:rFonts w:ascii="Times New Roman" w:hAnsi="Times New Roman" w:cs="Times New Roman"/>
        </w:rPr>
        <w:t xml:space="preserve">genotypes, reflecting alterations in nitrogen metabolism </w:t>
      </w:r>
      <w:r>
        <w:rPr>
          <w:rFonts w:ascii="Times New Roman" w:hAnsi="Times New Roman" w:cs="Times New Roman"/>
        </w:rPr>
        <w:t>pathway</w:t>
      </w:r>
      <w:r w:rsidR="00FC6CDD">
        <w:rPr>
          <w:rFonts w:ascii="Times New Roman" w:hAnsi="Times New Roman" w:cs="Times New Roman"/>
        </w:rPr>
        <w:t xml:space="preserve"> (Table-1)</w:t>
      </w:r>
      <w:r w:rsidR="00233AE0" w:rsidRPr="00233AE0">
        <w:rPr>
          <w:rFonts w:ascii="Times New Roman" w:hAnsi="Times New Roman" w:cs="Times New Roman"/>
        </w:rPr>
        <w:t xml:space="preserve">. The control treatment (T₀) recorded the highest protein concentration, with MH-65 accumulating 29.80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 and MH-45 accumulating 26.90 mg g</w:t>
      </w:r>
      <w:r w:rsidRPr="00501E1C">
        <w:rPr>
          <w:rFonts w:ascii="Times New Roman" w:hAnsi="Times New Roman" w:cs="Times New Roman"/>
          <w:vertAlign w:val="superscript"/>
        </w:rPr>
        <w:t>-1</w:t>
      </w:r>
      <w:r w:rsidR="00233AE0" w:rsidRPr="00233AE0">
        <w:rPr>
          <w:rFonts w:ascii="Times New Roman" w:hAnsi="Times New Roman" w:cs="Times New Roman"/>
        </w:rPr>
        <w:t xml:space="preserve"> FW</w:t>
      </w:r>
      <w:r>
        <w:rPr>
          <w:rFonts w:ascii="Times New Roman" w:hAnsi="Times New Roman" w:cs="Times New Roman"/>
        </w:rPr>
        <w:t xml:space="preserve">. </w:t>
      </w:r>
      <w:r w:rsidR="00233AE0" w:rsidRPr="00233AE0">
        <w:rPr>
          <w:rFonts w:ascii="Times New Roman" w:hAnsi="Times New Roman" w:cs="Times New Roman"/>
        </w:rPr>
        <w:t>Among individual herbicides</w:t>
      </w:r>
      <w:r>
        <w:rPr>
          <w:rFonts w:ascii="Times New Roman" w:hAnsi="Times New Roman" w:cs="Times New Roman"/>
        </w:rPr>
        <w:t xml:space="preserve"> application</w:t>
      </w:r>
      <w:r w:rsidR="00233AE0" w:rsidRPr="00233AE0">
        <w:rPr>
          <w:rFonts w:ascii="Times New Roman" w:hAnsi="Times New Roman" w:cs="Times New Roman"/>
        </w:rPr>
        <w:t>, pendimethalin (T</w:t>
      </w:r>
      <w:r w:rsidRPr="00501E1C">
        <w:rPr>
          <w:rFonts w:ascii="Times New Roman" w:hAnsi="Times New Roman" w:cs="Times New Roman"/>
          <w:vertAlign w:val="subscript"/>
        </w:rPr>
        <w:t>1</w:t>
      </w:r>
      <w:r w:rsidR="00233AE0" w:rsidRPr="00233AE0">
        <w:rPr>
          <w:rFonts w:ascii="Times New Roman" w:hAnsi="Times New Roman" w:cs="Times New Roman"/>
        </w:rPr>
        <w:t xml:space="preserve">) </w:t>
      </w:r>
      <w:r>
        <w:rPr>
          <w:rFonts w:ascii="Times New Roman" w:hAnsi="Times New Roman" w:cs="Times New Roman"/>
        </w:rPr>
        <w:t>showed</w:t>
      </w:r>
      <w:r w:rsidR="00233AE0" w:rsidRPr="00233AE0">
        <w:rPr>
          <w:rFonts w:ascii="Times New Roman" w:hAnsi="Times New Roman" w:cs="Times New Roman"/>
        </w:rPr>
        <w:t xml:space="preserve"> a marginal </w:t>
      </w:r>
      <w:r>
        <w:rPr>
          <w:rFonts w:ascii="Times New Roman" w:hAnsi="Times New Roman" w:cs="Times New Roman"/>
        </w:rPr>
        <w:t>reduction</w:t>
      </w:r>
      <w:r w:rsidR="00233AE0" w:rsidRPr="00233AE0">
        <w:rPr>
          <w:rFonts w:ascii="Times New Roman" w:hAnsi="Times New Roman" w:cs="Times New Roman"/>
        </w:rPr>
        <w:t xml:space="preserve"> in protein content, particularly in MH-65 (28.12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w:t>
      </w:r>
      <w:r w:rsidR="00C126BE">
        <w:rPr>
          <w:rFonts w:ascii="Times New Roman" w:hAnsi="Times New Roman" w:cs="Times New Roman"/>
        </w:rPr>
        <w:t xml:space="preserve"> whereas</w:t>
      </w:r>
      <w:r w:rsidR="00233AE0" w:rsidRPr="00233AE0">
        <w:rPr>
          <w:rFonts w:ascii="Times New Roman" w:hAnsi="Times New Roman" w:cs="Times New Roman"/>
        </w:rPr>
        <w:t>, imazethapyr (T</w:t>
      </w:r>
      <w:r w:rsidRPr="00501E1C">
        <w:rPr>
          <w:rFonts w:ascii="Times New Roman" w:hAnsi="Times New Roman" w:cs="Times New Roman"/>
          <w:vertAlign w:val="subscript"/>
        </w:rPr>
        <w:t>2</w:t>
      </w:r>
      <w:r w:rsidR="00233AE0" w:rsidRPr="00233AE0">
        <w:rPr>
          <w:rFonts w:ascii="Times New Roman" w:hAnsi="Times New Roman" w:cs="Times New Roman"/>
        </w:rPr>
        <w:t>) and quizalofop (T</w:t>
      </w:r>
      <w:r w:rsidRPr="00501E1C">
        <w:rPr>
          <w:rFonts w:ascii="Times New Roman" w:hAnsi="Times New Roman" w:cs="Times New Roman"/>
          <w:vertAlign w:val="subscript"/>
        </w:rPr>
        <w:t>3</w:t>
      </w:r>
      <w:r w:rsidR="00233AE0" w:rsidRPr="00233AE0">
        <w:rPr>
          <w:rFonts w:ascii="Times New Roman" w:hAnsi="Times New Roman" w:cs="Times New Roman"/>
        </w:rPr>
        <w:t xml:space="preserve">) induced </w:t>
      </w:r>
      <w:r w:rsidR="00C9798A">
        <w:rPr>
          <w:rFonts w:ascii="Times New Roman" w:hAnsi="Times New Roman" w:cs="Times New Roman"/>
        </w:rPr>
        <w:t>sharp</w:t>
      </w:r>
      <w:r w:rsidR="00233AE0" w:rsidRPr="00233AE0">
        <w:rPr>
          <w:rFonts w:ascii="Times New Roman" w:hAnsi="Times New Roman" w:cs="Times New Roman"/>
        </w:rPr>
        <w:t xml:space="preserve"> reductions, especially in MH-45, where protein content declined to 25.90 and 22.80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 respectively.</w:t>
      </w:r>
      <w:r w:rsidR="00C21956">
        <w:rPr>
          <w:rFonts w:ascii="Times New Roman" w:hAnsi="Times New Roman" w:cs="Times New Roman"/>
        </w:rPr>
        <w:t xml:space="preserve"> </w:t>
      </w:r>
      <w:r w:rsidR="00233AE0" w:rsidRPr="00233AE0">
        <w:rPr>
          <w:rFonts w:ascii="Times New Roman" w:hAnsi="Times New Roman" w:cs="Times New Roman"/>
        </w:rPr>
        <w:t>Combined applications exerted stronger negative effects on protein synthesis. The pendimethalin + imazethapyr (T</w:t>
      </w:r>
      <w:r w:rsidR="00C9798A" w:rsidRPr="00C9798A">
        <w:rPr>
          <w:rFonts w:ascii="Times New Roman" w:hAnsi="Times New Roman" w:cs="Times New Roman"/>
          <w:vertAlign w:val="subscript"/>
        </w:rPr>
        <w:t>4</w:t>
      </w:r>
      <w:r w:rsidR="00233AE0" w:rsidRPr="00233AE0">
        <w:rPr>
          <w:rFonts w:ascii="Times New Roman" w:hAnsi="Times New Roman" w:cs="Times New Roman"/>
        </w:rPr>
        <w:t>) and pendimethalin + quizalofop (T</w:t>
      </w:r>
      <w:r w:rsidR="00C9798A" w:rsidRPr="00C9798A">
        <w:rPr>
          <w:rFonts w:ascii="Times New Roman" w:hAnsi="Times New Roman" w:cs="Times New Roman"/>
          <w:vertAlign w:val="subscript"/>
        </w:rPr>
        <w:t>5</w:t>
      </w:r>
      <w:r w:rsidR="00233AE0" w:rsidRPr="00233AE0">
        <w:rPr>
          <w:rFonts w:ascii="Times New Roman" w:hAnsi="Times New Roman" w:cs="Times New Roman"/>
        </w:rPr>
        <w:t>) treatments resulted in moderate protein depletion, whereas the imazethapyr + quizalofop combination (T</w:t>
      </w:r>
      <w:r w:rsidR="00C9798A" w:rsidRPr="00C9798A">
        <w:rPr>
          <w:rFonts w:ascii="Times New Roman" w:hAnsi="Times New Roman" w:cs="Times New Roman"/>
          <w:vertAlign w:val="subscript"/>
        </w:rPr>
        <w:t>6</w:t>
      </w:r>
      <w:r w:rsidR="00233AE0" w:rsidRPr="00233AE0">
        <w:rPr>
          <w:rFonts w:ascii="Times New Roman" w:hAnsi="Times New Roman" w:cs="Times New Roman"/>
        </w:rPr>
        <w:t>) caused the maximum reduction in MH-65 (22.50 mg g⁻¹ FW). The treatment-induced variations were statistically significant as indicated by low SE and CV values</w:t>
      </w:r>
      <w:r w:rsidR="00C9798A">
        <w:rPr>
          <w:rFonts w:ascii="Times New Roman" w:hAnsi="Times New Roman" w:cs="Times New Roman"/>
        </w:rPr>
        <w:t xml:space="preserve"> and </w:t>
      </w:r>
      <w:r w:rsidR="00233AE0" w:rsidRPr="00233AE0">
        <w:rPr>
          <w:rFonts w:ascii="Times New Roman" w:hAnsi="Times New Roman" w:cs="Times New Roman"/>
        </w:rPr>
        <w:t>MH-65 exhibited higher protein stability under most treatments</w:t>
      </w:r>
      <w:r w:rsidR="00C9798A">
        <w:rPr>
          <w:rFonts w:ascii="Times New Roman" w:hAnsi="Times New Roman" w:cs="Times New Roman"/>
        </w:rPr>
        <w:t>.</w:t>
      </w:r>
    </w:p>
    <w:p w14:paraId="2DAAC838" w14:textId="4162C9AB" w:rsidR="00B835CF" w:rsidRDefault="00B835CF" w:rsidP="00B835CF">
      <w:pPr>
        <w:spacing w:line="360" w:lineRule="auto"/>
        <w:jc w:val="both"/>
        <w:rPr>
          <w:rFonts w:ascii="Times New Roman" w:hAnsi="Times New Roman" w:cs="Times New Roman"/>
        </w:rPr>
      </w:pPr>
      <w:r w:rsidRPr="00B835CF">
        <w:rPr>
          <w:rFonts w:ascii="Times New Roman" w:hAnsi="Times New Roman" w:cs="Times New Roman"/>
          <w:b/>
          <w:bCs/>
        </w:rPr>
        <w:t>Leghemoglobin content (LHb):</w:t>
      </w:r>
      <w:r>
        <w:rPr>
          <w:rFonts w:ascii="Times New Roman" w:hAnsi="Times New Roman" w:cs="Times New Roman"/>
        </w:rPr>
        <w:t xml:space="preserve"> </w:t>
      </w:r>
      <w:r w:rsidR="00A179F4" w:rsidRPr="00B835CF">
        <w:rPr>
          <w:rFonts w:ascii="Times New Roman" w:hAnsi="Times New Roman" w:cs="Times New Roman"/>
        </w:rPr>
        <w:t>Leghemoglobin</w:t>
      </w:r>
      <w:r w:rsidRPr="00B835CF">
        <w:rPr>
          <w:rFonts w:ascii="Times New Roman" w:hAnsi="Times New Roman" w:cs="Times New Roman"/>
        </w:rPr>
        <w:t xml:space="preserve"> content </w:t>
      </w:r>
      <w:r w:rsidR="00032FEA">
        <w:rPr>
          <w:rFonts w:ascii="Times New Roman" w:hAnsi="Times New Roman" w:cs="Times New Roman"/>
        </w:rPr>
        <w:t xml:space="preserve">showed </w:t>
      </w:r>
      <w:r w:rsidR="00032FEA" w:rsidRPr="00B835CF">
        <w:rPr>
          <w:rFonts w:ascii="Times New Roman" w:hAnsi="Times New Roman" w:cs="Times New Roman"/>
        </w:rPr>
        <w:t>significant</w:t>
      </w:r>
      <w:r w:rsidRPr="00B835CF">
        <w:rPr>
          <w:rFonts w:ascii="Times New Roman" w:hAnsi="Times New Roman" w:cs="Times New Roman"/>
        </w:rPr>
        <w:t xml:space="preserve"> </w:t>
      </w:r>
      <w:r w:rsidR="00032FEA">
        <w:rPr>
          <w:rFonts w:ascii="Times New Roman" w:hAnsi="Times New Roman" w:cs="Times New Roman"/>
        </w:rPr>
        <w:t xml:space="preserve">variation </w:t>
      </w:r>
      <w:r w:rsidRPr="00B835CF">
        <w:rPr>
          <w:rFonts w:ascii="Times New Roman" w:hAnsi="Times New Roman" w:cs="Times New Roman"/>
        </w:rPr>
        <w:t xml:space="preserve">among treatments and </w:t>
      </w:r>
      <w:r w:rsidR="00032FEA">
        <w:rPr>
          <w:rFonts w:ascii="Times New Roman" w:hAnsi="Times New Roman" w:cs="Times New Roman"/>
        </w:rPr>
        <w:t>genotypes</w:t>
      </w:r>
      <w:r w:rsidRPr="00B835CF">
        <w:rPr>
          <w:rFonts w:ascii="Times New Roman" w:hAnsi="Times New Roman" w:cs="Times New Roman"/>
        </w:rPr>
        <w:t>. Under control conditions (T</w:t>
      </w:r>
      <w:r w:rsidR="00A179F4" w:rsidRPr="00A179F4">
        <w:rPr>
          <w:rFonts w:ascii="Times New Roman" w:hAnsi="Times New Roman" w:cs="Times New Roman"/>
          <w:vertAlign w:val="subscript"/>
        </w:rPr>
        <w:t>0</w:t>
      </w:r>
      <w:r w:rsidRPr="00B835CF">
        <w:rPr>
          <w:rFonts w:ascii="Times New Roman" w:hAnsi="Times New Roman" w:cs="Times New Roman"/>
        </w:rPr>
        <w:t xml:space="preserve">), the highest LHb content was recorded, with MH-65 showing 1.80 mg g⁻¹ and MH-45 </w:t>
      </w:r>
      <w:r w:rsidR="00032FEA">
        <w:rPr>
          <w:rFonts w:ascii="Times New Roman" w:hAnsi="Times New Roman" w:cs="Times New Roman"/>
        </w:rPr>
        <w:t>had</w:t>
      </w:r>
      <w:r w:rsidRPr="00B835CF">
        <w:rPr>
          <w:rFonts w:ascii="Times New Roman" w:hAnsi="Times New Roman" w:cs="Times New Roman"/>
        </w:rPr>
        <w:t xml:space="preserve"> 1.15 mg g⁻¹.</w:t>
      </w:r>
      <w:r w:rsidR="00A179F4">
        <w:rPr>
          <w:rFonts w:ascii="Times New Roman" w:hAnsi="Times New Roman" w:cs="Times New Roman"/>
        </w:rPr>
        <w:t xml:space="preserve"> S</w:t>
      </w:r>
      <w:r w:rsidRPr="00B835CF">
        <w:rPr>
          <w:rFonts w:ascii="Times New Roman" w:hAnsi="Times New Roman" w:cs="Times New Roman"/>
        </w:rPr>
        <w:t xml:space="preserve">ingle herbicide </w:t>
      </w:r>
      <w:r w:rsidR="00A179F4">
        <w:rPr>
          <w:rFonts w:ascii="Times New Roman" w:hAnsi="Times New Roman" w:cs="Times New Roman"/>
        </w:rPr>
        <w:t>application</w:t>
      </w:r>
      <w:r w:rsidRPr="00B835CF">
        <w:rPr>
          <w:rFonts w:ascii="Times New Roman" w:hAnsi="Times New Roman" w:cs="Times New Roman"/>
        </w:rPr>
        <w:t>, pendimethalin (T</w:t>
      </w:r>
      <w:r w:rsidR="00032FEA" w:rsidRPr="00032FEA">
        <w:rPr>
          <w:rFonts w:ascii="Times New Roman" w:hAnsi="Times New Roman" w:cs="Times New Roman"/>
          <w:vertAlign w:val="subscript"/>
        </w:rPr>
        <w:t>1</w:t>
      </w:r>
      <w:r w:rsidRPr="00B835CF">
        <w:rPr>
          <w:rFonts w:ascii="Times New Roman" w:hAnsi="Times New Roman" w:cs="Times New Roman"/>
        </w:rPr>
        <w:t>) caused a moderate reduction, particularly in MH-65 (1.30 mg g</w:t>
      </w:r>
      <w:r w:rsidR="00032FEA" w:rsidRPr="00032FEA">
        <w:rPr>
          <w:rFonts w:ascii="Times New Roman" w:hAnsi="Times New Roman" w:cs="Times New Roman"/>
          <w:vertAlign w:val="superscript"/>
        </w:rPr>
        <w:t>-1</w:t>
      </w:r>
      <w:r w:rsidRPr="00B835CF">
        <w:rPr>
          <w:rFonts w:ascii="Times New Roman" w:hAnsi="Times New Roman" w:cs="Times New Roman"/>
        </w:rPr>
        <w:t xml:space="preserve">), whereas MH-45 showed greater sensitivity with a sharper decline (0.78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xml:space="preserve">). Imazethapyr (T₂) exerted a stronger suppressive effect on MH-65 (0.84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compared to MH-45 (0.96 mg g⁻¹), indicating genotype</w:t>
      </w:r>
      <w:r w:rsidR="00032FEA">
        <w:rPr>
          <w:rFonts w:ascii="Times New Roman" w:hAnsi="Times New Roman" w:cs="Times New Roman"/>
        </w:rPr>
        <w:t xml:space="preserve"> </w:t>
      </w:r>
      <w:r w:rsidRPr="00B835CF">
        <w:rPr>
          <w:rFonts w:ascii="Times New Roman" w:hAnsi="Times New Roman" w:cs="Times New Roman"/>
        </w:rPr>
        <w:t>specific responses to post-emergence herbicide stress.</w:t>
      </w:r>
      <w:r w:rsidR="00A179F4">
        <w:rPr>
          <w:rFonts w:ascii="Times New Roman" w:hAnsi="Times New Roman" w:cs="Times New Roman"/>
        </w:rPr>
        <w:t xml:space="preserve"> </w:t>
      </w:r>
      <w:r w:rsidRPr="00B835CF">
        <w:rPr>
          <w:rFonts w:ascii="Times New Roman" w:hAnsi="Times New Roman" w:cs="Times New Roman"/>
        </w:rPr>
        <w:t xml:space="preserve">Combined herbicide applications </w:t>
      </w:r>
      <w:r w:rsidR="00A179F4">
        <w:rPr>
          <w:rFonts w:ascii="Times New Roman" w:hAnsi="Times New Roman" w:cs="Times New Roman"/>
        </w:rPr>
        <w:t>showed</w:t>
      </w:r>
      <w:r w:rsidRPr="00B835CF">
        <w:rPr>
          <w:rFonts w:ascii="Times New Roman" w:hAnsi="Times New Roman" w:cs="Times New Roman"/>
        </w:rPr>
        <w:t xml:space="preserve"> lowest values under the imazethapyr + quizalofop treatment (T</w:t>
      </w:r>
      <w:r w:rsidR="00032FEA" w:rsidRPr="00032FEA">
        <w:rPr>
          <w:rFonts w:ascii="Times New Roman" w:hAnsi="Times New Roman" w:cs="Times New Roman"/>
          <w:vertAlign w:val="subscript"/>
        </w:rPr>
        <w:t>6</w:t>
      </w:r>
      <w:r w:rsidRPr="00B835CF">
        <w:rPr>
          <w:rFonts w:ascii="Times New Roman" w:hAnsi="Times New Roman" w:cs="Times New Roman"/>
        </w:rPr>
        <w:t xml:space="preserve">), with MH-65 recording </w:t>
      </w:r>
      <w:r w:rsidRPr="00B835CF">
        <w:rPr>
          <w:rFonts w:ascii="Times New Roman" w:hAnsi="Times New Roman" w:cs="Times New Roman"/>
        </w:rPr>
        <w:lastRenderedPageBreak/>
        <w:t xml:space="preserve">only 0.54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indicating substantial impairment of nodular oxygen buffering capacity. Similarly, pendimethalin + quizalofop (T</w:t>
      </w:r>
      <w:r w:rsidR="00032FEA" w:rsidRPr="00032FEA">
        <w:rPr>
          <w:rFonts w:ascii="Times New Roman" w:hAnsi="Times New Roman" w:cs="Times New Roman"/>
          <w:vertAlign w:val="subscript"/>
        </w:rPr>
        <w:t>5</w:t>
      </w:r>
      <w:r w:rsidRPr="00B835CF">
        <w:rPr>
          <w:rFonts w:ascii="Times New Roman" w:hAnsi="Times New Roman" w:cs="Times New Roman"/>
        </w:rPr>
        <w:t xml:space="preserve">) caused a severe decline in MH-45 (0.48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These reductions exceeded the critical difference (C.D.) values at the 5% level, confirming statistically significant treatment effects.</w:t>
      </w:r>
    </w:p>
    <w:p w14:paraId="1E5AB85C" w14:textId="77777777" w:rsidR="00032FEA" w:rsidRPr="00EF26DB" w:rsidRDefault="00032FEA" w:rsidP="00032FEA">
      <w:pPr>
        <w:spacing w:after="0" w:line="360" w:lineRule="auto"/>
        <w:jc w:val="both"/>
        <w:rPr>
          <w:rFonts w:ascii="Times New Roman" w:hAnsi="Times New Roman" w:cs="Times New Roman"/>
          <w:b/>
          <w:bCs/>
        </w:rPr>
      </w:pPr>
      <w:r w:rsidRPr="003867F7">
        <w:rPr>
          <w:rFonts w:ascii="Times New Roman" w:hAnsi="Times New Roman" w:cs="Times New Roman"/>
          <w:b/>
          <w:bCs/>
        </w:rPr>
        <w:t xml:space="preserve">Table- </w:t>
      </w:r>
      <w:r>
        <w:rPr>
          <w:rFonts w:ascii="Times New Roman" w:hAnsi="Times New Roman" w:cs="Times New Roman"/>
          <w:b/>
          <w:bCs/>
        </w:rPr>
        <w:t>2</w:t>
      </w:r>
      <w:r w:rsidRPr="003867F7">
        <w:rPr>
          <w:rFonts w:ascii="Times New Roman" w:hAnsi="Times New Roman" w:cs="Times New Roman"/>
          <w:b/>
          <w:bCs/>
        </w:rPr>
        <w:t xml:space="preserve">. Effect of different pre and post emergence </w:t>
      </w:r>
      <w:r w:rsidRPr="00EF26DB">
        <w:rPr>
          <w:rFonts w:ascii="Times New Roman" w:hAnsi="Times New Roman" w:cs="Times New Roman"/>
          <w:b/>
          <w:bCs/>
        </w:rPr>
        <w:t xml:space="preserve">herbicide in the </w:t>
      </w:r>
      <w:r w:rsidRPr="00237F06">
        <w:rPr>
          <w:rFonts w:ascii="Times New Roman" w:eastAsia="Times New Roman" w:hAnsi="Times New Roman" w:cs="Times New Roman"/>
          <w:b/>
          <w:bCs/>
          <w:color w:val="000000"/>
          <w:kern w:val="0"/>
          <w14:ligatures w14:val="none"/>
        </w:rPr>
        <w:t xml:space="preserve">leghemoglobin content </w:t>
      </w:r>
      <w:r w:rsidRPr="00EF26DB">
        <w:rPr>
          <w:rFonts w:ascii="Times New Roman" w:hAnsi="Times New Roman" w:cs="Times New Roman"/>
          <w:b/>
          <w:bCs/>
        </w:rPr>
        <w:t>and pro</w:t>
      </w:r>
      <w:r>
        <w:rPr>
          <w:rFonts w:ascii="Times New Roman" w:hAnsi="Times New Roman" w:cs="Times New Roman"/>
          <w:b/>
          <w:bCs/>
        </w:rPr>
        <w:t>line</w:t>
      </w:r>
      <w:r w:rsidRPr="00EF26DB">
        <w:rPr>
          <w:rFonts w:ascii="Times New Roman" w:hAnsi="Times New Roman" w:cs="Times New Roman"/>
          <w:b/>
          <w:bCs/>
        </w:rPr>
        <w:t xml:space="preserve"> content of moth bean genotype</w:t>
      </w:r>
    </w:p>
    <w:tbl>
      <w:tblPr>
        <w:tblW w:w="5000" w:type="pct"/>
        <w:tblLook w:val="04A0" w:firstRow="1" w:lastRow="0" w:firstColumn="1" w:lastColumn="0" w:noHBand="0" w:noVBand="1"/>
      </w:tblPr>
      <w:tblGrid>
        <w:gridCol w:w="2334"/>
        <w:gridCol w:w="1834"/>
        <w:gridCol w:w="1834"/>
        <w:gridCol w:w="1674"/>
        <w:gridCol w:w="1674"/>
      </w:tblGrid>
      <w:tr w:rsidR="00032FEA" w:rsidRPr="00237F06" w14:paraId="6FF47223" w14:textId="77777777" w:rsidTr="00540A47">
        <w:trPr>
          <w:trHeight w:val="288"/>
        </w:trPr>
        <w:tc>
          <w:tcPr>
            <w:tcW w:w="1248" w:type="pct"/>
            <w:vMerge w:val="restart"/>
            <w:tcBorders>
              <w:top w:val="single" w:sz="4" w:space="0" w:color="auto"/>
              <w:left w:val="single" w:sz="4" w:space="0" w:color="auto"/>
              <w:bottom w:val="single" w:sz="4" w:space="0" w:color="auto"/>
              <w:right w:val="single" w:sz="4" w:space="0" w:color="auto"/>
            </w:tcBorders>
            <w:hideMark/>
          </w:tcPr>
          <w:p w14:paraId="195F5427"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Treatment</w:t>
            </w:r>
          </w:p>
        </w:tc>
        <w:tc>
          <w:tcPr>
            <w:tcW w:w="1962" w:type="pct"/>
            <w:gridSpan w:val="2"/>
            <w:tcBorders>
              <w:top w:val="single" w:sz="4" w:space="0" w:color="auto"/>
              <w:left w:val="nil"/>
              <w:bottom w:val="single" w:sz="4" w:space="0" w:color="auto"/>
              <w:right w:val="single" w:sz="4" w:space="0" w:color="auto"/>
            </w:tcBorders>
            <w:hideMark/>
          </w:tcPr>
          <w:p w14:paraId="792C0E84" w14:textId="77777777" w:rsidR="00032FEA" w:rsidRPr="00785D3B" w:rsidRDefault="00032FEA" w:rsidP="00540A47">
            <w:pPr>
              <w:spacing w:after="0" w:line="240" w:lineRule="auto"/>
              <w:jc w:val="center"/>
              <w:rPr>
                <w:rFonts w:ascii="Times New Roman" w:eastAsia="Times New Roman" w:hAnsi="Times New Roman" w:cs="Times New Roman"/>
                <w:b/>
                <w:bCs/>
                <w:color w:val="000000"/>
                <w:kern w:val="0"/>
                <w:highlight w:val="yellow"/>
                <w14:ligatures w14:val="none"/>
              </w:rPr>
            </w:pPr>
            <w:r w:rsidRPr="00785D3B">
              <w:rPr>
                <w:rFonts w:ascii="Times New Roman" w:eastAsia="Times New Roman" w:hAnsi="Times New Roman" w:cs="Times New Roman"/>
                <w:b/>
                <w:bCs/>
                <w:color w:val="000000"/>
                <w:kern w:val="0"/>
                <w:highlight w:val="yellow"/>
                <w14:ligatures w14:val="none"/>
              </w:rPr>
              <w:t>Leghemoglobin Content (mg/g)</w:t>
            </w:r>
          </w:p>
        </w:tc>
        <w:tc>
          <w:tcPr>
            <w:tcW w:w="1790" w:type="pct"/>
            <w:gridSpan w:val="2"/>
            <w:tcBorders>
              <w:top w:val="single" w:sz="4" w:space="0" w:color="auto"/>
              <w:left w:val="nil"/>
              <w:bottom w:val="single" w:sz="4" w:space="0" w:color="auto"/>
              <w:right w:val="single" w:sz="4" w:space="0" w:color="auto"/>
            </w:tcBorders>
            <w:hideMark/>
          </w:tcPr>
          <w:p w14:paraId="2A35E08E"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Proline Content (</w:t>
            </w:r>
            <w:proofErr w:type="spellStart"/>
            <w:r w:rsidRPr="00237F06">
              <w:rPr>
                <w:rFonts w:ascii="Times New Roman" w:eastAsia="Times New Roman" w:hAnsi="Times New Roman" w:cs="Times New Roman"/>
                <w:b/>
                <w:bCs/>
                <w:color w:val="000000"/>
                <w:kern w:val="0"/>
                <w14:ligatures w14:val="none"/>
              </w:rPr>
              <w:t>μmol</w:t>
            </w:r>
            <w:proofErr w:type="spellEnd"/>
            <w:r w:rsidRPr="00237F06">
              <w:rPr>
                <w:rFonts w:ascii="Times New Roman" w:eastAsia="Times New Roman" w:hAnsi="Times New Roman" w:cs="Times New Roman"/>
                <w:b/>
                <w:bCs/>
                <w:color w:val="000000"/>
                <w:kern w:val="0"/>
                <w14:ligatures w14:val="none"/>
              </w:rPr>
              <w:t>/g FW)</w:t>
            </w:r>
          </w:p>
        </w:tc>
      </w:tr>
      <w:tr w:rsidR="00032FEA" w:rsidRPr="00237F06" w14:paraId="5635CB1E" w14:textId="77777777" w:rsidTr="00540A47">
        <w:trPr>
          <w:trHeight w:val="288"/>
        </w:trPr>
        <w:tc>
          <w:tcPr>
            <w:tcW w:w="1248" w:type="pct"/>
            <w:vMerge/>
            <w:tcBorders>
              <w:top w:val="single" w:sz="4" w:space="0" w:color="auto"/>
              <w:left w:val="single" w:sz="4" w:space="0" w:color="auto"/>
              <w:bottom w:val="single" w:sz="4" w:space="0" w:color="auto"/>
              <w:right w:val="single" w:sz="4" w:space="0" w:color="auto"/>
            </w:tcBorders>
            <w:vAlign w:val="center"/>
            <w:hideMark/>
          </w:tcPr>
          <w:p w14:paraId="0FCB9EA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p>
        </w:tc>
        <w:tc>
          <w:tcPr>
            <w:tcW w:w="981" w:type="pct"/>
            <w:tcBorders>
              <w:top w:val="nil"/>
              <w:left w:val="nil"/>
              <w:bottom w:val="single" w:sz="4" w:space="0" w:color="auto"/>
              <w:right w:val="single" w:sz="4" w:space="0" w:color="auto"/>
            </w:tcBorders>
            <w:noWrap/>
            <w:hideMark/>
          </w:tcPr>
          <w:p w14:paraId="119242EA" w14:textId="77777777" w:rsidR="00032FEA" w:rsidRPr="00785D3B" w:rsidRDefault="00032FEA" w:rsidP="00540A47">
            <w:pPr>
              <w:spacing w:after="0" w:line="240" w:lineRule="auto"/>
              <w:jc w:val="center"/>
              <w:rPr>
                <w:rFonts w:ascii="Times New Roman" w:eastAsia="Times New Roman" w:hAnsi="Times New Roman" w:cs="Times New Roman"/>
                <w:b/>
                <w:bCs/>
                <w:color w:val="000000"/>
                <w:kern w:val="0"/>
                <w:highlight w:val="yellow"/>
                <w14:ligatures w14:val="none"/>
              </w:rPr>
            </w:pPr>
            <w:r w:rsidRPr="00785D3B">
              <w:rPr>
                <w:rFonts w:ascii="Times New Roman" w:eastAsia="Times New Roman" w:hAnsi="Times New Roman" w:cs="Times New Roman"/>
                <w:b/>
                <w:bCs/>
                <w:color w:val="000000"/>
                <w:kern w:val="0"/>
                <w:highlight w:val="yellow"/>
                <w14:ligatures w14:val="none"/>
              </w:rPr>
              <w:t>MH-65</w:t>
            </w:r>
          </w:p>
        </w:tc>
        <w:tc>
          <w:tcPr>
            <w:tcW w:w="981" w:type="pct"/>
            <w:tcBorders>
              <w:top w:val="nil"/>
              <w:left w:val="nil"/>
              <w:bottom w:val="single" w:sz="4" w:space="0" w:color="auto"/>
              <w:right w:val="single" w:sz="4" w:space="0" w:color="auto"/>
            </w:tcBorders>
            <w:noWrap/>
            <w:hideMark/>
          </w:tcPr>
          <w:p w14:paraId="331DC11B" w14:textId="77777777" w:rsidR="00032FEA" w:rsidRPr="00785D3B" w:rsidRDefault="00032FEA" w:rsidP="00540A47">
            <w:pPr>
              <w:spacing w:after="0" w:line="240" w:lineRule="auto"/>
              <w:jc w:val="center"/>
              <w:rPr>
                <w:rFonts w:ascii="Times New Roman" w:eastAsia="Times New Roman" w:hAnsi="Times New Roman" w:cs="Times New Roman"/>
                <w:b/>
                <w:bCs/>
                <w:color w:val="000000"/>
                <w:kern w:val="0"/>
                <w:highlight w:val="yellow"/>
                <w14:ligatures w14:val="none"/>
              </w:rPr>
            </w:pPr>
            <w:r w:rsidRPr="00785D3B">
              <w:rPr>
                <w:rFonts w:ascii="Times New Roman" w:eastAsia="Times New Roman" w:hAnsi="Times New Roman" w:cs="Times New Roman"/>
                <w:b/>
                <w:bCs/>
                <w:color w:val="000000"/>
                <w:kern w:val="0"/>
                <w:highlight w:val="yellow"/>
                <w14:ligatures w14:val="none"/>
              </w:rPr>
              <w:t>MH-45</w:t>
            </w:r>
          </w:p>
        </w:tc>
        <w:tc>
          <w:tcPr>
            <w:tcW w:w="895" w:type="pct"/>
            <w:tcBorders>
              <w:top w:val="nil"/>
              <w:left w:val="nil"/>
              <w:bottom w:val="single" w:sz="4" w:space="0" w:color="auto"/>
              <w:right w:val="single" w:sz="4" w:space="0" w:color="auto"/>
            </w:tcBorders>
            <w:noWrap/>
            <w:hideMark/>
          </w:tcPr>
          <w:p w14:paraId="17860832"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MH-65</w:t>
            </w:r>
          </w:p>
        </w:tc>
        <w:tc>
          <w:tcPr>
            <w:tcW w:w="895" w:type="pct"/>
            <w:tcBorders>
              <w:top w:val="nil"/>
              <w:left w:val="nil"/>
              <w:bottom w:val="single" w:sz="4" w:space="0" w:color="auto"/>
              <w:right w:val="single" w:sz="4" w:space="0" w:color="auto"/>
            </w:tcBorders>
            <w:noWrap/>
            <w:hideMark/>
          </w:tcPr>
          <w:p w14:paraId="0BF52269"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MH-45</w:t>
            </w:r>
          </w:p>
        </w:tc>
      </w:tr>
      <w:tr w:rsidR="00032FEA" w:rsidRPr="00237F06" w14:paraId="5C21CBB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8BE27D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T0 – Control</w:t>
            </w:r>
          </w:p>
        </w:tc>
        <w:tc>
          <w:tcPr>
            <w:tcW w:w="981" w:type="pct"/>
            <w:tcBorders>
              <w:top w:val="nil"/>
              <w:left w:val="nil"/>
              <w:bottom w:val="single" w:sz="4" w:space="0" w:color="auto"/>
              <w:right w:val="single" w:sz="4" w:space="0" w:color="auto"/>
            </w:tcBorders>
            <w:noWrap/>
            <w:hideMark/>
          </w:tcPr>
          <w:p w14:paraId="620B8386"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1.80 ± 0.021</w:t>
            </w:r>
          </w:p>
        </w:tc>
        <w:tc>
          <w:tcPr>
            <w:tcW w:w="981" w:type="pct"/>
            <w:tcBorders>
              <w:top w:val="nil"/>
              <w:left w:val="nil"/>
              <w:bottom w:val="single" w:sz="4" w:space="0" w:color="auto"/>
              <w:right w:val="single" w:sz="4" w:space="0" w:color="auto"/>
            </w:tcBorders>
            <w:noWrap/>
            <w:hideMark/>
          </w:tcPr>
          <w:p w14:paraId="6EC1A7C2" w14:textId="5BD79028"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1.15 ± 0.01</w:t>
            </w:r>
            <w:r w:rsidR="002433AB" w:rsidRPr="00785D3B">
              <w:rPr>
                <w:rFonts w:ascii="Times New Roman" w:eastAsia="Times New Roman" w:hAnsi="Times New Roman" w:cs="Times New Roman"/>
                <w:color w:val="000000"/>
                <w:kern w:val="0"/>
                <w:highlight w:val="yellow"/>
                <w14:ligatures w14:val="none"/>
              </w:rPr>
              <w:t>6</w:t>
            </w:r>
          </w:p>
        </w:tc>
        <w:tc>
          <w:tcPr>
            <w:tcW w:w="895" w:type="pct"/>
            <w:tcBorders>
              <w:top w:val="nil"/>
              <w:left w:val="nil"/>
              <w:bottom w:val="single" w:sz="4" w:space="0" w:color="auto"/>
              <w:right w:val="single" w:sz="4" w:space="0" w:color="auto"/>
            </w:tcBorders>
            <w:noWrap/>
            <w:hideMark/>
          </w:tcPr>
          <w:p w14:paraId="164DB5E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2.48 ± 0.036</w:t>
            </w:r>
          </w:p>
        </w:tc>
        <w:tc>
          <w:tcPr>
            <w:tcW w:w="895" w:type="pct"/>
            <w:tcBorders>
              <w:top w:val="nil"/>
              <w:left w:val="nil"/>
              <w:bottom w:val="single" w:sz="4" w:space="0" w:color="auto"/>
              <w:right w:val="single" w:sz="4" w:space="0" w:color="auto"/>
            </w:tcBorders>
            <w:noWrap/>
            <w:hideMark/>
          </w:tcPr>
          <w:p w14:paraId="3E479B68"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3.85 ± 0.062</w:t>
            </w:r>
          </w:p>
        </w:tc>
      </w:tr>
      <w:tr w:rsidR="00032FEA" w:rsidRPr="00237F06" w14:paraId="75CA30E0"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1791B4CE"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T1 – Pendimethalin</w:t>
            </w:r>
          </w:p>
        </w:tc>
        <w:tc>
          <w:tcPr>
            <w:tcW w:w="981" w:type="pct"/>
            <w:tcBorders>
              <w:top w:val="nil"/>
              <w:left w:val="nil"/>
              <w:bottom w:val="single" w:sz="4" w:space="0" w:color="auto"/>
              <w:right w:val="single" w:sz="4" w:space="0" w:color="auto"/>
            </w:tcBorders>
            <w:noWrap/>
            <w:hideMark/>
          </w:tcPr>
          <w:p w14:paraId="4BD1FD94" w14:textId="68ECD84C"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1.30 ± 0.0</w:t>
            </w:r>
            <w:r w:rsidR="000C6605" w:rsidRPr="00785D3B">
              <w:rPr>
                <w:rFonts w:ascii="Times New Roman" w:eastAsia="Times New Roman" w:hAnsi="Times New Roman" w:cs="Times New Roman"/>
                <w:color w:val="000000"/>
                <w:kern w:val="0"/>
                <w:highlight w:val="yellow"/>
                <w14:ligatures w14:val="none"/>
              </w:rPr>
              <w:t>1</w:t>
            </w:r>
            <w:r w:rsidRPr="00785D3B">
              <w:rPr>
                <w:rFonts w:ascii="Times New Roman" w:eastAsia="Times New Roman" w:hAnsi="Times New Roman" w:cs="Times New Roman"/>
                <w:color w:val="000000"/>
                <w:kern w:val="0"/>
                <w:highlight w:val="yellow"/>
                <w14:ligatures w14:val="none"/>
              </w:rPr>
              <w:t>3</w:t>
            </w:r>
          </w:p>
        </w:tc>
        <w:tc>
          <w:tcPr>
            <w:tcW w:w="981" w:type="pct"/>
            <w:tcBorders>
              <w:top w:val="nil"/>
              <w:left w:val="nil"/>
              <w:bottom w:val="single" w:sz="4" w:space="0" w:color="auto"/>
              <w:right w:val="single" w:sz="4" w:space="0" w:color="auto"/>
            </w:tcBorders>
            <w:noWrap/>
            <w:hideMark/>
          </w:tcPr>
          <w:p w14:paraId="51FA0030"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0.78 ± 0.021</w:t>
            </w:r>
          </w:p>
        </w:tc>
        <w:tc>
          <w:tcPr>
            <w:tcW w:w="895" w:type="pct"/>
            <w:tcBorders>
              <w:top w:val="nil"/>
              <w:left w:val="nil"/>
              <w:bottom w:val="single" w:sz="4" w:space="0" w:color="auto"/>
              <w:right w:val="single" w:sz="4" w:space="0" w:color="auto"/>
            </w:tcBorders>
            <w:noWrap/>
            <w:hideMark/>
          </w:tcPr>
          <w:p w14:paraId="7EE6211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3.50 ± 0.062</w:t>
            </w:r>
          </w:p>
        </w:tc>
        <w:tc>
          <w:tcPr>
            <w:tcW w:w="895" w:type="pct"/>
            <w:tcBorders>
              <w:top w:val="nil"/>
              <w:left w:val="nil"/>
              <w:bottom w:val="single" w:sz="4" w:space="0" w:color="auto"/>
              <w:right w:val="single" w:sz="4" w:space="0" w:color="auto"/>
            </w:tcBorders>
            <w:noWrap/>
            <w:hideMark/>
          </w:tcPr>
          <w:p w14:paraId="5D8FEED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4.30 ± 0.012</w:t>
            </w:r>
          </w:p>
        </w:tc>
      </w:tr>
      <w:tr w:rsidR="00032FEA" w:rsidRPr="00237F06" w14:paraId="64258F2E"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8C1F6DC"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T2 – Imazethapyr</w:t>
            </w:r>
          </w:p>
        </w:tc>
        <w:tc>
          <w:tcPr>
            <w:tcW w:w="981" w:type="pct"/>
            <w:tcBorders>
              <w:top w:val="nil"/>
              <w:left w:val="nil"/>
              <w:bottom w:val="single" w:sz="4" w:space="0" w:color="auto"/>
              <w:right w:val="single" w:sz="4" w:space="0" w:color="auto"/>
            </w:tcBorders>
            <w:noWrap/>
            <w:hideMark/>
          </w:tcPr>
          <w:p w14:paraId="74284EEE"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0.84 ± 0.012</w:t>
            </w:r>
          </w:p>
        </w:tc>
        <w:tc>
          <w:tcPr>
            <w:tcW w:w="981" w:type="pct"/>
            <w:tcBorders>
              <w:top w:val="nil"/>
              <w:left w:val="nil"/>
              <w:bottom w:val="single" w:sz="4" w:space="0" w:color="auto"/>
              <w:right w:val="single" w:sz="4" w:space="0" w:color="auto"/>
            </w:tcBorders>
            <w:noWrap/>
            <w:hideMark/>
          </w:tcPr>
          <w:p w14:paraId="4968E7B6"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0.96 ± 0.021</w:t>
            </w:r>
          </w:p>
        </w:tc>
        <w:tc>
          <w:tcPr>
            <w:tcW w:w="895" w:type="pct"/>
            <w:tcBorders>
              <w:top w:val="nil"/>
              <w:left w:val="nil"/>
              <w:bottom w:val="single" w:sz="4" w:space="0" w:color="auto"/>
              <w:right w:val="single" w:sz="4" w:space="0" w:color="auto"/>
            </w:tcBorders>
            <w:noWrap/>
            <w:hideMark/>
          </w:tcPr>
          <w:p w14:paraId="588E16A5"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3.94 ± 0.092</w:t>
            </w:r>
          </w:p>
        </w:tc>
        <w:tc>
          <w:tcPr>
            <w:tcW w:w="895" w:type="pct"/>
            <w:tcBorders>
              <w:top w:val="nil"/>
              <w:left w:val="nil"/>
              <w:bottom w:val="single" w:sz="4" w:space="0" w:color="auto"/>
              <w:right w:val="single" w:sz="4" w:space="0" w:color="auto"/>
            </w:tcBorders>
            <w:noWrap/>
            <w:hideMark/>
          </w:tcPr>
          <w:p w14:paraId="5E07968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4.05 ± 0.009</w:t>
            </w:r>
          </w:p>
        </w:tc>
      </w:tr>
      <w:tr w:rsidR="00032FEA" w:rsidRPr="00237F06" w14:paraId="27F71C9F"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0FF2BA05"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T3 – Quizalofop</w:t>
            </w:r>
          </w:p>
        </w:tc>
        <w:tc>
          <w:tcPr>
            <w:tcW w:w="981" w:type="pct"/>
            <w:tcBorders>
              <w:top w:val="nil"/>
              <w:left w:val="nil"/>
              <w:bottom w:val="single" w:sz="4" w:space="0" w:color="auto"/>
              <w:right w:val="single" w:sz="4" w:space="0" w:color="auto"/>
            </w:tcBorders>
            <w:noWrap/>
            <w:hideMark/>
          </w:tcPr>
          <w:p w14:paraId="6DD71147"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1.14 ± 0.024</w:t>
            </w:r>
          </w:p>
        </w:tc>
        <w:tc>
          <w:tcPr>
            <w:tcW w:w="981" w:type="pct"/>
            <w:tcBorders>
              <w:top w:val="nil"/>
              <w:left w:val="nil"/>
              <w:bottom w:val="single" w:sz="4" w:space="0" w:color="auto"/>
              <w:right w:val="single" w:sz="4" w:space="0" w:color="auto"/>
            </w:tcBorders>
            <w:noWrap/>
            <w:hideMark/>
          </w:tcPr>
          <w:p w14:paraId="6EBECB39"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0.60 ± 0.009</w:t>
            </w:r>
          </w:p>
        </w:tc>
        <w:tc>
          <w:tcPr>
            <w:tcW w:w="895" w:type="pct"/>
            <w:tcBorders>
              <w:top w:val="nil"/>
              <w:left w:val="nil"/>
              <w:bottom w:val="single" w:sz="4" w:space="0" w:color="auto"/>
              <w:right w:val="single" w:sz="4" w:space="0" w:color="auto"/>
            </w:tcBorders>
            <w:noWrap/>
            <w:hideMark/>
          </w:tcPr>
          <w:p w14:paraId="2887426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3.67 ± 0.030</w:t>
            </w:r>
          </w:p>
        </w:tc>
        <w:tc>
          <w:tcPr>
            <w:tcW w:w="895" w:type="pct"/>
            <w:tcBorders>
              <w:top w:val="nil"/>
              <w:left w:val="nil"/>
              <w:bottom w:val="single" w:sz="4" w:space="0" w:color="auto"/>
              <w:right w:val="single" w:sz="4" w:space="0" w:color="auto"/>
            </w:tcBorders>
            <w:noWrap/>
            <w:hideMark/>
          </w:tcPr>
          <w:p w14:paraId="680BCE52"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5.10 ± 0.062</w:t>
            </w:r>
          </w:p>
        </w:tc>
      </w:tr>
      <w:tr w:rsidR="00032FEA" w:rsidRPr="00237F06" w14:paraId="4143C11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4E11CAC4"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T4 – Pendi + Imaza</w:t>
            </w:r>
          </w:p>
        </w:tc>
        <w:tc>
          <w:tcPr>
            <w:tcW w:w="981" w:type="pct"/>
            <w:tcBorders>
              <w:top w:val="nil"/>
              <w:left w:val="nil"/>
              <w:bottom w:val="single" w:sz="4" w:space="0" w:color="auto"/>
              <w:right w:val="single" w:sz="4" w:space="0" w:color="auto"/>
            </w:tcBorders>
            <w:noWrap/>
            <w:hideMark/>
          </w:tcPr>
          <w:p w14:paraId="1B9C943A"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0.68 ± 0.015</w:t>
            </w:r>
          </w:p>
        </w:tc>
        <w:tc>
          <w:tcPr>
            <w:tcW w:w="981" w:type="pct"/>
            <w:tcBorders>
              <w:top w:val="nil"/>
              <w:left w:val="nil"/>
              <w:bottom w:val="single" w:sz="4" w:space="0" w:color="auto"/>
              <w:right w:val="single" w:sz="4" w:space="0" w:color="auto"/>
            </w:tcBorders>
            <w:noWrap/>
            <w:hideMark/>
          </w:tcPr>
          <w:p w14:paraId="60EF326F" w14:textId="5B374416"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0.71 ± 0.0</w:t>
            </w:r>
            <w:r w:rsidR="008D6502" w:rsidRPr="00785D3B">
              <w:rPr>
                <w:rFonts w:ascii="Times New Roman" w:eastAsia="Times New Roman" w:hAnsi="Times New Roman" w:cs="Times New Roman"/>
                <w:color w:val="000000"/>
                <w:kern w:val="0"/>
                <w:highlight w:val="yellow"/>
                <w14:ligatures w14:val="none"/>
              </w:rPr>
              <w:t>17</w:t>
            </w:r>
          </w:p>
        </w:tc>
        <w:tc>
          <w:tcPr>
            <w:tcW w:w="895" w:type="pct"/>
            <w:tcBorders>
              <w:top w:val="nil"/>
              <w:left w:val="nil"/>
              <w:bottom w:val="single" w:sz="4" w:space="0" w:color="auto"/>
              <w:right w:val="single" w:sz="4" w:space="0" w:color="auto"/>
            </w:tcBorders>
            <w:noWrap/>
            <w:hideMark/>
          </w:tcPr>
          <w:p w14:paraId="536EC37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4.58 ± 0.098</w:t>
            </w:r>
          </w:p>
        </w:tc>
        <w:tc>
          <w:tcPr>
            <w:tcW w:w="895" w:type="pct"/>
            <w:tcBorders>
              <w:top w:val="nil"/>
              <w:left w:val="nil"/>
              <w:bottom w:val="single" w:sz="4" w:space="0" w:color="auto"/>
              <w:right w:val="single" w:sz="4" w:space="0" w:color="auto"/>
            </w:tcBorders>
            <w:noWrap/>
            <w:hideMark/>
          </w:tcPr>
          <w:p w14:paraId="5B4D585D"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4.75 ± 0.078</w:t>
            </w:r>
          </w:p>
        </w:tc>
      </w:tr>
      <w:tr w:rsidR="00032FEA" w:rsidRPr="00237F06" w14:paraId="5351AFC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5F53C9B3"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T5 – Pendi + Quiza</w:t>
            </w:r>
          </w:p>
        </w:tc>
        <w:tc>
          <w:tcPr>
            <w:tcW w:w="981" w:type="pct"/>
            <w:tcBorders>
              <w:top w:val="nil"/>
              <w:left w:val="nil"/>
              <w:bottom w:val="single" w:sz="4" w:space="0" w:color="auto"/>
              <w:right w:val="single" w:sz="4" w:space="0" w:color="auto"/>
            </w:tcBorders>
            <w:noWrap/>
            <w:hideMark/>
          </w:tcPr>
          <w:p w14:paraId="2C6DCE44" w14:textId="7AE1142A"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0.79 ± 0.0</w:t>
            </w:r>
            <w:r w:rsidR="008D6502" w:rsidRPr="00785D3B">
              <w:rPr>
                <w:rFonts w:ascii="Times New Roman" w:eastAsia="Times New Roman" w:hAnsi="Times New Roman" w:cs="Times New Roman"/>
                <w:color w:val="000000"/>
                <w:kern w:val="0"/>
                <w:highlight w:val="yellow"/>
                <w14:ligatures w14:val="none"/>
              </w:rPr>
              <w:t>11</w:t>
            </w:r>
          </w:p>
        </w:tc>
        <w:tc>
          <w:tcPr>
            <w:tcW w:w="981" w:type="pct"/>
            <w:tcBorders>
              <w:top w:val="nil"/>
              <w:left w:val="nil"/>
              <w:bottom w:val="single" w:sz="4" w:space="0" w:color="auto"/>
              <w:right w:val="single" w:sz="4" w:space="0" w:color="auto"/>
            </w:tcBorders>
            <w:noWrap/>
            <w:hideMark/>
          </w:tcPr>
          <w:p w14:paraId="0B8ED24F"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0.48 ± 0.012</w:t>
            </w:r>
          </w:p>
        </w:tc>
        <w:tc>
          <w:tcPr>
            <w:tcW w:w="895" w:type="pct"/>
            <w:tcBorders>
              <w:top w:val="nil"/>
              <w:left w:val="nil"/>
              <w:bottom w:val="single" w:sz="4" w:space="0" w:color="auto"/>
              <w:right w:val="single" w:sz="4" w:space="0" w:color="auto"/>
            </w:tcBorders>
            <w:noWrap/>
            <w:hideMark/>
          </w:tcPr>
          <w:p w14:paraId="0126DEBE"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4.20 ± 0.057</w:t>
            </w:r>
          </w:p>
        </w:tc>
        <w:tc>
          <w:tcPr>
            <w:tcW w:w="895" w:type="pct"/>
            <w:tcBorders>
              <w:top w:val="nil"/>
              <w:left w:val="nil"/>
              <w:bottom w:val="single" w:sz="4" w:space="0" w:color="auto"/>
              <w:right w:val="single" w:sz="4" w:space="0" w:color="auto"/>
            </w:tcBorders>
            <w:noWrap/>
            <w:hideMark/>
          </w:tcPr>
          <w:p w14:paraId="4B3BE1C9"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5.35 ± 0.068</w:t>
            </w:r>
          </w:p>
        </w:tc>
      </w:tr>
      <w:tr w:rsidR="00032FEA" w:rsidRPr="00237F06" w14:paraId="54B60B1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7FD1C08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T6 – Imaza + Quiza</w:t>
            </w:r>
          </w:p>
        </w:tc>
        <w:tc>
          <w:tcPr>
            <w:tcW w:w="981" w:type="pct"/>
            <w:tcBorders>
              <w:top w:val="nil"/>
              <w:left w:val="nil"/>
              <w:bottom w:val="single" w:sz="4" w:space="0" w:color="auto"/>
              <w:right w:val="single" w:sz="4" w:space="0" w:color="auto"/>
            </w:tcBorders>
            <w:noWrap/>
            <w:hideMark/>
          </w:tcPr>
          <w:p w14:paraId="2CD40DAE"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0.54 ± 0.009</w:t>
            </w:r>
          </w:p>
        </w:tc>
        <w:tc>
          <w:tcPr>
            <w:tcW w:w="981" w:type="pct"/>
            <w:tcBorders>
              <w:top w:val="nil"/>
              <w:left w:val="nil"/>
              <w:bottom w:val="single" w:sz="4" w:space="0" w:color="auto"/>
              <w:right w:val="single" w:sz="4" w:space="0" w:color="auto"/>
            </w:tcBorders>
            <w:noWrap/>
            <w:hideMark/>
          </w:tcPr>
          <w:p w14:paraId="5E1D91D1" w14:textId="5EC1E58C"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0.88 ± 0.0</w:t>
            </w:r>
            <w:r w:rsidR="002433AB" w:rsidRPr="00785D3B">
              <w:rPr>
                <w:rFonts w:ascii="Times New Roman" w:eastAsia="Times New Roman" w:hAnsi="Times New Roman" w:cs="Times New Roman"/>
                <w:color w:val="000000"/>
                <w:kern w:val="0"/>
                <w:highlight w:val="yellow"/>
                <w14:ligatures w14:val="none"/>
              </w:rPr>
              <w:t>18</w:t>
            </w:r>
          </w:p>
        </w:tc>
        <w:tc>
          <w:tcPr>
            <w:tcW w:w="895" w:type="pct"/>
            <w:tcBorders>
              <w:top w:val="nil"/>
              <w:left w:val="nil"/>
              <w:bottom w:val="single" w:sz="4" w:space="0" w:color="auto"/>
              <w:right w:val="single" w:sz="4" w:space="0" w:color="auto"/>
            </w:tcBorders>
            <w:noWrap/>
            <w:hideMark/>
          </w:tcPr>
          <w:p w14:paraId="2F6FF55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4.78 ± 0.026</w:t>
            </w:r>
          </w:p>
        </w:tc>
        <w:tc>
          <w:tcPr>
            <w:tcW w:w="895" w:type="pct"/>
            <w:tcBorders>
              <w:top w:val="nil"/>
              <w:left w:val="nil"/>
              <w:bottom w:val="single" w:sz="4" w:space="0" w:color="auto"/>
              <w:right w:val="single" w:sz="4" w:space="0" w:color="auto"/>
            </w:tcBorders>
            <w:noWrap/>
            <w:hideMark/>
          </w:tcPr>
          <w:p w14:paraId="7522D799"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4.45 ± 0.078</w:t>
            </w:r>
          </w:p>
        </w:tc>
      </w:tr>
      <w:tr w:rsidR="00032FEA" w:rsidRPr="00237F06" w14:paraId="0D79FE7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6D4F4D5"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C.D.</w:t>
            </w:r>
          </w:p>
        </w:tc>
        <w:tc>
          <w:tcPr>
            <w:tcW w:w="981" w:type="pct"/>
            <w:tcBorders>
              <w:top w:val="nil"/>
              <w:left w:val="nil"/>
              <w:bottom w:val="single" w:sz="4" w:space="0" w:color="000000"/>
              <w:right w:val="single" w:sz="4" w:space="0" w:color="000000"/>
            </w:tcBorders>
            <w:vAlign w:val="center"/>
            <w:hideMark/>
          </w:tcPr>
          <w:p w14:paraId="12C16A0C"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0.046</w:t>
            </w:r>
          </w:p>
        </w:tc>
        <w:tc>
          <w:tcPr>
            <w:tcW w:w="981" w:type="pct"/>
            <w:tcBorders>
              <w:top w:val="nil"/>
              <w:left w:val="nil"/>
              <w:bottom w:val="single" w:sz="4" w:space="0" w:color="000000"/>
              <w:right w:val="single" w:sz="4" w:space="0" w:color="000000"/>
            </w:tcBorders>
            <w:vAlign w:val="center"/>
            <w:hideMark/>
          </w:tcPr>
          <w:p w14:paraId="210DF998"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0.037</w:t>
            </w:r>
          </w:p>
        </w:tc>
        <w:tc>
          <w:tcPr>
            <w:tcW w:w="895" w:type="pct"/>
            <w:tcBorders>
              <w:top w:val="nil"/>
              <w:left w:val="nil"/>
              <w:bottom w:val="single" w:sz="4" w:space="0" w:color="000000"/>
              <w:right w:val="single" w:sz="4" w:space="0" w:color="000000"/>
            </w:tcBorders>
            <w:vAlign w:val="center"/>
            <w:hideMark/>
          </w:tcPr>
          <w:p w14:paraId="302D0EA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0.211</w:t>
            </w:r>
          </w:p>
        </w:tc>
        <w:tc>
          <w:tcPr>
            <w:tcW w:w="895" w:type="pct"/>
            <w:tcBorders>
              <w:top w:val="nil"/>
              <w:left w:val="nil"/>
              <w:bottom w:val="single" w:sz="4" w:space="0" w:color="000000"/>
              <w:right w:val="single" w:sz="4" w:space="0" w:color="000000"/>
            </w:tcBorders>
            <w:vAlign w:val="center"/>
            <w:hideMark/>
          </w:tcPr>
          <w:p w14:paraId="4B977BED"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0.196</w:t>
            </w:r>
          </w:p>
        </w:tc>
      </w:tr>
      <w:tr w:rsidR="00032FEA" w:rsidRPr="00237F06" w14:paraId="554C6DDF"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1C245DD2"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SE(m)</w:t>
            </w:r>
          </w:p>
        </w:tc>
        <w:tc>
          <w:tcPr>
            <w:tcW w:w="981" w:type="pct"/>
            <w:tcBorders>
              <w:top w:val="nil"/>
              <w:left w:val="nil"/>
              <w:bottom w:val="single" w:sz="4" w:space="0" w:color="000000"/>
              <w:right w:val="single" w:sz="4" w:space="0" w:color="000000"/>
            </w:tcBorders>
            <w:vAlign w:val="center"/>
            <w:hideMark/>
          </w:tcPr>
          <w:p w14:paraId="3A30106A"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0.015</w:t>
            </w:r>
          </w:p>
        </w:tc>
        <w:tc>
          <w:tcPr>
            <w:tcW w:w="981" w:type="pct"/>
            <w:tcBorders>
              <w:top w:val="nil"/>
              <w:left w:val="nil"/>
              <w:bottom w:val="single" w:sz="4" w:space="0" w:color="000000"/>
              <w:right w:val="single" w:sz="4" w:space="0" w:color="000000"/>
            </w:tcBorders>
            <w:vAlign w:val="center"/>
            <w:hideMark/>
          </w:tcPr>
          <w:p w14:paraId="60F28527" w14:textId="633A5591"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0.01</w:t>
            </w:r>
            <w:r w:rsidR="002433AB" w:rsidRPr="00785D3B">
              <w:rPr>
                <w:rFonts w:ascii="Times New Roman" w:eastAsia="Times New Roman" w:hAnsi="Times New Roman" w:cs="Times New Roman"/>
                <w:color w:val="000000"/>
                <w:kern w:val="0"/>
                <w:highlight w:val="yellow"/>
                <w14:ligatures w14:val="none"/>
              </w:rPr>
              <w:t>7</w:t>
            </w:r>
          </w:p>
        </w:tc>
        <w:tc>
          <w:tcPr>
            <w:tcW w:w="895" w:type="pct"/>
            <w:tcBorders>
              <w:top w:val="nil"/>
              <w:left w:val="nil"/>
              <w:bottom w:val="single" w:sz="4" w:space="0" w:color="000000"/>
              <w:right w:val="single" w:sz="4" w:space="0" w:color="000000"/>
            </w:tcBorders>
            <w:vAlign w:val="center"/>
            <w:hideMark/>
          </w:tcPr>
          <w:p w14:paraId="52EB106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0.068</w:t>
            </w:r>
          </w:p>
        </w:tc>
        <w:tc>
          <w:tcPr>
            <w:tcW w:w="895" w:type="pct"/>
            <w:tcBorders>
              <w:top w:val="nil"/>
              <w:left w:val="nil"/>
              <w:bottom w:val="single" w:sz="4" w:space="0" w:color="000000"/>
              <w:right w:val="single" w:sz="4" w:space="0" w:color="000000"/>
            </w:tcBorders>
            <w:vAlign w:val="center"/>
            <w:hideMark/>
          </w:tcPr>
          <w:p w14:paraId="1EE1BE4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0.063</w:t>
            </w:r>
          </w:p>
        </w:tc>
      </w:tr>
      <w:tr w:rsidR="00032FEA" w:rsidRPr="00237F06" w14:paraId="37A0A6F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701FEEEF"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SE(d)</w:t>
            </w:r>
          </w:p>
        </w:tc>
        <w:tc>
          <w:tcPr>
            <w:tcW w:w="981" w:type="pct"/>
            <w:tcBorders>
              <w:top w:val="nil"/>
              <w:left w:val="nil"/>
              <w:bottom w:val="single" w:sz="4" w:space="0" w:color="000000"/>
              <w:right w:val="single" w:sz="4" w:space="0" w:color="000000"/>
            </w:tcBorders>
            <w:vAlign w:val="center"/>
            <w:hideMark/>
          </w:tcPr>
          <w:p w14:paraId="141E2862"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0.021</w:t>
            </w:r>
          </w:p>
        </w:tc>
        <w:tc>
          <w:tcPr>
            <w:tcW w:w="981" w:type="pct"/>
            <w:tcBorders>
              <w:top w:val="nil"/>
              <w:left w:val="nil"/>
              <w:bottom w:val="single" w:sz="4" w:space="0" w:color="000000"/>
              <w:right w:val="single" w:sz="4" w:space="0" w:color="000000"/>
            </w:tcBorders>
            <w:vAlign w:val="center"/>
            <w:hideMark/>
          </w:tcPr>
          <w:p w14:paraId="63FFFE42"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0.017</w:t>
            </w:r>
          </w:p>
        </w:tc>
        <w:tc>
          <w:tcPr>
            <w:tcW w:w="895" w:type="pct"/>
            <w:tcBorders>
              <w:top w:val="nil"/>
              <w:left w:val="nil"/>
              <w:bottom w:val="single" w:sz="4" w:space="0" w:color="000000"/>
              <w:right w:val="single" w:sz="4" w:space="0" w:color="000000"/>
            </w:tcBorders>
            <w:vAlign w:val="center"/>
            <w:hideMark/>
          </w:tcPr>
          <w:p w14:paraId="6ECA0ED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0.096</w:t>
            </w:r>
          </w:p>
        </w:tc>
        <w:tc>
          <w:tcPr>
            <w:tcW w:w="895" w:type="pct"/>
            <w:tcBorders>
              <w:top w:val="nil"/>
              <w:left w:val="nil"/>
              <w:bottom w:val="single" w:sz="4" w:space="0" w:color="000000"/>
              <w:right w:val="single" w:sz="4" w:space="0" w:color="000000"/>
            </w:tcBorders>
            <w:vAlign w:val="center"/>
            <w:hideMark/>
          </w:tcPr>
          <w:p w14:paraId="58A7C79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0.089</w:t>
            </w:r>
          </w:p>
        </w:tc>
      </w:tr>
      <w:tr w:rsidR="00032FEA" w:rsidRPr="00237F06" w14:paraId="2965374D"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2932845C"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C.V.</w:t>
            </w:r>
          </w:p>
        </w:tc>
        <w:tc>
          <w:tcPr>
            <w:tcW w:w="981" w:type="pct"/>
            <w:tcBorders>
              <w:top w:val="nil"/>
              <w:left w:val="nil"/>
              <w:bottom w:val="single" w:sz="4" w:space="0" w:color="000000"/>
              <w:right w:val="single" w:sz="4" w:space="0" w:color="000000"/>
            </w:tcBorders>
            <w:vAlign w:val="center"/>
            <w:hideMark/>
          </w:tcPr>
          <w:p w14:paraId="120C9876" w14:textId="2FFA4D60"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2.</w:t>
            </w:r>
            <w:r w:rsidR="000C6605" w:rsidRPr="00785D3B">
              <w:rPr>
                <w:rFonts w:ascii="Times New Roman" w:eastAsia="Times New Roman" w:hAnsi="Times New Roman" w:cs="Times New Roman"/>
                <w:color w:val="000000"/>
                <w:kern w:val="0"/>
                <w:highlight w:val="yellow"/>
                <w14:ligatures w14:val="none"/>
              </w:rPr>
              <w:t>691</w:t>
            </w:r>
          </w:p>
        </w:tc>
        <w:tc>
          <w:tcPr>
            <w:tcW w:w="981" w:type="pct"/>
            <w:tcBorders>
              <w:top w:val="nil"/>
              <w:left w:val="nil"/>
              <w:bottom w:val="single" w:sz="4" w:space="0" w:color="000000"/>
              <w:right w:val="single" w:sz="4" w:space="0" w:color="000000"/>
            </w:tcBorders>
            <w:vAlign w:val="center"/>
            <w:hideMark/>
          </w:tcPr>
          <w:p w14:paraId="0841B4F2" w14:textId="03245FCF" w:rsidR="00032FEA" w:rsidRPr="00785D3B" w:rsidRDefault="002433AB"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3</w:t>
            </w:r>
            <w:r w:rsidR="00032FEA" w:rsidRPr="00785D3B">
              <w:rPr>
                <w:rFonts w:ascii="Times New Roman" w:eastAsia="Times New Roman" w:hAnsi="Times New Roman" w:cs="Times New Roman"/>
                <w:color w:val="000000"/>
                <w:kern w:val="0"/>
                <w:highlight w:val="yellow"/>
                <w14:ligatures w14:val="none"/>
              </w:rPr>
              <w:t>.</w:t>
            </w:r>
            <w:r w:rsidRPr="00785D3B">
              <w:rPr>
                <w:rFonts w:ascii="Times New Roman" w:eastAsia="Times New Roman" w:hAnsi="Times New Roman" w:cs="Times New Roman"/>
                <w:color w:val="000000"/>
                <w:kern w:val="0"/>
                <w:highlight w:val="yellow"/>
                <w14:ligatures w14:val="none"/>
              </w:rPr>
              <w:t>714</w:t>
            </w:r>
          </w:p>
        </w:tc>
        <w:tc>
          <w:tcPr>
            <w:tcW w:w="895" w:type="pct"/>
            <w:tcBorders>
              <w:top w:val="nil"/>
              <w:left w:val="nil"/>
              <w:bottom w:val="single" w:sz="4" w:space="0" w:color="000000"/>
              <w:right w:val="single" w:sz="4" w:space="0" w:color="000000"/>
            </w:tcBorders>
            <w:vAlign w:val="center"/>
            <w:hideMark/>
          </w:tcPr>
          <w:p w14:paraId="5BC765B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3.028</w:t>
            </w:r>
          </w:p>
        </w:tc>
        <w:tc>
          <w:tcPr>
            <w:tcW w:w="895" w:type="pct"/>
            <w:tcBorders>
              <w:top w:val="nil"/>
              <w:left w:val="nil"/>
              <w:bottom w:val="single" w:sz="4" w:space="0" w:color="000000"/>
              <w:right w:val="single" w:sz="4" w:space="0" w:color="000000"/>
            </w:tcBorders>
            <w:vAlign w:val="center"/>
            <w:hideMark/>
          </w:tcPr>
          <w:p w14:paraId="0B968B28"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2.392</w:t>
            </w:r>
          </w:p>
        </w:tc>
      </w:tr>
    </w:tbl>
    <w:p w14:paraId="2B076089" w14:textId="77777777" w:rsidR="00032FEA" w:rsidRPr="00F65238" w:rsidRDefault="00032FEA" w:rsidP="00032FEA">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14:paraId="585EB611" w14:textId="0F84470C" w:rsidR="00B835CF" w:rsidRDefault="00A179F4" w:rsidP="00B835CF">
      <w:pPr>
        <w:spacing w:line="360" w:lineRule="auto"/>
        <w:jc w:val="both"/>
        <w:rPr>
          <w:rFonts w:ascii="Times New Roman" w:hAnsi="Times New Roman" w:cs="Times New Roman"/>
        </w:rPr>
      </w:pPr>
      <w:r w:rsidRPr="00FD700A">
        <w:rPr>
          <w:rFonts w:ascii="Times New Roman" w:hAnsi="Times New Roman" w:cs="Times New Roman"/>
          <w:b/>
          <w:bCs/>
        </w:rPr>
        <w:t>P</w:t>
      </w:r>
      <w:r w:rsidR="00B835CF" w:rsidRPr="00FD700A">
        <w:rPr>
          <w:rFonts w:ascii="Times New Roman" w:hAnsi="Times New Roman" w:cs="Times New Roman"/>
          <w:b/>
          <w:bCs/>
        </w:rPr>
        <w:t>roline content</w:t>
      </w:r>
      <w:r w:rsidR="00FD700A" w:rsidRPr="00FD700A">
        <w:rPr>
          <w:rFonts w:ascii="Times New Roman" w:hAnsi="Times New Roman" w:cs="Times New Roman"/>
          <w:b/>
          <w:bCs/>
        </w:rPr>
        <w:t>:</w:t>
      </w:r>
      <w:r w:rsidR="00FD700A">
        <w:rPr>
          <w:rFonts w:ascii="Times New Roman" w:hAnsi="Times New Roman" w:cs="Times New Roman"/>
        </w:rPr>
        <w:t xml:space="preserve"> </w:t>
      </w:r>
      <w:r w:rsidR="00B835CF" w:rsidRPr="00B835CF">
        <w:rPr>
          <w:rFonts w:ascii="Times New Roman" w:hAnsi="Times New Roman" w:cs="Times New Roman"/>
        </w:rPr>
        <w:t xml:space="preserve">Proline accumulation </w:t>
      </w:r>
      <w:r w:rsidR="00032FEA">
        <w:rPr>
          <w:rFonts w:ascii="Times New Roman" w:hAnsi="Times New Roman" w:cs="Times New Roman"/>
        </w:rPr>
        <w:t>had a</w:t>
      </w:r>
      <w:r w:rsidR="00B835CF" w:rsidRPr="00B835CF">
        <w:rPr>
          <w:rFonts w:ascii="Times New Roman" w:hAnsi="Times New Roman" w:cs="Times New Roman"/>
        </w:rPr>
        <w:t xml:space="preserve"> significant and consistent increase under </w:t>
      </w:r>
      <w:r w:rsidR="00FD700A">
        <w:rPr>
          <w:rFonts w:ascii="Times New Roman" w:hAnsi="Times New Roman" w:cs="Times New Roman"/>
        </w:rPr>
        <w:t>application of post and pre-emergence herbicide</w:t>
      </w:r>
      <w:r w:rsidR="00B835CF" w:rsidRPr="00B835CF">
        <w:rPr>
          <w:rFonts w:ascii="Times New Roman" w:hAnsi="Times New Roman" w:cs="Times New Roman"/>
        </w:rPr>
        <w:t xml:space="preserve"> in both genotypes</w:t>
      </w:r>
      <w:r w:rsidR="00FD700A">
        <w:rPr>
          <w:rFonts w:ascii="Times New Roman" w:hAnsi="Times New Roman" w:cs="Times New Roman"/>
        </w:rPr>
        <w:t xml:space="preserve">. </w:t>
      </w:r>
      <w:r w:rsidR="00B835CF" w:rsidRPr="00B835CF">
        <w:rPr>
          <w:rFonts w:ascii="Times New Roman" w:hAnsi="Times New Roman" w:cs="Times New Roman"/>
        </w:rPr>
        <w:t>The lowest proline levels were recorded in the control (T</w:t>
      </w:r>
      <w:r w:rsidR="00032FEA" w:rsidRPr="00032FEA">
        <w:rPr>
          <w:rFonts w:ascii="Times New Roman" w:hAnsi="Times New Roman" w:cs="Times New Roman"/>
          <w:vertAlign w:val="subscript"/>
        </w:rPr>
        <w:t>0</w:t>
      </w:r>
      <w:r w:rsidR="00B835CF" w:rsidRPr="00B835CF">
        <w:rPr>
          <w:rFonts w:ascii="Times New Roman" w:hAnsi="Times New Roman" w:cs="Times New Roman"/>
        </w:rPr>
        <w:t xml:space="preserve">), with MH-65 showing 2.48 </w:t>
      </w:r>
      <w:proofErr w:type="spellStart"/>
      <w:r w:rsidR="00B835CF" w:rsidRPr="00B835CF">
        <w:rPr>
          <w:rFonts w:ascii="Times New Roman" w:hAnsi="Times New Roman" w:cs="Times New Roman"/>
        </w:rPr>
        <w:t>μmol</w:t>
      </w:r>
      <w:proofErr w:type="spellEnd"/>
      <w:r w:rsidR="00B835CF"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B835CF" w:rsidRPr="00B835CF">
        <w:rPr>
          <w:rFonts w:ascii="Times New Roman" w:hAnsi="Times New Roman" w:cs="Times New Roman"/>
        </w:rPr>
        <w:t xml:space="preserve"> FW and MH-45 showing 3.85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representing a non-stressed metabolic state.</w:t>
      </w:r>
      <w:r w:rsidR="00FD700A">
        <w:rPr>
          <w:rFonts w:ascii="Times New Roman" w:hAnsi="Times New Roman" w:cs="Times New Roman"/>
        </w:rPr>
        <w:t xml:space="preserve"> I</w:t>
      </w:r>
      <w:r w:rsidR="00B835CF" w:rsidRPr="00B835CF">
        <w:rPr>
          <w:rFonts w:ascii="Times New Roman" w:hAnsi="Times New Roman" w:cs="Times New Roman"/>
        </w:rPr>
        <w:t>mazethapyr (T</w:t>
      </w:r>
      <w:r w:rsidR="00032FEA" w:rsidRPr="00032FEA">
        <w:rPr>
          <w:rFonts w:ascii="Times New Roman" w:hAnsi="Times New Roman" w:cs="Times New Roman"/>
          <w:vertAlign w:val="subscript"/>
        </w:rPr>
        <w:t>2</w:t>
      </w:r>
      <w:r w:rsidR="00B835CF" w:rsidRPr="00B835CF">
        <w:rPr>
          <w:rFonts w:ascii="Times New Roman" w:hAnsi="Times New Roman" w:cs="Times New Roman"/>
        </w:rPr>
        <w:t>) and quizalofop (T</w:t>
      </w:r>
      <w:r w:rsidR="00032FEA" w:rsidRPr="00032FEA">
        <w:rPr>
          <w:rFonts w:ascii="Times New Roman" w:hAnsi="Times New Roman" w:cs="Times New Roman"/>
          <w:vertAlign w:val="subscript"/>
        </w:rPr>
        <w:t>3</w:t>
      </w:r>
      <w:r w:rsidR="00B835CF" w:rsidRPr="00B835CF">
        <w:rPr>
          <w:rFonts w:ascii="Times New Roman" w:hAnsi="Times New Roman" w:cs="Times New Roman"/>
        </w:rPr>
        <w:t xml:space="preserve">) induced </w:t>
      </w:r>
      <w:r w:rsidR="00FD700A">
        <w:rPr>
          <w:rFonts w:ascii="Times New Roman" w:hAnsi="Times New Roman" w:cs="Times New Roman"/>
        </w:rPr>
        <w:t>proline accumulation</w:t>
      </w:r>
      <w:r w:rsidR="00B835CF" w:rsidRPr="00B835CF">
        <w:rPr>
          <w:rFonts w:ascii="Times New Roman" w:hAnsi="Times New Roman" w:cs="Times New Roman"/>
        </w:rPr>
        <w:t xml:space="preserve">, particularly in MH-45, </w:t>
      </w:r>
      <w:r w:rsidR="00FD700A">
        <w:rPr>
          <w:rFonts w:ascii="Times New Roman" w:hAnsi="Times New Roman" w:cs="Times New Roman"/>
        </w:rPr>
        <w:t>ranged</w:t>
      </w:r>
      <w:r w:rsidR="00B835CF" w:rsidRPr="00B835CF">
        <w:rPr>
          <w:rFonts w:ascii="Times New Roman" w:hAnsi="Times New Roman" w:cs="Times New Roman"/>
        </w:rPr>
        <w:t xml:space="preserve"> up to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 </w:t>
      </w:r>
      <w:r w:rsidR="00B835CF" w:rsidRPr="00B835CF">
        <w:rPr>
          <w:rFonts w:ascii="Times New Roman" w:hAnsi="Times New Roman" w:cs="Times New Roman"/>
        </w:rPr>
        <w:t>under quizalofop application.</w:t>
      </w:r>
      <w:r w:rsidR="00FD700A">
        <w:rPr>
          <w:rFonts w:ascii="Times New Roman" w:hAnsi="Times New Roman" w:cs="Times New Roman"/>
        </w:rPr>
        <w:t xml:space="preserve"> </w:t>
      </w:r>
      <w:r w:rsidR="00B835CF" w:rsidRPr="00B835CF">
        <w:rPr>
          <w:rFonts w:ascii="Times New Roman" w:hAnsi="Times New Roman" w:cs="Times New Roman"/>
        </w:rPr>
        <w:t xml:space="preserve">Combined herbicide </w:t>
      </w:r>
      <w:r w:rsidR="00FD700A">
        <w:rPr>
          <w:rFonts w:ascii="Times New Roman" w:hAnsi="Times New Roman" w:cs="Times New Roman"/>
        </w:rPr>
        <w:t xml:space="preserve">application showed </w:t>
      </w:r>
      <w:r w:rsidR="00B835CF" w:rsidRPr="00B835CF">
        <w:rPr>
          <w:rFonts w:ascii="Times New Roman" w:hAnsi="Times New Roman" w:cs="Times New Roman"/>
        </w:rPr>
        <w:t>highest proline content in MH-65 under imazethapyr + quizalofop (T</w:t>
      </w:r>
      <w:r w:rsidR="00032FEA" w:rsidRPr="00032FEA">
        <w:rPr>
          <w:rFonts w:ascii="Times New Roman" w:hAnsi="Times New Roman" w:cs="Times New Roman"/>
          <w:vertAlign w:val="subscript"/>
        </w:rPr>
        <w:t>6</w:t>
      </w:r>
      <w:r w:rsidR="00B835CF" w:rsidRPr="00B835CF">
        <w:rPr>
          <w:rFonts w:ascii="Times New Roman" w:hAnsi="Times New Roman" w:cs="Times New Roman"/>
        </w:rPr>
        <w:t xml:space="preserve">) at 4.78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whereas MH-45 exhibited maximum accumulation under pendimethalin + quizalofop (T</w:t>
      </w:r>
      <w:r w:rsidR="00032FEA" w:rsidRPr="00032FEA">
        <w:rPr>
          <w:rFonts w:ascii="Times New Roman" w:hAnsi="Times New Roman" w:cs="Times New Roman"/>
          <w:vertAlign w:val="subscript"/>
        </w:rPr>
        <w:t>5</w:t>
      </w:r>
      <w:r w:rsidR="00B835CF" w:rsidRPr="00B835CF">
        <w:rPr>
          <w:rFonts w:ascii="Times New Roman" w:hAnsi="Times New Roman" w:cs="Times New Roman"/>
        </w:rPr>
        <w:t xml:space="preserve">), reaching 5.35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xml:space="preserve">. Across </w:t>
      </w:r>
      <w:r w:rsidR="00FD700A">
        <w:rPr>
          <w:rFonts w:ascii="Times New Roman" w:hAnsi="Times New Roman" w:cs="Times New Roman"/>
        </w:rPr>
        <w:t xml:space="preserve">applied </w:t>
      </w:r>
      <w:r w:rsidR="00B835CF" w:rsidRPr="00B835CF">
        <w:rPr>
          <w:rFonts w:ascii="Times New Roman" w:hAnsi="Times New Roman" w:cs="Times New Roman"/>
        </w:rPr>
        <w:t xml:space="preserve">treatments, MH-45 consistently accumulated higher proline than MH-65, suggesting </w:t>
      </w:r>
      <w:r w:rsidR="00FD700A">
        <w:rPr>
          <w:rFonts w:ascii="Times New Roman" w:hAnsi="Times New Roman" w:cs="Times New Roman"/>
        </w:rPr>
        <w:t>high stress</w:t>
      </w:r>
      <w:r w:rsidR="00B835CF" w:rsidRPr="00B835CF">
        <w:rPr>
          <w:rFonts w:ascii="Times New Roman" w:hAnsi="Times New Roman" w:cs="Times New Roman"/>
        </w:rPr>
        <w:t xml:space="preserve"> </w:t>
      </w:r>
      <w:r w:rsidR="00032FEA">
        <w:rPr>
          <w:rFonts w:ascii="Times New Roman" w:hAnsi="Times New Roman" w:cs="Times New Roman"/>
        </w:rPr>
        <w:t>tolerance</w:t>
      </w:r>
      <w:r w:rsidR="00B835CF" w:rsidRPr="00B835CF">
        <w:rPr>
          <w:rFonts w:ascii="Times New Roman" w:hAnsi="Times New Roman" w:cs="Times New Roman"/>
        </w:rPr>
        <w:t>.</w:t>
      </w:r>
    </w:p>
    <w:p w14:paraId="3F52AA0A" w14:textId="73E6CD4C" w:rsidR="00032FEA" w:rsidRPr="00EF26DB" w:rsidRDefault="00032FEA" w:rsidP="00032FEA">
      <w:pPr>
        <w:spacing w:after="0" w:line="360" w:lineRule="auto"/>
        <w:jc w:val="both"/>
        <w:rPr>
          <w:rFonts w:ascii="Times New Roman" w:hAnsi="Times New Roman" w:cs="Times New Roman"/>
          <w:b/>
          <w:bCs/>
        </w:rPr>
      </w:pPr>
      <w:r w:rsidRPr="003867F7">
        <w:rPr>
          <w:rFonts w:ascii="Times New Roman" w:hAnsi="Times New Roman" w:cs="Times New Roman"/>
          <w:b/>
          <w:bCs/>
        </w:rPr>
        <w:t xml:space="preserve">Table- </w:t>
      </w:r>
      <w:r>
        <w:rPr>
          <w:rFonts w:ascii="Times New Roman" w:hAnsi="Times New Roman" w:cs="Times New Roman"/>
          <w:b/>
          <w:bCs/>
        </w:rPr>
        <w:t>3</w:t>
      </w:r>
      <w:r w:rsidRPr="003867F7">
        <w:rPr>
          <w:rFonts w:ascii="Times New Roman" w:hAnsi="Times New Roman" w:cs="Times New Roman"/>
          <w:b/>
          <w:bCs/>
        </w:rPr>
        <w:t xml:space="preserve">. Effect of different pre and post emergence </w:t>
      </w:r>
      <w:r w:rsidRPr="00EF26DB">
        <w:rPr>
          <w:rFonts w:ascii="Times New Roman" w:hAnsi="Times New Roman" w:cs="Times New Roman"/>
          <w:b/>
          <w:bCs/>
        </w:rPr>
        <w:t xml:space="preserve">herbicide in the </w:t>
      </w:r>
      <w:r w:rsidR="000C3063" w:rsidRPr="000C3063">
        <w:rPr>
          <w:rFonts w:ascii="Times New Roman" w:eastAsia="Times New Roman" w:hAnsi="Times New Roman" w:cs="Times New Roman"/>
          <w:b/>
          <w:bCs/>
          <w:color w:val="000000"/>
          <w:kern w:val="0"/>
          <w:sz w:val="22"/>
          <w:szCs w:val="22"/>
          <w14:ligatures w14:val="none"/>
        </w:rPr>
        <w:t>SOD Activity (U/mg protein)</w:t>
      </w:r>
      <w:r w:rsidR="000C3063">
        <w:rPr>
          <w:rFonts w:ascii="Times New Roman" w:eastAsia="Times New Roman" w:hAnsi="Times New Roman" w:cs="Times New Roman"/>
          <w:b/>
          <w:bCs/>
          <w:color w:val="000000"/>
          <w:kern w:val="0"/>
          <w:sz w:val="22"/>
          <w:szCs w:val="22"/>
          <w14:ligatures w14:val="none"/>
        </w:rPr>
        <w:t xml:space="preserve"> </w:t>
      </w:r>
      <w:r w:rsidRPr="00EF26DB">
        <w:rPr>
          <w:rFonts w:ascii="Times New Roman" w:hAnsi="Times New Roman" w:cs="Times New Roman"/>
          <w:b/>
          <w:bCs/>
        </w:rPr>
        <w:t>of moth bean genotype</w:t>
      </w:r>
    </w:p>
    <w:tbl>
      <w:tblPr>
        <w:tblW w:w="5000" w:type="pct"/>
        <w:tblLook w:val="04A0" w:firstRow="1" w:lastRow="0" w:firstColumn="1" w:lastColumn="0" w:noHBand="0" w:noVBand="1"/>
      </w:tblPr>
      <w:tblGrid>
        <w:gridCol w:w="3892"/>
        <w:gridCol w:w="2573"/>
        <w:gridCol w:w="2885"/>
      </w:tblGrid>
      <w:tr w:rsidR="000C3063" w:rsidRPr="000C3063" w14:paraId="4E5F15C3" w14:textId="77777777" w:rsidTr="000C3063">
        <w:trPr>
          <w:trHeight w:val="288"/>
        </w:trPr>
        <w:tc>
          <w:tcPr>
            <w:tcW w:w="2081" w:type="pct"/>
            <w:vMerge w:val="restart"/>
            <w:tcBorders>
              <w:top w:val="single" w:sz="4" w:space="0" w:color="auto"/>
              <w:left w:val="single" w:sz="4" w:space="0" w:color="auto"/>
              <w:bottom w:val="single" w:sz="4" w:space="0" w:color="auto"/>
              <w:right w:val="single" w:sz="4" w:space="0" w:color="auto"/>
            </w:tcBorders>
            <w:hideMark/>
          </w:tcPr>
          <w:p w14:paraId="70470DB8"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Treatment</w:t>
            </w:r>
          </w:p>
        </w:tc>
        <w:tc>
          <w:tcPr>
            <w:tcW w:w="2919" w:type="pct"/>
            <w:gridSpan w:val="2"/>
            <w:tcBorders>
              <w:top w:val="single" w:sz="4" w:space="0" w:color="auto"/>
              <w:left w:val="nil"/>
              <w:bottom w:val="single" w:sz="4" w:space="0" w:color="auto"/>
              <w:right w:val="single" w:sz="4" w:space="0" w:color="auto"/>
            </w:tcBorders>
            <w:hideMark/>
          </w:tcPr>
          <w:p w14:paraId="70E64E84"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SOD Activity (U/mg protein)</w:t>
            </w:r>
          </w:p>
        </w:tc>
      </w:tr>
      <w:tr w:rsidR="000C3063" w:rsidRPr="000C3063" w14:paraId="170C1C3B" w14:textId="77777777" w:rsidTr="00585BD3">
        <w:trPr>
          <w:trHeight w:val="288"/>
        </w:trPr>
        <w:tc>
          <w:tcPr>
            <w:tcW w:w="2081" w:type="pct"/>
            <w:vMerge/>
            <w:tcBorders>
              <w:top w:val="single" w:sz="4" w:space="0" w:color="auto"/>
              <w:left w:val="single" w:sz="4" w:space="0" w:color="auto"/>
              <w:bottom w:val="single" w:sz="4" w:space="0" w:color="auto"/>
              <w:right w:val="single" w:sz="4" w:space="0" w:color="auto"/>
            </w:tcBorders>
            <w:vAlign w:val="center"/>
            <w:hideMark/>
          </w:tcPr>
          <w:p w14:paraId="30D2C4C4"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p>
        </w:tc>
        <w:tc>
          <w:tcPr>
            <w:tcW w:w="1376" w:type="pct"/>
            <w:tcBorders>
              <w:top w:val="nil"/>
              <w:left w:val="nil"/>
              <w:bottom w:val="single" w:sz="4" w:space="0" w:color="auto"/>
              <w:right w:val="single" w:sz="4" w:space="0" w:color="auto"/>
            </w:tcBorders>
            <w:noWrap/>
            <w:hideMark/>
          </w:tcPr>
          <w:p w14:paraId="20D34E66"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MH-65</w:t>
            </w:r>
          </w:p>
        </w:tc>
        <w:tc>
          <w:tcPr>
            <w:tcW w:w="1543" w:type="pct"/>
            <w:tcBorders>
              <w:top w:val="nil"/>
              <w:left w:val="nil"/>
              <w:bottom w:val="single" w:sz="4" w:space="0" w:color="auto"/>
              <w:right w:val="single" w:sz="4" w:space="0" w:color="auto"/>
            </w:tcBorders>
            <w:noWrap/>
            <w:hideMark/>
          </w:tcPr>
          <w:p w14:paraId="6573658F"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MH-45</w:t>
            </w:r>
          </w:p>
        </w:tc>
      </w:tr>
      <w:tr w:rsidR="000C3063" w:rsidRPr="000C3063" w14:paraId="6FA19F25"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46A3D1E2"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lastRenderedPageBreak/>
              <w:t>T0 – Control</w:t>
            </w:r>
          </w:p>
        </w:tc>
        <w:tc>
          <w:tcPr>
            <w:tcW w:w="1376" w:type="pct"/>
            <w:tcBorders>
              <w:top w:val="nil"/>
              <w:left w:val="nil"/>
              <w:bottom w:val="single" w:sz="4" w:space="0" w:color="auto"/>
              <w:right w:val="single" w:sz="4" w:space="0" w:color="auto"/>
            </w:tcBorders>
            <w:noWrap/>
            <w:hideMark/>
          </w:tcPr>
          <w:p w14:paraId="15B7ABC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22.50 ± 0.464</w:t>
            </w:r>
          </w:p>
        </w:tc>
        <w:tc>
          <w:tcPr>
            <w:tcW w:w="1543" w:type="pct"/>
            <w:tcBorders>
              <w:top w:val="nil"/>
              <w:left w:val="nil"/>
              <w:bottom w:val="single" w:sz="4" w:space="0" w:color="auto"/>
              <w:right w:val="single" w:sz="4" w:space="0" w:color="auto"/>
            </w:tcBorders>
            <w:noWrap/>
            <w:hideMark/>
          </w:tcPr>
          <w:p w14:paraId="42451774"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26.20 ± 0.244</w:t>
            </w:r>
          </w:p>
        </w:tc>
      </w:tr>
      <w:tr w:rsidR="000C3063" w:rsidRPr="000C3063" w14:paraId="6CA1ABB9"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6633EC3"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T1 – Pendimethalin</w:t>
            </w:r>
          </w:p>
        </w:tc>
        <w:tc>
          <w:tcPr>
            <w:tcW w:w="1376" w:type="pct"/>
            <w:tcBorders>
              <w:top w:val="nil"/>
              <w:left w:val="nil"/>
              <w:bottom w:val="single" w:sz="4" w:space="0" w:color="auto"/>
              <w:right w:val="single" w:sz="4" w:space="0" w:color="auto"/>
            </w:tcBorders>
            <w:noWrap/>
            <w:hideMark/>
          </w:tcPr>
          <w:p w14:paraId="486B7D1B"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24.50 ± 0.588</w:t>
            </w:r>
          </w:p>
        </w:tc>
        <w:tc>
          <w:tcPr>
            <w:tcW w:w="1543" w:type="pct"/>
            <w:tcBorders>
              <w:top w:val="nil"/>
              <w:left w:val="nil"/>
              <w:bottom w:val="single" w:sz="4" w:space="0" w:color="auto"/>
              <w:right w:val="single" w:sz="4" w:space="0" w:color="auto"/>
            </w:tcBorders>
            <w:noWrap/>
            <w:hideMark/>
          </w:tcPr>
          <w:p w14:paraId="5EAB4C79"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28.10 ± 0.422</w:t>
            </w:r>
          </w:p>
        </w:tc>
      </w:tr>
      <w:tr w:rsidR="000C3063" w:rsidRPr="000C3063" w14:paraId="36F41866"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1145DC62"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T2 – Imazethapyr</w:t>
            </w:r>
          </w:p>
        </w:tc>
        <w:tc>
          <w:tcPr>
            <w:tcW w:w="1376" w:type="pct"/>
            <w:tcBorders>
              <w:top w:val="nil"/>
              <w:left w:val="nil"/>
              <w:bottom w:val="single" w:sz="4" w:space="0" w:color="auto"/>
              <w:right w:val="single" w:sz="4" w:space="0" w:color="auto"/>
            </w:tcBorders>
            <w:noWrap/>
            <w:hideMark/>
          </w:tcPr>
          <w:p w14:paraId="40245EF6"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27.30 ± 0.241</w:t>
            </w:r>
          </w:p>
        </w:tc>
        <w:tc>
          <w:tcPr>
            <w:tcW w:w="1543" w:type="pct"/>
            <w:tcBorders>
              <w:top w:val="nil"/>
              <w:left w:val="nil"/>
              <w:bottom w:val="single" w:sz="4" w:space="0" w:color="auto"/>
              <w:right w:val="single" w:sz="4" w:space="0" w:color="auto"/>
            </w:tcBorders>
            <w:noWrap/>
            <w:hideMark/>
          </w:tcPr>
          <w:p w14:paraId="4E5BE885"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26.80 ± 0.432</w:t>
            </w:r>
          </w:p>
        </w:tc>
      </w:tr>
      <w:tr w:rsidR="000C3063" w:rsidRPr="000C3063" w14:paraId="623221F1"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4D58D1FA"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T3 – Quizalofop</w:t>
            </w:r>
          </w:p>
        </w:tc>
        <w:tc>
          <w:tcPr>
            <w:tcW w:w="1376" w:type="pct"/>
            <w:tcBorders>
              <w:top w:val="nil"/>
              <w:left w:val="nil"/>
              <w:bottom w:val="single" w:sz="4" w:space="0" w:color="auto"/>
              <w:right w:val="single" w:sz="4" w:space="0" w:color="auto"/>
            </w:tcBorders>
            <w:noWrap/>
            <w:hideMark/>
          </w:tcPr>
          <w:p w14:paraId="637C4440"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24.80 ± 0.078</w:t>
            </w:r>
          </w:p>
        </w:tc>
        <w:tc>
          <w:tcPr>
            <w:tcW w:w="1543" w:type="pct"/>
            <w:tcBorders>
              <w:top w:val="nil"/>
              <w:left w:val="nil"/>
              <w:bottom w:val="single" w:sz="4" w:space="0" w:color="auto"/>
              <w:right w:val="single" w:sz="4" w:space="0" w:color="auto"/>
            </w:tcBorders>
            <w:noWrap/>
            <w:hideMark/>
          </w:tcPr>
          <w:p w14:paraId="315342B0"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29.40 ± 0.396</w:t>
            </w:r>
          </w:p>
        </w:tc>
      </w:tr>
      <w:tr w:rsidR="000C3063" w:rsidRPr="000C3063" w14:paraId="58FD6B7E"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384D09BF"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T4 – Pendi + Imaza</w:t>
            </w:r>
          </w:p>
        </w:tc>
        <w:tc>
          <w:tcPr>
            <w:tcW w:w="1376" w:type="pct"/>
            <w:tcBorders>
              <w:top w:val="nil"/>
              <w:left w:val="nil"/>
              <w:bottom w:val="single" w:sz="4" w:space="0" w:color="auto"/>
              <w:right w:val="single" w:sz="4" w:space="0" w:color="auto"/>
            </w:tcBorders>
            <w:noWrap/>
            <w:hideMark/>
          </w:tcPr>
          <w:p w14:paraId="7E7BAD2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28.00 ± 0.015</w:t>
            </w:r>
          </w:p>
        </w:tc>
        <w:tc>
          <w:tcPr>
            <w:tcW w:w="1543" w:type="pct"/>
            <w:tcBorders>
              <w:top w:val="nil"/>
              <w:left w:val="nil"/>
              <w:bottom w:val="single" w:sz="4" w:space="0" w:color="auto"/>
              <w:right w:val="single" w:sz="4" w:space="0" w:color="auto"/>
            </w:tcBorders>
            <w:noWrap/>
            <w:hideMark/>
          </w:tcPr>
          <w:p w14:paraId="69AE263A"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29.10 ± 0.244</w:t>
            </w:r>
          </w:p>
        </w:tc>
      </w:tr>
      <w:tr w:rsidR="000C3063" w:rsidRPr="000C3063" w14:paraId="0B60476F"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D11943F"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T5 – Pendi + Quiza</w:t>
            </w:r>
          </w:p>
        </w:tc>
        <w:tc>
          <w:tcPr>
            <w:tcW w:w="1376" w:type="pct"/>
            <w:tcBorders>
              <w:top w:val="nil"/>
              <w:left w:val="nil"/>
              <w:bottom w:val="single" w:sz="4" w:space="0" w:color="auto"/>
              <w:right w:val="single" w:sz="4" w:space="0" w:color="auto"/>
            </w:tcBorders>
            <w:noWrap/>
            <w:hideMark/>
          </w:tcPr>
          <w:p w14:paraId="7670F5B2"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27.95 ± 0.684</w:t>
            </w:r>
          </w:p>
        </w:tc>
        <w:tc>
          <w:tcPr>
            <w:tcW w:w="1543" w:type="pct"/>
            <w:tcBorders>
              <w:top w:val="nil"/>
              <w:left w:val="nil"/>
              <w:bottom w:val="single" w:sz="4" w:space="0" w:color="auto"/>
              <w:right w:val="single" w:sz="4" w:space="0" w:color="auto"/>
            </w:tcBorders>
            <w:noWrap/>
            <w:hideMark/>
          </w:tcPr>
          <w:p w14:paraId="668EB26F"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30.20 ± 0.250</w:t>
            </w:r>
          </w:p>
        </w:tc>
      </w:tr>
      <w:tr w:rsidR="000C3063" w:rsidRPr="000C3063" w14:paraId="6263E4D2"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7A13183"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T6 – Imaza + Quiza</w:t>
            </w:r>
          </w:p>
        </w:tc>
        <w:tc>
          <w:tcPr>
            <w:tcW w:w="1376" w:type="pct"/>
            <w:tcBorders>
              <w:top w:val="nil"/>
              <w:left w:val="nil"/>
              <w:bottom w:val="single" w:sz="4" w:space="0" w:color="auto"/>
              <w:right w:val="single" w:sz="4" w:space="0" w:color="auto"/>
            </w:tcBorders>
            <w:noWrap/>
            <w:hideMark/>
          </w:tcPr>
          <w:p w14:paraId="4DF52D4E"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28.60 ± 0.089</w:t>
            </w:r>
          </w:p>
        </w:tc>
        <w:tc>
          <w:tcPr>
            <w:tcW w:w="1543" w:type="pct"/>
            <w:tcBorders>
              <w:top w:val="nil"/>
              <w:left w:val="nil"/>
              <w:bottom w:val="single" w:sz="4" w:space="0" w:color="auto"/>
              <w:right w:val="single" w:sz="4" w:space="0" w:color="auto"/>
            </w:tcBorders>
            <w:noWrap/>
            <w:hideMark/>
          </w:tcPr>
          <w:p w14:paraId="51D7E47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27.60 ± 0.170</w:t>
            </w:r>
          </w:p>
        </w:tc>
      </w:tr>
      <w:tr w:rsidR="000C3063" w:rsidRPr="000C3063" w14:paraId="516EC313"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D4E2C59"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C.D.</w:t>
            </w:r>
          </w:p>
        </w:tc>
        <w:tc>
          <w:tcPr>
            <w:tcW w:w="1376" w:type="pct"/>
            <w:tcBorders>
              <w:top w:val="nil"/>
              <w:left w:val="nil"/>
              <w:bottom w:val="single" w:sz="4" w:space="0" w:color="000000"/>
              <w:right w:val="single" w:sz="4" w:space="0" w:color="000000"/>
            </w:tcBorders>
            <w:vAlign w:val="center"/>
            <w:hideMark/>
          </w:tcPr>
          <w:p w14:paraId="2B0826ED"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1.251</w:t>
            </w:r>
          </w:p>
        </w:tc>
        <w:tc>
          <w:tcPr>
            <w:tcW w:w="1543" w:type="pct"/>
            <w:tcBorders>
              <w:top w:val="nil"/>
              <w:left w:val="nil"/>
              <w:bottom w:val="single" w:sz="4" w:space="0" w:color="000000"/>
              <w:right w:val="single" w:sz="4" w:space="0" w:color="000000"/>
            </w:tcBorders>
            <w:vAlign w:val="center"/>
            <w:hideMark/>
          </w:tcPr>
          <w:p w14:paraId="72CA2EB5"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0.934</w:t>
            </w:r>
          </w:p>
        </w:tc>
      </w:tr>
      <w:tr w:rsidR="000C3063" w:rsidRPr="000C3063" w14:paraId="61FEDE02"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13E8A58"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SE(m)</w:t>
            </w:r>
          </w:p>
        </w:tc>
        <w:tc>
          <w:tcPr>
            <w:tcW w:w="1376" w:type="pct"/>
            <w:tcBorders>
              <w:top w:val="nil"/>
              <w:left w:val="nil"/>
              <w:bottom w:val="single" w:sz="4" w:space="0" w:color="000000"/>
              <w:right w:val="single" w:sz="4" w:space="0" w:color="000000"/>
            </w:tcBorders>
            <w:vAlign w:val="center"/>
            <w:hideMark/>
          </w:tcPr>
          <w:p w14:paraId="774E0EA8"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0.401</w:t>
            </w:r>
          </w:p>
        </w:tc>
        <w:tc>
          <w:tcPr>
            <w:tcW w:w="1543" w:type="pct"/>
            <w:tcBorders>
              <w:top w:val="nil"/>
              <w:left w:val="nil"/>
              <w:bottom w:val="single" w:sz="4" w:space="0" w:color="000000"/>
              <w:right w:val="single" w:sz="4" w:space="0" w:color="000000"/>
            </w:tcBorders>
            <w:vAlign w:val="center"/>
            <w:hideMark/>
          </w:tcPr>
          <w:p w14:paraId="0895482F"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0.300</w:t>
            </w:r>
          </w:p>
        </w:tc>
      </w:tr>
      <w:tr w:rsidR="000C3063" w:rsidRPr="000C3063" w14:paraId="0CB15AC0"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997CFA4"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SE(d)</w:t>
            </w:r>
          </w:p>
        </w:tc>
        <w:tc>
          <w:tcPr>
            <w:tcW w:w="1376" w:type="pct"/>
            <w:tcBorders>
              <w:top w:val="nil"/>
              <w:left w:val="nil"/>
              <w:bottom w:val="single" w:sz="4" w:space="0" w:color="000000"/>
              <w:right w:val="single" w:sz="4" w:space="0" w:color="000000"/>
            </w:tcBorders>
            <w:vAlign w:val="center"/>
            <w:hideMark/>
          </w:tcPr>
          <w:p w14:paraId="2005830C"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0.568</w:t>
            </w:r>
          </w:p>
        </w:tc>
        <w:tc>
          <w:tcPr>
            <w:tcW w:w="1543" w:type="pct"/>
            <w:tcBorders>
              <w:top w:val="nil"/>
              <w:left w:val="nil"/>
              <w:bottom w:val="single" w:sz="4" w:space="0" w:color="000000"/>
              <w:right w:val="single" w:sz="4" w:space="0" w:color="000000"/>
            </w:tcBorders>
            <w:vAlign w:val="center"/>
            <w:hideMark/>
          </w:tcPr>
          <w:p w14:paraId="0E812D3E"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0.424</w:t>
            </w:r>
          </w:p>
        </w:tc>
      </w:tr>
      <w:tr w:rsidR="000C3063" w:rsidRPr="000C3063" w14:paraId="02876627"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AF32636"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C.V.</w:t>
            </w:r>
          </w:p>
        </w:tc>
        <w:tc>
          <w:tcPr>
            <w:tcW w:w="1376" w:type="pct"/>
            <w:tcBorders>
              <w:top w:val="nil"/>
              <w:left w:val="nil"/>
              <w:bottom w:val="single" w:sz="4" w:space="0" w:color="000000"/>
              <w:right w:val="single" w:sz="4" w:space="0" w:color="000000"/>
            </w:tcBorders>
            <w:vAlign w:val="center"/>
            <w:hideMark/>
          </w:tcPr>
          <w:p w14:paraId="2D0D8A69"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2.650</w:t>
            </w:r>
          </w:p>
        </w:tc>
        <w:tc>
          <w:tcPr>
            <w:tcW w:w="1543" w:type="pct"/>
            <w:tcBorders>
              <w:top w:val="nil"/>
              <w:left w:val="nil"/>
              <w:bottom w:val="single" w:sz="4" w:space="0" w:color="000000"/>
              <w:right w:val="single" w:sz="4" w:space="0" w:color="000000"/>
            </w:tcBorders>
            <w:vAlign w:val="center"/>
            <w:hideMark/>
          </w:tcPr>
          <w:p w14:paraId="7B8398BC"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1.841</w:t>
            </w:r>
          </w:p>
        </w:tc>
      </w:tr>
    </w:tbl>
    <w:p w14:paraId="1052BAAE" w14:textId="77777777" w:rsidR="00585BD3" w:rsidRPr="00F65238" w:rsidRDefault="00585BD3" w:rsidP="00585BD3">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14:paraId="7F8E7C51" w14:textId="02C460EE" w:rsidR="00585BD3" w:rsidRPr="00585BD3" w:rsidRDefault="00585BD3" w:rsidP="00585BD3">
      <w:pPr>
        <w:spacing w:line="360" w:lineRule="auto"/>
        <w:jc w:val="both"/>
        <w:rPr>
          <w:rFonts w:ascii="Times New Roman" w:hAnsi="Times New Roman" w:cs="Times New Roman"/>
        </w:rPr>
      </w:pPr>
      <w:r w:rsidRPr="00585BD3">
        <w:rPr>
          <w:rFonts w:ascii="Times New Roman" w:hAnsi="Times New Roman" w:cs="Times New Roman"/>
          <w:b/>
          <w:bCs/>
        </w:rPr>
        <w:t>Superoxide dismutase (SOD):</w:t>
      </w:r>
      <w:r>
        <w:rPr>
          <w:rFonts w:ascii="Times New Roman" w:hAnsi="Times New Roman" w:cs="Times New Roman"/>
        </w:rPr>
        <w:t xml:space="preserve"> </w:t>
      </w:r>
      <w:r w:rsidRPr="00585BD3">
        <w:rPr>
          <w:rFonts w:ascii="Times New Roman" w:hAnsi="Times New Roman" w:cs="Times New Roman"/>
        </w:rPr>
        <w:t xml:space="preserve">Superoxide dismutase activity exhibited significant variation in response to different </w:t>
      </w:r>
      <w:r>
        <w:rPr>
          <w:rFonts w:ascii="Times New Roman" w:hAnsi="Times New Roman" w:cs="Times New Roman"/>
        </w:rPr>
        <w:t xml:space="preserve">applications of </w:t>
      </w:r>
      <w:r w:rsidRPr="00585BD3">
        <w:rPr>
          <w:rFonts w:ascii="Times New Roman" w:hAnsi="Times New Roman" w:cs="Times New Roman"/>
        </w:rPr>
        <w:t>herbicide in both moth bean genotypes. Under control conditions (T₀), basal SOD activity was comparatively lower, recording 22.50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MH-65 and 26.20 U mg</w:t>
      </w:r>
      <w:r w:rsidRPr="00585BD3">
        <w:rPr>
          <w:rFonts w:ascii="Times New Roman" w:hAnsi="Times New Roman" w:cs="Times New Roman"/>
          <w:vertAlign w:val="superscript"/>
        </w:rPr>
        <w:t>-1</w:t>
      </w:r>
      <w:r w:rsidRPr="00585BD3">
        <w:rPr>
          <w:rFonts w:ascii="Times New Roman" w:hAnsi="Times New Roman" w:cs="Times New Roman"/>
        </w:rPr>
        <w:t xml:space="preserve"> protein in MH-45, indicating minimal oxidative load in the absence of chemical stress.</w:t>
      </w:r>
      <w:r w:rsidR="00E54289">
        <w:rPr>
          <w:rFonts w:ascii="Times New Roman" w:hAnsi="Times New Roman" w:cs="Times New Roman"/>
        </w:rPr>
        <w:t xml:space="preserve"> </w:t>
      </w:r>
      <w:r w:rsidRPr="00585BD3">
        <w:rPr>
          <w:rFonts w:ascii="Times New Roman" w:hAnsi="Times New Roman" w:cs="Times New Roman"/>
        </w:rPr>
        <w:t xml:space="preserve">Application of individual herbicides resulted in a significant </w:t>
      </w:r>
      <w:r>
        <w:rPr>
          <w:rFonts w:ascii="Times New Roman" w:hAnsi="Times New Roman" w:cs="Times New Roman"/>
        </w:rPr>
        <w:t xml:space="preserve">increment </w:t>
      </w:r>
      <w:r w:rsidRPr="00585BD3">
        <w:rPr>
          <w:rFonts w:ascii="Times New Roman" w:hAnsi="Times New Roman" w:cs="Times New Roman"/>
        </w:rPr>
        <w:t xml:space="preserve">of SOD activity </w:t>
      </w:r>
      <w:r>
        <w:rPr>
          <w:rFonts w:ascii="Times New Roman" w:hAnsi="Times New Roman" w:cs="Times New Roman"/>
        </w:rPr>
        <w:t>with application of pre and post herbicide</w:t>
      </w:r>
      <w:r w:rsidRPr="00585BD3">
        <w:rPr>
          <w:rFonts w:ascii="Times New Roman" w:hAnsi="Times New Roman" w:cs="Times New Roman"/>
        </w:rPr>
        <w:t>. Pendimethalin (T</w:t>
      </w:r>
      <w:r w:rsidRPr="00585BD3">
        <w:rPr>
          <w:rFonts w:ascii="Times New Roman" w:hAnsi="Times New Roman" w:cs="Times New Roman"/>
          <w:vertAlign w:val="subscript"/>
        </w:rPr>
        <w:t>1</w:t>
      </w:r>
      <w:r w:rsidRPr="00585BD3">
        <w:rPr>
          <w:rFonts w:ascii="Times New Roman" w:hAnsi="Times New Roman" w:cs="Times New Roman"/>
        </w:rPr>
        <w:t>) increased SOD activity to 24.50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MH-65 and 28.10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MH-45, while imazethapyr (T</w:t>
      </w:r>
      <w:r w:rsidRPr="00585BD3">
        <w:rPr>
          <w:rFonts w:ascii="Times New Roman" w:hAnsi="Times New Roman" w:cs="Times New Roman"/>
          <w:vertAlign w:val="subscript"/>
        </w:rPr>
        <w:t>2</w:t>
      </w:r>
      <w:r w:rsidRPr="00585BD3">
        <w:rPr>
          <w:rFonts w:ascii="Times New Roman" w:hAnsi="Times New Roman" w:cs="Times New Roman"/>
        </w:rPr>
        <w:t>) induced a stronger response in MH-65 (27.30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suggesting higher oxidative signaling in this genotype. Quizalofop (T</w:t>
      </w:r>
      <w:r w:rsidRPr="00585BD3">
        <w:rPr>
          <w:rFonts w:ascii="Times New Roman" w:hAnsi="Times New Roman" w:cs="Times New Roman"/>
          <w:vertAlign w:val="subscript"/>
        </w:rPr>
        <w:t>3</w:t>
      </w:r>
      <w:r w:rsidRPr="00585BD3">
        <w:rPr>
          <w:rFonts w:ascii="Times New Roman" w:hAnsi="Times New Roman" w:cs="Times New Roman"/>
        </w:rPr>
        <w:t xml:space="preserve">) </w:t>
      </w:r>
      <w:r>
        <w:rPr>
          <w:rFonts w:ascii="Times New Roman" w:hAnsi="Times New Roman" w:cs="Times New Roman"/>
        </w:rPr>
        <w:t>showed</w:t>
      </w:r>
      <w:r w:rsidRPr="00585BD3">
        <w:rPr>
          <w:rFonts w:ascii="Times New Roman" w:hAnsi="Times New Roman" w:cs="Times New Roman"/>
        </w:rPr>
        <w:t xml:space="preserve"> elevated SOD activity in MH-45, </w:t>
      </w:r>
      <w:r w:rsidR="00E54289" w:rsidRPr="00585BD3">
        <w:rPr>
          <w:rFonts w:ascii="Times New Roman" w:hAnsi="Times New Roman" w:cs="Times New Roman"/>
        </w:rPr>
        <w:t>achieving</w:t>
      </w:r>
      <w:r w:rsidRPr="00585BD3">
        <w:rPr>
          <w:rFonts w:ascii="Times New Roman" w:hAnsi="Times New Roman" w:cs="Times New Roman"/>
        </w:rPr>
        <w:t xml:space="preserve"> 29.40 U mg⁻¹ protein, indicating a genotype-specific antioxidant response.</w:t>
      </w:r>
      <w:r w:rsidR="00E54289">
        <w:rPr>
          <w:rFonts w:ascii="Times New Roman" w:hAnsi="Times New Roman" w:cs="Times New Roman"/>
        </w:rPr>
        <w:t xml:space="preserve"> </w:t>
      </w:r>
      <w:r w:rsidRPr="00585BD3">
        <w:rPr>
          <w:rFonts w:ascii="Times New Roman" w:hAnsi="Times New Roman" w:cs="Times New Roman"/>
        </w:rPr>
        <w:t xml:space="preserve">Combined herbicide applications </w:t>
      </w:r>
      <w:r w:rsidR="00D70150" w:rsidRPr="00585BD3">
        <w:rPr>
          <w:rFonts w:ascii="Times New Roman" w:hAnsi="Times New Roman" w:cs="Times New Roman"/>
        </w:rPr>
        <w:t>highlight</w:t>
      </w:r>
      <w:r w:rsidR="00E54289">
        <w:rPr>
          <w:rFonts w:ascii="Times New Roman" w:hAnsi="Times New Roman" w:cs="Times New Roman"/>
        </w:rPr>
        <w:t xml:space="preserve"> </w:t>
      </w:r>
      <w:r w:rsidRPr="00585BD3">
        <w:rPr>
          <w:rFonts w:ascii="Times New Roman" w:hAnsi="Times New Roman" w:cs="Times New Roman"/>
        </w:rPr>
        <w:t xml:space="preserve">cumulative </w:t>
      </w:r>
      <w:r w:rsidR="00E54289">
        <w:rPr>
          <w:rFonts w:ascii="Times New Roman" w:hAnsi="Times New Roman" w:cs="Times New Roman"/>
        </w:rPr>
        <w:t>effects such as</w:t>
      </w:r>
      <w:r w:rsidRPr="00585BD3">
        <w:rPr>
          <w:rFonts w:ascii="Times New Roman" w:hAnsi="Times New Roman" w:cs="Times New Roman"/>
        </w:rPr>
        <w:t xml:space="preserve"> pendimethalin + imazethapyr treatment (T</w:t>
      </w:r>
      <w:r w:rsidR="00E54289" w:rsidRPr="00E54289">
        <w:rPr>
          <w:rFonts w:ascii="Times New Roman" w:hAnsi="Times New Roman" w:cs="Times New Roman"/>
          <w:vertAlign w:val="subscript"/>
        </w:rPr>
        <w:t>4</w:t>
      </w:r>
      <w:r w:rsidRPr="00585BD3">
        <w:rPr>
          <w:rFonts w:ascii="Times New Roman" w:hAnsi="Times New Roman" w:cs="Times New Roman"/>
        </w:rPr>
        <w:t xml:space="preserve">) led to a substantial increase in both genotypes </w:t>
      </w:r>
      <w:r w:rsidR="00E54289">
        <w:rPr>
          <w:rFonts w:ascii="Times New Roman" w:hAnsi="Times New Roman" w:cs="Times New Roman"/>
        </w:rPr>
        <w:t>(</w:t>
      </w:r>
      <w:r w:rsidRPr="00585BD3">
        <w:rPr>
          <w:rFonts w:ascii="Times New Roman" w:hAnsi="Times New Roman" w:cs="Times New Roman"/>
        </w:rPr>
        <w:t>MH-65 and MH-45 recording 28.00 and 29.10 U mg⁻¹ protein</w:t>
      </w:r>
      <w:r w:rsidR="00E54289">
        <w:rPr>
          <w:rFonts w:ascii="Times New Roman" w:hAnsi="Times New Roman" w:cs="Times New Roman"/>
        </w:rPr>
        <w:t>)</w:t>
      </w:r>
      <w:r w:rsidRPr="00585BD3">
        <w:rPr>
          <w:rFonts w:ascii="Times New Roman" w:hAnsi="Times New Roman" w:cs="Times New Roman"/>
        </w:rPr>
        <w:t>, respectively. The highest SOD activity in MH-45 was observed under pendimethalin + quizalofop (T</w:t>
      </w:r>
      <w:r w:rsidR="00E54289" w:rsidRPr="00E54289">
        <w:rPr>
          <w:rFonts w:ascii="Times New Roman" w:hAnsi="Times New Roman" w:cs="Times New Roman"/>
          <w:vertAlign w:val="subscript"/>
        </w:rPr>
        <w:t>5</w:t>
      </w:r>
      <w:r w:rsidR="00E54289">
        <w:rPr>
          <w:rFonts w:ascii="Times New Roman" w:hAnsi="Times New Roman" w:cs="Times New Roman"/>
        </w:rPr>
        <w:t xml:space="preserve">; </w:t>
      </w:r>
      <w:r w:rsidRPr="00585BD3">
        <w:rPr>
          <w:rFonts w:ascii="Times New Roman" w:hAnsi="Times New Roman" w:cs="Times New Roman"/>
        </w:rPr>
        <w:t>30.20 U mg⁻¹ protein</w:t>
      </w:r>
      <w:r w:rsidR="00E54289">
        <w:rPr>
          <w:rFonts w:ascii="Times New Roman" w:hAnsi="Times New Roman" w:cs="Times New Roman"/>
        </w:rPr>
        <w:t>)</w:t>
      </w:r>
      <w:r w:rsidRPr="00585BD3">
        <w:rPr>
          <w:rFonts w:ascii="Times New Roman" w:hAnsi="Times New Roman" w:cs="Times New Roman"/>
        </w:rPr>
        <w:t>, whereas MH-65 showed maximum activity under imazethapyr + quizalofop (T</w:t>
      </w:r>
      <w:r w:rsidR="00E54289" w:rsidRPr="00E54289">
        <w:rPr>
          <w:rFonts w:ascii="Times New Roman" w:hAnsi="Times New Roman" w:cs="Times New Roman"/>
          <w:vertAlign w:val="subscript"/>
        </w:rPr>
        <w:t>6</w:t>
      </w:r>
      <w:r w:rsidRPr="00585BD3">
        <w:rPr>
          <w:rFonts w:ascii="Times New Roman" w:hAnsi="Times New Roman" w:cs="Times New Roman"/>
        </w:rPr>
        <w:t>) 28.60 U mg⁻¹ protein.</w:t>
      </w:r>
    </w:p>
    <w:p w14:paraId="151B1E96" w14:textId="07EB1F2A" w:rsidR="00573878" w:rsidRPr="00573878" w:rsidRDefault="00573878" w:rsidP="00573878">
      <w:pPr>
        <w:spacing w:line="360" w:lineRule="auto"/>
        <w:jc w:val="both"/>
        <w:rPr>
          <w:rFonts w:ascii="Times New Roman" w:hAnsi="Times New Roman" w:cs="Times New Roman"/>
          <w:b/>
          <w:bCs/>
        </w:rPr>
      </w:pPr>
      <w:r w:rsidRPr="00573878">
        <w:rPr>
          <w:rFonts w:ascii="Times New Roman" w:hAnsi="Times New Roman" w:cs="Times New Roman"/>
          <w:b/>
          <w:bCs/>
        </w:rPr>
        <w:t>DISCUSSION</w:t>
      </w:r>
    </w:p>
    <w:p w14:paraId="768E9A41" w14:textId="0C01DDBE" w:rsidR="00EF3945" w:rsidRPr="00585BD3" w:rsidRDefault="00573878" w:rsidP="00573878">
      <w:pPr>
        <w:spacing w:line="360" w:lineRule="auto"/>
        <w:jc w:val="both"/>
        <w:rPr>
          <w:rFonts w:ascii="Times New Roman" w:hAnsi="Times New Roman" w:cs="Times New Roman"/>
        </w:rPr>
      </w:pPr>
      <w:r w:rsidRPr="00573878">
        <w:rPr>
          <w:rFonts w:ascii="Times New Roman" w:hAnsi="Times New Roman" w:cs="Times New Roman"/>
        </w:rPr>
        <w:t>Herbicide application imposed measurable biochemical and oxidative stress on moth bean plants, as reflected by coordinated changes in water</w:t>
      </w:r>
      <w:r w:rsidR="002433AB">
        <w:rPr>
          <w:rFonts w:ascii="Times New Roman" w:hAnsi="Times New Roman" w:cs="Times New Roman"/>
        </w:rPr>
        <w:t xml:space="preserve"> </w:t>
      </w:r>
      <w:r w:rsidRPr="00573878">
        <w:rPr>
          <w:rFonts w:ascii="Times New Roman" w:hAnsi="Times New Roman" w:cs="Times New Roman"/>
        </w:rPr>
        <w:t xml:space="preserve">soluble carbohydrates, protein content, </w:t>
      </w:r>
      <w:r w:rsidR="00A25E9D" w:rsidRPr="00A25E9D">
        <w:rPr>
          <w:rFonts w:ascii="Times New Roman" w:hAnsi="Times New Roman" w:cs="Times New Roman"/>
        </w:rPr>
        <w:t xml:space="preserve">leghemoglobin </w:t>
      </w:r>
      <w:r w:rsidRPr="00573878">
        <w:rPr>
          <w:rFonts w:ascii="Times New Roman" w:hAnsi="Times New Roman" w:cs="Times New Roman"/>
        </w:rPr>
        <w:t>concentration, proline accumulation, and superoxide dismutase activity</w:t>
      </w:r>
      <w:r>
        <w:rPr>
          <w:rFonts w:ascii="Times New Roman" w:hAnsi="Times New Roman" w:cs="Times New Roman"/>
        </w:rPr>
        <w:t xml:space="preserve"> (</w:t>
      </w:r>
      <w:r w:rsidRPr="00573878">
        <w:rPr>
          <w:rFonts w:ascii="Times New Roman" w:hAnsi="Times New Roman" w:cs="Times New Roman"/>
        </w:rPr>
        <w:t>Boulahia</w:t>
      </w:r>
      <w:r>
        <w:rPr>
          <w:rFonts w:ascii="Times New Roman" w:hAnsi="Times New Roman" w:cs="Times New Roman"/>
        </w:rPr>
        <w:t xml:space="preserve"> </w:t>
      </w:r>
      <w:r w:rsidR="00D23B31" w:rsidRPr="00D23B31">
        <w:rPr>
          <w:rFonts w:ascii="Times New Roman" w:hAnsi="Times New Roman" w:cs="Times New Roman"/>
          <w:i/>
          <w:iCs/>
        </w:rPr>
        <w:t>et al.,</w:t>
      </w:r>
      <w:r>
        <w:rPr>
          <w:rFonts w:ascii="Times New Roman" w:hAnsi="Times New Roman" w:cs="Times New Roman"/>
        </w:rPr>
        <w:t xml:space="preserve"> 2023)</w:t>
      </w:r>
      <w:r w:rsidRPr="00573878">
        <w:rPr>
          <w:rFonts w:ascii="Times New Roman" w:hAnsi="Times New Roman" w:cs="Times New Roman"/>
        </w:rPr>
        <w:t xml:space="preserve">. </w:t>
      </w:r>
      <w:r>
        <w:rPr>
          <w:rFonts w:ascii="Times New Roman" w:hAnsi="Times New Roman" w:cs="Times New Roman"/>
        </w:rPr>
        <w:t xml:space="preserve">In </w:t>
      </w:r>
      <w:r w:rsidR="007348C7" w:rsidRPr="007348C7">
        <w:rPr>
          <w:rFonts w:ascii="Times New Roman" w:hAnsi="Times New Roman" w:cs="Times New Roman"/>
          <w:highlight w:val="yellow"/>
        </w:rPr>
        <w:t>the</w:t>
      </w:r>
      <w:r w:rsidR="007348C7">
        <w:rPr>
          <w:rFonts w:ascii="Times New Roman" w:hAnsi="Times New Roman" w:cs="Times New Roman"/>
        </w:rPr>
        <w:t xml:space="preserve"> </w:t>
      </w:r>
      <w:r>
        <w:rPr>
          <w:rFonts w:ascii="Times New Roman" w:hAnsi="Times New Roman" w:cs="Times New Roman"/>
        </w:rPr>
        <w:t>present investigation these</w:t>
      </w:r>
      <w:r w:rsidRPr="00573878">
        <w:rPr>
          <w:rFonts w:ascii="Times New Roman" w:hAnsi="Times New Roman" w:cs="Times New Roman"/>
        </w:rPr>
        <w:t xml:space="preserve"> parameters collectively represent the plant’s carbon metabolism, nitrogen assimilation, nodular functioning, osmotic adjustment, and antioxidant </w:t>
      </w:r>
      <w:r w:rsidRPr="00573878">
        <w:rPr>
          <w:rFonts w:ascii="Times New Roman" w:hAnsi="Times New Roman" w:cs="Times New Roman"/>
        </w:rPr>
        <w:lastRenderedPageBreak/>
        <w:t>defense capacity, thereby providing an integrated view of physiological tolerance under chemical weed management</w:t>
      </w:r>
      <w:r w:rsidRPr="00DD17BE">
        <w:rPr>
          <w:rFonts w:ascii="Times New Roman" w:hAnsi="Times New Roman" w:cs="Times New Roman"/>
          <w:highlight w:val="yellow"/>
        </w:rPr>
        <w:t>.</w:t>
      </w:r>
      <w:r w:rsidR="004813B2" w:rsidRPr="00DD17BE">
        <w:rPr>
          <w:rFonts w:ascii="Times New Roman" w:hAnsi="Times New Roman" w:cs="Times New Roman"/>
          <w:highlight w:val="yellow"/>
        </w:rPr>
        <w:t xml:space="preserve"> </w:t>
      </w:r>
      <w:r w:rsidR="00DD17BE" w:rsidRPr="00DD17BE">
        <w:rPr>
          <w:rFonts w:ascii="Times New Roman" w:hAnsi="Times New Roman" w:cs="Times New Roman"/>
          <w:highlight w:val="yellow"/>
        </w:rPr>
        <w:t>Imazethapyr and quizalofop impair chloroplast structure and reduce carotenoid levels, rendering chlorophyll level and impose photooxidative damage, ultimately diminishes photosynthetic efficiency and leads to a decline in water soluble carbohydrate synthesis (Twitty &amp; Dayan, 2024; Shivani et al., 2022).</w:t>
      </w:r>
      <w:r w:rsidR="00DD17BE" w:rsidRPr="00DD17BE">
        <w:rPr>
          <w:rFonts w:ascii="Times New Roman" w:hAnsi="Times New Roman" w:cs="Times New Roman"/>
        </w:rPr>
        <w:t xml:space="preserve"> </w:t>
      </w:r>
      <w:r w:rsidRPr="00573878">
        <w:rPr>
          <w:rFonts w:ascii="Times New Roman" w:hAnsi="Times New Roman" w:cs="Times New Roman"/>
        </w:rPr>
        <w:t xml:space="preserve">Water-soluble carbohydrates (WSC) declined under </w:t>
      </w:r>
      <w:proofErr w:type="spellStart"/>
      <w:r w:rsidR="0018408B" w:rsidRPr="0018408B">
        <w:rPr>
          <w:rFonts w:ascii="Times New Roman" w:hAnsi="Times New Roman" w:cs="Times New Roman"/>
        </w:rPr>
        <w:t>trinexapac</w:t>
      </w:r>
      <w:proofErr w:type="spellEnd"/>
      <w:r w:rsidR="0018408B">
        <w:rPr>
          <w:rFonts w:ascii="Times New Roman" w:hAnsi="Times New Roman" w:cs="Times New Roman"/>
        </w:rPr>
        <w:t xml:space="preserve"> </w:t>
      </w:r>
      <w:r w:rsidR="0018408B" w:rsidRPr="0018408B">
        <w:rPr>
          <w:rFonts w:ascii="Times New Roman" w:hAnsi="Times New Roman" w:cs="Times New Roman"/>
        </w:rPr>
        <w:t>ethyl</w:t>
      </w:r>
      <w:r w:rsidRPr="00573878">
        <w:rPr>
          <w:rFonts w:ascii="Times New Roman" w:hAnsi="Times New Roman" w:cs="Times New Roman"/>
        </w:rPr>
        <w:t xml:space="preserve"> treatments, particularly under combined applications, indicating disruption of photosynthetic carbon assimilation and altered partitioning of assimilates</w:t>
      </w:r>
      <w:r w:rsidR="0018408B">
        <w:rPr>
          <w:rFonts w:ascii="Times New Roman" w:hAnsi="Times New Roman" w:cs="Times New Roman"/>
        </w:rPr>
        <w:t xml:space="preserve"> (</w:t>
      </w:r>
      <w:r w:rsidR="0018408B" w:rsidRPr="0018408B">
        <w:rPr>
          <w:rFonts w:ascii="Times New Roman" w:hAnsi="Times New Roman" w:cs="Times New Roman"/>
        </w:rPr>
        <w:t>Agwa</w:t>
      </w:r>
      <w:r w:rsidR="0018408B">
        <w:rPr>
          <w:rFonts w:ascii="Times New Roman" w:hAnsi="Times New Roman" w:cs="Times New Roman"/>
        </w:rPr>
        <w:t xml:space="preserve"> </w:t>
      </w:r>
      <w:r w:rsidR="00D23B31" w:rsidRPr="00D23B31">
        <w:rPr>
          <w:rFonts w:ascii="Times New Roman" w:hAnsi="Times New Roman" w:cs="Times New Roman"/>
          <w:i/>
          <w:iCs/>
        </w:rPr>
        <w:t>et al.,</w:t>
      </w:r>
      <w:r w:rsidR="0018408B">
        <w:rPr>
          <w:rFonts w:ascii="Times New Roman" w:hAnsi="Times New Roman" w:cs="Times New Roman"/>
        </w:rPr>
        <w:t xml:space="preserve"> 2021)</w:t>
      </w:r>
      <w:r w:rsidRPr="00573878">
        <w:rPr>
          <w:rFonts w:ascii="Times New Roman" w:hAnsi="Times New Roman" w:cs="Times New Roman"/>
        </w:rPr>
        <w:t>. Herbicides are known to interfere with photosystem activity, membrane integrity, and enzymatic processes, leading to reduced synthesis or enhanced utilization of carbohydrates to meet increased energy demands under stress</w:t>
      </w:r>
      <w:r w:rsidR="00766723">
        <w:rPr>
          <w:rFonts w:ascii="Times New Roman" w:hAnsi="Times New Roman" w:cs="Times New Roman"/>
        </w:rPr>
        <w:t xml:space="preserve"> (</w:t>
      </w:r>
      <w:r w:rsidR="00766723" w:rsidRPr="00766723">
        <w:rPr>
          <w:rFonts w:ascii="Times New Roman" w:hAnsi="Times New Roman" w:cs="Times New Roman"/>
        </w:rPr>
        <w:t>Hasan</w:t>
      </w:r>
      <w:r w:rsidR="00766723">
        <w:rPr>
          <w:rFonts w:ascii="Times New Roman" w:hAnsi="Times New Roman" w:cs="Times New Roman"/>
        </w:rPr>
        <w:t xml:space="preserve"> et a., 2021)</w:t>
      </w:r>
      <w:r w:rsidRPr="00573878">
        <w:rPr>
          <w:rFonts w:ascii="Times New Roman" w:hAnsi="Times New Roman" w:cs="Times New Roman"/>
        </w:rPr>
        <w:t>. Herbicide</w:t>
      </w:r>
      <w:r w:rsidR="00766723">
        <w:rPr>
          <w:rFonts w:ascii="Times New Roman" w:hAnsi="Times New Roman" w:cs="Times New Roman"/>
        </w:rPr>
        <w:t xml:space="preserve"> </w:t>
      </w:r>
      <w:r w:rsidRPr="00573878">
        <w:rPr>
          <w:rFonts w:ascii="Times New Roman" w:hAnsi="Times New Roman" w:cs="Times New Roman"/>
        </w:rPr>
        <w:t>induced oxidative stress can impair ribosomal function, enzyme stability, and amino acid biosynthesis, resulting in reduced protein accumulation</w:t>
      </w:r>
      <w:r w:rsidR="00766723">
        <w:rPr>
          <w:rFonts w:ascii="Times New Roman" w:hAnsi="Times New Roman" w:cs="Times New Roman"/>
        </w:rPr>
        <w:t xml:space="preserve"> (</w:t>
      </w:r>
      <w:proofErr w:type="spellStart"/>
      <w:r w:rsidR="00766723" w:rsidRPr="00766723">
        <w:rPr>
          <w:rFonts w:ascii="Times New Roman" w:hAnsi="Times New Roman" w:cs="Times New Roman"/>
        </w:rPr>
        <w:t>Baćmaga</w:t>
      </w:r>
      <w:proofErr w:type="spellEnd"/>
      <w:r w:rsidR="00766723">
        <w:rPr>
          <w:rFonts w:ascii="Times New Roman" w:hAnsi="Times New Roman" w:cs="Times New Roman"/>
        </w:rPr>
        <w:t xml:space="preserve"> </w:t>
      </w:r>
      <w:r w:rsidR="00D23B31" w:rsidRPr="00D23B31">
        <w:rPr>
          <w:rFonts w:ascii="Times New Roman" w:hAnsi="Times New Roman" w:cs="Times New Roman"/>
          <w:i/>
          <w:iCs/>
        </w:rPr>
        <w:t>et al.,</w:t>
      </w:r>
      <w:r w:rsidR="00766723">
        <w:rPr>
          <w:rFonts w:ascii="Times New Roman" w:hAnsi="Times New Roman" w:cs="Times New Roman"/>
        </w:rPr>
        <w:t xml:space="preserve"> 2024)</w:t>
      </w:r>
      <w:r w:rsidRPr="00573878">
        <w:rPr>
          <w:rFonts w:ascii="Times New Roman" w:hAnsi="Times New Roman" w:cs="Times New Roman"/>
        </w:rPr>
        <w:t xml:space="preserve">. </w:t>
      </w:r>
      <w:r w:rsidR="00D340AD" w:rsidRPr="00DD17BE">
        <w:rPr>
          <w:rFonts w:ascii="Times New Roman" w:hAnsi="Times New Roman" w:cs="Times New Roman"/>
          <w:highlight w:val="yellow"/>
        </w:rPr>
        <w:t>The inhibition of enzyme Acetolactate Synthase by imazethapyr directly limits the availability of valine, leucine, and isoleucine (Salunkhe et al., 2025).  In studies involving pulse crops, imazethapyr treatment showed significant correlation with increase in the free amino acid pool and decrease in total soluble protein content in the foliage (</w:t>
      </w:r>
      <w:r w:rsidR="00DD17BE" w:rsidRPr="00DD17BE">
        <w:rPr>
          <w:rFonts w:ascii="Times New Roman" w:hAnsi="Times New Roman" w:cs="Times New Roman"/>
          <w:highlight w:val="yellow"/>
        </w:rPr>
        <w:t>Shivani et al., 2022</w:t>
      </w:r>
      <w:r w:rsidR="00D340AD" w:rsidRPr="00DD17BE">
        <w:rPr>
          <w:rFonts w:ascii="Times New Roman" w:hAnsi="Times New Roman" w:cs="Times New Roman"/>
          <w:highlight w:val="yellow"/>
        </w:rPr>
        <w:t>).</w:t>
      </w:r>
      <w:r w:rsidR="00D340AD" w:rsidRPr="00D340AD">
        <w:rPr>
          <w:rFonts w:ascii="Times New Roman" w:hAnsi="Times New Roman" w:cs="Times New Roman"/>
        </w:rPr>
        <w:t> </w:t>
      </w:r>
      <w:r w:rsidRPr="00573878">
        <w:rPr>
          <w:rFonts w:ascii="Times New Roman" w:hAnsi="Times New Roman" w:cs="Times New Roman"/>
        </w:rPr>
        <w:t xml:space="preserve">The pronounced reduction under </w:t>
      </w:r>
      <w:r w:rsidR="00863081" w:rsidRPr="00585BD3">
        <w:rPr>
          <w:rFonts w:ascii="Times New Roman" w:hAnsi="Times New Roman" w:cs="Times New Roman"/>
        </w:rPr>
        <w:t>imazethapyr</w:t>
      </w:r>
      <w:r w:rsidRPr="00573878">
        <w:rPr>
          <w:rFonts w:ascii="Times New Roman" w:hAnsi="Times New Roman" w:cs="Times New Roman"/>
        </w:rPr>
        <w:t xml:space="preserve"> treatments suggests enhanced protein degradation or inhibition of synthesis due to higher metabolic </w:t>
      </w:r>
      <w:r w:rsidR="00863081">
        <w:rPr>
          <w:rFonts w:ascii="Times New Roman" w:hAnsi="Times New Roman" w:cs="Times New Roman"/>
        </w:rPr>
        <w:t>activities (</w:t>
      </w:r>
      <w:r w:rsidR="00B3558B" w:rsidRPr="00B3558B">
        <w:rPr>
          <w:rFonts w:ascii="Times New Roman" w:hAnsi="Times New Roman" w:cs="Times New Roman"/>
        </w:rPr>
        <w:t>Kumar</w:t>
      </w:r>
      <w:r w:rsidR="00863081">
        <w:rPr>
          <w:rFonts w:ascii="Times New Roman" w:hAnsi="Times New Roman" w:cs="Times New Roman"/>
        </w:rPr>
        <w:t xml:space="preserve"> </w:t>
      </w:r>
      <w:r w:rsidR="00D23B31" w:rsidRPr="00D23B31">
        <w:rPr>
          <w:rFonts w:ascii="Times New Roman" w:hAnsi="Times New Roman" w:cs="Times New Roman"/>
          <w:i/>
          <w:iCs/>
        </w:rPr>
        <w:t>et al.,</w:t>
      </w:r>
      <w:r w:rsidR="00863081">
        <w:rPr>
          <w:rFonts w:ascii="Times New Roman" w:hAnsi="Times New Roman" w:cs="Times New Roman"/>
        </w:rPr>
        <w:t xml:space="preserve"> 2024)</w:t>
      </w:r>
      <w:r w:rsidRPr="00573878">
        <w:rPr>
          <w:rFonts w:ascii="Times New Roman" w:hAnsi="Times New Roman" w:cs="Times New Roman"/>
        </w:rPr>
        <w:t>. LHb plays a crucial role in regulating oxygen supply to nitrogenase while preventing oxidative damage in nodules</w:t>
      </w:r>
      <w:r w:rsidR="00B3558B">
        <w:rPr>
          <w:rFonts w:ascii="Times New Roman" w:hAnsi="Times New Roman" w:cs="Times New Roman"/>
        </w:rPr>
        <w:t xml:space="preserve">. </w:t>
      </w:r>
      <w:r w:rsidRPr="00573878">
        <w:rPr>
          <w:rFonts w:ascii="Times New Roman" w:hAnsi="Times New Roman" w:cs="Times New Roman"/>
        </w:rPr>
        <w:t xml:space="preserve">Reduced LHb levels under </w:t>
      </w:r>
      <w:proofErr w:type="spellStart"/>
      <w:r w:rsidR="00B3558B" w:rsidRPr="00B3558B">
        <w:rPr>
          <w:rFonts w:ascii="Times New Roman" w:hAnsi="Times New Roman" w:cs="Times New Roman"/>
        </w:rPr>
        <w:t>terbutryn</w:t>
      </w:r>
      <w:proofErr w:type="spellEnd"/>
      <w:r w:rsidR="00B3558B" w:rsidRPr="00B3558B">
        <w:rPr>
          <w:rFonts w:ascii="Times New Roman" w:hAnsi="Times New Roman" w:cs="Times New Roman"/>
        </w:rPr>
        <w:t xml:space="preserve"> and paraquat</w:t>
      </w:r>
      <w:r w:rsidR="00B3558B">
        <w:rPr>
          <w:rFonts w:ascii="Times New Roman" w:hAnsi="Times New Roman" w:cs="Times New Roman"/>
        </w:rPr>
        <w:t xml:space="preserve"> </w:t>
      </w:r>
      <w:r w:rsidRPr="00573878">
        <w:rPr>
          <w:rFonts w:ascii="Times New Roman" w:hAnsi="Times New Roman" w:cs="Times New Roman"/>
        </w:rPr>
        <w:t>suggest impaired nodulation efficiency, inhibition of Rhizobium activity</w:t>
      </w:r>
      <w:r w:rsidR="00B3558B">
        <w:rPr>
          <w:rFonts w:ascii="Times New Roman" w:hAnsi="Times New Roman" w:cs="Times New Roman"/>
        </w:rPr>
        <w:t xml:space="preserve"> and </w:t>
      </w:r>
      <w:r w:rsidR="00B3558B" w:rsidRPr="00B3558B">
        <w:rPr>
          <w:rFonts w:ascii="Times New Roman" w:hAnsi="Times New Roman" w:cs="Times New Roman"/>
        </w:rPr>
        <w:t>on photosystem II and</w:t>
      </w:r>
      <w:r w:rsidR="00B3558B">
        <w:rPr>
          <w:rFonts w:ascii="Times New Roman" w:hAnsi="Times New Roman" w:cs="Times New Roman"/>
        </w:rPr>
        <w:t xml:space="preserve"> </w:t>
      </w:r>
      <w:r w:rsidR="00B3558B" w:rsidRPr="00B3558B">
        <w:rPr>
          <w:rFonts w:ascii="Times New Roman" w:hAnsi="Times New Roman" w:cs="Times New Roman"/>
        </w:rPr>
        <w:t>I, respectively</w:t>
      </w:r>
      <w:r w:rsidR="00B3558B">
        <w:rPr>
          <w:rFonts w:ascii="Times New Roman" w:hAnsi="Times New Roman" w:cs="Times New Roman"/>
        </w:rPr>
        <w:t xml:space="preserve"> (</w:t>
      </w:r>
      <w:r w:rsidR="00B3558B" w:rsidRPr="00B3558B">
        <w:rPr>
          <w:rFonts w:ascii="Times New Roman" w:hAnsi="Times New Roman" w:cs="Times New Roman"/>
        </w:rPr>
        <w:t>Dayan</w:t>
      </w:r>
      <w:r w:rsidR="00B3558B">
        <w:rPr>
          <w:rFonts w:ascii="Times New Roman" w:hAnsi="Times New Roman" w:cs="Times New Roman"/>
        </w:rPr>
        <w:t xml:space="preserve"> </w:t>
      </w:r>
      <w:r w:rsidR="00D23B31" w:rsidRPr="00D23B31">
        <w:rPr>
          <w:rFonts w:ascii="Times New Roman" w:hAnsi="Times New Roman" w:cs="Times New Roman"/>
          <w:i/>
          <w:iCs/>
        </w:rPr>
        <w:t>et al.,</w:t>
      </w:r>
      <w:r w:rsidR="00B3558B">
        <w:rPr>
          <w:rFonts w:ascii="Times New Roman" w:hAnsi="Times New Roman" w:cs="Times New Roman"/>
        </w:rPr>
        <w:t xml:space="preserve"> 2010)</w:t>
      </w:r>
      <w:r w:rsidR="00B3558B" w:rsidRPr="00573878">
        <w:rPr>
          <w:rFonts w:ascii="Times New Roman" w:hAnsi="Times New Roman" w:cs="Times New Roman"/>
        </w:rPr>
        <w:t>.</w:t>
      </w:r>
      <w:r w:rsidR="00B3558B">
        <w:rPr>
          <w:rFonts w:ascii="Times New Roman" w:hAnsi="Times New Roman" w:cs="Times New Roman"/>
        </w:rPr>
        <w:t xml:space="preserve"> </w:t>
      </w:r>
      <w:r w:rsidR="00352438" w:rsidRPr="008C1C71">
        <w:rPr>
          <w:rFonts w:ascii="Times New Roman" w:hAnsi="Times New Roman" w:cs="Times New Roman"/>
          <w:highlight w:val="yellow"/>
        </w:rPr>
        <w:t xml:space="preserve">Application of imazethapyr reduced plant growth parameters, thereby limiting photosynthate availability to </w:t>
      </w:r>
      <w:proofErr w:type="spellStart"/>
      <w:r w:rsidR="00352438" w:rsidRPr="008C1C71">
        <w:rPr>
          <w:rFonts w:ascii="Times New Roman" w:hAnsi="Times New Roman" w:cs="Times New Roman"/>
          <w:highlight w:val="yellow"/>
        </w:rPr>
        <w:t>bacteroids</w:t>
      </w:r>
      <w:proofErr w:type="spellEnd"/>
      <w:r w:rsidR="00352438" w:rsidRPr="008C1C71">
        <w:rPr>
          <w:rFonts w:ascii="Times New Roman" w:hAnsi="Times New Roman" w:cs="Times New Roman"/>
          <w:highlight w:val="yellow"/>
        </w:rPr>
        <w:t xml:space="preserve"> and consequently resulting in decreased </w:t>
      </w:r>
      <w:proofErr w:type="spellStart"/>
      <w:r w:rsidR="00352438" w:rsidRPr="008C1C71">
        <w:rPr>
          <w:rFonts w:ascii="Times New Roman" w:hAnsi="Times New Roman" w:cs="Times New Roman"/>
          <w:highlight w:val="yellow"/>
        </w:rPr>
        <w:t>leghaemoglobin</w:t>
      </w:r>
      <w:proofErr w:type="spellEnd"/>
      <w:r w:rsidR="00352438" w:rsidRPr="008C1C71">
        <w:rPr>
          <w:rFonts w:ascii="Times New Roman" w:hAnsi="Times New Roman" w:cs="Times New Roman"/>
          <w:highlight w:val="yellow"/>
        </w:rPr>
        <w:t xml:space="preserve"> content (</w:t>
      </w:r>
      <w:r w:rsidR="008C1C71" w:rsidRPr="008C1C71">
        <w:rPr>
          <w:rFonts w:ascii="Times New Roman" w:hAnsi="Times New Roman" w:cs="Times New Roman"/>
          <w:highlight w:val="yellow"/>
        </w:rPr>
        <w:t>Singh &amp; Singh, 2021</w:t>
      </w:r>
      <w:r w:rsidR="00352438" w:rsidRPr="008C1C71">
        <w:rPr>
          <w:rFonts w:ascii="Times New Roman" w:hAnsi="Times New Roman" w:cs="Times New Roman"/>
          <w:highlight w:val="yellow"/>
        </w:rPr>
        <w:t>).</w:t>
      </w:r>
      <w:r w:rsidR="008C1C71">
        <w:rPr>
          <w:rFonts w:ascii="Times New Roman" w:hAnsi="Times New Roman" w:cs="Times New Roman"/>
        </w:rPr>
        <w:t xml:space="preserve"> </w:t>
      </w:r>
      <w:r w:rsidRPr="00573878">
        <w:rPr>
          <w:rFonts w:ascii="Times New Roman" w:hAnsi="Times New Roman" w:cs="Times New Roman"/>
        </w:rPr>
        <w:t xml:space="preserve">Proline accumulation is widely recognized as a protective mechanism that stabilizes proteins and membranes, scavenges reactive oxygen species (ROS), and contributes to osmotic adjustment. </w:t>
      </w:r>
      <w:r w:rsidR="006D2CDB" w:rsidRPr="00CD6D3C">
        <w:rPr>
          <w:rFonts w:ascii="Times New Roman" w:hAnsi="Times New Roman" w:cs="Times New Roman"/>
          <w:highlight w:val="yellow"/>
        </w:rPr>
        <w:t xml:space="preserve">Herbicide application induces proline accumulation as an adaptive response to stress, as evidenced by increased proline levels in </w:t>
      </w:r>
      <w:r w:rsidR="006D2CDB" w:rsidRPr="00CD6D3C">
        <w:rPr>
          <w:rFonts w:ascii="Times New Roman" w:hAnsi="Times New Roman" w:cs="Times New Roman"/>
          <w:i/>
          <w:iCs/>
          <w:highlight w:val="yellow"/>
        </w:rPr>
        <w:t>Triticum aestivum</w:t>
      </w:r>
      <w:r w:rsidR="006D2CDB" w:rsidRPr="00CD6D3C">
        <w:rPr>
          <w:rFonts w:ascii="Times New Roman" w:hAnsi="Times New Roman" w:cs="Times New Roman"/>
          <w:highlight w:val="yellow"/>
        </w:rPr>
        <w:t xml:space="preserve"> treated with 5–25 mg kg⁻¹ </w:t>
      </w:r>
      <w:proofErr w:type="spellStart"/>
      <w:r w:rsidR="006D2CDB" w:rsidRPr="00CD6D3C">
        <w:rPr>
          <w:rFonts w:ascii="Times New Roman" w:hAnsi="Times New Roman" w:cs="Times New Roman"/>
          <w:highlight w:val="yellow"/>
        </w:rPr>
        <w:t>chlorotoluron</w:t>
      </w:r>
      <w:proofErr w:type="spellEnd"/>
      <w:r w:rsidR="006D2CDB" w:rsidRPr="00CD6D3C">
        <w:rPr>
          <w:rFonts w:ascii="Times New Roman" w:hAnsi="Times New Roman" w:cs="Times New Roman"/>
          <w:highlight w:val="yellow"/>
        </w:rPr>
        <w:t xml:space="preserve"> (Song et al., 2007) and in </w:t>
      </w:r>
      <w:r w:rsidR="006D2CDB" w:rsidRPr="00CD6D3C">
        <w:rPr>
          <w:rFonts w:ascii="Times New Roman" w:hAnsi="Times New Roman" w:cs="Times New Roman"/>
          <w:i/>
          <w:iCs/>
          <w:highlight w:val="yellow"/>
        </w:rPr>
        <w:t>Vicia faba</w:t>
      </w:r>
      <w:r w:rsidR="006D2CDB" w:rsidRPr="00CD6D3C">
        <w:rPr>
          <w:rFonts w:ascii="Times New Roman" w:hAnsi="Times New Roman" w:cs="Times New Roman"/>
          <w:highlight w:val="yellow"/>
        </w:rPr>
        <w:t xml:space="preserve"> exposed to 10⁻⁵, 10⁻⁶, and 10⁻⁷% </w:t>
      </w:r>
      <w:proofErr w:type="spellStart"/>
      <w:r w:rsidR="006D2CDB" w:rsidRPr="00CD6D3C">
        <w:rPr>
          <w:rFonts w:ascii="Times New Roman" w:hAnsi="Times New Roman" w:cs="Times New Roman"/>
          <w:highlight w:val="yellow"/>
        </w:rPr>
        <w:t>metosulam</w:t>
      </w:r>
      <w:proofErr w:type="spellEnd"/>
      <w:r w:rsidR="006D2CDB" w:rsidRPr="00CD6D3C">
        <w:rPr>
          <w:rFonts w:ascii="Times New Roman" w:hAnsi="Times New Roman" w:cs="Times New Roman"/>
          <w:highlight w:val="yellow"/>
        </w:rPr>
        <w:t xml:space="preserve"> (Badr et al., 2013).</w:t>
      </w:r>
      <w:r w:rsidR="006D2CDB" w:rsidRPr="006D2CDB">
        <w:rPr>
          <w:rFonts w:ascii="Times New Roman" w:hAnsi="Times New Roman" w:cs="Times New Roman"/>
        </w:rPr>
        <w:t xml:space="preserve"> </w:t>
      </w:r>
      <w:r w:rsidRPr="00573878">
        <w:rPr>
          <w:rFonts w:ascii="Times New Roman" w:hAnsi="Times New Roman" w:cs="Times New Roman"/>
        </w:rPr>
        <w:t xml:space="preserve">The highest proline levels observed under </w:t>
      </w:r>
      <w:proofErr w:type="spellStart"/>
      <w:r w:rsidR="00D62F63">
        <w:rPr>
          <w:rFonts w:ascii="Times New Roman" w:hAnsi="Times New Roman" w:cs="Times New Roman"/>
        </w:rPr>
        <w:t>b</w:t>
      </w:r>
      <w:r w:rsidR="00D62F63" w:rsidRPr="00D62F63">
        <w:rPr>
          <w:rFonts w:ascii="Times New Roman" w:hAnsi="Times New Roman" w:cs="Times New Roman"/>
        </w:rPr>
        <w:t>entazon</w:t>
      </w:r>
      <w:proofErr w:type="spellEnd"/>
      <w:r w:rsidR="00D62F63" w:rsidRPr="00D62F63">
        <w:rPr>
          <w:rFonts w:ascii="Times New Roman" w:hAnsi="Times New Roman" w:cs="Times New Roman"/>
        </w:rPr>
        <w:t xml:space="preserve"> </w:t>
      </w:r>
      <w:r w:rsidRPr="00573878">
        <w:rPr>
          <w:rFonts w:ascii="Times New Roman" w:hAnsi="Times New Roman" w:cs="Times New Roman"/>
        </w:rPr>
        <w:t>treatments indicate intensified stress perception and metabolic reprogramming toward survival rather than growth</w:t>
      </w:r>
      <w:r w:rsidR="00B73BE0">
        <w:rPr>
          <w:rFonts w:ascii="Times New Roman" w:hAnsi="Times New Roman" w:cs="Times New Roman"/>
        </w:rPr>
        <w:t xml:space="preserve"> (</w:t>
      </w:r>
      <w:r w:rsidR="00B73BE0" w:rsidRPr="00B73BE0">
        <w:rPr>
          <w:rFonts w:ascii="Times New Roman" w:hAnsi="Times New Roman" w:cs="Times New Roman"/>
        </w:rPr>
        <w:t>Ould said</w:t>
      </w:r>
      <w:r w:rsidR="00B73BE0">
        <w:rPr>
          <w:rFonts w:ascii="Times New Roman" w:hAnsi="Times New Roman" w:cs="Times New Roman"/>
        </w:rPr>
        <w:t xml:space="preserve"> </w:t>
      </w:r>
      <w:r w:rsidR="00D23B31" w:rsidRPr="00D23B31">
        <w:rPr>
          <w:rFonts w:ascii="Times New Roman" w:hAnsi="Times New Roman" w:cs="Times New Roman"/>
          <w:i/>
          <w:iCs/>
        </w:rPr>
        <w:t>et al.,</w:t>
      </w:r>
      <w:r w:rsidR="00B73BE0">
        <w:rPr>
          <w:rFonts w:ascii="Times New Roman" w:hAnsi="Times New Roman" w:cs="Times New Roman"/>
        </w:rPr>
        <w:t xml:space="preserve"> 2021)</w:t>
      </w:r>
      <w:r w:rsidRPr="00573878">
        <w:rPr>
          <w:rFonts w:ascii="Times New Roman" w:hAnsi="Times New Roman" w:cs="Times New Roman"/>
        </w:rPr>
        <w:t>.</w:t>
      </w:r>
      <w:r w:rsidR="00CD6D3C">
        <w:rPr>
          <w:rFonts w:ascii="Times New Roman" w:hAnsi="Times New Roman" w:cs="Times New Roman"/>
        </w:rPr>
        <w:t xml:space="preserve"> </w:t>
      </w:r>
      <w:r w:rsidR="00CD6D3C" w:rsidRPr="00E64354">
        <w:rPr>
          <w:rFonts w:ascii="Times New Roman" w:hAnsi="Times New Roman" w:cs="Times New Roman"/>
          <w:highlight w:val="yellow"/>
        </w:rPr>
        <w:t xml:space="preserve">The activities of superoxide dismutase decreased proportionally with increasing paraquat concentrations (0.1, 1, and 2µM) in </w:t>
      </w:r>
      <w:r w:rsidR="00CD6D3C" w:rsidRPr="00E64354">
        <w:rPr>
          <w:rFonts w:ascii="Times New Roman" w:hAnsi="Times New Roman" w:cs="Times New Roman"/>
          <w:i/>
          <w:iCs/>
          <w:highlight w:val="yellow"/>
        </w:rPr>
        <w:t>Lactuca sativa</w:t>
      </w:r>
      <w:r w:rsidR="00CD6D3C" w:rsidRPr="00E64354">
        <w:rPr>
          <w:rFonts w:ascii="Times New Roman" w:hAnsi="Times New Roman" w:cs="Times New Roman"/>
          <w:highlight w:val="yellow"/>
        </w:rPr>
        <w:t xml:space="preserve">, </w:t>
      </w:r>
      <w:r w:rsidR="00CD6D3C" w:rsidRPr="00E64354">
        <w:rPr>
          <w:rFonts w:ascii="Times New Roman" w:hAnsi="Times New Roman" w:cs="Times New Roman"/>
          <w:i/>
          <w:iCs/>
          <w:highlight w:val="yellow"/>
        </w:rPr>
        <w:lastRenderedPageBreak/>
        <w:t xml:space="preserve">Phaseolus </w:t>
      </w:r>
      <w:proofErr w:type="spellStart"/>
      <w:r w:rsidR="00CD6D3C" w:rsidRPr="00E64354">
        <w:rPr>
          <w:rFonts w:ascii="Times New Roman" w:hAnsi="Times New Roman" w:cs="Times New Roman"/>
          <w:i/>
          <w:iCs/>
          <w:highlight w:val="yellow"/>
        </w:rPr>
        <w:t>coccineus</w:t>
      </w:r>
      <w:proofErr w:type="spellEnd"/>
      <w:r w:rsidR="00CD6D3C" w:rsidRPr="00E64354">
        <w:rPr>
          <w:rFonts w:ascii="Times New Roman" w:hAnsi="Times New Roman" w:cs="Times New Roman"/>
          <w:highlight w:val="yellow"/>
        </w:rPr>
        <w:t xml:space="preserve">, and </w:t>
      </w:r>
      <w:r w:rsidR="00CD6D3C" w:rsidRPr="00E64354">
        <w:rPr>
          <w:rFonts w:ascii="Times New Roman" w:hAnsi="Times New Roman" w:cs="Times New Roman"/>
          <w:i/>
          <w:iCs/>
          <w:highlight w:val="yellow"/>
        </w:rPr>
        <w:t xml:space="preserve">Pisum sativum </w:t>
      </w:r>
      <w:r w:rsidR="00CD6D3C" w:rsidRPr="00E64354">
        <w:rPr>
          <w:rFonts w:ascii="Times New Roman" w:hAnsi="Times New Roman" w:cs="Times New Roman"/>
          <w:highlight w:val="yellow"/>
        </w:rPr>
        <w:t>(</w:t>
      </w:r>
      <w:proofErr w:type="spellStart"/>
      <w:r w:rsidR="00CD6D3C" w:rsidRPr="00E64354">
        <w:rPr>
          <w:rFonts w:ascii="Times New Roman" w:hAnsi="Times New Roman" w:cs="Times New Roman"/>
          <w:highlight w:val="yellow"/>
        </w:rPr>
        <w:t>Štajner</w:t>
      </w:r>
      <w:proofErr w:type="spellEnd"/>
      <w:r w:rsidR="00CD6D3C" w:rsidRPr="00E64354">
        <w:rPr>
          <w:rFonts w:ascii="Times New Roman" w:hAnsi="Times New Roman" w:cs="Times New Roman"/>
          <w:highlight w:val="yellow"/>
        </w:rPr>
        <w:t xml:space="preserve"> et al., 2003).</w:t>
      </w:r>
      <w:r w:rsidR="00EF3945">
        <w:rPr>
          <w:rFonts w:ascii="Times New Roman" w:hAnsi="Times New Roman" w:cs="Times New Roman"/>
        </w:rPr>
        <w:t xml:space="preserve"> </w:t>
      </w:r>
      <w:r w:rsidRPr="00573878">
        <w:rPr>
          <w:rFonts w:ascii="Times New Roman" w:hAnsi="Times New Roman" w:cs="Times New Roman"/>
        </w:rPr>
        <w:t xml:space="preserve">Herbicides </w:t>
      </w:r>
      <w:r w:rsidR="00D62F63">
        <w:rPr>
          <w:rFonts w:ascii="Times New Roman" w:hAnsi="Times New Roman" w:cs="Times New Roman"/>
        </w:rPr>
        <w:t>induced</w:t>
      </w:r>
      <w:r w:rsidRPr="00573878">
        <w:rPr>
          <w:rFonts w:ascii="Times New Roman" w:hAnsi="Times New Roman" w:cs="Times New Roman"/>
        </w:rPr>
        <w:t xml:space="preserve"> oxidative stress either directly or indirectly by disrupting electron transport chains and membrane integrity</w:t>
      </w:r>
      <w:r w:rsidR="00036473">
        <w:rPr>
          <w:rFonts w:ascii="Times New Roman" w:hAnsi="Times New Roman" w:cs="Times New Roman"/>
        </w:rPr>
        <w:t xml:space="preserve"> and t</w:t>
      </w:r>
      <w:r w:rsidRPr="00573878">
        <w:rPr>
          <w:rFonts w:ascii="Times New Roman" w:hAnsi="Times New Roman" w:cs="Times New Roman"/>
        </w:rPr>
        <w:t xml:space="preserve">he higher SOD activity </w:t>
      </w:r>
      <w:r w:rsidR="00D62F63">
        <w:rPr>
          <w:rFonts w:ascii="Times New Roman" w:hAnsi="Times New Roman" w:cs="Times New Roman"/>
        </w:rPr>
        <w:t>shown</w:t>
      </w:r>
      <w:r w:rsidRPr="00573878">
        <w:rPr>
          <w:rFonts w:ascii="Times New Roman" w:hAnsi="Times New Roman" w:cs="Times New Roman"/>
        </w:rPr>
        <w:t xml:space="preserve"> </w:t>
      </w:r>
      <w:r w:rsidR="00D62F63">
        <w:rPr>
          <w:rFonts w:ascii="Times New Roman" w:hAnsi="Times New Roman" w:cs="Times New Roman"/>
        </w:rPr>
        <w:t xml:space="preserve">by the </w:t>
      </w:r>
      <w:r w:rsidR="00D62F63" w:rsidRPr="00D62F63">
        <w:rPr>
          <w:rFonts w:ascii="Times New Roman" w:hAnsi="Times New Roman" w:cs="Times New Roman"/>
        </w:rPr>
        <w:t>clopyralid</w:t>
      </w:r>
      <w:r w:rsidRPr="00573878">
        <w:rPr>
          <w:rFonts w:ascii="Times New Roman" w:hAnsi="Times New Roman" w:cs="Times New Roman"/>
        </w:rPr>
        <w:t xml:space="preserve"> </w:t>
      </w:r>
      <w:r w:rsidR="00D62F63">
        <w:rPr>
          <w:rFonts w:ascii="Times New Roman" w:hAnsi="Times New Roman" w:cs="Times New Roman"/>
        </w:rPr>
        <w:t>application</w:t>
      </w:r>
      <w:r w:rsidRPr="00573878">
        <w:rPr>
          <w:rFonts w:ascii="Times New Roman" w:hAnsi="Times New Roman" w:cs="Times New Roman"/>
        </w:rPr>
        <w:t xml:space="preserve"> </w:t>
      </w:r>
      <w:r w:rsidR="00D62F63">
        <w:rPr>
          <w:rFonts w:ascii="Times New Roman" w:hAnsi="Times New Roman" w:cs="Times New Roman"/>
        </w:rPr>
        <w:t>caused</w:t>
      </w:r>
      <w:r w:rsidRPr="00573878">
        <w:rPr>
          <w:rFonts w:ascii="Times New Roman" w:hAnsi="Times New Roman" w:cs="Times New Roman"/>
        </w:rPr>
        <w:t xml:space="preserve"> oxidative pressure</w:t>
      </w:r>
      <w:r w:rsidR="00036473">
        <w:rPr>
          <w:rFonts w:ascii="Times New Roman" w:hAnsi="Times New Roman" w:cs="Times New Roman"/>
        </w:rPr>
        <w:t xml:space="preserve"> (</w:t>
      </w:r>
      <w:r w:rsidR="00036473" w:rsidRPr="00D62F63">
        <w:rPr>
          <w:rFonts w:ascii="Times New Roman" w:hAnsi="Times New Roman" w:cs="Times New Roman"/>
        </w:rPr>
        <w:t>Ghahremani</w:t>
      </w:r>
      <w:r w:rsidR="00036473">
        <w:rPr>
          <w:rFonts w:ascii="Times New Roman" w:hAnsi="Times New Roman" w:cs="Times New Roman"/>
        </w:rPr>
        <w:t xml:space="preserve"> </w:t>
      </w:r>
      <w:r w:rsidR="00D23B31" w:rsidRPr="00D23B31">
        <w:rPr>
          <w:rFonts w:ascii="Times New Roman" w:hAnsi="Times New Roman" w:cs="Times New Roman"/>
          <w:i/>
          <w:iCs/>
        </w:rPr>
        <w:t>et al.,</w:t>
      </w:r>
      <w:r w:rsidR="00036473">
        <w:rPr>
          <w:rFonts w:ascii="Times New Roman" w:hAnsi="Times New Roman" w:cs="Times New Roman"/>
        </w:rPr>
        <w:t xml:space="preserve"> 2022).</w:t>
      </w:r>
      <w:r w:rsidR="00E34659">
        <w:rPr>
          <w:rFonts w:ascii="Times New Roman" w:hAnsi="Times New Roman" w:cs="Times New Roman"/>
        </w:rPr>
        <w:t xml:space="preserve"> </w:t>
      </w:r>
      <w:r w:rsidRPr="00573878">
        <w:rPr>
          <w:rFonts w:ascii="Times New Roman" w:hAnsi="Times New Roman" w:cs="Times New Roman"/>
        </w:rPr>
        <w:t xml:space="preserve">These findings underscore the importance </w:t>
      </w:r>
      <w:r w:rsidR="00EF3945">
        <w:rPr>
          <w:rFonts w:ascii="Times New Roman" w:hAnsi="Times New Roman" w:cs="Times New Roman"/>
        </w:rPr>
        <w:t>for genotype</w:t>
      </w:r>
      <w:r w:rsidRPr="00573878">
        <w:rPr>
          <w:rFonts w:ascii="Times New Roman" w:hAnsi="Times New Roman" w:cs="Times New Roman"/>
        </w:rPr>
        <w:t xml:space="preserve"> selection and optimiz</w:t>
      </w:r>
      <w:r w:rsidR="00EF3945">
        <w:rPr>
          <w:rFonts w:ascii="Times New Roman" w:hAnsi="Times New Roman" w:cs="Times New Roman"/>
        </w:rPr>
        <w:t xml:space="preserve">ing the </w:t>
      </w:r>
      <w:r w:rsidRPr="00573878">
        <w:rPr>
          <w:rFonts w:ascii="Times New Roman" w:hAnsi="Times New Roman" w:cs="Times New Roman"/>
        </w:rPr>
        <w:t>herbicide combinations to minimize metabolic disruption and ensure sustainable weed management in moth bean cultivation.</w:t>
      </w:r>
      <w:r w:rsidR="00EF3945">
        <w:rPr>
          <w:rFonts w:ascii="Times New Roman" w:hAnsi="Times New Roman" w:cs="Times New Roman"/>
        </w:rPr>
        <w:t xml:space="preserve"> </w:t>
      </w:r>
    </w:p>
    <w:p w14:paraId="28B52AFC" w14:textId="46D783E3" w:rsidR="00DC57FF" w:rsidRPr="00D70150" w:rsidRDefault="00DC57FF" w:rsidP="00DC57FF">
      <w:pPr>
        <w:spacing w:line="360" w:lineRule="auto"/>
        <w:jc w:val="both"/>
        <w:rPr>
          <w:rFonts w:ascii="Times New Roman" w:hAnsi="Times New Roman" w:cs="Times New Roman"/>
          <w:b/>
          <w:bCs/>
        </w:rPr>
      </w:pPr>
      <w:r w:rsidRPr="00D70150">
        <w:rPr>
          <w:rFonts w:ascii="Times New Roman" w:hAnsi="Times New Roman" w:cs="Times New Roman"/>
          <w:b/>
          <w:bCs/>
        </w:rPr>
        <w:t>CONCLUSION</w:t>
      </w:r>
    </w:p>
    <w:p w14:paraId="6D2BBE17" w14:textId="77777777" w:rsidR="00AC10D7" w:rsidRDefault="00AC10D7" w:rsidP="00AC10D7">
      <w:pPr>
        <w:spacing w:line="360" w:lineRule="auto"/>
        <w:jc w:val="both"/>
        <w:rPr>
          <w:rFonts w:ascii="Times New Roman" w:hAnsi="Times New Roman" w:cs="Times New Roman"/>
        </w:rPr>
      </w:pPr>
      <w:r w:rsidRPr="00AC10D7">
        <w:rPr>
          <w:rFonts w:ascii="Times New Roman" w:hAnsi="Times New Roman" w:cs="Times New Roman"/>
          <w:highlight w:val="yellow"/>
        </w:rPr>
        <w:t xml:space="preserve">The present study demonstrates that herbicide application modulates biochemical and antioxidant attributes in the evaluated moth bean genotypes, with the magnitude of response varying among herbicide treatments. Water-soluble carbohydrates, protein content, and </w:t>
      </w:r>
      <w:proofErr w:type="spellStart"/>
      <w:r w:rsidRPr="00AC10D7">
        <w:rPr>
          <w:rFonts w:ascii="Times New Roman" w:hAnsi="Times New Roman" w:cs="Times New Roman"/>
          <w:highlight w:val="yellow"/>
        </w:rPr>
        <w:t>leghaemoglobin</w:t>
      </w:r>
      <w:proofErr w:type="spellEnd"/>
      <w:r w:rsidRPr="00AC10D7">
        <w:rPr>
          <w:rFonts w:ascii="Times New Roman" w:hAnsi="Times New Roman" w:cs="Times New Roman"/>
          <w:highlight w:val="yellow"/>
        </w:rPr>
        <w:t xml:space="preserve"> were highest under control conditions and declined progressively following herbicide exposure, particularly under combined applications, whereas proline accumulation and superoxide dismutase activity increased under herbicide stress. Among the genotypes, MH-65 maintained relatively higher levels of biochemical traits and nodulation, indicating a comparatively greater degree of physiological tolerance within the scope of this study. These findings provide limited but relevant evidence of genotype-specific responses to herbicide stress and underscore the need for further validation before extrapolating implications for sustainable weed management.</w:t>
      </w:r>
    </w:p>
    <w:p w14:paraId="2B933C8F" w14:textId="714B348B" w:rsidR="0040022F" w:rsidRPr="00B43EE6" w:rsidRDefault="0040022F" w:rsidP="0040022F">
      <w:pPr>
        <w:jc w:val="both"/>
        <w:rPr>
          <w:rFonts w:ascii="Times New Roman" w:hAnsi="Times New Roman" w:cs="Times New Roman"/>
          <w:b/>
          <w:bCs/>
        </w:rPr>
      </w:pPr>
      <w:r w:rsidRPr="00B43EE6">
        <w:rPr>
          <w:rFonts w:ascii="Times New Roman" w:hAnsi="Times New Roman" w:cs="Times New Roman"/>
          <w:b/>
          <w:bCs/>
        </w:rPr>
        <w:t>DISCLAIMER (ARTIFICIAL INTELLIGENCE)</w:t>
      </w:r>
    </w:p>
    <w:p w14:paraId="4A86F2D2" w14:textId="77777777" w:rsidR="0040022F" w:rsidRPr="00B43EE6" w:rsidRDefault="0040022F" w:rsidP="0040022F">
      <w:pPr>
        <w:jc w:val="both"/>
        <w:rPr>
          <w:rFonts w:ascii="Times New Roman" w:hAnsi="Times New Roman" w:cs="Times New Roman"/>
        </w:rPr>
      </w:pPr>
      <w:r w:rsidRPr="00B43EE6">
        <w:rPr>
          <w:rFonts w:ascii="Times New Roman" w:hAnsi="Times New Roman" w:cs="Times New Roman"/>
        </w:rPr>
        <w:t>Authors hereby declare that NO generative AI technologies such as Large Language                     Models (ChatGPT, COPILOT, and Gemini, etc.) and text-to-image generators not used                     during the writing or editing of this</w:t>
      </w:r>
      <w:r>
        <w:rPr>
          <w:rFonts w:ascii="Times New Roman" w:hAnsi="Times New Roman" w:cs="Times New Roman"/>
        </w:rPr>
        <w:t xml:space="preserve"> </w:t>
      </w:r>
      <w:r w:rsidRPr="00B43EE6">
        <w:rPr>
          <w:rFonts w:ascii="Times New Roman" w:hAnsi="Times New Roman" w:cs="Times New Roman"/>
        </w:rPr>
        <w:t xml:space="preserve">manuscript. </w:t>
      </w:r>
    </w:p>
    <w:p w14:paraId="361E36F5" w14:textId="77777777" w:rsidR="0040022F" w:rsidRPr="00B43EE6" w:rsidRDefault="0040022F" w:rsidP="0040022F">
      <w:pPr>
        <w:jc w:val="both"/>
        <w:rPr>
          <w:rFonts w:ascii="Times New Roman" w:hAnsi="Times New Roman" w:cs="Times New Roman"/>
          <w:b/>
          <w:bCs/>
        </w:rPr>
      </w:pPr>
      <w:r w:rsidRPr="00B43EE6">
        <w:rPr>
          <w:rFonts w:ascii="Times New Roman" w:hAnsi="Times New Roman" w:cs="Times New Roman"/>
          <w:b/>
          <w:bCs/>
        </w:rPr>
        <w:t>COMPETING INTERESTS</w:t>
      </w:r>
    </w:p>
    <w:p w14:paraId="402F3895" w14:textId="77777777" w:rsidR="0040022F" w:rsidRPr="00B43EE6" w:rsidRDefault="0040022F" w:rsidP="0040022F">
      <w:pPr>
        <w:jc w:val="both"/>
        <w:rPr>
          <w:rFonts w:ascii="Times New Roman" w:hAnsi="Times New Roman" w:cs="Times New Roman"/>
        </w:rPr>
      </w:pPr>
      <w:r w:rsidRPr="00B43EE6">
        <w:rPr>
          <w:rFonts w:ascii="Times New Roman" w:hAnsi="Times New Roman" w:cs="Times New Roman"/>
        </w:rPr>
        <w:t>Authors have declared that no competing interests exist.</w:t>
      </w:r>
    </w:p>
    <w:p w14:paraId="6F71CBF2" w14:textId="16F91594" w:rsidR="00991B9A" w:rsidRDefault="00AE6CC7" w:rsidP="00AE6CC7">
      <w:pPr>
        <w:spacing w:line="360" w:lineRule="auto"/>
        <w:jc w:val="both"/>
        <w:rPr>
          <w:rFonts w:ascii="Times New Roman" w:hAnsi="Times New Roman" w:cs="Times New Roman"/>
        </w:rPr>
      </w:pPr>
      <w:r w:rsidRPr="00AE6CC7">
        <w:rPr>
          <w:rFonts w:ascii="Times New Roman" w:hAnsi="Times New Roman" w:cs="Times New Roman"/>
          <w:b/>
          <w:bCs/>
        </w:rPr>
        <w:t>REFERENCES</w:t>
      </w:r>
    </w:p>
    <w:p w14:paraId="549321B5" w14:textId="77777777" w:rsidR="00970741" w:rsidRPr="00D87F05" w:rsidRDefault="00970741" w:rsidP="00D87F05">
      <w:pPr>
        <w:spacing w:line="360" w:lineRule="auto"/>
        <w:jc w:val="both"/>
        <w:rPr>
          <w:rFonts w:ascii="Times New Roman" w:hAnsi="Times New Roman" w:cs="Times New Roman"/>
        </w:rPr>
      </w:pPr>
      <w:r w:rsidRPr="00D87F05">
        <w:rPr>
          <w:rFonts w:ascii="Times New Roman" w:hAnsi="Times New Roman" w:cs="Times New Roman"/>
        </w:rPr>
        <w:t xml:space="preserve">Agwa, M. H., Reade, J. P., &amp; Hare, M. (2021). Leaf physiological and </w:t>
      </w:r>
      <w:proofErr w:type="gramStart"/>
      <w:r w:rsidRPr="00D87F05">
        <w:rPr>
          <w:rFonts w:ascii="Times New Roman" w:hAnsi="Times New Roman" w:cs="Times New Roman"/>
        </w:rPr>
        <w:t>water soluble</w:t>
      </w:r>
      <w:proofErr w:type="gramEnd"/>
      <w:r w:rsidRPr="00D87F05">
        <w:rPr>
          <w:rFonts w:ascii="Times New Roman" w:hAnsi="Times New Roman" w:cs="Times New Roman"/>
        </w:rPr>
        <w:t xml:space="preserve"> carbohydrate content responses to </w:t>
      </w:r>
      <w:proofErr w:type="spellStart"/>
      <w:r w:rsidRPr="00D87F05">
        <w:rPr>
          <w:rFonts w:ascii="Times New Roman" w:hAnsi="Times New Roman" w:cs="Times New Roman"/>
        </w:rPr>
        <w:t>trinexapac</w:t>
      </w:r>
      <w:proofErr w:type="spellEnd"/>
      <w:r w:rsidRPr="00D87F05">
        <w:rPr>
          <w:rFonts w:ascii="Times New Roman" w:hAnsi="Times New Roman" w:cs="Times New Roman"/>
        </w:rPr>
        <w:t xml:space="preserve">-ethyl application of sports turf grasses exposed to water stress. Asian Plant Research Journal, 7(3), 36-49. </w:t>
      </w:r>
      <w:hyperlink r:id="rId8" w:history="1">
        <w:r w:rsidRPr="00D87F05">
          <w:rPr>
            <w:rStyle w:val="Hyperlink"/>
            <w:rFonts w:ascii="Times New Roman" w:hAnsi="Times New Roman" w:cs="Times New Roman"/>
          </w:rPr>
          <w:t>https://doi.org/10.9734/aprj/2021/v7i330157</w:t>
        </w:r>
      </w:hyperlink>
      <w:r w:rsidRPr="00D87F05">
        <w:rPr>
          <w:rFonts w:ascii="Times New Roman" w:hAnsi="Times New Roman" w:cs="Times New Roman"/>
        </w:rPr>
        <w:t xml:space="preserve"> </w:t>
      </w:r>
    </w:p>
    <w:p w14:paraId="2B80FC97"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Asada, K., Urano, M., &amp; Takahashi, M. (1973). Subcellular location of superoxide dismutase in spinach leaves and preparation and properties of crystalline spinach superoxide dismutase. </w:t>
      </w:r>
      <w:r w:rsidRPr="00D87F05">
        <w:rPr>
          <w:rFonts w:ascii="Times New Roman" w:hAnsi="Times New Roman" w:cs="Times New Roman"/>
        </w:rPr>
        <w:lastRenderedPageBreak/>
        <w:t xml:space="preserve">European Journal of Biochemistry, 36(1), 257-266. </w:t>
      </w:r>
      <w:hyperlink r:id="rId9" w:history="1">
        <w:r w:rsidRPr="00D87F05">
          <w:rPr>
            <w:rStyle w:val="Hyperlink"/>
            <w:rFonts w:ascii="Times New Roman" w:hAnsi="Times New Roman" w:cs="Times New Roman"/>
          </w:rPr>
          <w:t>https://doi.org/10.1111/j.1432-1033.1973.tb02908.x</w:t>
        </w:r>
      </w:hyperlink>
      <w:r w:rsidRPr="00D87F05">
        <w:rPr>
          <w:rFonts w:ascii="Times New Roman" w:hAnsi="Times New Roman" w:cs="Times New Roman"/>
        </w:rPr>
        <w:t xml:space="preserve"> </w:t>
      </w:r>
    </w:p>
    <w:p w14:paraId="0E66EC8C" w14:textId="77777777" w:rsidR="00970741" w:rsidRPr="00D87F05" w:rsidRDefault="00970741" w:rsidP="00D87F05">
      <w:pPr>
        <w:spacing w:line="360" w:lineRule="auto"/>
        <w:jc w:val="both"/>
        <w:rPr>
          <w:rFonts w:ascii="Times New Roman" w:hAnsi="Times New Roman" w:cs="Times New Roman"/>
        </w:rPr>
      </w:pPr>
      <w:proofErr w:type="spellStart"/>
      <w:r w:rsidRPr="00D87F05">
        <w:rPr>
          <w:rFonts w:ascii="Times New Roman" w:hAnsi="Times New Roman" w:cs="Times New Roman"/>
        </w:rPr>
        <w:t>Baćmaga</w:t>
      </w:r>
      <w:proofErr w:type="spellEnd"/>
      <w:r w:rsidRPr="00D87F05">
        <w:rPr>
          <w:rFonts w:ascii="Times New Roman" w:hAnsi="Times New Roman" w:cs="Times New Roman"/>
        </w:rPr>
        <w:t xml:space="preserve">, M., </w:t>
      </w:r>
      <w:proofErr w:type="spellStart"/>
      <w:r w:rsidRPr="00D87F05">
        <w:rPr>
          <w:rFonts w:ascii="Times New Roman" w:hAnsi="Times New Roman" w:cs="Times New Roman"/>
        </w:rPr>
        <w:t>Wyszkowska</w:t>
      </w:r>
      <w:proofErr w:type="spellEnd"/>
      <w:r w:rsidRPr="00D87F05">
        <w:rPr>
          <w:rFonts w:ascii="Times New Roman" w:hAnsi="Times New Roman" w:cs="Times New Roman"/>
        </w:rPr>
        <w:t xml:space="preserve">, J., &amp; Kucharski, J. (2024). Environmental Implication of Herbicide Use. Molecules, 29(24), 5965. </w:t>
      </w:r>
      <w:hyperlink r:id="rId10" w:history="1">
        <w:r w:rsidRPr="00D87F05">
          <w:rPr>
            <w:rStyle w:val="Hyperlink"/>
            <w:rFonts w:ascii="Times New Roman" w:hAnsi="Times New Roman" w:cs="Times New Roman"/>
          </w:rPr>
          <w:t>https://doi.org/10.3390/molecules29245965</w:t>
        </w:r>
      </w:hyperlink>
      <w:r w:rsidRPr="00D87F05">
        <w:rPr>
          <w:rFonts w:ascii="Times New Roman" w:hAnsi="Times New Roman" w:cs="Times New Roman"/>
        </w:rPr>
        <w:t xml:space="preserve"> </w:t>
      </w:r>
    </w:p>
    <w:p w14:paraId="1D8D7979" w14:textId="77777777" w:rsidR="00970741" w:rsidRPr="00C126BE" w:rsidRDefault="00970741" w:rsidP="00C126BE">
      <w:pPr>
        <w:jc w:val="both"/>
        <w:rPr>
          <w:rFonts w:ascii="Times New Roman" w:hAnsi="Times New Roman" w:cs="Times New Roman"/>
          <w:highlight w:val="yellow"/>
        </w:rPr>
      </w:pPr>
      <w:r w:rsidRPr="00C126BE">
        <w:rPr>
          <w:rFonts w:ascii="Times New Roman" w:hAnsi="Times New Roman" w:cs="Times New Roman"/>
          <w:highlight w:val="yellow"/>
        </w:rPr>
        <w:t xml:space="preserve">Badr, A., Zaki, H., </w:t>
      </w:r>
      <w:proofErr w:type="spellStart"/>
      <w:r w:rsidRPr="00C126BE">
        <w:rPr>
          <w:rFonts w:ascii="Times New Roman" w:hAnsi="Times New Roman" w:cs="Times New Roman"/>
          <w:highlight w:val="yellow"/>
        </w:rPr>
        <w:t>Germoush</w:t>
      </w:r>
      <w:proofErr w:type="spellEnd"/>
      <w:r w:rsidRPr="00C126BE">
        <w:rPr>
          <w:rFonts w:ascii="Times New Roman" w:hAnsi="Times New Roman" w:cs="Times New Roman"/>
          <w:highlight w:val="yellow"/>
        </w:rPr>
        <w:t xml:space="preserve">, M. O., Tawfeek, A. Q., &amp; El-Tayeb, M. A. (2013). </w:t>
      </w:r>
      <w:proofErr w:type="spellStart"/>
      <w:r w:rsidRPr="00C126BE">
        <w:rPr>
          <w:rFonts w:ascii="Times New Roman" w:hAnsi="Times New Roman" w:cs="Times New Roman"/>
          <w:highlight w:val="yellow"/>
        </w:rPr>
        <w:t>Cytophysiological</w:t>
      </w:r>
      <w:proofErr w:type="spellEnd"/>
      <w:r w:rsidRPr="00C126BE">
        <w:rPr>
          <w:rFonts w:ascii="Times New Roman" w:hAnsi="Times New Roman" w:cs="Times New Roman"/>
          <w:highlight w:val="yellow"/>
        </w:rPr>
        <w:t xml:space="preserve"> impacts of </w:t>
      </w:r>
      <w:proofErr w:type="spellStart"/>
      <w:r w:rsidRPr="00C126BE">
        <w:rPr>
          <w:rFonts w:ascii="Times New Roman" w:hAnsi="Times New Roman" w:cs="Times New Roman"/>
          <w:highlight w:val="yellow"/>
        </w:rPr>
        <w:t>Metosulam</w:t>
      </w:r>
      <w:proofErr w:type="spellEnd"/>
      <w:r w:rsidRPr="00C126BE">
        <w:rPr>
          <w:rFonts w:ascii="Times New Roman" w:hAnsi="Times New Roman" w:cs="Times New Roman"/>
          <w:highlight w:val="yellow"/>
        </w:rPr>
        <w:t xml:space="preserve"> herbicide on Vicia faba plants. </w:t>
      </w:r>
      <w:r w:rsidRPr="00C126BE">
        <w:rPr>
          <w:rFonts w:ascii="Times New Roman" w:hAnsi="Times New Roman" w:cs="Times New Roman"/>
          <w:i/>
          <w:iCs/>
          <w:highlight w:val="yellow"/>
        </w:rPr>
        <w:t xml:space="preserve">Acta </w:t>
      </w:r>
      <w:proofErr w:type="spellStart"/>
      <w:r w:rsidRPr="00C126BE">
        <w:rPr>
          <w:rFonts w:ascii="Times New Roman" w:hAnsi="Times New Roman" w:cs="Times New Roman"/>
          <w:i/>
          <w:iCs/>
          <w:highlight w:val="yellow"/>
        </w:rPr>
        <w:t>physiologiae</w:t>
      </w:r>
      <w:proofErr w:type="spellEnd"/>
      <w:r w:rsidRPr="00C126BE">
        <w:rPr>
          <w:rFonts w:ascii="Times New Roman" w:hAnsi="Times New Roman" w:cs="Times New Roman"/>
          <w:i/>
          <w:iCs/>
          <w:highlight w:val="yellow"/>
        </w:rPr>
        <w:t xml:space="preserve"> plantarum</w:t>
      </w:r>
      <w:r w:rsidRPr="00C126BE">
        <w:rPr>
          <w:rFonts w:ascii="Times New Roman" w:hAnsi="Times New Roman" w:cs="Times New Roman"/>
          <w:highlight w:val="yellow"/>
        </w:rPr>
        <w:t>, </w:t>
      </w:r>
      <w:r w:rsidRPr="00C126BE">
        <w:rPr>
          <w:rFonts w:ascii="Times New Roman" w:hAnsi="Times New Roman" w:cs="Times New Roman"/>
          <w:i/>
          <w:iCs/>
          <w:highlight w:val="yellow"/>
        </w:rPr>
        <w:t>35</w:t>
      </w:r>
      <w:r w:rsidRPr="00C126BE">
        <w:rPr>
          <w:rFonts w:ascii="Times New Roman" w:hAnsi="Times New Roman" w:cs="Times New Roman"/>
          <w:highlight w:val="yellow"/>
        </w:rPr>
        <w:t xml:space="preserve">(6), 1933-1941. </w:t>
      </w:r>
      <w:hyperlink r:id="rId11" w:history="1">
        <w:r w:rsidRPr="00C126BE">
          <w:rPr>
            <w:rStyle w:val="Hyperlink"/>
            <w:rFonts w:ascii="Times New Roman" w:hAnsi="Times New Roman" w:cs="Times New Roman"/>
            <w:highlight w:val="yellow"/>
          </w:rPr>
          <w:t>https://doi.org/10.1007/s11738-013-1232-y</w:t>
        </w:r>
      </w:hyperlink>
    </w:p>
    <w:p w14:paraId="5779DCCA" w14:textId="77777777" w:rsidR="00970741" w:rsidRPr="00D87F05" w:rsidRDefault="00970741" w:rsidP="00D87F05">
      <w:pPr>
        <w:jc w:val="both"/>
        <w:rPr>
          <w:rFonts w:ascii="Times New Roman" w:hAnsi="Times New Roman" w:cs="Times New Roman"/>
        </w:rPr>
      </w:pPr>
      <w:proofErr w:type="spellStart"/>
      <w:r w:rsidRPr="00D87F05">
        <w:rPr>
          <w:rFonts w:ascii="Times New Roman" w:hAnsi="Times New Roman" w:cs="Times New Roman"/>
        </w:rPr>
        <w:t>Bagale</w:t>
      </w:r>
      <w:proofErr w:type="spellEnd"/>
      <w:r w:rsidRPr="00D87F05">
        <w:rPr>
          <w:rFonts w:ascii="Times New Roman" w:hAnsi="Times New Roman" w:cs="Times New Roman"/>
        </w:rPr>
        <w:t xml:space="preserve">, S. (2023). Modes of Herbicide Action. In New Insights in Herbicide Science. </w:t>
      </w:r>
      <w:hyperlink r:id="rId12" w:history="1">
        <w:r w:rsidRPr="00D87F05">
          <w:rPr>
            <w:rStyle w:val="Hyperlink"/>
            <w:rFonts w:ascii="Times New Roman" w:hAnsi="Times New Roman" w:cs="Times New Roman"/>
          </w:rPr>
          <w:t>https://doi.org/10.5772/intechopen.105356</w:t>
        </w:r>
      </w:hyperlink>
      <w:r w:rsidRPr="00D87F05">
        <w:rPr>
          <w:rFonts w:ascii="Times New Roman" w:hAnsi="Times New Roman" w:cs="Times New Roman"/>
        </w:rPr>
        <w:t xml:space="preserve"> </w:t>
      </w:r>
    </w:p>
    <w:p w14:paraId="7918164F"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Bates, L. S., Waldren, R. P. A., &amp; Teare, I. D. (1973). Rapid determination of free proline for water-stress studies. Plant and Soil, 39(1), 205-207. </w:t>
      </w:r>
      <w:hyperlink r:id="rId13" w:history="1">
        <w:r w:rsidRPr="00D87F05">
          <w:rPr>
            <w:rStyle w:val="Hyperlink"/>
            <w:rFonts w:ascii="Times New Roman" w:hAnsi="Times New Roman" w:cs="Times New Roman"/>
          </w:rPr>
          <w:t>https://doi.org/10.1007/BF00018060</w:t>
        </w:r>
      </w:hyperlink>
      <w:r w:rsidRPr="00D87F05">
        <w:rPr>
          <w:rFonts w:ascii="Times New Roman" w:hAnsi="Times New Roman" w:cs="Times New Roman"/>
        </w:rPr>
        <w:t xml:space="preserve"> </w:t>
      </w:r>
    </w:p>
    <w:p w14:paraId="2C1CC83D" w14:textId="77777777" w:rsidR="00970741" w:rsidRPr="00D87F05" w:rsidRDefault="00970741" w:rsidP="00D87F05">
      <w:pPr>
        <w:spacing w:line="360" w:lineRule="auto"/>
        <w:jc w:val="both"/>
        <w:rPr>
          <w:rFonts w:ascii="Times New Roman" w:hAnsi="Times New Roman" w:cs="Times New Roman"/>
        </w:rPr>
      </w:pPr>
      <w:r w:rsidRPr="00D87F05">
        <w:rPr>
          <w:rFonts w:ascii="Times New Roman" w:hAnsi="Times New Roman" w:cs="Times New Roman"/>
        </w:rPr>
        <w:t xml:space="preserve">Boulahia, K., Ould said, C., &amp; </w:t>
      </w:r>
      <w:proofErr w:type="spellStart"/>
      <w:r w:rsidRPr="00D87F05">
        <w:rPr>
          <w:rFonts w:ascii="Times New Roman" w:hAnsi="Times New Roman" w:cs="Times New Roman"/>
        </w:rPr>
        <w:t>Abrous</w:t>
      </w:r>
      <w:proofErr w:type="spellEnd"/>
      <w:r w:rsidRPr="00D87F05">
        <w:rPr>
          <w:rFonts w:ascii="Times New Roman" w:hAnsi="Times New Roman" w:cs="Times New Roman"/>
        </w:rPr>
        <w:t xml:space="preserve">-Belbachir, O. (2023). Exogenous application of salicylic acid </w:t>
      </w:r>
      <w:proofErr w:type="gramStart"/>
      <w:r w:rsidRPr="00D87F05">
        <w:rPr>
          <w:rFonts w:ascii="Times New Roman" w:hAnsi="Times New Roman" w:cs="Times New Roman"/>
        </w:rPr>
        <w:t>improve</w:t>
      </w:r>
      <w:proofErr w:type="gramEnd"/>
      <w:r w:rsidRPr="00D87F05">
        <w:rPr>
          <w:rFonts w:ascii="Times New Roman" w:hAnsi="Times New Roman" w:cs="Times New Roman"/>
        </w:rPr>
        <w:t xml:space="preserve"> growth and some physio-biochemical parameters in herbicide stressed Phaseolus vulgaris L. Gesunde </w:t>
      </w:r>
      <w:proofErr w:type="spellStart"/>
      <w:r w:rsidRPr="00D87F05">
        <w:rPr>
          <w:rFonts w:ascii="Times New Roman" w:hAnsi="Times New Roman" w:cs="Times New Roman"/>
        </w:rPr>
        <w:t>Pflanzen</w:t>
      </w:r>
      <w:proofErr w:type="spellEnd"/>
      <w:r w:rsidRPr="00D87F05">
        <w:rPr>
          <w:rFonts w:ascii="Times New Roman" w:hAnsi="Times New Roman" w:cs="Times New Roman"/>
        </w:rPr>
        <w:t xml:space="preserve">, 75(6), 2301-2318. </w:t>
      </w:r>
      <w:hyperlink r:id="rId14" w:history="1">
        <w:r w:rsidRPr="00D87F05">
          <w:rPr>
            <w:rStyle w:val="Hyperlink"/>
            <w:rFonts w:ascii="Times New Roman" w:hAnsi="Times New Roman" w:cs="Times New Roman"/>
          </w:rPr>
          <w:t>https://doi.org/10.1007/s10343-023-00878-5</w:t>
        </w:r>
      </w:hyperlink>
      <w:r w:rsidRPr="00D87F05">
        <w:rPr>
          <w:rFonts w:ascii="Times New Roman" w:hAnsi="Times New Roman" w:cs="Times New Roman"/>
        </w:rPr>
        <w:t xml:space="preserve"> </w:t>
      </w:r>
    </w:p>
    <w:p w14:paraId="673AA998"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Burul, F., Barić, K., Lakić, J., &amp; Milanović-</w:t>
      </w:r>
      <w:proofErr w:type="spellStart"/>
      <w:r w:rsidRPr="00D87F05">
        <w:rPr>
          <w:rFonts w:ascii="Times New Roman" w:hAnsi="Times New Roman" w:cs="Times New Roman"/>
        </w:rPr>
        <w:t>Litre</w:t>
      </w:r>
      <w:proofErr w:type="spellEnd"/>
      <w:r w:rsidRPr="00D87F05">
        <w:rPr>
          <w:rFonts w:ascii="Times New Roman" w:hAnsi="Times New Roman" w:cs="Times New Roman"/>
        </w:rPr>
        <w:t xml:space="preserve">, A. (2022). Herbicides effects on symbiotic nitrogen-fixing bacteria. Journal of Central European Agriculture, 23(1), 89-102. </w:t>
      </w:r>
      <w:hyperlink r:id="rId15" w:history="1">
        <w:r w:rsidRPr="00D87F05">
          <w:rPr>
            <w:rStyle w:val="Hyperlink"/>
            <w:rFonts w:ascii="Times New Roman" w:hAnsi="Times New Roman" w:cs="Times New Roman"/>
          </w:rPr>
          <w:t>https://doi.org/10.5513/JCEA01/23.1.3320</w:t>
        </w:r>
      </w:hyperlink>
      <w:r w:rsidRPr="00D87F05">
        <w:rPr>
          <w:rFonts w:ascii="Times New Roman" w:hAnsi="Times New Roman" w:cs="Times New Roman"/>
        </w:rPr>
        <w:t xml:space="preserve"> </w:t>
      </w:r>
    </w:p>
    <w:p w14:paraId="50891977" w14:textId="77777777" w:rsidR="00970741" w:rsidRPr="00D87F05" w:rsidRDefault="00970741" w:rsidP="00D87F05">
      <w:pPr>
        <w:jc w:val="both"/>
        <w:rPr>
          <w:rFonts w:ascii="Times New Roman" w:hAnsi="Times New Roman" w:cs="Times New Roman"/>
        </w:rPr>
      </w:pPr>
      <w:proofErr w:type="spellStart"/>
      <w:r w:rsidRPr="00D87F05">
        <w:rPr>
          <w:rFonts w:ascii="Times New Roman" w:hAnsi="Times New Roman" w:cs="Times New Roman"/>
        </w:rPr>
        <w:t>Caverzan</w:t>
      </w:r>
      <w:proofErr w:type="spellEnd"/>
      <w:r w:rsidRPr="00D87F05">
        <w:rPr>
          <w:rFonts w:ascii="Times New Roman" w:hAnsi="Times New Roman" w:cs="Times New Roman"/>
        </w:rPr>
        <w:t xml:space="preserve">, A., Piasecki, C., Chavarria, G., Stewart Jr, C. N., &amp; Vargas, L. (2019). Defenses against ROS in crops and weeds: The effects of interference and herbicides. International Journal of Molecular Sciences. </w:t>
      </w:r>
      <w:hyperlink r:id="rId16" w:history="1">
        <w:r w:rsidRPr="00D87F05">
          <w:rPr>
            <w:rStyle w:val="Hyperlink"/>
            <w:rFonts w:ascii="Times New Roman" w:hAnsi="Times New Roman" w:cs="Times New Roman"/>
          </w:rPr>
          <w:t>https://doi.org/10.3390/ijms20051086</w:t>
        </w:r>
      </w:hyperlink>
      <w:r w:rsidRPr="00D87F05">
        <w:rPr>
          <w:rFonts w:ascii="Times New Roman" w:hAnsi="Times New Roman" w:cs="Times New Roman"/>
        </w:rPr>
        <w:t xml:space="preserve"> </w:t>
      </w:r>
    </w:p>
    <w:p w14:paraId="36A2BDA0" w14:textId="77777777" w:rsidR="00970741" w:rsidRPr="00D87F05" w:rsidRDefault="00970741" w:rsidP="00D87F05">
      <w:pPr>
        <w:spacing w:line="360" w:lineRule="auto"/>
        <w:jc w:val="both"/>
        <w:rPr>
          <w:rFonts w:ascii="Times New Roman" w:hAnsi="Times New Roman" w:cs="Times New Roman"/>
        </w:rPr>
      </w:pPr>
      <w:r w:rsidRPr="00D87F05">
        <w:rPr>
          <w:rFonts w:ascii="Times New Roman" w:hAnsi="Times New Roman" w:cs="Times New Roman"/>
        </w:rPr>
        <w:t xml:space="preserve">Dayan, F. E., Duke, S. O., &amp; Grossmann, K. (2010). Herbicides as probes in plant biology. Weed science, 58(3), 340-350. </w:t>
      </w:r>
      <w:hyperlink r:id="rId17" w:history="1">
        <w:r w:rsidRPr="00D87F05">
          <w:rPr>
            <w:rStyle w:val="Hyperlink"/>
            <w:rFonts w:ascii="Times New Roman" w:hAnsi="Times New Roman" w:cs="Times New Roman"/>
          </w:rPr>
          <w:t>https://doi.org/10.1614/WS-09-092.1</w:t>
        </w:r>
      </w:hyperlink>
      <w:r w:rsidRPr="00D87F05">
        <w:rPr>
          <w:rFonts w:ascii="Times New Roman" w:hAnsi="Times New Roman" w:cs="Times New Roman"/>
        </w:rPr>
        <w:t xml:space="preserve"> </w:t>
      </w:r>
    </w:p>
    <w:p w14:paraId="1C518356"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Fathy, W. A., Mohamed, M. Y. A., </w:t>
      </w:r>
      <w:proofErr w:type="spellStart"/>
      <w:r w:rsidRPr="00D87F05">
        <w:rPr>
          <w:rFonts w:ascii="Times New Roman" w:hAnsi="Times New Roman" w:cs="Times New Roman"/>
        </w:rPr>
        <w:t>Alsherif</w:t>
      </w:r>
      <w:proofErr w:type="spellEnd"/>
      <w:r w:rsidRPr="00D87F05">
        <w:rPr>
          <w:rFonts w:ascii="Times New Roman" w:hAnsi="Times New Roman" w:cs="Times New Roman"/>
        </w:rPr>
        <w:t xml:space="preserve">, E. A., </w:t>
      </w:r>
      <w:proofErr w:type="spellStart"/>
      <w:r w:rsidRPr="00D87F05">
        <w:rPr>
          <w:rFonts w:ascii="Times New Roman" w:hAnsi="Times New Roman" w:cs="Times New Roman"/>
        </w:rPr>
        <w:t>Korany</w:t>
      </w:r>
      <w:proofErr w:type="spellEnd"/>
      <w:r w:rsidRPr="00D87F05">
        <w:rPr>
          <w:rFonts w:ascii="Times New Roman" w:hAnsi="Times New Roman" w:cs="Times New Roman"/>
        </w:rPr>
        <w:t xml:space="preserve">, S. M., Sonbol, H., Selim, S., </w:t>
      </w:r>
      <w:proofErr w:type="spellStart"/>
      <w:r w:rsidRPr="00D87F05">
        <w:rPr>
          <w:rFonts w:ascii="Times New Roman" w:hAnsi="Times New Roman" w:cs="Times New Roman"/>
        </w:rPr>
        <w:t>Aldailami</w:t>
      </w:r>
      <w:proofErr w:type="spellEnd"/>
      <w:r w:rsidRPr="00D87F05">
        <w:rPr>
          <w:rFonts w:ascii="Times New Roman" w:hAnsi="Times New Roman" w:cs="Times New Roman"/>
        </w:rPr>
        <w:t xml:space="preserve">, D. A., Hassan, A. H. A., &amp; Shaban, A. M. (2025). Detoxification of Fenoxaprop‐P‐Ethyl Herbicide: A Study on Physiological and Metabolic Adaptation of </w:t>
      </w:r>
      <w:r w:rsidRPr="00C126BE">
        <w:rPr>
          <w:rFonts w:ascii="Times New Roman" w:hAnsi="Times New Roman" w:cs="Times New Roman"/>
          <w:i/>
          <w:iCs/>
        </w:rPr>
        <w:t xml:space="preserve">Anabaena </w:t>
      </w:r>
      <w:proofErr w:type="spellStart"/>
      <w:r w:rsidRPr="00C126BE">
        <w:rPr>
          <w:rFonts w:ascii="Times New Roman" w:hAnsi="Times New Roman" w:cs="Times New Roman"/>
          <w:i/>
          <w:iCs/>
        </w:rPr>
        <w:t>laxa</w:t>
      </w:r>
      <w:proofErr w:type="spellEnd"/>
      <w:r w:rsidRPr="00D87F05">
        <w:rPr>
          <w:rFonts w:ascii="Times New Roman" w:hAnsi="Times New Roman" w:cs="Times New Roman"/>
        </w:rPr>
        <w:t xml:space="preserve"> and </w:t>
      </w:r>
      <w:r w:rsidRPr="00C126BE">
        <w:rPr>
          <w:rFonts w:ascii="Times New Roman" w:hAnsi="Times New Roman" w:cs="Times New Roman"/>
          <w:i/>
          <w:iCs/>
        </w:rPr>
        <w:t xml:space="preserve">Nostoc </w:t>
      </w:r>
      <w:proofErr w:type="spellStart"/>
      <w:r w:rsidRPr="00C126BE">
        <w:rPr>
          <w:rFonts w:ascii="Times New Roman" w:hAnsi="Times New Roman" w:cs="Times New Roman"/>
          <w:i/>
          <w:iCs/>
        </w:rPr>
        <w:t>muscorum</w:t>
      </w:r>
      <w:proofErr w:type="spellEnd"/>
      <w:r w:rsidRPr="00D87F05">
        <w:rPr>
          <w:rFonts w:ascii="Times New Roman" w:hAnsi="Times New Roman" w:cs="Times New Roman"/>
        </w:rPr>
        <w:t xml:space="preserve">. </w:t>
      </w:r>
      <w:r w:rsidRPr="00C126BE">
        <w:rPr>
          <w:rFonts w:ascii="Times New Roman" w:hAnsi="Times New Roman" w:cs="Times New Roman"/>
          <w:i/>
          <w:iCs/>
        </w:rPr>
        <w:t>Journal of Basic Microbiology</w:t>
      </w:r>
      <w:r w:rsidRPr="00D87F05">
        <w:rPr>
          <w:rFonts w:ascii="Times New Roman" w:hAnsi="Times New Roman" w:cs="Times New Roman"/>
        </w:rPr>
        <w:t xml:space="preserve">, 66(1), e70109. </w:t>
      </w:r>
      <w:hyperlink r:id="rId18" w:history="1">
        <w:r w:rsidRPr="00D87F05">
          <w:rPr>
            <w:rStyle w:val="Hyperlink"/>
            <w:rFonts w:ascii="Times New Roman" w:hAnsi="Times New Roman" w:cs="Times New Roman"/>
          </w:rPr>
          <w:t>https://doi.org/10.1002/jobm.70109</w:t>
        </w:r>
      </w:hyperlink>
      <w:r w:rsidRPr="00D87F05">
        <w:rPr>
          <w:rFonts w:ascii="Times New Roman" w:hAnsi="Times New Roman" w:cs="Times New Roman"/>
        </w:rPr>
        <w:t xml:space="preserve"> </w:t>
      </w:r>
    </w:p>
    <w:p w14:paraId="7E283668" w14:textId="77777777" w:rsidR="00970741" w:rsidRPr="00D87F05" w:rsidRDefault="00970741" w:rsidP="00D87F05">
      <w:pPr>
        <w:jc w:val="both"/>
        <w:rPr>
          <w:rFonts w:ascii="Times New Roman" w:hAnsi="Times New Roman" w:cs="Times New Roman"/>
        </w:rPr>
      </w:pPr>
      <w:proofErr w:type="spellStart"/>
      <w:r w:rsidRPr="00D87F05">
        <w:rPr>
          <w:rFonts w:ascii="Times New Roman" w:hAnsi="Times New Roman" w:cs="Times New Roman"/>
        </w:rPr>
        <w:t>Gatkal</w:t>
      </w:r>
      <w:proofErr w:type="spellEnd"/>
      <w:r w:rsidRPr="00D87F05">
        <w:rPr>
          <w:rFonts w:ascii="Times New Roman" w:hAnsi="Times New Roman" w:cs="Times New Roman"/>
        </w:rPr>
        <w:t xml:space="preserve">, N. R., </w:t>
      </w:r>
      <w:proofErr w:type="spellStart"/>
      <w:r w:rsidRPr="00D87F05">
        <w:rPr>
          <w:rFonts w:ascii="Times New Roman" w:hAnsi="Times New Roman" w:cs="Times New Roman"/>
        </w:rPr>
        <w:t>Nalawade</w:t>
      </w:r>
      <w:proofErr w:type="spellEnd"/>
      <w:r w:rsidRPr="00D87F05">
        <w:rPr>
          <w:rFonts w:ascii="Times New Roman" w:hAnsi="Times New Roman" w:cs="Times New Roman"/>
        </w:rPr>
        <w:t xml:space="preserve">, S. M., Shelke, M. S., Sahni, R. K., </w:t>
      </w:r>
      <w:proofErr w:type="spellStart"/>
      <w:r w:rsidRPr="00D87F05">
        <w:rPr>
          <w:rFonts w:ascii="Times New Roman" w:hAnsi="Times New Roman" w:cs="Times New Roman"/>
        </w:rPr>
        <w:t>Walunj</w:t>
      </w:r>
      <w:proofErr w:type="spellEnd"/>
      <w:r w:rsidRPr="00D87F05">
        <w:rPr>
          <w:rFonts w:ascii="Times New Roman" w:hAnsi="Times New Roman" w:cs="Times New Roman"/>
        </w:rPr>
        <w:t xml:space="preserve">, A. A., Kadam, P. B., &amp; Ali, M. (2025). Review of cutting-edge weed management strategy in agricultural systems. International Journal of Agricultural and Biological Engineering, 18(1), 25-42. </w:t>
      </w:r>
      <w:hyperlink r:id="rId19" w:history="1">
        <w:r w:rsidRPr="00D87F05">
          <w:rPr>
            <w:rStyle w:val="Hyperlink"/>
            <w:rFonts w:ascii="Times New Roman" w:hAnsi="Times New Roman" w:cs="Times New Roman"/>
          </w:rPr>
          <w:t>https://doi.org/10.25165/j.ijabe.20251801.9583</w:t>
        </w:r>
      </w:hyperlink>
      <w:r w:rsidRPr="00D87F05">
        <w:rPr>
          <w:rFonts w:ascii="Times New Roman" w:hAnsi="Times New Roman" w:cs="Times New Roman"/>
        </w:rPr>
        <w:t xml:space="preserve"> </w:t>
      </w:r>
    </w:p>
    <w:p w14:paraId="67BC2E83" w14:textId="77777777" w:rsidR="00970741" w:rsidRPr="00D87F05" w:rsidRDefault="00970741" w:rsidP="00D87F05">
      <w:pPr>
        <w:spacing w:line="360" w:lineRule="auto"/>
        <w:jc w:val="both"/>
        <w:rPr>
          <w:rFonts w:ascii="Times New Roman" w:hAnsi="Times New Roman" w:cs="Times New Roman"/>
        </w:rPr>
      </w:pPr>
      <w:r w:rsidRPr="00D87F05">
        <w:rPr>
          <w:rFonts w:ascii="Times New Roman" w:hAnsi="Times New Roman" w:cs="Times New Roman"/>
        </w:rPr>
        <w:lastRenderedPageBreak/>
        <w:t xml:space="preserve">Gaur, K., &amp; Kamakshi, S. (2025). Exploring salinity effects on moth beans in response to physiological parameters. Journal of Ecological Engineering. </w:t>
      </w:r>
      <w:hyperlink r:id="rId20" w:history="1">
        <w:r w:rsidRPr="00D87F05">
          <w:rPr>
            <w:rStyle w:val="Hyperlink"/>
            <w:rFonts w:ascii="Times New Roman" w:hAnsi="Times New Roman" w:cs="Times New Roman"/>
          </w:rPr>
          <w:t>https://doi.org/10.12911/22998993/203400</w:t>
        </w:r>
      </w:hyperlink>
      <w:r w:rsidRPr="00D87F05">
        <w:rPr>
          <w:rFonts w:ascii="Times New Roman" w:hAnsi="Times New Roman" w:cs="Times New Roman"/>
        </w:rPr>
        <w:t xml:space="preserve"> </w:t>
      </w:r>
    </w:p>
    <w:p w14:paraId="395145CF" w14:textId="77777777" w:rsidR="00970741" w:rsidRPr="00D87F05" w:rsidRDefault="00970741" w:rsidP="00D87F05">
      <w:pPr>
        <w:spacing w:line="360" w:lineRule="auto"/>
        <w:jc w:val="both"/>
        <w:rPr>
          <w:rFonts w:ascii="Times New Roman" w:hAnsi="Times New Roman" w:cs="Times New Roman"/>
        </w:rPr>
      </w:pPr>
      <w:r w:rsidRPr="00D87F05">
        <w:rPr>
          <w:rFonts w:ascii="Times New Roman" w:hAnsi="Times New Roman" w:cs="Times New Roman"/>
        </w:rPr>
        <w:t xml:space="preserve">Ghahremani, B., </w:t>
      </w:r>
      <w:proofErr w:type="spellStart"/>
      <w:r w:rsidRPr="00D87F05">
        <w:rPr>
          <w:rFonts w:ascii="Times New Roman" w:hAnsi="Times New Roman" w:cs="Times New Roman"/>
        </w:rPr>
        <w:t>Hassannejad</w:t>
      </w:r>
      <w:proofErr w:type="spellEnd"/>
      <w:r w:rsidRPr="00D87F05">
        <w:rPr>
          <w:rFonts w:ascii="Times New Roman" w:hAnsi="Times New Roman" w:cs="Times New Roman"/>
        </w:rPr>
        <w:t xml:space="preserve">, S., Alizadeh, K., &amp; Eslam, B. P. (2022). Salicylic acid alleviates oxidative stress and lipid peroxidation caused by clopyralid herbicide in Indian mustard plants. Acta </w:t>
      </w:r>
      <w:proofErr w:type="spellStart"/>
      <w:r w:rsidRPr="00D87F05">
        <w:rPr>
          <w:rFonts w:ascii="Times New Roman" w:hAnsi="Times New Roman" w:cs="Times New Roman"/>
        </w:rPr>
        <w:t>Physiologiae</w:t>
      </w:r>
      <w:proofErr w:type="spellEnd"/>
      <w:r w:rsidRPr="00D87F05">
        <w:rPr>
          <w:rFonts w:ascii="Times New Roman" w:hAnsi="Times New Roman" w:cs="Times New Roman"/>
        </w:rPr>
        <w:t xml:space="preserve"> Plantarum, 44(4), 49. </w:t>
      </w:r>
      <w:hyperlink r:id="rId21" w:history="1">
        <w:r w:rsidRPr="00D87F05">
          <w:rPr>
            <w:rStyle w:val="Hyperlink"/>
            <w:rFonts w:ascii="Times New Roman" w:hAnsi="Times New Roman" w:cs="Times New Roman"/>
          </w:rPr>
          <w:t>https://doi.org/10.1007/s11738-022-03382-x</w:t>
        </w:r>
      </w:hyperlink>
      <w:r w:rsidRPr="00D87F05">
        <w:rPr>
          <w:rFonts w:ascii="Times New Roman" w:hAnsi="Times New Roman" w:cs="Times New Roman"/>
        </w:rPr>
        <w:t xml:space="preserve"> </w:t>
      </w:r>
    </w:p>
    <w:p w14:paraId="7DEFF774"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Goyal, R. K., Mattoo, A. K., &amp; Schmidt, M. A. (2021). </w:t>
      </w:r>
      <w:proofErr w:type="spellStart"/>
      <w:r w:rsidRPr="00D87F05">
        <w:rPr>
          <w:rFonts w:ascii="Times New Roman" w:hAnsi="Times New Roman" w:cs="Times New Roman"/>
        </w:rPr>
        <w:t>Rhizobial</w:t>
      </w:r>
      <w:proofErr w:type="spellEnd"/>
      <w:r w:rsidRPr="00D87F05">
        <w:rPr>
          <w:rFonts w:ascii="Times New Roman" w:hAnsi="Times New Roman" w:cs="Times New Roman"/>
        </w:rPr>
        <w:t xml:space="preserve">–host interactions and symbiotic nitrogen fixation in legume crops toward agriculture sustainability. Frontiers in Microbiology. </w:t>
      </w:r>
      <w:hyperlink r:id="rId22" w:history="1">
        <w:r w:rsidRPr="00D87F05">
          <w:rPr>
            <w:rStyle w:val="Hyperlink"/>
            <w:rFonts w:ascii="Times New Roman" w:hAnsi="Times New Roman" w:cs="Times New Roman"/>
          </w:rPr>
          <w:t>https://doi.org/10.3389/fmicb.2021.669404</w:t>
        </w:r>
      </w:hyperlink>
      <w:r w:rsidRPr="00D87F05">
        <w:rPr>
          <w:rFonts w:ascii="Times New Roman" w:hAnsi="Times New Roman" w:cs="Times New Roman"/>
        </w:rPr>
        <w:t xml:space="preserve"> </w:t>
      </w:r>
    </w:p>
    <w:p w14:paraId="79F51480"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Granero, F. O., Figueiredo, C. C. M., Dos Santos, V. H. M., Pereira Silva, L., &amp; da Silva, R. M. G. (2025). Phytotoxicity and allelopathic potential of Croton </w:t>
      </w:r>
      <w:proofErr w:type="spellStart"/>
      <w:r w:rsidRPr="00D87F05">
        <w:rPr>
          <w:rFonts w:ascii="Times New Roman" w:hAnsi="Times New Roman" w:cs="Times New Roman"/>
        </w:rPr>
        <w:t>urucurana</w:t>
      </w:r>
      <w:proofErr w:type="spellEnd"/>
      <w:r w:rsidRPr="00D87F05">
        <w:rPr>
          <w:rFonts w:ascii="Times New Roman" w:hAnsi="Times New Roman" w:cs="Times New Roman"/>
        </w:rPr>
        <w:t xml:space="preserve"> Baillon: impacts on seeds germination and seedlings development of target plants. Journal of Toxicology and Environmental Health, Part A. </w:t>
      </w:r>
      <w:hyperlink r:id="rId23" w:history="1">
        <w:r w:rsidRPr="00D87F05">
          <w:rPr>
            <w:rStyle w:val="Hyperlink"/>
            <w:rFonts w:ascii="Times New Roman" w:hAnsi="Times New Roman" w:cs="Times New Roman"/>
          </w:rPr>
          <w:t>https://doi.org/10.1080/15287394.2025.2594772</w:t>
        </w:r>
      </w:hyperlink>
      <w:r w:rsidRPr="00D87F05">
        <w:rPr>
          <w:rFonts w:ascii="Times New Roman" w:hAnsi="Times New Roman" w:cs="Times New Roman"/>
        </w:rPr>
        <w:t xml:space="preserve"> </w:t>
      </w:r>
    </w:p>
    <w:p w14:paraId="4A2059FA" w14:textId="77777777" w:rsidR="00970741" w:rsidRPr="00D87F05" w:rsidRDefault="00970741" w:rsidP="00D87F05">
      <w:pPr>
        <w:spacing w:line="360" w:lineRule="auto"/>
        <w:jc w:val="both"/>
        <w:rPr>
          <w:rFonts w:ascii="Times New Roman" w:hAnsi="Times New Roman" w:cs="Times New Roman"/>
        </w:rPr>
      </w:pPr>
      <w:r w:rsidRPr="00D87F05">
        <w:rPr>
          <w:rFonts w:ascii="Times New Roman" w:hAnsi="Times New Roman" w:cs="Times New Roman"/>
        </w:rPr>
        <w:t xml:space="preserve">Hasan, M., Ahmad-Hamdani, M. S., Rosli, A. M., &amp; Hamdan, H. (2021). Bioherbicides: An Eco-Friendly Tool for Sustainable Weed Management. Plants. </w:t>
      </w:r>
      <w:hyperlink r:id="rId24" w:history="1">
        <w:r w:rsidRPr="00D87F05">
          <w:rPr>
            <w:rStyle w:val="Hyperlink"/>
            <w:rFonts w:ascii="Times New Roman" w:hAnsi="Times New Roman" w:cs="Times New Roman"/>
          </w:rPr>
          <w:t>https://doi.org/10.3390/plants10061212</w:t>
        </w:r>
      </w:hyperlink>
      <w:r w:rsidRPr="00D87F05">
        <w:rPr>
          <w:rFonts w:ascii="Times New Roman" w:hAnsi="Times New Roman" w:cs="Times New Roman"/>
        </w:rPr>
        <w:t xml:space="preserve"> </w:t>
      </w:r>
    </w:p>
    <w:p w14:paraId="56289FD0"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Huang, W. (2024). Boosting soil health: the role of rhizobium in legume nitrogen fixation. Molecular Soil Biology, 15(3), 129-139. </w:t>
      </w:r>
      <w:hyperlink r:id="rId25" w:history="1">
        <w:r w:rsidRPr="00D87F05">
          <w:rPr>
            <w:rStyle w:val="Hyperlink"/>
            <w:rFonts w:ascii="Times New Roman" w:hAnsi="Times New Roman" w:cs="Times New Roman"/>
          </w:rPr>
          <w:t>https://doi.org/10.5376/msb.2024.15.0014</w:t>
        </w:r>
      </w:hyperlink>
      <w:r w:rsidRPr="00D87F05">
        <w:rPr>
          <w:rFonts w:ascii="Times New Roman" w:hAnsi="Times New Roman" w:cs="Times New Roman"/>
        </w:rPr>
        <w:t xml:space="preserve"> </w:t>
      </w:r>
    </w:p>
    <w:p w14:paraId="6F87E027" w14:textId="77777777" w:rsidR="00970741" w:rsidRDefault="00970741" w:rsidP="00D87F05">
      <w:pPr>
        <w:jc w:val="both"/>
        <w:rPr>
          <w:rFonts w:ascii="Times New Roman" w:hAnsi="Times New Roman" w:cs="Times New Roman"/>
        </w:rPr>
      </w:pPr>
      <w:r w:rsidRPr="00D87F05">
        <w:rPr>
          <w:rFonts w:ascii="Times New Roman" w:hAnsi="Times New Roman" w:cs="Times New Roman"/>
        </w:rPr>
        <w:t xml:space="preserve">Huchzermeyer, B., </w:t>
      </w:r>
      <w:proofErr w:type="spellStart"/>
      <w:r w:rsidRPr="00D87F05">
        <w:rPr>
          <w:rFonts w:ascii="Times New Roman" w:hAnsi="Times New Roman" w:cs="Times New Roman"/>
        </w:rPr>
        <w:t>Menghani</w:t>
      </w:r>
      <w:proofErr w:type="spellEnd"/>
      <w:r w:rsidRPr="00D87F05">
        <w:rPr>
          <w:rFonts w:ascii="Times New Roman" w:hAnsi="Times New Roman" w:cs="Times New Roman"/>
        </w:rPr>
        <w:t xml:space="preserve">, E., </w:t>
      </w:r>
      <w:proofErr w:type="spellStart"/>
      <w:r w:rsidRPr="00D87F05">
        <w:rPr>
          <w:rFonts w:ascii="Times New Roman" w:hAnsi="Times New Roman" w:cs="Times New Roman"/>
        </w:rPr>
        <w:t>Khardia</w:t>
      </w:r>
      <w:proofErr w:type="spellEnd"/>
      <w:r w:rsidRPr="00D87F05">
        <w:rPr>
          <w:rFonts w:ascii="Times New Roman" w:hAnsi="Times New Roman" w:cs="Times New Roman"/>
        </w:rPr>
        <w:t>, P., &amp; Shilu, A. (2022). Metabolic pathway of natural antioxidants, antioxidant enzymes and ROS providence. </w:t>
      </w:r>
      <w:r w:rsidRPr="00D87F05">
        <w:rPr>
          <w:rFonts w:ascii="Times New Roman" w:hAnsi="Times New Roman" w:cs="Times New Roman"/>
          <w:i/>
          <w:iCs/>
        </w:rPr>
        <w:t>Antioxidants</w:t>
      </w:r>
      <w:r w:rsidRPr="00D87F05">
        <w:rPr>
          <w:rFonts w:ascii="Times New Roman" w:hAnsi="Times New Roman" w:cs="Times New Roman"/>
        </w:rPr>
        <w:t>, </w:t>
      </w:r>
      <w:r w:rsidRPr="00D87F05">
        <w:rPr>
          <w:rFonts w:ascii="Times New Roman" w:hAnsi="Times New Roman" w:cs="Times New Roman"/>
          <w:i/>
          <w:iCs/>
        </w:rPr>
        <w:t>11</w:t>
      </w:r>
      <w:r w:rsidRPr="00D87F05">
        <w:rPr>
          <w:rFonts w:ascii="Times New Roman" w:hAnsi="Times New Roman" w:cs="Times New Roman"/>
        </w:rPr>
        <w:t xml:space="preserve">(4), 761. </w:t>
      </w:r>
      <w:hyperlink r:id="rId26" w:history="1">
        <w:r w:rsidRPr="009E1C9E">
          <w:rPr>
            <w:rStyle w:val="Hyperlink"/>
            <w:rFonts w:ascii="Times New Roman" w:hAnsi="Times New Roman" w:cs="Times New Roman"/>
          </w:rPr>
          <w:t>https://doi.org/10.3390/antiox11040761</w:t>
        </w:r>
      </w:hyperlink>
    </w:p>
    <w:p w14:paraId="4AAF2018"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Jat, N. K., &amp; Singh, D. V. (2021). </w:t>
      </w:r>
      <w:proofErr w:type="spellStart"/>
      <w:r w:rsidRPr="00D87F05">
        <w:rPr>
          <w:rFonts w:ascii="Times New Roman" w:hAnsi="Times New Roman" w:cs="Times New Roman"/>
        </w:rPr>
        <w:t>Bioefficacy</w:t>
      </w:r>
      <w:proofErr w:type="spellEnd"/>
      <w:r w:rsidRPr="00D87F05">
        <w:rPr>
          <w:rFonts w:ascii="Times New Roman" w:hAnsi="Times New Roman" w:cs="Times New Roman"/>
        </w:rPr>
        <w:t xml:space="preserve">, phytotoxicity and economics of post-emergence herbicides in moth bean (Vigna </w:t>
      </w:r>
      <w:proofErr w:type="spellStart"/>
      <w:r w:rsidRPr="00D87F05">
        <w:rPr>
          <w:rFonts w:ascii="Times New Roman" w:hAnsi="Times New Roman" w:cs="Times New Roman"/>
        </w:rPr>
        <w:t>aconitifolia</w:t>
      </w:r>
      <w:proofErr w:type="spellEnd"/>
      <w:r w:rsidRPr="00D87F05">
        <w:rPr>
          <w:rFonts w:ascii="Times New Roman" w:hAnsi="Times New Roman" w:cs="Times New Roman"/>
        </w:rPr>
        <w:t xml:space="preserve">) in hot arid regions. Legume Research-An International Journal, 44(12), 1488-1492. </w:t>
      </w:r>
      <w:hyperlink r:id="rId27" w:history="1">
        <w:r w:rsidRPr="00D87F05">
          <w:rPr>
            <w:rStyle w:val="Hyperlink"/>
            <w:rFonts w:ascii="Times New Roman" w:hAnsi="Times New Roman" w:cs="Times New Roman"/>
          </w:rPr>
          <w:t>https://doi.org/10.18805/LR-4776</w:t>
        </w:r>
      </w:hyperlink>
      <w:r w:rsidRPr="00D87F05">
        <w:rPr>
          <w:rFonts w:ascii="Times New Roman" w:hAnsi="Times New Roman" w:cs="Times New Roman"/>
        </w:rPr>
        <w:t xml:space="preserve"> </w:t>
      </w:r>
    </w:p>
    <w:p w14:paraId="3B6F1029"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Kanishka, R. C., Gayacharan, </w:t>
      </w:r>
      <w:proofErr w:type="spellStart"/>
      <w:r w:rsidRPr="00D87F05">
        <w:rPr>
          <w:rFonts w:ascii="Times New Roman" w:hAnsi="Times New Roman" w:cs="Times New Roman"/>
        </w:rPr>
        <w:t>Basavaraja</w:t>
      </w:r>
      <w:proofErr w:type="spellEnd"/>
      <w:r w:rsidRPr="00D87F05">
        <w:rPr>
          <w:rFonts w:ascii="Times New Roman" w:hAnsi="Times New Roman" w:cs="Times New Roman"/>
        </w:rPr>
        <w:t xml:space="preserve">, T., </w:t>
      </w:r>
      <w:proofErr w:type="spellStart"/>
      <w:r w:rsidRPr="00D87F05">
        <w:rPr>
          <w:rFonts w:ascii="Times New Roman" w:hAnsi="Times New Roman" w:cs="Times New Roman"/>
        </w:rPr>
        <w:t>Chandora</w:t>
      </w:r>
      <w:proofErr w:type="spellEnd"/>
      <w:r w:rsidRPr="00D87F05">
        <w:rPr>
          <w:rFonts w:ascii="Times New Roman" w:hAnsi="Times New Roman" w:cs="Times New Roman"/>
        </w:rPr>
        <w:t xml:space="preserve">, R., &amp; Rana, J. C. (2023). Moth bean (Vigna </w:t>
      </w:r>
      <w:proofErr w:type="spellStart"/>
      <w:r w:rsidRPr="00D87F05">
        <w:rPr>
          <w:rFonts w:ascii="Times New Roman" w:hAnsi="Times New Roman" w:cs="Times New Roman"/>
        </w:rPr>
        <w:t>aconitifolia</w:t>
      </w:r>
      <w:proofErr w:type="spellEnd"/>
      <w:r w:rsidRPr="00D87F05">
        <w:rPr>
          <w:rFonts w:ascii="Times New Roman" w:hAnsi="Times New Roman" w:cs="Times New Roman"/>
        </w:rPr>
        <w:t xml:space="preserve">): a minor legume with major potential to address global agricultural challenges. Frontiers in Plant Science </w:t>
      </w:r>
      <w:hyperlink r:id="rId28" w:history="1">
        <w:r w:rsidRPr="00D87F05">
          <w:rPr>
            <w:rStyle w:val="Hyperlink"/>
            <w:rFonts w:ascii="Times New Roman" w:hAnsi="Times New Roman" w:cs="Times New Roman"/>
          </w:rPr>
          <w:t>https://doi.org/10.3389/fpls.2023.1179547</w:t>
        </w:r>
      </w:hyperlink>
      <w:r w:rsidRPr="00D87F05">
        <w:rPr>
          <w:rFonts w:ascii="Times New Roman" w:hAnsi="Times New Roman" w:cs="Times New Roman"/>
        </w:rPr>
        <w:t xml:space="preserve"> </w:t>
      </w:r>
    </w:p>
    <w:p w14:paraId="2ECBCDC3" w14:textId="77777777" w:rsidR="00970741" w:rsidRDefault="00970741" w:rsidP="00952733">
      <w:pPr>
        <w:jc w:val="both"/>
        <w:rPr>
          <w:rFonts w:ascii="Times New Roman" w:hAnsi="Times New Roman" w:cs="Times New Roman"/>
        </w:rPr>
      </w:pPr>
      <w:r w:rsidRPr="00970741">
        <w:rPr>
          <w:rFonts w:ascii="Times New Roman" w:hAnsi="Times New Roman" w:cs="Times New Roman"/>
          <w:highlight w:val="yellow"/>
        </w:rPr>
        <w:t xml:space="preserve">Khare, A., Gupta, N., Srivastava, N., &amp; </w:t>
      </w:r>
      <w:proofErr w:type="spellStart"/>
      <w:r w:rsidRPr="00970741">
        <w:rPr>
          <w:rFonts w:ascii="Times New Roman" w:hAnsi="Times New Roman" w:cs="Times New Roman"/>
          <w:highlight w:val="yellow"/>
        </w:rPr>
        <w:t>Bhagyawant</w:t>
      </w:r>
      <w:proofErr w:type="spellEnd"/>
      <w:r w:rsidRPr="00970741">
        <w:rPr>
          <w:rFonts w:ascii="Times New Roman" w:hAnsi="Times New Roman" w:cs="Times New Roman"/>
          <w:highlight w:val="yellow"/>
        </w:rPr>
        <w:t>, S. S. (2024). Genetic polymorphism amongst moth bean (</w:t>
      </w:r>
      <w:r w:rsidRPr="00970741">
        <w:rPr>
          <w:rFonts w:ascii="Times New Roman" w:hAnsi="Times New Roman" w:cs="Times New Roman"/>
          <w:i/>
          <w:iCs/>
          <w:highlight w:val="yellow"/>
        </w:rPr>
        <w:t xml:space="preserve">Vigna </w:t>
      </w:r>
      <w:proofErr w:type="spellStart"/>
      <w:r w:rsidRPr="00970741">
        <w:rPr>
          <w:rFonts w:ascii="Times New Roman" w:hAnsi="Times New Roman" w:cs="Times New Roman"/>
          <w:i/>
          <w:iCs/>
          <w:highlight w:val="yellow"/>
        </w:rPr>
        <w:t>aconitifolia</w:t>
      </w:r>
      <w:proofErr w:type="spellEnd"/>
      <w:r w:rsidRPr="00970741">
        <w:rPr>
          <w:rFonts w:ascii="Times New Roman" w:hAnsi="Times New Roman" w:cs="Times New Roman"/>
          <w:highlight w:val="yellow"/>
        </w:rPr>
        <w:t xml:space="preserve"> (Jacq.) Marechal) accessions evaluated using various molecular markers. </w:t>
      </w:r>
      <w:r w:rsidRPr="00970741">
        <w:rPr>
          <w:rFonts w:ascii="Times New Roman" w:hAnsi="Times New Roman" w:cs="Times New Roman"/>
          <w:i/>
          <w:iCs/>
          <w:highlight w:val="yellow"/>
        </w:rPr>
        <w:t>Ecological Genetics and Genomics</w:t>
      </w:r>
      <w:r w:rsidRPr="00970741">
        <w:rPr>
          <w:rFonts w:ascii="Times New Roman" w:hAnsi="Times New Roman" w:cs="Times New Roman"/>
          <w:highlight w:val="yellow"/>
        </w:rPr>
        <w:t>, </w:t>
      </w:r>
      <w:r w:rsidRPr="00970741">
        <w:rPr>
          <w:rFonts w:ascii="Times New Roman" w:hAnsi="Times New Roman" w:cs="Times New Roman"/>
          <w:i/>
          <w:iCs/>
          <w:highlight w:val="yellow"/>
        </w:rPr>
        <w:t>33</w:t>
      </w:r>
      <w:r w:rsidRPr="00970741">
        <w:rPr>
          <w:rFonts w:ascii="Times New Roman" w:hAnsi="Times New Roman" w:cs="Times New Roman"/>
          <w:highlight w:val="yellow"/>
        </w:rPr>
        <w:t xml:space="preserve">, 100284. </w:t>
      </w:r>
      <w:hyperlink r:id="rId29" w:history="1">
        <w:r w:rsidRPr="00970741">
          <w:rPr>
            <w:rStyle w:val="Hyperlink"/>
            <w:rFonts w:ascii="Times New Roman" w:hAnsi="Times New Roman" w:cs="Times New Roman"/>
            <w:highlight w:val="yellow"/>
          </w:rPr>
          <w:t>https://doi.org/10.1016/j.egg.2024.100284</w:t>
        </w:r>
      </w:hyperlink>
    </w:p>
    <w:p w14:paraId="5BA175A6" w14:textId="77777777" w:rsidR="00970741" w:rsidRDefault="00970741" w:rsidP="00D87F05">
      <w:pPr>
        <w:jc w:val="both"/>
        <w:rPr>
          <w:rFonts w:ascii="Times New Roman" w:hAnsi="Times New Roman" w:cs="Times New Roman"/>
        </w:rPr>
      </w:pPr>
      <w:proofErr w:type="spellStart"/>
      <w:r w:rsidRPr="00D87F05">
        <w:rPr>
          <w:rFonts w:ascii="Times New Roman" w:hAnsi="Times New Roman" w:cs="Times New Roman"/>
        </w:rPr>
        <w:t>Krähmer</w:t>
      </w:r>
      <w:proofErr w:type="spellEnd"/>
      <w:r w:rsidRPr="00D87F05">
        <w:rPr>
          <w:rFonts w:ascii="Times New Roman" w:hAnsi="Times New Roman" w:cs="Times New Roman"/>
        </w:rPr>
        <w:t xml:space="preserve">, H., Walter, H., Jeschke, P., Haaf, K., Baur, P., &amp; Evans, R. (2021). What makes a molecule a pre‐or a post‐herbicide–how valuable are physicochemical parameters for their </w:t>
      </w:r>
      <w:proofErr w:type="gramStart"/>
      <w:r w:rsidRPr="00D87F05">
        <w:rPr>
          <w:rFonts w:ascii="Times New Roman" w:hAnsi="Times New Roman" w:cs="Times New Roman"/>
        </w:rPr>
        <w:t>design?.</w:t>
      </w:r>
      <w:proofErr w:type="gramEnd"/>
      <w:r w:rsidRPr="00D87F05">
        <w:rPr>
          <w:rFonts w:ascii="Times New Roman" w:hAnsi="Times New Roman" w:cs="Times New Roman"/>
        </w:rPr>
        <w:t> </w:t>
      </w:r>
      <w:r w:rsidRPr="00D87F05">
        <w:rPr>
          <w:rFonts w:ascii="Times New Roman" w:hAnsi="Times New Roman" w:cs="Times New Roman"/>
          <w:i/>
          <w:iCs/>
        </w:rPr>
        <w:t>Pest Management Science</w:t>
      </w:r>
      <w:r w:rsidRPr="00D87F05">
        <w:rPr>
          <w:rFonts w:ascii="Times New Roman" w:hAnsi="Times New Roman" w:cs="Times New Roman"/>
        </w:rPr>
        <w:t>, </w:t>
      </w:r>
      <w:r w:rsidRPr="00D87F05">
        <w:rPr>
          <w:rFonts w:ascii="Times New Roman" w:hAnsi="Times New Roman" w:cs="Times New Roman"/>
          <w:i/>
          <w:iCs/>
        </w:rPr>
        <w:t>77</w:t>
      </w:r>
      <w:r w:rsidRPr="00D87F05">
        <w:rPr>
          <w:rFonts w:ascii="Times New Roman" w:hAnsi="Times New Roman" w:cs="Times New Roman"/>
        </w:rPr>
        <w:t xml:space="preserve">(11), 4863-4873. </w:t>
      </w:r>
      <w:hyperlink r:id="rId30" w:history="1">
        <w:r w:rsidRPr="009E1C9E">
          <w:rPr>
            <w:rStyle w:val="Hyperlink"/>
            <w:rFonts w:ascii="Times New Roman" w:hAnsi="Times New Roman" w:cs="Times New Roman"/>
          </w:rPr>
          <w:t>https://doi.org/10.1002/ps.6535</w:t>
        </w:r>
      </w:hyperlink>
    </w:p>
    <w:p w14:paraId="5C2B49E7" w14:textId="77777777" w:rsidR="00970741" w:rsidRDefault="00970741" w:rsidP="00D87F05">
      <w:pPr>
        <w:jc w:val="both"/>
        <w:rPr>
          <w:rFonts w:ascii="Times New Roman" w:hAnsi="Times New Roman" w:cs="Times New Roman"/>
        </w:rPr>
      </w:pPr>
      <w:r w:rsidRPr="00D87F05">
        <w:rPr>
          <w:rFonts w:ascii="Times New Roman" w:hAnsi="Times New Roman" w:cs="Times New Roman"/>
        </w:rPr>
        <w:lastRenderedPageBreak/>
        <w:t xml:space="preserve">Kumar, A., Kumari, R., Singh, S., &amp; Kumar, P. (2025). Weed Management in Summer Sown </w:t>
      </w:r>
      <w:proofErr w:type="spellStart"/>
      <w:r w:rsidRPr="00D87F05">
        <w:rPr>
          <w:rFonts w:ascii="Times New Roman" w:hAnsi="Times New Roman" w:cs="Times New Roman"/>
        </w:rPr>
        <w:t>Blackgram</w:t>
      </w:r>
      <w:proofErr w:type="spellEnd"/>
      <w:r w:rsidRPr="00D87F05">
        <w:rPr>
          <w:rFonts w:ascii="Times New Roman" w:hAnsi="Times New Roman" w:cs="Times New Roman"/>
        </w:rPr>
        <w:t xml:space="preserve"> (</w:t>
      </w:r>
      <w:r w:rsidRPr="00D87F05">
        <w:rPr>
          <w:rFonts w:ascii="Times New Roman" w:hAnsi="Times New Roman" w:cs="Times New Roman"/>
          <w:i/>
          <w:iCs/>
        </w:rPr>
        <w:t>Vigna mungo</w:t>
      </w:r>
      <w:r w:rsidRPr="00D87F05">
        <w:rPr>
          <w:rFonts w:ascii="Times New Roman" w:hAnsi="Times New Roman" w:cs="Times New Roman"/>
        </w:rPr>
        <w:t xml:space="preserve"> L.) through Sequential Application of Pre and Post-emergence Herbicides: A Review. </w:t>
      </w:r>
      <w:r w:rsidRPr="00D87F05">
        <w:rPr>
          <w:rFonts w:ascii="Times New Roman" w:hAnsi="Times New Roman" w:cs="Times New Roman"/>
          <w:i/>
          <w:iCs/>
        </w:rPr>
        <w:t>Legume Research: An International Journal</w:t>
      </w:r>
      <w:r w:rsidRPr="00D87F05">
        <w:rPr>
          <w:rFonts w:ascii="Times New Roman" w:hAnsi="Times New Roman" w:cs="Times New Roman"/>
        </w:rPr>
        <w:t>, </w:t>
      </w:r>
      <w:r w:rsidRPr="00D87F05">
        <w:rPr>
          <w:rFonts w:ascii="Times New Roman" w:hAnsi="Times New Roman" w:cs="Times New Roman"/>
          <w:i/>
          <w:iCs/>
        </w:rPr>
        <w:t>48</w:t>
      </w:r>
      <w:r w:rsidRPr="00D87F05">
        <w:rPr>
          <w:rFonts w:ascii="Times New Roman" w:hAnsi="Times New Roman" w:cs="Times New Roman"/>
        </w:rPr>
        <w:t xml:space="preserve">(5). </w:t>
      </w:r>
      <w:hyperlink r:id="rId31" w:history="1">
        <w:r w:rsidRPr="009E1C9E">
          <w:rPr>
            <w:rStyle w:val="Hyperlink"/>
            <w:rFonts w:ascii="Times New Roman" w:hAnsi="Times New Roman" w:cs="Times New Roman"/>
          </w:rPr>
          <w:t>https://doi.org/10.18805/LR-5438</w:t>
        </w:r>
      </w:hyperlink>
    </w:p>
    <w:p w14:paraId="03BF12A4" w14:textId="77777777" w:rsidR="00970741" w:rsidRDefault="00970741" w:rsidP="00D87F05">
      <w:pPr>
        <w:spacing w:line="360" w:lineRule="auto"/>
        <w:jc w:val="both"/>
        <w:rPr>
          <w:rFonts w:ascii="Times New Roman" w:hAnsi="Times New Roman" w:cs="Times New Roman"/>
        </w:rPr>
      </w:pPr>
      <w:r w:rsidRPr="00D87F05">
        <w:rPr>
          <w:rFonts w:ascii="Times New Roman" w:hAnsi="Times New Roman" w:cs="Times New Roman"/>
        </w:rPr>
        <w:t>Kumar, R., Kumari, V. V., Gujjar, R. S., Kumari, M., Goswami, S. K., Datta, J., ... &amp; Hossain, A. (2024). Evaluating the imazethapyr herbicide mediated regulation of phenol and glutathione metabolism and antioxidant activity in lentil seedlings. </w:t>
      </w:r>
      <w:proofErr w:type="spellStart"/>
      <w:r w:rsidRPr="00D87F05">
        <w:rPr>
          <w:rFonts w:ascii="Times New Roman" w:hAnsi="Times New Roman" w:cs="Times New Roman"/>
          <w:i/>
          <w:iCs/>
        </w:rPr>
        <w:t>PeerJ</w:t>
      </w:r>
      <w:proofErr w:type="spellEnd"/>
      <w:r w:rsidRPr="00D87F05">
        <w:rPr>
          <w:rFonts w:ascii="Times New Roman" w:hAnsi="Times New Roman" w:cs="Times New Roman"/>
        </w:rPr>
        <w:t>, </w:t>
      </w:r>
      <w:r w:rsidRPr="00D87F05">
        <w:rPr>
          <w:rFonts w:ascii="Times New Roman" w:hAnsi="Times New Roman" w:cs="Times New Roman"/>
          <w:i/>
          <w:iCs/>
        </w:rPr>
        <w:t>12</w:t>
      </w:r>
      <w:r w:rsidRPr="00D87F05">
        <w:rPr>
          <w:rFonts w:ascii="Times New Roman" w:hAnsi="Times New Roman" w:cs="Times New Roman"/>
        </w:rPr>
        <w:t xml:space="preserve">, e16370.  </w:t>
      </w:r>
      <w:hyperlink r:id="rId32" w:history="1">
        <w:r w:rsidRPr="009E1C9E">
          <w:rPr>
            <w:rStyle w:val="Hyperlink"/>
            <w:rFonts w:ascii="Times New Roman" w:hAnsi="Times New Roman" w:cs="Times New Roman"/>
          </w:rPr>
          <w:t>https://doi.org/10.7717/peerj.16370</w:t>
        </w:r>
      </w:hyperlink>
    </w:p>
    <w:p w14:paraId="543ACA62"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Lacroix, C. (2024). </w:t>
      </w:r>
      <w:r w:rsidRPr="00D87F05">
        <w:rPr>
          <w:rFonts w:ascii="Times New Roman" w:hAnsi="Times New Roman" w:cs="Times New Roman"/>
          <w:i/>
          <w:iCs/>
        </w:rPr>
        <w:t>Effects of Different Agronomic Strategies on the Short-and Long-Term Management of Weed Flora in Arable Crops</w:t>
      </w:r>
      <w:r w:rsidRPr="00D87F05">
        <w:rPr>
          <w:rFonts w:ascii="Times New Roman" w:hAnsi="Times New Roman" w:cs="Times New Roman"/>
        </w:rPr>
        <w:t> (Doctoral dissertation, Universite de Liege (Belgium)).</w:t>
      </w:r>
      <w:r w:rsidRPr="00157859">
        <w:t xml:space="preserve"> </w:t>
      </w:r>
      <w:r w:rsidRPr="00D87F05">
        <w:rPr>
          <w:rFonts w:ascii="Times New Roman" w:hAnsi="Times New Roman" w:cs="Times New Roman"/>
        </w:rPr>
        <w:t>https://hdl.handle.net/2268/320069</w:t>
      </w:r>
    </w:p>
    <w:p w14:paraId="6E730344"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Lowry, O. H., Rosebrough, N. J., Farr, A. L., &amp; Randall, R. J. (1951). Protein measurement with the Folin phenol reagent. Journal of Biological Chemistry, 193(1), 265-275. </w:t>
      </w:r>
      <w:hyperlink r:id="rId33" w:history="1">
        <w:r w:rsidRPr="00D87F05">
          <w:rPr>
            <w:rStyle w:val="Hyperlink"/>
            <w:rFonts w:ascii="Times New Roman" w:hAnsi="Times New Roman" w:cs="Times New Roman"/>
          </w:rPr>
          <w:t>https://doi.org/10.1016/S0021-9258(19)52451-6</w:t>
        </w:r>
      </w:hyperlink>
      <w:r w:rsidRPr="00D87F05">
        <w:rPr>
          <w:rFonts w:ascii="Times New Roman" w:hAnsi="Times New Roman" w:cs="Times New Roman"/>
        </w:rPr>
        <w:t xml:space="preserve"> </w:t>
      </w:r>
    </w:p>
    <w:p w14:paraId="4D513699" w14:textId="77777777" w:rsidR="00970741" w:rsidRDefault="00970741" w:rsidP="00D87F05">
      <w:pPr>
        <w:jc w:val="both"/>
        <w:rPr>
          <w:rFonts w:ascii="Times New Roman" w:hAnsi="Times New Roman" w:cs="Times New Roman"/>
        </w:rPr>
      </w:pPr>
      <w:r w:rsidRPr="00D87F05">
        <w:rPr>
          <w:rFonts w:ascii="Times New Roman" w:hAnsi="Times New Roman" w:cs="Times New Roman"/>
        </w:rPr>
        <w:t>Meena, M. K., Malik, A., Singh, R., Singh, A. P., Naik, S., Meena, R. K., ... &amp; Kumar, V. (2023). Morphological and biochemical changes in moth bean during drought stress. </w:t>
      </w:r>
      <w:r w:rsidRPr="00D87F05">
        <w:rPr>
          <w:rFonts w:ascii="Times New Roman" w:hAnsi="Times New Roman" w:cs="Times New Roman"/>
          <w:i/>
          <w:iCs/>
        </w:rPr>
        <w:t>International Journal of Environment and Climate Change</w:t>
      </w:r>
      <w:r w:rsidRPr="00D87F05">
        <w:rPr>
          <w:rFonts w:ascii="Times New Roman" w:hAnsi="Times New Roman" w:cs="Times New Roman"/>
        </w:rPr>
        <w:t>, </w:t>
      </w:r>
      <w:r w:rsidRPr="00D87F05">
        <w:rPr>
          <w:rFonts w:ascii="Times New Roman" w:hAnsi="Times New Roman" w:cs="Times New Roman"/>
          <w:i/>
          <w:iCs/>
        </w:rPr>
        <w:t>13</w:t>
      </w:r>
      <w:r w:rsidRPr="00D87F05">
        <w:rPr>
          <w:rFonts w:ascii="Times New Roman" w:hAnsi="Times New Roman" w:cs="Times New Roman"/>
        </w:rPr>
        <w:t xml:space="preserve">(11), 187-201. </w:t>
      </w:r>
      <w:hyperlink r:id="rId34" w:history="1">
        <w:r w:rsidRPr="009E1C9E">
          <w:rPr>
            <w:rStyle w:val="Hyperlink"/>
            <w:rFonts w:ascii="Times New Roman" w:hAnsi="Times New Roman" w:cs="Times New Roman"/>
          </w:rPr>
          <w:t>https://doi.org/10.9734/ijecc/2023/v13i113158</w:t>
        </w:r>
      </w:hyperlink>
    </w:p>
    <w:p w14:paraId="3FA85ED4" w14:textId="77777777" w:rsidR="00970741" w:rsidRDefault="00970741" w:rsidP="00D87F05">
      <w:pPr>
        <w:jc w:val="both"/>
        <w:rPr>
          <w:rFonts w:ascii="Times New Roman" w:hAnsi="Times New Roman" w:cs="Times New Roman"/>
        </w:rPr>
      </w:pPr>
      <w:r w:rsidRPr="00D87F05">
        <w:rPr>
          <w:rFonts w:ascii="Times New Roman" w:hAnsi="Times New Roman" w:cs="Times New Roman"/>
        </w:rPr>
        <w:t>Naveed, M., Asad, M. A., Tariq, M. S., &amp; Aslam, M. (2024). Induced mutation: a new paradigm in pulse weed control strategies. In </w:t>
      </w:r>
      <w:r w:rsidRPr="00D87F05">
        <w:rPr>
          <w:rFonts w:ascii="Times New Roman" w:hAnsi="Times New Roman" w:cs="Times New Roman"/>
          <w:i/>
          <w:iCs/>
        </w:rPr>
        <w:t>Weed Management-Global Strategies</w:t>
      </w:r>
      <w:r w:rsidRPr="00D87F05">
        <w:rPr>
          <w:rFonts w:ascii="Times New Roman" w:hAnsi="Times New Roman" w:cs="Times New Roman"/>
        </w:rPr>
        <w:t xml:space="preserve">. </w:t>
      </w:r>
      <w:proofErr w:type="spellStart"/>
      <w:r w:rsidRPr="00D87F05">
        <w:rPr>
          <w:rFonts w:ascii="Times New Roman" w:hAnsi="Times New Roman" w:cs="Times New Roman"/>
        </w:rPr>
        <w:t>IntechOpen</w:t>
      </w:r>
      <w:proofErr w:type="spellEnd"/>
      <w:r w:rsidRPr="00D87F05">
        <w:rPr>
          <w:rFonts w:ascii="Times New Roman" w:hAnsi="Times New Roman" w:cs="Times New Roman"/>
        </w:rPr>
        <w:t xml:space="preserve">. </w:t>
      </w:r>
      <w:hyperlink r:id="rId35" w:history="1">
        <w:r w:rsidRPr="009E1C9E">
          <w:rPr>
            <w:rStyle w:val="Hyperlink"/>
            <w:rFonts w:ascii="Times New Roman" w:hAnsi="Times New Roman" w:cs="Times New Roman"/>
          </w:rPr>
          <w:t>https://doi.org/10.5772/intechopen.1005246</w:t>
        </w:r>
      </w:hyperlink>
    </w:p>
    <w:p w14:paraId="394ABD4A" w14:textId="77777777" w:rsidR="00970741" w:rsidRDefault="00970741" w:rsidP="00D87F05">
      <w:pPr>
        <w:spacing w:line="360" w:lineRule="auto"/>
        <w:jc w:val="both"/>
        <w:rPr>
          <w:rFonts w:ascii="Times New Roman" w:hAnsi="Times New Roman" w:cs="Times New Roman"/>
        </w:rPr>
      </w:pPr>
      <w:r w:rsidRPr="00D87F05">
        <w:rPr>
          <w:rFonts w:ascii="Times New Roman" w:hAnsi="Times New Roman" w:cs="Times New Roman"/>
        </w:rPr>
        <w:t xml:space="preserve">Ould said, C., Boulahia, K., Eid, M. A., Rady, M. M., Djebbar, R., &amp; </w:t>
      </w:r>
      <w:proofErr w:type="spellStart"/>
      <w:r w:rsidRPr="00D87F05">
        <w:rPr>
          <w:rFonts w:ascii="Times New Roman" w:hAnsi="Times New Roman" w:cs="Times New Roman"/>
        </w:rPr>
        <w:t>Abrous</w:t>
      </w:r>
      <w:proofErr w:type="spellEnd"/>
      <w:r w:rsidRPr="00D87F05">
        <w:rPr>
          <w:rFonts w:ascii="Times New Roman" w:hAnsi="Times New Roman" w:cs="Times New Roman"/>
        </w:rPr>
        <w:t xml:space="preserve">-Belbachir, O. (2021). Exogenously used proline offers potent antioxidative and </w:t>
      </w:r>
      <w:proofErr w:type="spellStart"/>
      <w:r w:rsidRPr="00D87F05">
        <w:rPr>
          <w:rFonts w:ascii="Times New Roman" w:hAnsi="Times New Roman" w:cs="Times New Roman"/>
        </w:rPr>
        <w:t>osmoprotective</w:t>
      </w:r>
      <w:proofErr w:type="spellEnd"/>
      <w:r w:rsidRPr="00D87F05">
        <w:rPr>
          <w:rFonts w:ascii="Times New Roman" w:hAnsi="Times New Roman" w:cs="Times New Roman"/>
        </w:rPr>
        <w:t xml:space="preserve"> strategies to re-balance growth and physio-biochemical attributes in herbicide-stressed </w:t>
      </w:r>
      <w:r w:rsidRPr="00C126BE">
        <w:rPr>
          <w:rFonts w:ascii="Times New Roman" w:hAnsi="Times New Roman" w:cs="Times New Roman"/>
          <w:i/>
          <w:iCs/>
        </w:rPr>
        <w:t xml:space="preserve">Trigonella </w:t>
      </w:r>
      <w:proofErr w:type="spellStart"/>
      <w:r w:rsidRPr="00C126BE">
        <w:rPr>
          <w:rFonts w:ascii="Times New Roman" w:hAnsi="Times New Roman" w:cs="Times New Roman"/>
          <w:i/>
          <w:iCs/>
        </w:rPr>
        <w:t>foenum</w:t>
      </w:r>
      <w:proofErr w:type="spellEnd"/>
      <w:r w:rsidRPr="00D87F05">
        <w:rPr>
          <w:rFonts w:ascii="Times New Roman" w:hAnsi="Times New Roman" w:cs="Times New Roman"/>
        </w:rPr>
        <w:t>-</w:t>
      </w:r>
      <w:r w:rsidRPr="00C126BE">
        <w:rPr>
          <w:rFonts w:ascii="Times New Roman" w:hAnsi="Times New Roman" w:cs="Times New Roman"/>
          <w:i/>
          <w:iCs/>
        </w:rPr>
        <w:t>graecum</w:t>
      </w:r>
      <w:r w:rsidRPr="00D87F05">
        <w:rPr>
          <w:rFonts w:ascii="Times New Roman" w:hAnsi="Times New Roman" w:cs="Times New Roman"/>
        </w:rPr>
        <w:t>. </w:t>
      </w:r>
      <w:r w:rsidRPr="00D87F05">
        <w:rPr>
          <w:rFonts w:ascii="Times New Roman" w:hAnsi="Times New Roman" w:cs="Times New Roman"/>
          <w:i/>
          <w:iCs/>
        </w:rPr>
        <w:t>Journal of Soil Science and Plant Nutrition</w:t>
      </w:r>
      <w:r w:rsidRPr="00D87F05">
        <w:rPr>
          <w:rFonts w:ascii="Times New Roman" w:hAnsi="Times New Roman" w:cs="Times New Roman"/>
        </w:rPr>
        <w:t>, </w:t>
      </w:r>
      <w:r w:rsidRPr="00D87F05">
        <w:rPr>
          <w:rFonts w:ascii="Times New Roman" w:hAnsi="Times New Roman" w:cs="Times New Roman"/>
          <w:i/>
          <w:iCs/>
        </w:rPr>
        <w:t>21</w:t>
      </w:r>
      <w:r w:rsidRPr="00D87F05">
        <w:rPr>
          <w:rFonts w:ascii="Times New Roman" w:hAnsi="Times New Roman" w:cs="Times New Roman"/>
        </w:rPr>
        <w:t xml:space="preserve">(4), 3254-3268. </w:t>
      </w:r>
      <w:hyperlink r:id="rId36" w:history="1">
        <w:r w:rsidRPr="009E1C9E">
          <w:rPr>
            <w:rStyle w:val="Hyperlink"/>
            <w:rFonts w:ascii="Times New Roman" w:hAnsi="Times New Roman" w:cs="Times New Roman"/>
          </w:rPr>
          <w:t>https://doi.org/10.1007/s42729-021-00604-y</w:t>
        </w:r>
      </w:hyperlink>
    </w:p>
    <w:p w14:paraId="034C844C" w14:textId="77777777" w:rsidR="00970741" w:rsidRPr="00C126BE" w:rsidRDefault="00970741" w:rsidP="00C126BE">
      <w:pPr>
        <w:jc w:val="both"/>
        <w:rPr>
          <w:rFonts w:ascii="Times New Roman" w:hAnsi="Times New Roman" w:cs="Times New Roman"/>
          <w:highlight w:val="yellow"/>
        </w:rPr>
      </w:pPr>
      <w:r w:rsidRPr="00C126BE">
        <w:rPr>
          <w:rFonts w:ascii="Times New Roman" w:hAnsi="Times New Roman" w:cs="Times New Roman"/>
          <w:highlight w:val="yellow"/>
        </w:rPr>
        <w:t xml:space="preserve">Salunkhe, S. R., Ramasamy, S. P., Sathishraj, R., Rathnasamy, S. A., </w:t>
      </w:r>
      <w:proofErr w:type="spellStart"/>
      <w:r w:rsidRPr="00C126BE">
        <w:rPr>
          <w:rFonts w:ascii="Times New Roman" w:hAnsi="Times New Roman" w:cs="Times New Roman"/>
          <w:highlight w:val="yellow"/>
        </w:rPr>
        <w:t>Mohanavel</w:t>
      </w:r>
      <w:proofErr w:type="spellEnd"/>
      <w:r w:rsidRPr="00C126BE">
        <w:rPr>
          <w:rFonts w:ascii="Times New Roman" w:hAnsi="Times New Roman" w:cs="Times New Roman"/>
          <w:highlight w:val="yellow"/>
        </w:rPr>
        <w:t xml:space="preserve">, W., Rajagopalan, V. R., &amp; </w:t>
      </w:r>
      <w:proofErr w:type="spellStart"/>
      <w:r w:rsidRPr="00C126BE">
        <w:rPr>
          <w:rFonts w:ascii="Times New Roman" w:hAnsi="Times New Roman" w:cs="Times New Roman"/>
          <w:highlight w:val="yellow"/>
        </w:rPr>
        <w:t>Muthurajan</w:t>
      </w:r>
      <w:proofErr w:type="spellEnd"/>
      <w:r w:rsidRPr="00C126BE">
        <w:rPr>
          <w:rFonts w:ascii="Times New Roman" w:hAnsi="Times New Roman" w:cs="Times New Roman"/>
          <w:highlight w:val="yellow"/>
        </w:rPr>
        <w:t>, R. (2025). Developing a rapid, non-destructive enzymatic assay method for evaluating herbicide (Imazethapyr) tolerance in rice. </w:t>
      </w:r>
      <w:r w:rsidRPr="00C126BE">
        <w:rPr>
          <w:rFonts w:ascii="Times New Roman" w:hAnsi="Times New Roman" w:cs="Times New Roman"/>
          <w:i/>
          <w:iCs/>
          <w:highlight w:val="yellow"/>
        </w:rPr>
        <w:t>Plant Physiology Reports</w:t>
      </w:r>
      <w:r w:rsidRPr="00C126BE">
        <w:rPr>
          <w:rFonts w:ascii="Times New Roman" w:hAnsi="Times New Roman" w:cs="Times New Roman"/>
          <w:highlight w:val="yellow"/>
        </w:rPr>
        <w:t xml:space="preserve">, 1-7. </w:t>
      </w:r>
      <w:hyperlink r:id="rId37" w:history="1">
        <w:r w:rsidRPr="00C126BE">
          <w:rPr>
            <w:rStyle w:val="Hyperlink"/>
            <w:rFonts w:ascii="Times New Roman" w:hAnsi="Times New Roman" w:cs="Times New Roman"/>
            <w:highlight w:val="yellow"/>
          </w:rPr>
          <w:t>https://doi.org/10.1007/s40502-025-00867-y</w:t>
        </w:r>
      </w:hyperlink>
    </w:p>
    <w:p w14:paraId="297C04DE"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Saxena, A., Kumar, S., &amp; Raghuvanshi, M. S. (2022). Moth bean (Vigna </w:t>
      </w:r>
      <w:proofErr w:type="spellStart"/>
      <w:r w:rsidRPr="00D87F05">
        <w:rPr>
          <w:rFonts w:ascii="Times New Roman" w:hAnsi="Times New Roman" w:cs="Times New Roman"/>
        </w:rPr>
        <w:t>aconitifolia</w:t>
      </w:r>
      <w:proofErr w:type="spellEnd"/>
      <w:r w:rsidRPr="00D87F05">
        <w:rPr>
          <w:rFonts w:ascii="Times New Roman" w:hAnsi="Times New Roman" w:cs="Times New Roman"/>
        </w:rPr>
        <w:t xml:space="preserve"> (Jacq.) Marechal). In Neglected and Underutilized Crops (pp. 515-537). Academic Press. </w:t>
      </w:r>
      <w:hyperlink r:id="rId38" w:history="1">
        <w:r w:rsidRPr="00D87F05">
          <w:rPr>
            <w:rStyle w:val="Hyperlink"/>
            <w:rFonts w:ascii="Times New Roman" w:hAnsi="Times New Roman" w:cs="Times New Roman"/>
          </w:rPr>
          <w:t>https://doi.org/10.1016/B978-0-323-90537-4.00023-5</w:t>
        </w:r>
      </w:hyperlink>
      <w:r w:rsidRPr="00D87F05">
        <w:rPr>
          <w:rFonts w:ascii="Times New Roman" w:hAnsi="Times New Roman" w:cs="Times New Roman"/>
        </w:rPr>
        <w:t xml:space="preserve"> </w:t>
      </w:r>
    </w:p>
    <w:p w14:paraId="15D38767" w14:textId="77777777" w:rsidR="00970741" w:rsidRPr="00C126BE" w:rsidRDefault="00970741" w:rsidP="00C126BE">
      <w:pPr>
        <w:jc w:val="both"/>
        <w:rPr>
          <w:rFonts w:ascii="Times New Roman" w:hAnsi="Times New Roman" w:cs="Times New Roman"/>
          <w:highlight w:val="yellow"/>
        </w:rPr>
      </w:pPr>
      <w:r w:rsidRPr="00C126BE">
        <w:rPr>
          <w:rFonts w:ascii="Times New Roman" w:hAnsi="Times New Roman" w:cs="Times New Roman"/>
          <w:highlight w:val="yellow"/>
        </w:rPr>
        <w:lastRenderedPageBreak/>
        <w:t xml:space="preserve">Shivani, Grewal, S. K., Gill, R. K., Kaur Virk, H., &amp; Bhardwaj, R. D. (2022). Impact of post-emergent imazethapyr on morpho-physiological and biochemical responses in lentil (Lens culinaris </w:t>
      </w:r>
      <w:proofErr w:type="spellStart"/>
      <w:r w:rsidRPr="00C126BE">
        <w:rPr>
          <w:rFonts w:ascii="Times New Roman" w:hAnsi="Times New Roman" w:cs="Times New Roman"/>
          <w:highlight w:val="yellow"/>
        </w:rPr>
        <w:t>Medik</w:t>
      </w:r>
      <w:proofErr w:type="spellEnd"/>
      <w:r w:rsidRPr="00C126BE">
        <w:rPr>
          <w:rFonts w:ascii="Times New Roman" w:hAnsi="Times New Roman" w:cs="Times New Roman"/>
          <w:highlight w:val="yellow"/>
        </w:rPr>
        <w:t>.). </w:t>
      </w:r>
      <w:r w:rsidRPr="00C126BE">
        <w:rPr>
          <w:rFonts w:ascii="Times New Roman" w:hAnsi="Times New Roman" w:cs="Times New Roman"/>
          <w:i/>
          <w:iCs/>
          <w:highlight w:val="yellow"/>
        </w:rPr>
        <w:t>Physiology and Molecular Biology of Plants</w:t>
      </w:r>
      <w:r w:rsidRPr="00C126BE">
        <w:rPr>
          <w:rFonts w:ascii="Times New Roman" w:hAnsi="Times New Roman" w:cs="Times New Roman"/>
          <w:highlight w:val="yellow"/>
        </w:rPr>
        <w:t>, </w:t>
      </w:r>
      <w:r w:rsidRPr="00C126BE">
        <w:rPr>
          <w:rFonts w:ascii="Times New Roman" w:hAnsi="Times New Roman" w:cs="Times New Roman"/>
          <w:i/>
          <w:iCs/>
          <w:highlight w:val="yellow"/>
        </w:rPr>
        <w:t>28</w:t>
      </w:r>
      <w:r w:rsidRPr="00C126BE">
        <w:rPr>
          <w:rFonts w:ascii="Times New Roman" w:hAnsi="Times New Roman" w:cs="Times New Roman"/>
          <w:highlight w:val="yellow"/>
        </w:rPr>
        <w:t xml:space="preserve">(9), 1681-1693. </w:t>
      </w:r>
      <w:hyperlink r:id="rId39" w:history="1">
        <w:r w:rsidRPr="00C126BE">
          <w:rPr>
            <w:rStyle w:val="Hyperlink"/>
            <w:rFonts w:ascii="Times New Roman" w:hAnsi="Times New Roman" w:cs="Times New Roman"/>
            <w:highlight w:val="yellow"/>
          </w:rPr>
          <w:t>https://doi.org/10.1007/s12298-022-01244-x</w:t>
        </w:r>
      </w:hyperlink>
    </w:p>
    <w:p w14:paraId="6EFE4139" w14:textId="77777777" w:rsidR="00970741" w:rsidRPr="00C126BE" w:rsidRDefault="00970741" w:rsidP="00C126BE">
      <w:pPr>
        <w:jc w:val="both"/>
        <w:rPr>
          <w:rFonts w:ascii="Times New Roman" w:hAnsi="Times New Roman" w:cs="Times New Roman"/>
          <w:highlight w:val="yellow"/>
        </w:rPr>
      </w:pPr>
      <w:r w:rsidRPr="00C126BE">
        <w:rPr>
          <w:rFonts w:ascii="Times New Roman" w:hAnsi="Times New Roman" w:cs="Times New Roman"/>
          <w:highlight w:val="yellow"/>
        </w:rPr>
        <w:t xml:space="preserve">Singh, R., &amp; Singh, G. (2021). Influence of herbicides on symbiotic parameters, growth, yield and nutrient uptake in </w:t>
      </w:r>
      <w:proofErr w:type="spellStart"/>
      <w:r w:rsidRPr="00C126BE">
        <w:rPr>
          <w:rFonts w:ascii="Times New Roman" w:hAnsi="Times New Roman" w:cs="Times New Roman"/>
          <w:highlight w:val="yellow"/>
        </w:rPr>
        <w:t>mungbean</w:t>
      </w:r>
      <w:proofErr w:type="spellEnd"/>
      <w:r w:rsidRPr="00C126BE">
        <w:rPr>
          <w:rFonts w:ascii="Times New Roman" w:hAnsi="Times New Roman" w:cs="Times New Roman"/>
          <w:highlight w:val="yellow"/>
        </w:rPr>
        <w:t xml:space="preserve"> [</w:t>
      </w:r>
      <w:r w:rsidRPr="00C126BE">
        <w:rPr>
          <w:rFonts w:ascii="Times New Roman" w:hAnsi="Times New Roman" w:cs="Times New Roman"/>
          <w:i/>
          <w:iCs/>
          <w:highlight w:val="yellow"/>
        </w:rPr>
        <w:t>Vigna radiata</w:t>
      </w:r>
      <w:r w:rsidRPr="00C126BE">
        <w:rPr>
          <w:rFonts w:ascii="Times New Roman" w:hAnsi="Times New Roman" w:cs="Times New Roman"/>
          <w:highlight w:val="yellow"/>
        </w:rPr>
        <w:t xml:space="preserve"> (L.) Wilczek]. </w:t>
      </w:r>
      <w:r w:rsidRPr="00C126BE">
        <w:rPr>
          <w:rFonts w:ascii="Times New Roman" w:hAnsi="Times New Roman" w:cs="Times New Roman"/>
          <w:i/>
          <w:iCs/>
          <w:highlight w:val="yellow"/>
        </w:rPr>
        <w:t>Archives of Agronomy and Soil Science</w:t>
      </w:r>
      <w:r w:rsidRPr="00C126BE">
        <w:rPr>
          <w:rFonts w:ascii="Times New Roman" w:hAnsi="Times New Roman" w:cs="Times New Roman"/>
          <w:highlight w:val="yellow"/>
        </w:rPr>
        <w:t>, </w:t>
      </w:r>
      <w:r w:rsidRPr="00C126BE">
        <w:rPr>
          <w:rFonts w:ascii="Times New Roman" w:hAnsi="Times New Roman" w:cs="Times New Roman"/>
          <w:i/>
          <w:iCs/>
          <w:highlight w:val="yellow"/>
        </w:rPr>
        <w:t>67</w:t>
      </w:r>
      <w:r w:rsidRPr="00C126BE">
        <w:rPr>
          <w:rFonts w:ascii="Times New Roman" w:hAnsi="Times New Roman" w:cs="Times New Roman"/>
          <w:highlight w:val="yellow"/>
        </w:rPr>
        <w:t xml:space="preserve">(3), 410-425. </w:t>
      </w:r>
      <w:hyperlink r:id="rId40" w:history="1">
        <w:r w:rsidRPr="00C126BE">
          <w:rPr>
            <w:rStyle w:val="Hyperlink"/>
            <w:rFonts w:ascii="Times New Roman" w:hAnsi="Times New Roman" w:cs="Times New Roman"/>
            <w:highlight w:val="yellow"/>
          </w:rPr>
          <w:t>https://doi.org/10.1080/03650340.2020.1734574</w:t>
        </w:r>
      </w:hyperlink>
    </w:p>
    <w:p w14:paraId="2B191A80" w14:textId="77777777" w:rsidR="00970741" w:rsidRPr="00C126BE" w:rsidRDefault="00970741" w:rsidP="00C126BE">
      <w:pPr>
        <w:jc w:val="both"/>
        <w:rPr>
          <w:rFonts w:ascii="Times New Roman" w:hAnsi="Times New Roman" w:cs="Times New Roman"/>
          <w:highlight w:val="yellow"/>
        </w:rPr>
      </w:pPr>
      <w:r w:rsidRPr="00C126BE">
        <w:rPr>
          <w:rFonts w:ascii="Times New Roman" w:hAnsi="Times New Roman" w:cs="Times New Roman"/>
          <w:highlight w:val="yellow"/>
        </w:rPr>
        <w:t>Song, N. H., Le Yin, X., Chen, G. F., &amp; Yang, H. (2007). Biological responses of wheat (</w:t>
      </w:r>
      <w:r w:rsidRPr="00C126BE">
        <w:rPr>
          <w:rFonts w:ascii="Times New Roman" w:hAnsi="Times New Roman" w:cs="Times New Roman"/>
          <w:i/>
          <w:iCs/>
          <w:highlight w:val="yellow"/>
        </w:rPr>
        <w:t>Triticum aestivum</w:t>
      </w:r>
      <w:r w:rsidRPr="00C126BE">
        <w:rPr>
          <w:rFonts w:ascii="Times New Roman" w:hAnsi="Times New Roman" w:cs="Times New Roman"/>
          <w:highlight w:val="yellow"/>
        </w:rPr>
        <w:t xml:space="preserve">) plants to the herbicide </w:t>
      </w:r>
      <w:proofErr w:type="spellStart"/>
      <w:r w:rsidRPr="00C126BE">
        <w:rPr>
          <w:rFonts w:ascii="Times New Roman" w:hAnsi="Times New Roman" w:cs="Times New Roman"/>
          <w:highlight w:val="yellow"/>
        </w:rPr>
        <w:t>chlorotoluron</w:t>
      </w:r>
      <w:proofErr w:type="spellEnd"/>
      <w:r w:rsidRPr="00C126BE">
        <w:rPr>
          <w:rFonts w:ascii="Times New Roman" w:hAnsi="Times New Roman" w:cs="Times New Roman"/>
          <w:highlight w:val="yellow"/>
        </w:rPr>
        <w:t xml:space="preserve"> in soils. </w:t>
      </w:r>
      <w:r w:rsidRPr="00C126BE">
        <w:rPr>
          <w:rFonts w:ascii="Times New Roman" w:hAnsi="Times New Roman" w:cs="Times New Roman"/>
          <w:i/>
          <w:iCs/>
          <w:highlight w:val="yellow"/>
        </w:rPr>
        <w:t>Chemosphere</w:t>
      </w:r>
      <w:r w:rsidRPr="00C126BE">
        <w:rPr>
          <w:rFonts w:ascii="Times New Roman" w:hAnsi="Times New Roman" w:cs="Times New Roman"/>
          <w:highlight w:val="yellow"/>
        </w:rPr>
        <w:t>, </w:t>
      </w:r>
      <w:r w:rsidRPr="00C126BE">
        <w:rPr>
          <w:rFonts w:ascii="Times New Roman" w:hAnsi="Times New Roman" w:cs="Times New Roman"/>
          <w:i/>
          <w:iCs/>
          <w:highlight w:val="yellow"/>
        </w:rPr>
        <w:t>68</w:t>
      </w:r>
      <w:r w:rsidRPr="00C126BE">
        <w:rPr>
          <w:rFonts w:ascii="Times New Roman" w:hAnsi="Times New Roman" w:cs="Times New Roman"/>
          <w:highlight w:val="yellow"/>
        </w:rPr>
        <w:t xml:space="preserve">(9), 1779-1787. </w:t>
      </w:r>
      <w:hyperlink r:id="rId41" w:history="1">
        <w:r w:rsidRPr="00C126BE">
          <w:rPr>
            <w:rStyle w:val="Hyperlink"/>
            <w:rFonts w:ascii="Times New Roman" w:hAnsi="Times New Roman" w:cs="Times New Roman"/>
            <w:highlight w:val="yellow"/>
          </w:rPr>
          <w:t>https://doi.org/10.1016/j.chemosphere.2007.03.023</w:t>
        </w:r>
      </w:hyperlink>
    </w:p>
    <w:p w14:paraId="7D1A5E76" w14:textId="77777777" w:rsidR="00970741" w:rsidRDefault="00970741" w:rsidP="00C126BE">
      <w:pPr>
        <w:jc w:val="both"/>
        <w:rPr>
          <w:rFonts w:ascii="Times New Roman" w:hAnsi="Times New Roman" w:cs="Times New Roman"/>
        </w:rPr>
      </w:pPr>
      <w:proofErr w:type="spellStart"/>
      <w:r w:rsidRPr="00C126BE">
        <w:rPr>
          <w:rFonts w:ascii="Times New Roman" w:hAnsi="Times New Roman" w:cs="Times New Roman"/>
          <w:highlight w:val="yellow"/>
        </w:rPr>
        <w:t>Štajner</w:t>
      </w:r>
      <w:proofErr w:type="spellEnd"/>
      <w:r w:rsidRPr="00C126BE">
        <w:rPr>
          <w:rFonts w:ascii="Times New Roman" w:hAnsi="Times New Roman" w:cs="Times New Roman"/>
          <w:highlight w:val="yellow"/>
        </w:rPr>
        <w:t xml:space="preserve">, D., Popović, M., &amp; </w:t>
      </w:r>
      <w:proofErr w:type="spellStart"/>
      <w:r w:rsidRPr="00C126BE">
        <w:rPr>
          <w:rFonts w:ascii="Times New Roman" w:hAnsi="Times New Roman" w:cs="Times New Roman"/>
          <w:highlight w:val="yellow"/>
        </w:rPr>
        <w:t>Štajner</w:t>
      </w:r>
      <w:proofErr w:type="spellEnd"/>
      <w:r w:rsidRPr="00C126BE">
        <w:rPr>
          <w:rFonts w:ascii="Times New Roman" w:hAnsi="Times New Roman" w:cs="Times New Roman"/>
          <w:highlight w:val="yellow"/>
        </w:rPr>
        <w:t>, M. (2003). Herbicide induced oxidative stress in lettuce, beans, pea seeds and leaves. </w:t>
      </w:r>
      <w:proofErr w:type="spellStart"/>
      <w:r w:rsidRPr="00C126BE">
        <w:rPr>
          <w:rFonts w:ascii="Times New Roman" w:hAnsi="Times New Roman" w:cs="Times New Roman"/>
          <w:i/>
          <w:iCs/>
          <w:highlight w:val="yellow"/>
        </w:rPr>
        <w:t>Biologia</w:t>
      </w:r>
      <w:proofErr w:type="spellEnd"/>
      <w:r w:rsidRPr="00C126BE">
        <w:rPr>
          <w:rFonts w:ascii="Times New Roman" w:hAnsi="Times New Roman" w:cs="Times New Roman"/>
          <w:i/>
          <w:iCs/>
          <w:highlight w:val="yellow"/>
        </w:rPr>
        <w:t xml:space="preserve"> Plantarum</w:t>
      </w:r>
      <w:r w:rsidRPr="00C126BE">
        <w:rPr>
          <w:rFonts w:ascii="Times New Roman" w:hAnsi="Times New Roman" w:cs="Times New Roman"/>
          <w:highlight w:val="yellow"/>
        </w:rPr>
        <w:t>, </w:t>
      </w:r>
      <w:r w:rsidRPr="00C126BE">
        <w:rPr>
          <w:rFonts w:ascii="Times New Roman" w:hAnsi="Times New Roman" w:cs="Times New Roman"/>
          <w:i/>
          <w:iCs/>
          <w:highlight w:val="yellow"/>
        </w:rPr>
        <w:t>47</w:t>
      </w:r>
      <w:r w:rsidRPr="00C126BE">
        <w:rPr>
          <w:rFonts w:ascii="Times New Roman" w:hAnsi="Times New Roman" w:cs="Times New Roman"/>
          <w:highlight w:val="yellow"/>
        </w:rPr>
        <w:t xml:space="preserve">(4), 575-579. </w:t>
      </w:r>
      <w:hyperlink r:id="rId42" w:history="1">
        <w:r w:rsidRPr="00C126BE">
          <w:rPr>
            <w:rStyle w:val="Hyperlink"/>
            <w:rFonts w:ascii="Times New Roman" w:hAnsi="Times New Roman" w:cs="Times New Roman"/>
            <w:highlight w:val="yellow"/>
          </w:rPr>
          <w:t>https://doi.org/10.1023/B:BIOP.0000041064.04385.c7</w:t>
        </w:r>
      </w:hyperlink>
    </w:p>
    <w:p w14:paraId="77A6DD62" w14:textId="77777777" w:rsidR="00970741" w:rsidRPr="00D87F05" w:rsidRDefault="00970741" w:rsidP="00D87F05">
      <w:pPr>
        <w:jc w:val="both"/>
        <w:rPr>
          <w:rFonts w:ascii="Times New Roman" w:hAnsi="Times New Roman" w:cs="Times New Roman"/>
        </w:rPr>
      </w:pPr>
      <w:proofErr w:type="spellStart"/>
      <w:r w:rsidRPr="00D87F05">
        <w:rPr>
          <w:rFonts w:ascii="Times New Roman" w:hAnsi="Times New Roman" w:cs="Times New Roman"/>
        </w:rPr>
        <w:t>Tandathu</w:t>
      </w:r>
      <w:proofErr w:type="spellEnd"/>
      <w:r w:rsidRPr="00D87F05">
        <w:rPr>
          <w:rFonts w:ascii="Times New Roman" w:hAnsi="Times New Roman" w:cs="Times New Roman"/>
        </w:rPr>
        <w:t xml:space="preserve">, T. E., Van Der Watt, E., </w:t>
      </w:r>
      <w:proofErr w:type="spellStart"/>
      <w:r w:rsidRPr="00D87F05">
        <w:rPr>
          <w:rFonts w:ascii="Times New Roman" w:hAnsi="Times New Roman" w:cs="Times New Roman"/>
        </w:rPr>
        <w:t>Kotzé</w:t>
      </w:r>
      <w:proofErr w:type="spellEnd"/>
      <w:r w:rsidRPr="00D87F05">
        <w:rPr>
          <w:rFonts w:ascii="Times New Roman" w:hAnsi="Times New Roman" w:cs="Times New Roman"/>
        </w:rPr>
        <w:t xml:space="preserve">, E., &amp; </w:t>
      </w:r>
      <w:proofErr w:type="spellStart"/>
      <w:r w:rsidRPr="00D87F05">
        <w:rPr>
          <w:rFonts w:ascii="Times New Roman" w:hAnsi="Times New Roman" w:cs="Times New Roman"/>
        </w:rPr>
        <w:t>Khetsha</w:t>
      </w:r>
      <w:proofErr w:type="spellEnd"/>
      <w:r w:rsidRPr="00D87F05">
        <w:rPr>
          <w:rFonts w:ascii="Times New Roman" w:hAnsi="Times New Roman" w:cs="Times New Roman"/>
        </w:rPr>
        <w:t xml:space="preserve">, Z. P. (2025). Insight on the impacts of </w:t>
      </w:r>
      <w:proofErr w:type="spellStart"/>
      <w:r w:rsidRPr="00D87F05">
        <w:rPr>
          <w:rFonts w:ascii="Times New Roman" w:hAnsi="Times New Roman" w:cs="Times New Roman"/>
        </w:rPr>
        <w:t>brassinosteroid</w:t>
      </w:r>
      <w:proofErr w:type="spellEnd"/>
      <w:r w:rsidRPr="00D87F05">
        <w:rPr>
          <w:rFonts w:ascii="Times New Roman" w:hAnsi="Times New Roman" w:cs="Times New Roman"/>
        </w:rPr>
        <w:t xml:space="preserve">- and seaweed-based </w:t>
      </w:r>
      <w:proofErr w:type="spellStart"/>
      <w:r w:rsidRPr="00D87F05">
        <w:rPr>
          <w:rFonts w:ascii="Times New Roman" w:hAnsi="Times New Roman" w:cs="Times New Roman"/>
        </w:rPr>
        <w:t>biostimulants</w:t>
      </w:r>
      <w:proofErr w:type="spellEnd"/>
      <w:r w:rsidRPr="00D87F05">
        <w:rPr>
          <w:rFonts w:ascii="Times New Roman" w:hAnsi="Times New Roman" w:cs="Times New Roman"/>
        </w:rPr>
        <w:t xml:space="preserve"> on glyphosate-resistant commercial crop growth, yield and soil microorganisms: A scoping review. Agronomy Research, 23(1), 513-537. </w:t>
      </w:r>
      <w:hyperlink r:id="rId43" w:history="1">
        <w:r w:rsidRPr="00D87F05">
          <w:rPr>
            <w:rStyle w:val="Hyperlink"/>
            <w:rFonts w:ascii="Times New Roman" w:hAnsi="Times New Roman" w:cs="Times New Roman"/>
          </w:rPr>
          <w:t>https://doi.org/10.15159/AR.25.005</w:t>
        </w:r>
      </w:hyperlink>
      <w:r w:rsidRPr="00D87F05">
        <w:rPr>
          <w:rFonts w:ascii="Times New Roman" w:hAnsi="Times New Roman" w:cs="Times New Roman"/>
        </w:rPr>
        <w:t xml:space="preserve"> </w:t>
      </w:r>
    </w:p>
    <w:p w14:paraId="5787F701" w14:textId="77777777" w:rsidR="00970741" w:rsidRPr="00C126BE" w:rsidRDefault="00970741" w:rsidP="00C126BE">
      <w:pPr>
        <w:jc w:val="both"/>
        <w:rPr>
          <w:rFonts w:ascii="Times New Roman" w:hAnsi="Times New Roman" w:cs="Times New Roman"/>
          <w:highlight w:val="yellow"/>
        </w:rPr>
      </w:pPr>
      <w:r w:rsidRPr="00C126BE">
        <w:rPr>
          <w:rFonts w:ascii="Times New Roman" w:hAnsi="Times New Roman" w:cs="Times New Roman"/>
          <w:highlight w:val="yellow"/>
        </w:rPr>
        <w:t xml:space="preserve">Twitty, A., &amp; Dayan, F. E. (2024). Is there a place for new herbicides targeting photosynthetic electron </w:t>
      </w:r>
      <w:proofErr w:type="gramStart"/>
      <w:r w:rsidRPr="00C126BE">
        <w:rPr>
          <w:rFonts w:ascii="Times New Roman" w:hAnsi="Times New Roman" w:cs="Times New Roman"/>
          <w:highlight w:val="yellow"/>
        </w:rPr>
        <w:t>transport?.</w:t>
      </w:r>
      <w:proofErr w:type="gramEnd"/>
      <w:r w:rsidRPr="00C126BE">
        <w:rPr>
          <w:rFonts w:ascii="Times New Roman" w:hAnsi="Times New Roman" w:cs="Times New Roman"/>
          <w:highlight w:val="yellow"/>
        </w:rPr>
        <w:t> </w:t>
      </w:r>
      <w:r w:rsidRPr="00C126BE">
        <w:rPr>
          <w:rFonts w:ascii="Times New Roman" w:hAnsi="Times New Roman" w:cs="Times New Roman"/>
          <w:i/>
          <w:iCs/>
          <w:highlight w:val="yellow"/>
        </w:rPr>
        <w:t>Weed Science</w:t>
      </w:r>
      <w:r w:rsidRPr="00C126BE">
        <w:rPr>
          <w:rFonts w:ascii="Times New Roman" w:hAnsi="Times New Roman" w:cs="Times New Roman"/>
          <w:highlight w:val="yellow"/>
        </w:rPr>
        <w:t>, </w:t>
      </w:r>
      <w:r w:rsidRPr="00C126BE">
        <w:rPr>
          <w:rFonts w:ascii="Times New Roman" w:hAnsi="Times New Roman" w:cs="Times New Roman"/>
          <w:i/>
          <w:iCs/>
          <w:highlight w:val="yellow"/>
        </w:rPr>
        <w:t>72</w:t>
      </w:r>
      <w:r w:rsidRPr="00C126BE">
        <w:rPr>
          <w:rFonts w:ascii="Times New Roman" w:hAnsi="Times New Roman" w:cs="Times New Roman"/>
          <w:highlight w:val="yellow"/>
        </w:rPr>
        <w:t xml:space="preserve">(4), 305-312. </w:t>
      </w:r>
      <w:hyperlink r:id="rId44" w:history="1">
        <w:r w:rsidRPr="00C126BE">
          <w:rPr>
            <w:rStyle w:val="Hyperlink"/>
            <w:rFonts w:ascii="Times New Roman" w:hAnsi="Times New Roman" w:cs="Times New Roman"/>
            <w:highlight w:val="yellow"/>
          </w:rPr>
          <w:t>https://doi.org/10.1017/wsc.2024.20</w:t>
        </w:r>
      </w:hyperlink>
    </w:p>
    <w:p w14:paraId="161BCBB0"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Wilson, D. O., &amp; Reisenauer, H. M. (1963). Determination of leghemoglobin in legume nodules. Analytical Biochemistry </w:t>
      </w:r>
      <w:hyperlink r:id="rId45" w:history="1">
        <w:r w:rsidRPr="00D87F05">
          <w:rPr>
            <w:rStyle w:val="Hyperlink"/>
            <w:rFonts w:ascii="Times New Roman" w:hAnsi="Times New Roman" w:cs="Times New Roman"/>
          </w:rPr>
          <w:t>https://doi.org/10.1016/0003-2697(63)90004-6</w:t>
        </w:r>
      </w:hyperlink>
      <w:r w:rsidRPr="00D87F05">
        <w:rPr>
          <w:rFonts w:ascii="Times New Roman" w:hAnsi="Times New Roman" w:cs="Times New Roman"/>
        </w:rPr>
        <w:t xml:space="preserve"> </w:t>
      </w:r>
    </w:p>
    <w:p w14:paraId="4361EF1C"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Yang, S., Wang, S., Chen, H., Gong, Y., Lu, C., Xu, M., Ning, K., &amp; Xu, P. (2025). The lectin-rhizobium interactions underlying symbiotic nodulation: a focal review on vegetable legumes. Vegetable Research, 5(1). </w:t>
      </w:r>
      <w:hyperlink r:id="rId46" w:history="1">
        <w:r w:rsidRPr="00D87F05">
          <w:rPr>
            <w:rStyle w:val="Hyperlink"/>
            <w:rFonts w:ascii="Times New Roman" w:hAnsi="Times New Roman" w:cs="Times New Roman"/>
          </w:rPr>
          <w:t>https://doi.org/10.48130/vegres-0025-0029</w:t>
        </w:r>
      </w:hyperlink>
      <w:r w:rsidRPr="00D87F05">
        <w:rPr>
          <w:rFonts w:ascii="Times New Roman" w:hAnsi="Times New Roman" w:cs="Times New Roman"/>
        </w:rPr>
        <w:t xml:space="preserve"> </w:t>
      </w:r>
    </w:p>
    <w:p w14:paraId="1F1EECA6" w14:textId="77777777" w:rsidR="00970741" w:rsidRPr="00D87F05" w:rsidRDefault="00970741" w:rsidP="00D87F05">
      <w:pPr>
        <w:jc w:val="both"/>
        <w:rPr>
          <w:rFonts w:ascii="Times New Roman" w:hAnsi="Times New Roman" w:cs="Times New Roman"/>
        </w:rPr>
      </w:pPr>
      <w:r w:rsidRPr="00D87F05">
        <w:rPr>
          <w:rFonts w:ascii="Times New Roman" w:hAnsi="Times New Roman" w:cs="Times New Roman"/>
        </w:rPr>
        <w:t xml:space="preserve">Yemm, E. W., &amp; Willis, A. J. (1954). The estimation of carbohydrates in plant extracts by </w:t>
      </w:r>
      <w:proofErr w:type="spellStart"/>
      <w:r w:rsidRPr="00D87F05">
        <w:rPr>
          <w:rFonts w:ascii="Times New Roman" w:hAnsi="Times New Roman" w:cs="Times New Roman"/>
        </w:rPr>
        <w:t>anthrone</w:t>
      </w:r>
      <w:proofErr w:type="spellEnd"/>
      <w:r w:rsidRPr="00D87F05">
        <w:rPr>
          <w:rFonts w:ascii="Times New Roman" w:hAnsi="Times New Roman" w:cs="Times New Roman"/>
        </w:rPr>
        <w:t xml:space="preserve">. Biochemical Journal, 57(3), 508-514. </w:t>
      </w:r>
      <w:hyperlink r:id="rId47" w:history="1">
        <w:r w:rsidRPr="00D87F05">
          <w:rPr>
            <w:rStyle w:val="Hyperlink"/>
            <w:rFonts w:ascii="Times New Roman" w:hAnsi="Times New Roman" w:cs="Times New Roman"/>
          </w:rPr>
          <w:t>https://doi.org/10.1042/bj0570508</w:t>
        </w:r>
      </w:hyperlink>
      <w:r w:rsidRPr="00D87F05">
        <w:rPr>
          <w:rFonts w:ascii="Times New Roman" w:hAnsi="Times New Roman" w:cs="Times New Roman"/>
        </w:rPr>
        <w:t xml:space="preserve"> </w:t>
      </w:r>
    </w:p>
    <w:p w14:paraId="0069703B" w14:textId="77777777" w:rsidR="00970741" w:rsidRDefault="00970741" w:rsidP="00D87F05">
      <w:pPr>
        <w:jc w:val="both"/>
        <w:rPr>
          <w:rFonts w:ascii="Times New Roman" w:hAnsi="Times New Roman" w:cs="Times New Roman"/>
        </w:rPr>
      </w:pPr>
      <w:r w:rsidRPr="00D87F05">
        <w:rPr>
          <w:rFonts w:ascii="Times New Roman" w:hAnsi="Times New Roman" w:cs="Times New Roman"/>
        </w:rPr>
        <w:t xml:space="preserve">Zandi, P., &amp; Schnug, E. (2022). Reactive oxygen species, antioxidant responses and implications from a microbial modulation perspective. Biology, 11(2), 155. </w:t>
      </w:r>
      <w:hyperlink r:id="rId48" w:history="1">
        <w:r w:rsidRPr="00D87F05">
          <w:rPr>
            <w:rStyle w:val="Hyperlink"/>
            <w:rFonts w:ascii="Times New Roman" w:hAnsi="Times New Roman" w:cs="Times New Roman"/>
          </w:rPr>
          <w:t>https://doi.org/10.3390/biology11020155</w:t>
        </w:r>
      </w:hyperlink>
      <w:r w:rsidRPr="00D87F05">
        <w:rPr>
          <w:rFonts w:ascii="Times New Roman" w:hAnsi="Times New Roman" w:cs="Times New Roman"/>
        </w:rPr>
        <w:t xml:space="preserve"> </w:t>
      </w:r>
    </w:p>
    <w:p w14:paraId="57A297DC" w14:textId="77777777" w:rsidR="009D0914" w:rsidRPr="00D87F05" w:rsidRDefault="009D0914" w:rsidP="00D87F05">
      <w:pPr>
        <w:jc w:val="both"/>
        <w:rPr>
          <w:rFonts w:ascii="Times New Roman" w:hAnsi="Times New Roman" w:cs="Times New Roman"/>
        </w:rPr>
      </w:pPr>
    </w:p>
    <w:p w14:paraId="7B184203" w14:textId="77777777" w:rsidR="009656D8" w:rsidRPr="00AE5532" w:rsidRDefault="009656D8" w:rsidP="00991B9A">
      <w:pPr>
        <w:jc w:val="both"/>
        <w:rPr>
          <w:rFonts w:ascii="Times New Roman" w:hAnsi="Times New Roman" w:cs="Times New Roman"/>
        </w:rPr>
      </w:pPr>
    </w:p>
    <w:p w14:paraId="6BEC6285" w14:textId="77777777" w:rsidR="005C3E44" w:rsidRDefault="005C3E44" w:rsidP="00991B9A"/>
    <w:sectPr w:rsidR="005C3E44">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D5C1" w14:textId="77777777" w:rsidR="005244DA" w:rsidRDefault="005244DA" w:rsidP="00732EAD">
      <w:pPr>
        <w:spacing w:after="0" w:line="240" w:lineRule="auto"/>
      </w:pPr>
      <w:r>
        <w:separator/>
      </w:r>
    </w:p>
  </w:endnote>
  <w:endnote w:type="continuationSeparator" w:id="0">
    <w:p w14:paraId="3369BD4D" w14:textId="77777777" w:rsidR="005244DA" w:rsidRDefault="005244DA" w:rsidP="0073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BE6A" w14:textId="77777777" w:rsidR="00732EAD" w:rsidRDefault="0073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EA98" w14:textId="77777777" w:rsidR="00732EAD" w:rsidRDefault="0073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5F40" w14:textId="77777777" w:rsidR="00732EAD" w:rsidRDefault="0073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6E54" w14:textId="77777777" w:rsidR="005244DA" w:rsidRDefault="005244DA" w:rsidP="00732EAD">
      <w:pPr>
        <w:spacing w:after="0" w:line="240" w:lineRule="auto"/>
      </w:pPr>
      <w:r>
        <w:separator/>
      </w:r>
    </w:p>
  </w:footnote>
  <w:footnote w:type="continuationSeparator" w:id="0">
    <w:p w14:paraId="0C77BFD5" w14:textId="77777777" w:rsidR="005244DA" w:rsidRDefault="005244DA" w:rsidP="0073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A810" w14:textId="55B6A768" w:rsidR="00732EAD" w:rsidRDefault="00000000">
    <w:pPr>
      <w:pStyle w:val="Header"/>
    </w:pPr>
    <w:r>
      <w:rPr>
        <w:noProof/>
      </w:rPr>
      <w:pict w14:anchorId="45868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D69" w14:textId="2AFF46EF" w:rsidR="00732EAD" w:rsidRDefault="00000000">
    <w:pPr>
      <w:pStyle w:val="Header"/>
    </w:pPr>
    <w:r>
      <w:rPr>
        <w:noProof/>
      </w:rPr>
      <w:pict w14:anchorId="0B287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4430" w14:textId="33A782FF" w:rsidR="00732EAD" w:rsidRDefault="00000000">
    <w:pPr>
      <w:pStyle w:val="Header"/>
    </w:pPr>
    <w:r>
      <w:rPr>
        <w:noProof/>
      </w:rPr>
      <w:pict w14:anchorId="51DA0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689B"/>
    <w:multiLevelType w:val="hybridMultilevel"/>
    <w:tmpl w:val="A464FE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110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03"/>
    <w:rsid w:val="0001661D"/>
    <w:rsid w:val="00017BAD"/>
    <w:rsid w:val="000315EF"/>
    <w:rsid w:val="00032FEA"/>
    <w:rsid w:val="00036473"/>
    <w:rsid w:val="00054A9C"/>
    <w:rsid w:val="00061FB3"/>
    <w:rsid w:val="00067BA0"/>
    <w:rsid w:val="000C3063"/>
    <w:rsid w:val="000C6605"/>
    <w:rsid w:val="000D218C"/>
    <w:rsid w:val="000D510D"/>
    <w:rsid w:val="000E008E"/>
    <w:rsid w:val="000E44F2"/>
    <w:rsid w:val="00121C26"/>
    <w:rsid w:val="00136F38"/>
    <w:rsid w:val="001377C6"/>
    <w:rsid w:val="001466BF"/>
    <w:rsid w:val="00157859"/>
    <w:rsid w:val="0018408B"/>
    <w:rsid w:val="001B35C1"/>
    <w:rsid w:val="001C3203"/>
    <w:rsid w:val="00233AE0"/>
    <w:rsid w:val="00237F06"/>
    <w:rsid w:val="002433AB"/>
    <w:rsid w:val="00266E33"/>
    <w:rsid w:val="002B67F1"/>
    <w:rsid w:val="0031415D"/>
    <w:rsid w:val="00341C11"/>
    <w:rsid w:val="00352438"/>
    <w:rsid w:val="003867F7"/>
    <w:rsid w:val="00392087"/>
    <w:rsid w:val="003A0C7E"/>
    <w:rsid w:val="003F77A4"/>
    <w:rsid w:val="0040022F"/>
    <w:rsid w:val="004813B2"/>
    <w:rsid w:val="00491345"/>
    <w:rsid w:val="004A0483"/>
    <w:rsid w:val="004A1CFA"/>
    <w:rsid w:val="004E7E16"/>
    <w:rsid w:val="004F2CFA"/>
    <w:rsid w:val="00501E1C"/>
    <w:rsid w:val="005244DA"/>
    <w:rsid w:val="00540DB5"/>
    <w:rsid w:val="00563C3E"/>
    <w:rsid w:val="00573878"/>
    <w:rsid w:val="00585BD3"/>
    <w:rsid w:val="00595A6E"/>
    <w:rsid w:val="00597DE7"/>
    <w:rsid w:val="005B3A55"/>
    <w:rsid w:val="005B4A36"/>
    <w:rsid w:val="005C0B09"/>
    <w:rsid w:val="005C3E44"/>
    <w:rsid w:val="005D3E77"/>
    <w:rsid w:val="005F2A24"/>
    <w:rsid w:val="00621553"/>
    <w:rsid w:val="006566FF"/>
    <w:rsid w:val="006A0A8F"/>
    <w:rsid w:val="006A7C3F"/>
    <w:rsid w:val="006D2CDB"/>
    <w:rsid w:val="006F510D"/>
    <w:rsid w:val="00732EAD"/>
    <w:rsid w:val="007348C7"/>
    <w:rsid w:val="007441E6"/>
    <w:rsid w:val="00766723"/>
    <w:rsid w:val="00772846"/>
    <w:rsid w:val="00777AA1"/>
    <w:rsid w:val="00785D3B"/>
    <w:rsid w:val="007B14F1"/>
    <w:rsid w:val="007B5042"/>
    <w:rsid w:val="007C61E2"/>
    <w:rsid w:val="007D1F81"/>
    <w:rsid w:val="007E1F1D"/>
    <w:rsid w:val="007E33E0"/>
    <w:rsid w:val="007F374D"/>
    <w:rsid w:val="00817D94"/>
    <w:rsid w:val="00863081"/>
    <w:rsid w:val="0087542B"/>
    <w:rsid w:val="00876B4E"/>
    <w:rsid w:val="0089223F"/>
    <w:rsid w:val="008C1C71"/>
    <w:rsid w:val="008D6502"/>
    <w:rsid w:val="00903BFF"/>
    <w:rsid w:val="00946B05"/>
    <w:rsid w:val="00952733"/>
    <w:rsid w:val="00957827"/>
    <w:rsid w:val="009656D8"/>
    <w:rsid w:val="00970741"/>
    <w:rsid w:val="00971141"/>
    <w:rsid w:val="00991B9A"/>
    <w:rsid w:val="00991EE7"/>
    <w:rsid w:val="0099468C"/>
    <w:rsid w:val="009A3A25"/>
    <w:rsid w:val="009C652E"/>
    <w:rsid w:val="009D0914"/>
    <w:rsid w:val="009D31DF"/>
    <w:rsid w:val="00A179F4"/>
    <w:rsid w:val="00A25E9D"/>
    <w:rsid w:val="00A86B42"/>
    <w:rsid w:val="00AA5801"/>
    <w:rsid w:val="00AC10D7"/>
    <w:rsid w:val="00AC6629"/>
    <w:rsid w:val="00AE6CC7"/>
    <w:rsid w:val="00AF0B82"/>
    <w:rsid w:val="00AF6381"/>
    <w:rsid w:val="00B3558B"/>
    <w:rsid w:val="00B73BE0"/>
    <w:rsid w:val="00B835CF"/>
    <w:rsid w:val="00BB0415"/>
    <w:rsid w:val="00BB28FE"/>
    <w:rsid w:val="00BB3D48"/>
    <w:rsid w:val="00C126BE"/>
    <w:rsid w:val="00C17EFA"/>
    <w:rsid w:val="00C21956"/>
    <w:rsid w:val="00C41702"/>
    <w:rsid w:val="00C91607"/>
    <w:rsid w:val="00C9798A"/>
    <w:rsid w:val="00CD34FA"/>
    <w:rsid w:val="00CD6D3C"/>
    <w:rsid w:val="00D13147"/>
    <w:rsid w:val="00D23B31"/>
    <w:rsid w:val="00D340AD"/>
    <w:rsid w:val="00D4795D"/>
    <w:rsid w:val="00D62F63"/>
    <w:rsid w:val="00D70150"/>
    <w:rsid w:val="00D735E7"/>
    <w:rsid w:val="00D738AC"/>
    <w:rsid w:val="00D87F05"/>
    <w:rsid w:val="00DC57FF"/>
    <w:rsid w:val="00DD17BE"/>
    <w:rsid w:val="00DD52DB"/>
    <w:rsid w:val="00E34659"/>
    <w:rsid w:val="00E54289"/>
    <w:rsid w:val="00E61B35"/>
    <w:rsid w:val="00E64354"/>
    <w:rsid w:val="00E70090"/>
    <w:rsid w:val="00E83B68"/>
    <w:rsid w:val="00E87765"/>
    <w:rsid w:val="00EF26DB"/>
    <w:rsid w:val="00EF3945"/>
    <w:rsid w:val="00EF4398"/>
    <w:rsid w:val="00F6777B"/>
    <w:rsid w:val="00FB346E"/>
    <w:rsid w:val="00FC6CDD"/>
    <w:rsid w:val="00FD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04D4"/>
  <w15:chartTrackingRefBased/>
  <w15:docId w15:val="{D6EC5FB4-BCFC-4B52-8A66-B4043AC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33"/>
  </w:style>
  <w:style w:type="paragraph" w:styleId="Heading1">
    <w:name w:val="heading 1"/>
    <w:basedOn w:val="Normal"/>
    <w:next w:val="Normal"/>
    <w:link w:val="Heading1Char"/>
    <w:uiPriority w:val="9"/>
    <w:qFormat/>
    <w:rsid w:val="001C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03"/>
    <w:rPr>
      <w:rFonts w:eastAsiaTheme="majorEastAsia" w:cstheme="majorBidi"/>
      <w:color w:val="272727" w:themeColor="text1" w:themeTint="D8"/>
    </w:rPr>
  </w:style>
  <w:style w:type="paragraph" w:styleId="Title">
    <w:name w:val="Title"/>
    <w:basedOn w:val="Normal"/>
    <w:next w:val="Normal"/>
    <w:link w:val="TitleChar"/>
    <w:uiPriority w:val="10"/>
    <w:qFormat/>
    <w:rsid w:val="001C3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03"/>
    <w:pPr>
      <w:spacing w:before="160"/>
      <w:jc w:val="center"/>
    </w:pPr>
    <w:rPr>
      <w:i/>
      <w:iCs/>
      <w:color w:val="404040" w:themeColor="text1" w:themeTint="BF"/>
    </w:rPr>
  </w:style>
  <w:style w:type="character" w:customStyle="1" w:styleId="QuoteChar">
    <w:name w:val="Quote Char"/>
    <w:basedOn w:val="DefaultParagraphFont"/>
    <w:link w:val="Quote"/>
    <w:uiPriority w:val="29"/>
    <w:rsid w:val="001C3203"/>
    <w:rPr>
      <w:i/>
      <w:iCs/>
      <w:color w:val="404040" w:themeColor="text1" w:themeTint="BF"/>
    </w:rPr>
  </w:style>
  <w:style w:type="paragraph" w:styleId="ListParagraph">
    <w:name w:val="List Paragraph"/>
    <w:basedOn w:val="Normal"/>
    <w:uiPriority w:val="34"/>
    <w:qFormat/>
    <w:rsid w:val="001C3203"/>
    <w:pPr>
      <w:ind w:left="720"/>
      <w:contextualSpacing/>
    </w:pPr>
  </w:style>
  <w:style w:type="character" w:styleId="IntenseEmphasis">
    <w:name w:val="Intense Emphasis"/>
    <w:basedOn w:val="DefaultParagraphFont"/>
    <w:uiPriority w:val="21"/>
    <w:qFormat/>
    <w:rsid w:val="001C3203"/>
    <w:rPr>
      <w:i/>
      <w:iCs/>
      <w:color w:val="0F4761" w:themeColor="accent1" w:themeShade="BF"/>
    </w:rPr>
  </w:style>
  <w:style w:type="paragraph" w:styleId="IntenseQuote">
    <w:name w:val="Intense Quote"/>
    <w:basedOn w:val="Normal"/>
    <w:next w:val="Normal"/>
    <w:link w:val="IntenseQuoteChar"/>
    <w:uiPriority w:val="30"/>
    <w:qFormat/>
    <w:rsid w:val="001C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203"/>
    <w:rPr>
      <w:i/>
      <w:iCs/>
      <w:color w:val="0F4761" w:themeColor="accent1" w:themeShade="BF"/>
    </w:rPr>
  </w:style>
  <w:style w:type="character" w:styleId="IntenseReference">
    <w:name w:val="Intense Reference"/>
    <w:basedOn w:val="DefaultParagraphFont"/>
    <w:uiPriority w:val="32"/>
    <w:qFormat/>
    <w:rsid w:val="001C3203"/>
    <w:rPr>
      <w:b/>
      <w:bCs/>
      <w:smallCaps/>
      <w:color w:val="0F4761" w:themeColor="accent1" w:themeShade="BF"/>
      <w:spacing w:val="5"/>
    </w:rPr>
  </w:style>
  <w:style w:type="character" w:styleId="Hyperlink">
    <w:name w:val="Hyperlink"/>
    <w:basedOn w:val="DefaultParagraphFont"/>
    <w:uiPriority w:val="99"/>
    <w:unhideWhenUsed/>
    <w:rsid w:val="007E33E0"/>
    <w:rPr>
      <w:color w:val="467886" w:themeColor="hyperlink"/>
      <w:u w:val="single"/>
    </w:rPr>
  </w:style>
  <w:style w:type="character" w:styleId="UnresolvedMention">
    <w:name w:val="Unresolved Mention"/>
    <w:basedOn w:val="DefaultParagraphFont"/>
    <w:uiPriority w:val="99"/>
    <w:semiHidden/>
    <w:unhideWhenUsed/>
    <w:rsid w:val="007E33E0"/>
    <w:rPr>
      <w:color w:val="605E5C"/>
      <w:shd w:val="clear" w:color="auto" w:fill="E1DFDD"/>
    </w:rPr>
  </w:style>
  <w:style w:type="paragraph" w:styleId="Header">
    <w:name w:val="header"/>
    <w:basedOn w:val="Normal"/>
    <w:link w:val="HeaderChar"/>
    <w:uiPriority w:val="99"/>
    <w:unhideWhenUsed/>
    <w:rsid w:val="0073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EAD"/>
  </w:style>
  <w:style w:type="paragraph" w:styleId="Footer">
    <w:name w:val="footer"/>
    <w:basedOn w:val="Normal"/>
    <w:link w:val="FooterChar"/>
    <w:uiPriority w:val="99"/>
    <w:unhideWhenUsed/>
    <w:rsid w:val="0073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0018060" TargetMode="External"/><Relationship Id="rId18" Type="http://schemas.openxmlformats.org/officeDocument/2006/relationships/hyperlink" Target="https://doi.org/10.1002/jobm.70109" TargetMode="External"/><Relationship Id="rId26" Type="http://schemas.openxmlformats.org/officeDocument/2006/relationships/hyperlink" Target="https://doi.org/10.3390/antiox11040761" TargetMode="External"/><Relationship Id="rId39" Type="http://schemas.openxmlformats.org/officeDocument/2006/relationships/hyperlink" Target="https://doi.org/10.1007/s12298-022-01244-x" TargetMode="External"/><Relationship Id="rId21" Type="http://schemas.openxmlformats.org/officeDocument/2006/relationships/hyperlink" Target="https://doi.org/10.1007/s11738-022-03382-x" TargetMode="External"/><Relationship Id="rId34" Type="http://schemas.openxmlformats.org/officeDocument/2006/relationships/hyperlink" Target="https://doi.org/10.9734/ijecc/2023/v13i113158" TargetMode="External"/><Relationship Id="rId42" Type="http://schemas.openxmlformats.org/officeDocument/2006/relationships/hyperlink" Target="https://doi.org/10.1023/B:BIOP.0000041064.04385.c7" TargetMode="External"/><Relationship Id="rId47" Type="http://schemas.openxmlformats.org/officeDocument/2006/relationships/hyperlink" Target="https://doi.org/10.1042/bj057050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jms20051086" TargetMode="External"/><Relationship Id="rId29" Type="http://schemas.openxmlformats.org/officeDocument/2006/relationships/hyperlink" Target="https://doi.org/10.1016/j.egg.2024.100284" TargetMode="External"/><Relationship Id="rId11" Type="http://schemas.openxmlformats.org/officeDocument/2006/relationships/hyperlink" Target="https://doi.org/10.1007/s11738-013-1232-y" TargetMode="External"/><Relationship Id="rId24" Type="http://schemas.openxmlformats.org/officeDocument/2006/relationships/hyperlink" Target="https://doi.org/10.3390/plants10061212" TargetMode="External"/><Relationship Id="rId32" Type="http://schemas.openxmlformats.org/officeDocument/2006/relationships/hyperlink" Target="https://doi.org/10.7717/peerj.16370" TargetMode="External"/><Relationship Id="rId37" Type="http://schemas.openxmlformats.org/officeDocument/2006/relationships/hyperlink" Target="https://doi.org/10.1007/s40502-025-00867-y" TargetMode="External"/><Relationship Id="rId40" Type="http://schemas.openxmlformats.org/officeDocument/2006/relationships/hyperlink" Target="https://doi.org/10.1080/03650340.2020.1734574" TargetMode="External"/><Relationship Id="rId45" Type="http://schemas.openxmlformats.org/officeDocument/2006/relationships/hyperlink" Target="https://doi.org/10.1016/0003-2697(63)90004-6"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3390/molecules29245965" TargetMode="External"/><Relationship Id="rId19" Type="http://schemas.openxmlformats.org/officeDocument/2006/relationships/hyperlink" Target="https://doi.org/10.25165/j.ijabe.20251801.9583" TargetMode="External"/><Relationship Id="rId31" Type="http://schemas.openxmlformats.org/officeDocument/2006/relationships/hyperlink" Target="https://doi.org/10.18805/LR-5438" TargetMode="External"/><Relationship Id="rId44" Type="http://schemas.openxmlformats.org/officeDocument/2006/relationships/hyperlink" Target="https://doi.org/10.1017/wsc.2024.20"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11/j.1432-1033.1973.tb02908.x" TargetMode="External"/><Relationship Id="rId14" Type="http://schemas.openxmlformats.org/officeDocument/2006/relationships/hyperlink" Target="https://doi.org/10.1007/s10343-023-00878-5" TargetMode="External"/><Relationship Id="rId22" Type="http://schemas.openxmlformats.org/officeDocument/2006/relationships/hyperlink" Target="https://doi.org/10.3389/fmicb.2021.669404" TargetMode="External"/><Relationship Id="rId27" Type="http://schemas.openxmlformats.org/officeDocument/2006/relationships/hyperlink" Target="https://doi.org/10.18805/LR-4776" TargetMode="External"/><Relationship Id="rId30" Type="http://schemas.openxmlformats.org/officeDocument/2006/relationships/hyperlink" Target="https://doi.org/10.1002/ps.6535" TargetMode="External"/><Relationship Id="rId35" Type="http://schemas.openxmlformats.org/officeDocument/2006/relationships/hyperlink" Target="https://doi.org/10.5772/intechopen.1005246" TargetMode="External"/><Relationship Id="rId43" Type="http://schemas.openxmlformats.org/officeDocument/2006/relationships/hyperlink" Target="https://doi.org/10.15159/AR.25.005" TargetMode="External"/><Relationship Id="rId48" Type="http://schemas.openxmlformats.org/officeDocument/2006/relationships/hyperlink" Target="https://doi.org/10.3390/biology11020155" TargetMode="External"/><Relationship Id="rId56" Type="http://schemas.openxmlformats.org/officeDocument/2006/relationships/theme" Target="theme/theme1.xml"/><Relationship Id="rId8" Type="http://schemas.openxmlformats.org/officeDocument/2006/relationships/hyperlink" Target="https://doi.org/10.9734/aprj/2021/v7i330157"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5772/intechopen.105356" TargetMode="External"/><Relationship Id="rId17" Type="http://schemas.openxmlformats.org/officeDocument/2006/relationships/hyperlink" Target="https://doi.org/10.1614/WS-09-092.1" TargetMode="External"/><Relationship Id="rId25" Type="http://schemas.openxmlformats.org/officeDocument/2006/relationships/hyperlink" Target="https://doi.org/10.5376/msb.2024.15.0014" TargetMode="External"/><Relationship Id="rId33" Type="http://schemas.openxmlformats.org/officeDocument/2006/relationships/hyperlink" Target="https://doi.org/10.1016/S0021-9258(19)52451-6" TargetMode="External"/><Relationship Id="rId38" Type="http://schemas.openxmlformats.org/officeDocument/2006/relationships/hyperlink" Target="https://doi.org/10.1016/B978-0-323-90537-4.00023-5" TargetMode="External"/><Relationship Id="rId46" Type="http://schemas.openxmlformats.org/officeDocument/2006/relationships/hyperlink" Target="https://doi.org/10.48130/vegres-0025-0029" TargetMode="External"/><Relationship Id="rId20" Type="http://schemas.openxmlformats.org/officeDocument/2006/relationships/hyperlink" Target="https://doi.org/10.12911/22998993/203400" TargetMode="External"/><Relationship Id="rId41" Type="http://schemas.openxmlformats.org/officeDocument/2006/relationships/hyperlink" Target="https://doi.org/10.1016/j.chemosphere.2007.03.02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513/JCEA01/23.1.3320" TargetMode="External"/><Relationship Id="rId23" Type="http://schemas.openxmlformats.org/officeDocument/2006/relationships/hyperlink" Target="https://doi.org/10.1080/15287394.2025.2594772" TargetMode="External"/><Relationship Id="rId28" Type="http://schemas.openxmlformats.org/officeDocument/2006/relationships/hyperlink" Target="https://doi.org/10.3389/fpls.2023.1179547" TargetMode="External"/><Relationship Id="rId36" Type="http://schemas.openxmlformats.org/officeDocument/2006/relationships/hyperlink" Target="https://doi.org/10.1007/s42729-021-00604-y"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766F-F2DA-4D2B-9F44-E09C19A3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14</Pages>
  <Words>5613</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DR. KIRPA RAM</cp:lastModifiedBy>
  <cp:revision>101</cp:revision>
  <dcterms:created xsi:type="dcterms:W3CDTF">2025-12-26T07:10:00Z</dcterms:created>
  <dcterms:modified xsi:type="dcterms:W3CDTF">2026-01-05T09:04:00Z</dcterms:modified>
</cp:coreProperties>
</file>