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BAB1" w14:textId="77777777" w:rsidR="002A43BC" w:rsidRPr="008321C0" w:rsidRDefault="002A43BC" w:rsidP="008321C0">
      <w:pPr>
        <w:pStyle w:val="BodyText"/>
        <w:spacing w:before="0" w:after="0" w:line="360" w:lineRule="auto"/>
        <w:jc w:val="right"/>
        <w:rPr>
          <w:rFonts w:ascii="Arial" w:hAnsi="Arial" w:cs="Arial"/>
          <w:b/>
          <w:bCs/>
          <w:sz w:val="36"/>
          <w:szCs w:val="36"/>
        </w:rPr>
      </w:pPr>
      <w:bookmarkStart w:id="0" w:name="Xafa801a9d9ce13bb01dfab7a3aba6c4a04dbe43"/>
      <w:bookmarkStart w:id="1" w:name="content"/>
      <w:bookmarkStart w:id="2" w:name="_GoBack"/>
      <w:r w:rsidRPr="002A43BC">
        <w:rPr>
          <w:rFonts w:ascii="Arial" w:hAnsi="Arial" w:cs="Arial"/>
          <w:b/>
          <w:bCs/>
          <w:sz w:val="36"/>
          <w:szCs w:val="36"/>
          <w:lang w:val="en-GB"/>
        </w:rPr>
        <w:t>District-Level Disparities in Female Education and Child Marriage: Evidence from Maharashtra, India</w:t>
      </w:r>
    </w:p>
    <w:p w14:paraId="17F8EC00" w14:textId="77777777" w:rsidR="00A33B8D" w:rsidRPr="008321C0" w:rsidRDefault="00A33B8D" w:rsidP="008321C0">
      <w:pPr>
        <w:pStyle w:val="BodyText"/>
        <w:spacing w:before="0" w:after="0" w:line="360" w:lineRule="auto"/>
        <w:jc w:val="center"/>
        <w:rPr>
          <w:rFonts w:ascii="Arial" w:hAnsi="Arial" w:cs="Arial"/>
          <w:b/>
          <w:bCs/>
          <w:sz w:val="20"/>
          <w:szCs w:val="20"/>
        </w:rPr>
      </w:pPr>
    </w:p>
    <w:p w14:paraId="43826B5B" w14:textId="77777777" w:rsidR="00AB1C14" w:rsidRDefault="00AB1C14" w:rsidP="008321C0">
      <w:pPr>
        <w:pStyle w:val="NormalWeb"/>
        <w:spacing w:before="0" w:beforeAutospacing="0" w:after="0" w:afterAutospacing="0" w:line="360" w:lineRule="auto"/>
        <w:jc w:val="both"/>
        <w:rPr>
          <w:rFonts w:ascii="Arial" w:hAnsi="Arial" w:cs="Arial"/>
          <w:b/>
          <w:bCs/>
          <w:sz w:val="20"/>
          <w:szCs w:val="20"/>
        </w:rPr>
      </w:pPr>
      <w:bookmarkStart w:id="3" w:name="data-and-methods"/>
    </w:p>
    <w:p w14:paraId="7D5D541A" w14:textId="77777777" w:rsidR="00784EF4" w:rsidRPr="008321C0" w:rsidRDefault="00784EF4" w:rsidP="008321C0">
      <w:pPr>
        <w:pStyle w:val="NormalWeb"/>
        <w:spacing w:before="0" w:beforeAutospacing="0" w:after="0" w:afterAutospacing="0" w:line="360" w:lineRule="auto"/>
        <w:jc w:val="both"/>
        <w:rPr>
          <w:rFonts w:ascii="Arial" w:hAnsi="Arial" w:cs="Arial"/>
          <w:b/>
          <w:bCs/>
          <w:sz w:val="20"/>
          <w:szCs w:val="20"/>
        </w:rPr>
      </w:pPr>
    </w:p>
    <w:p w14:paraId="007065AE" w14:textId="77777777" w:rsidR="00D31BEC" w:rsidRPr="008321C0" w:rsidRDefault="00602A87" w:rsidP="008321C0">
      <w:pPr>
        <w:pStyle w:val="NormalWeb"/>
        <w:spacing w:before="0" w:beforeAutospacing="0" w:after="0" w:afterAutospacing="0" w:line="360" w:lineRule="auto"/>
        <w:jc w:val="both"/>
        <w:rPr>
          <w:rFonts w:ascii="Arial" w:hAnsi="Arial" w:cs="Arial"/>
          <w:b/>
          <w:bCs/>
          <w:sz w:val="22"/>
          <w:szCs w:val="22"/>
        </w:rPr>
      </w:pPr>
      <w:r w:rsidRPr="008321C0">
        <w:rPr>
          <w:rFonts w:ascii="Arial" w:hAnsi="Arial" w:cs="Arial"/>
          <w:b/>
          <w:bCs/>
          <w:sz w:val="22"/>
          <w:szCs w:val="22"/>
        </w:rPr>
        <w:t>ABSTRACT</w:t>
      </w:r>
    </w:p>
    <w:p w14:paraId="72F97DFA"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Aims</w:t>
      </w:r>
    </w:p>
    <w:p w14:paraId="6862E1BF"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The study aims to examine district-level variations in women’s educational attainment and literacy in Maharashtra and to analyze their relationship with the prevalence of early marriage among women.</w:t>
      </w:r>
    </w:p>
    <w:p w14:paraId="347B406B"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Study Design</w:t>
      </w:r>
    </w:p>
    <w:p w14:paraId="77630F27"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This is a descriptive and analytical cross-sectional study based on secondary data analysis.</w:t>
      </w:r>
    </w:p>
    <w:p w14:paraId="2E49338B"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Place and Duration of Study</w:t>
      </w:r>
    </w:p>
    <w:p w14:paraId="494B3662"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 xml:space="preserve">The study covers all </w:t>
      </w:r>
      <w:r w:rsidRPr="008321C0">
        <w:rPr>
          <w:rFonts w:ascii="Arial" w:hAnsi="Arial" w:cs="Arial"/>
          <w:b/>
          <w:bCs/>
          <w:sz w:val="20"/>
          <w:szCs w:val="20"/>
        </w:rPr>
        <w:t>36 districts of Maharashtra</w:t>
      </w:r>
      <w:r w:rsidRPr="008321C0">
        <w:rPr>
          <w:rFonts w:ascii="Arial" w:hAnsi="Arial" w:cs="Arial"/>
          <w:sz w:val="20"/>
          <w:szCs w:val="20"/>
        </w:rPr>
        <w:t xml:space="preserve">, using data from the </w:t>
      </w:r>
      <w:r w:rsidRPr="008321C0">
        <w:rPr>
          <w:rFonts w:ascii="Arial" w:hAnsi="Arial" w:cs="Arial"/>
          <w:b/>
          <w:bCs/>
          <w:sz w:val="20"/>
          <w:szCs w:val="20"/>
        </w:rPr>
        <w:t>National Family Health Survey–5 (NFHS-5), conducted during 2019–2021</w:t>
      </w:r>
      <w:r w:rsidRPr="008321C0">
        <w:rPr>
          <w:rFonts w:ascii="Arial" w:hAnsi="Arial" w:cs="Arial"/>
          <w:sz w:val="20"/>
          <w:szCs w:val="20"/>
        </w:rPr>
        <w:t>.</w:t>
      </w:r>
    </w:p>
    <w:p w14:paraId="6572341A"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Methodology</w:t>
      </w:r>
    </w:p>
    <w:p w14:paraId="6945B5DD" w14:textId="77777777" w:rsidR="005F3EA3" w:rsidRPr="00897F4E" w:rsidRDefault="005F3EA3" w:rsidP="005F3EA3">
      <w:pPr>
        <w:pStyle w:val="NormalWeb"/>
        <w:spacing w:before="0" w:beforeAutospacing="0" w:after="0" w:afterAutospacing="0" w:line="360" w:lineRule="auto"/>
        <w:jc w:val="both"/>
        <w:rPr>
          <w:rFonts w:ascii="Arial" w:hAnsi="Arial" w:cs="Arial"/>
          <w:sz w:val="20"/>
          <w:szCs w:val="20"/>
          <w:lang w:val="en"/>
        </w:rPr>
      </w:pPr>
      <w:r w:rsidRPr="00897F4E">
        <w:rPr>
          <w:rFonts w:ascii="Arial" w:hAnsi="Arial" w:cs="Arial"/>
          <w:sz w:val="20"/>
          <w:szCs w:val="20"/>
          <w:lang w:val="en"/>
        </w:rPr>
        <w:t>The study is based on district-level secondary data extracted from the National Family Health Survey–5 (NFHS-5, 2019–21) for all 36 districts of Maharashtra and follows a quantitative, cross-sectional analytical approach. As all districts are included, a complete enumeration (census) method is adopted and no separate sample size formula is required. NFHS-5 itself follows a two-stage stratified random sampling design at the household level, ensuring reliable district-level estimates (IIPS &amp; ICF, 2021). Data collection involved identification of key indicators, district-wise compilation, and consistency checks using official fact sheets. Descriptive statistics were used to examine inter-district variations, while Pearson correlation analysis was applied to assess relationships between women’s educational indicators and child marriage prevalence, consistent with recent district-level studies in India (Raj et al., 2019; Singh et al., 2024). The findings were interpreted in comparison with national trends from NFHS-4 and NFHS-5 and supported by established sociological and demographic literature on education and marriage outcomes (Desai &amp; Vanneman, 2015; UNICEF, 2020).</w:t>
      </w:r>
    </w:p>
    <w:p w14:paraId="325ED91F"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Results</w:t>
      </w:r>
    </w:p>
    <w:p w14:paraId="7BBC3B12"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t>Substantial inter-district disparities were observed. Urbanized districts such as Mumbai, Pune, Nagpur, and Thane reported very high female literacy and secondary schooling levels, along with very low child marriage prevalence. In contrast, districts such as Nandurbar, Parbhani, Bid, and Dhule exhibited low female educational attainment and high rates of early marriage. A strong negative correlation (r ≈ –0.66) was found between women’s completion of ten or more years of schooling and child marriage. Maharashtra’s overall child marriage rate (21.9%) was lower than the national average (23.3%), reflecting the state’s comparatively higher female literacy, though regional gaps remain pronounced.</w:t>
      </w:r>
    </w:p>
    <w:p w14:paraId="7F33264F" w14:textId="77777777" w:rsidR="00602A87" w:rsidRPr="008321C0" w:rsidRDefault="00602A87"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Conclusion</w:t>
      </w:r>
    </w:p>
    <w:p w14:paraId="68519FCE" w14:textId="77777777" w:rsidR="00602A87" w:rsidRPr="008321C0" w:rsidRDefault="00602A87" w:rsidP="008321C0">
      <w:pPr>
        <w:pStyle w:val="NormalWeb"/>
        <w:spacing w:before="0" w:beforeAutospacing="0" w:after="0" w:afterAutospacing="0" w:line="360" w:lineRule="auto"/>
        <w:jc w:val="both"/>
        <w:rPr>
          <w:rFonts w:ascii="Arial" w:hAnsi="Arial" w:cs="Arial"/>
          <w:sz w:val="20"/>
          <w:szCs w:val="20"/>
        </w:rPr>
      </w:pPr>
      <w:r w:rsidRPr="008321C0">
        <w:rPr>
          <w:rFonts w:ascii="Arial" w:hAnsi="Arial" w:cs="Arial"/>
          <w:sz w:val="20"/>
          <w:szCs w:val="20"/>
        </w:rPr>
        <w:lastRenderedPageBreak/>
        <w:t>The findings confirm that women’s education—particularly completion of secondary schooling—is a critical determinant in delaying marriage. Districts with higher female literacy and schooling consistently demonstrate lower child marriage prevalence. Strengthening access to quality education in lagging rural, tribal, and Marathwada districts, alongside supportive social and policy interventions, is essential for further reducing child marriage and advancing women’s empowerment in Maharashtra.</w:t>
      </w:r>
    </w:p>
    <w:p w14:paraId="1E6C8C76" w14:textId="77777777" w:rsidR="007A10B3" w:rsidRPr="008321C0" w:rsidRDefault="007A10B3" w:rsidP="008321C0">
      <w:pPr>
        <w:pStyle w:val="BodyText"/>
        <w:spacing w:before="0" w:after="0" w:line="360" w:lineRule="auto"/>
        <w:jc w:val="both"/>
        <w:rPr>
          <w:rFonts w:ascii="Arial" w:hAnsi="Arial" w:cs="Arial"/>
          <w:b/>
          <w:bCs/>
          <w:sz w:val="20"/>
          <w:szCs w:val="20"/>
        </w:rPr>
      </w:pPr>
      <w:r w:rsidRPr="008321C0">
        <w:rPr>
          <w:rFonts w:ascii="Arial" w:hAnsi="Arial" w:cs="Arial"/>
          <w:b/>
          <w:bCs/>
          <w:sz w:val="20"/>
          <w:szCs w:val="20"/>
        </w:rPr>
        <w:t xml:space="preserve">Keywords: </w:t>
      </w:r>
      <w:r w:rsidRPr="008321C0">
        <w:rPr>
          <w:rFonts w:ascii="Arial" w:hAnsi="Arial" w:cs="Arial"/>
          <w:sz w:val="20"/>
          <w:szCs w:val="20"/>
        </w:rPr>
        <w:t>Female Literacy, Women’s Education, Child Marriage, Educational Attainment, Women’s Empowerment</w:t>
      </w:r>
    </w:p>
    <w:p w14:paraId="4555508D" w14:textId="77777777" w:rsidR="002C4B4F" w:rsidRPr="008321C0" w:rsidRDefault="002C4B4F" w:rsidP="008321C0">
      <w:pPr>
        <w:pStyle w:val="Heading1"/>
        <w:spacing w:before="0" w:after="0" w:line="360" w:lineRule="auto"/>
        <w:jc w:val="both"/>
        <w:rPr>
          <w:rStyle w:val="Strong"/>
          <w:rFonts w:ascii="Arial" w:hAnsi="Arial" w:cs="Arial"/>
          <w:b w:val="0"/>
          <w:bCs w:val="0"/>
          <w:color w:val="auto"/>
          <w:sz w:val="20"/>
          <w:szCs w:val="20"/>
        </w:rPr>
      </w:pPr>
    </w:p>
    <w:p w14:paraId="75000836" w14:textId="77777777" w:rsidR="000A30E8" w:rsidRPr="008321C0" w:rsidRDefault="006F65ED" w:rsidP="008321C0">
      <w:pPr>
        <w:pStyle w:val="Heading1"/>
        <w:spacing w:before="0" w:after="0" w:line="360" w:lineRule="auto"/>
        <w:jc w:val="both"/>
        <w:rPr>
          <w:rFonts w:ascii="Arial" w:hAnsi="Arial" w:cs="Arial"/>
          <w:color w:val="auto"/>
          <w:sz w:val="22"/>
          <w:szCs w:val="22"/>
        </w:rPr>
      </w:pPr>
      <w:r w:rsidRPr="008321C0">
        <w:rPr>
          <w:rStyle w:val="Strong"/>
          <w:rFonts w:ascii="Arial" w:hAnsi="Arial" w:cs="Arial"/>
          <w:color w:val="auto"/>
          <w:sz w:val="22"/>
          <w:szCs w:val="22"/>
        </w:rPr>
        <w:t xml:space="preserve">INTRODUCTION  </w:t>
      </w:r>
    </w:p>
    <w:p w14:paraId="1D47FB67" w14:textId="77777777" w:rsidR="005E6AD0" w:rsidRPr="00897F4E" w:rsidRDefault="005E6AD0" w:rsidP="005E6AD0">
      <w:pPr>
        <w:pStyle w:val="NormalWeb"/>
        <w:spacing w:before="0" w:beforeAutospacing="0" w:after="0" w:afterAutospacing="0" w:line="360" w:lineRule="auto"/>
        <w:jc w:val="both"/>
        <w:rPr>
          <w:rFonts w:ascii="Arial" w:hAnsi="Arial" w:cs="Arial"/>
          <w:sz w:val="20"/>
          <w:szCs w:val="20"/>
        </w:rPr>
      </w:pPr>
      <w:r w:rsidRPr="00897F4E">
        <w:rPr>
          <w:rFonts w:ascii="Arial" w:hAnsi="Arial" w:cs="Arial"/>
          <w:sz w:val="20"/>
          <w:szCs w:val="20"/>
        </w:rPr>
        <w:t xml:space="preserve">Despite global and national progress in reducing child marriage, the practice remains a persistent challenge closely linked to women’s educational deprivation, particularly in developing countries. Extensive international research has established that girls with higher levels of education are significantly less likely to marry early, as education enhances autonomy, economic opportunity, and reproductive health outcomes (UNICEF, 2020; World Bank, 2018). In India, large-scale studies using NFHS data have confirmed a strong inverse relationship between women’s schooling and early marriage at the national level (Raj et al., 2019; UNFPA, 2022). Recent multilevel and geospatial analyses covering all Indian districts further demonstrate that completion of secondary education is the single most powerful protective factor against child marriage, even after controlling for wealth, caste, and place of residence (Singh et al., 2024; BMC Public Health, 2024). However, most existing studies either adopt a national or multi-state perspective or focus on selected regions, thereby </w:t>
      </w:r>
      <w:proofErr w:type="spellStart"/>
      <w:r w:rsidRPr="00897F4E">
        <w:rPr>
          <w:rFonts w:ascii="Arial" w:hAnsi="Arial" w:cs="Arial"/>
          <w:sz w:val="20"/>
          <w:szCs w:val="20"/>
        </w:rPr>
        <w:t>masking</w:t>
      </w:r>
      <w:proofErr w:type="spellEnd"/>
      <w:r w:rsidRPr="00897F4E">
        <w:rPr>
          <w:rFonts w:ascii="Arial" w:hAnsi="Arial" w:cs="Arial"/>
          <w:sz w:val="20"/>
          <w:szCs w:val="20"/>
        </w:rPr>
        <w:t xml:space="preserve"> substantial intra-state and district-level disparities (Desai &amp; Vanneman, 2015).</w:t>
      </w:r>
    </w:p>
    <w:p w14:paraId="6D845497" w14:textId="77777777" w:rsidR="005E6AD0" w:rsidRPr="00897F4E" w:rsidRDefault="005E6AD0" w:rsidP="005E6AD0">
      <w:pPr>
        <w:pStyle w:val="NormalWeb"/>
        <w:spacing w:before="0" w:beforeAutospacing="0" w:after="0" w:afterAutospacing="0" w:line="360" w:lineRule="auto"/>
        <w:jc w:val="both"/>
        <w:rPr>
          <w:rFonts w:ascii="Arial" w:hAnsi="Arial" w:cs="Arial"/>
          <w:sz w:val="20"/>
          <w:szCs w:val="20"/>
        </w:rPr>
      </w:pPr>
      <w:r w:rsidRPr="00897F4E">
        <w:rPr>
          <w:rFonts w:ascii="Arial" w:hAnsi="Arial" w:cs="Arial"/>
          <w:sz w:val="20"/>
          <w:szCs w:val="20"/>
        </w:rPr>
        <w:t>The urgency of the present research is heightened by emerging evidence that educational disruptions following the COVID-19 pandemic have disproportionately affected girls, particularly in rural, tribal, and economically weaker regions, increasing the risk of school dropout and early marriage (Dutta et al., 2023). While Maharashtra performs better than the national average in female literacy, recent reports indicate that progress is highly uneven across districts, with Marathwada and tribal districts continuing to lag behind urban and industrial regions (IIPS &amp; ICF, 2021). Existing studies rarely provide a systematic district-level analysis within a single advanced Indian state, limiting the ability to design targeted, region-specific interventions.</w:t>
      </w:r>
    </w:p>
    <w:p w14:paraId="08AE0B36" w14:textId="77777777" w:rsidR="005E6AD0" w:rsidRPr="00897F4E" w:rsidRDefault="005E6AD0" w:rsidP="005E6AD0">
      <w:pPr>
        <w:pStyle w:val="NormalWeb"/>
        <w:spacing w:before="0" w:beforeAutospacing="0" w:after="0" w:afterAutospacing="0" w:line="360" w:lineRule="auto"/>
        <w:jc w:val="both"/>
        <w:rPr>
          <w:rFonts w:ascii="Arial" w:hAnsi="Arial" w:cs="Arial"/>
          <w:sz w:val="20"/>
          <w:szCs w:val="20"/>
        </w:rPr>
      </w:pPr>
      <w:r w:rsidRPr="00897F4E">
        <w:rPr>
          <w:rFonts w:ascii="Arial" w:hAnsi="Arial" w:cs="Arial"/>
          <w:sz w:val="20"/>
          <w:szCs w:val="20"/>
        </w:rPr>
        <w:t>The novelty of this study lies in its comprehensive district-level examination of women’s education and child marriage across all 36 districts of Maharashtra, using the most recent NFHS-5 data. By integrating multiple educational indicators and correlational analysis, the study fills a critical gap in the literature by revealing fine-scale spatial inequalities that are obscured in national averages. This micro-level evidence is essential for informed policy formulation, localized educational planning, and effective strategies to eliminate child marriage and advance women’s empowerment.</w:t>
      </w:r>
    </w:p>
    <w:p w14:paraId="17F0CEE4" w14:textId="77777777" w:rsidR="00D46A0C" w:rsidRPr="008321C0" w:rsidRDefault="00D46A0C" w:rsidP="008321C0">
      <w:pPr>
        <w:pStyle w:val="NormalWeb"/>
        <w:spacing w:before="0" w:beforeAutospacing="0" w:after="0" w:afterAutospacing="0" w:line="360" w:lineRule="auto"/>
        <w:jc w:val="both"/>
        <w:rPr>
          <w:rFonts w:ascii="Arial" w:hAnsi="Arial" w:cs="Arial"/>
          <w:sz w:val="20"/>
          <w:szCs w:val="20"/>
        </w:rPr>
      </w:pPr>
    </w:p>
    <w:p w14:paraId="0C3DC41E" w14:textId="77777777" w:rsidR="0044018A" w:rsidRPr="008321C0" w:rsidRDefault="006F65ED" w:rsidP="008321C0">
      <w:pPr>
        <w:pStyle w:val="NormalWeb"/>
        <w:spacing w:before="0" w:beforeAutospacing="0" w:after="0" w:afterAutospacing="0" w:line="360" w:lineRule="auto"/>
        <w:jc w:val="both"/>
        <w:rPr>
          <w:rFonts w:ascii="Arial" w:hAnsi="Arial" w:cs="Arial"/>
          <w:b/>
          <w:bCs/>
          <w:sz w:val="20"/>
          <w:szCs w:val="20"/>
        </w:rPr>
      </w:pPr>
      <w:r w:rsidRPr="008321C0">
        <w:rPr>
          <w:rFonts w:ascii="Arial" w:hAnsi="Arial" w:cs="Arial"/>
          <w:b/>
          <w:bCs/>
          <w:sz w:val="20"/>
          <w:szCs w:val="20"/>
        </w:rPr>
        <w:t>OBJECTIVE</w:t>
      </w:r>
    </w:p>
    <w:p w14:paraId="38996AB9" w14:textId="77777777" w:rsidR="0044018A" w:rsidRPr="008321C0" w:rsidRDefault="0044018A" w:rsidP="00E373F6">
      <w:pPr>
        <w:pStyle w:val="NormalWeb"/>
        <w:numPr>
          <w:ilvl w:val="0"/>
          <w:numId w:val="4"/>
        </w:numPr>
        <w:spacing w:before="0" w:beforeAutospacing="0" w:after="0" w:afterAutospacing="0" w:line="360" w:lineRule="auto"/>
        <w:jc w:val="both"/>
        <w:rPr>
          <w:rFonts w:ascii="Arial" w:hAnsi="Arial" w:cs="Arial"/>
          <w:sz w:val="20"/>
          <w:szCs w:val="20"/>
        </w:rPr>
      </w:pPr>
      <w:r w:rsidRPr="008321C0">
        <w:rPr>
          <w:rFonts w:ascii="Arial" w:hAnsi="Arial" w:cs="Arial"/>
          <w:sz w:val="20"/>
          <w:szCs w:val="20"/>
        </w:rPr>
        <w:lastRenderedPageBreak/>
        <w:t>To analyze district-level variations in women’s educational attainment and literacy in Maharashtra and examine how these factors influence the prevalence of early marriage across the state.</w:t>
      </w:r>
    </w:p>
    <w:p w14:paraId="709FFB0B" w14:textId="77777777" w:rsidR="0044018A" w:rsidRPr="008321C0" w:rsidRDefault="0044018A" w:rsidP="008321C0">
      <w:pPr>
        <w:pStyle w:val="NormalWeb"/>
        <w:spacing w:before="0" w:beforeAutospacing="0" w:after="0" w:afterAutospacing="0" w:line="360" w:lineRule="auto"/>
        <w:jc w:val="both"/>
        <w:rPr>
          <w:rFonts w:ascii="Arial" w:hAnsi="Arial" w:cs="Arial"/>
          <w:sz w:val="20"/>
          <w:szCs w:val="20"/>
        </w:rPr>
      </w:pPr>
    </w:p>
    <w:p w14:paraId="12A8B63A" w14:textId="77777777" w:rsidR="00970865" w:rsidRDefault="00970865" w:rsidP="008321C0">
      <w:pPr>
        <w:pStyle w:val="FirstParagraph"/>
        <w:spacing w:before="0" w:after="0" w:line="360" w:lineRule="auto"/>
        <w:jc w:val="both"/>
        <w:rPr>
          <w:rFonts w:ascii="Arial" w:eastAsiaTheme="majorEastAsia" w:hAnsi="Arial" w:cs="Arial"/>
          <w:b/>
          <w:bCs/>
          <w:sz w:val="20"/>
          <w:szCs w:val="20"/>
        </w:rPr>
      </w:pPr>
      <w:r w:rsidRPr="00970865">
        <w:rPr>
          <w:rFonts w:ascii="Arial" w:eastAsiaTheme="majorEastAsia" w:hAnsi="Arial" w:cs="Arial"/>
          <w:b/>
          <w:bCs/>
          <w:sz w:val="20"/>
          <w:szCs w:val="20"/>
        </w:rPr>
        <w:t>Methodology</w:t>
      </w:r>
    </w:p>
    <w:p w14:paraId="6991674F" w14:textId="6D638FF5" w:rsidR="00C215F3" w:rsidRDefault="00C215F3" w:rsidP="008321C0">
      <w:pPr>
        <w:pStyle w:val="FirstParagraph"/>
        <w:spacing w:before="0" w:after="0" w:line="360" w:lineRule="auto"/>
        <w:jc w:val="both"/>
        <w:rPr>
          <w:rFonts w:ascii="Arial" w:hAnsi="Arial" w:cs="Arial"/>
          <w:sz w:val="20"/>
          <w:szCs w:val="20"/>
        </w:rPr>
      </w:pPr>
      <w:r w:rsidRPr="00C215F3">
        <w:rPr>
          <w:rFonts w:ascii="Arial" w:hAnsi="Arial" w:cs="Arial"/>
          <w:sz w:val="20"/>
          <w:szCs w:val="20"/>
        </w:rPr>
        <w:t xml:space="preserve">District-level secondary data were extracted from the National Family Health Survey–5 (NFHS-5, 2019–21) for all 36 districts of Maharashtra. The study employed a quantitative, cross-sectional analytical approach. Key indicators analyzed included: female school attendance (age ≥6 years), female literacy (age 15–49), women with ten or more years of schooling (age 15–49), </w:t>
      </w:r>
      <w:proofErr w:type="gramStart"/>
      <w:r w:rsidRPr="00C215F3">
        <w:rPr>
          <w:rFonts w:ascii="Arial" w:hAnsi="Arial" w:cs="Arial"/>
          <w:sz w:val="20"/>
          <w:szCs w:val="20"/>
        </w:rPr>
        <w:t>sex</w:t>
      </w:r>
      <w:proofErr w:type="gramEnd"/>
      <w:r w:rsidRPr="00C215F3">
        <w:rPr>
          <w:rFonts w:ascii="Arial" w:hAnsi="Arial" w:cs="Arial"/>
          <w:sz w:val="20"/>
          <w:szCs w:val="20"/>
        </w:rPr>
        <w:t xml:space="preserve"> ratio (females per 1,000 males), and the proportion of women aged 20–24 married before 18 years. Descriptive statistics were used to examine inter-district variations, while Pearson correlation analysis was applied to assess relationships between women’s educational indicators and child marriage prevalence. This approach is consistent with recent district-level and geospatial studies examining early marriage determinants in India (Raj et al., 2019; BMC Public Health, 2024). Findings were interpreted in comparison with national trends from NFHS-4 and NFHS-5 and supported by existing sociological and demographic literature on education and marriage outcomes (Desai &amp; Vanneman, 2015; UNICEF, 2020).</w:t>
      </w:r>
      <w:r w:rsidR="00DF2420">
        <w:rPr>
          <w:rFonts w:ascii="Arial" w:hAnsi="Arial" w:cs="Arial"/>
          <w:sz w:val="20"/>
          <w:szCs w:val="20"/>
        </w:rPr>
        <w:t xml:space="preserve"> </w:t>
      </w:r>
      <w:r w:rsidR="00DF2420" w:rsidRPr="00DF2420">
        <w:rPr>
          <w:rFonts w:ascii="Arial" w:hAnsi="Arial" w:cs="Arial"/>
          <w:sz w:val="20"/>
          <w:szCs w:val="20"/>
        </w:rPr>
        <w:t>Ashoka University Data Lab (2022) to justify the district-level analytical and geospatial approach.</w:t>
      </w:r>
    </w:p>
    <w:p w14:paraId="0A352E59" w14:textId="77777777" w:rsidR="00003A62" w:rsidRPr="008321C0" w:rsidRDefault="00003A62" w:rsidP="008321C0">
      <w:pPr>
        <w:pStyle w:val="BodyText"/>
        <w:spacing w:before="0" w:after="0" w:line="360" w:lineRule="auto"/>
        <w:jc w:val="both"/>
        <w:rPr>
          <w:rFonts w:ascii="Arial" w:hAnsi="Arial" w:cs="Arial"/>
          <w:sz w:val="20"/>
          <w:szCs w:val="20"/>
        </w:rPr>
      </w:pPr>
    </w:p>
    <w:p w14:paraId="353FCE58" w14:textId="77777777" w:rsidR="00101556" w:rsidRDefault="006F65ED" w:rsidP="008321C0">
      <w:pPr>
        <w:pStyle w:val="Heading2"/>
        <w:spacing w:before="0" w:after="0" w:line="360" w:lineRule="auto"/>
        <w:jc w:val="both"/>
        <w:rPr>
          <w:rFonts w:ascii="Arial" w:hAnsi="Arial" w:cs="Arial"/>
          <w:b/>
          <w:bCs/>
          <w:color w:val="auto"/>
          <w:sz w:val="22"/>
          <w:szCs w:val="22"/>
        </w:rPr>
      </w:pPr>
      <w:bookmarkStart w:id="4" w:name="results"/>
      <w:bookmarkEnd w:id="3"/>
      <w:r w:rsidRPr="008321C0">
        <w:rPr>
          <w:rFonts w:ascii="Arial" w:hAnsi="Arial" w:cs="Arial"/>
          <w:b/>
          <w:bCs/>
          <w:color w:val="auto"/>
          <w:sz w:val="22"/>
          <w:szCs w:val="22"/>
        </w:rPr>
        <w:t xml:space="preserve">RESULTS AND DISCUSSION </w:t>
      </w:r>
    </w:p>
    <w:p w14:paraId="6BDBE0C8" w14:textId="77777777" w:rsidR="0054086F" w:rsidRDefault="0054086F" w:rsidP="0054086F">
      <w:pPr>
        <w:pStyle w:val="BodyText"/>
        <w:spacing w:before="0" w:after="0"/>
        <w:jc w:val="center"/>
        <w:rPr>
          <w:rFonts w:ascii="Arial" w:hAnsi="Arial" w:cs="Arial"/>
          <w:b/>
          <w:bCs/>
          <w:sz w:val="20"/>
          <w:szCs w:val="20"/>
        </w:rPr>
      </w:pPr>
      <w:r>
        <w:rPr>
          <w:rFonts w:ascii="Arial" w:hAnsi="Arial" w:cs="Arial"/>
          <w:b/>
          <w:bCs/>
          <w:sz w:val="20"/>
          <w:szCs w:val="20"/>
        </w:rPr>
        <w:t xml:space="preserve">Table 1: </w:t>
      </w:r>
      <w:r w:rsidRPr="00C215F3">
        <w:rPr>
          <w:rFonts w:ascii="Arial" w:hAnsi="Arial" w:cs="Arial"/>
          <w:sz w:val="20"/>
          <w:szCs w:val="20"/>
        </w:rPr>
        <w:t>District-level secondary data the National Family Health Survey–5</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130"/>
        <w:gridCol w:w="1420"/>
        <w:gridCol w:w="1277"/>
        <w:gridCol w:w="1133"/>
        <w:gridCol w:w="1418"/>
        <w:gridCol w:w="1130"/>
      </w:tblGrid>
      <w:tr w:rsidR="006F65ED" w:rsidRPr="008321C0" w14:paraId="447D00CE" w14:textId="77777777" w:rsidTr="00DF2420">
        <w:trPr>
          <w:trHeight w:val="179"/>
          <w:jc w:val="center"/>
        </w:trPr>
        <w:tc>
          <w:tcPr>
            <w:tcW w:w="375" w:type="pct"/>
            <w:noWrap/>
            <w:vAlign w:val="center"/>
            <w:hideMark/>
          </w:tcPr>
          <w:p w14:paraId="6D4B3830"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Sr.</w:t>
            </w:r>
          </w:p>
          <w:p w14:paraId="79B77A0D"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No.</w:t>
            </w:r>
          </w:p>
        </w:tc>
        <w:tc>
          <w:tcPr>
            <w:tcW w:w="1158" w:type="pct"/>
            <w:noWrap/>
            <w:vAlign w:val="center"/>
            <w:hideMark/>
          </w:tcPr>
          <w:p w14:paraId="0ED2453A"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District</w:t>
            </w:r>
          </w:p>
        </w:tc>
        <w:tc>
          <w:tcPr>
            <w:tcW w:w="772" w:type="pct"/>
            <w:noWrap/>
            <w:vAlign w:val="center"/>
            <w:hideMark/>
          </w:tcPr>
          <w:p w14:paraId="33B68954"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Female population age 6 years and above who ever attended school (%)</w:t>
            </w:r>
          </w:p>
        </w:tc>
        <w:tc>
          <w:tcPr>
            <w:tcW w:w="694" w:type="pct"/>
            <w:noWrap/>
            <w:vAlign w:val="center"/>
            <w:hideMark/>
          </w:tcPr>
          <w:p w14:paraId="7CBF2B63"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Sex ratio of the total population (females per 1,000 males)</w:t>
            </w:r>
          </w:p>
        </w:tc>
        <w:tc>
          <w:tcPr>
            <w:tcW w:w="616" w:type="pct"/>
            <w:noWrap/>
            <w:vAlign w:val="center"/>
            <w:hideMark/>
          </w:tcPr>
          <w:p w14:paraId="4CF066EE"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with 10 or more years of schooling (%)</w:t>
            </w:r>
          </w:p>
        </w:tc>
        <w:tc>
          <w:tcPr>
            <w:tcW w:w="771" w:type="pct"/>
            <w:noWrap/>
            <w:vAlign w:val="center"/>
            <w:hideMark/>
          </w:tcPr>
          <w:p w14:paraId="3DA99CF1"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age 20-24 years married before age 18 years (%)</w:t>
            </w:r>
          </w:p>
        </w:tc>
        <w:tc>
          <w:tcPr>
            <w:tcW w:w="614" w:type="pct"/>
            <w:vAlign w:val="center"/>
          </w:tcPr>
          <w:p w14:paraId="2EF69348"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Women who are Literate (%)</w:t>
            </w:r>
          </w:p>
        </w:tc>
      </w:tr>
      <w:tr w:rsidR="006F65ED" w:rsidRPr="008321C0" w14:paraId="4442C24A" w14:textId="77777777" w:rsidTr="00DF2420">
        <w:trPr>
          <w:trHeight w:val="179"/>
          <w:jc w:val="center"/>
        </w:trPr>
        <w:tc>
          <w:tcPr>
            <w:tcW w:w="375" w:type="pct"/>
            <w:noWrap/>
            <w:vAlign w:val="center"/>
            <w:hideMark/>
          </w:tcPr>
          <w:p w14:paraId="0A94BBE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w:t>
            </w:r>
          </w:p>
        </w:tc>
        <w:tc>
          <w:tcPr>
            <w:tcW w:w="1158" w:type="pct"/>
            <w:noWrap/>
            <w:vAlign w:val="center"/>
            <w:hideMark/>
          </w:tcPr>
          <w:p w14:paraId="06F930F6"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Ahmednagar</w:t>
            </w:r>
          </w:p>
        </w:tc>
        <w:tc>
          <w:tcPr>
            <w:tcW w:w="772" w:type="pct"/>
            <w:noWrap/>
            <w:vAlign w:val="center"/>
            <w:hideMark/>
          </w:tcPr>
          <w:p w14:paraId="20D80F0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77.4</w:t>
            </w:r>
          </w:p>
        </w:tc>
        <w:tc>
          <w:tcPr>
            <w:tcW w:w="694" w:type="pct"/>
            <w:noWrap/>
            <w:vAlign w:val="center"/>
            <w:hideMark/>
          </w:tcPr>
          <w:p w14:paraId="1BC477B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967</w:t>
            </w:r>
          </w:p>
        </w:tc>
        <w:tc>
          <w:tcPr>
            <w:tcW w:w="616" w:type="pct"/>
            <w:noWrap/>
            <w:vAlign w:val="center"/>
            <w:hideMark/>
          </w:tcPr>
          <w:p w14:paraId="5B30DBC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45.7</w:t>
            </w:r>
          </w:p>
        </w:tc>
        <w:tc>
          <w:tcPr>
            <w:tcW w:w="771" w:type="pct"/>
            <w:noWrap/>
            <w:vAlign w:val="center"/>
            <w:hideMark/>
          </w:tcPr>
          <w:p w14:paraId="7C6D362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26.9</w:t>
            </w:r>
          </w:p>
        </w:tc>
        <w:tc>
          <w:tcPr>
            <w:tcW w:w="614" w:type="pct"/>
            <w:vAlign w:val="center"/>
          </w:tcPr>
          <w:p w14:paraId="04C2E7C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86.20</w:t>
            </w:r>
          </w:p>
        </w:tc>
      </w:tr>
      <w:tr w:rsidR="006F65ED" w:rsidRPr="008321C0" w14:paraId="05478C5C" w14:textId="77777777" w:rsidTr="00DF2420">
        <w:trPr>
          <w:trHeight w:val="179"/>
          <w:jc w:val="center"/>
        </w:trPr>
        <w:tc>
          <w:tcPr>
            <w:tcW w:w="375" w:type="pct"/>
            <w:noWrap/>
            <w:vAlign w:val="center"/>
            <w:hideMark/>
          </w:tcPr>
          <w:p w14:paraId="50247A88"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w:t>
            </w:r>
          </w:p>
        </w:tc>
        <w:tc>
          <w:tcPr>
            <w:tcW w:w="1158" w:type="pct"/>
            <w:noWrap/>
            <w:vAlign w:val="center"/>
            <w:hideMark/>
          </w:tcPr>
          <w:p w14:paraId="227D9198"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Akola</w:t>
            </w:r>
          </w:p>
        </w:tc>
        <w:tc>
          <w:tcPr>
            <w:tcW w:w="772" w:type="pct"/>
            <w:noWrap/>
            <w:vAlign w:val="center"/>
            <w:hideMark/>
          </w:tcPr>
          <w:p w14:paraId="4647340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86.3</w:t>
            </w:r>
          </w:p>
        </w:tc>
        <w:tc>
          <w:tcPr>
            <w:tcW w:w="694" w:type="pct"/>
            <w:noWrap/>
            <w:vAlign w:val="center"/>
            <w:hideMark/>
          </w:tcPr>
          <w:p w14:paraId="34A4F40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951</w:t>
            </w:r>
          </w:p>
        </w:tc>
        <w:tc>
          <w:tcPr>
            <w:tcW w:w="616" w:type="pct"/>
            <w:noWrap/>
            <w:vAlign w:val="center"/>
            <w:hideMark/>
          </w:tcPr>
          <w:p w14:paraId="3731619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52.7</w:t>
            </w:r>
          </w:p>
        </w:tc>
        <w:tc>
          <w:tcPr>
            <w:tcW w:w="771" w:type="pct"/>
            <w:noWrap/>
            <w:vAlign w:val="center"/>
            <w:hideMark/>
          </w:tcPr>
          <w:p w14:paraId="7C79C38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13.5</w:t>
            </w:r>
          </w:p>
        </w:tc>
        <w:tc>
          <w:tcPr>
            <w:tcW w:w="614" w:type="pct"/>
            <w:vAlign w:val="center"/>
          </w:tcPr>
          <w:p w14:paraId="664F24E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87.50</w:t>
            </w:r>
          </w:p>
        </w:tc>
      </w:tr>
      <w:tr w:rsidR="006F65ED" w:rsidRPr="008321C0" w14:paraId="51DB5B98" w14:textId="77777777" w:rsidTr="00DF2420">
        <w:trPr>
          <w:trHeight w:val="179"/>
          <w:jc w:val="center"/>
        </w:trPr>
        <w:tc>
          <w:tcPr>
            <w:tcW w:w="375" w:type="pct"/>
            <w:noWrap/>
            <w:vAlign w:val="center"/>
            <w:hideMark/>
          </w:tcPr>
          <w:p w14:paraId="24E0621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w:t>
            </w:r>
          </w:p>
        </w:tc>
        <w:tc>
          <w:tcPr>
            <w:tcW w:w="1158" w:type="pct"/>
            <w:noWrap/>
            <w:vAlign w:val="center"/>
            <w:hideMark/>
          </w:tcPr>
          <w:p w14:paraId="4F20D152"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Amravati</w:t>
            </w:r>
          </w:p>
        </w:tc>
        <w:tc>
          <w:tcPr>
            <w:tcW w:w="772" w:type="pct"/>
            <w:noWrap/>
            <w:vAlign w:val="center"/>
            <w:hideMark/>
          </w:tcPr>
          <w:p w14:paraId="390B080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86.2</w:t>
            </w:r>
          </w:p>
        </w:tc>
        <w:tc>
          <w:tcPr>
            <w:tcW w:w="694" w:type="pct"/>
            <w:noWrap/>
            <w:vAlign w:val="center"/>
            <w:hideMark/>
          </w:tcPr>
          <w:p w14:paraId="773F310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994</w:t>
            </w:r>
          </w:p>
        </w:tc>
        <w:tc>
          <w:tcPr>
            <w:tcW w:w="616" w:type="pct"/>
            <w:noWrap/>
            <w:vAlign w:val="center"/>
            <w:hideMark/>
          </w:tcPr>
          <w:p w14:paraId="4E48E6D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55</w:t>
            </w:r>
          </w:p>
        </w:tc>
        <w:tc>
          <w:tcPr>
            <w:tcW w:w="771" w:type="pct"/>
            <w:noWrap/>
            <w:vAlign w:val="center"/>
            <w:hideMark/>
          </w:tcPr>
          <w:p w14:paraId="5DCD4F9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w:t>
            </w:r>
          </w:p>
        </w:tc>
        <w:tc>
          <w:tcPr>
            <w:tcW w:w="614" w:type="pct"/>
            <w:vAlign w:val="center"/>
          </w:tcPr>
          <w:p w14:paraId="2872A973"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87.80</w:t>
            </w:r>
          </w:p>
        </w:tc>
      </w:tr>
      <w:tr w:rsidR="006F65ED" w:rsidRPr="008321C0" w14:paraId="753A917D" w14:textId="77777777" w:rsidTr="00DF2420">
        <w:trPr>
          <w:trHeight w:val="179"/>
          <w:jc w:val="center"/>
        </w:trPr>
        <w:tc>
          <w:tcPr>
            <w:tcW w:w="375" w:type="pct"/>
            <w:noWrap/>
            <w:vAlign w:val="center"/>
            <w:hideMark/>
          </w:tcPr>
          <w:p w14:paraId="6755C69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4</w:t>
            </w:r>
          </w:p>
        </w:tc>
        <w:tc>
          <w:tcPr>
            <w:tcW w:w="1158" w:type="pct"/>
            <w:noWrap/>
            <w:vAlign w:val="center"/>
            <w:hideMark/>
          </w:tcPr>
          <w:p w14:paraId="60B13A31"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Aurangabad</w:t>
            </w:r>
          </w:p>
        </w:tc>
        <w:tc>
          <w:tcPr>
            <w:tcW w:w="772" w:type="pct"/>
            <w:noWrap/>
            <w:vAlign w:val="center"/>
            <w:hideMark/>
          </w:tcPr>
          <w:p w14:paraId="0A125CB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78.4</w:t>
            </w:r>
          </w:p>
        </w:tc>
        <w:tc>
          <w:tcPr>
            <w:tcW w:w="694" w:type="pct"/>
            <w:noWrap/>
            <w:vAlign w:val="center"/>
            <w:hideMark/>
          </w:tcPr>
          <w:p w14:paraId="7D7CB0E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978</w:t>
            </w:r>
          </w:p>
        </w:tc>
        <w:tc>
          <w:tcPr>
            <w:tcW w:w="616" w:type="pct"/>
            <w:noWrap/>
            <w:vAlign w:val="center"/>
            <w:hideMark/>
          </w:tcPr>
          <w:p w14:paraId="339C4E0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48.4</w:t>
            </w:r>
          </w:p>
        </w:tc>
        <w:tc>
          <w:tcPr>
            <w:tcW w:w="771" w:type="pct"/>
            <w:noWrap/>
            <w:vAlign w:val="center"/>
            <w:hideMark/>
          </w:tcPr>
          <w:p w14:paraId="0E69A1B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35.8</w:t>
            </w:r>
          </w:p>
        </w:tc>
        <w:tc>
          <w:tcPr>
            <w:tcW w:w="614" w:type="pct"/>
            <w:vAlign w:val="center"/>
          </w:tcPr>
          <w:p w14:paraId="056E583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83.10</w:t>
            </w:r>
          </w:p>
        </w:tc>
      </w:tr>
      <w:tr w:rsidR="006F65ED" w:rsidRPr="008321C0" w14:paraId="7B05C88E" w14:textId="77777777" w:rsidTr="00DF2420">
        <w:trPr>
          <w:trHeight w:val="179"/>
          <w:jc w:val="center"/>
        </w:trPr>
        <w:tc>
          <w:tcPr>
            <w:tcW w:w="375" w:type="pct"/>
            <w:noWrap/>
            <w:vAlign w:val="center"/>
            <w:hideMark/>
          </w:tcPr>
          <w:p w14:paraId="62EC570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5</w:t>
            </w:r>
          </w:p>
        </w:tc>
        <w:tc>
          <w:tcPr>
            <w:tcW w:w="1158" w:type="pct"/>
            <w:noWrap/>
            <w:vAlign w:val="center"/>
            <w:hideMark/>
          </w:tcPr>
          <w:p w14:paraId="1FD29F1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Bhandara</w:t>
            </w:r>
          </w:p>
        </w:tc>
        <w:tc>
          <w:tcPr>
            <w:tcW w:w="772" w:type="pct"/>
            <w:noWrap/>
            <w:vAlign w:val="center"/>
            <w:hideMark/>
          </w:tcPr>
          <w:p w14:paraId="6E2E64D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80.3</w:t>
            </w:r>
          </w:p>
        </w:tc>
        <w:tc>
          <w:tcPr>
            <w:tcW w:w="694" w:type="pct"/>
            <w:noWrap/>
            <w:vAlign w:val="center"/>
            <w:hideMark/>
          </w:tcPr>
          <w:p w14:paraId="04DF4F0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1004</w:t>
            </w:r>
          </w:p>
        </w:tc>
        <w:tc>
          <w:tcPr>
            <w:tcW w:w="616" w:type="pct"/>
            <w:noWrap/>
            <w:vAlign w:val="center"/>
            <w:hideMark/>
          </w:tcPr>
          <w:p w14:paraId="05E72E3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53.9</w:t>
            </w:r>
          </w:p>
        </w:tc>
        <w:tc>
          <w:tcPr>
            <w:tcW w:w="771" w:type="pct"/>
            <w:noWrap/>
            <w:vAlign w:val="center"/>
            <w:hideMark/>
          </w:tcPr>
          <w:p w14:paraId="10E58F3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1.5</w:t>
            </w:r>
          </w:p>
        </w:tc>
        <w:tc>
          <w:tcPr>
            <w:tcW w:w="614" w:type="pct"/>
            <w:vAlign w:val="center"/>
          </w:tcPr>
          <w:p w14:paraId="51B3D52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89.10</w:t>
            </w:r>
          </w:p>
        </w:tc>
      </w:tr>
      <w:tr w:rsidR="006F65ED" w:rsidRPr="008321C0" w14:paraId="004F28FB" w14:textId="77777777" w:rsidTr="00DF2420">
        <w:trPr>
          <w:trHeight w:val="179"/>
          <w:jc w:val="center"/>
        </w:trPr>
        <w:tc>
          <w:tcPr>
            <w:tcW w:w="375" w:type="pct"/>
            <w:noWrap/>
            <w:vAlign w:val="center"/>
            <w:hideMark/>
          </w:tcPr>
          <w:p w14:paraId="27EBEC0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6</w:t>
            </w:r>
          </w:p>
        </w:tc>
        <w:tc>
          <w:tcPr>
            <w:tcW w:w="1158" w:type="pct"/>
            <w:noWrap/>
            <w:vAlign w:val="center"/>
            <w:hideMark/>
          </w:tcPr>
          <w:p w14:paraId="20CB3099"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Bid</w:t>
            </w:r>
          </w:p>
        </w:tc>
        <w:tc>
          <w:tcPr>
            <w:tcW w:w="772" w:type="pct"/>
            <w:noWrap/>
            <w:vAlign w:val="center"/>
            <w:hideMark/>
          </w:tcPr>
          <w:p w14:paraId="2E1425D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64.6</w:t>
            </w:r>
          </w:p>
        </w:tc>
        <w:tc>
          <w:tcPr>
            <w:tcW w:w="694" w:type="pct"/>
            <w:noWrap/>
            <w:vAlign w:val="center"/>
            <w:hideMark/>
          </w:tcPr>
          <w:p w14:paraId="55FB7A4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934</w:t>
            </w:r>
          </w:p>
        </w:tc>
        <w:tc>
          <w:tcPr>
            <w:tcW w:w="616" w:type="pct"/>
            <w:noWrap/>
            <w:vAlign w:val="center"/>
            <w:hideMark/>
          </w:tcPr>
          <w:p w14:paraId="2B8F985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38.6</w:t>
            </w:r>
          </w:p>
        </w:tc>
        <w:tc>
          <w:tcPr>
            <w:tcW w:w="771" w:type="pct"/>
            <w:noWrap/>
            <w:vAlign w:val="center"/>
            <w:hideMark/>
          </w:tcPr>
          <w:p w14:paraId="3ED5110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43.7</w:t>
            </w:r>
          </w:p>
        </w:tc>
        <w:tc>
          <w:tcPr>
            <w:tcW w:w="614" w:type="pct"/>
            <w:vAlign w:val="center"/>
          </w:tcPr>
          <w:p w14:paraId="0EFC4E2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76.30</w:t>
            </w:r>
          </w:p>
        </w:tc>
      </w:tr>
      <w:tr w:rsidR="006F65ED" w:rsidRPr="008321C0" w14:paraId="53E30D3E" w14:textId="77777777" w:rsidTr="00DF2420">
        <w:trPr>
          <w:trHeight w:val="179"/>
          <w:jc w:val="center"/>
        </w:trPr>
        <w:tc>
          <w:tcPr>
            <w:tcW w:w="375" w:type="pct"/>
            <w:noWrap/>
            <w:vAlign w:val="center"/>
            <w:hideMark/>
          </w:tcPr>
          <w:p w14:paraId="77E3CD7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w:t>
            </w:r>
          </w:p>
        </w:tc>
        <w:tc>
          <w:tcPr>
            <w:tcW w:w="1158" w:type="pct"/>
            <w:noWrap/>
            <w:vAlign w:val="center"/>
            <w:hideMark/>
          </w:tcPr>
          <w:p w14:paraId="794F5056"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Buldhana</w:t>
            </w:r>
          </w:p>
        </w:tc>
        <w:tc>
          <w:tcPr>
            <w:tcW w:w="772" w:type="pct"/>
            <w:noWrap/>
            <w:vAlign w:val="center"/>
            <w:hideMark/>
          </w:tcPr>
          <w:p w14:paraId="72C9DB5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78.1</w:t>
            </w:r>
          </w:p>
        </w:tc>
        <w:tc>
          <w:tcPr>
            <w:tcW w:w="694" w:type="pct"/>
            <w:noWrap/>
            <w:vAlign w:val="center"/>
            <w:hideMark/>
          </w:tcPr>
          <w:p w14:paraId="44EF97C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957</w:t>
            </w:r>
          </w:p>
        </w:tc>
        <w:tc>
          <w:tcPr>
            <w:tcW w:w="616" w:type="pct"/>
            <w:noWrap/>
            <w:vAlign w:val="center"/>
            <w:hideMark/>
          </w:tcPr>
          <w:p w14:paraId="369F8A8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41.8</w:t>
            </w:r>
          </w:p>
        </w:tc>
        <w:tc>
          <w:tcPr>
            <w:tcW w:w="771" w:type="pct"/>
            <w:noWrap/>
            <w:vAlign w:val="center"/>
            <w:hideMark/>
          </w:tcPr>
          <w:p w14:paraId="2192754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24.1</w:t>
            </w:r>
          </w:p>
        </w:tc>
        <w:tc>
          <w:tcPr>
            <w:tcW w:w="614" w:type="pct"/>
            <w:vAlign w:val="center"/>
          </w:tcPr>
          <w:p w14:paraId="0AAAC20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79.90</w:t>
            </w:r>
          </w:p>
        </w:tc>
      </w:tr>
      <w:tr w:rsidR="006F65ED" w:rsidRPr="008321C0" w14:paraId="2499C905" w14:textId="77777777" w:rsidTr="00DF2420">
        <w:trPr>
          <w:trHeight w:val="179"/>
          <w:jc w:val="center"/>
        </w:trPr>
        <w:tc>
          <w:tcPr>
            <w:tcW w:w="375" w:type="pct"/>
            <w:noWrap/>
            <w:vAlign w:val="center"/>
            <w:hideMark/>
          </w:tcPr>
          <w:p w14:paraId="487FD6E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w:t>
            </w:r>
          </w:p>
        </w:tc>
        <w:tc>
          <w:tcPr>
            <w:tcW w:w="1158" w:type="pct"/>
            <w:noWrap/>
            <w:vAlign w:val="center"/>
            <w:hideMark/>
          </w:tcPr>
          <w:p w14:paraId="6B64D594"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Chandrapur</w:t>
            </w:r>
          </w:p>
        </w:tc>
        <w:tc>
          <w:tcPr>
            <w:tcW w:w="772" w:type="pct"/>
            <w:noWrap/>
            <w:vAlign w:val="center"/>
            <w:hideMark/>
          </w:tcPr>
          <w:p w14:paraId="1662714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78.9</w:t>
            </w:r>
          </w:p>
        </w:tc>
        <w:tc>
          <w:tcPr>
            <w:tcW w:w="694" w:type="pct"/>
            <w:noWrap/>
            <w:vAlign w:val="center"/>
            <w:hideMark/>
          </w:tcPr>
          <w:p w14:paraId="59A1450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974</w:t>
            </w:r>
          </w:p>
        </w:tc>
        <w:tc>
          <w:tcPr>
            <w:tcW w:w="616" w:type="pct"/>
            <w:noWrap/>
            <w:vAlign w:val="center"/>
            <w:hideMark/>
          </w:tcPr>
          <w:p w14:paraId="1AE2F8C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57.5</w:t>
            </w:r>
          </w:p>
        </w:tc>
        <w:tc>
          <w:tcPr>
            <w:tcW w:w="771" w:type="pct"/>
            <w:noWrap/>
            <w:vAlign w:val="center"/>
            <w:hideMark/>
          </w:tcPr>
          <w:p w14:paraId="106E200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w:t>
            </w:r>
          </w:p>
        </w:tc>
        <w:tc>
          <w:tcPr>
            <w:tcW w:w="614" w:type="pct"/>
            <w:vAlign w:val="center"/>
          </w:tcPr>
          <w:p w14:paraId="6BCFF93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87.80</w:t>
            </w:r>
          </w:p>
        </w:tc>
      </w:tr>
      <w:tr w:rsidR="006F65ED" w:rsidRPr="008321C0" w14:paraId="723A4441" w14:textId="77777777" w:rsidTr="00DF2420">
        <w:trPr>
          <w:trHeight w:val="179"/>
          <w:jc w:val="center"/>
        </w:trPr>
        <w:tc>
          <w:tcPr>
            <w:tcW w:w="375" w:type="pct"/>
            <w:noWrap/>
            <w:vAlign w:val="center"/>
            <w:hideMark/>
          </w:tcPr>
          <w:p w14:paraId="3AC18448"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w:t>
            </w:r>
          </w:p>
        </w:tc>
        <w:tc>
          <w:tcPr>
            <w:tcW w:w="1158" w:type="pct"/>
            <w:noWrap/>
            <w:vAlign w:val="center"/>
            <w:hideMark/>
          </w:tcPr>
          <w:p w14:paraId="2CFC923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Dhule</w:t>
            </w:r>
          </w:p>
        </w:tc>
        <w:tc>
          <w:tcPr>
            <w:tcW w:w="772" w:type="pct"/>
            <w:noWrap/>
            <w:vAlign w:val="center"/>
            <w:hideMark/>
          </w:tcPr>
          <w:p w14:paraId="70828D4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73.5</w:t>
            </w:r>
          </w:p>
        </w:tc>
        <w:tc>
          <w:tcPr>
            <w:tcW w:w="694" w:type="pct"/>
            <w:noWrap/>
            <w:vAlign w:val="center"/>
            <w:hideMark/>
          </w:tcPr>
          <w:p w14:paraId="5B724D8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999</w:t>
            </w:r>
          </w:p>
        </w:tc>
        <w:tc>
          <w:tcPr>
            <w:tcW w:w="616" w:type="pct"/>
            <w:noWrap/>
            <w:vAlign w:val="center"/>
            <w:hideMark/>
          </w:tcPr>
          <w:p w14:paraId="4B144BF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40.8</w:t>
            </w:r>
          </w:p>
        </w:tc>
        <w:tc>
          <w:tcPr>
            <w:tcW w:w="771" w:type="pct"/>
            <w:noWrap/>
            <w:vAlign w:val="center"/>
            <w:hideMark/>
          </w:tcPr>
          <w:p w14:paraId="64B3377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40.5</w:t>
            </w:r>
          </w:p>
        </w:tc>
        <w:tc>
          <w:tcPr>
            <w:tcW w:w="614" w:type="pct"/>
            <w:vAlign w:val="center"/>
          </w:tcPr>
          <w:p w14:paraId="4A63D048"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68.80</w:t>
            </w:r>
          </w:p>
        </w:tc>
      </w:tr>
      <w:tr w:rsidR="006F65ED" w:rsidRPr="008321C0" w14:paraId="76FF2A13" w14:textId="77777777" w:rsidTr="00DF2420">
        <w:trPr>
          <w:trHeight w:val="179"/>
          <w:jc w:val="center"/>
        </w:trPr>
        <w:tc>
          <w:tcPr>
            <w:tcW w:w="375" w:type="pct"/>
            <w:noWrap/>
            <w:vAlign w:val="center"/>
            <w:hideMark/>
          </w:tcPr>
          <w:p w14:paraId="4059533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10</w:t>
            </w:r>
          </w:p>
        </w:tc>
        <w:tc>
          <w:tcPr>
            <w:tcW w:w="1158" w:type="pct"/>
            <w:noWrap/>
            <w:vAlign w:val="center"/>
            <w:hideMark/>
          </w:tcPr>
          <w:p w14:paraId="3DDB6570"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Gadchiroli</w:t>
            </w:r>
          </w:p>
        </w:tc>
        <w:tc>
          <w:tcPr>
            <w:tcW w:w="772" w:type="pct"/>
            <w:noWrap/>
            <w:vAlign w:val="center"/>
            <w:hideMark/>
          </w:tcPr>
          <w:p w14:paraId="24CF537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67.1</w:t>
            </w:r>
          </w:p>
        </w:tc>
        <w:tc>
          <w:tcPr>
            <w:tcW w:w="694" w:type="pct"/>
            <w:noWrap/>
            <w:vAlign w:val="center"/>
            <w:hideMark/>
          </w:tcPr>
          <w:p w14:paraId="40C153D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1048</w:t>
            </w:r>
          </w:p>
        </w:tc>
        <w:tc>
          <w:tcPr>
            <w:tcW w:w="616" w:type="pct"/>
            <w:noWrap/>
            <w:vAlign w:val="center"/>
            <w:hideMark/>
          </w:tcPr>
          <w:p w14:paraId="53BA62F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42.3</w:t>
            </w:r>
          </w:p>
        </w:tc>
        <w:tc>
          <w:tcPr>
            <w:tcW w:w="771" w:type="pct"/>
            <w:noWrap/>
            <w:vAlign w:val="center"/>
            <w:hideMark/>
          </w:tcPr>
          <w:p w14:paraId="3074050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10.1</w:t>
            </w:r>
          </w:p>
        </w:tc>
        <w:tc>
          <w:tcPr>
            <w:tcW w:w="614" w:type="pct"/>
            <w:vAlign w:val="center"/>
          </w:tcPr>
          <w:p w14:paraId="6DF1F98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79.40</w:t>
            </w:r>
          </w:p>
        </w:tc>
      </w:tr>
      <w:tr w:rsidR="006F65ED" w:rsidRPr="008321C0" w14:paraId="1403C465" w14:textId="77777777" w:rsidTr="00DF2420">
        <w:trPr>
          <w:trHeight w:val="179"/>
          <w:jc w:val="center"/>
        </w:trPr>
        <w:tc>
          <w:tcPr>
            <w:tcW w:w="375" w:type="pct"/>
            <w:noWrap/>
            <w:vAlign w:val="center"/>
            <w:hideMark/>
          </w:tcPr>
          <w:p w14:paraId="35FE205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11</w:t>
            </w:r>
          </w:p>
        </w:tc>
        <w:tc>
          <w:tcPr>
            <w:tcW w:w="1158" w:type="pct"/>
            <w:noWrap/>
            <w:vAlign w:val="center"/>
            <w:hideMark/>
          </w:tcPr>
          <w:p w14:paraId="712BE380"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Gondia</w:t>
            </w:r>
          </w:p>
        </w:tc>
        <w:tc>
          <w:tcPr>
            <w:tcW w:w="772" w:type="pct"/>
            <w:noWrap/>
            <w:vAlign w:val="center"/>
            <w:hideMark/>
          </w:tcPr>
          <w:p w14:paraId="3BC3984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80.4</w:t>
            </w:r>
          </w:p>
        </w:tc>
        <w:tc>
          <w:tcPr>
            <w:tcW w:w="694" w:type="pct"/>
            <w:noWrap/>
            <w:vAlign w:val="center"/>
            <w:hideMark/>
          </w:tcPr>
          <w:p w14:paraId="59B6333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994</w:t>
            </w:r>
          </w:p>
        </w:tc>
        <w:tc>
          <w:tcPr>
            <w:tcW w:w="616" w:type="pct"/>
            <w:noWrap/>
            <w:vAlign w:val="center"/>
            <w:hideMark/>
          </w:tcPr>
          <w:p w14:paraId="3DD780C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54.1</w:t>
            </w:r>
          </w:p>
        </w:tc>
        <w:tc>
          <w:tcPr>
            <w:tcW w:w="771" w:type="pct"/>
            <w:noWrap/>
            <w:vAlign w:val="center"/>
            <w:hideMark/>
          </w:tcPr>
          <w:p w14:paraId="0F7403D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6.5</w:t>
            </w:r>
          </w:p>
        </w:tc>
        <w:tc>
          <w:tcPr>
            <w:tcW w:w="614" w:type="pct"/>
            <w:vAlign w:val="center"/>
          </w:tcPr>
          <w:p w14:paraId="70C36B9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87.50</w:t>
            </w:r>
          </w:p>
        </w:tc>
      </w:tr>
      <w:tr w:rsidR="006F65ED" w:rsidRPr="008321C0" w14:paraId="63973A1A" w14:textId="77777777" w:rsidTr="00DF2420">
        <w:trPr>
          <w:trHeight w:val="179"/>
          <w:jc w:val="center"/>
        </w:trPr>
        <w:tc>
          <w:tcPr>
            <w:tcW w:w="375" w:type="pct"/>
            <w:noWrap/>
            <w:vAlign w:val="center"/>
            <w:hideMark/>
          </w:tcPr>
          <w:p w14:paraId="6F921B40"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lastRenderedPageBreak/>
              <w:t>12</w:t>
            </w:r>
          </w:p>
        </w:tc>
        <w:tc>
          <w:tcPr>
            <w:tcW w:w="1158" w:type="pct"/>
            <w:noWrap/>
            <w:vAlign w:val="center"/>
            <w:hideMark/>
          </w:tcPr>
          <w:p w14:paraId="532C47CE"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Hingoli</w:t>
            </w:r>
          </w:p>
        </w:tc>
        <w:tc>
          <w:tcPr>
            <w:tcW w:w="772" w:type="pct"/>
            <w:noWrap/>
            <w:vAlign w:val="center"/>
            <w:hideMark/>
          </w:tcPr>
          <w:p w14:paraId="64CB96D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69.4</w:t>
            </w:r>
          </w:p>
        </w:tc>
        <w:tc>
          <w:tcPr>
            <w:tcW w:w="694" w:type="pct"/>
            <w:noWrap/>
            <w:vAlign w:val="center"/>
            <w:hideMark/>
          </w:tcPr>
          <w:p w14:paraId="7167346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962</w:t>
            </w:r>
          </w:p>
        </w:tc>
        <w:tc>
          <w:tcPr>
            <w:tcW w:w="616" w:type="pct"/>
            <w:noWrap/>
            <w:vAlign w:val="center"/>
            <w:hideMark/>
          </w:tcPr>
          <w:p w14:paraId="1F528CB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33.2</w:t>
            </w:r>
          </w:p>
        </w:tc>
        <w:tc>
          <w:tcPr>
            <w:tcW w:w="771" w:type="pct"/>
            <w:noWrap/>
            <w:vAlign w:val="center"/>
            <w:hideMark/>
          </w:tcPr>
          <w:p w14:paraId="3CED29F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37.1</w:t>
            </w:r>
          </w:p>
        </w:tc>
        <w:tc>
          <w:tcPr>
            <w:tcW w:w="614" w:type="pct"/>
            <w:vAlign w:val="center"/>
          </w:tcPr>
          <w:p w14:paraId="716FA84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76.50</w:t>
            </w:r>
          </w:p>
        </w:tc>
      </w:tr>
      <w:tr w:rsidR="006F65ED" w:rsidRPr="008321C0" w14:paraId="59AF5805" w14:textId="77777777" w:rsidTr="00DF2420">
        <w:trPr>
          <w:trHeight w:val="179"/>
          <w:jc w:val="center"/>
        </w:trPr>
        <w:tc>
          <w:tcPr>
            <w:tcW w:w="375" w:type="pct"/>
            <w:noWrap/>
            <w:vAlign w:val="center"/>
            <w:hideMark/>
          </w:tcPr>
          <w:p w14:paraId="3B9CEBF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13</w:t>
            </w:r>
          </w:p>
        </w:tc>
        <w:tc>
          <w:tcPr>
            <w:tcW w:w="1158" w:type="pct"/>
            <w:noWrap/>
            <w:vAlign w:val="center"/>
            <w:hideMark/>
          </w:tcPr>
          <w:p w14:paraId="0E150128"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Jalgaon</w:t>
            </w:r>
          </w:p>
        </w:tc>
        <w:tc>
          <w:tcPr>
            <w:tcW w:w="772" w:type="pct"/>
            <w:noWrap/>
            <w:vAlign w:val="center"/>
            <w:hideMark/>
          </w:tcPr>
          <w:p w14:paraId="56DA054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77.5</w:t>
            </w:r>
          </w:p>
        </w:tc>
        <w:tc>
          <w:tcPr>
            <w:tcW w:w="694" w:type="pct"/>
            <w:noWrap/>
            <w:vAlign w:val="center"/>
            <w:hideMark/>
          </w:tcPr>
          <w:p w14:paraId="0508E23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983</w:t>
            </w:r>
          </w:p>
        </w:tc>
        <w:tc>
          <w:tcPr>
            <w:tcW w:w="616" w:type="pct"/>
            <w:noWrap/>
            <w:vAlign w:val="center"/>
            <w:hideMark/>
          </w:tcPr>
          <w:p w14:paraId="40DB09A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40.8</w:t>
            </w:r>
          </w:p>
        </w:tc>
        <w:tc>
          <w:tcPr>
            <w:tcW w:w="771" w:type="pct"/>
            <w:noWrap/>
            <w:vAlign w:val="center"/>
            <w:hideMark/>
          </w:tcPr>
          <w:p w14:paraId="2E0E5C4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28</w:t>
            </w:r>
          </w:p>
        </w:tc>
        <w:tc>
          <w:tcPr>
            <w:tcW w:w="614" w:type="pct"/>
            <w:vAlign w:val="center"/>
          </w:tcPr>
          <w:p w14:paraId="77F6FF5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76.50</w:t>
            </w:r>
          </w:p>
        </w:tc>
      </w:tr>
      <w:tr w:rsidR="006F65ED" w:rsidRPr="008321C0" w14:paraId="577B1204" w14:textId="77777777" w:rsidTr="00DF2420">
        <w:trPr>
          <w:trHeight w:val="179"/>
          <w:jc w:val="center"/>
        </w:trPr>
        <w:tc>
          <w:tcPr>
            <w:tcW w:w="375" w:type="pct"/>
            <w:noWrap/>
            <w:vAlign w:val="center"/>
            <w:hideMark/>
          </w:tcPr>
          <w:p w14:paraId="36D08B5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14</w:t>
            </w:r>
          </w:p>
        </w:tc>
        <w:tc>
          <w:tcPr>
            <w:tcW w:w="1158" w:type="pct"/>
            <w:noWrap/>
            <w:vAlign w:val="center"/>
            <w:hideMark/>
          </w:tcPr>
          <w:p w14:paraId="797F3690"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Jalna</w:t>
            </w:r>
          </w:p>
        </w:tc>
        <w:tc>
          <w:tcPr>
            <w:tcW w:w="772" w:type="pct"/>
            <w:noWrap/>
            <w:vAlign w:val="center"/>
            <w:hideMark/>
          </w:tcPr>
          <w:p w14:paraId="205D32F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67.6</w:t>
            </w:r>
          </w:p>
        </w:tc>
        <w:tc>
          <w:tcPr>
            <w:tcW w:w="694" w:type="pct"/>
            <w:noWrap/>
            <w:vAlign w:val="center"/>
            <w:hideMark/>
          </w:tcPr>
          <w:p w14:paraId="327902E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948</w:t>
            </w:r>
          </w:p>
        </w:tc>
        <w:tc>
          <w:tcPr>
            <w:tcW w:w="616" w:type="pct"/>
            <w:noWrap/>
            <w:vAlign w:val="center"/>
            <w:hideMark/>
          </w:tcPr>
          <w:p w14:paraId="677205B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34.3</w:t>
            </w:r>
          </w:p>
        </w:tc>
        <w:tc>
          <w:tcPr>
            <w:tcW w:w="771" w:type="pct"/>
            <w:noWrap/>
            <w:vAlign w:val="center"/>
            <w:hideMark/>
          </w:tcPr>
          <w:p w14:paraId="1C52A34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35</w:t>
            </w:r>
          </w:p>
        </w:tc>
        <w:tc>
          <w:tcPr>
            <w:tcW w:w="614" w:type="pct"/>
            <w:vAlign w:val="center"/>
          </w:tcPr>
          <w:p w14:paraId="294F04E2"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71.80</w:t>
            </w:r>
          </w:p>
        </w:tc>
      </w:tr>
      <w:tr w:rsidR="006F65ED" w:rsidRPr="008321C0" w14:paraId="67CF3FF1" w14:textId="77777777" w:rsidTr="00DF2420">
        <w:trPr>
          <w:trHeight w:val="179"/>
          <w:jc w:val="center"/>
        </w:trPr>
        <w:tc>
          <w:tcPr>
            <w:tcW w:w="375" w:type="pct"/>
            <w:noWrap/>
            <w:vAlign w:val="center"/>
            <w:hideMark/>
          </w:tcPr>
          <w:p w14:paraId="276EFAF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15</w:t>
            </w:r>
          </w:p>
        </w:tc>
        <w:tc>
          <w:tcPr>
            <w:tcW w:w="1158" w:type="pct"/>
            <w:noWrap/>
            <w:vAlign w:val="center"/>
            <w:hideMark/>
          </w:tcPr>
          <w:p w14:paraId="679EDBED"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Kolhapur</w:t>
            </w:r>
          </w:p>
        </w:tc>
        <w:tc>
          <w:tcPr>
            <w:tcW w:w="772" w:type="pct"/>
            <w:noWrap/>
            <w:vAlign w:val="center"/>
            <w:hideMark/>
          </w:tcPr>
          <w:p w14:paraId="5467F92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80.2</w:t>
            </w:r>
          </w:p>
        </w:tc>
        <w:tc>
          <w:tcPr>
            <w:tcW w:w="694" w:type="pct"/>
            <w:noWrap/>
            <w:vAlign w:val="center"/>
            <w:hideMark/>
          </w:tcPr>
          <w:p w14:paraId="33CE0FC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1025</w:t>
            </w:r>
          </w:p>
        </w:tc>
        <w:tc>
          <w:tcPr>
            <w:tcW w:w="616" w:type="pct"/>
            <w:noWrap/>
            <w:vAlign w:val="center"/>
            <w:hideMark/>
          </w:tcPr>
          <w:p w14:paraId="0340317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53.8</w:t>
            </w:r>
          </w:p>
        </w:tc>
        <w:tc>
          <w:tcPr>
            <w:tcW w:w="771" w:type="pct"/>
            <w:noWrap/>
            <w:vAlign w:val="center"/>
            <w:hideMark/>
          </w:tcPr>
          <w:p w14:paraId="50B76D5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21</w:t>
            </w:r>
          </w:p>
        </w:tc>
        <w:tc>
          <w:tcPr>
            <w:tcW w:w="614" w:type="pct"/>
            <w:vAlign w:val="center"/>
          </w:tcPr>
          <w:p w14:paraId="27EA6FC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90.70</w:t>
            </w:r>
          </w:p>
        </w:tc>
      </w:tr>
      <w:tr w:rsidR="006F65ED" w:rsidRPr="008321C0" w14:paraId="01345FEF" w14:textId="77777777" w:rsidTr="00DF2420">
        <w:trPr>
          <w:trHeight w:val="179"/>
          <w:jc w:val="center"/>
        </w:trPr>
        <w:tc>
          <w:tcPr>
            <w:tcW w:w="375" w:type="pct"/>
            <w:noWrap/>
            <w:vAlign w:val="center"/>
            <w:hideMark/>
          </w:tcPr>
          <w:p w14:paraId="14D4FD2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16</w:t>
            </w:r>
          </w:p>
        </w:tc>
        <w:tc>
          <w:tcPr>
            <w:tcW w:w="1158" w:type="pct"/>
            <w:noWrap/>
            <w:vAlign w:val="center"/>
            <w:hideMark/>
          </w:tcPr>
          <w:p w14:paraId="4A00C3FE"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Latur</w:t>
            </w:r>
          </w:p>
        </w:tc>
        <w:tc>
          <w:tcPr>
            <w:tcW w:w="772" w:type="pct"/>
            <w:noWrap/>
            <w:vAlign w:val="center"/>
            <w:hideMark/>
          </w:tcPr>
          <w:p w14:paraId="1A6BC6A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70.6</w:t>
            </w:r>
          </w:p>
        </w:tc>
        <w:tc>
          <w:tcPr>
            <w:tcW w:w="694" w:type="pct"/>
            <w:noWrap/>
            <w:vAlign w:val="center"/>
            <w:hideMark/>
          </w:tcPr>
          <w:p w14:paraId="33B0FDA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979</w:t>
            </w:r>
          </w:p>
        </w:tc>
        <w:tc>
          <w:tcPr>
            <w:tcW w:w="616" w:type="pct"/>
            <w:noWrap/>
            <w:vAlign w:val="center"/>
            <w:hideMark/>
          </w:tcPr>
          <w:p w14:paraId="27FF318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40.7</w:t>
            </w:r>
          </w:p>
        </w:tc>
        <w:tc>
          <w:tcPr>
            <w:tcW w:w="771" w:type="pct"/>
            <w:noWrap/>
            <w:vAlign w:val="center"/>
            <w:hideMark/>
          </w:tcPr>
          <w:p w14:paraId="041CD82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31</w:t>
            </w:r>
          </w:p>
        </w:tc>
        <w:tc>
          <w:tcPr>
            <w:tcW w:w="614" w:type="pct"/>
            <w:vAlign w:val="center"/>
          </w:tcPr>
          <w:p w14:paraId="619DE3A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83.30</w:t>
            </w:r>
          </w:p>
        </w:tc>
      </w:tr>
      <w:tr w:rsidR="006F65ED" w:rsidRPr="008321C0" w14:paraId="49164668" w14:textId="77777777" w:rsidTr="00DF2420">
        <w:trPr>
          <w:trHeight w:val="179"/>
          <w:jc w:val="center"/>
        </w:trPr>
        <w:tc>
          <w:tcPr>
            <w:tcW w:w="375" w:type="pct"/>
            <w:noWrap/>
            <w:vAlign w:val="center"/>
            <w:hideMark/>
          </w:tcPr>
          <w:p w14:paraId="5150FF82"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17</w:t>
            </w:r>
          </w:p>
        </w:tc>
        <w:tc>
          <w:tcPr>
            <w:tcW w:w="1158" w:type="pct"/>
            <w:noWrap/>
            <w:vAlign w:val="center"/>
            <w:hideMark/>
          </w:tcPr>
          <w:p w14:paraId="2B66F419"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Mumbai Suburban</w:t>
            </w:r>
          </w:p>
        </w:tc>
        <w:tc>
          <w:tcPr>
            <w:tcW w:w="772" w:type="pct"/>
            <w:noWrap/>
            <w:vAlign w:val="center"/>
            <w:hideMark/>
          </w:tcPr>
          <w:p w14:paraId="27AF282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88.5</w:t>
            </w:r>
          </w:p>
        </w:tc>
        <w:tc>
          <w:tcPr>
            <w:tcW w:w="694" w:type="pct"/>
            <w:noWrap/>
            <w:vAlign w:val="center"/>
            <w:hideMark/>
          </w:tcPr>
          <w:p w14:paraId="05A4BF3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921</w:t>
            </w:r>
          </w:p>
        </w:tc>
        <w:tc>
          <w:tcPr>
            <w:tcW w:w="616" w:type="pct"/>
            <w:noWrap/>
            <w:vAlign w:val="center"/>
            <w:hideMark/>
          </w:tcPr>
          <w:p w14:paraId="1C490A7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65.7</w:t>
            </w:r>
          </w:p>
        </w:tc>
        <w:tc>
          <w:tcPr>
            <w:tcW w:w="771" w:type="pct"/>
            <w:noWrap/>
            <w:vAlign w:val="center"/>
            <w:hideMark/>
          </w:tcPr>
          <w:p w14:paraId="3923040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w:t>
            </w:r>
          </w:p>
        </w:tc>
        <w:tc>
          <w:tcPr>
            <w:tcW w:w="614" w:type="pct"/>
            <w:vAlign w:val="center"/>
          </w:tcPr>
          <w:p w14:paraId="0F5EF62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91.60</w:t>
            </w:r>
          </w:p>
        </w:tc>
      </w:tr>
      <w:tr w:rsidR="006F65ED" w:rsidRPr="008321C0" w14:paraId="30F879D0" w14:textId="77777777" w:rsidTr="00DF2420">
        <w:trPr>
          <w:trHeight w:val="179"/>
          <w:jc w:val="center"/>
        </w:trPr>
        <w:tc>
          <w:tcPr>
            <w:tcW w:w="375" w:type="pct"/>
            <w:noWrap/>
            <w:vAlign w:val="center"/>
            <w:hideMark/>
          </w:tcPr>
          <w:p w14:paraId="7697D08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18</w:t>
            </w:r>
          </w:p>
        </w:tc>
        <w:tc>
          <w:tcPr>
            <w:tcW w:w="1158" w:type="pct"/>
            <w:noWrap/>
            <w:vAlign w:val="center"/>
            <w:hideMark/>
          </w:tcPr>
          <w:p w14:paraId="3926E511"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Mumbai</w:t>
            </w:r>
          </w:p>
        </w:tc>
        <w:tc>
          <w:tcPr>
            <w:tcW w:w="772" w:type="pct"/>
            <w:noWrap/>
            <w:vAlign w:val="center"/>
            <w:hideMark/>
          </w:tcPr>
          <w:p w14:paraId="242E8EE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92.5</w:t>
            </w:r>
          </w:p>
        </w:tc>
        <w:tc>
          <w:tcPr>
            <w:tcW w:w="694" w:type="pct"/>
            <w:noWrap/>
            <w:vAlign w:val="center"/>
            <w:hideMark/>
          </w:tcPr>
          <w:p w14:paraId="292DD41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939</w:t>
            </w:r>
          </w:p>
        </w:tc>
        <w:tc>
          <w:tcPr>
            <w:tcW w:w="616" w:type="pct"/>
            <w:noWrap/>
            <w:vAlign w:val="center"/>
            <w:hideMark/>
          </w:tcPr>
          <w:p w14:paraId="5E2E66D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71.1</w:t>
            </w:r>
          </w:p>
        </w:tc>
        <w:tc>
          <w:tcPr>
            <w:tcW w:w="771" w:type="pct"/>
            <w:noWrap/>
            <w:vAlign w:val="center"/>
            <w:hideMark/>
          </w:tcPr>
          <w:p w14:paraId="352B78C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w:t>
            </w:r>
          </w:p>
        </w:tc>
        <w:tc>
          <w:tcPr>
            <w:tcW w:w="614" w:type="pct"/>
            <w:vAlign w:val="center"/>
          </w:tcPr>
          <w:p w14:paraId="5FC5591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94.30</w:t>
            </w:r>
          </w:p>
        </w:tc>
      </w:tr>
      <w:tr w:rsidR="006F65ED" w:rsidRPr="008321C0" w14:paraId="63426E64" w14:textId="77777777" w:rsidTr="00DF2420">
        <w:trPr>
          <w:trHeight w:val="179"/>
          <w:jc w:val="center"/>
        </w:trPr>
        <w:tc>
          <w:tcPr>
            <w:tcW w:w="375" w:type="pct"/>
            <w:noWrap/>
            <w:vAlign w:val="center"/>
            <w:hideMark/>
          </w:tcPr>
          <w:p w14:paraId="4765F6F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19</w:t>
            </w:r>
          </w:p>
        </w:tc>
        <w:tc>
          <w:tcPr>
            <w:tcW w:w="1158" w:type="pct"/>
            <w:noWrap/>
            <w:vAlign w:val="center"/>
            <w:hideMark/>
          </w:tcPr>
          <w:p w14:paraId="2DBFD90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Nagpur</w:t>
            </w:r>
          </w:p>
        </w:tc>
        <w:tc>
          <w:tcPr>
            <w:tcW w:w="772" w:type="pct"/>
            <w:noWrap/>
            <w:vAlign w:val="center"/>
            <w:hideMark/>
          </w:tcPr>
          <w:p w14:paraId="33F62BC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86.5</w:t>
            </w:r>
          </w:p>
        </w:tc>
        <w:tc>
          <w:tcPr>
            <w:tcW w:w="694" w:type="pct"/>
            <w:noWrap/>
            <w:vAlign w:val="center"/>
            <w:hideMark/>
          </w:tcPr>
          <w:p w14:paraId="05FA2E4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971</w:t>
            </w:r>
          </w:p>
        </w:tc>
        <w:tc>
          <w:tcPr>
            <w:tcW w:w="616" w:type="pct"/>
            <w:noWrap/>
            <w:vAlign w:val="center"/>
            <w:hideMark/>
          </w:tcPr>
          <w:p w14:paraId="69CE7AD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67.6</w:t>
            </w:r>
          </w:p>
        </w:tc>
        <w:tc>
          <w:tcPr>
            <w:tcW w:w="771" w:type="pct"/>
            <w:noWrap/>
            <w:vAlign w:val="center"/>
            <w:hideMark/>
          </w:tcPr>
          <w:p w14:paraId="314A64A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w:t>
            </w:r>
          </w:p>
        </w:tc>
        <w:tc>
          <w:tcPr>
            <w:tcW w:w="614" w:type="pct"/>
            <w:vAlign w:val="center"/>
          </w:tcPr>
          <w:p w14:paraId="0E04A53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94.60</w:t>
            </w:r>
          </w:p>
        </w:tc>
      </w:tr>
      <w:tr w:rsidR="006F65ED" w:rsidRPr="008321C0" w14:paraId="3409BCEF" w14:textId="77777777" w:rsidTr="00DF2420">
        <w:trPr>
          <w:trHeight w:val="179"/>
          <w:jc w:val="center"/>
        </w:trPr>
        <w:tc>
          <w:tcPr>
            <w:tcW w:w="375" w:type="pct"/>
            <w:noWrap/>
            <w:vAlign w:val="center"/>
            <w:hideMark/>
          </w:tcPr>
          <w:p w14:paraId="0691DC8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20</w:t>
            </w:r>
          </w:p>
        </w:tc>
        <w:tc>
          <w:tcPr>
            <w:tcW w:w="1158" w:type="pct"/>
            <w:noWrap/>
            <w:vAlign w:val="center"/>
            <w:hideMark/>
          </w:tcPr>
          <w:p w14:paraId="24C5031A"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Nanded</w:t>
            </w:r>
          </w:p>
        </w:tc>
        <w:tc>
          <w:tcPr>
            <w:tcW w:w="772" w:type="pct"/>
            <w:noWrap/>
            <w:vAlign w:val="center"/>
            <w:hideMark/>
          </w:tcPr>
          <w:p w14:paraId="3514C5C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68.1</w:t>
            </w:r>
          </w:p>
        </w:tc>
        <w:tc>
          <w:tcPr>
            <w:tcW w:w="694" w:type="pct"/>
            <w:noWrap/>
            <w:vAlign w:val="center"/>
            <w:hideMark/>
          </w:tcPr>
          <w:p w14:paraId="78F51CA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970</w:t>
            </w:r>
          </w:p>
        </w:tc>
        <w:tc>
          <w:tcPr>
            <w:tcW w:w="616" w:type="pct"/>
            <w:noWrap/>
            <w:vAlign w:val="center"/>
            <w:hideMark/>
          </w:tcPr>
          <w:p w14:paraId="6E58B13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31.6</w:t>
            </w:r>
          </w:p>
        </w:tc>
        <w:tc>
          <w:tcPr>
            <w:tcW w:w="771" w:type="pct"/>
            <w:noWrap/>
            <w:vAlign w:val="center"/>
            <w:hideMark/>
          </w:tcPr>
          <w:p w14:paraId="5B94867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32.2</w:t>
            </w:r>
          </w:p>
        </w:tc>
        <w:tc>
          <w:tcPr>
            <w:tcW w:w="614" w:type="pct"/>
            <w:vAlign w:val="center"/>
          </w:tcPr>
          <w:p w14:paraId="6BF86A0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71.90</w:t>
            </w:r>
          </w:p>
        </w:tc>
      </w:tr>
      <w:tr w:rsidR="006F65ED" w:rsidRPr="008321C0" w14:paraId="3BD21631" w14:textId="77777777" w:rsidTr="00DF2420">
        <w:trPr>
          <w:trHeight w:val="179"/>
          <w:jc w:val="center"/>
        </w:trPr>
        <w:tc>
          <w:tcPr>
            <w:tcW w:w="375" w:type="pct"/>
            <w:noWrap/>
            <w:vAlign w:val="center"/>
            <w:hideMark/>
          </w:tcPr>
          <w:p w14:paraId="74A1DD7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21</w:t>
            </w:r>
          </w:p>
        </w:tc>
        <w:tc>
          <w:tcPr>
            <w:tcW w:w="1158" w:type="pct"/>
            <w:noWrap/>
            <w:vAlign w:val="center"/>
            <w:hideMark/>
          </w:tcPr>
          <w:p w14:paraId="00BAD4E3"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Nandurbar</w:t>
            </w:r>
          </w:p>
        </w:tc>
        <w:tc>
          <w:tcPr>
            <w:tcW w:w="772" w:type="pct"/>
            <w:noWrap/>
            <w:vAlign w:val="center"/>
            <w:hideMark/>
          </w:tcPr>
          <w:p w14:paraId="1A85BF3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63.5</w:t>
            </w:r>
          </w:p>
        </w:tc>
        <w:tc>
          <w:tcPr>
            <w:tcW w:w="694" w:type="pct"/>
            <w:noWrap/>
            <w:vAlign w:val="center"/>
            <w:hideMark/>
          </w:tcPr>
          <w:p w14:paraId="1806588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961</w:t>
            </w:r>
          </w:p>
        </w:tc>
        <w:tc>
          <w:tcPr>
            <w:tcW w:w="616" w:type="pct"/>
            <w:noWrap/>
            <w:vAlign w:val="center"/>
            <w:hideMark/>
          </w:tcPr>
          <w:p w14:paraId="467F48C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29.9</w:t>
            </w:r>
          </w:p>
        </w:tc>
        <w:tc>
          <w:tcPr>
            <w:tcW w:w="771" w:type="pct"/>
            <w:noWrap/>
            <w:vAlign w:val="center"/>
            <w:hideMark/>
          </w:tcPr>
          <w:p w14:paraId="1C18346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w:t>
            </w:r>
          </w:p>
        </w:tc>
        <w:tc>
          <w:tcPr>
            <w:tcW w:w="614" w:type="pct"/>
            <w:vAlign w:val="center"/>
          </w:tcPr>
          <w:p w14:paraId="679E37D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57.70</w:t>
            </w:r>
          </w:p>
        </w:tc>
      </w:tr>
      <w:tr w:rsidR="006F65ED" w:rsidRPr="008321C0" w14:paraId="27315153" w14:textId="77777777" w:rsidTr="00DF2420">
        <w:trPr>
          <w:trHeight w:val="179"/>
          <w:jc w:val="center"/>
        </w:trPr>
        <w:tc>
          <w:tcPr>
            <w:tcW w:w="375" w:type="pct"/>
            <w:noWrap/>
            <w:vAlign w:val="center"/>
            <w:hideMark/>
          </w:tcPr>
          <w:p w14:paraId="05AA27C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22</w:t>
            </w:r>
          </w:p>
        </w:tc>
        <w:tc>
          <w:tcPr>
            <w:tcW w:w="1158" w:type="pct"/>
            <w:noWrap/>
            <w:vAlign w:val="center"/>
            <w:hideMark/>
          </w:tcPr>
          <w:p w14:paraId="6BC4A5D4"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Nashik</w:t>
            </w:r>
          </w:p>
        </w:tc>
        <w:tc>
          <w:tcPr>
            <w:tcW w:w="772" w:type="pct"/>
            <w:noWrap/>
            <w:vAlign w:val="center"/>
            <w:hideMark/>
          </w:tcPr>
          <w:p w14:paraId="721A9A1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78.2</w:t>
            </w:r>
          </w:p>
        </w:tc>
        <w:tc>
          <w:tcPr>
            <w:tcW w:w="694" w:type="pct"/>
            <w:noWrap/>
            <w:vAlign w:val="center"/>
            <w:hideMark/>
          </w:tcPr>
          <w:p w14:paraId="0197648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913</w:t>
            </w:r>
          </w:p>
        </w:tc>
        <w:tc>
          <w:tcPr>
            <w:tcW w:w="616" w:type="pct"/>
            <w:noWrap/>
            <w:vAlign w:val="center"/>
            <w:hideMark/>
          </w:tcPr>
          <w:p w14:paraId="27F7D9E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42.6</w:t>
            </w:r>
          </w:p>
        </w:tc>
        <w:tc>
          <w:tcPr>
            <w:tcW w:w="771" w:type="pct"/>
            <w:noWrap/>
            <w:vAlign w:val="center"/>
            <w:hideMark/>
          </w:tcPr>
          <w:p w14:paraId="6A6FEE8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29.6</w:t>
            </w:r>
          </w:p>
        </w:tc>
        <w:tc>
          <w:tcPr>
            <w:tcW w:w="614" w:type="pct"/>
            <w:vAlign w:val="center"/>
          </w:tcPr>
          <w:p w14:paraId="631E946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80.00</w:t>
            </w:r>
          </w:p>
        </w:tc>
      </w:tr>
      <w:tr w:rsidR="006F65ED" w:rsidRPr="008321C0" w14:paraId="51DB1E9E" w14:textId="77777777" w:rsidTr="00DF2420">
        <w:trPr>
          <w:trHeight w:val="179"/>
          <w:jc w:val="center"/>
        </w:trPr>
        <w:tc>
          <w:tcPr>
            <w:tcW w:w="375" w:type="pct"/>
            <w:noWrap/>
            <w:vAlign w:val="center"/>
            <w:hideMark/>
          </w:tcPr>
          <w:p w14:paraId="2A099F5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23</w:t>
            </w:r>
          </w:p>
        </w:tc>
        <w:tc>
          <w:tcPr>
            <w:tcW w:w="1158" w:type="pct"/>
            <w:noWrap/>
            <w:vAlign w:val="center"/>
            <w:hideMark/>
          </w:tcPr>
          <w:p w14:paraId="4E31A8D0"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Osmanabad</w:t>
            </w:r>
          </w:p>
        </w:tc>
        <w:tc>
          <w:tcPr>
            <w:tcW w:w="772" w:type="pct"/>
            <w:noWrap/>
            <w:vAlign w:val="center"/>
            <w:hideMark/>
          </w:tcPr>
          <w:p w14:paraId="62260AD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71.3</w:t>
            </w:r>
          </w:p>
        </w:tc>
        <w:tc>
          <w:tcPr>
            <w:tcW w:w="694" w:type="pct"/>
            <w:noWrap/>
            <w:vAlign w:val="center"/>
            <w:hideMark/>
          </w:tcPr>
          <w:p w14:paraId="687B3E7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992</w:t>
            </w:r>
          </w:p>
        </w:tc>
        <w:tc>
          <w:tcPr>
            <w:tcW w:w="616" w:type="pct"/>
            <w:noWrap/>
            <w:vAlign w:val="center"/>
            <w:hideMark/>
          </w:tcPr>
          <w:p w14:paraId="5B190D7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41.5</w:t>
            </w:r>
          </w:p>
        </w:tc>
        <w:tc>
          <w:tcPr>
            <w:tcW w:w="771" w:type="pct"/>
            <w:noWrap/>
            <w:vAlign w:val="center"/>
            <w:hideMark/>
          </w:tcPr>
          <w:p w14:paraId="6B264FB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36.6</w:t>
            </w:r>
          </w:p>
        </w:tc>
        <w:tc>
          <w:tcPr>
            <w:tcW w:w="614" w:type="pct"/>
            <w:vAlign w:val="center"/>
          </w:tcPr>
          <w:p w14:paraId="37CD163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83.70</w:t>
            </w:r>
          </w:p>
        </w:tc>
      </w:tr>
      <w:tr w:rsidR="006F65ED" w:rsidRPr="008321C0" w14:paraId="4109F705" w14:textId="77777777" w:rsidTr="00DF2420">
        <w:trPr>
          <w:trHeight w:val="179"/>
          <w:jc w:val="center"/>
        </w:trPr>
        <w:tc>
          <w:tcPr>
            <w:tcW w:w="375" w:type="pct"/>
            <w:noWrap/>
            <w:vAlign w:val="center"/>
            <w:hideMark/>
          </w:tcPr>
          <w:p w14:paraId="5E3261E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24</w:t>
            </w:r>
          </w:p>
        </w:tc>
        <w:tc>
          <w:tcPr>
            <w:tcW w:w="1158" w:type="pct"/>
            <w:noWrap/>
            <w:vAlign w:val="center"/>
            <w:hideMark/>
          </w:tcPr>
          <w:p w14:paraId="4DE3825C"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Palghar</w:t>
            </w:r>
          </w:p>
        </w:tc>
        <w:tc>
          <w:tcPr>
            <w:tcW w:w="772" w:type="pct"/>
            <w:noWrap/>
            <w:vAlign w:val="center"/>
            <w:hideMark/>
          </w:tcPr>
          <w:p w14:paraId="2C0CE54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77.5</w:t>
            </w:r>
          </w:p>
        </w:tc>
        <w:tc>
          <w:tcPr>
            <w:tcW w:w="694" w:type="pct"/>
            <w:noWrap/>
            <w:vAlign w:val="center"/>
            <w:hideMark/>
          </w:tcPr>
          <w:p w14:paraId="05C4B72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963</w:t>
            </w:r>
          </w:p>
        </w:tc>
        <w:tc>
          <w:tcPr>
            <w:tcW w:w="616" w:type="pct"/>
            <w:noWrap/>
            <w:vAlign w:val="center"/>
            <w:hideMark/>
          </w:tcPr>
          <w:p w14:paraId="66B3FFC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48.3</w:t>
            </w:r>
          </w:p>
        </w:tc>
        <w:tc>
          <w:tcPr>
            <w:tcW w:w="771" w:type="pct"/>
            <w:noWrap/>
            <w:vAlign w:val="center"/>
            <w:hideMark/>
          </w:tcPr>
          <w:p w14:paraId="22686B9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14.6</w:t>
            </w:r>
          </w:p>
        </w:tc>
        <w:tc>
          <w:tcPr>
            <w:tcW w:w="614" w:type="pct"/>
            <w:vAlign w:val="center"/>
          </w:tcPr>
          <w:p w14:paraId="1AF4EBE2"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77.60</w:t>
            </w:r>
          </w:p>
        </w:tc>
      </w:tr>
      <w:tr w:rsidR="006F65ED" w:rsidRPr="008321C0" w14:paraId="76F1241D" w14:textId="77777777" w:rsidTr="00DF2420">
        <w:trPr>
          <w:trHeight w:val="179"/>
          <w:jc w:val="center"/>
        </w:trPr>
        <w:tc>
          <w:tcPr>
            <w:tcW w:w="375" w:type="pct"/>
            <w:noWrap/>
            <w:vAlign w:val="center"/>
            <w:hideMark/>
          </w:tcPr>
          <w:p w14:paraId="3656645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25</w:t>
            </w:r>
          </w:p>
        </w:tc>
        <w:tc>
          <w:tcPr>
            <w:tcW w:w="1158" w:type="pct"/>
            <w:noWrap/>
            <w:vAlign w:val="center"/>
            <w:hideMark/>
          </w:tcPr>
          <w:p w14:paraId="2B5347AD"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Parbhani</w:t>
            </w:r>
          </w:p>
        </w:tc>
        <w:tc>
          <w:tcPr>
            <w:tcW w:w="772" w:type="pct"/>
            <w:noWrap/>
            <w:vAlign w:val="center"/>
            <w:hideMark/>
          </w:tcPr>
          <w:p w14:paraId="34F17FE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67.1</w:t>
            </w:r>
          </w:p>
        </w:tc>
        <w:tc>
          <w:tcPr>
            <w:tcW w:w="694" w:type="pct"/>
            <w:noWrap/>
            <w:vAlign w:val="center"/>
            <w:hideMark/>
          </w:tcPr>
          <w:p w14:paraId="2FC59D4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966</w:t>
            </w:r>
          </w:p>
        </w:tc>
        <w:tc>
          <w:tcPr>
            <w:tcW w:w="616" w:type="pct"/>
            <w:noWrap/>
            <w:vAlign w:val="center"/>
            <w:hideMark/>
          </w:tcPr>
          <w:p w14:paraId="4B2ED7F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28.8</w:t>
            </w:r>
          </w:p>
        </w:tc>
        <w:tc>
          <w:tcPr>
            <w:tcW w:w="771" w:type="pct"/>
            <w:noWrap/>
            <w:vAlign w:val="center"/>
            <w:hideMark/>
          </w:tcPr>
          <w:p w14:paraId="5F2053F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w:t>
            </w:r>
          </w:p>
        </w:tc>
        <w:tc>
          <w:tcPr>
            <w:tcW w:w="614" w:type="pct"/>
            <w:vAlign w:val="center"/>
          </w:tcPr>
          <w:p w14:paraId="7642ACE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73.40</w:t>
            </w:r>
          </w:p>
        </w:tc>
      </w:tr>
      <w:tr w:rsidR="006F65ED" w:rsidRPr="008321C0" w14:paraId="21CB20F2" w14:textId="77777777" w:rsidTr="00DF2420">
        <w:trPr>
          <w:trHeight w:val="179"/>
          <w:jc w:val="center"/>
        </w:trPr>
        <w:tc>
          <w:tcPr>
            <w:tcW w:w="375" w:type="pct"/>
            <w:noWrap/>
            <w:vAlign w:val="center"/>
            <w:hideMark/>
          </w:tcPr>
          <w:p w14:paraId="1C035DE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26</w:t>
            </w:r>
          </w:p>
        </w:tc>
        <w:tc>
          <w:tcPr>
            <w:tcW w:w="1158" w:type="pct"/>
            <w:noWrap/>
            <w:vAlign w:val="center"/>
            <w:hideMark/>
          </w:tcPr>
          <w:p w14:paraId="48363A03"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Pune</w:t>
            </w:r>
          </w:p>
        </w:tc>
        <w:tc>
          <w:tcPr>
            <w:tcW w:w="772" w:type="pct"/>
            <w:noWrap/>
            <w:vAlign w:val="center"/>
            <w:hideMark/>
          </w:tcPr>
          <w:p w14:paraId="635C6FC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84.8</w:t>
            </w:r>
          </w:p>
        </w:tc>
        <w:tc>
          <w:tcPr>
            <w:tcW w:w="694" w:type="pct"/>
            <w:noWrap/>
            <w:vAlign w:val="center"/>
            <w:hideMark/>
          </w:tcPr>
          <w:p w14:paraId="6C39650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918</w:t>
            </w:r>
          </w:p>
        </w:tc>
        <w:tc>
          <w:tcPr>
            <w:tcW w:w="616" w:type="pct"/>
            <w:noWrap/>
            <w:vAlign w:val="center"/>
            <w:hideMark/>
          </w:tcPr>
          <w:p w14:paraId="70E5DD2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61.2</w:t>
            </w:r>
          </w:p>
        </w:tc>
        <w:tc>
          <w:tcPr>
            <w:tcW w:w="771" w:type="pct"/>
            <w:noWrap/>
            <w:vAlign w:val="center"/>
            <w:hideMark/>
          </w:tcPr>
          <w:p w14:paraId="3D61840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24</w:t>
            </w:r>
          </w:p>
        </w:tc>
        <w:tc>
          <w:tcPr>
            <w:tcW w:w="614" w:type="pct"/>
            <w:vAlign w:val="center"/>
          </w:tcPr>
          <w:p w14:paraId="61129AD7"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89.00</w:t>
            </w:r>
          </w:p>
        </w:tc>
      </w:tr>
      <w:tr w:rsidR="006F65ED" w:rsidRPr="008321C0" w14:paraId="7B9DD360" w14:textId="77777777" w:rsidTr="00DF2420">
        <w:trPr>
          <w:trHeight w:val="179"/>
          <w:jc w:val="center"/>
        </w:trPr>
        <w:tc>
          <w:tcPr>
            <w:tcW w:w="375" w:type="pct"/>
            <w:noWrap/>
            <w:vAlign w:val="center"/>
            <w:hideMark/>
          </w:tcPr>
          <w:p w14:paraId="08BB9A8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27</w:t>
            </w:r>
          </w:p>
        </w:tc>
        <w:tc>
          <w:tcPr>
            <w:tcW w:w="1158" w:type="pct"/>
            <w:noWrap/>
            <w:vAlign w:val="center"/>
            <w:hideMark/>
          </w:tcPr>
          <w:p w14:paraId="20246392"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Raigarh</w:t>
            </w:r>
          </w:p>
        </w:tc>
        <w:tc>
          <w:tcPr>
            <w:tcW w:w="772" w:type="pct"/>
            <w:noWrap/>
            <w:vAlign w:val="center"/>
            <w:hideMark/>
          </w:tcPr>
          <w:p w14:paraId="2F0C9DC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73.7</w:t>
            </w:r>
          </w:p>
        </w:tc>
        <w:tc>
          <w:tcPr>
            <w:tcW w:w="694" w:type="pct"/>
            <w:noWrap/>
            <w:vAlign w:val="center"/>
            <w:hideMark/>
          </w:tcPr>
          <w:p w14:paraId="120E791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1003</w:t>
            </w:r>
          </w:p>
        </w:tc>
        <w:tc>
          <w:tcPr>
            <w:tcW w:w="616" w:type="pct"/>
            <w:noWrap/>
            <w:vAlign w:val="center"/>
            <w:hideMark/>
          </w:tcPr>
          <w:p w14:paraId="504778D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45</w:t>
            </w:r>
          </w:p>
        </w:tc>
        <w:tc>
          <w:tcPr>
            <w:tcW w:w="771" w:type="pct"/>
            <w:noWrap/>
            <w:vAlign w:val="center"/>
            <w:hideMark/>
          </w:tcPr>
          <w:p w14:paraId="60F386A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16</w:t>
            </w:r>
          </w:p>
        </w:tc>
        <w:tc>
          <w:tcPr>
            <w:tcW w:w="614" w:type="pct"/>
            <w:vAlign w:val="center"/>
          </w:tcPr>
          <w:p w14:paraId="7981977F"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79.20</w:t>
            </w:r>
          </w:p>
        </w:tc>
      </w:tr>
      <w:tr w:rsidR="006F65ED" w:rsidRPr="008321C0" w14:paraId="0AB6501D" w14:textId="77777777" w:rsidTr="00DF2420">
        <w:trPr>
          <w:trHeight w:val="179"/>
          <w:jc w:val="center"/>
        </w:trPr>
        <w:tc>
          <w:tcPr>
            <w:tcW w:w="375" w:type="pct"/>
            <w:noWrap/>
            <w:vAlign w:val="center"/>
            <w:hideMark/>
          </w:tcPr>
          <w:p w14:paraId="70C30DF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28</w:t>
            </w:r>
          </w:p>
        </w:tc>
        <w:tc>
          <w:tcPr>
            <w:tcW w:w="1158" w:type="pct"/>
            <w:noWrap/>
            <w:vAlign w:val="center"/>
            <w:hideMark/>
          </w:tcPr>
          <w:p w14:paraId="05FBEC4B"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Ratnagiri</w:t>
            </w:r>
          </w:p>
        </w:tc>
        <w:tc>
          <w:tcPr>
            <w:tcW w:w="772" w:type="pct"/>
            <w:noWrap/>
            <w:vAlign w:val="center"/>
            <w:hideMark/>
          </w:tcPr>
          <w:p w14:paraId="2CA49CD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80.3</w:t>
            </w:r>
          </w:p>
        </w:tc>
        <w:tc>
          <w:tcPr>
            <w:tcW w:w="694" w:type="pct"/>
            <w:noWrap/>
            <w:vAlign w:val="center"/>
            <w:hideMark/>
          </w:tcPr>
          <w:p w14:paraId="4221A24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1069</w:t>
            </w:r>
          </w:p>
        </w:tc>
        <w:tc>
          <w:tcPr>
            <w:tcW w:w="616" w:type="pct"/>
            <w:noWrap/>
            <w:vAlign w:val="center"/>
            <w:hideMark/>
          </w:tcPr>
          <w:p w14:paraId="1F5C0E4F"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41.2</w:t>
            </w:r>
          </w:p>
        </w:tc>
        <w:tc>
          <w:tcPr>
            <w:tcW w:w="771" w:type="pct"/>
            <w:noWrap/>
            <w:vAlign w:val="center"/>
            <w:hideMark/>
          </w:tcPr>
          <w:p w14:paraId="299DB83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4.4</w:t>
            </w:r>
          </w:p>
        </w:tc>
        <w:tc>
          <w:tcPr>
            <w:tcW w:w="614" w:type="pct"/>
            <w:vAlign w:val="center"/>
          </w:tcPr>
          <w:p w14:paraId="22B16682"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87.20</w:t>
            </w:r>
          </w:p>
        </w:tc>
      </w:tr>
      <w:tr w:rsidR="006F65ED" w:rsidRPr="008321C0" w14:paraId="7A6F4F43" w14:textId="77777777" w:rsidTr="00DF2420">
        <w:trPr>
          <w:trHeight w:val="179"/>
          <w:jc w:val="center"/>
        </w:trPr>
        <w:tc>
          <w:tcPr>
            <w:tcW w:w="375" w:type="pct"/>
            <w:noWrap/>
            <w:vAlign w:val="center"/>
            <w:hideMark/>
          </w:tcPr>
          <w:p w14:paraId="0F2C1592"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29</w:t>
            </w:r>
          </w:p>
        </w:tc>
        <w:tc>
          <w:tcPr>
            <w:tcW w:w="1158" w:type="pct"/>
            <w:noWrap/>
            <w:vAlign w:val="center"/>
            <w:hideMark/>
          </w:tcPr>
          <w:p w14:paraId="29443BE3"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Sangli</w:t>
            </w:r>
          </w:p>
        </w:tc>
        <w:tc>
          <w:tcPr>
            <w:tcW w:w="772" w:type="pct"/>
            <w:noWrap/>
            <w:vAlign w:val="center"/>
            <w:hideMark/>
          </w:tcPr>
          <w:p w14:paraId="39BA2FA2"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80.4</w:t>
            </w:r>
          </w:p>
        </w:tc>
        <w:tc>
          <w:tcPr>
            <w:tcW w:w="694" w:type="pct"/>
            <w:noWrap/>
            <w:vAlign w:val="center"/>
            <w:hideMark/>
          </w:tcPr>
          <w:p w14:paraId="36C22E3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1027</w:t>
            </w:r>
          </w:p>
        </w:tc>
        <w:tc>
          <w:tcPr>
            <w:tcW w:w="616" w:type="pct"/>
            <w:noWrap/>
            <w:vAlign w:val="center"/>
            <w:hideMark/>
          </w:tcPr>
          <w:p w14:paraId="5274086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54.6</w:t>
            </w:r>
          </w:p>
        </w:tc>
        <w:tc>
          <w:tcPr>
            <w:tcW w:w="771" w:type="pct"/>
            <w:noWrap/>
            <w:vAlign w:val="center"/>
            <w:hideMark/>
          </w:tcPr>
          <w:p w14:paraId="48739DD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27</w:t>
            </w:r>
          </w:p>
        </w:tc>
        <w:tc>
          <w:tcPr>
            <w:tcW w:w="614" w:type="pct"/>
            <w:vAlign w:val="center"/>
          </w:tcPr>
          <w:p w14:paraId="167AA742"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90.30</w:t>
            </w:r>
          </w:p>
        </w:tc>
      </w:tr>
      <w:tr w:rsidR="006F65ED" w:rsidRPr="008321C0" w14:paraId="358BAEF6" w14:textId="77777777" w:rsidTr="00DF2420">
        <w:trPr>
          <w:trHeight w:val="179"/>
          <w:jc w:val="center"/>
        </w:trPr>
        <w:tc>
          <w:tcPr>
            <w:tcW w:w="375" w:type="pct"/>
            <w:noWrap/>
            <w:vAlign w:val="center"/>
            <w:hideMark/>
          </w:tcPr>
          <w:p w14:paraId="1B40B7B3"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30</w:t>
            </w:r>
          </w:p>
        </w:tc>
        <w:tc>
          <w:tcPr>
            <w:tcW w:w="1158" w:type="pct"/>
            <w:noWrap/>
            <w:vAlign w:val="center"/>
            <w:hideMark/>
          </w:tcPr>
          <w:p w14:paraId="1CD41955"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Satara</w:t>
            </w:r>
          </w:p>
        </w:tc>
        <w:tc>
          <w:tcPr>
            <w:tcW w:w="772" w:type="pct"/>
            <w:noWrap/>
            <w:vAlign w:val="center"/>
            <w:hideMark/>
          </w:tcPr>
          <w:p w14:paraId="0FDC9A6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78.5</w:t>
            </w:r>
          </w:p>
        </w:tc>
        <w:tc>
          <w:tcPr>
            <w:tcW w:w="694" w:type="pct"/>
            <w:noWrap/>
            <w:vAlign w:val="center"/>
            <w:hideMark/>
          </w:tcPr>
          <w:p w14:paraId="1D1C816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1049</w:t>
            </w:r>
          </w:p>
        </w:tc>
        <w:tc>
          <w:tcPr>
            <w:tcW w:w="616" w:type="pct"/>
            <w:noWrap/>
            <w:vAlign w:val="center"/>
            <w:hideMark/>
          </w:tcPr>
          <w:p w14:paraId="699CAB9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48.3</w:t>
            </w:r>
          </w:p>
        </w:tc>
        <w:tc>
          <w:tcPr>
            <w:tcW w:w="771" w:type="pct"/>
            <w:noWrap/>
            <w:vAlign w:val="center"/>
            <w:hideMark/>
          </w:tcPr>
          <w:p w14:paraId="3A6FF75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18.1</w:t>
            </w:r>
          </w:p>
        </w:tc>
        <w:tc>
          <w:tcPr>
            <w:tcW w:w="614" w:type="pct"/>
            <w:vAlign w:val="center"/>
          </w:tcPr>
          <w:p w14:paraId="747131A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87.20</w:t>
            </w:r>
          </w:p>
        </w:tc>
      </w:tr>
      <w:tr w:rsidR="006F65ED" w:rsidRPr="008321C0" w14:paraId="76CB512F" w14:textId="77777777" w:rsidTr="00DF2420">
        <w:trPr>
          <w:trHeight w:val="179"/>
          <w:jc w:val="center"/>
        </w:trPr>
        <w:tc>
          <w:tcPr>
            <w:tcW w:w="375" w:type="pct"/>
            <w:noWrap/>
            <w:vAlign w:val="center"/>
            <w:hideMark/>
          </w:tcPr>
          <w:p w14:paraId="4AC3E99C"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31</w:t>
            </w:r>
          </w:p>
        </w:tc>
        <w:tc>
          <w:tcPr>
            <w:tcW w:w="1158" w:type="pct"/>
            <w:noWrap/>
            <w:vAlign w:val="center"/>
            <w:hideMark/>
          </w:tcPr>
          <w:p w14:paraId="58E5E222"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Sindhudurg</w:t>
            </w:r>
          </w:p>
        </w:tc>
        <w:tc>
          <w:tcPr>
            <w:tcW w:w="772" w:type="pct"/>
            <w:noWrap/>
            <w:vAlign w:val="center"/>
            <w:hideMark/>
          </w:tcPr>
          <w:p w14:paraId="062111BD"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83.1</w:t>
            </w:r>
          </w:p>
        </w:tc>
        <w:tc>
          <w:tcPr>
            <w:tcW w:w="694" w:type="pct"/>
            <w:noWrap/>
            <w:vAlign w:val="center"/>
            <w:hideMark/>
          </w:tcPr>
          <w:p w14:paraId="3DB23BE7"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1035</w:t>
            </w:r>
          </w:p>
        </w:tc>
        <w:tc>
          <w:tcPr>
            <w:tcW w:w="616" w:type="pct"/>
            <w:noWrap/>
            <w:vAlign w:val="center"/>
            <w:hideMark/>
          </w:tcPr>
          <w:p w14:paraId="79B0E84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49.4</w:t>
            </w:r>
          </w:p>
        </w:tc>
        <w:tc>
          <w:tcPr>
            <w:tcW w:w="771" w:type="pct"/>
            <w:noWrap/>
            <w:vAlign w:val="center"/>
            <w:hideMark/>
          </w:tcPr>
          <w:p w14:paraId="12CAEF91"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w:t>
            </w:r>
          </w:p>
        </w:tc>
        <w:tc>
          <w:tcPr>
            <w:tcW w:w="614" w:type="pct"/>
            <w:vAlign w:val="center"/>
          </w:tcPr>
          <w:p w14:paraId="0E553B29"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92.10</w:t>
            </w:r>
          </w:p>
        </w:tc>
      </w:tr>
      <w:tr w:rsidR="006F65ED" w:rsidRPr="008321C0" w14:paraId="342669BF" w14:textId="77777777" w:rsidTr="00DF2420">
        <w:trPr>
          <w:trHeight w:val="179"/>
          <w:jc w:val="center"/>
        </w:trPr>
        <w:tc>
          <w:tcPr>
            <w:tcW w:w="375" w:type="pct"/>
            <w:noWrap/>
            <w:vAlign w:val="center"/>
            <w:hideMark/>
          </w:tcPr>
          <w:p w14:paraId="70F6683D"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32</w:t>
            </w:r>
          </w:p>
        </w:tc>
        <w:tc>
          <w:tcPr>
            <w:tcW w:w="1158" w:type="pct"/>
            <w:noWrap/>
            <w:vAlign w:val="center"/>
            <w:hideMark/>
          </w:tcPr>
          <w:p w14:paraId="3809E937"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Solapur</w:t>
            </w:r>
          </w:p>
        </w:tc>
        <w:tc>
          <w:tcPr>
            <w:tcW w:w="772" w:type="pct"/>
            <w:noWrap/>
            <w:vAlign w:val="center"/>
            <w:hideMark/>
          </w:tcPr>
          <w:p w14:paraId="6F44C2F6"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72</w:t>
            </w:r>
          </w:p>
        </w:tc>
        <w:tc>
          <w:tcPr>
            <w:tcW w:w="694" w:type="pct"/>
            <w:noWrap/>
            <w:vAlign w:val="center"/>
            <w:hideMark/>
          </w:tcPr>
          <w:p w14:paraId="3BF84B5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962</w:t>
            </w:r>
          </w:p>
        </w:tc>
        <w:tc>
          <w:tcPr>
            <w:tcW w:w="616" w:type="pct"/>
            <w:noWrap/>
            <w:vAlign w:val="center"/>
            <w:hideMark/>
          </w:tcPr>
          <w:p w14:paraId="3F6FC2C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36</w:t>
            </w:r>
          </w:p>
        </w:tc>
        <w:tc>
          <w:tcPr>
            <w:tcW w:w="771" w:type="pct"/>
            <w:noWrap/>
            <w:vAlign w:val="center"/>
            <w:hideMark/>
          </w:tcPr>
          <w:p w14:paraId="3D90AC5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40.3</w:t>
            </w:r>
          </w:p>
        </w:tc>
        <w:tc>
          <w:tcPr>
            <w:tcW w:w="614" w:type="pct"/>
            <w:vAlign w:val="center"/>
          </w:tcPr>
          <w:p w14:paraId="722FF066"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76.40</w:t>
            </w:r>
          </w:p>
        </w:tc>
      </w:tr>
      <w:tr w:rsidR="006F65ED" w:rsidRPr="008321C0" w14:paraId="2360E6C9" w14:textId="77777777" w:rsidTr="00DF2420">
        <w:trPr>
          <w:trHeight w:val="179"/>
          <w:jc w:val="center"/>
        </w:trPr>
        <w:tc>
          <w:tcPr>
            <w:tcW w:w="375" w:type="pct"/>
            <w:noWrap/>
            <w:vAlign w:val="center"/>
            <w:hideMark/>
          </w:tcPr>
          <w:p w14:paraId="40B3A56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33</w:t>
            </w:r>
          </w:p>
        </w:tc>
        <w:tc>
          <w:tcPr>
            <w:tcW w:w="1158" w:type="pct"/>
            <w:noWrap/>
            <w:vAlign w:val="center"/>
            <w:hideMark/>
          </w:tcPr>
          <w:p w14:paraId="46DDDC54"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Thane</w:t>
            </w:r>
          </w:p>
        </w:tc>
        <w:tc>
          <w:tcPr>
            <w:tcW w:w="772" w:type="pct"/>
            <w:noWrap/>
            <w:vAlign w:val="center"/>
            <w:hideMark/>
          </w:tcPr>
          <w:p w14:paraId="485A4FEB"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86.1</w:t>
            </w:r>
          </w:p>
        </w:tc>
        <w:tc>
          <w:tcPr>
            <w:tcW w:w="694" w:type="pct"/>
            <w:noWrap/>
            <w:vAlign w:val="center"/>
            <w:hideMark/>
          </w:tcPr>
          <w:p w14:paraId="4BB8B63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982</w:t>
            </w:r>
          </w:p>
        </w:tc>
        <w:tc>
          <w:tcPr>
            <w:tcW w:w="616" w:type="pct"/>
            <w:noWrap/>
            <w:vAlign w:val="center"/>
            <w:hideMark/>
          </w:tcPr>
          <w:p w14:paraId="0832957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55.9</w:t>
            </w:r>
          </w:p>
        </w:tc>
        <w:tc>
          <w:tcPr>
            <w:tcW w:w="771" w:type="pct"/>
            <w:noWrap/>
            <w:vAlign w:val="center"/>
            <w:hideMark/>
          </w:tcPr>
          <w:p w14:paraId="179D1FB9"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18.4</w:t>
            </w:r>
          </w:p>
        </w:tc>
        <w:tc>
          <w:tcPr>
            <w:tcW w:w="614" w:type="pct"/>
            <w:vAlign w:val="center"/>
          </w:tcPr>
          <w:p w14:paraId="01D6AAB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90.50</w:t>
            </w:r>
          </w:p>
        </w:tc>
      </w:tr>
      <w:tr w:rsidR="006F65ED" w:rsidRPr="008321C0" w14:paraId="2E3EBD2B" w14:textId="77777777" w:rsidTr="00DF2420">
        <w:trPr>
          <w:trHeight w:val="179"/>
          <w:jc w:val="center"/>
        </w:trPr>
        <w:tc>
          <w:tcPr>
            <w:tcW w:w="375" w:type="pct"/>
            <w:noWrap/>
            <w:vAlign w:val="center"/>
            <w:hideMark/>
          </w:tcPr>
          <w:p w14:paraId="5782637E"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34</w:t>
            </w:r>
          </w:p>
        </w:tc>
        <w:tc>
          <w:tcPr>
            <w:tcW w:w="1158" w:type="pct"/>
            <w:noWrap/>
            <w:vAlign w:val="center"/>
            <w:hideMark/>
          </w:tcPr>
          <w:p w14:paraId="402FCBA4"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Wardha</w:t>
            </w:r>
          </w:p>
        </w:tc>
        <w:tc>
          <w:tcPr>
            <w:tcW w:w="772" w:type="pct"/>
            <w:noWrap/>
            <w:vAlign w:val="center"/>
            <w:hideMark/>
          </w:tcPr>
          <w:p w14:paraId="04A4178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85.1</w:t>
            </w:r>
          </w:p>
        </w:tc>
        <w:tc>
          <w:tcPr>
            <w:tcW w:w="694" w:type="pct"/>
            <w:noWrap/>
            <w:vAlign w:val="center"/>
            <w:hideMark/>
          </w:tcPr>
          <w:p w14:paraId="2626DAA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979</w:t>
            </w:r>
          </w:p>
        </w:tc>
        <w:tc>
          <w:tcPr>
            <w:tcW w:w="616" w:type="pct"/>
            <w:noWrap/>
            <w:vAlign w:val="center"/>
            <w:hideMark/>
          </w:tcPr>
          <w:p w14:paraId="3B9E046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56.5</w:t>
            </w:r>
          </w:p>
        </w:tc>
        <w:tc>
          <w:tcPr>
            <w:tcW w:w="771" w:type="pct"/>
            <w:noWrap/>
            <w:vAlign w:val="center"/>
            <w:hideMark/>
          </w:tcPr>
          <w:p w14:paraId="381B491E"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w:t>
            </w:r>
          </w:p>
        </w:tc>
        <w:tc>
          <w:tcPr>
            <w:tcW w:w="614" w:type="pct"/>
            <w:vAlign w:val="center"/>
          </w:tcPr>
          <w:p w14:paraId="09D0E71B"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93.00</w:t>
            </w:r>
          </w:p>
        </w:tc>
      </w:tr>
      <w:tr w:rsidR="006F65ED" w:rsidRPr="008321C0" w14:paraId="68F4A963" w14:textId="77777777" w:rsidTr="00DF2420">
        <w:trPr>
          <w:trHeight w:val="179"/>
          <w:jc w:val="center"/>
        </w:trPr>
        <w:tc>
          <w:tcPr>
            <w:tcW w:w="375" w:type="pct"/>
            <w:noWrap/>
            <w:vAlign w:val="center"/>
            <w:hideMark/>
          </w:tcPr>
          <w:p w14:paraId="37EBE39A"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35</w:t>
            </w:r>
          </w:p>
        </w:tc>
        <w:tc>
          <w:tcPr>
            <w:tcW w:w="1158" w:type="pct"/>
            <w:noWrap/>
            <w:vAlign w:val="center"/>
            <w:hideMark/>
          </w:tcPr>
          <w:p w14:paraId="6F8761A3"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Washim</w:t>
            </w:r>
          </w:p>
        </w:tc>
        <w:tc>
          <w:tcPr>
            <w:tcW w:w="772" w:type="pct"/>
            <w:noWrap/>
            <w:vAlign w:val="center"/>
            <w:hideMark/>
          </w:tcPr>
          <w:p w14:paraId="37B98A20"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76</w:t>
            </w:r>
          </w:p>
        </w:tc>
        <w:tc>
          <w:tcPr>
            <w:tcW w:w="694" w:type="pct"/>
            <w:noWrap/>
            <w:vAlign w:val="center"/>
            <w:hideMark/>
          </w:tcPr>
          <w:p w14:paraId="63F4B448"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948</w:t>
            </w:r>
          </w:p>
        </w:tc>
        <w:tc>
          <w:tcPr>
            <w:tcW w:w="616" w:type="pct"/>
            <w:noWrap/>
            <w:vAlign w:val="center"/>
            <w:hideMark/>
          </w:tcPr>
          <w:p w14:paraId="3DB51303"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42</w:t>
            </w:r>
          </w:p>
        </w:tc>
        <w:tc>
          <w:tcPr>
            <w:tcW w:w="771" w:type="pct"/>
            <w:noWrap/>
            <w:vAlign w:val="center"/>
            <w:hideMark/>
          </w:tcPr>
          <w:p w14:paraId="66A7204C"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27.7</w:t>
            </w:r>
          </w:p>
        </w:tc>
        <w:tc>
          <w:tcPr>
            <w:tcW w:w="614" w:type="pct"/>
            <w:vAlign w:val="center"/>
          </w:tcPr>
          <w:p w14:paraId="348EE504"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78.00</w:t>
            </w:r>
          </w:p>
        </w:tc>
      </w:tr>
      <w:tr w:rsidR="006F65ED" w:rsidRPr="008321C0" w14:paraId="064569DA" w14:textId="77777777" w:rsidTr="00DF2420">
        <w:trPr>
          <w:trHeight w:val="179"/>
          <w:jc w:val="center"/>
        </w:trPr>
        <w:tc>
          <w:tcPr>
            <w:tcW w:w="375" w:type="pct"/>
            <w:noWrap/>
            <w:vAlign w:val="center"/>
            <w:hideMark/>
          </w:tcPr>
          <w:p w14:paraId="0D131A21"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36</w:t>
            </w:r>
          </w:p>
        </w:tc>
        <w:tc>
          <w:tcPr>
            <w:tcW w:w="1158" w:type="pct"/>
            <w:noWrap/>
            <w:vAlign w:val="center"/>
            <w:hideMark/>
          </w:tcPr>
          <w:p w14:paraId="30DE0B54" w14:textId="77777777" w:rsidR="006F65ED" w:rsidRPr="008321C0" w:rsidRDefault="006F65ED" w:rsidP="008321C0">
            <w:pPr>
              <w:spacing w:after="0" w:line="360" w:lineRule="auto"/>
              <w:rPr>
                <w:rFonts w:ascii="Arial" w:eastAsia="Times New Roman" w:hAnsi="Arial" w:cs="Arial"/>
                <w:sz w:val="20"/>
                <w:szCs w:val="20"/>
              </w:rPr>
            </w:pPr>
            <w:r w:rsidRPr="008321C0">
              <w:rPr>
                <w:rFonts w:ascii="Arial" w:eastAsia="Times New Roman" w:hAnsi="Arial" w:cs="Arial"/>
                <w:sz w:val="20"/>
                <w:szCs w:val="20"/>
              </w:rPr>
              <w:t>Yavatmal</w:t>
            </w:r>
          </w:p>
        </w:tc>
        <w:tc>
          <w:tcPr>
            <w:tcW w:w="772" w:type="pct"/>
            <w:noWrap/>
            <w:vAlign w:val="center"/>
            <w:hideMark/>
          </w:tcPr>
          <w:p w14:paraId="516556DA"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77.6</w:t>
            </w:r>
          </w:p>
        </w:tc>
        <w:tc>
          <w:tcPr>
            <w:tcW w:w="694" w:type="pct"/>
            <w:noWrap/>
            <w:vAlign w:val="center"/>
            <w:hideMark/>
          </w:tcPr>
          <w:p w14:paraId="37C1D205"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986</w:t>
            </w:r>
          </w:p>
        </w:tc>
        <w:tc>
          <w:tcPr>
            <w:tcW w:w="616" w:type="pct"/>
            <w:noWrap/>
            <w:vAlign w:val="center"/>
            <w:hideMark/>
          </w:tcPr>
          <w:p w14:paraId="21A2E81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38.9</w:t>
            </w:r>
          </w:p>
        </w:tc>
        <w:tc>
          <w:tcPr>
            <w:tcW w:w="771" w:type="pct"/>
            <w:noWrap/>
            <w:vAlign w:val="center"/>
            <w:hideMark/>
          </w:tcPr>
          <w:p w14:paraId="01AE0E14" w14:textId="77777777" w:rsidR="006F65ED" w:rsidRPr="008321C0" w:rsidRDefault="006F65ED" w:rsidP="008321C0">
            <w:pPr>
              <w:spacing w:after="0" w:line="360" w:lineRule="auto"/>
              <w:jc w:val="center"/>
              <w:rPr>
                <w:rFonts w:ascii="Arial" w:hAnsi="Arial" w:cs="Arial"/>
                <w:sz w:val="20"/>
                <w:szCs w:val="20"/>
              </w:rPr>
            </w:pPr>
            <w:r w:rsidRPr="008321C0">
              <w:rPr>
                <w:rFonts w:ascii="Arial" w:hAnsi="Arial" w:cs="Arial"/>
                <w:sz w:val="20"/>
                <w:szCs w:val="20"/>
              </w:rPr>
              <w:t>11.7</w:t>
            </w:r>
          </w:p>
        </w:tc>
        <w:tc>
          <w:tcPr>
            <w:tcW w:w="614" w:type="pct"/>
            <w:vAlign w:val="center"/>
          </w:tcPr>
          <w:p w14:paraId="0D5EBB55" w14:textId="77777777" w:rsidR="006F65ED" w:rsidRPr="008321C0" w:rsidRDefault="006F65ED" w:rsidP="008321C0">
            <w:pPr>
              <w:spacing w:after="0" w:line="360" w:lineRule="auto"/>
              <w:jc w:val="center"/>
              <w:rPr>
                <w:rFonts w:ascii="Arial" w:eastAsia="Times New Roman" w:hAnsi="Arial" w:cs="Arial"/>
                <w:sz w:val="20"/>
                <w:szCs w:val="20"/>
              </w:rPr>
            </w:pPr>
            <w:r w:rsidRPr="008321C0">
              <w:rPr>
                <w:rFonts w:ascii="Arial" w:eastAsia="Times New Roman" w:hAnsi="Arial" w:cs="Arial"/>
                <w:sz w:val="20"/>
                <w:szCs w:val="20"/>
              </w:rPr>
              <w:t>80.80</w:t>
            </w:r>
          </w:p>
        </w:tc>
      </w:tr>
      <w:tr w:rsidR="006F65ED" w:rsidRPr="008321C0" w14:paraId="6A5D8FBE" w14:textId="77777777" w:rsidTr="00DF2420">
        <w:trPr>
          <w:trHeight w:val="179"/>
          <w:jc w:val="center"/>
        </w:trPr>
        <w:tc>
          <w:tcPr>
            <w:tcW w:w="375" w:type="pct"/>
            <w:vMerge w:val="restart"/>
            <w:noWrap/>
            <w:vAlign w:val="center"/>
            <w:hideMark/>
          </w:tcPr>
          <w:p w14:paraId="2FFA7CA1" w14:textId="77777777" w:rsidR="006F65ED" w:rsidRPr="008321C0" w:rsidRDefault="006F65ED" w:rsidP="008321C0">
            <w:pPr>
              <w:spacing w:after="0" w:line="360" w:lineRule="auto"/>
              <w:jc w:val="center"/>
              <w:rPr>
                <w:rFonts w:ascii="Arial" w:eastAsia="Times New Roman" w:hAnsi="Arial" w:cs="Arial"/>
                <w:b/>
                <w:bCs/>
                <w:sz w:val="20"/>
                <w:szCs w:val="20"/>
              </w:rPr>
            </w:pPr>
          </w:p>
        </w:tc>
        <w:tc>
          <w:tcPr>
            <w:tcW w:w="1158" w:type="pct"/>
            <w:noWrap/>
            <w:vAlign w:val="center"/>
            <w:hideMark/>
          </w:tcPr>
          <w:p w14:paraId="378BFB50" w14:textId="77777777" w:rsidR="006F65ED" w:rsidRPr="008321C0" w:rsidRDefault="006F65ED" w:rsidP="008321C0">
            <w:pPr>
              <w:spacing w:after="0" w:line="360" w:lineRule="auto"/>
              <w:rPr>
                <w:rFonts w:ascii="Arial" w:eastAsia="Times New Roman" w:hAnsi="Arial" w:cs="Arial"/>
                <w:b/>
                <w:bCs/>
                <w:sz w:val="20"/>
                <w:szCs w:val="20"/>
              </w:rPr>
            </w:pPr>
            <w:r w:rsidRPr="008321C0">
              <w:rPr>
                <w:rFonts w:ascii="Arial" w:eastAsia="Times New Roman" w:hAnsi="Arial" w:cs="Arial"/>
                <w:b/>
                <w:bCs/>
                <w:sz w:val="20"/>
                <w:szCs w:val="20"/>
              </w:rPr>
              <w:t>Maharashtra</w:t>
            </w:r>
          </w:p>
        </w:tc>
        <w:tc>
          <w:tcPr>
            <w:tcW w:w="772" w:type="pct"/>
            <w:noWrap/>
            <w:vAlign w:val="center"/>
            <w:hideMark/>
          </w:tcPr>
          <w:p w14:paraId="10350934"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79.6</w:t>
            </w:r>
          </w:p>
        </w:tc>
        <w:tc>
          <w:tcPr>
            <w:tcW w:w="694" w:type="pct"/>
            <w:noWrap/>
            <w:vAlign w:val="center"/>
            <w:hideMark/>
          </w:tcPr>
          <w:p w14:paraId="5DAEBAE6"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966</w:t>
            </w:r>
          </w:p>
        </w:tc>
        <w:tc>
          <w:tcPr>
            <w:tcW w:w="616" w:type="pct"/>
            <w:noWrap/>
            <w:vAlign w:val="center"/>
            <w:hideMark/>
          </w:tcPr>
          <w:p w14:paraId="1344ED70"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50.4</w:t>
            </w:r>
          </w:p>
        </w:tc>
        <w:tc>
          <w:tcPr>
            <w:tcW w:w="771" w:type="pct"/>
            <w:noWrap/>
            <w:vAlign w:val="center"/>
            <w:hideMark/>
          </w:tcPr>
          <w:p w14:paraId="56559A08"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21.9</w:t>
            </w:r>
          </w:p>
        </w:tc>
        <w:tc>
          <w:tcPr>
            <w:tcW w:w="614" w:type="pct"/>
            <w:vAlign w:val="center"/>
          </w:tcPr>
          <w:p w14:paraId="2D031586"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84.60</w:t>
            </w:r>
          </w:p>
        </w:tc>
      </w:tr>
      <w:tr w:rsidR="006F65ED" w:rsidRPr="008321C0" w14:paraId="0D4DF077" w14:textId="77777777" w:rsidTr="00DF2420">
        <w:trPr>
          <w:trHeight w:val="179"/>
          <w:jc w:val="center"/>
        </w:trPr>
        <w:tc>
          <w:tcPr>
            <w:tcW w:w="375" w:type="pct"/>
            <w:vMerge/>
            <w:noWrap/>
            <w:vAlign w:val="center"/>
            <w:hideMark/>
          </w:tcPr>
          <w:p w14:paraId="2260529A" w14:textId="77777777" w:rsidR="006F65ED" w:rsidRPr="008321C0" w:rsidRDefault="006F65ED" w:rsidP="008321C0">
            <w:pPr>
              <w:spacing w:after="0" w:line="360" w:lineRule="auto"/>
              <w:jc w:val="center"/>
              <w:rPr>
                <w:rFonts w:ascii="Arial" w:eastAsia="Times New Roman" w:hAnsi="Arial" w:cs="Arial"/>
                <w:b/>
                <w:bCs/>
                <w:sz w:val="20"/>
                <w:szCs w:val="20"/>
              </w:rPr>
            </w:pPr>
          </w:p>
        </w:tc>
        <w:tc>
          <w:tcPr>
            <w:tcW w:w="1158" w:type="pct"/>
            <w:noWrap/>
            <w:vAlign w:val="center"/>
            <w:hideMark/>
          </w:tcPr>
          <w:p w14:paraId="644DAAF8" w14:textId="77777777" w:rsidR="006F65ED" w:rsidRPr="008321C0" w:rsidRDefault="006F65ED" w:rsidP="008321C0">
            <w:pPr>
              <w:spacing w:after="0" w:line="360" w:lineRule="auto"/>
              <w:rPr>
                <w:rFonts w:ascii="Arial" w:eastAsia="Times New Roman" w:hAnsi="Arial" w:cs="Arial"/>
                <w:b/>
                <w:bCs/>
                <w:sz w:val="20"/>
                <w:szCs w:val="20"/>
              </w:rPr>
            </w:pPr>
            <w:r w:rsidRPr="008321C0">
              <w:rPr>
                <w:rFonts w:ascii="Arial" w:eastAsia="Times New Roman" w:hAnsi="Arial" w:cs="Arial"/>
                <w:b/>
                <w:bCs/>
                <w:sz w:val="20"/>
                <w:szCs w:val="20"/>
              </w:rPr>
              <w:t>India</w:t>
            </w:r>
          </w:p>
        </w:tc>
        <w:tc>
          <w:tcPr>
            <w:tcW w:w="772" w:type="pct"/>
            <w:noWrap/>
            <w:vAlign w:val="center"/>
            <w:hideMark/>
          </w:tcPr>
          <w:p w14:paraId="12A4E1CF"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71.8</w:t>
            </w:r>
          </w:p>
        </w:tc>
        <w:tc>
          <w:tcPr>
            <w:tcW w:w="694" w:type="pct"/>
            <w:noWrap/>
            <w:vAlign w:val="center"/>
            <w:hideMark/>
          </w:tcPr>
          <w:p w14:paraId="5A778363"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1020</w:t>
            </w:r>
          </w:p>
        </w:tc>
        <w:tc>
          <w:tcPr>
            <w:tcW w:w="616" w:type="pct"/>
            <w:noWrap/>
            <w:vAlign w:val="center"/>
            <w:hideMark/>
          </w:tcPr>
          <w:p w14:paraId="35F847DB"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41</w:t>
            </w:r>
          </w:p>
        </w:tc>
        <w:tc>
          <w:tcPr>
            <w:tcW w:w="771" w:type="pct"/>
            <w:noWrap/>
            <w:vAlign w:val="center"/>
            <w:hideMark/>
          </w:tcPr>
          <w:p w14:paraId="10E95CB3" w14:textId="77777777" w:rsidR="006F65ED" w:rsidRPr="008321C0" w:rsidRDefault="006F65ED" w:rsidP="008321C0">
            <w:pPr>
              <w:spacing w:after="0" w:line="360" w:lineRule="auto"/>
              <w:jc w:val="center"/>
              <w:rPr>
                <w:rFonts w:ascii="Arial" w:hAnsi="Arial" w:cs="Arial"/>
                <w:b/>
                <w:bCs/>
                <w:sz w:val="20"/>
                <w:szCs w:val="20"/>
              </w:rPr>
            </w:pPr>
            <w:r w:rsidRPr="008321C0">
              <w:rPr>
                <w:rFonts w:ascii="Arial" w:hAnsi="Arial" w:cs="Arial"/>
                <w:b/>
                <w:bCs/>
                <w:sz w:val="20"/>
                <w:szCs w:val="20"/>
              </w:rPr>
              <w:t>23.3</w:t>
            </w:r>
          </w:p>
        </w:tc>
        <w:tc>
          <w:tcPr>
            <w:tcW w:w="614" w:type="pct"/>
            <w:vAlign w:val="center"/>
          </w:tcPr>
          <w:p w14:paraId="63960515" w14:textId="77777777" w:rsidR="006F65ED" w:rsidRPr="008321C0" w:rsidRDefault="006F65ED" w:rsidP="008321C0">
            <w:pPr>
              <w:spacing w:after="0" w:line="360" w:lineRule="auto"/>
              <w:jc w:val="center"/>
              <w:rPr>
                <w:rFonts w:ascii="Arial" w:eastAsia="Times New Roman" w:hAnsi="Arial" w:cs="Arial"/>
                <w:b/>
                <w:bCs/>
                <w:sz w:val="20"/>
                <w:szCs w:val="20"/>
              </w:rPr>
            </w:pPr>
            <w:r w:rsidRPr="008321C0">
              <w:rPr>
                <w:rFonts w:ascii="Arial" w:eastAsia="Times New Roman" w:hAnsi="Arial" w:cs="Arial"/>
                <w:b/>
                <w:bCs/>
                <w:sz w:val="20"/>
                <w:szCs w:val="20"/>
              </w:rPr>
              <w:t>71.50</w:t>
            </w:r>
          </w:p>
        </w:tc>
      </w:tr>
    </w:tbl>
    <w:p w14:paraId="020EC60C" w14:textId="77777777" w:rsidR="006F65ED" w:rsidRDefault="008321C0" w:rsidP="008321C0">
      <w:pPr>
        <w:pStyle w:val="BodyText"/>
        <w:spacing w:before="0" w:after="0"/>
        <w:jc w:val="center"/>
        <w:rPr>
          <w:rFonts w:ascii="Arial" w:hAnsi="Arial" w:cs="Arial"/>
          <w:sz w:val="20"/>
          <w:szCs w:val="20"/>
        </w:rPr>
      </w:pPr>
      <w:r w:rsidRPr="008321C0">
        <w:rPr>
          <w:rFonts w:ascii="Arial" w:hAnsi="Arial" w:cs="Arial"/>
          <w:b/>
          <w:bCs/>
          <w:sz w:val="20"/>
          <w:szCs w:val="20"/>
        </w:rPr>
        <w:t>Source:</w:t>
      </w:r>
      <w:r w:rsidRPr="008321C0">
        <w:rPr>
          <w:rFonts w:ascii="Arial" w:hAnsi="Arial" w:cs="Arial"/>
          <w:sz w:val="20"/>
          <w:szCs w:val="20"/>
        </w:rPr>
        <w:t xml:space="preserve"> Socio-Economic Abstract of Ahilyanagar District-2024</w:t>
      </w:r>
    </w:p>
    <w:p w14:paraId="0BD07269" w14:textId="77777777" w:rsidR="008321C0" w:rsidRPr="008321C0" w:rsidRDefault="008321C0" w:rsidP="008321C0">
      <w:pPr>
        <w:pStyle w:val="BodyText"/>
        <w:spacing w:before="0" w:after="0"/>
        <w:jc w:val="center"/>
        <w:rPr>
          <w:rFonts w:ascii="Arial" w:hAnsi="Arial" w:cs="Arial"/>
          <w:sz w:val="20"/>
          <w:szCs w:val="20"/>
        </w:rPr>
      </w:pPr>
    </w:p>
    <w:p w14:paraId="56C1D487" w14:textId="77777777" w:rsidR="00D31BEC" w:rsidRPr="008321C0" w:rsidRDefault="006F65ED" w:rsidP="008321C0">
      <w:pPr>
        <w:pStyle w:val="BodyText"/>
        <w:spacing w:before="0" w:after="0" w:line="360" w:lineRule="auto"/>
        <w:jc w:val="both"/>
        <w:rPr>
          <w:rFonts w:ascii="Arial" w:eastAsiaTheme="majorEastAsia" w:hAnsi="Arial" w:cs="Arial"/>
          <w:b/>
          <w:bCs/>
          <w:sz w:val="20"/>
          <w:szCs w:val="20"/>
        </w:rPr>
      </w:pPr>
      <w:bookmarkStart w:id="5" w:name="conclusion"/>
      <w:bookmarkEnd w:id="4"/>
      <w:r w:rsidRPr="008321C0">
        <w:rPr>
          <w:rFonts w:ascii="Arial" w:eastAsiaTheme="majorEastAsia" w:hAnsi="Arial" w:cs="Arial"/>
          <w:b/>
          <w:bCs/>
          <w:sz w:val="20"/>
          <w:szCs w:val="20"/>
        </w:rPr>
        <w:t xml:space="preserve">3.1 </w:t>
      </w:r>
      <w:r w:rsidR="00D31BEC" w:rsidRPr="008321C0">
        <w:rPr>
          <w:rFonts w:ascii="Arial" w:eastAsiaTheme="majorEastAsia" w:hAnsi="Arial" w:cs="Arial"/>
          <w:b/>
          <w:bCs/>
          <w:sz w:val="20"/>
          <w:szCs w:val="20"/>
        </w:rPr>
        <w:t>District Variation in Education and Marriage</w:t>
      </w:r>
    </w:p>
    <w:p w14:paraId="65031A38" w14:textId="77777777" w:rsidR="009E74DE" w:rsidRPr="00897F4E" w:rsidRDefault="009E74DE" w:rsidP="009E74DE">
      <w:pPr>
        <w:pStyle w:val="BodyText"/>
        <w:spacing w:before="0" w:after="0" w:line="360" w:lineRule="auto"/>
        <w:jc w:val="both"/>
        <w:rPr>
          <w:rFonts w:ascii="Arial" w:eastAsiaTheme="majorEastAsia" w:hAnsi="Arial" w:cs="Arial"/>
          <w:sz w:val="20"/>
          <w:szCs w:val="20"/>
          <w:lang w:val="en-US"/>
        </w:rPr>
      </w:pPr>
      <w:r w:rsidRPr="00897F4E">
        <w:rPr>
          <w:rFonts w:ascii="Arial" w:eastAsiaTheme="majorEastAsia" w:hAnsi="Arial" w:cs="Arial"/>
          <w:sz w:val="20"/>
          <w:szCs w:val="20"/>
          <w:lang w:val="en-US"/>
        </w:rPr>
        <w:t xml:space="preserve">The findings reveal pronounced district-level disparities in women’s schooling and literacy across Maharashtra, reflecting deeper structural and regional inequalities rather than isolated educational outcomes. Highly urbanized districts such as Mumbai Suburban, Mumbai, Nagpur, Pune, and Thane record very high female literacy (above 90%) and a substantial proportion of women completing ten or more years of schooling (above 60%) </w:t>
      </w:r>
      <w:proofErr w:type="gramStart"/>
      <w:r w:rsidRPr="00897F4E">
        <w:rPr>
          <w:rFonts w:ascii="Arial" w:eastAsiaTheme="majorEastAsia" w:hAnsi="Arial" w:cs="Arial"/>
          <w:sz w:val="20"/>
          <w:szCs w:val="20"/>
          <w:lang w:val="en-US"/>
        </w:rPr>
        <w:t>(IIPS, 2021).</w:t>
      </w:r>
      <w:proofErr w:type="gramEnd"/>
      <w:r w:rsidRPr="00897F4E">
        <w:rPr>
          <w:rFonts w:ascii="Arial" w:eastAsiaTheme="majorEastAsia" w:hAnsi="Arial" w:cs="Arial"/>
          <w:sz w:val="20"/>
          <w:szCs w:val="20"/>
          <w:lang w:val="en-US"/>
        </w:rPr>
        <w:t xml:space="preserve"> From a theoretical perspective, these outcomes align with human capital theory, which posits that urban environments offer greater returns to education through better employment opportunities, institutional access, and social mobility, thereby incentivizing </w:t>
      </w:r>
      <w:r w:rsidRPr="00897F4E">
        <w:rPr>
          <w:rFonts w:ascii="Arial" w:eastAsiaTheme="majorEastAsia" w:hAnsi="Arial" w:cs="Arial"/>
          <w:sz w:val="20"/>
          <w:szCs w:val="20"/>
          <w:lang w:val="en-US"/>
        </w:rPr>
        <w:lastRenderedPageBreak/>
        <w:t>continued schooling and delayed marriage (Desai &amp; Vanneman, 2015). For instance, Mumbai Suburban’s high literacy (91.6%) and schooling completion (65.7%) correspond with its low prevalence of early marriage, illustrating how education operates as a protective mechanism.</w:t>
      </w:r>
    </w:p>
    <w:p w14:paraId="4311C96F" w14:textId="77777777" w:rsidR="009E74DE" w:rsidRPr="00897F4E" w:rsidRDefault="009E74DE" w:rsidP="009E74DE">
      <w:pPr>
        <w:pStyle w:val="BodyText"/>
        <w:spacing w:before="0" w:after="0" w:line="360" w:lineRule="auto"/>
        <w:jc w:val="both"/>
        <w:rPr>
          <w:rFonts w:ascii="Arial" w:eastAsiaTheme="majorEastAsia" w:hAnsi="Arial" w:cs="Arial"/>
          <w:sz w:val="20"/>
          <w:szCs w:val="20"/>
          <w:lang w:val="en-US"/>
        </w:rPr>
      </w:pPr>
      <w:r w:rsidRPr="00897F4E">
        <w:rPr>
          <w:rFonts w:ascii="Arial" w:eastAsiaTheme="majorEastAsia" w:hAnsi="Arial" w:cs="Arial"/>
          <w:sz w:val="20"/>
          <w:szCs w:val="20"/>
          <w:lang w:val="en-US"/>
        </w:rPr>
        <w:t xml:space="preserve">In contrast, districts such as Nandurbar and Parbhani exhibit markedly lower female educational attainment alongside substantially higher child marriage rates (IIPS, 2021). These patterns are not merely educational deficits but are embedded in structural disadvantages, including rural isolation, tribal concentration, poverty, and limited secondary schooling infrastructure. Development theories emphasize that in such contexts, early marriage often functions as a coping strategy for economic insecurity and social vulnerability, particularly where educational opportunities for girls are scarce (UNICEF, 2020; World Bank, 2018). </w:t>
      </w:r>
      <w:proofErr w:type="spellStart"/>
      <w:r w:rsidRPr="00897F4E">
        <w:rPr>
          <w:rFonts w:ascii="Arial" w:eastAsiaTheme="majorEastAsia" w:hAnsi="Arial" w:cs="Arial"/>
          <w:sz w:val="20"/>
          <w:szCs w:val="20"/>
          <w:lang w:val="en-US"/>
        </w:rPr>
        <w:t>Parbhani’s</w:t>
      </w:r>
      <w:proofErr w:type="spellEnd"/>
      <w:r w:rsidRPr="00897F4E">
        <w:rPr>
          <w:rFonts w:ascii="Arial" w:eastAsiaTheme="majorEastAsia" w:hAnsi="Arial" w:cs="Arial"/>
          <w:sz w:val="20"/>
          <w:szCs w:val="20"/>
          <w:lang w:val="en-US"/>
        </w:rPr>
        <w:t xml:space="preserve"> exceptionally high child marriage rate (48%) despite moderate literacy levels highlights that literacy alone is insufficient; sustained secondary education is critical for delaying marriage.</w:t>
      </w:r>
    </w:p>
    <w:p w14:paraId="1C69812A" w14:textId="77777777" w:rsidR="009E74DE" w:rsidRPr="00897F4E" w:rsidRDefault="009E74DE" w:rsidP="009E74DE">
      <w:pPr>
        <w:pStyle w:val="BodyText"/>
        <w:spacing w:before="0" w:after="0" w:line="360" w:lineRule="auto"/>
        <w:jc w:val="both"/>
        <w:rPr>
          <w:rFonts w:ascii="Arial" w:eastAsiaTheme="majorEastAsia" w:hAnsi="Arial" w:cs="Arial"/>
          <w:sz w:val="20"/>
          <w:szCs w:val="20"/>
          <w:lang w:val="en-US"/>
        </w:rPr>
      </w:pPr>
      <w:r w:rsidRPr="00897F4E">
        <w:rPr>
          <w:rFonts w:ascii="Arial" w:eastAsiaTheme="majorEastAsia" w:hAnsi="Arial" w:cs="Arial"/>
          <w:sz w:val="20"/>
          <w:szCs w:val="20"/>
          <w:lang w:val="en-US"/>
        </w:rPr>
        <w:t>Spatially, the contrast between urban–industrial corridors and tribal or Marathwada regions mirrors national patterns identified in earlier studies, where regional development disparities strongly shape women’s life outcomes (Raj et al., 2019). Recent geospatial analyses further confirm that completion of secondary education is the most powerful determinant of delayed marriage, surpassing the influence of household wealth or caste in many regions (BMC Public Health, 2024). The Maharashtra evidence reinforces this argument by demonstrating that districts with stronger educational infrastructure consistently achieve better marriage outcomes, even within a relatively developed state.</w:t>
      </w:r>
    </w:p>
    <w:p w14:paraId="168CF9EF" w14:textId="77777777" w:rsidR="009E74DE" w:rsidRPr="00897F4E" w:rsidRDefault="009E74DE" w:rsidP="009E74DE">
      <w:pPr>
        <w:pStyle w:val="BodyText"/>
        <w:spacing w:before="0" w:after="0" w:line="360" w:lineRule="auto"/>
        <w:jc w:val="both"/>
        <w:rPr>
          <w:rFonts w:ascii="Arial" w:eastAsiaTheme="majorEastAsia" w:hAnsi="Arial" w:cs="Arial"/>
          <w:sz w:val="20"/>
          <w:szCs w:val="20"/>
          <w:lang w:val="en-US"/>
        </w:rPr>
      </w:pPr>
      <w:r w:rsidRPr="00897F4E">
        <w:rPr>
          <w:rFonts w:ascii="Arial" w:eastAsiaTheme="majorEastAsia" w:hAnsi="Arial" w:cs="Arial"/>
          <w:sz w:val="20"/>
          <w:szCs w:val="20"/>
          <w:lang w:val="en-US"/>
        </w:rPr>
        <w:t>Overall, the discussion underscores that women’s education must be understood within a holistic socio-spatial framework, where educational access, regional development, and socio-economic conditions interact. The results thus validate existing theoretical and empirical literature while highlighting the need for region-specific interventions rather than uniform state-level policies.</w:t>
      </w:r>
    </w:p>
    <w:p w14:paraId="395CF8DA" w14:textId="77777777" w:rsidR="00DF2420" w:rsidRDefault="00DF2420" w:rsidP="008321C0">
      <w:pPr>
        <w:pStyle w:val="BodyText"/>
        <w:spacing w:before="0" w:after="0" w:line="360" w:lineRule="auto"/>
        <w:jc w:val="both"/>
        <w:rPr>
          <w:rFonts w:ascii="Arial" w:eastAsiaTheme="majorEastAsia" w:hAnsi="Arial" w:cs="Arial"/>
          <w:sz w:val="20"/>
          <w:szCs w:val="20"/>
        </w:rPr>
      </w:pPr>
    </w:p>
    <w:p w14:paraId="3EC3916C" w14:textId="77777777" w:rsidR="00572CFC" w:rsidRPr="008321C0" w:rsidRDefault="00572CFC" w:rsidP="008321C0">
      <w:pPr>
        <w:pStyle w:val="BodyText"/>
        <w:spacing w:before="0" w:after="0" w:line="360" w:lineRule="auto"/>
        <w:jc w:val="both"/>
        <w:rPr>
          <w:rFonts w:ascii="Arial" w:eastAsiaTheme="majorEastAsia" w:hAnsi="Arial" w:cs="Arial"/>
          <w:sz w:val="20"/>
          <w:szCs w:val="20"/>
        </w:rPr>
      </w:pPr>
      <w:r>
        <w:rPr>
          <w:rFonts w:ascii="Arial" w:eastAsiaTheme="majorEastAsia" w:hAnsi="Arial" w:cs="Arial"/>
          <w:sz w:val="20"/>
          <w:szCs w:val="20"/>
        </w:rPr>
        <w:t xml:space="preserve">Fig 1: </w:t>
      </w:r>
      <w:r w:rsidRPr="00572CFC">
        <w:rPr>
          <w:rFonts w:ascii="Arial" w:eastAsiaTheme="majorEastAsia" w:hAnsi="Arial" w:cs="Arial"/>
          <w:sz w:val="20"/>
          <w:szCs w:val="20"/>
        </w:rPr>
        <w:t>Top 5 Districts in Women's Schooling (10+ years)</w:t>
      </w:r>
    </w:p>
    <w:p w14:paraId="6FAEA7FC" w14:textId="77777777" w:rsidR="00A33B8D" w:rsidRDefault="00A33B8D"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noProof/>
          <w:sz w:val="20"/>
          <w:szCs w:val="20"/>
          <w:lang w:val="en-IN" w:eastAsia="en-IN"/>
        </w:rPr>
        <w:lastRenderedPageBreak/>
        <w:drawing>
          <wp:inline distT="0" distB="0" distL="0" distR="0" wp14:anchorId="7FBD5498" wp14:editId="1D6344C1">
            <wp:extent cx="5432400" cy="32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2400" cy="3240000"/>
                    </a:xfrm>
                    <a:prstGeom prst="rect">
                      <a:avLst/>
                    </a:prstGeom>
                    <a:noFill/>
                  </pic:spPr>
                </pic:pic>
              </a:graphicData>
            </a:graphic>
          </wp:inline>
        </w:drawing>
      </w:r>
    </w:p>
    <w:p w14:paraId="1A6F60E4" w14:textId="77777777" w:rsidR="009E74DE" w:rsidRPr="008321C0" w:rsidRDefault="009E74DE" w:rsidP="009E74DE">
      <w:pPr>
        <w:pStyle w:val="BodyText"/>
        <w:spacing w:before="0" w:after="0" w:line="360" w:lineRule="auto"/>
        <w:jc w:val="center"/>
        <w:rPr>
          <w:rFonts w:ascii="Arial" w:eastAsiaTheme="majorEastAsia" w:hAnsi="Arial" w:cs="Arial"/>
          <w:sz w:val="20"/>
          <w:szCs w:val="20"/>
        </w:rPr>
      </w:pPr>
      <w:r w:rsidRPr="00897F4E">
        <w:rPr>
          <w:rFonts w:ascii="Arial" w:eastAsiaTheme="majorEastAsia" w:hAnsi="Arial" w:cs="Arial"/>
          <w:b/>
          <w:bCs/>
          <w:sz w:val="20"/>
          <w:szCs w:val="20"/>
        </w:rPr>
        <w:t>Source:</w:t>
      </w:r>
      <w:r>
        <w:rPr>
          <w:rFonts w:ascii="Arial" w:eastAsiaTheme="majorEastAsia" w:hAnsi="Arial" w:cs="Arial"/>
          <w:sz w:val="20"/>
          <w:szCs w:val="20"/>
        </w:rPr>
        <w:t xml:space="preserve"> </w:t>
      </w:r>
      <w:proofErr w:type="spellStart"/>
      <w:r>
        <w:rPr>
          <w:rFonts w:ascii="Arial" w:eastAsiaTheme="majorEastAsia" w:hAnsi="Arial" w:cs="Arial"/>
          <w:sz w:val="20"/>
          <w:szCs w:val="20"/>
        </w:rPr>
        <w:t>Socie</w:t>
      </w:r>
      <w:proofErr w:type="spellEnd"/>
      <w:r>
        <w:rPr>
          <w:rFonts w:ascii="Arial" w:eastAsiaTheme="majorEastAsia" w:hAnsi="Arial" w:cs="Arial"/>
          <w:sz w:val="20"/>
          <w:szCs w:val="20"/>
        </w:rPr>
        <w:t xml:space="preserve">-economic abstract of </w:t>
      </w:r>
      <w:proofErr w:type="spellStart"/>
      <w:r>
        <w:rPr>
          <w:rFonts w:ascii="Arial" w:eastAsiaTheme="majorEastAsia" w:hAnsi="Arial" w:cs="Arial"/>
          <w:sz w:val="20"/>
          <w:szCs w:val="20"/>
        </w:rPr>
        <w:t>Ahilyanagar</w:t>
      </w:r>
      <w:proofErr w:type="spellEnd"/>
      <w:r>
        <w:rPr>
          <w:rFonts w:ascii="Arial" w:eastAsiaTheme="majorEastAsia" w:hAnsi="Arial" w:cs="Arial"/>
          <w:sz w:val="20"/>
          <w:szCs w:val="20"/>
        </w:rPr>
        <w:t xml:space="preserve"> District-2024</w:t>
      </w:r>
    </w:p>
    <w:p w14:paraId="3DE4C57F" w14:textId="77777777" w:rsidR="009E74DE" w:rsidRDefault="009E74DE" w:rsidP="008321C0">
      <w:pPr>
        <w:pStyle w:val="BodyText"/>
        <w:spacing w:before="0" w:after="0" w:line="360" w:lineRule="auto"/>
        <w:jc w:val="both"/>
        <w:rPr>
          <w:rFonts w:ascii="Arial" w:eastAsiaTheme="majorEastAsia" w:hAnsi="Arial" w:cs="Arial"/>
          <w:sz w:val="20"/>
          <w:szCs w:val="20"/>
        </w:rPr>
      </w:pPr>
    </w:p>
    <w:p w14:paraId="0C797B99" w14:textId="77777777" w:rsidR="00572CFC" w:rsidRDefault="00572CFC" w:rsidP="008321C0">
      <w:pPr>
        <w:pStyle w:val="BodyText"/>
        <w:spacing w:before="0" w:after="0" w:line="360" w:lineRule="auto"/>
        <w:jc w:val="both"/>
        <w:rPr>
          <w:rFonts w:ascii="Arial" w:eastAsiaTheme="majorEastAsia" w:hAnsi="Arial" w:cs="Arial"/>
          <w:sz w:val="20"/>
          <w:szCs w:val="20"/>
        </w:rPr>
      </w:pPr>
    </w:p>
    <w:p w14:paraId="2B87439F" w14:textId="77777777" w:rsidR="00572CFC" w:rsidRDefault="00572CFC" w:rsidP="008321C0">
      <w:pPr>
        <w:pStyle w:val="BodyText"/>
        <w:spacing w:before="0" w:after="0" w:line="360" w:lineRule="auto"/>
        <w:jc w:val="both"/>
        <w:rPr>
          <w:rFonts w:ascii="Arial" w:eastAsiaTheme="majorEastAsia" w:hAnsi="Arial" w:cs="Arial"/>
          <w:sz w:val="20"/>
          <w:szCs w:val="20"/>
        </w:rPr>
      </w:pPr>
      <w:r>
        <w:rPr>
          <w:rFonts w:ascii="Arial" w:eastAsiaTheme="majorEastAsia" w:hAnsi="Arial" w:cs="Arial"/>
          <w:sz w:val="20"/>
          <w:szCs w:val="20"/>
        </w:rPr>
        <w:t xml:space="preserve">Fig 2: </w:t>
      </w:r>
      <w:r w:rsidRPr="00572CFC">
        <w:rPr>
          <w:rFonts w:ascii="Arial" w:eastAsiaTheme="majorEastAsia" w:hAnsi="Arial" w:cs="Arial"/>
          <w:sz w:val="20"/>
          <w:szCs w:val="20"/>
        </w:rPr>
        <w:t>Bottom 5 Districts in Women's Schooling (10+ years)</w:t>
      </w:r>
    </w:p>
    <w:p w14:paraId="7F39F696" w14:textId="77777777" w:rsidR="00A33B8D" w:rsidRDefault="00A33B8D"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noProof/>
          <w:sz w:val="20"/>
          <w:szCs w:val="20"/>
          <w:lang w:val="en-IN" w:eastAsia="en-IN"/>
        </w:rPr>
        <w:drawing>
          <wp:inline distT="0" distB="0" distL="0" distR="0" wp14:anchorId="04516B92" wp14:editId="42987025">
            <wp:extent cx="5432400" cy="32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2400" cy="3240000"/>
                    </a:xfrm>
                    <a:prstGeom prst="rect">
                      <a:avLst/>
                    </a:prstGeom>
                    <a:noFill/>
                  </pic:spPr>
                </pic:pic>
              </a:graphicData>
            </a:graphic>
          </wp:inline>
        </w:drawing>
      </w:r>
    </w:p>
    <w:p w14:paraId="6DB5D1CC" w14:textId="77777777" w:rsidR="009E74DE" w:rsidRPr="008321C0" w:rsidRDefault="009E74DE" w:rsidP="009E74DE">
      <w:pPr>
        <w:pStyle w:val="BodyText"/>
        <w:spacing w:before="0" w:after="0" w:line="360" w:lineRule="auto"/>
        <w:jc w:val="center"/>
        <w:rPr>
          <w:rFonts w:ascii="Arial" w:eastAsiaTheme="majorEastAsia" w:hAnsi="Arial" w:cs="Arial"/>
          <w:sz w:val="20"/>
          <w:szCs w:val="20"/>
        </w:rPr>
      </w:pPr>
      <w:r w:rsidRPr="00897F4E">
        <w:rPr>
          <w:rFonts w:ascii="Arial" w:eastAsiaTheme="majorEastAsia" w:hAnsi="Arial" w:cs="Arial"/>
          <w:b/>
          <w:bCs/>
          <w:sz w:val="20"/>
          <w:szCs w:val="20"/>
        </w:rPr>
        <w:t>Source:</w:t>
      </w:r>
      <w:r>
        <w:rPr>
          <w:rFonts w:ascii="Arial" w:eastAsiaTheme="majorEastAsia" w:hAnsi="Arial" w:cs="Arial"/>
          <w:sz w:val="20"/>
          <w:szCs w:val="20"/>
        </w:rPr>
        <w:t xml:space="preserve"> </w:t>
      </w:r>
      <w:proofErr w:type="spellStart"/>
      <w:r>
        <w:rPr>
          <w:rFonts w:ascii="Arial" w:eastAsiaTheme="majorEastAsia" w:hAnsi="Arial" w:cs="Arial"/>
          <w:sz w:val="20"/>
          <w:szCs w:val="20"/>
        </w:rPr>
        <w:t>Socie</w:t>
      </w:r>
      <w:proofErr w:type="spellEnd"/>
      <w:r>
        <w:rPr>
          <w:rFonts w:ascii="Arial" w:eastAsiaTheme="majorEastAsia" w:hAnsi="Arial" w:cs="Arial"/>
          <w:sz w:val="20"/>
          <w:szCs w:val="20"/>
        </w:rPr>
        <w:t xml:space="preserve">-economic abstract of </w:t>
      </w:r>
      <w:proofErr w:type="spellStart"/>
      <w:r>
        <w:rPr>
          <w:rFonts w:ascii="Arial" w:eastAsiaTheme="majorEastAsia" w:hAnsi="Arial" w:cs="Arial"/>
          <w:sz w:val="20"/>
          <w:szCs w:val="20"/>
        </w:rPr>
        <w:t>Ahilyanagar</w:t>
      </w:r>
      <w:proofErr w:type="spellEnd"/>
      <w:r>
        <w:rPr>
          <w:rFonts w:ascii="Arial" w:eastAsiaTheme="majorEastAsia" w:hAnsi="Arial" w:cs="Arial"/>
          <w:sz w:val="20"/>
          <w:szCs w:val="20"/>
        </w:rPr>
        <w:t xml:space="preserve"> District-2024</w:t>
      </w:r>
    </w:p>
    <w:p w14:paraId="733E824E" w14:textId="77777777" w:rsidR="009E74DE" w:rsidRPr="008321C0" w:rsidRDefault="009E74DE" w:rsidP="008321C0">
      <w:pPr>
        <w:pStyle w:val="BodyText"/>
        <w:spacing w:before="0" w:after="0" w:line="360" w:lineRule="auto"/>
        <w:jc w:val="both"/>
        <w:rPr>
          <w:rFonts w:ascii="Arial" w:eastAsiaTheme="majorEastAsia" w:hAnsi="Arial" w:cs="Arial"/>
          <w:sz w:val="20"/>
          <w:szCs w:val="20"/>
        </w:rPr>
      </w:pPr>
    </w:p>
    <w:p w14:paraId="4019ECA3" w14:textId="77777777" w:rsidR="00E968C5" w:rsidRPr="008321C0" w:rsidRDefault="00E968C5" w:rsidP="008321C0">
      <w:pPr>
        <w:spacing w:after="0" w:line="360" w:lineRule="auto"/>
        <w:jc w:val="both"/>
        <w:rPr>
          <w:rFonts w:ascii="Arial" w:hAnsi="Arial" w:cs="Arial"/>
          <w:sz w:val="20"/>
          <w:szCs w:val="20"/>
        </w:rPr>
      </w:pPr>
      <w:r w:rsidRPr="008321C0">
        <w:rPr>
          <w:rFonts w:ascii="Arial" w:hAnsi="Arial" w:cs="Arial"/>
          <w:sz w:val="20"/>
          <w:szCs w:val="20"/>
        </w:rPr>
        <w:lastRenderedPageBreak/>
        <w:t>National analyses (NFHS-4 and 5) show a strong negative correlation between women’s education and underage marriage. In fact, states with the highest schooling have the lowest child marriage rates (Ashoka University Data Lab, 2022). Our Maharashtra data follows the same trend. Districts with higher female schooling and literacy consistently report much lower early marriage. A simple calculation from the above data yields a Pearson correlation of about –0.66 between women’s ≥10-year schooling rate and the share married before 18. This echoes the broader finding: for India overall, women’s ≥10-year schooling rose from 35.7% (NFHS-4) to 41.0% (NFHS-5) as the proportion married by 18 fell from 26.8% to 23.3% (MoHFW, 2021; IIPS &amp; ICF, 2017). In summary, education appears to be the most significant predictor of delayed marriage in Maharashtra as well.</w:t>
      </w:r>
    </w:p>
    <w:p w14:paraId="3D97FE42" w14:textId="77777777" w:rsidR="00E968C5" w:rsidRDefault="00E968C5" w:rsidP="008321C0">
      <w:pPr>
        <w:spacing w:after="0" w:line="360" w:lineRule="auto"/>
        <w:jc w:val="both"/>
        <w:rPr>
          <w:rFonts w:ascii="Arial" w:hAnsi="Arial" w:cs="Arial"/>
          <w:sz w:val="20"/>
          <w:szCs w:val="20"/>
        </w:rPr>
      </w:pPr>
      <w:r w:rsidRPr="008321C0">
        <w:rPr>
          <w:rFonts w:ascii="Arial" w:hAnsi="Arial" w:cs="Arial"/>
          <w:noProof/>
          <w:sz w:val="20"/>
          <w:szCs w:val="20"/>
          <w:lang w:val="en-IN" w:eastAsia="en-IN"/>
        </w:rPr>
        <w:drawing>
          <wp:inline distT="0" distB="0" distL="0" distR="0" wp14:anchorId="6D130671" wp14:editId="0DEB1670">
            <wp:extent cx="5533200" cy="324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3200" cy="3240000"/>
                    </a:xfrm>
                    <a:prstGeom prst="rect">
                      <a:avLst/>
                    </a:prstGeom>
                    <a:noFill/>
                  </pic:spPr>
                </pic:pic>
              </a:graphicData>
            </a:graphic>
          </wp:inline>
        </w:drawing>
      </w:r>
    </w:p>
    <w:p w14:paraId="0B020A0A" w14:textId="77777777" w:rsidR="009E74DE" w:rsidRPr="008321C0" w:rsidRDefault="009E74DE" w:rsidP="009E74DE">
      <w:pPr>
        <w:pStyle w:val="BodyText"/>
        <w:spacing w:before="0" w:after="0" w:line="360" w:lineRule="auto"/>
        <w:jc w:val="center"/>
        <w:rPr>
          <w:rFonts w:ascii="Arial" w:eastAsiaTheme="majorEastAsia" w:hAnsi="Arial" w:cs="Arial"/>
          <w:sz w:val="20"/>
          <w:szCs w:val="20"/>
        </w:rPr>
      </w:pPr>
      <w:r w:rsidRPr="00897F4E">
        <w:rPr>
          <w:rFonts w:ascii="Arial" w:eastAsiaTheme="majorEastAsia" w:hAnsi="Arial" w:cs="Arial"/>
          <w:b/>
          <w:bCs/>
          <w:sz w:val="20"/>
          <w:szCs w:val="20"/>
        </w:rPr>
        <w:t>Source:</w:t>
      </w:r>
      <w:r>
        <w:rPr>
          <w:rFonts w:ascii="Arial" w:eastAsiaTheme="majorEastAsia" w:hAnsi="Arial" w:cs="Arial"/>
          <w:sz w:val="20"/>
          <w:szCs w:val="20"/>
        </w:rPr>
        <w:t xml:space="preserve"> </w:t>
      </w:r>
      <w:proofErr w:type="spellStart"/>
      <w:r>
        <w:rPr>
          <w:rFonts w:ascii="Arial" w:eastAsiaTheme="majorEastAsia" w:hAnsi="Arial" w:cs="Arial"/>
          <w:sz w:val="20"/>
          <w:szCs w:val="20"/>
        </w:rPr>
        <w:t>Socie</w:t>
      </w:r>
      <w:proofErr w:type="spellEnd"/>
      <w:r>
        <w:rPr>
          <w:rFonts w:ascii="Arial" w:eastAsiaTheme="majorEastAsia" w:hAnsi="Arial" w:cs="Arial"/>
          <w:sz w:val="20"/>
          <w:szCs w:val="20"/>
        </w:rPr>
        <w:t xml:space="preserve">-economic abstract of </w:t>
      </w:r>
      <w:proofErr w:type="spellStart"/>
      <w:r>
        <w:rPr>
          <w:rFonts w:ascii="Arial" w:eastAsiaTheme="majorEastAsia" w:hAnsi="Arial" w:cs="Arial"/>
          <w:sz w:val="20"/>
          <w:szCs w:val="20"/>
        </w:rPr>
        <w:t>Ahilyanagar</w:t>
      </w:r>
      <w:proofErr w:type="spellEnd"/>
      <w:r>
        <w:rPr>
          <w:rFonts w:ascii="Arial" w:eastAsiaTheme="majorEastAsia" w:hAnsi="Arial" w:cs="Arial"/>
          <w:sz w:val="20"/>
          <w:szCs w:val="20"/>
        </w:rPr>
        <w:t xml:space="preserve"> District-2024</w:t>
      </w:r>
    </w:p>
    <w:p w14:paraId="6847CFDD" w14:textId="77777777" w:rsidR="009E74DE" w:rsidRDefault="009E74DE" w:rsidP="008321C0">
      <w:pPr>
        <w:spacing w:after="0" w:line="360" w:lineRule="auto"/>
        <w:jc w:val="both"/>
        <w:rPr>
          <w:rFonts w:ascii="Arial" w:hAnsi="Arial" w:cs="Arial"/>
          <w:sz w:val="20"/>
          <w:szCs w:val="20"/>
        </w:rPr>
      </w:pPr>
    </w:p>
    <w:p w14:paraId="25FE2DE6" w14:textId="77777777" w:rsidR="00572CFC" w:rsidRPr="008321C0" w:rsidRDefault="00572CFC" w:rsidP="008321C0">
      <w:pPr>
        <w:spacing w:after="0" w:line="360" w:lineRule="auto"/>
        <w:jc w:val="both"/>
        <w:rPr>
          <w:rFonts w:ascii="Arial" w:hAnsi="Arial" w:cs="Arial"/>
          <w:sz w:val="20"/>
          <w:szCs w:val="20"/>
        </w:rPr>
      </w:pPr>
      <w:r>
        <w:rPr>
          <w:rFonts w:ascii="Arial" w:hAnsi="Arial" w:cs="Arial"/>
          <w:sz w:val="20"/>
          <w:szCs w:val="20"/>
        </w:rPr>
        <w:t xml:space="preserve">Fig 3: </w:t>
      </w:r>
      <w:r w:rsidRPr="00572CFC">
        <w:rPr>
          <w:rFonts w:ascii="Arial" w:hAnsi="Arial" w:cs="Arial"/>
          <w:sz w:val="20"/>
          <w:szCs w:val="20"/>
        </w:rPr>
        <w:t>Women Schooling (&gt;10 Yrs) and Married before age 18 Yrs</w:t>
      </w:r>
    </w:p>
    <w:p w14:paraId="23339784"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p>
    <w:p w14:paraId="0D4856F5" w14:textId="77777777"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3.2 </w:t>
      </w:r>
      <w:r w:rsidR="00D31BEC" w:rsidRPr="008321C0">
        <w:rPr>
          <w:rFonts w:ascii="Arial" w:eastAsiaTheme="majorEastAsia" w:hAnsi="Arial" w:cs="Arial"/>
          <w:b/>
          <w:bCs/>
          <w:sz w:val="20"/>
          <w:szCs w:val="20"/>
        </w:rPr>
        <w:t>Correlations</w:t>
      </w:r>
    </w:p>
    <w:p w14:paraId="2B3CAABB" w14:textId="77777777" w:rsidR="00D31BEC"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Our analyses confirm national patterns: higher female education coexists with reduced child marriage. This aligns with national-level multivariate findings that women with higher education are dramatically less likely to marry early (BMC Public Health, 2024; Ashoka University Data Lab, 2022).</w:t>
      </w:r>
    </w:p>
    <w:p w14:paraId="516E847A" w14:textId="77777777" w:rsidR="00C215F3" w:rsidRPr="008321C0" w:rsidRDefault="00C215F3" w:rsidP="008321C0">
      <w:pPr>
        <w:pStyle w:val="BodyText"/>
        <w:spacing w:before="0" w:after="0" w:line="360" w:lineRule="auto"/>
        <w:jc w:val="both"/>
        <w:rPr>
          <w:rFonts w:ascii="Arial" w:eastAsiaTheme="majorEastAsia" w:hAnsi="Arial" w:cs="Arial"/>
          <w:sz w:val="20"/>
          <w:szCs w:val="20"/>
        </w:rPr>
      </w:pPr>
      <w:r w:rsidRPr="00C215F3">
        <w:rPr>
          <w:rFonts w:ascii="Arial" w:eastAsiaTheme="majorEastAsia" w:hAnsi="Arial" w:cs="Arial"/>
          <w:sz w:val="20"/>
          <w:szCs w:val="20"/>
        </w:rPr>
        <w:t xml:space="preserve">The strong positive correlation between female schooling and literacy (r ≈ 0.84) observed in this study reinforces established evidence that sustained school participation is essential for functional literacy outcomes among women (UNESCO, 2014). The negative association between women’s completion of secondary education and child marriage (r ≈ –0.66) is consistent with national and international findings, which demonstrate that each additional year of schooling significantly reduces the likelihood of marriage </w:t>
      </w:r>
      <w:r w:rsidRPr="00C215F3">
        <w:rPr>
          <w:rFonts w:ascii="Arial" w:eastAsiaTheme="majorEastAsia" w:hAnsi="Arial" w:cs="Arial"/>
          <w:sz w:val="20"/>
          <w:szCs w:val="20"/>
        </w:rPr>
        <w:lastRenderedPageBreak/>
        <w:t>before 18 (Raj et al., 2019; UNICEF, 2020). Recent multilevel studies further suggest that secondary education not only delays marriage but also improves reproductive health outcomes and women’s autonomy, strengthening long-term development impacts (BMC Public Health, 2024; World Bank, 2018).</w:t>
      </w:r>
    </w:p>
    <w:p w14:paraId="17DD0D2C" w14:textId="77777777" w:rsidR="00AC3A19" w:rsidRDefault="00AC3A19" w:rsidP="008321C0">
      <w:pPr>
        <w:pStyle w:val="BodyText"/>
        <w:spacing w:before="0" w:after="0" w:line="360" w:lineRule="auto"/>
        <w:jc w:val="center"/>
        <w:rPr>
          <w:rFonts w:ascii="Arial" w:eastAsiaTheme="majorEastAsia" w:hAnsi="Arial" w:cs="Arial"/>
          <w:sz w:val="20"/>
          <w:szCs w:val="20"/>
        </w:rPr>
      </w:pPr>
      <w:r w:rsidRPr="008321C0">
        <w:rPr>
          <w:rFonts w:ascii="Arial" w:eastAsiaTheme="majorEastAsia" w:hAnsi="Arial" w:cs="Arial"/>
          <w:noProof/>
          <w:sz w:val="20"/>
          <w:szCs w:val="20"/>
          <w:lang w:val="en-IN" w:eastAsia="en-IN"/>
        </w:rPr>
        <w:drawing>
          <wp:inline distT="0" distB="0" distL="0" distR="0" wp14:anchorId="0EC8840F" wp14:editId="3D7EDDDC">
            <wp:extent cx="4960800" cy="32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0800" cy="3240000"/>
                    </a:xfrm>
                    <a:prstGeom prst="rect">
                      <a:avLst/>
                    </a:prstGeom>
                    <a:noFill/>
                  </pic:spPr>
                </pic:pic>
              </a:graphicData>
            </a:graphic>
          </wp:inline>
        </w:drawing>
      </w:r>
    </w:p>
    <w:p w14:paraId="164F0417" w14:textId="77777777" w:rsidR="009E74DE" w:rsidRPr="008321C0" w:rsidRDefault="009E74DE" w:rsidP="009E74DE">
      <w:pPr>
        <w:pStyle w:val="BodyText"/>
        <w:spacing w:before="0" w:after="0" w:line="360" w:lineRule="auto"/>
        <w:jc w:val="center"/>
        <w:rPr>
          <w:rFonts w:ascii="Arial" w:eastAsiaTheme="majorEastAsia" w:hAnsi="Arial" w:cs="Arial"/>
          <w:sz w:val="20"/>
          <w:szCs w:val="20"/>
        </w:rPr>
      </w:pPr>
      <w:r w:rsidRPr="00897F4E">
        <w:rPr>
          <w:rFonts w:ascii="Arial" w:eastAsiaTheme="majorEastAsia" w:hAnsi="Arial" w:cs="Arial"/>
          <w:b/>
          <w:bCs/>
          <w:sz w:val="20"/>
          <w:szCs w:val="20"/>
        </w:rPr>
        <w:t>Source:</w:t>
      </w:r>
      <w:r>
        <w:rPr>
          <w:rFonts w:ascii="Arial" w:eastAsiaTheme="majorEastAsia" w:hAnsi="Arial" w:cs="Arial"/>
          <w:sz w:val="20"/>
          <w:szCs w:val="20"/>
        </w:rPr>
        <w:t xml:space="preserve"> </w:t>
      </w:r>
      <w:proofErr w:type="spellStart"/>
      <w:r>
        <w:rPr>
          <w:rFonts w:ascii="Arial" w:eastAsiaTheme="majorEastAsia" w:hAnsi="Arial" w:cs="Arial"/>
          <w:sz w:val="20"/>
          <w:szCs w:val="20"/>
        </w:rPr>
        <w:t>Socie</w:t>
      </w:r>
      <w:proofErr w:type="spellEnd"/>
      <w:r>
        <w:rPr>
          <w:rFonts w:ascii="Arial" w:eastAsiaTheme="majorEastAsia" w:hAnsi="Arial" w:cs="Arial"/>
          <w:sz w:val="20"/>
          <w:szCs w:val="20"/>
        </w:rPr>
        <w:t xml:space="preserve">-economic abstract of </w:t>
      </w:r>
      <w:proofErr w:type="spellStart"/>
      <w:r>
        <w:rPr>
          <w:rFonts w:ascii="Arial" w:eastAsiaTheme="majorEastAsia" w:hAnsi="Arial" w:cs="Arial"/>
          <w:sz w:val="20"/>
          <w:szCs w:val="20"/>
        </w:rPr>
        <w:t>Ahilyanagar</w:t>
      </w:r>
      <w:proofErr w:type="spellEnd"/>
      <w:r>
        <w:rPr>
          <w:rFonts w:ascii="Arial" w:eastAsiaTheme="majorEastAsia" w:hAnsi="Arial" w:cs="Arial"/>
          <w:sz w:val="20"/>
          <w:szCs w:val="20"/>
        </w:rPr>
        <w:t xml:space="preserve"> District-2024</w:t>
      </w:r>
    </w:p>
    <w:p w14:paraId="705C952F" w14:textId="77777777" w:rsidR="009E74DE" w:rsidRDefault="009E74DE" w:rsidP="008321C0">
      <w:pPr>
        <w:pStyle w:val="BodyText"/>
        <w:spacing w:before="0" w:after="0" w:line="360" w:lineRule="auto"/>
        <w:jc w:val="center"/>
        <w:rPr>
          <w:rFonts w:ascii="Arial" w:eastAsiaTheme="majorEastAsia" w:hAnsi="Arial" w:cs="Arial"/>
          <w:sz w:val="20"/>
          <w:szCs w:val="20"/>
        </w:rPr>
      </w:pPr>
    </w:p>
    <w:p w14:paraId="2AD41A12" w14:textId="77777777" w:rsidR="00572CFC" w:rsidRPr="008321C0" w:rsidRDefault="00572CFC" w:rsidP="008321C0">
      <w:pPr>
        <w:pStyle w:val="BodyText"/>
        <w:spacing w:before="0" w:after="0" w:line="360" w:lineRule="auto"/>
        <w:jc w:val="center"/>
        <w:rPr>
          <w:rFonts w:ascii="Arial" w:eastAsiaTheme="majorEastAsia" w:hAnsi="Arial" w:cs="Arial"/>
          <w:sz w:val="20"/>
          <w:szCs w:val="20"/>
        </w:rPr>
      </w:pPr>
      <w:r>
        <w:rPr>
          <w:rFonts w:ascii="Arial" w:eastAsiaTheme="majorEastAsia" w:hAnsi="Arial" w:cs="Arial"/>
          <w:sz w:val="20"/>
          <w:szCs w:val="20"/>
        </w:rPr>
        <w:t xml:space="preserve">Fig 4: </w:t>
      </w:r>
      <w:r w:rsidRPr="00572CFC">
        <w:rPr>
          <w:rFonts w:ascii="Arial" w:eastAsiaTheme="majorEastAsia" w:hAnsi="Arial" w:cs="Arial"/>
          <w:sz w:val="20"/>
          <w:szCs w:val="20"/>
        </w:rPr>
        <w:t>Correlation between Education &amp; Early Marriage - Maharashtra</w:t>
      </w:r>
    </w:p>
    <w:p w14:paraId="25F8F0E5" w14:textId="77777777" w:rsidR="00E968C5" w:rsidRDefault="00E968C5" w:rsidP="008321C0">
      <w:pPr>
        <w:spacing w:after="0" w:line="360" w:lineRule="auto"/>
        <w:jc w:val="both"/>
        <w:rPr>
          <w:rFonts w:ascii="Arial" w:hAnsi="Arial" w:cs="Arial"/>
          <w:sz w:val="20"/>
          <w:szCs w:val="20"/>
        </w:rPr>
      </w:pPr>
      <w:r w:rsidRPr="008321C0">
        <w:rPr>
          <w:rFonts w:ascii="Arial" w:hAnsi="Arial" w:cs="Arial"/>
          <w:sz w:val="20"/>
          <w:szCs w:val="20"/>
        </w:rPr>
        <w:t>The sex ratio (females per 1000 males) also shows district variation. Overall Maharashtra (966) is below India (1020). Within the state, the highest ratios are in Ratnagiri (1069) and Satara (1049), while the lowest are in Nashik (913), Pune (918) and Mumbai Suburban (921). High female ratios in coastal and tribal areas often reflect male out-migration; low ratios in urban districts may reflect selective migration or demographic profiles. Sex ratio is linked to education and empowerment but can be influenced by many factors, so patterns are complex (Jha et al., 2018).</w:t>
      </w:r>
    </w:p>
    <w:p w14:paraId="5A3E3830" w14:textId="77777777" w:rsidR="00572CFC" w:rsidRPr="008321C0" w:rsidRDefault="00572CFC" w:rsidP="008321C0">
      <w:pPr>
        <w:spacing w:after="0" w:line="360" w:lineRule="auto"/>
        <w:jc w:val="both"/>
        <w:rPr>
          <w:rFonts w:ascii="Arial" w:hAnsi="Arial" w:cs="Arial"/>
          <w:sz w:val="20"/>
          <w:szCs w:val="20"/>
        </w:rPr>
      </w:pPr>
      <w:r>
        <w:rPr>
          <w:rFonts w:ascii="Arial" w:hAnsi="Arial" w:cs="Arial"/>
          <w:sz w:val="20"/>
          <w:szCs w:val="20"/>
        </w:rPr>
        <w:t xml:space="preserve">Fig 5: </w:t>
      </w:r>
      <w:r w:rsidRPr="00572CFC">
        <w:rPr>
          <w:rFonts w:ascii="Arial" w:hAnsi="Arial" w:cs="Arial"/>
          <w:sz w:val="20"/>
          <w:szCs w:val="20"/>
        </w:rPr>
        <w:t>Correlation Matrix: Education, Literacy &amp; Early Marriage</w:t>
      </w:r>
    </w:p>
    <w:p w14:paraId="1FFE6FB8" w14:textId="77777777" w:rsidR="00A33B8D" w:rsidRDefault="00A33B8D" w:rsidP="008321C0">
      <w:pPr>
        <w:spacing w:after="0" w:line="360" w:lineRule="auto"/>
        <w:jc w:val="center"/>
        <w:rPr>
          <w:rFonts w:ascii="Arial" w:hAnsi="Arial" w:cs="Arial"/>
          <w:sz w:val="20"/>
          <w:szCs w:val="20"/>
        </w:rPr>
      </w:pPr>
      <w:r w:rsidRPr="008321C0">
        <w:rPr>
          <w:rFonts w:ascii="Arial" w:hAnsi="Arial" w:cs="Arial"/>
          <w:noProof/>
          <w:sz w:val="20"/>
          <w:szCs w:val="20"/>
          <w:lang w:val="en-IN" w:eastAsia="en-IN"/>
        </w:rPr>
        <w:lastRenderedPageBreak/>
        <w:drawing>
          <wp:inline distT="0" distB="0" distL="0" distR="0" wp14:anchorId="4712136B" wp14:editId="1B7FC930">
            <wp:extent cx="3877200" cy="32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7200" cy="3240000"/>
                    </a:xfrm>
                    <a:prstGeom prst="rect">
                      <a:avLst/>
                    </a:prstGeom>
                    <a:noFill/>
                  </pic:spPr>
                </pic:pic>
              </a:graphicData>
            </a:graphic>
          </wp:inline>
        </w:drawing>
      </w:r>
    </w:p>
    <w:p w14:paraId="7F1096FE" w14:textId="77777777" w:rsidR="009E74DE" w:rsidRPr="008321C0" w:rsidRDefault="009E74DE" w:rsidP="009E74DE">
      <w:pPr>
        <w:pStyle w:val="BodyText"/>
        <w:spacing w:before="0" w:after="0" w:line="360" w:lineRule="auto"/>
        <w:jc w:val="center"/>
        <w:rPr>
          <w:rFonts w:ascii="Arial" w:eastAsiaTheme="majorEastAsia" w:hAnsi="Arial" w:cs="Arial"/>
          <w:sz w:val="20"/>
          <w:szCs w:val="20"/>
        </w:rPr>
      </w:pPr>
      <w:r w:rsidRPr="00897F4E">
        <w:rPr>
          <w:rFonts w:ascii="Arial" w:eastAsiaTheme="majorEastAsia" w:hAnsi="Arial" w:cs="Arial"/>
          <w:b/>
          <w:bCs/>
          <w:sz w:val="20"/>
          <w:szCs w:val="20"/>
        </w:rPr>
        <w:t>Source:</w:t>
      </w:r>
      <w:r>
        <w:rPr>
          <w:rFonts w:ascii="Arial" w:eastAsiaTheme="majorEastAsia" w:hAnsi="Arial" w:cs="Arial"/>
          <w:sz w:val="20"/>
          <w:szCs w:val="20"/>
        </w:rPr>
        <w:t xml:space="preserve"> </w:t>
      </w:r>
      <w:proofErr w:type="spellStart"/>
      <w:r>
        <w:rPr>
          <w:rFonts w:ascii="Arial" w:eastAsiaTheme="majorEastAsia" w:hAnsi="Arial" w:cs="Arial"/>
          <w:sz w:val="20"/>
          <w:szCs w:val="20"/>
        </w:rPr>
        <w:t>Socie</w:t>
      </w:r>
      <w:proofErr w:type="spellEnd"/>
      <w:r>
        <w:rPr>
          <w:rFonts w:ascii="Arial" w:eastAsiaTheme="majorEastAsia" w:hAnsi="Arial" w:cs="Arial"/>
          <w:sz w:val="20"/>
          <w:szCs w:val="20"/>
        </w:rPr>
        <w:t xml:space="preserve">-economic abstract of </w:t>
      </w:r>
      <w:proofErr w:type="spellStart"/>
      <w:r>
        <w:rPr>
          <w:rFonts w:ascii="Arial" w:eastAsiaTheme="majorEastAsia" w:hAnsi="Arial" w:cs="Arial"/>
          <w:sz w:val="20"/>
          <w:szCs w:val="20"/>
        </w:rPr>
        <w:t>Ahilyanagar</w:t>
      </w:r>
      <w:proofErr w:type="spellEnd"/>
      <w:r>
        <w:rPr>
          <w:rFonts w:ascii="Arial" w:eastAsiaTheme="majorEastAsia" w:hAnsi="Arial" w:cs="Arial"/>
          <w:sz w:val="20"/>
          <w:szCs w:val="20"/>
        </w:rPr>
        <w:t xml:space="preserve"> District-2024</w:t>
      </w:r>
    </w:p>
    <w:p w14:paraId="3A7D9478" w14:textId="77777777" w:rsidR="009E74DE" w:rsidRDefault="009E74DE" w:rsidP="008321C0">
      <w:pPr>
        <w:spacing w:after="0" w:line="360" w:lineRule="auto"/>
        <w:jc w:val="center"/>
        <w:rPr>
          <w:rFonts w:ascii="Arial" w:hAnsi="Arial" w:cs="Arial"/>
          <w:sz w:val="20"/>
          <w:szCs w:val="20"/>
        </w:rPr>
      </w:pPr>
    </w:p>
    <w:p w14:paraId="7EB5A5B8" w14:textId="77777777" w:rsidR="00572CFC" w:rsidRPr="008321C0" w:rsidRDefault="00572CFC" w:rsidP="008321C0">
      <w:pPr>
        <w:spacing w:after="0" w:line="360" w:lineRule="auto"/>
        <w:jc w:val="center"/>
        <w:rPr>
          <w:rFonts w:ascii="Arial" w:hAnsi="Arial" w:cs="Arial"/>
          <w:sz w:val="20"/>
          <w:szCs w:val="20"/>
        </w:rPr>
      </w:pPr>
      <w:r>
        <w:rPr>
          <w:rFonts w:ascii="Arial" w:hAnsi="Arial" w:cs="Arial"/>
          <w:sz w:val="20"/>
          <w:szCs w:val="20"/>
        </w:rPr>
        <w:t xml:space="preserve">Fig 6: </w:t>
      </w:r>
      <w:r w:rsidRPr="00572CFC">
        <w:rPr>
          <w:rFonts w:ascii="Arial" w:hAnsi="Arial" w:cs="Arial"/>
          <w:sz w:val="20"/>
          <w:szCs w:val="20"/>
        </w:rPr>
        <w:t>Sex ratio of the total population (females per 1,000 males)</w:t>
      </w:r>
    </w:p>
    <w:p w14:paraId="19A373CA" w14:textId="77777777" w:rsidR="00E968C5" w:rsidRDefault="00E968C5" w:rsidP="008321C0">
      <w:pPr>
        <w:spacing w:after="0" w:line="360" w:lineRule="auto"/>
        <w:jc w:val="both"/>
        <w:rPr>
          <w:rFonts w:ascii="Arial" w:hAnsi="Arial" w:cs="Arial"/>
          <w:sz w:val="20"/>
          <w:szCs w:val="20"/>
        </w:rPr>
      </w:pPr>
      <w:r w:rsidRPr="008321C0">
        <w:rPr>
          <w:rFonts w:ascii="Arial" w:hAnsi="Arial" w:cs="Arial"/>
          <w:noProof/>
          <w:sz w:val="20"/>
          <w:szCs w:val="20"/>
          <w:lang w:val="en-IN" w:eastAsia="en-IN"/>
        </w:rPr>
        <w:drawing>
          <wp:inline distT="0" distB="0" distL="0" distR="0" wp14:anchorId="1055FDB3" wp14:editId="4DF26589">
            <wp:extent cx="5389200" cy="324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9200" cy="3240000"/>
                    </a:xfrm>
                    <a:prstGeom prst="rect">
                      <a:avLst/>
                    </a:prstGeom>
                    <a:noFill/>
                  </pic:spPr>
                </pic:pic>
              </a:graphicData>
            </a:graphic>
          </wp:inline>
        </w:drawing>
      </w:r>
    </w:p>
    <w:p w14:paraId="2E9DCE3F" w14:textId="77777777" w:rsidR="009E74DE" w:rsidRPr="008321C0" w:rsidRDefault="009E74DE" w:rsidP="009E74DE">
      <w:pPr>
        <w:pStyle w:val="BodyText"/>
        <w:spacing w:before="0" w:after="0" w:line="360" w:lineRule="auto"/>
        <w:jc w:val="center"/>
        <w:rPr>
          <w:rFonts w:ascii="Arial" w:eastAsiaTheme="majorEastAsia" w:hAnsi="Arial" w:cs="Arial"/>
          <w:sz w:val="20"/>
          <w:szCs w:val="20"/>
        </w:rPr>
      </w:pPr>
      <w:r w:rsidRPr="00897F4E">
        <w:rPr>
          <w:rFonts w:ascii="Arial" w:eastAsiaTheme="majorEastAsia" w:hAnsi="Arial" w:cs="Arial"/>
          <w:b/>
          <w:bCs/>
          <w:sz w:val="20"/>
          <w:szCs w:val="20"/>
        </w:rPr>
        <w:t>Source:</w:t>
      </w:r>
      <w:r>
        <w:rPr>
          <w:rFonts w:ascii="Arial" w:eastAsiaTheme="majorEastAsia" w:hAnsi="Arial" w:cs="Arial"/>
          <w:sz w:val="20"/>
          <w:szCs w:val="20"/>
        </w:rPr>
        <w:t xml:space="preserve"> </w:t>
      </w:r>
      <w:proofErr w:type="spellStart"/>
      <w:r>
        <w:rPr>
          <w:rFonts w:ascii="Arial" w:eastAsiaTheme="majorEastAsia" w:hAnsi="Arial" w:cs="Arial"/>
          <w:sz w:val="20"/>
          <w:szCs w:val="20"/>
        </w:rPr>
        <w:t>Socie</w:t>
      </w:r>
      <w:proofErr w:type="spellEnd"/>
      <w:r>
        <w:rPr>
          <w:rFonts w:ascii="Arial" w:eastAsiaTheme="majorEastAsia" w:hAnsi="Arial" w:cs="Arial"/>
          <w:sz w:val="20"/>
          <w:szCs w:val="20"/>
        </w:rPr>
        <w:t xml:space="preserve">-economic abstract of </w:t>
      </w:r>
      <w:proofErr w:type="spellStart"/>
      <w:r>
        <w:rPr>
          <w:rFonts w:ascii="Arial" w:eastAsiaTheme="majorEastAsia" w:hAnsi="Arial" w:cs="Arial"/>
          <w:sz w:val="20"/>
          <w:szCs w:val="20"/>
        </w:rPr>
        <w:t>Ahilyanagar</w:t>
      </w:r>
      <w:proofErr w:type="spellEnd"/>
      <w:r>
        <w:rPr>
          <w:rFonts w:ascii="Arial" w:eastAsiaTheme="majorEastAsia" w:hAnsi="Arial" w:cs="Arial"/>
          <w:sz w:val="20"/>
          <w:szCs w:val="20"/>
        </w:rPr>
        <w:t xml:space="preserve"> District-2024</w:t>
      </w:r>
    </w:p>
    <w:p w14:paraId="76FE13C3" w14:textId="77777777" w:rsidR="009E74DE" w:rsidRPr="008321C0" w:rsidRDefault="009E74DE" w:rsidP="008321C0">
      <w:pPr>
        <w:spacing w:after="0" w:line="360" w:lineRule="auto"/>
        <w:jc w:val="both"/>
        <w:rPr>
          <w:rFonts w:ascii="Arial" w:hAnsi="Arial" w:cs="Arial"/>
          <w:sz w:val="20"/>
          <w:szCs w:val="20"/>
        </w:rPr>
      </w:pPr>
    </w:p>
    <w:p w14:paraId="0C49079E" w14:textId="77777777" w:rsidR="00E968C5" w:rsidRPr="008321C0" w:rsidRDefault="00E968C5" w:rsidP="008321C0">
      <w:pPr>
        <w:spacing w:after="0" w:line="360" w:lineRule="auto"/>
        <w:jc w:val="both"/>
        <w:rPr>
          <w:rFonts w:ascii="Arial" w:hAnsi="Arial" w:cs="Arial"/>
          <w:sz w:val="20"/>
          <w:szCs w:val="20"/>
        </w:rPr>
      </w:pPr>
    </w:p>
    <w:p w14:paraId="68B601E7" w14:textId="77777777" w:rsidR="00E968C5" w:rsidRPr="008321C0" w:rsidRDefault="00E968C5" w:rsidP="008321C0">
      <w:pPr>
        <w:pStyle w:val="BodyText"/>
        <w:spacing w:before="0" w:after="0" w:line="360" w:lineRule="auto"/>
        <w:jc w:val="both"/>
        <w:rPr>
          <w:rFonts w:ascii="Arial" w:hAnsi="Arial" w:cs="Arial"/>
          <w:sz w:val="20"/>
          <w:szCs w:val="20"/>
        </w:rPr>
      </w:pPr>
      <w:r w:rsidRPr="008321C0">
        <w:rPr>
          <w:rFonts w:ascii="Arial" w:hAnsi="Arial" w:cs="Arial"/>
          <w:sz w:val="20"/>
          <w:szCs w:val="20"/>
        </w:rPr>
        <w:lastRenderedPageBreak/>
        <w:t>The sex ratio findings, while less directly linked in this analysis, also merit note. A more balanced or female-</w:t>
      </w:r>
      <w:r w:rsidR="00D122C8" w:rsidRPr="008321C0">
        <w:rPr>
          <w:rFonts w:ascii="Arial" w:hAnsi="Arial" w:cs="Arial"/>
          <w:sz w:val="20"/>
          <w:szCs w:val="20"/>
        </w:rPr>
        <w:t>favoring</w:t>
      </w:r>
      <w:r w:rsidRPr="008321C0">
        <w:rPr>
          <w:rFonts w:ascii="Arial" w:hAnsi="Arial" w:cs="Arial"/>
          <w:sz w:val="20"/>
          <w:szCs w:val="20"/>
        </w:rPr>
        <w:t xml:space="preserve"> ratio (as in Ratnagiri, Sindhudurg, Bhandara) may reflect patterns like male migration or better survival of girls, whereas very low ratios (Nashik, Pune) could indicate selective practices. However, because sex ratio is influenced by many social and migration factors, we focus on education and marriage as the primary concerns.</w:t>
      </w:r>
    </w:p>
    <w:p w14:paraId="2973DC07"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p>
    <w:p w14:paraId="5CCCBB9A" w14:textId="77777777" w:rsidR="003F5520" w:rsidRPr="003F5520" w:rsidRDefault="003F5520" w:rsidP="003F5520">
      <w:pPr>
        <w:pStyle w:val="BodyText"/>
        <w:spacing w:before="0" w:after="0" w:line="360" w:lineRule="auto"/>
        <w:jc w:val="both"/>
        <w:rPr>
          <w:rFonts w:ascii="Arial" w:eastAsiaTheme="majorEastAsia" w:hAnsi="Arial" w:cs="Arial"/>
          <w:b/>
          <w:bCs/>
          <w:sz w:val="20"/>
          <w:szCs w:val="20"/>
          <w:lang w:val="en-US"/>
        </w:rPr>
      </w:pPr>
      <w:r w:rsidRPr="003F5520">
        <w:rPr>
          <w:rFonts w:ascii="Arial" w:eastAsiaTheme="majorEastAsia" w:hAnsi="Arial" w:cs="Arial"/>
          <w:b/>
          <w:bCs/>
          <w:sz w:val="20"/>
          <w:szCs w:val="20"/>
          <w:lang w:val="en-US"/>
        </w:rPr>
        <w:t xml:space="preserve">3.3 Sex Ratio and Educational Context </w:t>
      </w:r>
      <w:r>
        <w:rPr>
          <w:rFonts w:ascii="Arial" w:eastAsiaTheme="majorEastAsia" w:hAnsi="Arial" w:cs="Arial"/>
          <w:b/>
          <w:bCs/>
          <w:sz w:val="20"/>
          <w:szCs w:val="20"/>
          <w:lang w:val="en-US"/>
        </w:rPr>
        <w:t xml:space="preserve"> </w:t>
      </w:r>
    </w:p>
    <w:p w14:paraId="3545F297" w14:textId="77777777" w:rsidR="003F5520" w:rsidRPr="003F5520" w:rsidRDefault="003F5520" w:rsidP="003F5520">
      <w:pPr>
        <w:pStyle w:val="BodyText"/>
        <w:spacing w:before="0" w:after="0" w:line="360" w:lineRule="auto"/>
        <w:jc w:val="both"/>
        <w:rPr>
          <w:rFonts w:ascii="Arial" w:eastAsiaTheme="majorEastAsia" w:hAnsi="Arial" w:cs="Arial"/>
          <w:sz w:val="20"/>
          <w:szCs w:val="20"/>
          <w:lang w:val="en-US"/>
        </w:rPr>
      </w:pPr>
      <w:r w:rsidRPr="003F5520">
        <w:rPr>
          <w:rFonts w:ascii="Arial" w:eastAsiaTheme="majorEastAsia" w:hAnsi="Arial" w:cs="Arial"/>
          <w:sz w:val="20"/>
          <w:szCs w:val="20"/>
          <w:lang w:val="en-US"/>
        </w:rPr>
        <w:t>While sex ratio is not the primary explanatory variable in this study, its spatial variation provides important contextual insights. Higher female sex ratios in coastal and tribal districts such as Ratnagiri, Sindhudurg, and Gadchiroli may reflect male out-migration patterns, whereas lower ratios in metropolitan districts are often influenced by selective migration and urban labor markets (Jha et al., 2018). Previous demographic studies caution that sex ratio outcomes are shaped by multiple social, cultural, and economic processes and should therefore be interpreted alongside educational and marital indicators rather than independently (Desai &amp; Vanneman, 2015).</w:t>
      </w:r>
    </w:p>
    <w:p w14:paraId="5778570E"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p>
    <w:p w14:paraId="3EB0A9E0" w14:textId="77777777"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3.4 </w:t>
      </w:r>
      <w:r w:rsidR="00D31BEC" w:rsidRPr="008321C0">
        <w:rPr>
          <w:rFonts w:ascii="Arial" w:eastAsiaTheme="majorEastAsia" w:hAnsi="Arial" w:cs="Arial"/>
          <w:b/>
          <w:bCs/>
          <w:sz w:val="20"/>
          <w:szCs w:val="20"/>
        </w:rPr>
        <w:t>Policy Implications</w:t>
      </w:r>
    </w:p>
    <w:p w14:paraId="1A71BE89"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r w:rsidRPr="008321C0">
        <w:rPr>
          <w:rFonts w:ascii="Arial" w:eastAsiaTheme="majorEastAsia" w:hAnsi="Arial" w:cs="Arial"/>
          <w:sz w:val="20"/>
          <w:szCs w:val="20"/>
        </w:rPr>
        <w:t xml:space="preserve">Maharashtra’s proposed “Earn and Learn” stipend </w:t>
      </w:r>
      <w:r w:rsidRPr="00DF2420">
        <w:rPr>
          <w:rFonts w:ascii="Arial" w:eastAsiaTheme="majorEastAsia" w:hAnsi="Arial" w:cs="Arial"/>
          <w:sz w:val="20"/>
          <w:szCs w:val="20"/>
        </w:rPr>
        <w:t>program for female college students aims to increase higher education enrollment (Hindustan Times, 2024).</w:t>
      </w:r>
      <w:r w:rsidR="00DF2420" w:rsidRPr="00DF2420">
        <w:rPr>
          <w:rFonts w:ascii="Arial" w:eastAsiaTheme="majorEastAsia" w:hAnsi="Arial" w:cs="Arial"/>
          <w:sz w:val="20"/>
          <w:szCs w:val="20"/>
        </w:rPr>
        <w:t xml:space="preserve"> </w:t>
      </w:r>
    </w:p>
    <w:p w14:paraId="18A73E2D" w14:textId="77777777" w:rsidR="00E968C5" w:rsidRDefault="00E968C5" w:rsidP="008321C0">
      <w:pPr>
        <w:pStyle w:val="BodyText"/>
        <w:spacing w:before="0" w:after="0" w:line="360" w:lineRule="auto"/>
        <w:jc w:val="both"/>
        <w:rPr>
          <w:rFonts w:ascii="Arial" w:hAnsi="Arial" w:cs="Arial"/>
          <w:sz w:val="20"/>
          <w:szCs w:val="20"/>
        </w:rPr>
      </w:pPr>
      <w:r w:rsidRPr="008321C0">
        <w:rPr>
          <w:rFonts w:ascii="Arial" w:hAnsi="Arial" w:cs="Arial"/>
          <w:sz w:val="20"/>
          <w:szCs w:val="20"/>
        </w:rPr>
        <w:t>In policy terms, the evidence suggests that continuing to expand girls’ education – especially secondary schooling – is likely to reduce child marriage (UNICEF, 2020). Maharashtra’s overall success (state literacy 82.3% in 2011) (Government of Maharashtra, 2020) underlines progress, but district gaps remain. Programs targeting rural and disadvantaged districts (improving schools, reducing dropouts, offering scholarships) could further raise female education. Simultaneously, community campaigns and legal enforcement are needed in the high-marriage districts to change norms.</w:t>
      </w:r>
    </w:p>
    <w:p w14:paraId="630904DC" w14:textId="77777777" w:rsidR="003F5520" w:rsidRPr="008321C0" w:rsidRDefault="003F5520" w:rsidP="008321C0">
      <w:pPr>
        <w:pStyle w:val="BodyText"/>
        <w:spacing w:before="0" w:after="0" w:line="360" w:lineRule="auto"/>
        <w:jc w:val="both"/>
        <w:rPr>
          <w:rFonts w:ascii="Arial" w:hAnsi="Arial" w:cs="Arial"/>
          <w:sz w:val="20"/>
          <w:szCs w:val="20"/>
        </w:rPr>
      </w:pPr>
      <w:r w:rsidRPr="003F5520">
        <w:rPr>
          <w:rFonts w:ascii="Arial" w:hAnsi="Arial" w:cs="Arial"/>
          <w:sz w:val="20"/>
          <w:szCs w:val="20"/>
        </w:rPr>
        <w:t xml:space="preserve">Evidence from national and international studies indicates that policies focused on expanding girls’ access to secondary and higher education are among the most effective interventions for reducing child marriage (UNICEF, 2020; World Bank, 2018). </w:t>
      </w:r>
      <w:proofErr w:type="gramStart"/>
      <w:r w:rsidR="00DF2420" w:rsidRPr="00DF2420">
        <w:rPr>
          <w:rFonts w:ascii="Arial" w:eastAsiaTheme="majorEastAsia" w:hAnsi="Arial" w:cs="Arial"/>
          <w:sz w:val="20"/>
          <w:szCs w:val="20"/>
        </w:rPr>
        <w:t>UNICEF (2020) and UNFPA (2022) to align findings with global and national policy frameworks.</w:t>
      </w:r>
      <w:proofErr w:type="gramEnd"/>
      <w:r w:rsidR="00DF2420">
        <w:rPr>
          <w:rFonts w:ascii="Arial" w:eastAsiaTheme="majorEastAsia" w:hAnsi="Arial" w:cs="Arial"/>
          <w:sz w:val="20"/>
          <w:szCs w:val="20"/>
        </w:rPr>
        <w:t xml:space="preserve"> </w:t>
      </w:r>
      <w:r w:rsidRPr="003F5520">
        <w:rPr>
          <w:rFonts w:ascii="Arial" w:hAnsi="Arial" w:cs="Arial"/>
          <w:sz w:val="20"/>
          <w:szCs w:val="20"/>
        </w:rPr>
        <w:t>Scholarship schemes, conditional cash transfers, and incentives linked to school completion have demonstrated positive impacts in delaying marriage age in several Indian states (Raj et al., 2019). Maharashtra’s proposed stipend initiatives for female students align with these findings; however, targeted implementation in districts with persistently low female schooling is essential to address entrenched regional disparities (IIPS, 2021; BMC Public Health, 2024).</w:t>
      </w:r>
      <w:r w:rsidR="00DF2420">
        <w:rPr>
          <w:rFonts w:ascii="Arial" w:hAnsi="Arial" w:cs="Arial"/>
          <w:sz w:val="20"/>
          <w:szCs w:val="20"/>
        </w:rPr>
        <w:t xml:space="preserve"> </w:t>
      </w:r>
    </w:p>
    <w:p w14:paraId="6C0C54D2" w14:textId="77777777" w:rsidR="00D31BEC" w:rsidRPr="008321C0" w:rsidRDefault="00D31BEC" w:rsidP="008321C0">
      <w:pPr>
        <w:pStyle w:val="BodyText"/>
        <w:spacing w:before="0" w:after="0" w:line="360" w:lineRule="auto"/>
        <w:jc w:val="both"/>
        <w:rPr>
          <w:rFonts w:ascii="Arial" w:eastAsiaTheme="majorEastAsia" w:hAnsi="Arial" w:cs="Arial"/>
          <w:sz w:val="20"/>
          <w:szCs w:val="20"/>
        </w:rPr>
      </w:pPr>
    </w:p>
    <w:p w14:paraId="301EE185" w14:textId="77777777" w:rsidR="00D31BEC" w:rsidRPr="008321C0" w:rsidRDefault="006F65ED" w:rsidP="008321C0">
      <w:pPr>
        <w:pStyle w:val="BodyText"/>
        <w:spacing w:before="0" w:after="0" w:line="360" w:lineRule="auto"/>
        <w:jc w:val="both"/>
        <w:rPr>
          <w:rFonts w:ascii="Arial" w:eastAsiaTheme="majorEastAsia" w:hAnsi="Arial" w:cs="Arial"/>
          <w:b/>
          <w:bCs/>
          <w:sz w:val="20"/>
          <w:szCs w:val="20"/>
        </w:rPr>
      </w:pPr>
      <w:r w:rsidRPr="008321C0">
        <w:rPr>
          <w:rFonts w:ascii="Arial" w:eastAsiaTheme="majorEastAsia" w:hAnsi="Arial" w:cs="Arial"/>
          <w:b/>
          <w:bCs/>
          <w:sz w:val="20"/>
          <w:szCs w:val="20"/>
        </w:rPr>
        <w:t xml:space="preserve">4 </w:t>
      </w:r>
      <w:proofErr w:type="gramStart"/>
      <w:r w:rsidRPr="008321C0">
        <w:rPr>
          <w:rFonts w:ascii="Arial" w:eastAsiaTheme="majorEastAsia" w:hAnsi="Arial" w:cs="Arial"/>
          <w:b/>
          <w:bCs/>
          <w:sz w:val="20"/>
          <w:szCs w:val="20"/>
        </w:rPr>
        <w:t>CONCLUSION</w:t>
      </w:r>
      <w:proofErr w:type="gramEnd"/>
      <w:r w:rsidRPr="008321C0">
        <w:rPr>
          <w:rFonts w:ascii="Arial" w:eastAsiaTheme="majorEastAsia" w:hAnsi="Arial" w:cs="Arial"/>
          <w:b/>
          <w:bCs/>
          <w:sz w:val="20"/>
          <w:szCs w:val="20"/>
        </w:rPr>
        <w:t xml:space="preserve"> </w:t>
      </w:r>
    </w:p>
    <w:bookmarkEnd w:id="0"/>
    <w:bookmarkEnd w:id="1"/>
    <w:bookmarkEnd w:id="5"/>
    <w:p w14:paraId="2BBE6E14" w14:textId="77777777" w:rsidR="007964A0" w:rsidRPr="00897F4E" w:rsidRDefault="007964A0" w:rsidP="007964A0">
      <w:pPr>
        <w:pStyle w:val="BodyText"/>
        <w:spacing w:before="0" w:after="0" w:line="360" w:lineRule="auto"/>
        <w:jc w:val="both"/>
        <w:rPr>
          <w:rFonts w:ascii="Arial" w:eastAsiaTheme="majorEastAsia" w:hAnsi="Arial" w:cs="Arial"/>
          <w:sz w:val="20"/>
          <w:szCs w:val="20"/>
        </w:rPr>
      </w:pPr>
      <w:r w:rsidRPr="00897F4E">
        <w:rPr>
          <w:rFonts w:ascii="Arial" w:eastAsiaTheme="majorEastAsia" w:hAnsi="Arial" w:cs="Arial"/>
          <w:sz w:val="20"/>
          <w:szCs w:val="20"/>
        </w:rPr>
        <w:t xml:space="preserve">This study demonstrates that districts with higher levels of women’s schooling and literacy consistently exhibit lower prevalence of child marriage, confirming education as a decisive factor in delaying marriage among women in Maharashtra. Analysis of NFHS-5 data shows that although Maharashtra performs </w:t>
      </w:r>
      <w:r w:rsidRPr="00897F4E">
        <w:rPr>
          <w:rFonts w:ascii="Arial" w:eastAsiaTheme="majorEastAsia" w:hAnsi="Arial" w:cs="Arial"/>
          <w:sz w:val="20"/>
          <w:szCs w:val="20"/>
        </w:rPr>
        <w:lastRenderedPageBreak/>
        <w:t>better than the national average in women’s education, substantial inter-district inequalities persist, with urban and economically advanced districts achieving near-universal literacy and minimal early marriage, while rural, tribal, and Marathwada districts continue to lag behind (MoHFW, 2021; IIPS &amp; ICF, 2021). The findings clearly indicate that completion of secondary education is far more effective than basic literacy alone in reducing early marriage, as districts with higher proportions of women completing ten or more years of schooling report significantly fewer child brides (Ashoka University Data Lab, 2022). These results align with broader national evidence that education enhances women’s agency, health outcomes, and social mobility, thereby reducing vulnerability to early marriage (Desai &amp; Vanneman, 2015; UNFPA, 2021). Consequently, strengthening access to quality secondary education—particularly in educationally backward districts—emerges as a critical strategy for addressing child marriage and advancing women’s empowerment in Maharashtra.</w:t>
      </w:r>
    </w:p>
    <w:p w14:paraId="4391C909" w14:textId="77777777" w:rsidR="00D31BEC" w:rsidRDefault="00D31BEC" w:rsidP="008321C0">
      <w:pPr>
        <w:pStyle w:val="BodyText"/>
        <w:spacing w:before="0" w:after="0" w:line="360" w:lineRule="auto"/>
        <w:ind w:left="567" w:hanging="567"/>
        <w:jc w:val="both"/>
        <w:rPr>
          <w:rFonts w:ascii="Arial" w:hAnsi="Arial" w:cs="Arial"/>
          <w:b/>
          <w:bCs/>
          <w:sz w:val="20"/>
          <w:szCs w:val="20"/>
        </w:rPr>
      </w:pPr>
    </w:p>
    <w:p w14:paraId="4ADA3AF5" w14:textId="77777777" w:rsidR="006F65ED" w:rsidRPr="008321C0" w:rsidRDefault="008321C0" w:rsidP="008321C0">
      <w:pPr>
        <w:pStyle w:val="BodyText"/>
        <w:spacing w:before="0" w:after="0" w:line="360" w:lineRule="auto"/>
        <w:ind w:left="567" w:hanging="567"/>
        <w:jc w:val="both"/>
        <w:rPr>
          <w:rFonts w:ascii="Arial" w:hAnsi="Arial" w:cs="Arial"/>
          <w:b/>
          <w:bCs/>
          <w:sz w:val="18"/>
          <w:szCs w:val="18"/>
        </w:rPr>
      </w:pPr>
      <w:r w:rsidRPr="008321C0">
        <w:rPr>
          <w:rFonts w:ascii="Arial" w:hAnsi="Arial" w:cs="Arial"/>
          <w:b/>
          <w:bCs/>
          <w:sz w:val="22"/>
          <w:szCs w:val="22"/>
        </w:rPr>
        <w:t>ACKNOWLEDGEMENTS</w:t>
      </w:r>
    </w:p>
    <w:p w14:paraId="311496EE" w14:textId="77777777"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The author gratefully acknowledges the International Institute for Population Sciences (IIPS) and the Ministry of Health and Family Welfare (MoHFW), Government of India, for making the National Family Health Survey–5 (NFHS-5) data publicly available, which formed the basis of this study.</w:t>
      </w:r>
    </w:p>
    <w:p w14:paraId="7DEEFEB3" w14:textId="77777777"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The author also acknowledges the use of artificial intelligence–based tools for assistance in organizing content, summarizing literature, and improving clarity of presentation. All analyses, interpretations, and conclusions are solely those of the author.</w:t>
      </w:r>
    </w:p>
    <w:p w14:paraId="54AE1BDA" w14:textId="77777777" w:rsidR="006F65ED" w:rsidRPr="008321C0" w:rsidRDefault="006F65ED" w:rsidP="008321C0">
      <w:pPr>
        <w:pStyle w:val="BodyText"/>
        <w:spacing w:before="0" w:after="0" w:line="360" w:lineRule="auto"/>
        <w:jc w:val="both"/>
        <w:rPr>
          <w:rFonts w:ascii="Arial" w:hAnsi="Arial" w:cs="Arial"/>
          <w:sz w:val="20"/>
          <w:szCs w:val="20"/>
          <w:lang w:val="en-US"/>
        </w:rPr>
      </w:pPr>
      <w:r w:rsidRPr="008321C0">
        <w:rPr>
          <w:rFonts w:ascii="Arial" w:hAnsi="Arial" w:cs="Arial"/>
          <w:sz w:val="20"/>
          <w:szCs w:val="20"/>
          <w:lang w:val="en-US"/>
        </w:rPr>
        <w:t>This research did not receive any specific grant from funding agencies in the public, commercial, or not-for-profit sectors. The funding agencies had no role in the study design; data collection, analysis, or interpretation; writing of the manuscript; or the decision to submit the article for publication.</w:t>
      </w:r>
    </w:p>
    <w:p w14:paraId="366F59BB" w14:textId="77777777" w:rsidR="006F65ED" w:rsidRPr="008321C0" w:rsidRDefault="006F65ED" w:rsidP="008321C0">
      <w:pPr>
        <w:pStyle w:val="BodyText"/>
        <w:spacing w:before="0" w:after="0" w:line="360" w:lineRule="auto"/>
        <w:ind w:left="567" w:hanging="567"/>
        <w:jc w:val="both"/>
        <w:rPr>
          <w:rFonts w:ascii="Arial" w:hAnsi="Arial" w:cs="Arial"/>
          <w:b/>
          <w:bCs/>
          <w:sz w:val="20"/>
          <w:szCs w:val="20"/>
        </w:rPr>
      </w:pPr>
    </w:p>
    <w:p w14:paraId="68D2251C" w14:textId="77777777" w:rsidR="0044018A" w:rsidRPr="008321C0" w:rsidRDefault="006F65ED" w:rsidP="008321C0">
      <w:pPr>
        <w:spacing w:after="0" w:line="360" w:lineRule="auto"/>
        <w:jc w:val="both"/>
        <w:rPr>
          <w:rFonts w:ascii="Arial" w:hAnsi="Arial" w:cs="Arial"/>
          <w:b/>
          <w:bCs/>
          <w:sz w:val="22"/>
          <w:szCs w:val="22"/>
        </w:rPr>
      </w:pPr>
      <w:r w:rsidRPr="008321C0">
        <w:rPr>
          <w:rFonts w:ascii="Arial" w:hAnsi="Arial" w:cs="Arial"/>
          <w:b/>
          <w:bCs/>
          <w:sz w:val="22"/>
          <w:szCs w:val="22"/>
        </w:rPr>
        <w:t>DISCLAIMER (ARTIFICIAL INTELLIGENCE)</w:t>
      </w:r>
    </w:p>
    <w:p w14:paraId="60E69CA1" w14:textId="77777777" w:rsidR="0044018A" w:rsidRPr="008321C0" w:rsidRDefault="0044018A" w:rsidP="008321C0">
      <w:pPr>
        <w:spacing w:after="0" w:line="360" w:lineRule="auto"/>
        <w:jc w:val="both"/>
        <w:rPr>
          <w:rFonts w:ascii="Arial" w:hAnsi="Arial" w:cs="Arial"/>
          <w:sz w:val="20"/>
          <w:szCs w:val="20"/>
        </w:rPr>
      </w:pPr>
      <w:r w:rsidRPr="008321C0">
        <w:rPr>
          <w:rFonts w:ascii="Arial" w:hAnsi="Arial" w:cs="Arial"/>
          <w:sz w:val="20"/>
          <w:szCs w:val="20"/>
        </w:rPr>
        <w:tab/>
        <w:t>This research paper includes sections that were developed with the support of artificial intelligence (AI) tools to assist in organizing content, summarizing information, and enhancing clarity. All data used in the study originates from authentic and verified sources, primarily the National Family Health Survey (NFHS-5). The interpretations, conclusions, and final content have been reviewed and validated by the author.</w:t>
      </w:r>
    </w:p>
    <w:p w14:paraId="0A13B731" w14:textId="77777777" w:rsidR="0044018A" w:rsidRPr="008321C0" w:rsidRDefault="0044018A" w:rsidP="008321C0">
      <w:pPr>
        <w:spacing w:after="0" w:line="360" w:lineRule="auto"/>
        <w:jc w:val="both"/>
        <w:rPr>
          <w:rFonts w:ascii="Arial" w:hAnsi="Arial" w:cs="Arial"/>
          <w:sz w:val="20"/>
          <w:szCs w:val="20"/>
        </w:rPr>
      </w:pPr>
    </w:p>
    <w:p w14:paraId="31677917" w14:textId="77777777" w:rsidR="00101556" w:rsidRPr="008321C0" w:rsidRDefault="008321C0" w:rsidP="008321C0">
      <w:pPr>
        <w:pStyle w:val="BodyText"/>
        <w:spacing w:before="0" w:after="0" w:line="360" w:lineRule="auto"/>
        <w:ind w:left="567" w:hanging="567"/>
        <w:jc w:val="both"/>
        <w:rPr>
          <w:rFonts w:ascii="Arial" w:hAnsi="Arial" w:cs="Arial"/>
          <w:sz w:val="22"/>
          <w:szCs w:val="22"/>
        </w:rPr>
      </w:pPr>
      <w:r w:rsidRPr="008321C0">
        <w:rPr>
          <w:rFonts w:ascii="Arial" w:hAnsi="Arial" w:cs="Arial"/>
          <w:b/>
          <w:bCs/>
          <w:sz w:val="22"/>
          <w:szCs w:val="22"/>
        </w:rPr>
        <w:t>REFERENCES</w:t>
      </w:r>
    </w:p>
    <w:p w14:paraId="699D3A39"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Ashoka University Data Lab (CEDA). (2021). </w:t>
      </w:r>
      <w:proofErr w:type="spellStart"/>
      <w:r w:rsidRPr="007964A0">
        <w:rPr>
          <w:rFonts w:ascii="Arial" w:hAnsi="Arial" w:cs="Arial"/>
          <w:i/>
          <w:iCs/>
          <w:sz w:val="20"/>
          <w:szCs w:val="20"/>
        </w:rPr>
        <w:t>GenderStats</w:t>
      </w:r>
      <w:proofErr w:type="spellEnd"/>
      <w:r w:rsidRPr="007964A0">
        <w:rPr>
          <w:rFonts w:ascii="Arial" w:hAnsi="Arial" w:cs="Arial"/>
          <w:i/>
          <w:iCs/>
          <w:sz w:val="20"/>
          <w:szCs w:val="20"/>
        </w:rPr>
        <w:t xml:space="preserve"> 7: Underage marriage in India</w:t>
      </w:r>
      <w:r w:rsidRPr="007964A0">
        <w:rPr>
          <w:rFonts w:ascii="Arial" w:hAnsi="Arial" w:cs="Arial"/>
          <w:sz w:val="20"/>
          <w:szCs w:val="20"/>
        </w:rPr>
        <w:t>. Centre for Economic Data and Analysis, Ashoka University.</w:t>
      </w:r>
      <w:r w:rsidRPr="007964A0">
        <w:rPr>
          <w:rFonts w:ascii="Arial" w:hAnsi="Arial" w:cs="Arial"/>
          <w:sz w:val="20"/>
          <w:szCs w:val="20"/>
        </w:rPr>
        <w:br/>
      </w:r>
      <w:hyperlink r:id="rId14" w:tgtFrame="_new" w:history="1">
        <w:r w:rsidRPr="007964A0">
          <w:rPr>
            <w:rStyle w:val="Hyperlink"/>
            <w:rFonts w:ascii="Arial" w:hAnsi="Arial" w:cs="Arial"/>
            <w:sz w:val="20"/>
            <w:szCs w:val="20"/>
          </w:rPr>
          <w:t>https://ceda.ashoka.edu.in/genderstats-7-underage-marriage-3/</w:t>
        </w:r>
      </w:hyperlink>
    </w:p>
    <w:p w14:paraId="4FCF98DD"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Ashoka University Data Lab (CEDA). (2022). </w:t>
      </w:r>
      <w:proofErr w:type="spellStart"/>
      <w:r w:rsidRPr="007964A0">
        <w:rPr>
          <w:rFonts w:ascii="Arial" w:hAnsi="Arial" w:cs="Arial"/>
          <w:i/>
          <w:iCs/>
          <w:sz w:val="20"/>
          <w:szCs w:val="20"/>
        </w:rPr>
        <w:t>GenderStats</w:t>
      </w:r>
      <w:proofErr w:type="spellEnd"/>
      <w:r w:rsidRPr="007964A0">
        <w:rPr>
          <w:rFonts w:ascii="Arial" w:hAnsi="Arial" w:cs="Arial"/>
          <w:i/>
          <w:iCs/>
          <w:sz w:val="20"/>
          <w:szCs w:val="20"/>
        </w:rPr>
        <w:t>: District-level patterns of underage marriage in India</w:t>
      </w:r>
      <w:r w:rsidRPr="007964A0">
        <w:rPr>
          <w:rFonts w:ascii="Arial" w:hAnsi="Arial" w:cs="Arial"/>
          <w:sz w:val="20"/>
          <w:szCs w:val="20"/>
        </w:rPr>
        <w:t>. Centre for Economic Data and Analysis, Ashoka University.</w:t>
      </w:r>
    </w:p>
    <w:p w14:paraId="6A282F4C" w14:textId="77777777" w:rsidR="007964A0" w:rsidRPr="00BF4044" w:rsidRDefault="007964A0" w:rsidP="00BF4044">
      <w:pPr>
        <w:pStyle w:val="NormalWeb"/>
        <w:numPr>
          <w:ilvl w:val="0"/>
          <w:numId w:val="9"/>
        </w:numPr>
        <w:spacing w:before="0" w:beforeAutospacing="0" w:after="0" w:afterAutospacing="0" w:line="360" w:lineRule="auto"/>
        <w:jc w:val="both"/>
        <w:rPr>
          <w:rFonts w:ascii="Arial" w:hAnsi="Arial" w:cs="Arial"/>
          <w:sz w:val="20"/>
          <w:szCs w:val="20"/>
          <w:lang w:val="nl-BE"/>
        </w:rPr>
      </w:pPr>
      <w:r w:rsidRPr="007964A0">
        <w:rPr>
          <w:rFonts w:ascii="Arial" w:hAnsi="Arial" w:cs="Arial"/>
          <w:sz w:val="20"/>
          <w:szCs w:val="20"/>
        </w:rPr>
        <w:lastRenderedPageBreak/>
        <w:t xml:space="preserve">Bhardwaj, A. (2021). </w:t>
      </w:r>
      <w:proofErr w:type="spellStart"/>
      <w:r w:rsidRPr="007964A0">
        <w:rPr>
          <w:rFonts w:ascii="Arial" w:hAnsi="Arial" w:cs="Arial"/>
          <w:i/>
          <w:iCs/>
          <w:sz w:val="20"/>
          <w:szCs w:val="20"/>
        </w:rPr>
        <w:t>GenderStats</w:t>
      </w:r>
      <w:proofErr w:type="spellEnd"/>
      <w:r w:rsidRPr="007964A0">
        <w:rPr>
          <w:rFonts w:ascii="Arial" w:hAnsi="Arial" w:cs="Arial"/>
          <w:i/>
          <w:iCs/>
          <w:sz w:val="20"/>
          <w:szCs w:val="20"/>
        </w:rPr>
        <w:t xml:space="preserve"> 7: Underage marriage in India</w:t>
      </w:r>
      <w:r w:rsidRPr="007964A0">
        <w:rPr>
          <w:rFonts w:ascii="Arial" w:hAnsi="Arial" w:cs="Arial"/>
          <w:sz w:val="20"/>
          <w:szCs w:val="20"/>
        </w:rPr>
        <w:t xml:space="preserve">. </w:t>
      </w:r>
      <w:r w:rsidRPr="00BF4044">
        <w:rPr>
          <w:rFonts w:ascii="Arial" w:hAnsi="Arial" w:cs="Arial"/>
          <w:sz w:val="20"/>
          <w:szCs w:val="20"/>
          <w:lang w:val="nl-BE"/>
        </w:rPr>
        <w:t>CEDA, Ashoka University.</w:t>
      </w:r>
      <w:r w:rsidRPr="00BF4044">
        <w:rPr>
          <w:rFonts w:ascii="Arial" w:hAnsi="Arial" w:cs="Arial"/>
          <w:sz w:val="20"/>
          <w:szCs w:val="20"/>
          <w:lang w:val="nl-BE"/>
        </w:rPr>
        <w:br/>
      </w:r>
      <w:r w:rsidR="004F2D7B">
        <w:fldChar w:fldCharType="begin"/>
      </w:r>
      <w:r w:rsidR="004F2D7B">
        <w:instrText xml:space="preserve"> HYPERLINK "https://ceda.ashoka.edu.in/genderstats-7-un</w:instrText>
      </w:r>
      <w:r w:rsidR="004F2D7B">
        <w:instrText xml:space="preserve">derage-marriage-3/" \t "_new" </w:instrText>
      </w:r>
      <w:r w:rsidR="004F2D7B">
        <w:fldChar w:fldCharType="separate"/>
      </w:r>
      <w:r w:rsidRPr="00BF4044">
        <w:rPr>
          <w:rStyle w:val="Hyperlink"/>
          <w:rFonts w:ascii="Arial" w:hAnsi="Arial" w:cs="Arial"/>
          <w:sz w:val="20"/>
          <w:szCs w:val="20"/>
          <w:lang w:val="nl-BE"/>
        </w:rPr>
        <w:t>https://ceda.ashoka.edu.in/genderstats-7-underage-marriage-3/</w:t>
      </w:r>
      <w:r w:rsidR="004F2D7B">
        <w:rPr>
          <w:rStyle w:val="Hyperlink"/>
          <w:rFonts w:ascii="Arial" w:hAnsi="Arial" w:cs="Arial"/>
          <w:sz w:val="20"/>
          <w:szCs w:val="20"/>
          <w:lang w:val="nl-BE"/>
        </w:rPr>
        <w:fldChar w:fldCharType="end"/>
      </w:r>
    </w:p>
    <w:p w14:paraId="22AB6EB9"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Desai, S., &amp; Vanneman, R. (2015). </w:t>
      </w:r>
      <w:r w:rsidRPr="007964A0">
        <w:rPr>
          <w:rFonts w:ascii="Arial" w:hAnsi="Arial" w:cs="Arial"/>
          <w:i/>
          <w:iCs/>
          <w:sz w:val="20"/>
          <w:szCs w:val="20"/>
        </w:rPr>
        <w:t>India Human Development Survey–II (IHDS-II), 2011–12</w:t>
      </w:r>
      <w:r w:rsidRPr="007964A0">
        <w:rPr>
          <w:rFonts w:ascii="Arial" w:hAnsi="Arial" w:cs="Arial"/>
          <w:sz w:val="20"/>
          <w:szCs w:val="20"/>
        </w:rPr>
        <w:t xml:space="preserve"> [Data set]. Inter-university Consortium for Political and Social Research.</w:t>
      </w:r>
      <w:r w:rsidRPr="007964A0">
        <w:rPr>
          <w:rFonts w:ascii="Arial" w:hAnsi="Arial" w:cs="Arial"/>
          <w:sz w:val="20"/>
          <w:szCs w:val="20"/>
        </w:rPr>
        <w:br/>
      </w:r>
      <w:hyperlink r:id="rId15" w:tgtFrame="_new" w:history="1">
        <w:r w:rsidRPr="007964A0">
          <w:rPr>
            <w:rStyle w:val="Hyperlink"/>
            <w:rFonts w:ascii="Arial" w:hAnsi="Arial" w:cs="Arial"/>
            <w:sz w:val="20"/>
            <w:szCs w:val="20"/>
          </w:rPr>
          <w:t>https://doi.org/10.3886/ICPSR36151.v2</w:t>
        </w:r>
      </w:hyperlink>
    </w:p>
    <w:p w14:paraId="25C36934"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Dutta, S., Pal, B., Mondal, S., &amp; Ghosh, J. (2023). Gender-specific education status after COVID-19 pandemic: A comparative study between two adjacent subdivisions of West Bengal, India. </w:t>
      </w:r>
      <w:r w:rsidRPr="007964A0">
        <w:rPr>
          <w:rFonts w:ascii="Arial" w:hAnsi="Arial" w:cs="Arial"/>
          <w:i/>
          <w:iCs/>
          <w:sz w:val="20"/>
          <w:szCs w:val="20"/>
        </w:rPr>
        <w:t>Asian Journal of Education and Social Studies, 49</w:t>
      </w:r>
      <w:r w:rsidRPr="007964A0">
        <w:rPr>
          <w:rFonts w:ascii="Arial" w:hAnsi="Arial" w:cs="Arial"/>
          <w:sz w:val="20"/>
          <w:szCs w:val="20"/>
        </w:rPr>
        <w:t>(4), 216–225.</w:t>
      </w:r>
      <w:r w:rsidRPr="007964A0">
        <w:rPr>
          <w:rFonts w:ascii="Arial" w:hAnsi="Arial" w:cs="Arial"/>
          <w:sz w:val="20"/>
          <w:szCs w:val="20"/>
        </w:rPr>
        <w:br/>
      </w:r>
      <w:hyperlink r:id="rId16" w:tgtFrame="_new" w:history="1">
        <w:r w:rsidRPr="007964A0">
          <w:rPr>
            <w:rStyle w:val="Hyperlink"/>
            <w:rFonts w:ascii="Arial" w:hAnsi="Arial" w:cs="Arial"/>
            <w:sz w:val="20"/>
            <w:szCs w:val="20"/>
          </w:rPr>
          <w:t>https://doi.org/10.9734/ajess/2023/v49i41201</w:t>
        </w:r>
      </w:hyperlink>
    </w:p>
    <w:p w14:paraId="54A7B9FE"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Hindustan Times. (2025). Girls in higher education may soon get ₹2,000 per month under new scheme.</w:t>
      </w:r>
      <w:r w:rsidRPr="007964A0">
        <w:rPr>
          <w:rFonts w:ascii="Arial" w:hAnsi="Arial" w:cs="Arial"/>
          <w:sz w:val="20"/>
          <w:szCs w:val="20"/>
        </w:rPr>
        <w:br/>
      </w:r>
      <w:hyperlink r:id="rId17" w:tgtFrame="_new" w:history="1">
        <w:r w:rsidRPr="007964A0">
          <w:rPr>
            <w:rStyle w:val="Hyperlink"/>
            <w:rFonts w:ascii="Arial" w:hAnsi="Arial" w:cs="Arial"/>
            <w:sz w:val="20"/>
            <w:szCs w:val="20"/>
          </w:rPr>
          <w:t>https://www.hindustantimes.com/cities/pune-news/girls-in-higher-education-may-soon-get-2-000-per-month-under-new-scheme-101755717641309.html</w:t>
        </w:r>
      </w:hyperlink>
    </w:p>
    <w:p w14:paraId="419737C4"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International Institute for Population Sciences (</w:t>
      </w:r>
      <w:proofErr w:type="gramStart"/>
      <w:r w:rsidRPr="007964A0">
        <w:rPr>
          <w:rFonts w:ascii="Arial" w:hAnsi="Arial" w:cs="Arial"/>
          <w:sz w:val="20"/>
          <w:szCs w:val="20"/>
        </w:rPr>
        <w:t>IIPS),</w:t>
      </w:r>
      <w:proofErr w:type="gramEnd"/>
      <w:r w:rsidRPr="007964A0">
        <w:rPr>
          <w:rFonts w:ascii="Arial" w:hAnsi="Arial" w:cs="Arial"/>
          <w:sz w:val="20"/>
          <w:szCs w:val="20"/>
        </w:rPr>
        <w:t xml:space="preserve"> &amp; ICF. (2021). </w:t>
      </w:r>
      <w:r w:rsidRPr="007964A0">
        <w:rPr>
          <w:rFonts w:ascii="Arial" w:hAnsi="Arial" w:cs="Arial"/>
          <w:i/>
          <w:iCs/>
          <w:sz w:val="20"/>
          <w:szCs w:val="20"/>
        </w:rPr>
        <w:t>National Family Health Survey (NFHS-5), 2019–21: India fact sheet</w:t>
      </w:r>
      <w:r w:rsidRPr="007964A0">
        <w:rPr>
          <w:rFonts w:ascii="Arial" w:hAnsi="Arial" w:cs="Arial"/>
          <w:sz w:val="20"/>
          <w:szCs w:val="20"/>
        </w:rPr>
        <w:t>. IIPS.</w:t>
      </w:r>
      <w:r w:rsidRPr="007964A0">
        <w:rPr>
          <w:rFonts w:ascii="Arial" w:hAnsi="Arial" w:cs="Arial"/>
          <w:sz w:val="20"/>
          <w:szCs w:val="20"/>
        </w:rPr>
        <w:br/>
      </w:r>
      <w:hyperlink r:id="rId18" w:tgtFrame="_new" w:history="1">
        <w:r w:rsidRPr="007964A0">
          <w:rPr>
            <w:rStyle w:val="Hyperlink"/>
            <w:rFonts w:ascii="Arial" w:hAnsi="Arial" w:cs="Arial"/>
            <w:sz w:val="20"/>
            <w:szCs w:val="20"/>
          </w:rPr>
          <w:t>http://rchiips.org/nfhs/NFHS-5Reports/NFHS-5_INDIA_REPORT.pdf</w:t>
        </w:r>
      </w:hyperlink>
    </w:p>
    <w:p w14:paraId="614322A8"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International Institute for Population Sciences (IIPS). (2021). </w:t>
      </w:r>
      <w:r w:rsidRPr="007964A0">
        <w:rPr>
          <w:rFonts w:ascii="Arial" w:hAnsi="Arial" w:cs="Arial"/>
          <w:i/>
          <w:iCs/>
          <w:sz w:val="20"/>
          <w:szCs w:val="20"/>
        </w:rPr>
        <w:t>NFHS-5 district fact sheets: Maharashtra</w:t>
      </w:r>
      <w:r w:rsidRPr="007964A0">
        <w:rPr>
          <w:rFonts w:ascii="Arial" w:hAnsi="Arial" w:cs="Arial"/>
          <w:sz w:val="20"/>
          <w:szCs w:val="20"/>
        </w:rPr>
        <w:t>. IIPS.</w:t>
      </w:r>
      <w:r w:rsidRPr="007964A0">
        <w:rPr>
          <w:rFonts w:ascii="Arial" w:hAnsi="Arial" w:cs="Arial"/>
          <w:sz w:val="20"/>
          <w:szCs w:val="20"/>
        </w:rPr>
        <w:br/>
      </w:r>
      <w:hyperlink r:id="rId19" w:tgtFrame="_new" w:history="1">
        <w:r w:rsidRPr="007964A0">
          <w:rPr>
            <w:rStyle w:val="Hyperlink"/>
            <w:rFonts w:ascii="Arial" w:hAnsi="Arial" w:cs="Arial"/>
            <w:sz w:val="20"/>
            <w:szCs w:val="20"/>
          </w:rPr>
          <w:t>http://rchiips.org/nfhs/NFHS-5_FCTS/Maharashtra.pdf</w:t>
        </w:r>
      </w:hyperlink>
    </w:p>
    <w:p w14:paraId="679579AB"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Jha, P., Kesler, M. A., Kumar, R., Ram, F., Ram, U., Aleksandrowicz, L., Bassani, D. G., Chandra, S., &amp; Banthia, J. K. (2011). Trends in selective abortions of girls in India: Analysis of nationally representative birth histories from 1990 to 2005 and census data from 1991 to 2011. </w:t>
      </w:r>
      <w:r w:rsidRPr="007964A0">
        <w:rPr>
          <w:rFonts w:ascii="Arial" w:hAnsi="Arial" w:cs="Arial"/>
          <w:i/>
          <w:iCs/>
          <w:sz w:val="20"/>
          <w:szCs w:val="20"/>
        </w:rPr>
        <w:t>The Lancet, 377</w:t>
      </w:r>
      <w:r w:rsidRPr="007964A0">
        <w:rPr>
          <w:rFonts w:ascii="Arial" w:hAnsi="Arial" w:cs="Arial"/>
          <w:sz w:val="20"/>
          <w:szCs w:val="20"/>
        </w:rPr>
        <w:t>(9781), 1921–1928.</w:t>
      </w:r>
      <w:r w:rsidRPr="007964A0">
        <w:rPr>
          <w:rFonts w:ascii="Arial" w:hAnsi="Arial" w:cs="Arial"/>
          <w:sz w:val="20"/>
          <w:szCs w:val="20"/>
        </w:rPr>
        <w:br/>
      </w:r>
      <w:hyperlink r:id="rId20" w:tgtFrame="_new" w:history="1">
        <w:r w:rsidRPr="007964A0">
          <w:rPr>
            <w:rStyle w:val="Hyperlink"/>
            <w:rFonts w:ascii="Arial" w:hAnsi="Arial" w:cs="Arial"/>
            <w:sz w:val="20"/>
            <w:szCs w:val="20"/>
          </w:rPr>
          <w:t>https://doi.org/10.1016/S0140-6736(11)60649-1</w:t>
        </w:r>
      </w:hyperlink>
    </w:p>
    <w:p w14:paraId="6C6991E0"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Ministry of Health and Family Welfare. (2021). </w:t>
      </w:r>
      <w:r w:rsidRPr="007964A0">
        <w:rPr>
          <w:rFonts w:ascii="Arial" w:hAnsi="Arial" w:cs="Arial"/>
          <w:i/>
          <w:iCs/>
          <w:sz w:val="20"/>
          <w:szCs w:val="20"/>
        </w:rPr>
        <w:t>National Family Health Survey (NFHS-5): India fact sheet</w:t>
      </w:r>
      <w:r w:rsidRPr="007964A0">
        <w:rPr>
          <w:rFonts w:ascii="Arial" w:hAnsi="Arial" w:cs="Arial"/>
          <w:sz w:val="20"/>
          <w:szCs w:val="20"/>
        </w:rPr>
        <w:t>. Government of India.</w:t>
      </w:r>
      <w:r w:rsidRPr="007964A0">
        <w:rPr>
          <w:rFonts w:ascii="Arial" w:hAnsi="Arial" w:cs="Arial"/>
          <w:sz w:val="20"/>
          <w:szCs w:val="20"/>
        </w:rPr>
        <w:br/>
      </w:r>
      <w:hyperlink r:id="rId21" w:tgtFrame="_new" w:history="1">
        <w:r w:rsidRPr="007964A0">
          <w:rPr>
            <w:rStyle w:val="Hyperlink"/>
            <w:rFonts w:ascii="Arial" w:hAnsi="Arial" w:cs="Arial"/>
            <w:sz w:val="20"/>
            <w:szCs w:val="20"/>
          </w:rPr>
          <w:t>https://dhsprogram.com/pubs/pdf/FR375/FR375.pdf</w:t>
        </w:r>
      </w:hyperlink>
    </w:p>
    <w:p w14:paraId="290E28C6"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Raj, A., McDougal, L., &amp; Silverman, J. G. (2019). Associations of child marriage with health and human development outcomes in India. </w:t>
      </w:r>
      <w:r w:rsidRPr="007964A0">
        <w:rPr>
          <w:rFonts w:ascii="Arial" w:hAnsi="Arial" w:cs="Arial"/>
          <w:i/>
          <w:iCs/>
          <w:sz w:val="20"/>
          <w:szCs w:val="20"/>
        </w:rPr>
        <w:t>The Lancet Global Health, 7</w:t>
      </w:r>
      <w:r w:rsidRPr="007964A0">
        <w:rPr>
          <w:rFonts w:ascii="Arial" w:hAnsi="Arial" w:cs="Arial"/>
          <w:sz w:val="20"/>
          <w:szCs w:val="20"/>
        </w:rPr>
        <w:t>(8), e1028–e1038.</w:t>
      </w:r>
      <w:r w:rsidRPr="007964A0">
        <w:rPr>
          <w:rFonts w:ascii="Arial" w:hAnsi="Arial" w:cs="Arial"/>
          <w:sz w:val="20"/>
          <w:szCs w:val="20"/>
        </w:rPr>
        <w:br/>
      </w:r>
      <w:hyperlink r:id="rId22" w:tgtFrame="_new" w:history="1">
        <w:r w:rsidRPr="007964A0">
          <w:rPr>
            <w:rStyle w:val="Hyperlink"/>
            <w:rFonts w:ascii="Arial" w:hAnsi="Arial" w:cs="Arial"/>
            <w:sz w:val="20"/>
            <w:szCs w:val="20"/>
          </w:rPr>
          <w:t>https://doi.org/10.1016/S2214-109X(19)30235-3</w:t>
        </w:r>
      </w:hyperlink>
    </w:p>
    <w:p w14:paraId="1F3F0B13"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Singh, M., Shekhar, C., &amp; Gupta, J. (2024). Distribution and determinants of early marriage and motherhood: A multilevel and geospatial analysis of 707 districts in India. </w:t>
      </w:r>
      <w:r w:rsidRPr="007964A0">
        <w:rPr>
          <w:rFonts w:ascii="Arial" w:hAnsi="Arial" w:cs="Arial"/>
          <w:i/>
          <w:iCs/>
          <w:sz w:val="20"/>
          <w:szCs w:val="20"/>
        </w:rPr>
        <w:t>BMC Public Health, 24</w:t>
      </w:r>
      <w:r w:rsidRPr="007964A0">
        <w:rPr>
          <w:rFonts w:ascii="Arial" w:hAnsi="Arial" w:cs="Arial"/>
          <w:sz w:val="20"/>
          <w:szCs w:val="20"/>
        </w:rPr>
        <w:t>(1), 2844.</w:t>
      </w:r>
      <w:r w:rsidRPr="007964A0">
        <w:rPr>
          <w:rFonts w:ascii="Arial" w:hAnsi="Arial" w:cs="Arial"/>
          <w:sz w:val="20"/>
          <w:szCs w:val="20"/>
        </w:rPr>
        <w:br/>
      </w:r>
      <w:hyperlink r:id="rId23" w:tgtFrame="_new" w:history="1">
        <w:r w:rsidRPr="007964A0">
          <w:rPr>
            <w:rStyle w:val="Hyperlink"/>
            <w:rFonts w:ascii="Arial" w:hAnsi="Arial" w:cs="Arial"/>
            <w:sz w:val="20"/>
            <w:szCs w:val="20"/>
          </w:rPr>
          <w:t>https://doi.org/10.1186/s12889-024-20038-2</w:t>
        </w:r>
      </w:hyperlink>
    </w:p>
    <w:p w14:paraId="509894E5"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UNESCO. (2014). </w:t>
      </w:r>
      <w:r w:rsidRPr="007964A0">
        <w:rPr>
          <w:rFonts w:ascii="Arial" w:hAnsi="Arial" w:cs="Arial"/>
          <w:i/>
          <w:iCs/>
          <w:sz w:val="20"/>
          <w:szCs w:val="20"/>
        </w:rPr>
        <w:t>Teaching and learning: Achieving quality for all</w:t>
      </w:r>
      <w:r w:rsidRPr="007964A0">
        <w:rPr>
          <w:rFonts w:ascii="Arial" w:hAnsi="Arial" w:cs="Arial"/>
          <w:sz w:val="20"/>
          <w:szCs w:val="20"/>
        </w:rPr>
        <w:t xml:space="preserve"> (Education for All Global Monitoring Report). UNESCO Publishing.</w:t>
      </w:r>
      <w:r w:rsidRPr="007964A0">
        <w:rPr>
          <w:rFonts w:ascii="Arial" w:hAnsi="Arial" w:cs="Arial"/>
          <w:sz w:val="20"/>
          <w:szCs w:val="20"/>
        </w:rPr>
        <w:br/>
      </w:r>
      <w:hyperlink r:id="rId24" w:tgtFrame="_new" w:history="1">
        <w:r w:rsidRPr="007964A0">
          <w:rPr>
            <w:rStyle w:val="Hyperlink"/>
            <w:rFonts w:ascii="Arial" w:hAnsi="Arial" w:cs="Arial"/>
            <w:sz w:val="20"/>
            <w:szCs w:val="20"/>
          </w:rPr>
          <w:t>https://unesdoc.unesco.org/ark:/48223/pf0000225660</w:t>
        </w:r>
      </w:hyperlink>
    </w:p>
    <w:p w14:paraId="0894E97D"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lastRenderedPageBreak/>
        <w:t xml:space="preserve">UNFPA India. (2022). </w:t>
      </w:r>
      <w:r w:rsidRPr="007964A0">
        <w:rPr>
          <w:rFonts w:ascii="Arial" w:hAnsi="Arial" w:cs="Arial"/>
          <w:i/>
          <w:iCs/>
          <w:sz w:val="20"/>
          <w:szCs w:val="20"/>
        </w:rPr>
        <w:t>Child marriage in India: Key insights from NFHS-5</w:t>
      </w:r>
      <w:r w:rsidRPr="007964A0">
        <w:rPr>
          <w:rFonts w:ascii="Arial" w:hAnsi="Arial" w:cs="Arial"/>
          <w:sz w:val="20"/>
          <w:szCs w:val="20"/>
        </w:rPr>
        <w:t xml:space="preserve"> (Analytical Paper Series No. 1). UNFPA.</w:t>
      </w:r>
      <w:r w:rsidRPr="007964A0">
        <w:rPr>
          <w:rFonts w:ascii="Arial" w:hAnsi="Arial" w:cs="Arial"/>
          <w:sz w:val="20"/>
          <w:szCs w:val="20"/>
        </w:rPr>
        <w:br/>
      </w:r>
      <w:hyperlink r:id="rId25" w:tgtFrame="_new" w:history="1">
        <w:r w:rsidRPr="007964A0">
          <w:rPr>
            <w:rStyle w:val="Hyperlink"/>
            <w:rFonts w:ascii="Arial" w:hAnsi="Arial" w:cs="Arial"/>
            <w:sz w:val="20"/>
            <w:szCs w:val="20"/>
          </w:rPr>
          <w:t>https://india.unfpa.org/sites/default/files/pub-pdf/analytical_series_1_-_child_marriage_in_india_-_insights_from_nfhs-5_final_0.pdf</w:t>
        </w:r>
      </w:hyperlink>
    </w:p>
    <w:p w14:paraId="53CE2126"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UNICEF. (2018). </w:t>
      </w:r>
      <w:r w:rsidRPr="007964A0">
        <w:rPr>
          <w:rFonts w:ascii="Arial" w:hAnsi="Arial" w:cs="Arial"/>
          <w:i/>
          <w:iCs/>
          <w:sz w:val="20"/>
          <w:szCs w:val="20"/>
        </w:rPr>
        <w:t>Child marriage: Latest trends and future prospects</w:t>
      </w:r>
      <w:r w:rsidRPr="007964A0">
        <w:rPr>
          <w:rFonts w:ascii="Arial" w:hAnsi="Arial" w:cs="Arial"/>
          <w:sz w:val="20"/>
          <w:szCs w:val="20"/>
        </w:rPr>
        <w:t>. United Nations Children’s Fund.</w:t>
      </w:r>
      <w:r w:rsidRPr="007964A0">
        <w:rPr>
          <w:rFonts w:ascii="Arial" w:hAnsi="Arial" w:cs="Arial"/>
          <w:sz w:val="20"/>
          <w:szCs w:val="20"/>
        </w:rPr>
        <w:br/>
      </w:r>
      <w:hyperlink r:id="rId26" w:tgtFrame="_new" w:history="1">
        <w:r w:rsidRPr="007964A0">
          <w:rPr>
            <w:rStyle w:val="Hyperlink"/>
            <w:rFonts w:ascii="Arial" w:hAnsi="Arial" w:cs="Arial"/>
            <w:sz w:val="20"/>
            <w:szCs w:val="20"/>
          </w:rPr>
          <w:t>https://www.unicef.org/reports/child-marriage-latest-trends-and-future-prospects</w:t>
        </w:r>
      </w:hyperlink>
    </w:p>
    <w:p w14:paraId="25DA863F"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UNICEF. (2020). </w:t>
      </w:r>
      <w:r w:rsidRPr="007964A0">
        <w:rPr>
          <w:rFonts w:ascii="Arial" w:hAnsi="Arial" w:cs="Arial"/>
          <w:i/>
          <w:iCs/>
          <w:sz w:val="20"/>
          <w:szCs w:val="20"/>
        </w:rPr>
        <w:t>Child marriage: Latest trends and future prospects</w:t>
      </w:r>
      <w:r w:rsidRPr="007964A0">
        <w:rPr>
          <w:rFonts w:ascii="Arial" w:hAnsi="Arial" w:cs="Arial"/>
          <w:sz w:val="20"/>
          <w:szCs w:val="20"/>
        </w:rPr>
        <w:t>. United Nations Children’s Fund.</w:t>
      </w:r>
    </w:p>
    <w:p w14:paraId="4B5CF7C0"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Waghmare, A. (2024). Education levels in India. </w:t>
      </w:r>
      <w:r w:rsidRPr="007964A0">
        <w:rPr>
          <w:rFonts w:ascii="Arial" w:hAnsi="Arial" w:cs="Arial"/>
          <w:i/>
          <w:iCs/>
          <w:sz w:val="20"/>
          <w:szCs w:val="20"/>
        </w:rPr>
        <w:t>Data for India</w:t>
      </w:r>
      <w:r w:rsidRPr="007964A0">
        <w:rPr>
          <w:rFonts w:ascii="Arial" w:hAnsi="Arial" w:cs="Arial"/>
          <w:sz w:val="20"/>
          <w:szCs w:val="20"/>
        </w:rPr>
        <w:t>.</w:t>
      </w:r>
      <w:r w:rsidRPr="007964A0">
        <w:rPr>
          <w:rFonts w:ascii="Arial" w:hAnsi="Arial" w:cs="Arial"/>
          <w:sz w:val="20"/>
          <w:szCs w:val="20"/>
        </w:rPr>
        <w:br/>
      </w:r>
      <w:hyperlink r:id="rId27" w:tgtFrame="_new" w:history="1">
        <w:r w:rsidRPr="007964A0">
          <w:rPr>
            <w:rStyle w:val="Hyperlink"/>
            <w:rFonts w:ascii="Arial" w:hAnsi="Arial" w:cs="Arial"/>
            <w:sz w:val="20"/>
            <w:szCs w:val="20"/>
          </w:rPr>
          <w:t>https://www.dataforindia.com/education-levels-in-india/</w:t>
        </w:r>
      </w:hyperlink>
    </w:p>
    <w:p w14:paraId="48996AEC" w14:textId="77777777" w:rsidR="007964A0" w:rsidRPr="007964A0" w:rsidRDefault="007964A0" w:rsidP="00BF4044">
      <w:pPr>
        <w:pStyle w:val="NormalWeb"/>
        <w:numPr>
          <w:ilvl w:val="0"/>
          <w:numId w:val="9"/>
        </w:numPr>
        <w:spacing w:before="0" w:beforeAutospacing="0" w:after="0" w:afterAutospacing="0" w:line="360" w:lineRule="auto"/>
        <w:jc w:val="both"/>
        <w:rPr>
          <w:rFonts w:ascii="Arial" w:hAnsi="Arial" w:cs="Arial"/>
          <w:sz w:val="20"/>
          <w:szCs w:val="20"/>
        </w:rPr>
      </w:pPr>
      <w:r w:rsidRPr="007964A0">
        <w:rPr>
          <w:rFonts w:ascii="Arial" w:hAnsi="Arial" w:cs="Arial"/>
          <w:sz w:val="20"/>
          <w:szCs w:val="20"/>
        </w:rPr>
        <w:t xml:space="preserve">World Bank Group. (2018). </w:t>
      </w:r>
      <w:proofErr w:type="gramStart"/>
      <w:r w:rsidRPr="007964A0">
        <w:rPr>
          <w:rFonts w:ascii="Arial" w:hAnsi="Arial" w:cs="Arial"/>
          <w:i/>
          <w:iCs/>
          <w:sz w:val="20"/>
          <w:szCs w:val="20"/>
        </w:rPr>
        <w:t>Missed</w:t>
      </w:r>
      <w:proofErr w:type="gramEnd"/>
      <w:r w:rsidRPr="007964A0">
        <w:rPr>
          <w:rFonts w:ascii="Arial" w:hAnsi="Arial" w:cs="Arial"/>
          <w:i/>
          <w:iCs/>
          <w:sz w:val="20"/>
          <w:szCs w:val="20"/>
        </w:rPr>
        <w:t xml:space="preserve"> opportunities: The high cost of not educating girls</w:t>
      </w:r>
      <w:r w:rsidRPr="007964A0">
        <w:rPr>
          <w:rFonts w:ascii="Arial" w:hAnsi="Arial" w:cs="Arial"/>
          <w:sz w:val="20"/>
          <w:szCs w:val="20"/>
        </w:rPr>
        <w:t>. World Bank.</w:t>
      </w:r>
      <w:r w:rsidRPr="007964A0">
        <w:rPr>
          <w:rFonts w:ascii="Arial" w:hAnsi="Arial" w:cs="Arial"/>
          <w:sz w:val="20"/>
          <w:szCs w:val="20"/>
        </w:rPr>
        <w:br/>
      </w:r>
      <w:hyperlink r:id="rId28" w:tgtFrame="_new" w:history="1">
        <w:r w:rsidRPr="007964A0">
          <w:rPr>
            <w:rStyle w:val="Hyperlink"/>
            <w:rFonts w:ascii="Arial" w:hAnsi="Arial" w:cs="Arial"/>
            <w:sz w:val="20"/>
            <w:szCs w:val="20"/>
          </w:rPr>
          <w:t>https://doi.org/10.1596/978-1-4648-1206-5</w:t>
        </w:r>
      </w:hyperlink>
    </w:p>
    <w:bookmarkEnd w:id="2"/>
    <w:p w14:paraId="40A7C856" w14:textId="77777777" w:rsidR="00DF2420" w:rsidRPr="0005000E" w:rsidRDefault="00DF2420" w:rsidP="007964A0">
      <w:pPr>
        <w:pStyle w:val="NormalWeb"/>
        <w:spacing w:before="0" w:beforeAutospacing="0" w:after="0" w:afterAutospacing="0" w:line="360" w:lineRule="auto"/>
        <w:ind w:left="567" w:hanging="567"/>
        <w:jc w:val="both"/>
        <w:rPr>
          <w:rFonts w:ascii="Arial" w:hAnsi="Arial" w:cs="Arial"/>
          <w:sz w:val="20"/>
          <w:szCs w:val="20"/>
        </w:rPr>
      </w:pPr>
    </w:p>
    <w:sectPr w:rsidR="00DF2420" w:rsidRPr="0005000E">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B27BF" w14:textId="77777777" w:rsidR="004F2D7B" w:rsidRDefault="004F2D7B" w:rsidP="00003A62">
      <w:pPr>
        <w:spacing w:after="0"/>
      </w:pPr>
      <w:r>
        <w:separator/>
      </w:r>
    </w:p>
  </w:endnote>
  <w:endnote w:type="continuationSeparator" w:id="0">
    <w:p w14:paraId="4EA0B958" w14:textId="77777777" w:rsidR="004F2D7B" w:rsidRDefault="004F2D7B" w:rsidP="00003A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4EA8C" w14:textId="77777777" w:rsidR="0027585C" w:rsidRDefault="00275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661762"/>
      <w:docPartObj>
        <w:docPartGallery w:val="Page Numbers (Bottom of Page)"/>
        <w:docPartUnique/>
      </w:docPartObj>
    </w:sdtPr>
    <w:sdtEndPr>
      <w:rPr>
        <w:noProof/>
      </w:rPr>
    </w:sdtEndPr>
    <w:sdtContent>
      <w:p w14:paraId="21968F4D" w14:textId="77777777" w:rsidR="00003A62" w:rsidRDefault="00003A62">
        <w:pPr>
          <w:pStyle w:val="Footer"/>
          <w:jc w:val="center"/>
        </w:pPr>
        <w:r>
          <w:fldChar w:fldCharType="begin"/>
        </w:r>
        <w:r>
          <w:instrText xml:space="preserve"> PAGE   \* MERGEFORMAT </w:instrText>
        </w:r>
        <w:r>
          <w:fldChar w:fldCharType="separate"/>
        </w:r>
        <w:r w:rsidR="00970865">
          <w:rPr>
            <w:noProof/>
          </w:rPr>
          <w:t>3</w:t>
        </w:r>
        <w:r>
          <w:rPr>
            <w:noProof/>
          </w:rPr>
          <w:fldChar w:fldCharType="end"/>
        </w:r>
      </w:p>
    </w:sdtContent>
  </w:sdt>
  <w:p w14:paraId="28045205" w14:textId="77777777" w:rsidR="00003A62" w:rsidRDefault="00003A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706E6" w14:textId="77777777" w:rsidR="0027585C" w:rsidRDefault="00275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F4307" w14:textId="77777777" w:rsidR="004F2D7B" w:rsidRDefault="004F2D7B" w:rsidP="00003A62">
      <w:pPr>
        <w:spacing w:after="0"/>
      </w:pPr>
      <w:r>
        <w:separator/>
      </w:r>
    </w:p>
  </w:footnote>
  <w:footnote w:type="continuationSeparator" w:id="0">
    <w:p w14:paraId="3BFBD922" w14:textId="77777777" w:rsidR="004F2D7B" w:rsidRDefault="004F2D7B" w:rsidP="00003A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22929" w14:textId="77777777" w:rsidR="0027585C" w:rsidRDefault="004F2D7B">
    <w:pPr>
      <w:pStyle w:val="Header"/>
    </w:pPr>
    <w:r>
      <w:rPr>
        <w:noProof/>
      </w:rPr>
      <w:pict w14:anchorId="5B70A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A602A" w14:textId="77777777" w:rsidR="0027585C" w:rsidRDefault="004F2D7B">
    <w:pPr>
      <w:pStyle w:val="Header"/>
    </w:pPr>
    <w:r>
      <w:rPr>
        <w:noProof/>
      </w:rPr>
      <w:pict w14:anchorId="0C67B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9CD2F" w14:textId="77777777" w:rsidR="0027585C" w:rsidRDefault="004F2D7B">
    <w:pPr>
      <w:pStyle w:val="Header"/>
    </w:pPr>
    <w:r>
      <w:rPr>
        <w:noProof/>
      </w:rPr>
      <w:pict w14:anchorId="0265F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64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B1A827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12056E6F"/>
    <w:multiLevelType w:val="hybridMultilevel"/>
    <w:tmpl w:val="505407F8"/>
    <w:lvl w:ilvl="0" w:tplc="C37845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A6631"/>
    <w:multiLevelType w:val="hybridMultilevel"/>
    <w:tmpl w:val="4DA41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66777"/>
    <w:multiLevelType w:val="hybridMultilevel"/>
    <w:tmpl w:val="19B20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0626A2"/>
    <w:multiLevelType w:val="hybridMultilevel"/>
    <w:tmpl w:val="8BD04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A5A4897"/>
    <w:multiLevelType w:val="hybridMultilevel"/>
    <w:tmpl w:val="E59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1E4CC3"/>
    <w:multiLevelType w:val="hybridMultilevel"/>
    <w:tmpl w:val="231E9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64116EB"/>
    <w:multiLevelType w:val="hybridMultilevel"/>
    <w:tmpl w:val="D72C39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BBB3680"/>
    <w:multiLevelType w:val="hybridMultilevel"/>
    <w:tmpl w:val="FCBA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8"/>
  </w:num>
  <w:num w:numId="5">
    <w:abstractNumId w:val="6"/>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56"/>
    <w:rsid w:val="00003A62"/>
    <w:rsid w:val="00017CEB"/>
    <w:rsid w:val="0005000E"/>
    <w:rsid w:val="00085200"/>
    <w:rsid w:val="000A30E8"/>
    <w:rsid w:val="000E3DF8"/>
    <w:rsid w:val="00101556"/>
    <w:rsid w:val="00170A2C"/>
    <w:rsid w:val="00200F81"/>
    <w:rsid w:val="002262C9"/>
    <w:rsid w:val="0025369A"/>
    <w:rsid w:val="0027585C"/>
    <w:rsid w:val="00285C6D"/>
    <w:rsid w:val="002A43BC"/>
    <w:rsid w:val="002C4B4F"/>
    <w:rsid w:val="002C73DB"/>
    <w:rsid w:val="002F7CB6"/>
    <w:rsid w:val="00382226"/>
    <w:rsid w:val="003E57D5"/>
    <w:rsid w:val="003E7B34"/>
    <w:rsid w:val="003F5520"/>
    <w:rsid w:val="003F712E"/>
    <w:rsid w:val="0044018A"/>
    <w:rsid w:val="0044626F"/>
    <w:rsid w:val="0046546A"/>
    <w:rsid w:val="004B7D52"/>
    <w:rsid w:val="004F2D7B"/>
    <w:rsid w:val="0054086F"/>
    <w:rsid w:val="00544362"/>
    <w:rsid w:val="00572CFC"/>
    <w:rsid w:val="005E43CB"/>
    <w:rsid w:val="005E6AD0"/>
    <w:rsid w:val="005F3EA3"/>
    <w:rsid w:val="00602A87"/>
    <w:rsid w:val="00605C48"/>
    <w:rsid w:val="006F18CF"/>
    <w:rsid w:val="006F65ED"/>
    <w:rsid w:val="00720E87"/>
    <w:rsid w:val="0074533E"/>
    <w:rsid w:val="00750281"/>
    <w:rsid w:val="00784EF4"/>
    <w:rsid w:val="007964A0"/>
    <w:rsid w:val="007A10B3"/>
    <w:rsid w:val="007D7AE8"/>
    <w:rsid w:val="007E23B2"/>
    <w:rsid w:val="008321C0"/>
    <w:rsid w:val="0088280A"/>
    <w:rsid w:val="008D79E5"/>
    <w:rsid w:val="00903B80"/>
    <w:rsid w:val="00970865"/>
    <w:rsid w:val="00982516"/>
    <w:rsid w:val="009B4451"/>
    <w:rsid w:val="009D110C"/>
    <w:rsid w:val="009E74DE"/>
    <w:rsid w:val="00A14093"/>
    <w:rsid w:val="00A33B8D"/>
    <w:rsid w:val="00A935F1"/>
    <w:rsid w:val="00AB1C14"/>
    <w:rsid w:val="00AC3A19"/>
    <w:rsid w:val="00B013F8"/>
    <w:rsid w:val="00B55179"/>
    <w:rsid w:val="00B56C49"/>
    <w:rsid w:val="00B842F1"/>
    <w:rsid w:val="00B94EBA"/>
    <w:rsid w:val="00BF4044"/>
    <w:rsid w:val="00C215F3"/>
    <w:rsid w:val="00C404BA"/>
    <w:rsid w:val="00CE40B6"/>
    <w:rsid w:val="00D122C8"/>
    <w:rsid w:val="00D31BEC"/>
    <w:rsid w:val="00D46A0C"/>
    <w:rsid w:val="00D607B0"/>
    <w:rsid w:val="00D73286"/>
    <w:rsid w:val="00D77C9C"/>
    <w:rsid w:val="00D91BD9"/>
    <w:rsid w:val="00D93B59"/>
    <w:rsid w:val="00DC3AAD"/>
    <w:rsid w:val="00DF2420"/>
    <w:rsid w:val="00E373F6"/>
    <w:rsid w:val="00E560D7"/>
    <w:rsid w:val="00E637CC"/>
    <w:rsid w:val="00E968C5"/>
    <w:rsid w:val="00ED0F1B"/>
    <w:rsid w:val="00F010FA"/>
    <w:rsid w:val="00F1686B"/>
    <w:rsid w:val="00F2286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0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footer" w:uiPriority="99"/>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003A62"/>
    <w:pPr>
      <w:tabs>
        <w:tab w:val="center" w:pos="4680"/>
        <w:tab w:val="right" w:pos="9360"/>
      </w:tabs>
      <w:spacing w:after="0"/>
    </w:pPr>
  </w:style>
  <w:style w:type="character" w:customStyle="1" w:styleId="HeaderChar">
    <w:name w:val="Header Char"/>
    <w:basedOn w:val="DefaultParagraphFont"/>
    <w:link w:val="Header"/>
    <w:rsid w:val="00003A62"/>
  </w:style>
  <w:style w:type="paragraph" w:styleId="Footer">
    <w:name w:val="footer"/>
    <w:basedOn w:val="Normal"/>
    <w:link w:val="FooterChar"/>
    <w:uiPriority w:val="99"/>
    <w:unhideWhenUsed/>
    <w:rsid w:val="00003A62"/>
    <w:pPr>
      <w:tabs>
        <w:tab w:val="center" w:pos="4680"/>
        <w:tab w:val="right" w:pos="9360"/>
      </w:tabs>
      <w:spacing w:after="0"/>
    </w:pPr>
  </w:style>
  <w:style w:type="character" w:customStyle="1" w:styleId="FooterChar">
    <w:name w:val="Footer Char"/>
    <w:basedOn w:val="DefaultParagraphFont"/>
    <w:link w:val="Footer"/>
    <w:uiPriority w:val="99"/>
    <w:rsid w:val="00003A62"/>
  </w:style>
  <w:style w:type="paragraph" w:styleId="NormalWeb">
    <w:name w:val="Normal (Web)"/>
    <w:basedOn w:val="Normal"/>
    <w:uiPriority w:val="99"/>
    <w:semiHidden/>
    <w:unhideWhenUsed/>
    <w:rsid w:val="000A30E8"/>
    <w:pPr>
      <w:spacing w:before="100" w:beforeAutospacing="1" w:after="100" w:afterAutospacing="1"/>
    </w:pPr>
    <w:rPr>
      <w:rFonts w:ascii="Times New Roman" w:eastAsia="Times New Roman" w:hAnsi="Times New Roman" w:cs="Times New Roman"/>
      <w:lang w:val="en-US" w:bidi="mr-IN"/>
    </w:rPr>
  </w:style>
  <w:style w:type="character" w:styleId="Emphasis">
    <w:name w:val="Emphasis"/>
    <w:basedOn w:val="DefaultParagraphFont"/>
    <w:uiPriority w:val="20"/>
    <w:qFormat/>
    <w:rsid w:val="000A30E8"/>
    <w:rPr>
      <w:i/>
      <w:iCs/>
    </w:rPr>
  </w:style>
  <w:style w:type="character" w:styleId="Strong">
    <w:name w:val="Strong"/>
    <w:basedOn w:val="DefaultParagraphFont"/>
    <w:uiPriority w:val="22"/>
    <w:qFormat/>
    <w:rsid w:val="000A30E8"/>
    <w:rPr>
      <w:b/>
      <w:bCs/>
    </w:rPr>
  </w:style>
  <w:style w:type="character" w:customStyle="1" w:styleId="UnresolvedMention">
    <w:name w:val="Unresolved Mention"/>
    <w:basedOn w:val="DefaultParagraphFont"/>
    <w:uiPriority w:val="99"/>
    <w:semiHidden/>
    <w:unhideWhenUsed/>
    <w:rsid w:val="00D46A0C"/>
    <w:rPr>
      <w:color w:val="605E5C"/>
      <w:shd w:val="clear" w:color="auto" w:fill="E1DFDD"/>
    </w:rPr>
  </w:style>
  <w:style w:type="paragraph" w:styleId="BalloonText">
    <w:name w:val="Balloon Text"/>
    <w:basedOn w:val="Normal"/>
    <w:link w:val="BalloonTextChar"/>
    <w:semiHidden/>
    <w:unhideWhenUsed/>
    <w:rsid w:val="0027585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758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footer" w:uiPriority="99"/>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003A62"/>
    <w:pPr>
      <w:tabs>
        <w:tab w:val="center" w:pos="4680"/>
        <w:tab w:val="right" w:pos="9360"/>
      </w:tabs>
      <w:spacing w:after="0"/>
    </w:pPr>
  </w:style>
  <w:style w:type="character" w:customStyle="1" w:styleId="HeaderChar">
    <w:name w:val="Header Char"/>
    <w:basedOn w:val="DefaultParagraphFont"/>
    <w:link w:val="Header"/>
    <w:rsid w:val="00003A62"/>
  </w:style>
  <w:style w:type="paragraph" w:styleId="Footer">
    <w:name w:val="footer"/>
    <w:basedOn w:val="Normal"/>
    <w:link w:val="FooterChar"/>
    <w:uiPriority w:val="99"/>
    <w:unhideWhenUsed/>
    <w:rsid w:val="00003A62"/>
    <w:pPr>
      <w:tabs>
        <w:tab w:val="center" w:pos="4680"/>
        <w:tab w:val="right" w:pos="9360"/>
      </w:tabs>
      <w:spacing w:after="0"/>
    </w:pPr>
  </w:style>
  <w:style w:type="character" w:customStyle="1" w:styleId="FooterChar">
    <w:name w:val="Footer Char"/>
    <w:basedOn w:val="DefaultParagraphFont"/>
    <w:link w:val="Footer"/>
    <w:uiPriority w:val="99"/>
    <w:rsid w:val="00003A62"/>
  </w:style>
  <w:style w:type="paragraph" w:styleId="NormalWeb">
    <w:name w:val="Normal (Web)"/>
    <w:basedOn w:val="Normal"/>
    <w:uiPriority w:val="99"/>
    <w:semiHidden/>
    <w:unhideWhenUsed/>
    <w:rsid w:val="000A30E8"/>
    <w:pPr>
      <w:spacing w:before="100" w:beforeAutospacing="1" w:after="100" w:afterAutospacing="1"/>
    </w:pPr>
    <w:rPr>
      <w:rFonts w:ascii="Times New Roman" w:eastAsia="Times New Roman" w:hAnsi="Times New Roman" w:cs="Times New Roman"/>
      <w:lang w:val="en-US" w:bidi="mr-IN"/>
    </w:rPr>
  </w:style>
  <w:style w:type="character" w:styleId="Emphasis">
    <w:name w:val="Emphasis"/>
    <w:basedOn w:val="DefaultParagraphFont"/>
    <w:uiPriority w:val="20"/>
    <w:qFormat/>
    <w:rsid w:val="000A30E8"/>
    <w:rPr>
      <w:i/>
      <w:iCs/>
    </w:rPr>
  </w:style>
  <w:style w:type="character" w:styleId="Strong">
    <w:name w:val="Strong"/>
    <w:basedOn w:val="DefaultParagraphFont"/>
    <w:uiPriority w:val="22"/>
    <w:qFormat/>
    <w:rsid w:val="000A30E8"/>
    <w:rPr>
      <w:b/>
      <w:bCs/>
    </w:rPr>
  </w:style>
  <w:style w:type="character" w:customStyle="1" w:styleId="UnresolvedMention">
    <w:name w:val="Unresolved Mention"/>
    <w:basedOn w:val="DefaultParagraphFont"/>
    <w:uiPriority w:val="99"/>
    <w:semiHidden/>
    <w:unhideWhenUsed/>
    <w:rsid w:val="00D46A0C"/>
    <w:rPr>
      <w:color w:val="605E5C"/>
      <w:shd w:val="clear" w:color="auto" w:fill="E1DFDD"/>
    </w:rPr>
  </w:style>
  <w:style w:type="paragraph" w:styleId="BalloonText">
    <w:name w:val="Balloon Text"/>
    <w:basedOn w:val="Normal"/>
    <w:link w:val="BalloonTextChar"/>
    <w:semiHidden/>
    <w:unhideWhenUsed/>
    <w:rsid w:val="0027585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75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8703">
      <w:bodyDiv w:val="1"/>
      <w:marLeft w:val="0"/>
      <w:marRight w:val="0"/>
      <w:marTop w:val="0"/>
      <w:marBottom w:val="0"/>
      <w:divBdr>
        <w:top w:val="none" w:sz="0" w:space="0" w:color="auto"/>
        <w:left w:val="none" w:sz="0" w:space="0" w:color="auto"/>
        <w:bottom w:val="none" w:sz="0" w:space="0" w:color="auto"/>
        <w:right w:val="none" w:sz="0" w:space="0" w:color="auto"/>
      </w:divBdr>
    </w:div>
    <w:div w:id="288710344">
      <w:bodyDiv w:val="1"/>
      <w:marLeft w:val="0"/>
      <w:marRight w:val="0"/>
      <w:marTop w:val="0"/>
      <w:marBottom w:val="0"/>
      <w:divBdr>
        <w:top w:val="none" w:sz="0" w:space="0" w:color="auto"/>
        <w:left w:val="none" w:sz="0" w:space="0" w:color="auto"/>
        <w:bottom w:val="none" w:sz="0" w:space="0" w:color="auto"/>
        <w:right w:val="none" w:sz="0" w:space="0" w:color="auto"/>
      </w:divBdr>
    </w:div>
    <w:div w:id="293147981">
      <w:bodyDiv w:val="1"/>
      <w:marLeft w:val="0"/>
      <w:marRight w:val="0"/>
      <w:marTop w:val="0"/>
      <w:marBottom w:val="0"/>
      <w:divBdr>
        <w:top w:val="none" w:sz="0" w:space="0" w:color="auto"/>
        <w:left w:val="none" w:sz="0" w:space="0" w:color="auto"/>
        <w:bottom w:val="none" w:sz="0" w:space="0" w:color="auto"/>
        <w:right w:val="none" w:sz="0" w:space="0" w:color="auto"/>
      </w:divBdr>
    </w:div>
    <w:div w:id="300506615">
      <w:bodyDiv w:val="1"/>
      <w:marLeft w:val="0"/>
      <w:marRight w:val="0"/>
      <w:marTop w:val="0"/>
      <w:marBottom w:val="0"/>
      <w:divBdr>
        <w:top w:val="none" w:sz="0" w:space="0" w:color="auto"/>
        <w:left w:val="none" w:sz="0" w:space="0" w:color="auto"/>
        <w:bottom w:val="none" w:sz="0" w:space="0" w:color="auto"/>
        <w:right w:val="none" w:sz="0" w:space="0" w:color="auto"/>
      </w:divBdr>
    </w:div>
    <w:div w:id="417680993">
      <w:bodyDiv w:val="1"/>
      <w:marLeft w:val="0"/>
      <w:marRight w:val="0"/>
      <w:marTop w:val="0"/>
      <w:marBottom w:val="0"/>
      <w:divBdr>
        <w:top w:val="none" w:sz="0" w:space="0" w:color="auto"/>
        <w:left w:val="none" w:sz="0" w:space="0" w:color="auto"/>
        <w:bottom w:val="none" w:sz="0" w:space="0" w:color="auto"/>
        <w:right w:val="none" w:sz="0" w:space="0" w:color="auto"/>
      </w:divBdr>
    </w:div>
    <w:div w:id="543446441">
      <w:bodyDiv w:val="1"/>
      <w:marLeft w:val="0"/>
      <w:marRight w:val="0"/>
      <w:marTop w:val="0"/>
      <w:marBottom w:val="0"/>
      <w:divBdr>
        <w:top w:val="none" w:sz="0" w:space="0" w:color="auto"/>
        <w:left w:val="none" w:sz="0" w:space="0" w:color="auto"/>
        <w:bottom w:val="none" w:sz="0" w:space="0" w:color="auto"/>
        <w:right w:val="none" w:sz="0" w:space="0" w:color="auto"/>
      </w:divBdr>
    </w:div>
    <w:div w:id="719475959">
      <w:bodyDiv w:val="1"/>
      <w:marLeft w:val="0"/>
      <w:marRight w:val="0"/>
      <w:marTop w:val="0"/>
      <w:marBottom w:val="0"/>
      <w:divBdr>
        <w:top w:val="none" w:sz="0" w:space="0" w:color="auto"/>
        <w:left w:val="none" w:sz="0" w:space="0" w:color="auto"/>
        <w:bottom w:val="none" w:sz="0" w:space="0" w:color="auto"/>
        <w:right w:val="none" w:sz="0" w:space="0" w:color="auto"/>
      </w:divBdr>
    </w:div>
    <w:div w:id="790324009">
      <w:bodyDiv w:val="1"/>
      <w:marLeft w:val="0"/>
      <w:marRight w:val="0"/>
      <w:marTop w:val="0"/>
      <w:marBottom w:val="0"/>
      <w:divBdr>
        <w:top w:val="none" w:sz="0" w:space="0" w:color="auto"/>
        <w:left w:val="none" w:sz="0" w:space="0" w:color="auto"/>
        <w:bottom w:val="none" w:sz="0" w:space="0" w:color="auto"/>
        <w:right w:val="none" w:sz="0" w:space="0" w:color="auto"/>
      </w:divBdr>
    </w:div>
    <w:div w:id="829635319">
      <w:bodyDiv w:val="1"/>
      <w:marLeft w:val="0"/>
      <w:marRight w:val="0"/>
      <w:marTop w:val="0"/>
      <w:marBottom w:val="0"/>
      <w:divBdr>
        <w:top w:val="none" w:sz="0" w:space="0" w:color="auto"/>
        <w:left w:val="none" w:sz="0" w:space="0" w:color="auto"/>
        <w:bottom w:val="none" w:sz="0" w:space="0" w:color="auto"/>
        <w:right w:val="none" w:sz="0" w:space="0" w:color="auto"/>
      </w:divBdr>
    </w:div>
    <w:div w:id="948203868">
      <w:bodyDiv w:val="1"/>
      <w:marLeft w:val="0"/>
      <w:marRight w:val="0"/>
      <w:marTop w:val="0"/>
      <w:marBottom w:val="0"/>
      <w:divBdr>
        <w:top w:val="none" w:sz="0" w:space="0" w:color="auto"/>
        <w:left w:val="none" w:sz="0" w:space="0" w:color="auto"/>
        <w:bottom w:val="none" w:sz="0" w:space="0" w:color="auto"/>
        <w:right w:val="none" w:sz="0" w:space="0" w:color="auto"/>
      </w:divBdr>
    </w:div>
    <w:div w:id="1091394892">
      <w:bodyDiv w:val="1"/>
      <w:marLeft w:val="0"/>
      <w:marRight w:val="0"/>
      <w:marTop w:val="0"/>
      <w:marBottom w:val="0"/>
      <w:divBdr>
        <w:top w:val="none" w:sz="0" w:space="0" w:color="auto"/>
        <w:left w:val="none" w:sz="0" w:space="0" w:color="auto"/>
        <w:bottom w:val="none" w:sz="0" w:space="0" w:color="auto"/>
        <w:right w:val="none" w:sz="0" w:space="0" w:color="auto"/>
      </w:divBdr>
    </w:div>
    <w:div w:id="1258438578">
      <w:bodyDiv w:val="1"/>
      <w:marLeft w:val="0"/>
      <w:marRight w:val="0"/>
      <w:marTop w:val="0"/>
      <w:marBottom w:val="0"/>
      <w:divBdr>
        <w:top w:val="none" w:sz="0" w:space="0" w:color="auto"/>
        <w:left w:val="none" w:sz="0" w:space="0" w:color="auto"/>
        <w:bottom w:val="none" w:sz="0" w:space="0" w:color="auto"/>
        <w:right w:val="none" w:sz="0" w:space="0" w:color="auto"/>
      </w:divBdr>
    </w:div>
    <w:div w:id="1274747174">
      <w:bodyDiv w:val="1"/>
      <w:marLeft w:val="0"/>
      <w:marRight w:val="0"/>
      <w:marTop w:val="0"/>
      <w:marBottom w:val="0"/>
      <w:divBdr>
        <w:top w:val="none" w:sz="0" w:space="0" w:color="auto"/>
        <w:left w:val="none" w:sz="0" w:space="0" w:color="auto"/>
        <w:bottom w:val="none" w:sz="0" w:space="0" w:color="auto"/>
        <w:right w:val="none" w:sz="0" w:space="0" w:color="auto"/>
      </w:divBdr>
    </w:div>
    <w:div w:id="1286472517">
      <w:bodyDiv w:val="1"/>
      <w:marLeft w:val="0"/>
      <w:marRight w:val="0"/>
      <w:marTop w:val="0"/>
      <w:marBottom w:val="0"/>
      <w:divBdr>
        <w:top w:val="none" w:sz="0" w:space="0" w:color="auto"/>
        <w:left w:val="none" w:sz="0" w:space="0" w:color="auto"/>
        <w:bottom w:val="none" w:sz="0" w:space="0" w:color="auto"/>
        <w:right w:val="none" w:sz="0" w:space="0" w:color="auto"/>
      </w:divBdr>
    </w:div>
    <w:div w:id="1498035320">
      <w:bodyDiv w:val="1"/>
      <w:marLeft w:val="0"/>
      <w:marRight w:val="0"/>
      <w:marTop w:val="0"/>
      <w:marBottom w:val="0"/>
      <w:divBdr>
        <w:top w:val="none" w:sz="0" w:space="0" w:color="auto"/>
        <w:left w:val="none" w:sz="0" w:space="0" w:color="auto"/>
        <w:bottom w:val="none" w:sz="0" w:space="0" w:color="auto"/>
        <w:right w:val="none" w:sz="0" w:space="0" w:color="auto"/>
      </w:divBdr>
    </w:div>
    <w:div w:id="1512984118">
      <w:bodyDiv w:val="1"/>
      <w:marLeft w:val="0"/>
      <w:marRight w:val="0"/>
      <w:marTop w:val="0"/>
      <w:marBottom w:val="0"/>
      <w:divBdr>
        <w:top w:val="none" w:sz="0" w:space="0" w:color="auto"/>
        <w:left w:val="none" w:sz="0" w:space="0" w:color="auto"/>
        <w:bottom w:val="none" w:sz="0" w:space="0" w:color="auto"/>
        <w:right w:val="none" w:sz="0" w:space="0" w:color="auto"/>
      </w:divBdr>
    </w:div>
    <w:div w:id="1524629845">
      <w:bodyDiv w:val="1"/>
      <w:marLeft w:val="0"/>
      <w:marRight w:val="0"/>
      <w:marTop w:val="0"/>
      <w:marBottom w:val="0"/>
      <w:divBdr>
        <w:top w:val="none" w:sz="0" w:space="0" w:color="auto"/>
        <w:left w:val="none" w:sz="0" w:space="0" w:color="auto"/>
        <w:bottom w:val="none" w:sz="0" w:space="0" w:color="auto"/>
        <w:right w:val="none" w:sz="0" w:space="0" w:color="auto"/>
      </w:divBdr>
    </w:div>
    <w:div w:id="1531183321">
      <w:bodyDiv w:val="1"/>
      <w:marLeft w:val="0"/>
      <w:marRight w:val="0"/>
      <w:marTop w:val="0"/>
      <w:marBottom w:val="0"/>
      <w:divBdr>
        <w:top w:val="none" w:sz="0" w:space="0" w:color="auto"/>
        <w:left w:val="none" w:sz="0" w:space="0" w:color="auto"/>
        <w:bottom w:val="none" w:sz="0" w:space="0" w:color="auto"/>
        <w:right w:val="none" w:sz="0" w:space="0" w:color="auto"/>
      </w:divBdr>
    </w:div>
    <w:div w:id="1741639777">
      <w:bodyDiv w:val="1"/>
      <w:marLeft w:val="0"/>
      <w:marRight w:val="0"/>
      <w:marTop w:val="0"/>
      <w:marBottom w:val="0"/>
      <w:divBdr>
        <w:top w:val="none" w:sz="0" w:space="0" w:color="auto"/>
        <w:left w:val="none" w:sz="0" w:space="0" w:color="auto"/>
        <w:bottom w:val="none" w:sz="0" w:space="0" w:color="auto"/>
        <w:right w:val="none" w:sz="0" w:space="0" w:color="auto"/>
      </w:divBdr>
    </w:div>
    <w:div w:id="1782072324">
      <w:bodyDiv w:val="1"/>
      <w:marLeft w:val="0"/>
      <w:marRight w:val="0"/>
      <w:marTop w:val="0"/>
      <w:marBottom w:val="0"/>
      <w:divBdr>
        <w:top w:val="none" w:sz="0" w:space="0" w:color="auto"/>
        <w:left w:val="none" w:sz="0" w:space="0" w:color="auto"/>
        <w:bottom w:val="none" w:sz="0" w:space="0" w:color="auto"/>
        <w:right w:val="none" w:sz="0" w:space="0" w:color="auto"/>
      </w:divBdr>
      <w:divsChild>
        <w:div w:id="1178160510">
          <w:marLeft w:val="0"/>
          <w:marRight w:val="0"/>
          <w:marTop w:val="0"/>
          <w:marBottom w:val="0"/>
          <w:divBdr>
            <w:top w:val="none" w:sz="0" w:space="0" w:color="auto"/>
            <w:left w:val="none" w:sz="0" w:space="0" w:color="auto"/>
            <w:bottom w:val="none" w:sz="0" w:space="0" w:color="auto"/>
            <w:right w:val="none" w:sz="0" w:space="0" w:color="auto"/>
          </w:divBdr>
          <w:divsChild>
            <w:div w:id="24908286">
              <w:marLeft w:val="0"/>
              <w:marRight w:val="0"/>
              <w:marTop w:val="0"/>
              <w:marBottom w:val="0"/>
              <w:divBdr>
                <w:top w:val="none" w:sz="0" w:space="0" w:color="auto"/>
                <w:left w:val="none" w:sz="0" w:space="0" w:color="auto"/>
                <w:bottom w:val="none" w:sz="0" w:space="0" w:color="auto"/>
                <w:right w:val="none" w:sz="0" w:space="0" w:color="auto"/>
              </w:divBdr>
              <w:divsChild>
                <w:div w:id="686562059">
                  <w:marLeft w:val="0"/>
                  <w:marRight w:val="0"/>
                  <w:marTop w:val="0"/>
                  <w:marBottom w:val="0"/>
                  <w:divBdr>
                    <w:top w:val="none" w:sz="0" w:space="0" w:color="auto"/>
                    <w:left w:val="none" w:sz="0" w:space="0" w:color="auto"/>
                    <w:bottom w:val="none" w:sz="0" w:space="0" w:color="auto"/>
                    <w:right w:val="none" w:sz="0" w:space="0" w:color="auto"/>
                  </w:divBdr>
                  <w:divsChild>
                    <w:div w:id="9988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937648">
      <w:bodyDiv w:val="1"/>
      <w:marLeft w:val="0"/>
      <w:marRight w:val="0"/>
      <w:marTop w:val="0"/>
      <w:marBottom w:val="0"/>
      <w:divBdr>
        <w:top w:val="none" w:sz="0" w:space="0" w:color="auto"/>
        <w:left w:val="none" w:sz="0" w:space="0" w:color="auto"/>
        <w:bottom w:val="none" w:sz="0" w:space="0" w:color="auto"/>
        <w:right w:val="none" w:sz="0" w:space="0" w:color="auto"/>
      </w:divBdr>
    </w:div>
    <w:div w:id="2128036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rchiips.org/nfhs/NFHS-5Reports/NFHS-5_INDIA_REPORT.pdf" TargetMode="External"/><Relationship Id="rId26" Type="http://schemas.openxmlformats.org/officeDocument/2006/relationships/hyperlink" Target="https://www.unicef.org/reports/child-marriage-latest-trends-and-future-prospects" TargetMode="External"/><Relationship Id="rId3" Type="http://schemas.microsoft.com/office/2007/relationships/stylesWithEffects" Target="stylesWithEffects.xml"/><Relationship Id="rId21" Type="http://schemas.openxmlformats.org/officeDocument/2006/relationships/hyperlink" Target="https://dhsprogram.com/pubs/pdf/FR375/FR375.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hindustantimes.com/cities/pune-news/girls-in-higher-education-may-soon-get-2-000-per-month-under-new-scheme-101755717641309.html" TargetMode="External"/><Relationship Id="rId25" Type="http://schemas.openxmlformats.org/officeDocument/2006/relationships/hyperlink" Target="https://india.unfpa.org/sites/default/files/pub-pdf/analytical_series_1_-_child_marriage_in_india_-_insights_from_nfhs-5_final_0.pdf"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ajess/2023/v49i41201" TargetMode="External"/><Relationship Id="rId20" Type="http://schemas.openxmlformats.org/officeDocument/2006/relationships/hyperlink" Target="https://doi.org/10.1016/S0140-6736(11)60649-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unesdoc.unesco.org/ark:/48223/pf000022566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886/ICPSR36151.v2" TargetMode="External"/><Relationship Id="rId23" Type="http://schemas.openxmlformats.org/officeDocument/2006/relationships/hyperlink" Target="https://doi.org/10.1186/s12889-024-20038-2" TargetMode="External"/><Relationship Id="rId28" Type="http://schemas.openxmlformats.org/officeDocument/2006/relationships/hyperlink" Target="https://doi.org/10.1596/978-1-4648-1206-5"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rchiips.org/nfhs/NFHS-5_FCTS/Maharashtra.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eda.ashoka.edu.in/genderstats-7-underage-marriage-3/" TargetMode="External"/><Relationship Id="rId22" Type="http://schemas.openxmlformats.org/officeDocument/2006/relationships/hyperlink" Target="https://doi.org/10.1016/S2214-109X(19)30235-3" TargetMode="External"/><Relationship Id="rId27" Type="http://schemas.openxmlformats.org/officeDocument/2006/relationships/hyperlink" Target="https://www.dataforindia.com/education-levels-in-india/"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3817</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keywords/>
  <cp:lastModifiedBy>SDI 1055</cp:lastModifiedBy>
  <cp:revision>56</cp:revision>
  <dcterms:created xsi:type="dcterms:W3CDTF">2025-12-24T05:06:00Z</dcterms:created>
  <dcterms:modified xsi:type="dcterms:W3CDTF">2026-01-03T09:18:00Z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