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D0AEB" w14:textId="77777777" w:rsidR="008038A9" w:rsidRPr="00774253" w:rsidRDefault="008038A9" w:rsidP="008038A9">
      <w:pPr>
        <w:spacing w:before="100" w:beforeAutospacing="1" w:after="100" w:afterAutospacing="1" w:line="240" w:lineRule="auto"/>
        <w:jc w:val="both"/>
        <w:rPr>
          <w:rFonts w:ascii="Arial" w:eastAsia="Times New Roman" w:hAnsi="Arial" w:cs="Arial"/>
          <w:b/>
          <w:bCs/>
          <w:kern w:val="0"/>
          <w:sz w:val="36"/>
          <w:szCs w:val="24"/>
          <w:lang w:eastAsia="en-IN"/>
          <w14:ligatures w14:val="none"/>
        </w:rPr>
      </w:pPr>
      <w:proofErr w:type="spellStart"/>
      <w:r w:rsidRPr="00774253">
        <w:rPr>
          <w:b/>
          <w:bCs/>
          <w:i/>
          <w:iCs/>
          <w:sz w:val="28"/>
          <w:szCs w:val="20"/>
          <w:highlight w:val="yellow"/>
          <w:lang w:val="en-GB"/>
        </w:rPr>
        <w:t>Miicrogreens</w:t>
      </w:r>
      <w:proofErr w:type="spellEnd"/>
      <w:r w:rsidRPr="00774253">
        <w:rPr>
          <w:b/>
          <w:bCs/>
          <w:i/>
          <w:iCs/>
          <w:sz w:val="28"/>
          <w:szCs w:val="20"/>
          <w:highlight w:val="yellow"/>
          <w:lang w:val="en-GB"/>
        </w:rPr>
        <w:t xml:space="preserve"> as Functional Crops: Nutritional Promise, Cultivation Innovation, and Postharvest Considerations in Controlled Environments</w:t>
      </w:r>
      <w:r w:rsidRPr="00774253" w:rsidDel="008038A9">
        <w:rPr>
          <w:rFonts w:ascii="Arial" w:eastAsia="Times New Roman" w:hAnsi="Arial" w:cs="Arial"/>
          <w:b/>
          <w:bCs/>
          <w:kern w:val="0"/>
          <w:sz w:val="36"/>
          <w:szCs w:val="24"/>
          <w:lang w:eastAsia="en-IN"/>
          <w14:ligatures w14:val="none"/>
        </w:rPr>
        <w:t xml:space="preserve"> </w:t>
      </w:r>
    </w:p>
    <w:p w14:paraId="6DF09220" w14:textId="77777777" w:rsidR="00BF4F13" w:rsidRPr="00BF4F13" w:rsidRDefault="00BF4F13" w:rsidP="008038A9">
      <w:pPr>
        <w:spacing w:before="100" w:beforeAutospacing="1" w:after="100" w:afterAutospacing="1" w:line="240" w:lineRule="auto"/>
        <w:jc w:val="both"/>
        <w:outlineLvl w:val="2"/>
        <w:rPr>
          <w:rFonts w:ascii="Arial" w:eastAsia="Times New Roman" w:hAnsi="Arial" w:cs="Arial"/>
          <w:b/>
          <w:bCs/>
          <w:kern w:val="0"/>
          <w:sz w:val="20"/>
          <w:szCs w:val="20"/>
          <w:lang w:eastAsia="en-IN"/>
          <w14:ligatures w14:val="none"/>
        </w:rPr>
      </w:pPr>
      <w:r w:rsidRPr="00BF4F13">
        <w:rPr>
          <w:rFonts w:ascii="Arial" w:eastAsia="Times New Roman" w:hAnsi="Arial" w:cs="Arial"/>
          <w:b/>
          <w:bCs/>
          <w:kern w:val="0"/>
          <w:sz w:val="20"/>
          <w:szCs w:val="20"/>
          <w:lang w:eastAsia="en-IN"/>
          <w14:ligatures w14:val="none"/>
        </w:rPr>
        <w:t>Abstract</w:t>
      </w:r>
    </w:p>
    <w:p w14:paraId="4122BE73" w14:textId="7869C261"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 xml:space="preserve">Microgreens are tender edible seedlings harvested shortly after germination, typically at the cotyledon stage with or without the emergence of the first true leaf. Over the last decade, microgreens have moved from niche culinary garnishes to widely discussed “functional greens” because they can concentrate vitamins, minerals, and diverse phytochemicals into a small biomass while being produced rapidly in compact spaces. Their short production cycle, compatibility with controlled-environment agriculture, and potential to tailor </w:t>
      </w:r>
      <w:bookmarkStart w:id="0" w:name="_GoBack"/>
      <w:bookmarkEnd w:id="0"/>
      <w:r w:rsidRPr="00BF4F13">
        <w:rPr>
          <w:rFonts w:ascii="Arial" w:eastAsia="Times New Roman" w:hAnsi="Arial" w:cs="Arial"/>
          <w:kern w:val="0"/>
          <w:sz w:val="20"/>
          <w:szCs w:val="20"/>
          <w:lang w:eastAsia="en-IN"/>
          <w14:ligatures w14:val="none"/>
        </w:rPr>
        <w:t xml:space="preserve">nutritional profiles through light, substrate, and nutrient management make microgreens a compelling crop class for urban food systems and health-oriented markets. This review synthesizes recent evidence on microgreens’ nutritional and phytochemical composition, the mechanistic basis of putative health benefits, and cultivation strategies that improve yield, nutrient density, safety, and shelf-life. Particular attention is paid to the roles of genotype, light spectra and intensity, nutrient management, postharvest physiology, microbiological risk, and packaging innovations. Evidence indicates substantial interspecies and intraspecies variability in vitamins, carotenoids, phenolics, and </w:t>
      </w:r>
      <w:proofErr w:type="spellStart"/>
      <w:r w:rsidRPr="00BF4F13">
        <w:rPr>
          <w:rFonts w:ascii="Arial" w:eastAsia="Times New Roman" w:hAnsi="Arial" w:cs="Arial"/>
          <w:kern w:val="0"/>
          <w:sz w:val="20"/>
          <w:szCs w:val="20"/>
          <w:lang w:eastAsia="en-IN"/>
          <w14:ligatures w14:val="none"/>
        </w:rPr>
        <w:t>glucosinolates</w:t>
      </w:r>
      <w:proofErr w:type="spellEnd"/>
      <w:r w:rsidRPr="00BF4F13">
        <w:rPr>
          <w:rFonts w:ascii="Arial" w:eastAsia="Times New Roman" w:hAnsi="Arial" w:cs="Arial"/>
          <w:kern w:val="0"/>
          <w:sz w:val="20"/>
          <w:szCs w:val="20"/>
          <w:lang w:eastAsia="en-IN"/>
          <w14:ligatures w14:val="none"/>
        </w:rPr>
        <w:t xml:space="preserve">, with </w:t>
      </w:r>
      <w:r w:rsidR="00C3170E" w:rsidRPr="00774253">
        <w:rPr>
          <w:rFonts w:ascii="Arial" w:eastAsia="Times New Roman" w:hAnsi="Arial" w:cs="Arial"/>
          <w:kern w:val="0"/>
          <w:sz w:val="20"/>
          <w:szCs w:val="20"/>
          <w:highlight w:val="yellow"/>
          <w:lang w:eastAsia="en-IN"/>
          <w14:ligatures w14:val="none"/>
        </w:rPr>
        <w:t>bio accessibility</w:t>
      </w:r>
      <w:r w:rsidRPr="00BF4F13">
        <w:rPr>
          <w:rFonts w:ascii="Arial" w:eastAsia="Times New Roman" w:hAnsi="Arial" w:cs="Arial"/>
          <w:kern w:val="0"/>
          <w:sz w:val="20"/>
          <w:szCs w:val="20"/>
          <w:lang w:eastAsia="en-IN"/>
          <w14:ligatures w14:val="none"/>
        </w:rPr>
        <w:t xml:space="preserve"> and metabolite stability influenced by digestion and storage. Controlled lighting—especially spectral tuning and intensity management—emerges as a high-leverage tool for manipulating antioxidant profiles and visual quality. However, microgreens are commonly consumed raw and can be susceptible to microbial contamination and rapid quality decline, underscoring the need for integrated “farm-to-fork” safety and postharvest strategies. The review concludes by identifying research gaps in human clinical validation, standardization of production protocols, and whole-system sustainability trade-offs in indoor farming.</w:t>
      </w:r>
    </w:p>
    <w:p w14:paraId="1E88641D" w14:textId="0C52FB21" w:rsidR="002E440F" w:rsidRDefault="00BF4F13" w:rsidP="008038A9">
      <w:pPr>
        <w:spacing w:before="100" w:beforeAutospacing="1" w:after="100" w:afterAutospacing="1" w:line="240" w:lineRule="auto"/>
        <w:jc w:val="both"/>
        <w:rPr>
          <w:rFonts w:ascii="Arial" w:eastAsia="Times New Roman" w:hAnsi="Arial" w:cs="Arial"/>
          <w:b/>
          <w:bCs/>
          <w:kern w:val="0"/>
          <w:sz w:val="20"/>
          <w:szCs w:val="20"/>
          <w:lang w:eastAsia="en-IN"/>
          <w14:ligatures w14:val="none"/>
        </w:rPr>
      </w:pPr>
      <w:r w:rsidRPr="00BF4F13">
        <w:rPr>
          <w:rFonts w:ascii="Arial" w:eastAsia="Times New Roman" w:hAnsi="Arial" w:cs="Arial"/>
          <w:b/>
          <w:bCs/>
          <w:kern w:val="0"/>
          <w:sz w:val="20"/>
          <w:szCs w:val="20"/>
          <w:lang w:eastAsia="en-IN"/>
          <w14:ligatures w14:val="none"/>
        </w:rPr>
        <w:t>Keywords:</w:t>
      </w:r>
      <w:r w:rsidRPr="00BF4F13">
        <w:rPr>
          <w:rFonts w:ascii="Arial" w:eastAsia="Times New Roman" w:hAnsi="Arial" w:cs="Arial"/>
          <w:kern w:val="0"/>
          <w:sz w:val="20"/>
          <w:szCs w:val="20"/>
          <w:lang w:eastAsia="en-IN"/>
          <w14:ligatures w14:val="none"/>
        </w:rPr>
        <w:t xml:space="preserve"> </w:t>
      </w:r>
      <w:r w:rsidR="005C2098">
        <w:rPr>
          <w:rFonts w:ascii="Arial" w:eastAsia="Times New Roman" w:hAnsi="Arial" w:cs="Arial"/>
          <w:kern w:val="0"/>
          <w:sz w:val="20"/>
          <w:szCs w:val="20"/>
          <w:highlight w:val="yellow"/>
          <w:lang w:eastAsia="en-IN"/>
          <w14:ligatures w14:val="none"/>
        </w:rPr>
        <w:t>M</w:t>
      </w:r>
      <w:r w:rsidRPr="008038A9">
        <w:rPr>
          <w:rFonts w:ascii="Arial" w:eastAsia="Times New Roman" w:hAnsi="Arial" w:cs="Arial"/>
          <w:kern w:val="0"/>
          <w:sz w:val="20"/>
          <w:szCs w:val="20"/>
          <w:highlight w:val="yellow"/>
          <w:lang w:eastAsia="en-IN"/>
          <w14:ligatures w14:val="none"/>
        </w:rPr>
        <w:t xml:space="preserve">icrogreens; controlled-environment agriculture; phytochemicals; </w:t>
      </w:r>
      <w:proofErr w:type="spellStart"/>
      <w:r w:rsidRPr="008038A9">
        <w:rPr>
          <w:rFonts w:ascii="Arial" w:eastAsia="Times New Roman" w:hAnsi="Arial" w:cs="Arial"/>
          <w:kern w:val="0"/>
          <w:sz w:val="20"/>
          <w:szCs w:val="20"/>
          <w:highlight w:val="yellow"/>
          <w:lang w:eastAsia="en-IN"/>
          <w14:ligatures w14:val="none"/>
        </w:rPr>
        <w:t>glucosinolates</w:t>
      </w:r>
      <w:proofErr w:type="spellEnd"/>
      <w:r w:rsidRPr="008038A9">
        <w:rPr>
          <w:rFonts w:ascii="Arial" w:eastAsia="Times New Roman" w:hAnsi="Arial" w:cs="Arial"/>
          <w:kern w:val="0"/>
          <w:sz w:val="20"/>
          <w:szCs w:val="20"/>
          <w:highlight w:val="yellow"/>
          <w:lang w:eastAsia="en-IN"/>
          <w14:ligatures w14:val="none"/>
        </w:rPr>
        <w:t xml:space="preserve">; carotenoids; </w:t>
      </w:r>
      <w:proofErr w:type="spellStart"/>
      <w:r w:rsidRPr="008038A9">
        <w:rPr>
          <w:rFonts w:ascii="Arial" w:eastAsia="Times New Roman" w:hAnsi="Arial" w:cs="Arial"/>
          <w:kern w:val="0"/>
          <w:sz w:val="20"/>
          <w:szCs w:val="20"/>
          <w:highlight w:val="yellow"/>
          <w:lang w:eastAsia="en-IN"/>
          <w14:ligatures w14:val="none"/>
        </w:rPr>
        <w:t>bioaccessibility</w:t>
      </w:r>
      <w:proofErr w:type="spellEnd"/>
      <w:r w:rsidRPr="008038A9">
        <w:rPr>
          <w:rFonts w:ascii="Arial" w:eastAsia="Times New Roman" w:hAnsi="Arial" w:cs="Arial"/>
          <w:kern w:val="0"/>
          <w:sz w:val="20"/>
          <w:szCs w:val="20"/>
          <w:highlight w:val="yellow"/>
          <w:lang w:eastAsia="en-IN"/>
          <w14:ligatures w14:val="none"/>
        </w:rPr>
        <w:t>; sustainable cultivation</w:t>
      </w:r>
    </w:p>
    <w:p w14:paraId="69E9B384" w14:textId="34222F96" w:rsidR="00BF4F13" w:rsidRPr="00BF4F13" w:rsidRDefault="00BF4F13" w:rsidP="008038A9">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BF4F13">
        <w:rPr>
          <w:rFonts w:ascii="Arial" w:eastAsia="Times New Roman" w:hAnsi="Arial" w:cs="Arial"/>
          <w:b/>
          <w:bCs/>
          <w:kern w:val="0"/>
          <w:sz w:val="20"/>
          <w:szCs w:val="20"/>
          <w:lang w:eastAsia="en-IN"/>
          <w14:ligatures w14:val="none"/>
        </w:rPr>
        <w:t>1. Introduction</w:t>
      </w:r>
    </w:p>
    <w:p w14:paraId="3427B93D" w14:textId="77777777" w:rsidR="00BF4F13" w:rsidRPr="00BF4F13" w:rsidRDefault="00BF4F13" w:rsidP="008038A9">
      <w:pPr>
        <w:spacing w:before="100" w:beforeAutospacing="1" w:after="100" w:afterAutospacing="1" w:line="240" w:lineRule="auto"/>
        <w:jc w:val="both"/>
        <w:outlineLvl w:val="2"/>
        <w:rPr>
          <w:rFonts w:ascii="Arial" w:eastAsia="Times New Roman" w:hAnsi="Arial" w:cs="Arial"/>
          <w:b/>
          <w:bCs/>
          <w:kern w:val="0"/>
          <w:sz w:val="20"/>
          <w:szCs w:val="20"/>
          <w:lang w:eastAsia="en-IN"/>
          <w14:ligatures w14:val="none"/>
        </w:rPr>
      </w:pPr>
      <w:r w:rsidRPr="00BF4F13">
        <w:rPr>
          <w:rFonts w:ascii="Arial" w:eastAsia="Times New Roman" w:hAnsi="Arial" w:cs="Arial"/>
          <w:b/>
          <w:bCs/>
          <w:kern w:val="0"/>
          <w:sz w:val="20"/>
          <w:szCs w:val="20"/>
          <w:lang w:eastAsia="en-IN"/>
          <w14:ligatures w14:val="none"/>
        </w:rPr>
        <w:t>1.1. Microgreens as a distinct horticultural and nutritional category</w:t>
      </w:r>
    </w:p>
    <w:p w14:paraId="72FA26B5" w14:textId="5CD7C0D2" w:rsidR="00BF4F13" w:rsidRPr="00BF4F13" w:rsidRDefault="00140D31"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774253">
        <w:rPr>
          <w:rFonts w:ascii="Arial" w:hAnsi="Arial" w:cs="Arial"/>
          <w:color w:val="222222"/>
          <w:sz w:val="20"/>
          <w:szCs w:val="20"/>
          <w:highlight w:val="yellow"/>
          <w:shd w:val="clear" w:color="auto" w:fill="FFFFFF"/>
        </w:rPr>
        <w:t>Agriculture is key to achieving nutritional wellness, income generation, and sustainable livelihoods for millions. With growing consumer preferences for therapeutic, nutrient-dense, and low-calorie foods, new technologies are essential for producing these foods in greater quantities. Meanwhile, rapid urbanization and limited land access have increased the demand for low-calorie foods, like microgreens, among urban and peri-urban populations. Thus, farming methods that require minimal land, inputs, time, investment and yield nutrient-rich and profitable produce are needed for sustainable agriculture</w:t>
      </w:r>
      <w:r>
        <w:rPr>
          <w:rFonts w:ascii="Arial" w:hAnsi="Arial" w:cs="Arial"/>
          <w:color w:val="222222"/>
          <w:sz w:val="20"/>
          <w:szCs w:val="20"/>
          <w:highlight w:val="yellow"/>
          <w:shd w:val="clear" w:color="auto" w:fill="FFFFFF"/>
        </w:rPr>
        <w:t xml:space="preserve"> (</w:t>
      </w:r>
      <w:r w:rsidRPr="00B81F8D">
        <w:rPr>
          <w:rFonts w:ascii="inherit" w:eastAsia="Times New Roman" w:hAnsi="inherit" w:cs="Helvetica"/>
          <w:color w:val="222222"/>
          <w:kern w:val="0"/>
          <w:sz w:val="18"/>
          <w:szCs w:val="18"/>
          <w:highlight w:val="yellow"/>
          <w:lang w:val="en-US"/>
          <w14:ligatures w14:val="none"/>
        </w:rPr>
        <w:t>Seth</w:t>
      </w:r>
      <w:r>
        <w:rPr>
          <w:rFonts w:ascii="inherit" w:eastAsia="Times New Roman" w:hAnsi="inherit" w:cs="Helvetica"/>
          <w:color w:val="222222"/>
          <w:kern w:val="0"/>
          <w:sz w:val="18"/>
          <w:szCs w:val="18"/>
          <w:highlight w:val="yellow"/>
          <w:lang w:val="en-US"/>
          <w14:ligatures w14:val="none"/>
        </w:rPr>
        <w:t xml:space="preserve"> et al., 2025</w:t>
      </w:r>
      <w:r>
        <w:rPr>
          <w:rFonts w:ascii="Arial" w:hAnsi="Arial" w:cs="Arial"/>
          <w:color w:val="222222"/>
          <w:sz w:val="20"/>
          <w:szCs w:val="20"/>
          <w:highlight w:val="yellow"/>
          <w:shd w:val="clear" w:color="auto" w:fill="FFFFFF"/>
        </w:rPr>
        <w:t>)</w:t>
      </w:r>
      <w:r w:rsidRPr="00774253">
        <w:rPr>
          <w:rFonts w:ascii="Arial" w:eastAsia="Times New Roman" w:hAnsi="Arial" w:cs="Arial"/>
          <w:kern w:val="0"/>
          <w:sz w:val="20"/>
          <w:szCs w:val="20"/>
          <w:highlight w:val="yellow"/>
          <w:lang w:eastAsia="en-IN"/>
          <w14:ligatures w14:val="none"/>
        </w:rPr>
        <w:t>.</w:t>
      </w:r>
      <w:r>
        <w:rPr>
          <w:rFonts w:ascii="Arial" w:eastAsia="Times New Roman" w:hAnsi="Arial" w:cs="Arial"/>
          <w:kern w:val="0"/>
          <w:sz w:val="20"/>
          <w:szCs w:val="20"/>
          <w:lang w:eastAsia="en-IN"/>
          <w14:ligatures w14:val="none"/>
        </w:rPr>
        <w:t xml:space="preserve"> </w:t>
      </w:r>
      <w:r w:rsidR="00901F34">
        <w:rPr>
          <w:rFonts w:ascii="Arial" w:eastAsia="Times New Roman" w:hAnsi="Arial" w:cs="Arial"/>
          <w:kern w:val="0"/>
          <w:sz w:val="20"/>
          <w:szCs w:val="20"/>
          <w:lang w:eastAsia="en-IN"/>
          <w14:ligatures w14:val="none"/>
        </w:rPr>
        <w:t>M</w:t>
      </w:r>
      <w:r w:rsidR="00901F34" w:rsidRPr="00774253">
        <w:rPr>
          <w:rFonts w:ascii="Cambria" w:hAnsi="Cambria"/>
          <w:color w:val="1B1B1B"/>
          <w:szCs w:val="28"/>
          <w:highlight w:val="yellow"/>
          <w:shd w:val="clear" w:color="auto" w:fill="FFFFFF"/>
        </w:rPr>
        <w:t>icrogreens are attributed as functional foods which are rich in various phytochemicals and nutrients, which are likely to be expected to provide a certain solution to the occurrence of some chronic diseases, such as malnutrition, cardiovascular diseases, obesity, diabetes, cancer, neurodegenerative disorders, etc. This multifaceted but one-stop solution of consuming microgreens has attracted health professionals, nutritionists, researchers, and public persons to evaluate their efficiency in treating such disorders</w:t>
      </w:r>
      <w:r w:rsidR="00901F34">
        <w:rPr>
          <w:rFonts w:ascii="Cambria" w:hAnsi="Cambria"/>
          <w:color w:val="1B1B1B"/>
          <w:szCs w:val="28"/>
          <w:highlight w:val="yellow"/>
          <w:shd w:val="clear" w:color="auto" w:fill="FFFFFF"/>
        </w:rPr>
        <w:t xml:space="preserve"> (</w:t>
      </w:r>
      <w:proofErr w:type="spellStart"/>
      <w:r w:rsidR="00901F34" w:rsidRPr="00774253">
        <w:rPr>
          <w:rFonts w:ascii="Consolas" w:eastAsia="Times New Roman" w:hAnsi="Consolas" w:cs="Times New Roman"/>
          <w:kern w:val="0"/>
          <w:sz w:val="20"/>
          <w:szCs w:val="24"/>
          <w:highlight w:val="yellow"/>
          <w:lang w:val="en-US"/>
          <w14:ligatures w14:val="none"/>
        </w:rPr>
        <w:t>Bhaswant</w:t>
      </w:r>
      <w:proofErr w:type="spellEnd"/>
      <w:r w:rsidR="00901F34" w:rsidRPr="00774253">
        <w:rPr>
          <w:rFonts w:ascii="Consolas" w:eastAsia="Times New Roman" w:hAnsi="Consolas" w:cs="Times New Roman"/>
          <w:kern w:val="0"/>
          <w:sz w:val="20"/>
          <w:szCs w:val="24"/>
          <w:highlight w:val="yellow"/>
          <w:lang w:val="en-US"/>
          <w14:ligatures w14:val="none"/>
        </w:rPr>
        <w:t xml:space="preserve"> et al., 2023</w:t>
      </w:r>
      <w:r w:rsidR="00901F34">
        <w:rPr>
          <w:rFonts w:ascii="Cambria" w:hAnsi="Cambria"/>
          <w:color w:val="1B1B1B"/>
          <w:szCs w:val="28"/>
          <w:highlight w:val="yellow"/>
          <w:shd w:val="clear" w:color="auto" w:fill="FFFFFF"/>
        </w:rPr>
        <w:t>)</w:t>
      </w:r>
      <w:r w:rsidR="00901F34" w:rsidRPr="00774253">
        <w:rPr>
          <w:rFonts w:ascii="Cambria" w:hAnsi="Cambria"/>
          <w:color w:val="1B1B1B"/>
          <w:szCs w:val="28"/>
          <w:highlight w:val="yellow"/>
          <w:shd w:val="clear" w:color="auto" w:fill="FFFFFF"/>
        </w:rPr>
        <w:t>.</w:t>
      </w:r>
      <w:r w:rsidR="00901F34" w:rsidRPr="00774253">
        <w:rPr>
          <w:rFonts w:ascii="Cambria" w:hAnsi="Cambria"/>
          <w:color w:val="1B1B1B"/>
          <w:szCs w:val="28"/>
          <w:shd w:val="clear" w:color="auto" w:fill="FFFFFF"/>
        </w:rPr>
        <w:t> </w:t>
      </w:r>
      <w:r w:rsidR="00901F34" w:rsidRPr="00774253">
        <w:rPr>
          <w:rFonts w:ascii="Arial" w:eastAsia="Times New Roman" w:hAnsi="Arial" w:cs="Arial"/>
          <w:kern w:val="0"/>
          <w:sz w:val="16"/>
          <w:szCs w:val="20"/>
          <w:lang w:eastAsia="en-IN"/>
          <w14:ligatures w14:val="none"/>
        </w:rPr>
        <w:t xml:space="preserve"> </w:t>
      </w:r>
      <w:r w:rsidR="00BF4F13" w:rsidRPr="00BF4F13">
        <w:rPr>
          <w:rFonts w:ascii="Arial" w:eastAsia="Times New Roman" w:hAnsi="Arial" w:cs="Arial"/>
          <w:kern w:val="0"/>
          <w:sz w:val="20"/>
          <w:szCs w:val="20"/>
          <w:lang w:eastAsia="en-IN"/>
          <w14:ligatures w14:val="none"/>
        </w:rPr>
        <w:t>Microgreens are increasingly positioned at the intersection of horticultural innovation, functional food design, and urban food systems. They are generally harvested shortly after germination, once cotyledons are fully expanded and the first true leaf is emerging, and are consumed as tender, intact shoots. This developmental window differentiates microgreens from sprouts (typically consumed earlier, including the seed and radicle) and from baby-leaf vegetables (harvested later with larger leaf area and more developed tissues). The distinction is not merely semantic; it shapes safety risks, postharvest physiology, sensory attributes, and nutrient profiles that collectively determine their value proposition in modern diets and supply chains (</w:t>
      </w:r>
      <w:proofErr w:type="spellStart"/>
      <w:r w:rsidR="00BF4F13" w:rsidRPr="00BF4F13">
        <w:rPr>
          <w:rFonts w:ascii="Arial" w:eastAsia="Times New Roman" w:hAnsi="Arial" w:cs="Arial"/>
          <w:kern w:val="0"/>
          <w:sz w:val="20"/>
          <w:szCs w:val="20"/>
          <w:lang w:eastAsia="en-IN"/>
          <w14:ligatures w14:val="none"/>
        </w:rPr>
        <w:t>Kyriacou</w:t>
      </w:r>
      <w:proofErr w:type="spellEnd"/>
      <w:r w:rsidR="00BF4F13" w:rsidRPr="00BF4F13">
        <w:rPr>
          <w:rFonts w:ascii="Arial" w:eastAsia="Times New Roman" w:hAnsi="Arial" w:cs="Arial"/>
          <w:kern w:val="0"/>
          <w:sz w:val="20"/>
          <w:szCs w:val="20"/>
          <w:lang w:eastAsia="en-IN"/>
          <w14:ligatures w14:val="none"/>
        </w:rPr>
        <w:t xml:space="preserve"> et al., 2016; Riggio et al., 2019; Turner et al., 2020). As a category, microgreens are marketed as “tiny crops with mighty benefits,” yet the scientific basis for such claims depends on clarifying what microgreens are, how they differ from adjacent products, and why their biochemical composition can diverge substantially from mature vegetables.</w:t>
      </w:r>
      <w:r w:rsidR="00025CCD">
        <w:rPr>
          <w:rFonts w:ascii="Arial" w:eastAsia="Times New Roman" w:hAnsi="Arial" w:cs="Arial"/>
          <w:kern w:val="0"/>
          <w:sz w:val="20"/>
          <w:szCs w:val="20"/>
          <w:lang w:eastAsia="en-IN"/>
          <w14:ligatures w14:val="none"/>
        </w:rPr>
        <w:t xml:space="preserve"> </w:t>
      </w:r>
      <w:r w:rsidR="00025CCD" w:rsidRPr="00774253">
        <w:rPr>
          <w:rFonts w:ascii="Georgia" w:hAnsi="Georgia"/>
          <w:color w:val="1F1F1F"/>
          <w:highlight w:val="yellow"/>
        </w:rPr>
        <w:t xml:space="preserve">Environmental risks may occur through inadvertent </w:t>
      </w:r>
      <w:r w:rsidR="00025CCD" w:rsidRPr="00774253">
        <w:rPr>
          <w:rFonts w:ascii="Georgia" w:hAnsi="Georgia"/>
          <w:color w:val="1F1F1F"/>
          <w:highlight w:val="yellow"/>
        </w:rPr>
        <w:lastRenderedPageBreak/>
        <w:t>pollution (e.g., light pollution, nutrient leaching or runoff) which can have negative environmental impacts. Light pollution is of particular concern given that most microgreens are grown in controlled environments where supplemental lighting is provided</w:t>
      </w:r>
      <w:r w:rsidR="00025CCD" w:rsidRPr="00D90C3C">
        <w:rPr>
          <w:rFonts w:ascii="Georgia" w:hAnsi="Georgia"/>
          <w:color w:val="1F1F1F"/>
          <w:highlight w:val="yellow"/>
        </w:rPr>
        <w:t xml:space="preserve"> (</w:t>
      </w:r>
      <w:proofErr w:type="spellStart"/>
      <w:r w:rsidR="00025CCD" w:rsidRPr="00774253">
        <w:rPr>
          <w:rFonts w:ascii="Arial" w:hAnsi="Arial" w:cs="Arial"/>
          <w:color w:val="222222"/>
          <w:sz w:val="18"/>
          <w:szCs w:val="20"/>
          <w:highlight w:val="yellow"/>
          <w:shd w:val="clear" w:color="auto" w:fill="FFFFFF"/>
        </w:rPr>
        <w:t>Rihn</w:t>
      </w:r>
      <w:proofErr w:type="spellEnd"/>
      <w:r w:rsidR="00025CCD" w:rsidRPr="00774253">
        <w:rPr>
          <w:rFonts w:ascii="Arial" w:hAnsi="Arial" w:cs="Arial"/>
          <w:color w:val="222222"/>
          <w:sz w:val="18"/>
          <w:szCs w:val="20"/>
          <w:highlight w:val="yellow"/>
          <w:shd w:val="clear" w:color="auto" w:fill="FFFFFF"/>
        </w:rPr>
        <w:t xml:space="preserve"> et al., 2025</w:t>
      </w:r>
      <w:r w:rsidR="00025CCD" w:rsidRPr="00D90C3C">
        <w:rPr>
          <w:rFonts w:ascii="Georgia" w:hAnsi="Georgia"/>
          <w:color w:val="1F1F1F"/>
          <w:highlight w:val="yellow"/>
        </w:rPr>
        <w:t>)</w:t>
      </w:r>
    </w:p>
    <w:p w14:paraId="01ABEDE3" w14:textId="77777777"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 xml:space="preserve">A defining feature of microgreens is that they represent a transient developmental stage characterized by rapid metabolic reprogramming, high respiration rates, and dynamic accumulation of pigments, antioxidants, and secondary metabolites. This biological state contributes to the intense </w:t>
      </w:r>
      <w:proofErr w:type="spellStart"/>
      <w:r w:rsidRPr="00BF4F13">
        <w:rPr>
          <w:rFonts w:ascii="Arial" w:eastAsia="Times New Roman" w:hAnsi="Arial" w:cs="Arial"/>
          <w:kern w:val="0"/>
          <w:sz w:val="20"/>
          <w:szCs w:val="20"/>
          <w:lang w:eastAsia="en-IN"/>
          <w14:ligatures w14:val="none"/>
        </w:rPr>
        <w:t>flavors</w:t>
      </w:r>
      <w:proofErr w:type="spellEnd"/>
      <w:r w:rsidRPr="00BF4F13">
        <w:rPr>
          <w:rFonts w:ascii="Arial" w:eastAsia="Times New Roman" w:hAnsi="Arial" w:cs="Arial"/>
          <w:kern w:val="0"/>
          <w:sz w:val="20"/>
          <w:szCs w:val="20"/>
          <w:lang w:eastAsia="en-IN"/>
          <w14:ligatures w14:val="none"/>
        </w:rPr>
        <w:t xml:space="preserve"> and vivid </w:t>
      </w:r>
      <w:proofErr w:type="spellStart"/>
      <w:r w:rsidRPr="00BF4F13">
        <w:rPr>
          <w:rFonts w:ascii="Arial" w:eastAsia="Times New Roman" w:hAnsi="Arial" w:cs="Arial"/>
          <w:kern w:val="0"/>
          <w:sz w:val="20"/>
          <w:szCs w:val="20"/>
          <w:lang w:eastAsia="en-IN"/>
          <w14:ligatures w14:val="none"/>
        </w:rPr>
        <w:t>colors</w:t>
      </w:r>
      <w:proofErr w:type="spellEnd"/>
      <w:r w:rsidRPr="00BF4F13">
        <w:rPr>
          <w:rFonts w:ascii="Arial" w:eastAsia="Times New Roman" w:hAnsi="Arial" w:cs="Arial"/>
          <w:kern w:val="0"/>
          <w:sz w:val="20"/>
          <w:szCs w:val="20"/>
          <w:lang w:eastAsia="en-IN"/>
          <w14:ligatures w14:val="none"/>
        </w:rPr>
        <w:t xml:space="preserve"> that make microgreens attractive for culinary and consumer-facing applications, but it also underpins their perishability and variable nutrient retention during storage (Turner et al., 2020). Accordingly, microgreens are often treated analytically as a “fresh-cut-like” commodity, with quality and safety challenges resembling those of minimally processed leafy greens while simultaneously retaining the production logic of short-cycle seedlings (</w:t>
      </w:r>
      <w:proofErr w:type="spellStart"/>
      <w:r w:rsidRPr="00BF4F13">
        <w:rPr>
          <w:rFonts w:ascii="Arial" w:eastAsia="Times New Roman" w:hAnsi="Arial" w:cs="Arial"/>
          <w:kern w:val="0"/>
          <w:sz w:val="20"/>
          <w:szCs w:val="20"/>
          <w:lang w:eastAsia="en-IN"/>
          <w14:ligatures w14:val="none"/>
        </w:rPr>
        <w:t>Kyriacou</w:t>
      </w:r>
      <w:proofErr w:type="spellEnd"/>
      <w:r w:rsidRPr="00BF4F13">
        <w:rPr>
          <w:rFonts w:ascii="Arial" w:eastAsia="Times New Roman" w:hAnsi="Arial" w:cs="Arial"/>
          <w:kern w:val="0"/>
          <w:sz w:val="20"/>
          <w:szCs w:val="20"/>
          <w:lang w:eastAsia="en-IN"/>
          <w14:ligatures w14:val="none"/>
        </w:rPr>
        <w:t xml:space="preserve"> et al., 2016; Riggio et al., 2019). This duality—seedling physiology paired with ready-to-eat consumption—helps explain why microgreens have become a focal point for both nutrition-oriented research and controlled-environment agriculture (CEA) technology development.</w:t>
      </w:r>
    </w:p>
    <w:p w14:paraId="3BD1C1F5" w14:textId="77777777" w:rsidR="00BF4F13" w:rsidRPr="00BF4F13" w:rsidRDefault="00BF4F13" w:rsidP="008038A9">
      <w:pPr>
        <w:spacing w:before="100" w:beforeAutospacing="1" w:after="100" w:afterAutospacing="1" w:line="240" w:lineRule="auto"/>
        <w:jc w:val="both"/>
        <w:outlineLvl w:val="2"/>
        <w:rPr>
          <w:rFonts w:ascii="Arial" w:eastAsia="Times New Roman" w:hAnsi="Arial" w:cs="Arial"/>
          <w:b/>
          <w:bCs/>
          <w:kern w:val="0"/>
          <w:sz w:val="20"/>
          <w:szCs w:val="20"/>
          <w:lang w:eastAsia="en-IN"/>
          <w14:ligatures w14:val="none"/>
        </w:rPr>
      </w:pPr>
      <w:r w:rsidRPr="00BF4F13">
        <w:rPr>
          <w:rFonts w:ascii="Arial" w:eastAsia="Times New Roman" w:hAnsi="Arial" w:cs="Arial"/>
          <w:b/>
          <w:bCs/>
          <w:kern w:val="0"/>
          <w:sz w:val="20"/>
          <w:szCs w:val="20"/>
          <w:lang w:eastAsia="en-IN"/>
          <w14:ligatures w14:val="none"/>
        </w:rPr>
        <w:t>1.2. Drivers of scientific and commercial interest: health potential, sensory appeal, and CEA compatibility</w:t>
      </w:r>
    </w:p>
    <w:p w14:paraId="790A9916" w14:textId="77777777"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A major driver of microgreen research is the possibility of delivering nutrient-dense plant foods in small serving sizes, potentially supporting dietary strategies that target micronutrient adequacy and bioactive compound intake. Reviews and comparative profiling studies consistently emphasize that microgreens can contain appreciable concentrations of vitamins, minerals, carotenoids, phenolics, and other phytochemicals, though the magnitude and direction of differences versus mature leaves depend strongly on species, cultivar, and growing conditions (</w:t>
      </w:r>
      <w:proofErr w:type="spellStart"/>
      <w:r w:rsidRPr="00BF4F13">
        <w:rPr>
          <w:rFonts w:ascii="Arial" w:eastAsia="Times New Roman" w:hAnsi="Arial" w:cs="Arial"/>
          <w:kern w:val="0"/>
          <w:sz w:val="20"/>
          <w:szCs w:val="20"/>
          <w:lang w:eastAsia="en-IN"/>
          <w14:ligatures w14:val="none"/>
        </w:rPr>
        <w:t>Ghoora</w:t>
      </w:r>
      <w:proofErr w:type="spellEnd"/>
      <w:r w:rsidRPr="00BF4F13">
        <w:rPr>
          <w:rFonts w:ascii="Arial" w:eastAsia="Times New Roman" w:hAnsi="Arial" w:cs="Arial"/>
          <w:kern w:val="0"/>
          <w:sz w:val="20"/>
          <w:szCs w:val="20"/>
          <w:lang w:eastAsia="en-IN"/>
          <w14:ligatures w14:val="none"/>
        </w:rPr>
        <w:t xml:space="preserve"> et al., 2020; Xiao et al., 2019; Zhang et al., 2021). From a public health framing, the appeal lies in pairing palatability with nutrient density: microgreens can provide intense sensory attributes that may facilitate vegetable inclusion in meals, while their phytochemical richness has motivated hypotheses around antioxidant and anti-inflammatory relevance in dietary patterns (Zhang et al., 2021). However, translating compositional promise into demonstrated health benefit requires careful separation of “nutrient presence” from “</w:t>
      </w:r>
      <w:proofErr w:type="spellStart"/>
      <w:r w:rsidRPr="00BF4F13">
        <w:rPr>
          <w:rFonts w:ascii="Arial" w:eastAsia="Times New Roman" w:hAnsi="Arial" w:cs="Arial"/>
          <w:kern w:val="0"/>
          <w:sz w:val="20"/>
          <w:szCs w:val="20"/>
          <w:lang w:eastAsia="en-IN"/>
          <w14:ligatures w14:val="none"/>
        </w:rPr>
        <w:t>bioaccessibility</w:t>
      </w:r>
      <w:proofErr w:type="spellEnd"/>
      <w:r w:rsidRPr="00BF4F13">
        <w:rPr>
          <w:rFonts w:ascii="Arial" w:eastAsia="Times New Roman" w:hAnsi="Arial" w:cs="Arial"/>
          <w:kern w:val="0"/>
          <w:sz w:val="20"/>
          <w:szCs w:val="20"/>
          <w:lang w:eastAsia="en-IN"/>
          <w14:ligatures w14:val="none"/>
        </w:rPr>
        <w:t>, bioavailability, and physiological effect,” which remain unevenly characterized across microgreen taxa and consumption contexts.</w:t>
      </w:r>
    </w:p>
    <w:p w14:paraId="269FE3F8" w14:textId="13042F5D" w:rsidR="00BF4F13" w:rsidRPr="00BF4F13" w:rsidRDefault="004A3668"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2E440F">
        <w:rPr>
          <w:rFonts w:ascii="Arial" w:eastAsia="Times New Roman" w:hAnsi="Arial" w:cs="Arial"/>
          <w:kern w:val="0"/>
          <w:sz w:val="20"/>
          <w:szCs w:val="20"/>
          <w:lang w:eastAsia="en-IN"/>
          <w14:ligatures w14:val="none"/>
        </w:rPr>
        <w:t xml:space="preserve">In urban agriculture contexts, microgreens are increasingly promoted for nutrient density and rapid turnover, yet adoption is frequently constrained by short shelf life and the costs and complexities of controlled-environment systems (Singh et al., 2025). </w:t>
      </w:r>
      <w:r w:rsidR="00BF4F13" w:rsidRPr="00BF4F13">
        <w:rPr>
          <w:rFonts w:ascii="Arial" w:eastAsia="Times New Roman" w:hAnsi="Arial" w:cs="Arial"/>
          <w:kern w:val="0"/>
          <w:sz w:val="20"/>
          <w:szCs w:val="20"/>
          <w:lang w:eastAsia="en-IN"/>
          <w14:ligatures w14:val="none"/>
        </w:rPr>
        <w:t>Microgreens align strongly with the expansion of CEA and indoor vertical farming, especially in urban regions seeking localized production, year-round supply, and reduced transport times. Their short production cycle, compact canopy, and high market value per unit mass make them attractive candidates for indoor systems where lighting, temperature, humidity, and nutrient delivery can be optimized (</w:t>
      </w:r>
      <w:proofErr w:type="spellStart"/>
      <w:r w:rsidR="00BF4F13" w:rsidRPr="00BF4F13">
        <w:rPr>
          <w:rFonts w:ascii="Arial" w:eastAsia="Times New Roman" w:hAnsi="Arial" w:cs="Arial"/>
          <w:kern w:val="0"/>
          <w:sz w:val="20"/>
          <w:szCs w:val="20"/>
          <w:lang w:eastAsia="en-IN"/>
          <w14:ligatures w14:val="none"/>
        </w:rPr>
        <w:t>Kyriacou</w:t>
      </w:r>
      <w:proofErr w:type="spellEnd"/>
      <w:r w:rsidR="00BF4F13" w:rsidRPr="00BF4F13">
        <w:rPr>
          <w:rFonts w:ascii="Arial" w:eastAsia="Times New Roman" w:hAnsi="Arial" w:cs="Arial"/>
          <w:kern w:val="0"/>
          <w:sz w:val="20"/>
          <w:szCs w:val="20"/>
          <w:lang w:eastAsia="en-IN"/>
          <w14:ligatures w14:val="none"/>
        </w:rPr>
        <w:t xml:space="preserve"> et al., 2016; Parkes et al., 2023). Yet, this compatibility comes with trade-offs. The energy intensity of indoor production—particularly electricity demands for lighting and climate control—can substantially influence environmental performance, meaning that “efficient cultivation” is inseparable from management choices and local energy mixes (Parkes et al., 2023). Thus, microgreens have emerged as a model crop for evaluating how operational decisions in indoor farms shape yield, product quality, and sustainability outcomes.</w:t>
      </w:r>
      <w:r w:rsidRPr="002E440F">
        <w:rPr>
          <w:rFonts w:ascii="Arial" w:eastAsia="Times New Roman" w:hAnsi="Arial" w:cs="Arial"/>
          <w:kern w:val="0"/>
          <w:sz w:val="20"/>
          <w:szCs w:val="20"/>
          <w:lang w:eastAsia="en-IN"/>
          <w14:ligatures w14:val="none"/>
        </w:rPr>
        <w:t xml:space="preserve"> </w:t>
      </w:r>
    </w:p>
    <w:p w14:paraId="5EF9680D" w14:textId="77777777"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 xml:space="preserve">Within CEA, light is among the most powerful and controllable drivers of microgreen phenotype and phytochemical composition. Evidence synthesized across sprouts and microgreens indicates that light spectrum, intensity, and photoperiod can modulate antioxidant capacity, pigment accumulation, and nutrient-related metabolites, with responses varying by species and developmental stage (Zhang et al., 2020). More targeted work shows that altering the proportion of blue light can shift microgreen phytochemical profiles in species-specific ways, influencing compounds such as chlorophylls, carotenoids, ascorbates, phenolics, and anthocyanins (Ying et al., 2021). This controllability helps explain why microgreens are frequently framed not only as a crop but also as a platform for “nutritional tailoring,” where cultivation parameters are leveraged to steer compositional outcomes (Zhang et al., 2020; Ying et al., 2021). At the same time, the very sensitivity that enables tailoring also creates reproducibility challenges: results from one species or cultivar under a particular lighting </w:t>
      </w:r>
      <w:r w:rsidRPr="00BF4F13">
        <w:rPr>
          <w:rFonts w:ascii="Arial" w:eastAsia="Times New Roman" w:hAnsi="Arial" w:cs="Arial"/>
          <w:kern w:val="0"/>
          <w:sz w:val="20"/>
          <w:szCs w:val="20"/>
          <w:lang w:eastAsia="en-IN"/>
          <w14:ligatures w14:val="none"/>
        </w:rPr>
        <w:lastRenderedPageBreak/>
        <w:t>regime may not generalize, underscoring the need for standardized reporting and mechanistic understanding.</w:t>
      </w:r>
    </w:p>
    <w:p w14:paraId="21199517" w14:textId="77777777" w:rsidR="00BF4F13" w:rsidRPr="00BF4F13" w:rsidRDefault="00BF4F13" w:rsidP="008038A9">
      <w:pPr>
        <w:spacing w:before="100" w:beforeAutospacing="1" w:after="100" w:afterAutospacing="1" w:line="240" w:lineRule="auto"/>
        <w:jc w:val="both"/>
        <w:outlineLvl w:val="2"/>
        <w:rPr>
          <w:rFonts w:ascii="Arial" w:eastAsia="Times New Roman" w:hAnsi="Arial" w:cs="Arial"/>
          <w:b/>
          <w:bCs/>
          <w:kern w:val="0"/>
          <w:sz w:val="20"/>
          <w:szCs w:val="20"/>
          <w:lang w:eastAsia="en-IN"/>
          <w14:ligatures w14:val="none"/>
        </w:rPr>
      </w:pPr>
      <w:r w:rsidRPr="00BF4F13">
        <w:rPr>
          <w:rFonts w:ascii="Arial" w:eastAsia="Times New Roman" w:hAnsi="Arial" w:cs="Arial"/>
          <w:b/>
          <w:bCs/>
          <w:kern w:val="0"/>
          <w:sz w:val="20"/>
          <w:szCs w:val="20"/>
          <w:lang w:eastAsia="en-IN"/>
          <w14:ligatures w14:val="none"/>
        </w:rPr>
        <w:t>1.3. Key challenges shaping research priorities: variability, safety, postharvest losses, and evidence gaps</w:t>
      </w:r>
    </w:p>
    <w:p w14:paraId="6D794914" w14:textId="77777777"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Despite rapid growth in popularity, microgreens present persistent challenges that constrain both scientific interpretation and commercial scaling. A core scientific issue is compositional variability. Nutrient and phytochemical concentrations can differ markedly across species and even among cultivars within the same botanical family, reflecting genetic diversity and strong genotype × environment interactions (</w:t>
      </w:r>
      <w:proofErr w:type="spellStart"/>
      <w:r w:rsidRPr="00BF4F13">
        <w:rPr>
          <w:rFonts w:ascii="Arial" w:eastAsia="Times New Roman" w:hAnsi="Arial" w:cs="Arial"/>
          <w:kern w:val="0"/>
          <w:sz w:val="20"/>
          <w:szCs w:val="20"/>
          <w:lang w:eastAsia="en-IN"/>
          <w14:ligatures w14:val="none"/>
        </w:rPr>
        <w:t>Ghoora</w:t>
      </w:r>
      <w:proofErr w:type="spellEnd"/>
      <w:r w:rsidRPr="00BF4F13">
        <w:rPr>
          <w:rFonts w:ascii="Arial" w:eastAsia="Times New Roman" w:hAnsi="Arial" w:cs="Arial"/>
          <w:kern w:val="0"/>
          <w:sz w:val="20"/>
          <w:szCs w:val="20"/>
          <w:lang w:eastAsia="en-IN"/>
          <w14:ligatures w14:val="none"/>
        </w:rPr>
        <w:t xml:space="preserve"> et al., 2020; Xiao et al., 2019). Such variability complicates the creation of universal “health benefit” narratives and calls for more robust comparative frameworks that consider cultivar identity, production inputs, harvest timing, and analytical methodology. Reviews that aggregate findings across studies have repeatedly highlighted that microgreen research is heterogeneous in design and reporting, making cross-study synthesis and practical translation more difficult than the popularity of microgreens might imply (</w:t>
      </w:r>
      <w:proofErr w:type="spellStart"/>
      <w:r w:rsidRPr="00BF4F13">
        <w:rPr>
          <w:rFonts w:ascii="Arial" w:eastAsia="Times New Roman" w:hAnsi="Arial" w:cs="Arial"/>
          <w:kern w:val="0"/>
          <w:sz w:val="20"/>
          <w:szCs w:val="20"/>
          <w:lang w:eastAsia="en-IN"/>
          <w14:ligatures w14:val="none"/>
        </w:rPr>
        <w:t>Kyriacou</w:t>
      </w:r>
      <w:proofErr w:type="spellEnd"/>
      <w:r w:rsidRPr="00BF4F13">
        <w:rPr>
          <w:rFonts w:ascii="Arial" w:eastAsia="Times New Roman" w:hAnsi="Arial" w:cs="Arial"/>
          <w:kern w:val="0"/>
          <w:sz w:val="20"/>
          <w:szCs w:val="20"/>
          <w:lang w:eastAsia="en-IN"/>
          <w14:ligatures w14:val="none"/>
        </w:rPr>
        <w:t xml:space="preserve"> et al., 2016; Turner et al., 2020; Zhang et al., 2021).</w:t>
      </w:r>
    </w:p>
    <w:p w14:paraId="60F5672B" w14:textId="77777777"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Food safety is another defining constraint, especially because microgreens are commonly consumed raw. While microgreens have not historically been linked to outbreaks to the same extent as sprouts, their production shares seed-based risks and moisture-rich environments that can enable pathogen survival or transfer if contamination occurs (Riggio et al., 2019). The farm-to-fork continuum for microgreens includes seed sourcing and sanitation, substrate and water management, worker hygiene, harvest handling, and packaging—each representing potential control points or vulnerabilities (Riggio et al., 2019; Turner et al., 2020). Importantly, microgreens’ perceived “clean” or “fresh” image may mask the reality that safety assurance depends on preventive controls and validated protocols rather than on product category alone.</w:t>
      </w:r>
    </w:p>
    <w:p w14:paraId="4183D3D5" w14:textId="77777777"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Postharvest quality loss is especially acute because microgreens are physiologically active tissues with limited shelf life. Even when initial nutrient concentrations are high, retention during storage is not guaranteed; respiration, enzymatic activity, and oxidative processes can alter phytochemical profiles rapidly (Turner et al., 2020). Recent work using metabolomics and in vitro digestion approaches further emphasizes that the functional value of microgreens is shaped not only by what is present at harvest but also by how compounds change during storage and how they behave during simulated gastrointestinal digestion (</w:t>
      </w:r>
      <w:proofErr w:type="spellStart"/>
      <w:r w:rsidRPr="00BF4F13">
        <w:rPr>
          <w:rFonts w:ascii="Arial" w:eastAsia="Times New Roman" w:hAnsi="Arial" w:cs="Arial"/>
          <w:kern w:val="0"/>
          <w:sz w:val="20"/>
          <w:szCs w:val="20"/>
          <w:lang w:eastAsia="en-IN"/>
          <w14:ligatures w14:val="none"/>
        </w:rPr>
        <w:t>Rocchetti</w:t>
      </w:r>
      <w:proofErr w:type="spellEnd"/>
      <w:r w:rsidRPr="00BF4F13">
        <w:rPr>
          <w:rFonts w:ascii="Arial" w:eastAsia="Times New Roman" w:hAnsi="Arial" w:cs="Arial"/>
          <w:kern w:val="0"/>
          <w:sz w:val="20"/>
          <w:szCs w:val="20"/>
          <w:lang w:eastAsia="en-IN"/>
          <w14:ligatures w14:val="none"/>
        </w:rPr>
        <w:t xml:space="preserve"> et al., 2020; Tomas et al., 2021). These findings reinforce a central methodological point for health-oriented claims: compositional measurements alone are insufficient without considering processing, storage, and digestion-related transformations that influence what consumers may actually absorb and utilize.</w:t>
      </w:r>
    </w:p>
    <w:p w14:paraId="79626BD7" w14:textId="77777777"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 xml:space="preserve">Finally, sustainability and “efficiency” claims require careful definition. In CEA, efficiency can refer to yield per unit area, water use, </w:t>
      </w:r>
      <w:proofErr w:type="spellStart"/>
      <w:r w:rsidRPr="00BF4F13">
        <w:rPr>
          <w:rFonts w:ascii="Arial" w:eastAsia="Times New Roman" w:hAnsi="Arial" w:cs="Arial"/>
          <w:kern w:val="0"/>
          <w:sz w:val="20"/>
          <w:szCs w:val="20"/>
          <w:lang w:eastAsia="en-IN"/>
          <w14:ligatures w14:val="none"/>
        </w:rPr>
        <w:t>labor</w:t>
      </w:r>
      <w:proofErr w:type="spellEnd"/>
      <w:r w:rsidRPr="00BF4F13">
        <w:rPr>
          <w:rFonts w:ascii="Arial" w:eastAsia="Times New Roman" w:hAnsi="Arial" w:cs="Arial"/>
          <w:kern w:val="0"/>
          <w:sz w:val="20"/>
          <w:szCs w:val="20"/>
          <w:lang w:eastAsia="en-IN"/>
          <w14:ligatures w14:val="none"/>
        </w:rPr>
        <w:t xml:space="preserve"> productivity, nutrient-use efficiency, or environmental impacts per kilogram of product. Life cycle assessment evidence indicates that indoor vertical farming outcomes are highly sensitive to operational choices, highlighting that microgreens can be produced with widely varying environmental footprints depending on management and system configuration (Parkes et al., 2023). Therefore, research that couples cultivation practices with environmental performance metrics is essential for substantiating sustainability narratives and for guiding best practices across contexts.</w:t>
      </w:r>
    </w:p>
    <w:p w14:paraId="4FD012A9" w14:textId="77777777" w:rsidR="00BF4F13" w:rsidRPr="00BF4F13" w:rsidRDefault="00BF4F13" w:rsidP="008038A9">
      <w:pPr>
        <w:spacing w:before="100" w:beforeAutospacing="1" w:after="100" w:afterAutospacing="1" w:line="240" w:lineRule="auto"/>
        <w:jc w:val="both"/>
        <w:outlineLvl w:val="2"/>
        <w:rPr>
          <w:rFonts w:ascii="Arial" w:eastAsia="Times New Roman" w:hAnsi="Arial" w:cs="Arial"/>
          <w:b/>
          <w:bCs/>
          <w:kern w:val="0"/>
          <w:sz w:val="20"/>
          <w:szCs w:val="20"/>
          <w:lang w:eastAsia="en-IN"/>
          <w14:ligatures w14:val="none"/>
        </w:rPr>
      </w:pPr>
      <w:r w:rsidRPr="00BF4F13">
        <w:rPr>
          <w:rFonts w:ascii="Arial" w:eastAsia="Times New Roman" w:hAnsi="Arial" w:cs="Arial"/>
          <w:b/>
          <w:bCs/>
          <w:kern w:val="0"/>
          <w:sz w:val="20"/>
          <w:szCs w:val="20"/>
          <w:lang w:eastAsia="en-IN"/>
          <w14:ligatures w14:val="none"/>
        </w:rPr>
        <w:t>1.4. Scope and objective of this review</w:t>
      </w:r>
    </w:p>
    <w:p w14:paraId="113E11E1" w14:textId="71755F1C"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This review focuses on microgreens as a rapidly evolving food category with dual relevance to human nutrition and controlled-environment production. The scope encompasses (</w:t>
      </w:r>
      <w:proofErr w:type="spellStart"/>
      <w:r w:rsidRPr="00BF4F13">
        <w:rPr>
          <w:rFonts w:ascii="Arial" w:eastAsia="Times New Roman" w:hAnsi="Arial" w:cs="Arial"/>
          <w:kern w:val="0"/>
          <w:sz w:val="20"/>
          <w:szCs w:val="20"/>
          <w:lang w:eastAsia="en-IN"/>
          <w14:ligatures w14:val="none"/>
        </w:rPr>
        <w:t>i</w:t>
      </w:r>
      <w:proofErr w:type="spellEnd"/>
      <w:r w:rsidRPr="00BF4F13">
        <w:rPr>
          <w:rFonts w:ascii="Arial" w:eastAsia="Times New Roman" w:hAnsi="Arial" w:cs="Arial"/>
          <w:kern w:val="0"/>
          <w:sz w:val="20"/>
          <w:szCs w:val="20"/>
          <w:lang w:eastAsia="en-IN"/>
          <w14:ligatures w14:val="none"/>
        </w:rPr>
        <w:t xml:space="preserve">) the biological and compositional foundations that underpin claims of nutrient density and functional value, (ii) the major determinants of microgreen quality, including genotype selection and controllable environmental factors—especially lighting in indoor systems, (iii) key postharvest and safety considerations that shape real-world health impact and marketability, and (iv) efficiency-oriented cultivation practices viewed through both productivity and sustainability lenses. The objective is to synthesize recent peer-reviewed evidence into an integrated perspective that clarifies what is robustly supported, where variability and methodological gaps limit generalization, and which research directions are most likely </w:t>
      </w:r>
      <w:r w:rsidRPr="00BF4F13">
        <w:rPr>
          <w:rFonts w:ascii="Arial" w:eastAsia="Times New Roman" w:hAnsi="Arial" w:cs="Arial"/>
          <w:kern w:val="0"/>
          <w:sz w:val="20"/>
          <w:szCs w:val="20"/>
          <w:lang w:eastAsia="en-IN"/>
          <w14:ligatures w14:val="none"/>
        </w:rPr>
        <w:lastRenderedPageBreak/>
        <w:t>to strengthen the scientific basis for microgreens as “tiny crops with mighty health benefits” produced through efficient, safe, and sustainable practices.</w:t>
      </w:r>
    </w:p>
    <w:p w14:paraId="1540A781" w14:textId="77777777" w:rsidR="00BF4F13" w:rsidRPr="00BF4F13" w:rsidRDefault="00BF4F13" w:rsidP="008038A9">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BF4F13">
        <w:rPr>
          <w:rFonts w:ascii="Arial" w:eastAsia="Times New Roman" w:hAnsi="Arial" w:cs="Arial"/>
          <w:b/>
          <w:bCs/>
          <w:kern w:val="0"/>
          <w:sz w:val="20"/>
          <w:szCs w:val="20"/>
          <w:lang w:eastAsia="en-IN"/>
          <w14:ligatures w14:val="none"/>
        </w:rPr>
        <w:t>2. Methods for literature selection</w:t>
      </w:r>
    </w:p>
    <w:p w14:paraId="6C66AD44" w14:textId="77777777"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A focused literature search was conducted using Scopus, Web of Science Core Collection, PubMed, and Google Scholar. Search strings combined terms such as “microgreens” AND (“nutrition” OR “phytochemical” OR “</w:t>
      </w:r>
      <w:proofErr w:type="spellStart"/>
      <w:r w:rsidRPr="00BF4F13">
        <w:rPr>
          <w:rFonts w:ascii="Arial" w:eastAsia="Times New Roman" w:hAnsi="Arial" w:cs="Arial"/>
          <w:kern w:val="0"/>
          <w:sz w:val="20"/>
          <w:szCs w:val="20"/>
          <w:lang w:eastAsia="en-IN"/>
          <w14:ligatures w14:val="none"/>
        </w:rPr>
        <w:t>glucosinolate</w:t>
      </w:r>
      <w:proofErr w:type="spellEnd"/>
      <w:r w:rsidRPr="00BF4F13">
        <w:rPr>
          <w:rFonts w:ascii="Arial" w:eastAsia="Times New Roman" w:hAnsi="Arial" w:cs="Arial"/>
          <w:kern w:val="0"/>
          <w:sz w:val="20"/>
          <w:szCs w:val="20"/>
          <w:lang w:eastAsia="en-IN"/>
          <w14:ligatures w14:val="none"/>
        </w:rPr>
        <w:t>” OR “carotenoid” OR “phenolic” OR “</w:t>
      </w:r>
      <w:proofErr w:type="spellStart"/>
      <w:r w:rsidRPr="00BF4F13">
        <w:rPr>
          <w:rFonts w:ascii="Arial" w:eastAsia="Times New Roman" w:hAnsi="Arial" w:cs="Arial"/>
          <w:kern w:val="0"/>
          <w:sz w:val="20"/>
          <w:szCs w:val="20"/>
          <w:lang w:eastAsia="en-IN"/>
          <w14:ligatures w14:val="none"/>
        </w:rPr>
        <w:t>bioaccessibility</w:t>
      </w:r>
      <w:proofErr w:type="spellEnd"/>
      <w:r w:rsidRPr="00BF4F13">
        <w:rPr>
          <w:rFonts w:ascii="Arial" w:eastAsia="Times New Roman" w:hAnsi="Arial" w:cs="Arial"/>
          <w:kern w:val="0"/>
          <w:sz w:val="20"/>
          <w:szCs w:val="20"/>
          <w:lang w:eastAsia="en-IN"/>
          <w14:ligatures w14:val="none"/>
        </w:rPr>
        <w:t>”) AND (“LED” OR “light spectrum” OR “controlled environment” OR “postharvest” OR “packaging” OR “food safety”). The primary date range emphasized 2018–2026 to capture recent cultivation technologies, metabolomics approaches, and postharvest innovations, while allowing earlier work when necessary to contextualize methods or definitions. Inclusion criteria prioritized peer-reviewed journal articles and high-quality review papers reporting compositional data, metabolomics/</w:t>
      </w:r>
      <w:proofErr w:type="spellStart"/>
      <w:r w:rsidRPr="00BF4F13">
        <w:rPr>
          <w:rFonts w:ascii="Arial" w:eastAsia="Times New Roman" w:hAnsi="Arial" w:cs="Arial"/>
          <w:kern w:val="0"/>
          <w:sz w:val="20"/>
          <w:szCs w:val="20"/>
          <w:lang w:eastAsia="en-IN"/>
          <w14:ligatures w14:val="none"/>
        </w:rPr>
        <w:t>bioaccessibility</w:t>
      </w:r>
      <w:proofErr w:type="spellEnd"/>
      <w:r w:rsidRPr="00BF4F13">
        <w:rPr>
          <w:rFonts w:ascii="Arial" w:eastAsia="Times New Roman" w:hAnsi="Arial" w:cs="Arial"/>
          <w:kern w:val="0"/>
          <w:sz w:val="20"/>
          <w:szCs w:val="20"/>
          <w:lang w:eastAsia="en-IN"/>
          <w14:ligatures w14:val="none"/>
        </w:rPr>
        <w:t xml:space="preserve"> analyses, cultivation intervention outcomes, safety/postharvest studies, or whole-system sustainability assessments. Exclusion criteria removed non-peer-reviewed sources, purely anecdotal reports, and studies lacking methodological clarity or traceable publication metadata.</w:t>
      </w:r>
    </w:p>
    <w:p w14:paraId="3A120CC1" w14:textId="57B024C1" w:rsidR="00BF4F13" w:rsidRPr="00BF4F13" w:rsidRDefault="00BF4F13" w:rsidP="008038A9">
      <w:pPr>
        <w:spacing w:after="0" w:line="240" w:lineRule="auto"/>
        <w:jc w:val="both"/>
        <w:rPr>
          <w:rFonts w:ascii="Arial" w:eastAsia="Times New Roman" w:hAnsi="Arial" w:cs="Arial"/>
          <w:kern w:val="0"/>
          <w:sz w:val="20"/>
          <w:szCs w:val="20"/>
          <w:lang w:eastAsia="en-IN"/>
          <w14:ligatures w14:val="none"/>
        </w:rPr>
      </w:pPr>
    </w:p>
    <w:p w14:paraId="6180161D" w14:textId="77777777" w:rsidR="00BF4F13" w:rsidRPr="00BF4F13" w:rsidRDefault="00BF4F13" w:rsidP="008038A9">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BF4F13">
        <w:rPr>
          <w:rFonts w:ascii="Arial" w:eastAsia="Times New Roman" w:hAnsi="Arial" w:cs="Arial"/>
          <w:b/>
          <w:bCs/>
          <w:kern w:val="0"/>
          <w:sz w:val="20"/>
          <w:szCs w:val="20"/>
          <w:lang w:eastAsia="en-IN"/>
          <w14:ligatures w14:val="none"/>
        </w:rPr>
        <w:t>3. Microgreens as a crop category: biological and production characteristics</w:t>
      </w:r>
    </w:p>
    <w:p w14:paraId="09DD33C0" w14:textId="77777777"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 xml:space="preserve">Microgreens are harvested after germination once cotyledons expand and, in many species, the first true leaf begins to emerge. This developmental timing is central to their composition. Seed reserves and early photosynthesis interact during this stage, creating a biochemical profile that differs from both sprouts and mature leaves. The harvest point can influence pigment composition, antioxidant capacity, texture, and shelf-life, while also shaping consumer perception because </w:t>
      </w:r>
      <w:proofErr w:type="spellStart"/>
      <w:r w:rsidRPr="00BF4F13">
        <w:rPr>
          <w:rFonts w:ascii="Arial" w:eastAsia="Times New Roman" w:hAnsi="Arial" w:cs="Arial"/>
          <w:kern w:val="0"/>
          <w:sz w:val="20"/>
          <w:szCs w:val="20"/>
          <w:lang w:eastAsia="en-IN"/>
          <w14:ligatures w14:val="none"/>
        </w:rPr>
        <w:t>color</w:t>
      </w:r>
      <w:proofErr w:type="spellEnd"/>
      <w:r w:rsidRPr="00BF4F13">
        <w:rPr>
          <w:rFonts w:ascii="Arial" w:eastAsia="Times New Roman" w:hAnsi="Arial" w:cs="Arial"/>
          <w:kern w:val="0"/>
          <w:sz w:val="20"/>
          <w:szCs w:val="20"/>
          <w:lang w:eastAsia="en-IN"/>
          <w14:ligatures w14:val="none"/>
        </w:rPr>
        <w:t xml:space="preserve"> intensity and leaf morphology are prominent quality cues (Turner et al., 2020; Zhang, Xiao, et al., 2021).</w:t>
      </w:r>
    </w:p>
    <w:p w14:paraId="0616FEBB" w14:textId="77777777"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From a production standpoint, microgreens are attractive because the crop can be grown densely, harvested quickly, and marketed fresh with minimal processing. Yet these same traits create constraints. High planting density can increase humidity and leaf wetness in the canopy, raising the risk of fungal growth and bacterial proliferation if environmental controls and sanitation are insufficient. Because microgreens are fragile and typically sold fresh, handling and packaging are as important as cultivation inputs for preserving quality (Riggio et al., 2019; Turner et al., 2020).</w:t>
      </w:r>
    </w:p>
    <w:p w14:paraId="48D44699" w14:textId="3ECEA650"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 xml:space="preserve">Genotype is often the strongest determinant of nutritional and phytochemical outcomes. Large differences across Brassicaceae microgreens have been documented for carotenoids, vitamin-related metabolites, and </w:t>
      </w:r>
      <w:proofErr w:type="spellStart"/>
      <w:r w:rsidRPr="00BF4F13">
        <w:rPr>
          <w:rFonts w:ascii="Arial" w:eastAsia="Times New Roman" w:hAnsi="Arial" w:cs="Arial"/>
          <w:kern w:val="0"/>
          <w:sz w:val="20"/>
          <w:szCs w:val="20"/>
          <w:lang w:eastAsia="en-IN"/>
          <w14:ligatures w14:val="none"/>
        </w:rPr>
        <w:t>glucosinolates</w:t>
      </w:r>
      <w:proofErr w:type="spellEnd"/>
      <w:r w:rsidRPr="00BF4F13">
        <w:rPr>
          <w:rFonts w:ascii="Arial" w:eastAsia="Times New Roman" w:hAnsi="Arial" w:cs="Arial"/>
          <w:kern w:val="0"/>
          <w:sz w:val="20"/>
          <w:szCs w:val="20"/>
          <w:lang w:eastAsia="en-IN"/>
          <w14:ligatures w14:val="none"/>
        </w:rPr>
        <w:t>, indicating that variety selection is a primary step in nutritional optimization (Xiao et al., 2018). This genotype dependence also implies that “microgreens” should not be treated as a uniform category; evidence must be interpreted at the level of species and cultivar, and preferably with standardized reporting of harvest stage, growth conditions, and postharvest storage.</w:t>
      </w:r>
    </w:p>
    <w:p w14:paraId="12A548AE" w14:textId="77777777" w:rsidR="00BF4F13" w:rsidRPr="00BF4F13" w:rsidRDefault="00BF4F13" w:rsidP="008038A9">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BF4F13">
        <w:rPr>
          <w:rFonts w:ascii="Arial" w:eastAsia="Times New Roman" w:hAnsi="Arial" w:cs="Arial"/>
          <w:b/>
          <w:bCs/>
          <w:kern w:val="0"/>
          <w:sz w:val="20"/>
          <w:szCs w:val="20"/>
          <w:lang w:eastAsia="en-IN"/>
          <w14:ligatures w14:val="none"/>
        </w:rPr>
        <w:t>4. Nutritional and phytochemical composition</w:t>
      </w:r>
    </w:p>
    <w:p w14:paraId="69E200AB" w14:textId="77777777" w:rsidR="00BF4F13" w:rsidRPr="00BF4F13" w:rsidRDefault="00BF4F13" w:rsidP="008038A9">
      <w:pPr>
        <w:spacing w:before="100" w:beforeAutospacing="1" w:after="100" w:afterAutospacing="1" w:line="240" w:lineRule="auto"/>
        <w:jc w:val="both"/>
        <w:outlineLvl w:val="2"/>
        <w:rPr>
          <w:rFonts w:ascii="Arial" w:eastAsia="Times New Roman" w:hAnsi="Arial" w:cs="Arial"/>
          <w:b/>
          <w:bCs/>
          <w:kern w:val="0"/>
          <w:sz w:val="20"/>
          <w:szCs w:val="20"/>
          <w:lang w:eastAsia="en-IN"/>
          <w14:ligatures w14:val="none"/>
        </w:rPr>
      </w:pPr>
      <w:r w:rsidRPr="00BF4F13">
        <w:rPr>
          <w:rFonts w:ascii="Arial" w:eastAsia="Times New Roman" w:hAnsi="Arial" w:cs="Arial"/>
          <w:b/>
          <w:bCs/>
          <w:kern w:val="0"/>
          <w:sz w:val="20"/>
          <w:szCs w:val="20"/>
          <w:lang w:eastAsia="en-IN"/>
          <w14:ligatures w14:val="none"/>
        </w:rPr>
        <w:t>4.1. Macronutrients, minerals, vitamins, and anti-nutrients</w:t>
      </w:r>
    </w:p>
    <w:p w14:paraId="1E408893" w14:textId="77777777"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Recent nutritional profiling demonstrates that microgreens can provide meaningful levels of vitamins and minerals, but the magnitude depends on species and production conditions. In a detailed assessment of ten culinary microgreens, substantial levels of ascorbic acid (vitamin C), alpha-tocopherol (vitamin E), and beta-carotene were reported alongside mineral contributions, with low oxalate levels noted in the evaluated set (</w:t>
      </w:r>
      <w:proofErr w:type="spellStart"/>
      <w:r w:rsidRPr="00BF4F13">
        <w:rPr>
          <w:rFonts w:ascii="Arial" w:eastAsia="Times New Roman" w:hAnsi="Arial" w:cs="Arial"/>
          <w:kern w:val="0"/>
          <w:sz w:val="20"/>
          <w:szCs w:val="20"/>
          <w:lang w:eastAsia="en-IN"/>
          <w14:ligatures w14:val="none"/>
        </w:rPr>
        <w:t>Ghoora</w:t>
      </w:r>
      <w:proofErr w:type="spellEnd"/>
      <w:r w:rsidRPr="00BF4F13">
        <w:rPr>
          <w:rFonts w:ascii="Arial" w:eastAsia="Times New Roman" w:hAnsi="Arial" w:cs="Arial"/>
          <w:kern w:val="0"/>
          <w:sz w:val="20"/>
          <w:szCs w:val="20"/>
          <w:lang w:eastAsia="en-IN"/>
          <w14:ligatures w14:val="none"/>
        </w:rPr>
        <w:t xml:space="preserve"> et al., 2020). Such studies are valuable because they extend beyond single nutrients to broader nutrient profiles and attempt to contextualize microgreens relative to other leafy vegetables on a nutrient-density basis (</w:t>
      </w:r>
      <w:proofErr w:type="spellStart"/>
      <w:r w:rsidRPr="00BF4F13">
        <w:rPr>
          <w:rFonts w:ascii="Arial" w:eastAsia="Times New Roman" w:hAnsi="Arial" w:cs="Arial"/>
          <w:kern w:val="0"/>
          <w:sz w:val="20"/>
          <w:szCs w:val="20"/>
          <w:lang w:eastAsia="en-IN"/>
          <w14:ligatures w14:val="none"/>
        </w:rPr>
        <w:t>Ghoora</w:t>
      </w:r>
      <w:proofErr w:type="spellEnd"/>
      <w:r w:rsidRPr="00BF4F13">
        <w:rPr>
          <w:rFonts w:ascii="Arial" w:eastAsia="Times New Roman" w:hAnsi="Arial" w:cs="Arial"/>
          <w:kern w:val="0"/>
          <w:sz w:val="20"/>
          <w:szCs w:val="20"/>
          <w:lang w:eastAsia="en-IN"/>
          <w14:ligatures w14:val="none"/>
        </w:rPr>
        <w:t xml:space="preserve"> et al., 2020).</w:t>
      </w:r>
    </w:p>
    <w:p w14:paraId="2CC42AD2" w14:textId="77777777"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 xml:space="preserve">Minerals can be particularly sensitive to growth media, irrigation water composition, and nutrient management strategy. However, interpretation must consider that microgreens are typically consumed in smaller portions than mature leafy greens. Thus, compositional concentration does not </w:t>
      </w:r>
      <w:r w:rsidRPr="00BF4F13">
        <w:rPr>
          <w:rFonts w:ascii="Arial" w:eastAsia="Times New Roman" w:hAnsi="Arial" w:cs="Arial"/>
          <w:kern w:val="0"/>
          <w:sz w:val="20"/>
          <w:szCs w:val="20"/>
          <w:lang w:eastAsia="en-IN"/>
          <w14:ligatures w14:val="none"/>
        </w:rPr>
        <w:lastRenderedPageBreak/>
        <w:t>necessarily translate to dietary impact unless consumption patterns and serving sizes are incorporated into nutritional claims (Turner et al., 2020).</w:t>
      </w:r>
    </w:p>
    <w:p w14:paraId="7CAB95B3" w14:textId="77777777" w:rsidR="00BF4F13" w:rsidRPr="00BF4F13" w:rsidRDefault="00BF4F13" w:rsidP="008038A9">
      <w:pPr>
        <w:spacing w:before="100" w:beforeAutospacing="1" w:after="100" w:afterAutospacing="1" w:line="240" w:lineRule="auto"/>
        <w:jc w:val="both"/>
        <w:outlineLvl w:val="2"/>
        <w:rPr>
          <w:rFonts w:ascii="Arial" w:eastAsia="Times New Roman" w:hAnsi="Arial" w:cs="Arial"/>
          <w:b/>
          <w:bCs/>
          <w:kern w:val="0"/>
          <w:sz w:val="20"/>
          <w:szCs w:val="20"/>
          <w:lang w:eastAsia="en-IN"/>
          <w14:ligatures w14:val="none"/>
        </w:rPr>
      </w:pPr>
      <w:r w:rsidRPr="00BF4F13">
        <w:rPr>
          <w:rFonts w:ascii="Arial" w:eastAsia="Times New Roman" w:hAnsi="Arial" w:cs="Arial"/>
          <w:b/>
          <w:bCs/>
          <w:kern w:val="0"/>
          <w:sz w:val="20"/>
          <w:szCs w:val="20"/>
          <w:lang w:eastAsia="en-IN"/>
          <w14:ligatures w14:val="none"/>
        </w:rPr>
        <w:t xml:space="preserve">4.2. Phenolics, pigments, and </w:t>
      </w:r>
      <w:proofErr w:type="spellStart"/>
      <w:r w:rsidRPr="00BF4F13">
        <w:rPr>
          <w:rFonts w:ascii="Arial" w:eastAsia="Times New Roman" w:hAnsi="Arial" w:cs="Arial"/>
          <w:b/>
          <w:bCs/>
          <w:kern w:val="0"/>
          <w:sz w:val="20"/>
          <w:szCs w:val="20"/>
          <w:lang w:eastAsia="en-IN"/>
          <w14:ligatures w14:val="none"/>
        </w:rPr>
        <w:t>glucosinolates</w:t>
      </w:r>
      <w:proofErr w:type="spellEnd"/>
    </w:p>
    <w:p w14:paraId="5D9AE4F1" w14:textId="77777777"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 xml:space="preserve">Microgreens contain diverse phytochemicals with antioxidant and </w:t>
      </w:r>
      <w:proofErr w:type="spellStart"/>
      <w:r w:rsidRPr="00BF4F13">
        <w:rPr>
          <w:rFonts w:ascii="Arial" w:eastAsia="Times New Roman" w:hAnsi="Arial" w:cs="Arial"/>
          <w:kern w:val="0"/>
          <w:sz w:val="20"/>
          <w:szCs w:val="20"/>
          <w:lang w:eastAsia="en-IN"/>
          <w14:ligatures w14:val="none"/>
        </w:rPr>
        <w:t>signaling</w:t>
      </w:r>
      <w:proofErr w:type="spellEnd"/>
      <w:r w:rsidRPr="00BF4F13">
        <w:rPr>
          <w:rFonts w:ascii="Arial" w:eastAsia="Times New Roman" w:hAnsi="Arial" w:cs="Arial"/>
          <w:kern w:val="0"/>
          <w:sz w:val="20"/>
          <w:szCs w:val="20"/>
          <w:lang w:eastAsia="en-IN"/>
          <w14:ligatures w14:val="none"/>
        </w:rPr>
        <w:t xml:space="preserve"> potential, including phenolic acids, flavonoids, anthocyanins, chlorophylls, and carotenoids. Brassicaceae microgreens are of special interest because they can accumulate </w:t>
      </w:r>
      <w:proofErr w:type="spellStart"/>
      <w:r w:rsidRPr="00BF4F13">
        <w:rPr>
          <w:rFonts w:ascii="Arial" w:eastAsia="Times New Roman" w:hAnsi="Arial" w:cs="Arial"/>
          <w:kern w:val="0"/>
          <w:sz w:val="20"/>
          <w:szCs w:val="20"/>
          <w:lang w:eastAsia="en-IN"/>
          <w14:ligatures w14:val="none"/>
        </w:rPr>
        <w:t>glucosinolates</w:t>
      </w:r>
      <w:proofErr w:type="spellEnd"/>
      <w:r w:rsidRPr="00BF4F13">
        <w:rPr>
          <w:rFonts w:ascii="Arial" w:eastAsia="Times New Roman" w:hAnsi="Arial" w:cs="Arial"/>
          <w:kern w:val="0"/>
          <w:sz w:val="20"/>
          <w:szCs w:val="20"/>
          <w:lang w:eastAsia="en-IN"/>
          <w14:ligatures w14:val="none"/>
        </w:rPr>
        <w:t>, which yield biologically active hydrolysis products such as isothiocyanates and indoles. A key theme across recent studies is that the metabolite profile is not fixed; it shifts with genotype and cultivation variables, especially light (Xiao et al., 2018; Ying et al., 2021).</w:t>
      </w:r>
    </w:p>
    <w:p w14:paraId="1A4DE791" w14:textId="77777777"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 xml:space="preserve">The extent of genetic diversity in phytochemicals within Brassicaceae microgreens is substantial, with distinct cultivar-to-cultivar differences across multiple bioactive classes and antioxidant capacity measures (Xiao et al., 2018). This diversity supports a “breeding and selection” perspective: growers and breeders can treat phytochemical targets similarly to </w:t>
      </w:r>
      <w:proofErr w:type="spellStart"/>
      <w:r w:rsidRPr="00BF4F13">
        <w:rPr>
          <w:rFonts w:ascii="Arial" w:eastAsia="Times New Roman" w:hAnsi="Arial" w:cs="Arial"/>
          <w:kern w:val="0"/>
          <w:sz w:val="20"/>
          <w:szCs w:val="20"/>
          <w:lang w:eastAsia="en-IN"/>
          <w14:ligatures w14:val="none"/>
        </w:rPr>
        <w:t>flavor</w:t>
      </w:r>
      <w:proofErr w:type="spellEnd"/>
      <w:r w:rsidRPr="00BF4F13">
        <w:rPr>
          <w:rFonts w:ascii="Arial" w:eastAsia="Times New Roman" w:hAnsi="Arial" w:cs="Arial"/>
          <w:kern w:val="0"/>
          <w:sz w:val="20"/>
          <w:szCs w:val="20"/>
          <w:lang w:eastAsia="en-IN"/>
          <w14:ligatures w14:val="none"/>
        </w:rPr>
        <w:t xml:space="preserve"> and yield traits, selecting varieties that provide desired nutritional and sensory attributes.</w:t>
      </w:r>
    </w:p>
    <w:p w14:paraId="39B95C60" w14:textId="77777777" w:rsidR="00BF4F13" w:rsidRPr="00BF4F13" w:rsidRDefault="00BF4F13" w:rsidP="008038A9">
      <w:pPr>
        <w:spacing w:before="100" w:beforeAutospacing="1" w:after="100" w:afterAutospacing="1" w:line="240" w:lineRule="auto"/>
        <w:jc w:val="both"/>
        <w:outlineLvl w:val="2"/>
        <w:rPr>
          <w:rFonts w:ascii="Arial" w:eastAsia="Times New Roman" w:hAnsi="Arial" w:cs="Arial"/>
          <w:b/>
          <w:bCs/>
          <w:kern w:val="0"/>
          <w:sz w:val="20"/>
          <w:szCs w:val="20"/>
          <w:lang w:eastAsia="en-IN"/>
          <w14:ligatures w14:val="none"/>
        </w:rPr>
      </w:pPr>
      <w:r w:rsidRPr="00BF4F13">
        <w:rPr>
          <w:rFonts w:ascii="Arial" w:eastAsia="Times New Roman" w:hAnsi="Arial" w:cs="Arial"/>
          <w:b/>
          <w:bCs/>
          <w:kern w:val="0"/>
          <w:sz w:val="20"/>
          <w:szCs w:val="20"/>
          <w:lang w:eastAsia="en-IN"/>
          <w14:ligatures w14:val="none"/>
        </w:rPr>
        <w:t xml:space="preserve">4.3. Metabolomics and </w:t>
      </w:r>
      <w:proofErr w:type="spellStart"/>
      <w:r w:rsidRPr="00BF4F13">
        <w:rPr>
          <w:rFonts w:ascii="Arial" w:eastAsia="Times New Roman" w:hAnsi="Arial" w:cs="Arial"/>
          <w:b/>
          <w:bCs/>
          <w:kern w:val="0"/>
          <w:sz w:val="20"/>
          <w:szCs w:val="20"/>
          <w:lang w:eastAsia="en-IN"/>
          <w14:ligatures w14:val="none"/>
        </w:rPr>
        <w:t>bioaccessibility</w:t>
      </w:r>
      <w:proofErr w:type="spellEnd"/>
      <w:r w:rsidRPr="00BF4F13">
        <w:rPr>
          <w:rFonts w:ascii="Arial" w:eastAsia="Times New Roman" w:hAnsi="Arial" w:cs="Arial"/>
          <w:b/>
          <w:bCs/>
          <w:kern w:val="0"/>
          <w:sz w:val="20"/>
          <w:szCs w:val="20"/>
          <w:lang w:eastAsia="en-IN"/>
          <w14:ligatures w14:val="none"/>
        </w:rPr>
        <w:t>: moving beyond “total content”</w:t>
      </w:r>
    </w:p>
    <w:p w14:paraId="17199948" w14:textId="77777777"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 xml:space="preserve">While many studies report total phenolics or total antioxidant capacity, more recent work has applied untargeted metabolomics and in vitro digestion models to evaluate how microgreen metabolites behave during gastrointestinal processing. Such approaches are important because health effects depend not only on content but on </w:t>
      </w:r>
      <w:proofErr w:type="spellStart"/>
      <w:r w:rsidRPr="00BF4F13">
        <w:rPr>
          <w:rFonts w:ascii="Arial" w:eastAsia="Times New Roman" w:hAnsi="Arial" w:cs="Arial"/>
          <w:kern w:val="0"/>
          <w:sz w:val="20"/>
          <w:szCs w:val="20"/>
          <w:lang w:eastAsia="en-IN"/>
          <w14:ligatures w14:val="none"/>
        </w:rPr>
        <w:t>bioaccessibility</w:t>
      </w:r>
      <w:proofErr w:type="spellEnd"/>
      <w:r w:rsidRPr="00BF4F13">
        <w:rPr>
          <w:rFonts w:ascii="Arial" w:eastAsia="Times New Roman" w:hAnsi="Arial" w:cs="Arial"/>
          <w:kern w:val="0"/>
          <w:sz w:val="20"/>
          <w:szCs w:val="20"/>
          <w:lang w:eastAsia="en-IN"/>
          <w14:ligatures w14:val="none"/>
        </w:rPr>
        <w:t xml:space="preserve"> and stability. In Brassicaceae microgreens, metabolomics-based analysis has revealed hundreds of annotated phytochemicals and demonstrated that </w:t>
      </w:r>
      <w:proofErr w:type="spellStart"/>
      <w:r w:rsidRPr="00BF4F13">
        <w:rPr>
          <w:rFonts w:ascii="Arial" w:eastAsia="Times New Roman" w:hAnsi="Arial" w:cs="Arial"/>
          <w:kern w:val="0"/>
          <w:sz w:val="20"/>
          <w:szCs w:val="20"/>
          <w:lang w:eastAsia="en-IN"/>
          <w14:ligatures w14:val="none"/>
        </w:rPr>
        <w:t>bioaccessibility</w:t>
      </w:r>
      <w:proofErr w:type="spellEnd"/>
      <w:r w:rsidRPr="00BF4F13">
        <w:rPr>
          <w:rFonts w:ascii="Arial" w:eastAsia="Times New Roman" w:hAnsi="Arial" w:cs="Arial"/>
          <w:kern w:val="0"/>
          <w:sz w:val="20"/>
          <w:szCs w:val="20"/>
          <w:lang w:eastAsia="en-IN"/>
          <w14:ligatures w14:val="none"/>
        </w:rPr>
        <w:t xml:space="preserve"> varies by chemical class and species, with digestion reshaping the detectable metabolite landscape (Tomas et al., 2021). Similarly, studies on red beet and amaranth microgreens indicate that storage and in vitro digestion can alter the metabolomic profile, emphasizing that postharvest conditions influence what consumers ultimately absorb (</w:t>
      </w:r>
      <w:proofErr w:type="spellStart"/>
      <w:r w:rsidRPr="00BF4F13">
        <w:rPr>
          <w:rFonts w:ascii="Arial" w:eastAsia="Times New Roman" w:hAnsi="Arial" w:cs="Arial"/>
          <w:kern w:val="0"/>
          <w:sz w:val="20"/>
          <w:szCs w:val="20"/>
          <w:lang w:eastAsia="en-IN"/>
          <w14:ligatures w14:val="none"/>
        </w:rPr>
        <w:t>Rocchetti</w:t>
      </w:r>
      <w:proofErr w:type="spellEnd"/>
      <w:r w:rsidRPr="00BF4F13">
        <w:rPr>
          <w:rFonts w:ascii="Arial" w:eastAsia="Times New Roman" w:hAnsi="Arial" w:cs="Arial"/>
          <w:kern w:val="0"/>
          <w:sz w:val="20"/>
          <w:szCs w:val="20"/>
          <w:lang w:eastAsia="en-IN"/>
          <w14:ligatures w14:val="none"/>
        </w:rPr>
        <w:t xml:space="preserve"> et al., 2020).</w:t>
      </w:r>
    </w:p>
    <w:p w14:paraId="2168EA15" w14:textId="18CF2FB2"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 xml:space="preserve">These findings collectively suggest that future nutritional evaluations should increasingly adopt metabolite-resolved and digestion-aware frameworks. Microgreens marketed for specific functional claims may need evidence that target compounds survive typical storage times and remain </w:t>
      </w:r>
      <w:proofErr w:type="spellStart"/>
      <w:r w:rsidRPr="00BF4F13">
        <w:rPr>
          <w:rFonts w:ascii="Arial" w:eastAsia="Times New Roman" w:hAnsi="Arial" w:cs="Arial"/>
          <w:kern w:val="0"/>
          <w:sz w:val="20"/>
          <w:szCs w:val="20"/>
          <w:lang w:eastAsia="en-IN"/>
          <w14:ligatures w14:val="none"/>
        </w:rPr>
        <w:t>bioaccessible</w:t>
      </w:r>
      <w:proofErr w:type="spellEnd"/>
      <w:r w:rsidRPr="00BF4F13">
        <w:rPr>
          <w:rFonts w:ascii="Arial" w:eastAsia="Times New Roman" w:hAnsi="Arial" w:cs="Arial"/>
          <w:kern w:val="0"/>
          <w:sz w:val="20"/>
          <w:szCs w:val="20"/>
          <w:lang w:eastAsia="en-IN"/>
          <w14:ligatures w14:val="none"/>
        </w:rPr>
        <w:t xml:space="preserve"> after consumption, rather than relying solely on pre-storage measurements (</w:t>
      </w:r>
      <w:proofErr w:type="spellStart"/>
      <w:r w:rsidRPr="00BF4F13">
        <w:rPr>
          <w:rFonts w:ascii="Arial" w:eastAsia="Times New Roman" w:hAnsi="Arial" w:cs="Arial"/>
          <w:kern w:val="0"/>
          <w:sz w:val="20"/>
          <w:szCs w:val="20"/>
          <w:lang w:eastAsia="en-IN"/>
          <w14:ligatures w14:val="none"/>
        </w:rPr>
        <w:t>Rocchetti</w:t>
      </w:r>
      <w:proofErr w:type="spellEnd"/>
      <w:r w:rsidRPr="00BF4F13">
        <w:rPr>
          <w:rFonts w:ascii="Arial" w:eastAsia="Times New Roman" w:hAnsi="Arial" w:cs="Arial"/>
          <w:kern w:val="0"/>
          <w:sz w:val="20"/>
          <w:szCs w:val="20"/>
          <w:lang w:eastAsia="en-IN"/>
          <w14:ligatures w14:val="none"/>
        </w:rPr>
        <w:t xml:space="preserve"> et al., 2020; Tomas et al., 2021).</w:t>
      </w:r>
    </w:p>
    <w:p w14:paraId="50E8F567" w14:textId="77777777" w:rsidR="00BF4F13" w:rsidRPr="00BF4F13" w:rsidRDefault="00BF4F13" w:rsidP="008038A9">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BF4F13">
        <w:rPr>
          <w:rFonts w:ascii="Arial" w:eastAsia="Times New Roman" w:hAnsi="Arial" w:cs="Arial"/>
          <w:b/>
          <w:bCs/>
          <w:kern w:val="0"/>
          <w:sz w:val="20"/>
          <w:szCs w:val="20"/>
          <w:lang w:eastAsia="en-IN"/>
          <w14:ligatures w14:val="none"/>
        </w:rPr>
        <w:t>5. Evidence for health benefits: mechanisms and current limitations of proof</w:t>
      </w:r>
    </w:p>
    <w:p w14:paraId="141B5F17" w14:textId="77777777" w:rsidR="00BF4F13" w:rsidRPr="00BF4F13" w:rsidRDefault="00BF4F13" w:rsidP="008038A9">
      <w:pPr>
        <w:spacing w:before="100" w:beforeAutospacing="1" w:after="100" w:afterAutospacing="1" w:line="240" w:lineRule="auto"/>
        <w:jc w:val="both"/>
        <w:outlineLvl w:val="2"/>
        <w:rPr>
          <w:rFonts w:ascii="Arial" w:eastAsia="Times New Roman" w:hAnsi="Arial" w:cs="Arial"/>
          <w:b/>
          <w:bCs/>
          <w:kern w:val="0"/>
          <w:sz w:val="20"/>
          <w:szCs w:val="20"/>
          <w:lang w:eastAsia="en-IN"/>
          <w14:ligatures w14:val="none"/>
        </w:rPr>
      </w:pPr>
      <w:r w:rsidRPr="00BF4F13">
        <w:rPr>
          <w:rFonts w:ascii="Arial" w:eastAsia="Times New Roman" w:hAnsi="Arial" w:cs="Arial"/>
          <w:b/>
          <w:bCs/>
          <w:kern w:val="0"/>
          <w:sz w:val="20"/>
          <w:szCs w:val="20"/>
          <w:lang w:eastAsia="en-IN"/>
          <w14:ligatures w14:val="none"/>
        </w:rPr>
        <w:t>5.1. Antioxidant and anti-inflammatory potential</w:t>
      </w:r>
    </w:p>
    <w:p w14:paraId="791BB3B1" w14:textId="77777777"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Microgreens are frequently framed as antioxidant-rich foods due to their phenolics, carotenoids, and vitamin content. Comparative antioxidant profiling across culinary microgreens shows that antioxidant potential depends strongly on species and correlates with the abundance of phenolics and flavonoids, reinforcing the idea that microgreens’ functional potential is crop-specific rather than universal (</w:t>
      </w:r>
      <w:proofErr w:type="spellStart"/>
      <w:r w:rsidRPr="00BF4F13">
        <w:rPr>
          <w:rFonts w:ascii="Arial" w:eastAsia="Times New Roman" w:hAnsi="Arial" w:cs="Arial"/>
          <w:kern w:val="0"/>
          <w:sz w:val="20"/>
          <w:szCs w:val="20"/>
          <w:lang w:eastAsia="en-IN"/>
          <w14:ligatures w14:val="none"/>
        </w:rPr>
        <w:t>Ghoora</w:t>
      </w:r>
      <w:proofErr w:type="spellEnd"/>
      <w:r w:rsidRPr="00BF4F13">
        <w:rPr>
          <w:rFonts w:ascii="Arial" w:eastAsia="Times New Roman" w:hAnsi="Arial" w:cs="Arial"/>
          <w:kern w:val="0"/>
          <w:sz w:val="20"/>
          <w:szCs w:val="20"/>
          <w:lang w:eastAsia="en-IN"/>
          <w14:ligatures w14:val="none"/>
        </w:rPr>
        <w:t xml:space="preserve">, </w:t>
      </w:r>
      <w:proofErr w:type="spellStart"/>
      <w:r w:rsidRPr="00BF4F13">
        <w:rPr>
          <w:rFonts w:ascii="Arial" w:eastAsia="Times New Roman" w:hAnsi="Arial" w:cs="Arial"/>
          <w:kern w:val="0"/>
          <w:sz w:val="20"/>
          <w:szCs w:val="20"/>
          <w:lang w:eastAsia="en-IN"/>
          <w14:ligatures w14:val="none"/>
        </w:rPr>
        <w:t>Haldipur</w:t>
      </w:r>
      <w:proofErr w:type="spellEnd"/>
      <w:r w:rsidRPr="00BF4F13">
        <w:rPr>
          <w:rFonts w:ascii="Arial" w:eastAsia="Times New Roman" w:hAnsi="Arial" w:cs="Arial"/>
          <w:kern w:val="0"/>
          <w:sz w:val="20"/>
          <w:szCs w:val="20"/>
          <w:lang w:eastAsia="en-IN"/>
          <w14:ligatures w14:val="none"/>
        </w:rPr>
        <w:t>, &amp; Srividya, 2020). Mechanistically, these compounds can contribute to redox balance by scavenging reactive species and modulating endogenous antioxidant pathways, although the physiological relevance depends on dose, bioavailability, and metabolism (Turner et al., 2020; Zhang, Xiao, et al., 2021).</w:t>
      </w:r>
    </w:p>
    <w:p w14:paraId="36C9924D" w14:textId="77777777" w:rsidR="00BF4F13" w:rsidRPr="00BF4F13" w:rsidRDefault="00BF4F13" w:rsidP="008038A9">
      <w:pPr>
        <w:spacing w:before="100" w:beforeAutospacing="1" w:after="100" w:afterAutospacing="1" w:line="240" w:lineRule="auto"/>
        <w:jc w:val="both"/>
        <w:outlineLvl w:val="2"/>
        <w:rPr>
          <w:rFonts w:ascii="Arial" w:eastAsia="Times New Roman" w:hAnsi="Arial" w:cs="Arial"/>
          <w:b/>
          <w:bCs/>
          <w:kern w:val="0"/>
          <w:sz w:val="20"/>
          <w:szCs w:val="20"/>
          <w:lang w:eastAsia="en-IN"/>
          <w14:ligatures w14:val="none"/>
        </w:rPr>
      </w:pPr>
      <w:r w:rsidRPr="00BF4F13">
        <w:rPr>
          <w:rFonts w:ascii="Arial" w:eastAsia="Times New Roman" w:hAnsi="Arial" w:cs="Arial"/>
          <w:b/>
          <w:bCs/>
          <w:kern w:val="0"/>
          <w:sz w:val="20"/>
          <w:szCs w:val="20"/>
          <w:lang w:eastAsia="en-IN"/>
          <w14:ligatures w14:val="none"/>
        </w:rPr>
        <w:t xml:space="preserve">5.2. Chemoprotective </w:t>
      </w:r>
      <w:proofErr w:type="spellStart"/>
      <w:r w:rsidRPr="00BF4F13">
        <w:rPr>
          <w:rFonts w:ascii="Arial" w:eastAsia="Times New Roman" w:hAnsi="Arial" w:cs="Arial"/>
          <w:b/>
          <w:bCs/>
          <w:kern w:val="0"/>
          <w:sz w:val="20"/>
          <w:szCs w:val="20"/>
          <w:lang w:eastAsia="en-IN"/>
          <w14:ligatures w14:val="none"/>
        </w:rPr>
        <w:t>signaling</w:t>
      </w:r>
      <w:proofErr w:type="spellEnd"/>
      <w:r w:rsidRPr="00BF4F13">
        <w:rPr>
          <w:rFonts w:ascii="Arial" w:eastAsia="Times New Roman" w:hAnsi="Arial" w:cs="Arial"/>
          <w:b/>
          <w:bCs/>
          <w:kern w:val="0"/>
          <w:sz w:val="20"/>
          <w:szCs w:val="20"/>
          <w:lang w:eastAsia="en-IN"/>
          <w14:ligatures w14:val="none"/>
        </w:rPr>
        <w:t xml:space="preserve"> via Brassicaceae </w:t>
      </w:r>
      <w:proofErr w:type="spellStart"/>
      <w:r w:rsidRPr="00BF4F13">
        <w:rPr>
          <w:rFonts w:ascii="Arial" w:eastAsia="Times New Roman" w:hAnsi="Arial" w:cs="Arial"/>
          <w:b/>
          <w:bCs/>
          <w:kern w:val="0"/>
          <w:sz w:val="20"/>
          <w:szCs w:val="20"/>
          <w:lang w:eastAsia="en-IN"/>
          <w14:ligatures w14:val="none"/>
        </w:rPr>
        <w:t>glucosinolates</w:t>
      </w:r>
      <w:proofErr w:type="spellEnd"/>
    </w:p>
    <w:p w14:paraId="6DFE5755" w14:textId="77777777"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 xml:space="preserve">For Brassicaceae microgreens, </w:t>
      </w:r>
      <w:proofErr w:type="spellStart"/>
      <w:r w:rsidRPr="00BF4F13">
        <w:rPr>
          <w:rFonts w:ascii="Arial" w:eastAsia="Times New Roman" w:hAnsi="Arial" w:cs="Arial"/>
          <w:kern w:val="0"/>
          <w:sz w:val="20"/>
          <w:szCs w:val="20"/>
          <w:lang w:eastAsia="en-IN"/>
          <w14:ligatures w14:val="none"/>
        </w:rPr>
        <w:t>glucosinolates</w:t>
      </w:r>
      <w:proofErr w:type="spellEnd"/>
      <w:r w:rsidRPr="00BF4F13">
        <w:rPr>
          <w:rFonts w:ascii="Arial" w:eastAsia="Times New Roman" w:hAnsi="Arial" w:cs="Arial"/>
          <w:kern w:val="0"/>
          <w:sz w:val="20"/>
          <w:szCs w:val="20"/>
          <w:lang w:eastAsia="en-IN"/>
          <w14:ligatures w14:val="none"/>
        </w:rPr>
        <w:t xml:space="preserve"> and their hydrolysis products are often highlighted for potential chemoprotective roles, including induction of detoxification enzymes and modulation of inflammatory </w:t>
      </w:r>
      <w:proofErr w:type="spellStart"/>
      <w:r w:rsidRPr="00BF4F13">
        <w:rPr>
          <w:rFonts w:ascii="Arial" w:eastAsia="Times New Roman" w:hAnsi="Arial" w:cs="Arial"/>
          <w:kern w:val="0"/>
          <w:sz w:val="20"/>
          <w:szCs w:val="20"/>
          <w:lang w:eastAsia="en-IN"/>
          <w14:ligatures w14:val="none"/>
        </w:rPr>
        <w:t>signaling</w:t>
      </w:r>
      <w:proofErr w:type="spellEnd"/>
      <w:r w:rsidRPr="00BF4F13">
        <w:rPr>
          <w:rFonts w:ascii="Arial" w:eastAsia="Times New Roman" w:hAnsi="Arial" w:cs="Arial"/>
          <w:kern w:val="0"/>
          <w:sz w:val="20"/>
          <w:szCs w:val="20"/>
          <w:lang w:eastAsia="en-IN"/>
          <w14:ligatures w14:val="none"/>
        </w:rPr>
        <w:t xml:space="preserve">. The relevance of these pathways in microgreens depends on </w:t>
      </w:r>
      <w:proofErr w:type="spellStart"/>
      <w:r w:rsidRPr="00BF4F13">
        <w:rPr>
          <w:rFonts w:ascii="Arial" w:eastAsia="Times New Roman" w:hAnsi="Arial" w:cs="Arial"/>
          <w:kern w:val="0"/>
          <w:sz w:val="20"/>
          <w:szCs w:val="20"/>
          <w:lang w:eastAsia="en-IN"/>
          <w14:ligatures w14:val="none"/>
        </w:rPr>
        <w:t>glucosinolate</w:t>
      </w:r>
      <w:proofErr w:type="spellEnd"/>
      <w:r w:rsidRPr="00BF4F13">
        <w:rPr>
          <w:rFonts w:ascii="Arial" w:eastAsia="Times New Roman" w:hAnsi="Arial" w:cs="Arial"/>
          <w:kern w:val="0"/>
          <w:sz w:val="20"/>
          <w:szCs w:val="20"/>
          <w:lang w:eastAsia="en-IN"/>
          <w14:ligatures w14:val="none"/>
        </w:rPr>
        <w:t xml:space="preserve"> composition, </w:t>
      </w:r>
      <w:proofErr w:type="spellStart"/>
      <w:r w:rsidRPr="00BF4F13">
        <w:rPr>
          <w:rFonts w:ascii="Arial" w:eastAsia="Times New Roman" w:hAnsi="Arial" w:cs="Arial"/>
          <w:kern w:val="0"/>
          <w:sz w:val="20"/>
          <w:szCs w:val="20"/>
          <w:lang w:eastAsia="en-IN"/>
          <w14:ligatures w14:val="none"/>
        </w:rPr>
        <w:t>myrosinase</w:t>
      </w:r>
      <w:proofErr w:type="spellEnd"/>
      <w:r w:rsidRPr="00BF4F13">
        <w:rPr>
          <w:rFonts w:ascii="Arial" w:eastAsia="Times New Roman" w:hAnsi="Arial" w:cs="Arial"/>
          <w:kern w:val="0"/>
          <w:sz w:val="20"/>
          <w:szCs w:val="20"/>
          <w:lang w:eastAsia="en-IN"/>
          <w14:ligatures w14:val="none"/>
        </w:rPr>
        <w:t xml:space="preserve"> activity, and postharvest handling, as well as digestion dynamics and the gut microbiota’s capacity to generate bioactive metabolites (Tomas et al., 2021; Xiao et al., 2018).</w:t>
      </w:r>
    </w:p>
    <w:p w14:paraId="51693D08" w14:textId="77777777" w:rsidR="00BF4F13" w:rsidRPr="00BF4F13" w:rsidRDefault="00BF4F13" w:rsidP="008038A9">
      <w:pPr>
        <w:spacing w:before="100" w:beforeAutospacing="1" w:after="100" w:afterAutospacing="1" w:line="240" w:lineRule="auto"/>
        <w:jc w:val="both"/>
        <w:outlineLvl w:val="2"/>
        <w:rPr>
          <w:rFonts w:ascii="Arial" w:eastAsia="Times New Roman" w:hAnsi="Arial" w:cs="Arial"/>
          <w:b/>
          <w:bCs/>
          <w:kern w:val="0"/>
          <w:sz w:val="20"/>
          <w:szCs w:val="20"/>
          <w:lang w:eastAsia="en-IN"/>
          <w14:ligatures w14:val="none"/>
        </w:rPr>
      </w:pPr>
      <w:r w:rsidRPr="00BF4F13">
        <w:rPr>
          <w:rFonts w:ascii="Arial" w:eastAsia="Times New Roman" w:hAnsi="Arial" w:cs="Arial"/>
          <w:b/>
          <w:bCs/>
          <w:kern w:val="0"/>
          <w:sz w:val="20"/>
          <w:szCs w:val="20"/>
          <w:lang w:eastAsia="en-IN"/>
          <w14:ligatures w14:val="none"/>
        </w:rPr>
        <w:t>5.3. Metabolic and cardiometabolic relevance: plausible pathways, limited human trials</w:t>
      </w:r>
    </w:p>
    <w:p w14:paraId="4D573E23" w14:textId="77777777"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lastRenderedPageBreak/>
        <w:t>Microgreens’ micronutrients and phytochemicals may support cardiometabolic health through multiple plausible routes, including improved dietary quality, modulation of oxidative stress, and interactions with carbohydrate and lipid metabolism. However, the evidentiary base remains dominated by compositional analyses, in vitro assays, and limited preclinical data rather than large human intervention trials. Recent reviews emphasize promise but also the need for standardized clinical validation, including dose realism relative to typical microgreen consumption (Turner et al., 2020; Zhang, Xiao, et al., 2021; Zhang, Xiao, et al., 2021).</w:t>
      </w:r>
    </w:p>
    <w:p w14:paraId="26F7A393" w14:textId="77777777" w:rsidR="00BF4F13" w:rsidRPr="00BF4F13" w:rsidRDefault="00BF4F13" w:rsidP="008038A9">
      <w:pPr>
        <w:spacing w:before="100" w:beforeAutospacing="1" w:after="100" w:afterAutospacing="1" w:line="240" w:lineRule="auto"/>
        <w:jc w:val="both"/>
        <w:outlineLvl w:val="2"/>
        <w:rPr>
          <w:rFonts w:ascii="Arial" w:eastAsia="Times New Roman" w:hAnsi="Arial" w:cs="Arial"/>
          <w:b/>
          <w:bCs/>
          <w:kern w:val="0"/>
          <w:sz w:val="20"/>
          <w:szCs w:val="20"/>
          <w:lang w:eastAsia="en-IN"/>
          <w14:ligatures w14:val="none"/>
        </w:rPr>
      </w:pPr>
      <w:r w:rsidRPr="00BF4F13">
        <w:rPr>
          <w:rFonts w:ascii="Arial" w:eastAsia="Times New Roman" w:hAnsi="Arial" w:cs="Arial"/>
          <w:b/>
          <w:bCs/>
          <w:kern w:val="0"/>
          <w:sz w:val="20"/>
          <w:szCs w:val="20"/>
          <w:lang w:eastAsia="en-IN"/>
          <w14:ligatures w14:val="none"/>
        </w:rPr>
        <w:t>5.4. A pragmatic interpretation for public health and product development</w:t>
      </w:r>
    </w:p>
    <w:p w14:paraId="054B1699" w14:textId="77777777"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 xml:space="preserve">Given current evidence, microgreens can be reasonably viewed as nutrient- and phytochemical-contributing foods that may help diversify vegetable intake, especially in urban settings where access to fresh produce can be limited. The strongest scientific claims at present </w:t>
      </w:r>
      <w:proofErr w:type="spellStart"/>
      <w:r w:rsidRPr="00BF4F13">
        <w:rPr>
          <w:rFonts w:ascii="Arial" w:eastAsia="Times New Roman" w:hAnsi="Arial" w:cs="Arial"/>
          <w:kern w:val="0"/>
          <w:sz w:val="20"/>
          <w:szCs w:val="20"/>
          <w:lang w:eastAsia="en-IN"/>
          <w14:ligatures w14:val="none"/>
        </w:rPr>
        <w:t>center</w:t>
      </w:r>
      <w:proofErr w:type="spellEnd"/>
      <w:r w:rsidRPr="00BF4F13">
        <w:rPr>
          <w:rFonts w:ascii="Arial" w:eastAsia="Times New Roman" w:hAnsi="Arial" w:cs="Arial"/>
          <w:kern w:val="0"/>
          <w:sz w:val="20"/>
          <w:szCs w:val="20"/>
          <w:lang w:eastAsia="en-IN"/>
          <w14:ligatures w14:val="none"/>
        </w:rPr>
        <w:t xml:space="preserve"> on their compositional richness and the ability to manipulate profiles through controlled cultivation, rather than definitive disease prevention outcomes in humans (Turner et al., 2020; Zhang, Xiao, et al., 2021). A responsible pathway forward is to pair compositional superiority claims with rigorous safety and shelf-life management, while gradually building clinical evidence for specific microgreen types and targeted endpoints.</w:t>
      </w:r>
    </w:p>
    <w:p w14:paraId="40E541F6" w14:textId="77777777" w:rsidR="00BF4F13" w:rsidRPr="00BF4F13" w:rsidRDefault="00BF4F13" w:rsidP="008038A9">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BF4F13">
        <w:rPr>
          <w:rFonts w:ascii="Arial" w:eastAsia="Times New Roman" w:hAnsi="Arial" w:cs="Arial"/>
          <w:b/>
          <w:bCs/>
          <w:kern w:val="0"/>
          <w:sz w:val="20"/>
          <w:szCs w:val="20"/>
          <w:lang w:eastAsia="en-IN"/>
          <w14:ligatures w14:val="none"/>
        </w:rPr>
        <w:t>6. Efficient cultivation practices for yield and nutrient density</w:t>
      </w:r>
    </w:p>
    <w:p w14:paraId="3620405A" w14:textId="77777777" w:rsidR="00BF4F13" w:rsidRPr="00BF4F13" w:rsidRDefault="00BF4F13" w:rsidP="008038A9">
      <w:pPr>
        <w:spacing w:before="100" w:beforeAutospacing="1" w:after="100" w:afterAutospacing="1" w:line="240" w:lineRule="auto"/>
        <w:jc w:val="both"/>
        <w:outlineLvl w:val="2"/>
        <w:rPr>
          <w:rFonts w:ascii="Arial" w:eastAsia="Times New Roman" w:hAnsi="Arial" w:cs="Arial"/>
          <w:b/>
          <w:bCs/>
          <w:kern w:val="0"/>
          <w:sz w:val="20"/>
          <w:szCs w:val="20"/>
          <w:lang w:eastAsia="en-IN"/>
          <w14:ligatures w14:val="none"/>
        </w:rPr>
      </w:pPr>
      <w:r w:rsidRPr="00BF4F13">
        <w:rPr>
          <w:rFonts w:ascii="Arial" w:eastAsia="Times New Roman" w:hAnsi="Arial" w:cs="Arial"/>
          <w:b/>
          <w:bCs/>
          <w:kern w:val="0"/>
          <w:sz w:val="20"/>
          <w:szCs w:val="20"/>
          <w:lang w:eastAsia="en-IN"/>
          <w14:ligatures w14:val="none"/>
        </w:rPr>
        <w:t>6.1. Species and cultivar selection as the first optimization step</w:t>
      </w:r>
    </w:p>
    <w:p w14:paraId="0E518933" w14:textId="77777777"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 xml:space="preserve">Because genotype drives large compositional variation, selection is the most direct strategy for nutritional targeting. Brassicaceae microgreens, for example, show wide variability in antioxidants and </w:t>
      </w:r>
      <w:proofErr w:type="spellStart"/>
      <w:r w:rsidRPr="00BF4F13">
        <w:rPr>
          <w:rFonts w:ascii="Arial" w:eastAsia="Times New Roman" w:hAnsi="Arial" w:cs="Arial"/>
          <w:kern w:val="0"/>
          <w:sz w:val="20"/>
          <w:szCs w:val="20"/>
          <w:lang w:eastAsia="en-IN"/>
          <w14:ligatures w14:val="none"/>
        </w:rPr>
        <w:t>glucosinolates</w:t>
      </w:r>
      <w:proofErr w:type="spellEnd"/>
      <w:r w:rsidRPr="00BF4F13">
        <w:rPr>
          <w:rFonts w:ascii="Arial" w:eastAsia="Times New Roman" w:hAnsi="Arial" w:cs="Arial"/>
          <w:kern w:val="0"/>
          <w:sz w:val="20"/>
          <w:szCs w:val="20"/>
          <w:lang w:eastAsia="en-IN"/>
          <w14:ligatures w14:val="none"/>
        </w:rPr>
        <w:t xml:space="preserve">, enabling growers to choose cultivars aligned with desired sensory and functional traits (Xiao et al., 2018). In practice, cultivar choice should be guided by local market preferences, desired </w:t>
      </w:r>
      <w:proofErr w:type="spellStart"/>
      <w:r w:rsidRPr="00BF4F13">
        <w:rPr>
          <w:rFonts w:ascii="Arial" w:eastAsia="Times New Roman" w:hAnsi="Arial" w:cs="Arial"/>
          <w:kern w:val="0"/>
          <w:sz w:val="20"/>
          <w:szCs w:val="20"/>
          <w:lang w:eastAsia="en-IN"/>
          <w14:ligatures w14:val="none"/>
        </w:rPr>
        <w:t>color</w:t>
      </w:r>
      <w:proofErr w:type="spellEnd"/>
      <w:r w:rsidRPr="00BF4F13">
        <w:rPr>
          <w:rFonts w:ascii="Arial" w:eastAsia="Times New Roman" w:hAnsi="Arial" w:cs="Arial"/>
          <w:kern w:val="0"/>
          <w:sz w:val="20"/>
          <w:szCs w:val="20"/>
          <w:lang w:eastAsia="en-IN"/>
          <w14:ligatures w14:val="none"/>
        </w:rPr>
        <w:t xml:space="preserve"> and </w:t>
      </w:r>
      <w:proofErr w:type="spellStart"/>
      <w:r w:rsidRPr="00BF4F13">
        <w:rPr>
          <w:rFonts w:ascii="Arial" w:eastAsia="Times New Roman" w:hAnsi="Arial" w:cs="Arial"/>
          <w:kern w:val="0"/>
          <w:sz w:val="20"/>
          <w:szCs w:val="20"/>
          <w:lang w:eastAsia="en-IN"/>
          <w14:ligatures w14:val="none"/>
        </w:rPr>
        <w:t>flavor</w:t>
      </w:r>
      <w:proofErr w:type="spellEnd"/>
      <w:r w:rsidRPr="00BF4F13">
        <w:rPr>
          <w:rFonts w:ascii="Arial" w:eastAsia="Times New Roman" w:hAnsi="Arial" w:cs="Arial"/>
          <w:kern w:val="0"/>
          <w:sz w:val="20"/>
          <w:szCs w:val="20"/>
          <w:lang w:eastAsia="en-IN"/>
          <w14:ligatures w14:val="none"/>
        </w:rPr>
        <w:t xml:space="preserve"> profiles, and the feasibility of producing consistent quality under available environmental control.</w:t>
      </w:r>
    </w:p>
    <w:p w14:paraId="69092E76" w14:textId="77777777" w:rsidR="00BF4F13" w:rsidRPr="00BF4F13" w:rsidRDefault="00BF4F13" w:rsidP="008038A9">
      <w:pPr>
        <w:spacing w:before="100" w:beforeAutospacing="1" w:after="100" w:afterAutospacing="1" w:line="240" w:lineRule="auto"/>
        <w:jc w:val="both"/>
        <w:outlineLvl w:val="2"/>
        <w:rPr>
          <w:rFonts w:ascii="Arial" w:eastAsia="Times New Roman" w:hAnsi="Arial" w:cs="Arial"/>
          <w:b/>
          <w:bCs/>
          <w:kern w:val="0"/>
          <w:sz w:val="20"/>
          <w:szCs w:val="20"/>
          <w:lang w:eastAsia="en-IN"/>
          <w14:ligatures w14:val="none"/>
        </w:rPr>
      </w:pPr>
      <w:r w:rsidRPr="00BF4F13">
        <w:rPr>
          <w:rFonts w:ascii="Arial" w:eastAsia="Times New Roman" w:hAnsi="Arial" w:cs="Arial"/>
          <w:b/>
          <w:bCs/>
          <w:kern w:val="0"/>
          <w:sz w:val="20"/>
          <w:szCs w:val="20"/>
          <w:lang w:eastAsia="en-IN"/>
          <w14:ligatures w14:val="none"/>
        </w:rPr>
        <w:t>6.2. Light as a controllable lever: spectrum, proportion, and intensity</w:t>
      </w:r>
    </w:p>
    <w:p w14:paraId="204842E8" w14:textId="77777777"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Lighting is arguably the most powerful controllable input in indoor microgreen production because it regulates photosynthesis, photomorphogenesis, and secondary metabolism. Work manipulating blue light proportions has shown species-specific shifts in phytochemical profiles, demonstrating that a single lighting recipe cannot be assumed optimal across crops (Ying et al., 2021). Adjusting blue light can influence pigments and antioxidant-related metabolites, affecting both visual appeal and nutritional markers (Ying et al., 2021).</w:t>
      </w:r>
    </w:p>
    <w:p w14:paraId="0F3B7030" w14:textId="77777777"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Beyond spectrum composition, light intensity also matters. Microgreens’ growth and morphology have been linked to changes in ascorbate and anthocyanin profiles under different sole-source LED intensities, illustrating how intensity can jointly affect biomass outcomes and antioxidant chemistry (Jones-</w:t>
      </w:r>
      <w:proofErr w:type="spellStart"/>
      <w:r w:rsidRPr="00BF4F13">
        <w:rPr>
          <w:rFonts w:ascii="Arial" w:eastAsia="Times New Roman" w:hAnsi="Arial" w:cs="Arial"/>
          <w:kern w:val="0"/>
          <w:sz w:val="20"/>
          <w:szCs w:val="20"/>
          <w:lang w:eastAsia="en-IN"/>
          <w14:ligatures w14:val="none"/>
        </w:rPr>
        <w:t>Baumgardt</w:t>
      </w:r>
      <w:proofErr w:type="spellEnd"/>
      <w:r w:rsidRPr="00BF4F13">
        <w:rPr>
          <w:rFonts w:ascii="Arial" w:eastAsia="Times New Roman" w:hAnsi="Arial" w:cs="Arial"/>
          <w:kern w:val="0"/>
          <w:sz w:val="20"/>
          <w:szCs w:val="20"/>
          <w:lang w:eastAsia="en-IN"/>
          <w14:ligatures w14:val="none"/>
        </w:rPr>
        <w:t xml:space="preserve"> et al., 2020). This dual effect implies that producers must balance yield targets with quality goals; maximizing biomass may not maximize phytochemical concentration, and vice versa.</w:t>
      </w:r>
    </w:p>
    <w:p w14:paraId="764B93DC" w14:textId="77777777"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 xml:space="preserve">In the broader context of sprouts and microgreens, comprehensive reviews conclude that LED light can modify growth, nutrient profiles, and postharvest quality, but responses are species-dependent and likely mediated by shifts in photosynthetic activity and stress-related </w:t>
      </w:r>
      <w:proofErr w:type="spellStart"/>
      <w:r w:rsidRPr="00BF4F13">
        <w:rPr>
          <w:rFonts w:ascii="Arial" w:eastAsia="Times New Roman" w:hAnsi="Arial" w:cs="Arial"/>
          <w:kern w:val="0"/>
          <w:sz w:val="20"/>
          <w:szCs w:val="20"/>
          <w:lang w:eastAsia="en-IN"/>
          <w14:ligatures w14:val="none"/>
        </w:rPr>
        <w:t>signaling</w:t>
      </w:r>
      <w:proofErr w:type="spellEnd"/>
      <w:r w:rsidRPr="00BF4F13">
        <w:rPr>
          <w:rFonts w:ascii="Arial" w:eastAsia="Times New Roman" w:hAnsi="Arial" w:cs="Arial"/>
          <w:kern w:val="0"/>
          <w:sz w:val="20"/>
          <w:szCs w:val="20"/>
          <w:lang w:eastAsia="en-IN"/>
          <w14:ligatures w14:val="none"/>
        </w:rPr>
        <w:t xml:space="preserve"> pathways (Zhang, </w:t>
      </w:r>
      <w:proofErr w:type="spellStart"/>
      <w:r w:rsidRPr="00BF4F13">
        <w:rPr>
          <w:rFonts w:ascii="Arial" w:eastAsia="Times New Roman" w:hAnsi="Arial" w:cs="Arial"/>
          <w:kern w:val="0"/>
          <w:sz w:val="20"/>
          <w:szCs w:val="20"/>
          <w:lang w:eastAsia="en-IN"/>
          <w14:ligatures w14:val="none"/>
        </w:rPr>
        <w:t>Bian</w:t>
      </w:r>
      <w:proofErr w:type="spellEnd"/>
      <w:r w:rsidRPr="00BF4F13">
        <w:rPr>
          <w:rFonts w:ascii="Arial" w:eastAsia="Times New Roman" w:hAnsi="Arial" w:cs="Arial"/>
          <w:kern w:val="0"/>
          <w:sz w:val="20"/>
          <w:szCs w:val="20"/>
          <w:lang w:eastAsia="en-IN"/>
          <w14:ligatures w14:val="none"/>
        </w:rPr>
        <w:t>, et al., 2020). Accordingly, “efficient cultivation” should be defined not as a single yield-maximization strategy but as a multi-objective optimization across yield, nutritional profile, energy cost, and downstream shelf-life.</w:t>
      </w:r>
    </w:p>
    <w:p w14:paraId="4C74687D" w14:textId="77777777" w:rsidR="00BF4F13" w:rsidRPr="00BF4F13" w:rsidRDefault="00BF4F13" w:rsidP="008038A9">
      <w:pPr>
        <w:spacing w:before="100" w:beforeAutospacing="1" w:after="100" w:afterAutospacing="1" w:line="240" w:lineRule="auto"/>
        <w:jc w:val="both"/>
        <w:outlineLvl w:val="2"/>
        <w:rPr>
          <w:rFonts w:ascii="Arial" w:eastAsia="Times New Roman" w:hAnsi="Arial" w:cs="Arial"/>
          <w:b/>
          <w:bCs/>
          <w:kern w:val="0"/>
          <w:sz w:val="20"/>
          <w:szCs w:val="20"/>
          <w:lang w:eastAsia="en-IN"/>
          <w14:ligatures w14:val="none"/>
        </w:rPr>
      </w:pPr>
      <w:r w:rsidRPr="00BF4F13">
        <w:rPr>
          <w:rFonts w:ascii="Arial" w:eastAsia="Times New Roman" w:hAnsi="Arial" w:cs="Arial"/>
          <w:b/>
          <w:bCs/>
          <w:kern w:val="0"/>
          <w:sz w:val="20"/>
          <w:szCs w:val="20"/>
          <w:lang w:eastAsia="en-IN"/>
          <w14:ligatures w14:val="none"/>
        </w:rPr>
        <w:t>6.3. Growth media, sanitation, and irrigation management</w:t>
      </w:r>
    </w:p>
    <w:p w14:paraId="28D97022" w14:textId="23E5558D"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 xml:space="preserve">Microgreens can be cultivated on soil-like substrates, inert mats, or hydroponic systems. </w:t>
      </w:r>
      <w:r w:rsidR="004A3668" w:rsidRPr="002E440F">
        <w:rPr>
          <w:rFonts w:ascii="Arial" w:eastAsia="Times New Roman" w:hAnsi="Arial" w:cs="Arial"/>
          <w:kern w:val="0"/>
          <w:sz w:val="20"/>
          <w:szCs w:val="20"/>
          <w:lang w:eastAsia="en-IN"/>
          <w14:ligatures w14:val="none"/>
        </w:rPr>
        <w:t xml:space="preserve">Growing-medium composition can materially influence microgreen growth, yield, and consumer acceptance; for example, cocopeat amended with vermicompost has been reported to improve performance and </w:t>
      </w:r>
      <w:r w:rsidR="004A3668" w:rsidRPr="002E440F">
        <w:rPr>
          <w:rFonts w:ascii="Arial" w:eastAsia="Times New Roman" w:hAnsi="Arial" w:cs="Arial"/>
          <w:kern w:val="0"/>
          <w:sz w:val="20"/>
          <w:szCs w:val="20"/>
          <w:lang w:eastAsia="en-IN"/>
          <w14:ligatures w14:val="none"/>
        </w:rPr>
        <w:lastRenderedPageBreak/>
        <w:t xml:space="preserve">sensory outcomes compared with cocopeat alone in multiple microgreen types (Shetty et al., 2024). </w:t>
      </w:r>
      <w:r w:rsidRPr="00BF4F13">
        <w:rPr>
          <w:rFonts w:ascii="Arial" w:eastAsia="Times New Roman" w:hAnsi="Arial" w:cs="Arial"/>
          <w:kern w:val="0"/>
          <w:sz w:val="20"/>
          <w:szCs w:val="20"/>
          <w:lang w:eastAsia="en-IN"/>
          <w14:ligatures w14:val="none"/>
        </w:rPr>
        <w:t>Each choice affects water retention, aeration, pathogen ecology, and harvest hygiene. Because microgreens are consumed raw, sanitation practices and seed handling protocols are integral to efficient production in the real-world sense—efficiency includes minimizing losses from contamination or spoilage (Riggio et al., 2019; Turner et al., 2020). Irrigation practices that avoid persistent leaf wetness, combined with clean water and hygienic harvest procedures, are repeatedly emphasized in safety-focused syntheses (Riggio et al., 2019; Turner et al., 2020).</w:t>
      </w:r>
    </w:p>
    <w:p w14:paraId="38AF9155" w14:textId="77777777" w:rsidR="00BF4F13" w:rsidRPr="00BF4F13" w:rsidRDefault="00BF4F13" w:rsidP="008038A9">
      <w:pPr>
        <w:spacing w:before="100" w:beforeAutospacing="1" w:after="100" w:afterAutospacing="1" w:line="240" w:lineRule="auto"/>
        <w:jc w:val="both"/>
        <w:outlineLvl w:val="2"/>
        <w:rPr>
          <w:rFonts w:ascii="Arial" w:eastAsia="Times New Roman" w:hAnsi="Arial" w:cs="Arial"/>
          <w:b/>
          <w:bCs/>
          <w:kern w:val="0"/>
          <w:sz w:val="20"/>
          <w:szCs w:val="20"/>
          <w:lang w:eastAsia="en-IN"/>
          <w14:ligatures w14:val="none"/>
        </w:rPr>
      </w:pPr>
      <w:r w:rsidRPr="00BF4F13">
        <w:rPr>
          <w:rFonts w:ascii="Arial" w:eastAsia="Times New Roman" w:hAnsi="Arial" w:cs="Arial"/>
          <w:b/>
          <w:bCs/>
          <w:kern w:val="0"/>
          <w:sz w:val="20"/>
          <w:szCs w:val="20"/>
          <w:lang w:eastAsia="en-IN"/>
          <w14:ligatures w14:val="none"/>
        </w:rPr>
        <w:t>6.4. Nutritional targeting and product concept development</w:t>
      </w:r>
    </w:p>
    <w:p w14:paraId="42674092" w14:textId="77777777"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 xml:space="preserve">Microgreens are often marketed based on </w:t>
      </w:r>
      <w:proofErr w:type="spellStart"/>
      <w:r w:rsidRPr="00BF4F13">
        <w:rPr>
          <w:rFonts w:ascii="Arial" w:eastAsia="Times New Roman" w:hAnsi="Arial" w:cs="Arial"/>
          <w:kern w:val="0"/>
          <w:sz w:val="20"/>
          <w:szCs w:val="20"/>
          <w:lang w:eastAsia="en-IN"/>
          <w14:ligatures w14:val="none"/>
        </w:rPr>
        <w:t>color</w:t>
      </w:r>
      <w:proofErr w:type="spellEnd"/>
      <w:r w:rsidRPr="00BF4F13">
        <w:rPr>
          <w:rFonts w:ascii="Arial" w:eastAsia="Times New Roman" w:hAnsi="Arial" w:cs="Arial"/>
          <w:kern w:val="0"/>
          <w:sz w:val="20"/>
          <w:szCs w:val="20"/>
          <w:lang w:eastAsia="en-IN"/>
          <w14:ligatures w14:val="none"/>
        </w:rPr>
        <w:t xml:space="preserve">, </w:t>
      </w:r>
      <w:proofErr w:type="spellStart"/>
      <w:r w:rsidRPr="00BF4F13">
        <w:rPr>
          <w:rFonts w:ascii="Arial" w:eastAsia="Times New Roman" w:hAnsi="Arial" w:cs="Arial"/>
          <w:kern w:val="0"/>
          <w:sz w:val="20"/>
          <w:szCs w:val="20"/>
          <w:lang w:eastAsia="en-IN"/>
          <w14:ligatures w14:val="none"/>
        </w:rPr>
        <w:t>flavor</w:t>
      </w:r>
      <w:proofErr w:type="spellEnd"/>
      <w:r w:rsidRPr="00BF4F13">
        <w:rPr>
          <w:rFonts w:ascii="Arial" w:eastAsia="Times New Roman" w:hAnsi="Arial" w:cs="Arial"/>
          <w:kern w:val="0"/>
          <w:sz w:val="20"/>
          <w:szCs w:val="20"/>
          <w:lang w:eastAsia="en-IN"/>
          <w14:ligatures w14:val="none"/>
        </w:rPr>
        <w:t>, and perceived “superfood” attributes. Yet the most credible pathway to differentiated products is evidence-based nutritional targeting using validated compositional analytics and consistent production controls. Nutritional ranking approaches, while imperfect, provide a structured basis for comparing microgreens across multiple nutrients and can be paired with sensory testing to develop cultivars and lighting recipes that align consumer acceptance with nutrient goals (</w:t>
      </w:r>
      <w:proofErr w:type="spellStart"/>
      <w:r w:rsidRPr="00BF4F13">
        <w:rPr>
          <w:rFonts w:ascii="Arial" w:eastAsia="Times New Roman" w:hAnsi="Arial" w:cs="Arial"/>
          <w:kern w:val="0"/>
          <w:sz w:val="20"/>
          <w:szCs w:val="20"/>
          <w:lang w:eastAsia="en-IN"/>
          <w14:ligatures w14:val="none"/>
        </w:rPr>
        <w:t>Ghoora</w:t>
      </w:r>
      <w:proofErr w:type="spellEnd"/>
      <w:r w:rsidRPr="00BF4F13">
        <w:rPr>
          <w:rFonts w:ascii="Arial" w:eastAsia="Times New Roman" w:hAnsi="Arial" w:cs="Arial"/>
          <w:kern w:val="0"/>
          <w:sz w:val="20"/>
          <w:szCs w:val="20"/>
          <w:lang w:eastAsia="en-IN"/>
          <w14:ligatures w14:val="none"/>
        </w:rPr>
        <w:t xml:space="preserve"> et al., 2020; Turner et al., 2020).</w:t>
      </w:r>
    </w:p>
    <w:p w14:paraId="0E2500F3" w14:textId="34A736B7" w:rsidR="00BF4F13" w:rsidRPr="00BF4F13" w:rsidRDefault="00BF4F13" w:rsidP="008038A9">
      <w:pPr>
        <w:spacing w:after="0" w:line="240" w:lineRule="auto"/>
        <w:jc w:val="both"/>
        <w:rPr>
          <w:rFonts w:ascii="Arial" w:eastAsia="Times New Roman" w:hAnsi="Arial" w:cs="Arial"/>
          <w:kern w:val="0"/>
          <w:sz w:val="20"/>
          <w:szCs w:val="20"/>
          <w:lang w:eastAsia="en-IN"/>
          <w14:ligatures w14:val="none"/>
        </w:rPr>
      </w:pPr>
    </w:p>
    <w:p w14:paraId="3CA230EF" w14:textId="77777777" w:rsidR="00BF4F13" w:rsidRPr="00BF4F13" w:rsidRDefault="00BF4F13" w:rsidP="008038A9">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BF4F13">
        <w:rPr>
          <w:rFonts w:ascii="Arial" w:eastAsia="Times New Roman" w:hAnsi="Arial" w:cs="Arial"/>
          <w:b/>
          <w:bCs/>
          <w:kern w:val="0"/>
          <w:sz w:val="20"/>
          <w:szCs w:val="20"/>
          <w:lang w:eastAsia="en-IN"/>
          <w14:ligatures w14:val="none"/>
        </w:rPr>
        <w:t>7. Postharvest quality, shelf life, and food safety</w:t>
      </w:r>
    </w:p>
    <w:p w14:paraId="353C25AE" w14:textId="77777777" w:rsidR="00BF4F13" w:rsidRPr="00BF4F13" w:rsidRDefault="00BF4F13" w:rsidP="008038A9">
      <w:pPr>
        <w:spacing w:before="100" w:beforeAutospacing="1" w:after="100" w:afterAutospacing="1" w:line="240" w:lineRule="auto"/>
        <w:jc w:val="both"/>
        <w:outlineLvl w:val="2"/>
        <w:rPr>
          <w:rFonts w:ascii="Arial" w:eastAsia="Times New Roman" w:hAnsi="Arial" w:cs="Arial"/>
          <w:b/>
          <w:bCs/>
          <w:kern w:val="0"/>
          <w:sz w:val="20"/>
          <w:szCs w:val="20"/>
          <w:lang w:eastAsia="en-IN"/>
          <w14:ligatures w14:val="none"/>
        </w:rPr>
      </w:pPr>
      <w:r w:rsidRPr="00BF4F13">
        <w:rPr>
          <w:rFonts w:ascii="Arial" w:eastAsia="Times New Roman" w:hAnsi="Arial" w:cs="Arial"/>
          <w:b/>
          <w:bCs/>
          <w:kern w:val="0"/>
          <w:sz w:val="20"/>
          <w:szCs w:val="20"/>
          <w:lang w:eastAsia="en-IN"/>
          <w14:ligatures w14:val="none"/>
        </w:rPr>
        <w:t>7.1. Microbiological risk along the farm-to-fork continuum</w:t>
      </w:r>
    </w:p>
    <w:p w14:paraId="5F7E4A6B" w14:textId="77777777"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Microgreens’ safety profile is shaped by seeds, water, growth media, and handling. A farm-to-fork synthesis highlights that contamination can occur at multiple control points, with seeds and irrigation water being central concerns, and notes that microgreens have historically received less safety research attention than sprouts despite overlapping risk factors (Riggio et al., 2019). Because washing can sometimes spread contamination and may accelerate quality loss, preventive controls upstream are typically prioritized, including seed sourcing, sanitation, and environmental management during growth (Riggio et al., 2019; Turner et al., 2020).</w:t>
      </w:r>
    </w:p>
    <w:p w14:paraId="0AF9CC48" w14:textId="77777777" w:rsidR="00BF4F13" w:rsidRPr="00BF4F13" w:rsidRDefault="00BF4F13" w:rsidP="008038A9">
      <w:pPr>
        <w:spacing w:before="100" w:beforeAutospacing="1" w:after="100" w:afterAutospacing="1" w:line="240" w:lineRule="auto"/>
        <w:jc w:val="both"/>
        <w:outlineLvl w:val="2"/>
        <w:rPr>
          <w:rFonts w:ascii="Arial" w:eastAsia="Times New Roman" w:hAnsi="Arial" w:cs="Arial"/>
          <w:b/>
          <w:bCs/>
          <w:kern w:val="0"/>
          <w:sz w:val="20"/>
          <w:szCs w:val="20"/>
          <w:lang w:eastAsia="en-IN"/>
          <w14:ligatures w14:val="none"/>
        </w:rPr>
      </w:pPr>
      <w:r w:rsidRPr="00BF4F13">
        <w:rPr>
          <w:rFonts w:ascii="Arial" w:eastAsia="Times New Roman" w:hAnsi="Arial" w:cs="Arial"/>
          <w:b/>
          <w:bCs/>
          <w:kern w:val="0"/>
          <w:sz w:val="20"/>
          <w:szCs w:val="20"/>
          <w:lang w:eastAsia="en-IN"/>
          <w14:ligatures w14:val="none"/>
        </w:rPr>
        <w:t>7.2. Rapid senescence and the need for integrated handling strategies</w:t>
      </w:r>
    </w:p>
    <w:p w14:paraId="2C1E9EBB" w14:textId="77777777"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 xml:space="preserve">Microgreens can wilt, lose turgor, and degrade nutritionally after harvest. Reviews emphasize temperature control, humidity management, and packaging selection as critical to slowing deterioration and preserving sensory quality (Turner et al., 2020; Zhang, Xiao, et al., 2021). Storage can also interact with digestion-related </w:t>
      </w:r>
      <w:proofErr w:type="spellStart"/>
      <w:r w:rsidRPr="00BF4F13">
        <w:rPr>
          <w:rFonts w:ascii="Arial" w:eastAsia="Times New Roman" w:hAnsi="Arial" w:cs="Arial"/>
          <w:kern w:val="0"/>
          <w:sz w:val="20"/>
          <w:szCs w:val="20"/>
          <w:lang w:eastAsia="en-IN"/>
          <w14:ligatures w14:val="none"/>
        </w:rPr>
        <w:t>bioaccessibility</w:t>
      </w:r>
      <w:proofErr w:type="spellEnd"/>
      <w:r w:rsidRPr="00BF4F13">
        <w:rPr>
          <w:rFonts w:ascii="Arial" w:eastAsia="Times New Roman" w:hAnsi="Arial" w:cs="Arial"/>
          <w:kern w:val="0"/>
          <w:sz w:val="20"/>
          <w:szCs w:val="20"/>
          <w:lang w:eastAsia="en-IN"/>
          <w14:ligatures w14:val="none"/>
        </w:rPr>
        <w:t>; metabolomic studies show that storage alters the chemical profile before digestion even begins, implying that postharvest steps can change functional potential (</w:t>
      </w:r>
      <w:proofErr w:type="spellStart"/>
      <w:r w:rsidRPr="00BF4F13">
        <w:rPr>
          <w:rFonts w:ascii="Arial" w:eastAsia="Times New Roman" w:hAnsi="Arial" w:cs="Arial"/>
          <w:kern w:val="0"/>
          <w:sz w:val="20"/>
          <w:szCs w:val="20"/>
          <w:lang w:eastAsia="en-IN"/>
          <w14:ligatures w14:val="none"/>
        </w:rPr>
        <w:t>Rocchetti</w:t>
      </w:r>
      <w:proofErr w:type="spellEnd"/>
      <w:r w:rsidRPr="00BF4F13">
        <w:rPr>
          <w:rFonts w:ascii="Arial" w:eastAsia="Times New Roman" w:hAnsi="Arial" w:cs="Arial"/>
          <w:kern w:val="0"/>
          <w:sz w:val="20"/>
          <w:szCs w:val="20"/>
          <w:lang w:eastAsia="en-IN"/>
          <w14:ligatures w14:val="none"/>
        </w:rPr>
        <w:t xml:space="preserve"> et al., 2020).</w:t>
      </w:r>
    </w:p>
    <w:p w14:paraId="2DBC24BB" w14:textId="77777777" w:rsidR="00BF4F13" w:rsidRPr="00BF4F13" w:rsidRDefault="00BF4F13" w:rsidP="008038A9">
      <w:pPr>
        <w:spacing w:before="100" w:beforeAutospacing="1" w:after="100" w:afterAutospacing="1" w:line="240" w:lineRule="auto"/>
        <w:jc w:val="both"/>
        <w:outlineLvl w:val="2"/>
        <w:rPr>
          <w:rFonts w:ascii="Arial" w:eastAsia="Times New Roman" w:hAnsi="Arial" w:cs="Arial"/>
          <w:b/>
          <w:bCs/>
          <w:kern w:val="0"/>
          <w:sz w:val="20"/>
          <w:szCs w:val="20"/>
          <w:lang w:eastAsia="en-IN"/>
          <w14:ligatures w14:val="none"/>
        </w:rPr>
      </w:pPr>
      <w:r w:rsidRPr="00BF4F13">
        <w:rPr>
          <w:rFonts w:ascii="Arial" w:eastAsia="Times New Roman" w:hAnsi="Arial" w:cs="Arial"/>
          <w:b/>
          <w:bCs/>
          <w:kern w:val="0"/>
          <w:sz w:val="20"/>
          <w:szCs w:val="20"/>
          <w:lang w:eastAsia="en-IN"/>
          <w14:ligatures w14:val="none"/>
        </w:rPr>
        <w:t>7.3. Packaging innovations: modified atmosphere approaches</w:t>
      </w:r>
    </w:p>
    <w:p w14:paraId="25D9E7A3" w14:textId="77777777"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Packaging is a key intervention because it can reduce water loss, modulate respiration, and suppress microbial growth when appropriately designed. Recent work on sunflower microgreens demonstrates that modified atmosphere packaging strategies can improve physicochemical stability and microbial outcomes across storage durations, though sensory outcomes may vary across film types and active versus passive atmosphere designs (</w:t>
      </w:r>
      <w:proofErr w:type="spellStart"/>
      <w:r w:rsidRPr="00BF4F13">
        <w:rPr>
          <w:rFonts w:ascii="Arial" w:eastAsia="Times New Roman" w:hAnsi="Arial" w:cs="Arial"/>
          <w:kern w:val="0"/>
          <w:sz w:val="20"/>
          <w:szCs w:val="20"/>
          <w:lang w:eastAsia="en-IN"/>
          <w14:ligatures w14:val="none"/>
        </w:rPr>
        <w:t>Azarpazhooh</w:t>
      </w:r>
      <w:proofErr w:type="spellEnd"/>
      <w:r w:rsidRPr="00BF4F13">
        <w:rPr>
          <w:rFonts w:ascii="Arial" w:eastAsia="Times New Roman" w:hAnsi="Arial" w:cs="Arial"/>
          <w:kern w:val="0"/>
          <w:sz w:val="20"/>
          <w:szCs w:val="20"/>
          <w:lang w:eastAsia="en-IN"/>
          <w14:ligatures w14:val="none"/>
        </w:rPr>
        <w:t xml:space="preserve"> et al., 2026). These results reinforce the principle that packaging should be optimized for the specific microgreen type, because respiration rate, leaf structure, and susceptibility to off-</w:t>
      </w:r>
      <w:proofErr w:type="spellStart"/>
      <w:r w:rsidRPr="00BF4F13">
        <w:rPr>
          <w:rFonts w:ascii="Arial" w:eastAsia="Times New Roman" w:hAnsi="Arial" w:cs="Arial"/>
          <w:kern w:val="0"/>
          <w:sz w:val="20"/>
          <w:szCs w:val="20"/>
          <w:lang w:eastAsia="en-IN"/>
          <w14:ligatures w14:val="none"/>
        </w:rPr>
        <w:t>odors</w:t>
      </w:r>
      <w:proofErr w:type="spellEnd"/>
      <w:r w:rsidRPr="00BF4F13">
        <w:rPr>
          <w:rFonts w:ascii="Arial" w:eastAsia="Times New Roman" w:hAnsi="Arial" w:cs="Arial"/>
          <w:kern w:val="0"/>
          <w:sz w:val="20"/>
          <w:szCs w:val="20"/>
          <w:lang w:eastAsia="en-IN"/>
          <w14:ligatures w14:val="none"/>
        </w:rPr>
        <w:t xml:space="preserve"> differ across species and can interact with gas composition.</w:t>
      </w:r>
    </w:p>
    <w:p w14:paraId="3398198E" w14:textId="77777777" w:rsidR="00BF4F13" w:rsidRPr="00BF4F13" w:rsidRDefault="00BF4F13" w:rsidP="008038A9">
      <w:pPr>
        <w:spacing w:before="100" w:beforeAutospacing="1" w:after="100" w:afterAutospacing="1" w:line="240" w:lineRule="auto"/>
        <w:jc w:val="both"/>
        <w:outlineLvl w:val="2"/>
        <w:rPr>
          <w:rFonts w:ascii="Arial" w:eastAsia="Times New Roman" w:hAnsi="Arial" w:cs="Arial"/>
          <w:b/>
          <w:bCs/>
          <w:kern w:val="0"/>
          <w:sz w:val="20"/>
          <w:szCs w:val="20"/>
          <w:lang w:eastAsia="en-IN"/>
          <w14:ligatures w14:val="none"/>
        </w:rPr>
      </w:pPr>
      <w:r w:rsidRPr="00BF4F13">
        <w:rPr>
          <w:rFonts w:ascii="Arial" w:eastAsia="Times New Roman" w:hAnsi="Arial" w:cs="Arial"/>
          <w:b/>
          <w:bCs/>
          <w:kern w:val="0"/>
          <w:sz w:val="20"/>
          <w:szCs w:val="20"/>
          <w:lang w:eastAsia="en-IN"/>
          <w14:ligatures w14:val="none"/>
        </w:rPr>
        <w:t>7.4. Species-specific postharvest outcomes: the example of arugula microgreens</w:t>
      </w:r>
    </w:p>
    <w:p w14:paraId="77C8ED9E" w14:textId="47201068"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Arugula microgreens illustrate how microbiological quality, physicochemical parameters, and sensory attributes jointly define shelf-life. Evidence indicates that packaging choice and storage conditions can materially affect microbial counts and perceived freshness, supporting the need for product-specific postharvest protocols rather than generalized recommendations across all microgreens (</w:t>
      </w:r>
      <w:proofErr w:type="spellStart"/>
      <w:r w:rsidRPr="00BF4F13">
        <w:rPr>
          <w:rFonts w:ascii="Arial" w:eastAsia="Times New Roman" w:hAnsi="Arial" w:cs="Arial"/>
          <w:kern w:val="0"/>
          <w:sz w:val="20"/>
          <w:szCs w:val="20"/>
          <w:lang w:eastAsia="en-IN"/>
          <w14:ligatures w14:val="none"/>
        </w:rPr>
        <w:t>Komeroski</w:t>
      </w:r>
      <w:proofErr w:type="spellEnd"/>
      <w:r w:rsidRPr="00BF4F13">
        <w:rPr>
          <w:rFonts w:ascii="Arial" w:eastAsia="Times New Roman" w:hAnsi="Arial" w:cs="Arial"/>
          <w:kern w:val="0"/>
          <w:sz w:val="20"/>
          <w:szCs w:val="20"/>
          <w:lang w:eastAsia="en-IN"/>
          <w14:ligatures w14:val="none"/>
        </w:rPr>
        <w:t xml:space="preserve"> et al., 2024).</w:t>
      </w:r>
    </w:p>
    <w:p w14:paraId="7250B3B7" w14:textId="77777777" w:rsidR="00BF4F13" w:rsidRPr="00BF4F13" w:rsidRDefault="00BF4F13" w:rsidP="008038A9">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BF4F13">
        <w:rPr>
          <w:rFonts w:ascii="Arial" w:eastAsia="Times New Roman" w:hAnsi="Arial" w:cs="Arial"/>
          <w:b/>
          <w:bCs/>
          <w:kern w:val="0"/>
          <w:sz w:val="20"/>
          <w:szCs w:val="20"/>
          <w:lang w:eastAsia="en-IN"/>
          <w14:ligatures w14:val="none"/>
        </w:rPr>
        <w:lastRenderedPageBreak/>
        <w:t>8. Sustainability and resource efficiency in microgreen systems</w:t>
      </w:r>
    </w:p>
    <w:p w14:paraId="1D0B7449" w14:textId="77777777"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Microgreens are often described as efficient because they can be produced quickly in small spaces. However, the sustainability profile depends on the production system. Indoor vertical farming can reduce land use and enable local supply chains, but energy demand—especially for lighting and climate control—can dominate environmental impacts. Life cycle assessment of indoor vertical farm microgreen production shows that operational settings, including temperature, carbon dioxide management, and photoperiod, influence both yield and environmental performance, implying that “efficiency” must be evaluated on a whole-system basis rather than yield alone (Parkes et al., 2023).</w:t>
      </w:r>
    </w:p>
    <w:p w14:paraId="5B78D149" w14:textId="77777777"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 xml:space="preserve">Lighting optimization therefore has dual importance: it is not only a nutritional and quality lever but also a principal driver of energy use. The capacity to tune spectra and intensity to achieve acceptable yield and desired nutrient profiles at lower energy cost is a central pathway toward more sustainable microgreen production. </w:t>
      </w:r>
      <w:proofErr w:type="gramStart"/>
      <w:r w:rsidRPr="00BF4F13">
        <w:rPr>
          <w:rFonts w:ascii="Arial" w:eastAsia="Times New Roman" w:hAnsi="Arial" w:cs="Arial"/>
          <w:kern w:val="0"/>
          <w:sz w:val="20"/>
          <w:szCs w:val="20"/>
          <w:lang w:eastAsia="en-IN"/>
          <w14:ligatures w14:val="none"/>
        </w:rPr>
        <w:t>This systems</w:t>
      </w:r>
      <w:proofErr w:type="gramEnd"/>
      <w:r w:rsidRPr="00BF4F13">
        <w:rPr>
          <w:rFonts w:ascii="Arial" w:eastAsia="Times New Roman" w:hAnsi="Arial" w:cs="Arial"/>
          <w:kern w:val="0"/>
          <w:sz w:val="20"/>
          <w:szCs w:val="20"/>
          <w:lang w:eastAsia="en-IN"/>
          <w14:ligatures w14:val="none"/>
        </w:rPr>
        <w:t xml:space="preserve"> framing also suggests that future research should compare alternative strategies such as breeding for high nutrient density under lower light, or using dynamic lighting schedules that concentrate high-energy spectra only during developmental windows most responsive for target metabolites (Jones-</w:t>
      </w:r>
      <w:proofErr w:type="spellStart"/>
      <w:r w:rsidRPr="00BF4F13">
        <w:rPr>
          <w:rFonts w:ascii="Arial" w:eastAsia="Times New Roman" w:hAnsi="Arial" w:cs="Arial"/>
          <w:kern w:val="0"/>
          <w:sz w:val="20"/>
          <w:szCs w:val="20"/>
          <w:lang w:eastAsia="en-IN"/>
          <w14:ligatures w14:val="none"/>
        </w:rPr>
        <w:t>Baumgardt</w:t>
      </w:r>
      <w:proofErr w:type="spellEnd"/>
      <w:r w:rsidRPr="00BF4F13">
        <w:rPr>
          <w:rFonts w:ascii="Arial" w:eastAsia="Times New Roman" w:hAnsi="Arial" w:cs="Arial"/>
          <w:kern w:val="0"/>
          <w:sz w:val="20"/>
          <w:szCs w:val="20"/>
          <w:lang w:eastAsia="en-IN"/>
          <w14:ligatures w14:val="none"/>
        </w:rPr>
        <w:t xml:space="preserve"> et al., 2020; Parkes et al., 2023; Zhang, </w:t>
      </w:r>
      <w:proofErr w:type="spellStart"/>
      <w:r w:rsidRPr="00BF4F13">
        <w:rPr>
          <w:rFonts w:ascii="Arial" w:eastAsia="Times New Roman" w:hAnsi="Arial" w:cs="Arial"/>
          <w:kern w:val="0"/>
          <w:sz w:val="20"/>
          <w:szCs w:val="20"/>
          <w:lang w:eastAsia="en-IN"/>
          <w14:ligatures w14:val="none"/>
        </w:rPr>
        <w:t>Bian</w:t>
      </w:r>
      <w:proofErr w:type="spellEnd"/>
      <w:r w:rsidRPr="00BF4F13">
        <w:rPr>
          <w:rFonts w:ascii="Arial" w:eastAsia="Times New Roman" w:hAnsi="Arial" w:cs="Arial"/>
          <w:kern w:val="0"/>
          <w:sz w:val="20"/>
          <w:szCs w:val="20"/>
          <w:lang w:eastAsia="en-IN"/>
          <w14:ligatures w14:val="none"/>
        </w:rPr>
        <w:t>, et al., 2020).</w:t>
      </w:r>
    </w:p>
    <w:p w14:paraId="6FAD2187" w14:textId="50BB93C0"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Finally, postharvest loss reduction is a sustainability intervention in its own right. Extending shelf-life through optimized packaging and cold-chain management can reduce waste, improving the effective resource efficiency per consumed serving. Innovations such as modified atmosphere packaging, when appropriately matched to the commodity, can contribute to this objective by preserving quality and limiting microbial proliferation (</w:t>
      </w:r>
      <w:proofErr w:type="spellStart"/>
      <w:r w:rsidRPr="00BF4F13">
        <w:rPr>
          <w:rFonts w:ascii="Arial" w:eastAsia="Times New Roman" w:hAnsi="Arial" w:cs="Arial"/>
          <w:kern w:val="0"/>
          <w:sz w:val="20"/>
          <w:szCs w:val="20"/>
          <w:lang w:eastAsia="en-IN"/>
          <w14:ligatures w14:val="none"/>
        </w:rPr>
        <w:t>Azarpazhooh</w:t>
      </w:r>
      <w:proofErr w:type="spellEnd"/>
      <w:r w:rsidRPr="00BF4F13">
        <w:rPr>
          <w:rFonts w:ascii="Arial" w:eastAsia="Times New Roman" w:hAnsi="Arial" w:cs="Arial"/>
          <w:kern w:val="0"/>
          <w:sz w:val="20"/>
          <w:szCs w:val="20"/>
          <w:lang w:eastAsia="en-IN"/>
          <w14:ligatures w14:val="none"/>
        </w:rPr>
        <w:t xml:space="preserve"> et al., 2026; </w:t>
      </w:r>
      <w:proofErr w:type="spellStart"/>
      <w:r w:rsidRPr="00BF4F13">
        <w:rPr>
          <w:rFonts w:ascii="Arial" w:eastAsia="Times New Roman" w:hAnsi="Arial" w:cs="Arial"/>
          <w:kern w:val="0"/>
          <w:sz w:val="20"/>
          <w:szCs w:val="20"/>
          <w:lang w:eastAsia="en-IN"/>
          <w14:ligatures w14:val="none"/>
        </w:rPr>
        <w:t>Komeroski</w:t>
      </w:r>
      <w:proofErr w:type="spellEnd"/>
      <w:r w:rsidRPr="00BF4F13">
        <w:rPr>
          <w:rFonts w:ascii="Arial" w:eastAsia="Times New Roman" w:hAnsi="Arial" w:cs="Arial"/>
          <w:kern w:val="0"/>
          <w:sz w:val="20"/>
          <w:szCs w:val="20"/>
          <w:lang w:eastAsia="en-IN"/>
          <w14:ligatures w14:val="none"/>
        </w:rPr>
        <w:t xml:space="preserve"> et al., 2024).</w:t>
      </w:r>
    </w:p>
    <w:p w14:paraId="5FEC34B9" w14:textId="77777777" w:rsidR="00BF4F13" w:rsidRPr="00BF4F13" w:rsidRDefault="00BF4F13" w:rsidP="008038A9">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BF4F13">
        <w:rPr>
          <w:rFonts w:ascii="Arial" w:eastAsia="Times New Roman" w:hAnsi="Arial" w:cs="Arial"/>
          <w:b/>
          <w:bCs/>
          <w:kern w:val="0"/>
          <w:sz w:val="20"/>
          <w:szCs w:val="20"/>
          <w:lang w:eastAsia="en-IN"/>
          <w14:ligatures w14:val="none"/>
        </w:rPr>
        <w:t>9. Research gaps and future directions</w:t>
      </w:r>
    </w:p>
    <w:p w14:paraId="03AF80A4" w14:textId="77777777"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Across the recent literature, three gaps consistently emerge. The first is translational evidence: compositional richness is well established, but human clinical studies that test realistic serving sizes and specific microgreen types remain scarce, limiting the strength of health claims (Turner et al., 2020; Zhang, Xiao, et al., 2021). The second gap is standardization. Differences in harvest stage definitions, reporting of lighting intensity and spectra, growth media characterization, and postharvest protocols complicate cross-study synthesis. The third gap concerns system-level optimization: indoor production can be extremely productive per unit area, yet energy impacts can be large, so nutritional optimization must be integrated with lifecycle thinking (Parkes et al., 2023).</w:t>
      </w:r>
    </w:p>
    <w:p w14:paraId="76A5D34C" w14:textId="5F6570F7"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 xml:space="preserve">Methodologically, future studies would benefit from pairing metabolomics and digestion models with controlled agronomic interventions so that producers can predict not only which compounds increase under certain lighting recipes, but which of those compounds remain stable through storage and </w:t>
      </w:r>
      <w:proofErr w:type="spellStart"/>
      <w:r w:rsidRPr="00BF4F13">
        <w:rPr>
          <w:rFonts w:ascii="Arial" w:eastAsia="Times New Roman" w:hAnsi="Arial" w:cs="Arial"/>
          <w:kern w:val="0"/>
          <w:sz w:val="20"/>
          <w:szCs w:val="20"/>
          <w:lang w:eastAsia="en-IN"/>
          <w14:ligatures w14:val="none"/>
        </w:rPr>
        <w:t>bioaccessible</w:t>
      </w:r>
      <w:proofErr w:type="spellEnd"/>
      <w:r w:rsidRPr="00BF4F13">
        <w:rPr>
          <w:rFonts w:ascii="Arial" w:eastAsia="Times New Roman" w:hAnsi="Arial" w:cs="Arial"/>
          <w:kern w:val="0"/>
          <w:sz w:val="20"/>
          <w:szCs w:val="20"/>
          <w:lang w:eastAsia="en-IN"/>
          <w14:ligatures w14:val="none"/>
        </w:rPr>
        <w:t xml:space="preserve"> during digestion (</w:t>
      </w:r>
      <w:proofErr w:type="spellStart"/>
      <w:r w:rsidRPr="00BF4F13">
        <w:rPr>
          <w:rFonts w:ascii="Arial" w:eastAsia="Times New Roman" w:hAnsi="Arial" w:cs="Arial"/>
          <w:kern w:val="0"/>
          <w:sz w:val="20"/>
          <w:szCs w:val="20"/>
          <w:lang w:eastAsia="en-IN"/>
          <w14:ligatures w14:val="none"/>
        </w:rPr>
        <w:t>Rocchetti</w:t>
      </w:r>
      <w:proofErr w:type="spellEnd"/>
      <w:r w:rsidRPr="00BF4F13">
        <w:rPr>
          <w:rFonts w:ascii="Arial" w:eastAsia="Times New Roman" w:hAnsi="Arial" w:cs="Arial"/>
          <w:kern w:val="0"/>
          <w:sz w:val="20"/>
          <w:szCs w:val="20"/>
          <w:lang w:eastAsia="en-IN"/>
          <w14:ligatures w14:val="none"/>
        </w:rPr>
        <w:t xml:space="preserve"> et al., 2020; Tomas et al., 2021). Similarly, safety research should continue to clarify where microgreens differ from sprouts in risk profile and which preventive controls are most effective under dense indoor cultivation (Riggio et al., 2019).</w:t>
      </w:r>
    </w:p>
    <w:p w14:paraId="52A808DD" w14:textId="77777777" w:rsidR="00BF4F13" w:rsidRPr="00BF4F13" w:rsidRDefault="00BF4F13" w:rsidP="008038A9">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BF4F13">
        <w:rPr>
          <w:rFonts w:ascii="Arial" w:eastAsia="Times New Roman" w:hAnsi="Arial" w:cs="Arial"/>
          <w:b/>
          <w:bCs/>
          <w:kern w:val="0"/>
          <w:sz w:val="20"/>
          <w:szCs w:val="20"/>
          <w:lang w:eastAsia="en-IN"/>
          <w14:ligatures w14:val="none"/>
        </w:rPr>
        <w:t>10. Conclusions</w:t>
      </w:r>
    </w:p>
    <w:p w14:paraId="39CCB8E7" w14:textId="549C34AB" w:rsidR="00BF4F13" w:rsidRPr="00BF4F13" w:rsidRDefault="00BF4F13"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 xml:space="preserve">Microgreens represent a biologically diverse crop class capable of delivering concentrated micronutrients and phytochemicals in a small, rapidly produced biomass. Evidence indicates strong genotype dependence for vitamins, pigments, phenolics, and </w:t>
      </w:r>
      <w:proofErr w:type="spellStart"/>
      <w:r w:rsidRPr="00BF4F13">
        <w:rPr>
          <w:rFonts w:ascii="Arial" w:eastAsia="Times New Roman" w:hAnsi="Arial" w:cs="Arial"/>
          <w:kern w:val="0"/>
          <w:sz w:val="20"/>
          <w:szCs w:val="20"/>
          <w:lang w:eastAsia="en-IN"/>
          <w14:ligatures w14:val="none"/>
        </w:rPr>
        <w:t>glucosinolates</w:t>
      </w:r>
      <w:proofErr w:type="spellEnd"/>
      <w:r w:rsidRPr="00BF4F13">
        <w:rPr>
          <w:rFonts w:ascii="Arial" w:eastAsia="Times New Roman" w:hAnsi="Arial" w:cs="Arial"/>
          <w:kern w:val="0"/>
          <w:sz w:val="20"/>
          <w:szCs w:val="20"/>
          <w:lang w:eastAsia="en-IN"/>
          <w14:ligatures w14:val="none"/>
        </w:rPr>
        <w:t>, suggesting that cultivar selection is the foundational step in nutritional optimization. Controlled-environment cultivation—especially the manipulation of LED spectrum and intensity—can further tune phytochemical profiles and visual quality, but responses are species-specific and require crop-tailored recipes. Postharvest quality and safety remain decisive constraints because microgreens are fragile and commonly consumed raw, necessitating integrated hygiene management, cold-chain control, and packaging solutions. From a sustainability perspective, whole-system performance in indoor farming depends heavily on operational choices and energy use, and improved shelf-life can meaningfully reduce waste. Overall, microgreens offer genuine promise as functional greens and as a platform for precision nutrition-oriented horticulture, provided that production and postharvest systems are designed to deliver consistent quality, safety, and environmentally responsible performance.</w:t>
      </w:r>
    </w:p>
    <w:p w14:paraId="7DDE3647" w14:textId="77777777" w:rsidR="00BF4F13" w:rsidRPr="00BF4F13" w:rsidRDefault="00BF4F13" w:rsidP="008038A9">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BF4F13">
        <w:rPr>
          <w:rFonts w:ascii="Arial" w:eastAsia="Times New Roman" w:hAnsi="Arial" w:cs="Arial"/>
          <w:b/>
          <w:bCs/>
          <w:kern w:val="0"/>
          <w:sz w:val="20"/>
          <w:szCs w:val="20"/>
          <w:lang w:eastAsia="en-IN"/>
          <w14:ligatures w14:val="none"/>
        </w:rPr>
        <w:lastRenderedPageBreak/>
        <w:t>11. Limitations</w:t>
      </w:r>
    </w:p>
    <w:p w14:paraId="207CC385" w14:textId="5A7CEDE7" w:rsidR="00BF4F13" w:rsidRPr="00BF4F13" w:rsidRDefault="00BF4F13" w:rsidP="008038A9">
      <w:pPr>
        <w:spacing w:after="0" w:line="240" w:lineRule="auto"/>
        <w:jc w:val="both"/>
        <w:rPr>
          <w:rFonts w:ascii="Arial" w:eastAsia="Times New Roman" w:hAnsi="Arial" w:cs="Arial"/>
          <w:kern w:val="0"/>
          <w:sz w:val="20"/>
          <w:szCs w:val="20"/>
          <w:lang w:eastAsia="en-IN"/>
          <w14:ligatures w14:val="none"/>
        </w:rPr>
      </w:pPr>
      <w:r w:rsidRPr="002E440F">
        <w:rPr>
          <w:rFonts w:ascii="Arial" w:eastAsia="Times New Roman" w:hAnsi="Arial" w:cs="Arial"/>
          <w:kern w:val="0"/>
          <w:sz w:val="20"/>
          <w:szCs w:val="20"/>
          <w:lang w:eastAsia="en-IN"/>
          <w14:ligatures w14:val="none"/>
        </w:rPr>
        <w:t xml:space="preserve">This review is constrained by substantial heterogeneity in how microgreen studies define the commodity, report harvest stage, and describe production conditions. Differences in cultivar identity, seeding density, growth medium, irrigation practices, nutrient delivery, and environmental settings make it difficult to compare results directly or to generalize findings across species. Analytical variability also limits synthesis, as studies employ different extraction methods, phytochemical assays, and reporting bases (fresh weight versus dry weight), which can shift apparent nutrient rankings. Evidence for health benefits is additionally limited by the scarcity of well-powered human intervention studies using realistic serving sizes and standardized microgreen products; consequently, many health-related conclusions remain inferential rather than clinically confirmed. Postharvest </w:t>
      </w:r>
      <w:proofErr w:type="spellStart"/>
      <w:r w:rsidRPr="002E440F">
        <w:rPr>
          <w:rFonts w:ascii="Arial" w:eastAsia="Times New Roman" w:hAnsi="Arial" w:cs="Arial"/>
          <w:kern w:val="0"/>
          <w:sz w:val="20"/>
          <w:szCs w:val="20"/>
          <w:lang w:eastAsia="en-IN"/>
          <w14:ligatures w14:val="none"/>
        </w:rPr>
        <w:t>behavior</w:t>
      </w:r>
      <w:proofErr w:type="spellEnd"/>
      <w:r w:rsidRPr="002E440F">
        <w:rPr>
          <w:rFonts w:ascii="Arial" w:eastAsia="Times New Roman" w:hAnsi="Arial" w:cs="Arial"/>
          <w:kern w:val="0"/>
          <w:sz w:val="20"/>
          <w:szCs w:val="20"/>
          <w:lang w:eastAsia="en-IN"/>
          <w14:ligatures w14:val="none"/>
        </w:rPr>
        <w:t xml:space="preserve"> is another source of uncertainty because storage temperature, humidity control, and packaging choices vary widely and are often underreported, despite their strong influence on nutrient retention and sensory quality. Finally, sustainability implications are context dependent: environmental performance can change markedly with electricity source, facility design, and operational strategy, so conclusions about “efficiency” may not transfer across regions or production scales without careful system boundary alignment.</w:t>
      </w:r>
    </w:p>
    <w:p w14:paraId="0A6813C6" w14:textId="77777777" w:rsidR="001E337C" w:rsidRPr="002E440F" w:rsidRDefault="001E337C" w:rsidP="008038A9">
      <w:pPr>
        <w:jc w:val="both"/>
        <w:rPr>
          <w:rFonts w:ascii="Arial" w:hAnsi="Arial" w:cs="Arial"/>
          <w:sz w:val="20"/>
          <w:szCs w:val="20"/>
        </w:rPr>
      </w:pPr>
    </w:p>
    <w:p w14:paraId="0AD23373" w14:textId="77777777" w:rsidR="000F01A6" w:rsidRDefault="000F01A6" w:rsidP="008038A9">
      <w:pPr>
        <w:jc w:val="both"/>
        <w:rPr>
          <w:rFonts w:ascii="Calibri" w:eastAsia="Calibri" w:hAnsi="Calibri" w:cs="Times New Roman"/>
          <w:highlight w:val="yellow"/>
          <w:lang w:val="en-US"/>
        </w:rPr>
      </w:pPr>
      <w:bookmarkStart w:id="1" w:name="_Hlk219110679"/>
    </w:p>
    <w:p w14:paraId="3D0C72F5" w14:textId="77777777" w:rsidR="000F01A6" w:rsidRPr="00005ED1" w:rsidRDefault="000F01A6" w:rsidP="008038A9">
      <w:pPr>
        <w:pStyle w:val="NoSpacing"/>
        <w:jc w:val="both"/>
        <w:rPr>
          <w:rFonts w:ascii="Arial" w:hAnsi="Arial" w:cs="Arial"/>
          <w:highlight w:val="yellow"/>
        </w:rPr>
      </w:pPr>
      <w:bookmarkStart w:id="2" w:name="_Hlk219284361"/>
      <w:bookmarkStart w:id="3" w:name="_Hlk198031404"/>
      <w:bookmarkStart w:id="4" w:name="_Hlk219128673"/>
      <w:r w:rsidRPr="00005ED1">
        <w:rPr>
          <w:rFonts w:ascii="Arial" w:hAnsi="Arial" w:cs="Arial"/>
          <w:highlight w:val="yellow"/>
        </w:rPr>
        <w:t>Disclaimer (Artificial intelligence)</w:t>
      </w:r>
    </w:p>
    <w:p w14:paraId="21A2F2FA" w14:textId="77777777" w:rsidR="000F01A6" w:rsidRPr="00005ED1" w:rsidRDefault="000F01A6" w:rsidP="008038A9">
      <w:pPr>
        <w:pStyle w:val="NoSpacing"/>
        <w:jc w:val="both"/>
        <w:rPr>
          <w:rFonts w:ascii="Arial" w:hAnsi="Arial" w:cs="Arial"/>
          <w:highlight w:val="yellow"/>
        </w:rPr>
      </w:pPr>
    </w:p>
    <w:p w14:paraId="03502FB9" w14:textId="77777777" w:rsidR="000F01A6" w:rsidRPr="00005ED1" w:rsidRDefault="000F01A6" w:rsidP="008038A9">
      <w:pPr>
        <w:pStyle w:val="NoSpacing"/>
        <w:jc w:val="both"/>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2"/>
      <w:r w:rsidRPr="00005ED1">
        <w:rPr>
          <w:rFonts w:ascii="Arial" w:hAnsi="Arial" w:cs="Arial"/>
          <w:highlight w:val="yellow"/>
        </w:rPr>
        <w:t xml:space="preserve">. </w:t>
      </w:r>
    </w:p>
    <w:bookmarkEnd w:id="3"/>
    <w:p w14:paraId="364389F3" w14:textId="77777777" w:rsidR="000F01A6" w:rsidRDefault="000F01A6" w:rsidP="008038A9">
      <w:pPr>
        <w:pStyle w:val="NoSpacing"/>
        <w:jc w:val="both"/>
        <w:rPr>
          <w:rFonts w:ascii="Arial" w:hAnsi="Arial" w:cs="Arial"/>
        </w:rPr>
      </w:pPr>
    </w:p>
    <w:bookmarkEnd w:id="1"/>
    <w:bookmarkEnd w:id="4"/>
    <w:p w14:paraId="29FBDC48" w14:textId="77777777" w:rsidR="000F01A6" w:rsidRDefault="000F01A6" w:rsidP="008038A9">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p>
    <w:p w14:paraId="59E44778" w14:textId="0D73AE8C" w:rsidR="002E440F" w:rsidRPr="002E440F" w:rsidRDefault="002E440F" w:rsidP="008038A9">
      <w:pPr>
        <w:spacing w:before="100" w:beforeAutospacing="1" w:after="100" w:afterAutospacing="1" w:line="240" w:lineRule="auto"/>
        <w:jc w:val="both"/>
        <w:outlineLvl w:val="1"/>
        <w:rPr>
          <w:rFonts w:ascii="Arial" w:hAnsi="Arial" w:cs="Arial"/>
          <w:sz w:val="20"/>
          <w:szCs w:val="20"/>
        </w:rPr>
      </w:pPr>
      <w:r w:rsidRPr="002E440F">
        <w:rPr>
          <w:rFonts w:ascii="Arial" w:eastAsia="Times New Roman" w:hAnsi="Arial" w:cs="Arial"/>
          <w:b/>
          <w:bCs/>
          <w:kern w:val="0"/>
          <w:sz w:val="20"/>
          <w:szCs w:val="20"/>
          <w:lang w:eastAsia="en-IN"/>
          <w14:ligatures w14:val="none"/>
        </w:rPr>
        <w:t>References</w:t>
      </w:r>
    </w:p>
    <w:p w14:paraId="7EAEAF3B" w14:textId="77777777" w:rsidR="002E440F" w:rsidRPr="00BF4F13" w:rsidRDefault="002E440F"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proofErr w:type="spellStart"/>
      <w:r w:rsidRPr="00BF4F13">
        <w:rPr>
          <w:rFonts w:ascii="Arial" w:eastAsia="Times New Roman" w:hAnsi="Arial" w:cs="Arial"/>
          <w:kern w:val="0"/>
          <w:sz w:val="20"/>
          <w:szCs w:val="20"/>
          <w:lang w:eastAsia="en-IN"/>
          <w14:ligatures w14:val="none"/>
        </w:rPr>
        <w:t>Azarpazhooh</w:t>
      </w:r>
      <w:proofErr w:type="spellEnd"/>
      <w:r w:rsidRPr="00BF4F13">
        <w:rPr>
          <w:rFonts w:ascii="Arial" w:eastAsia="Times New Roman" w:hAnsi="Arial" w:cs="Arial"/>
          <w:kern w:val="0"/>
          <w:sz w:val="20"/>
          <w:szCs w:val="20"/>
          <w:lang w:eastAsia="en-IN"/>
          <w14:ligatures w14:val="none"/>
        </w:rPr>
        <w:t xml:space="preserve">, E., </w:t>
      </w:r>
      <w:proofErr w:type="spellStart"/>
      <w:r w:rsidRPr="00BF4F13">
        <w:rPr>
          <w:rFonts w:ascii="Arial" w:eastAsia="Times New Roman" w:hAnsi="Arial" w:cs="Arial"/>
          <w:kern w:val="0"/>
          <w:sz w:val="20"/>
          <w:szCs w:val="20"/>
          <w:lang w:eastAsia="en-IN"/>
          <w14:ligatures w14:val="none"/>
        </w:rPr>
        <w:t>Sharayei</w:t>
      </w:r>
      <w:proofErr w:type="spellEnd"/>
      <w:r w:rsidRPr="00BF4F13">
        <w:rPr>
          <w:rFonts w:ascii="Arial" w:eastAsia="Times New Roman" w:hAnsi="Arial" w:cs="Arial"/>
          <w:kern w:val="0"/>
          <w:sz w:val="20"/>
          <w:szCs w:val="20"/>
          <w:lang w:eastAsia="en-IN"/>
          <w14:ligatures w14:val="none"/>
        </w:rPr>
        <w:t xml:space="preserve">, P., </w:t>
      </w:r>
      <w:proofErr w:type="spellStart"/>
      <w:r w:rsidRPr="00BF4F13">
        <w:rPr>
          <w:rFonts w:ascii="Arial" w:eastAsia="Times New Roman" w:hAnsi="Arial" w:cs="Arial"/>
          <w:kern w:val="0"/>
          <w:sz w:val="20"/>
          <w:szCs w:val="20"/>
          <w:lang w:eastAsia="en-IN"/>
          <w14:ligatures w14:val="none"/>
        </w:rPr>
        <w:t>Sabeghi</w:t>
      </w:r>
      <w:proofErr w:type="spellEnd"/>
      <w:r w:rsidRPr="00BF4F13">
        <w:rPr>
          <w:rFonts w:ascii="Arial" w:eastAsia="Times New Roman" w:hAnsi="Arial" w:cs="Arial"/>
          <w:kern w:val="0"/>
          <w:sz w:val="20"/>
          <w:szCs w:val="20"/>
          <w:lang w:eastAsia="en-IN"/>
          <w14:ligatures w14:val="none"/>
        </w:rPr>
        <w:t xml:space="preserve">, Y., </w:t>
      </w:r>
      <w:proofErr w:type="spellStart"/>
      <w:r w:rsidRPr="00BF4F13">
        <w:rPr>
          <w:rFonts w:ascii="Arial" w:eastAsia="Times New Roman" w:hAnsi="Arial" w:cs="Arial"/>
          <w:kern w:val="0"/>
          <w:sz w:val="20"/>
          <w:szCs w:val="20"/>
          <w:lang w:eastAsia="en-IN"/>
          <w14:ligatures w14:val="none"/>
        </w:rPr>
        <w:t>Zare</w:t>
      </w:r>
      <w:proofErr w:type="spellEnd"/>
      <w:r w:rsidRPr="00BF4F13">
        <w:rPr>
          <w:rFonts w:ascii="Arial" w:eastAsia="Times New Roman" w:hAnsi="Arial" w:cs="Arial"/>
          <w:kern w:val="0"/>
          <w:sz w:val="20"/>
          <w:szCs w:val="20"/>
          <w:lang w:eastAsia="en-IN"/>
          <w14:ligatures w14:val="none"/>
        </w:rPr>
        <w:t>, F., Rui, X., &amp; Ramaswamy, H. S. (2026). Modified atmosphere packaging of sunflower microgreens (</w:t>
      </w:r>
      <w:r w:rsidRPr="00BF4F13">
        <w:rPr>
          <w:rFonts w:ascii="Arial" w:eastAsia="Times New Roman" w:hAnsi="Arial" w:cs="Arial"/>
          <w:i/>
          <w:iCs/>
          <w:kern w:val="0"/>
          <w:sz w:val="20"/>
          <w:szCs w:val="20"/>
          <w:lang w:eastAsia="en-IN"/>
          <w14:ligatures w14:val="none"/>
        </w:rPr>
        <w:t xml:space="preserve">Helianthus </w:t>
      </w:r>
      <w:proofErr w:type="spellStart"/>
      <w:r w:rsidRPr="00BF4F13">
        <w:rPr>
          <w:rFonts w:ascii="Arial" w:eastAsia="Times New Roman" w:hAnsi="Arial" w:cs="Arial"/>
          <w:i/>
          <w:iCs/>
          <w:kern w:val="0"/>
          <w:sz w:val="20"/>
          <w:szCs w:val="20"/>
          <w:lang w:eastAsia="en-IN"/>
          <w14:ligatures w14:val="none"/>
        </w:rPr>
        <w:t>annuus</w:t>
      </w:r>
      <w:proofErr w:type="spellEnd"/>
      <w:r w:rsidRPr="00BF4F13">
        <w:rPr>
          <w:rFonts w:ascii="Arial" w:eastAsia="Times New Roman" w:hAnsi="Arial" w:cs="Arial"/>
          <w:kern w:val="0"/>
          <w:sz w:val="20"/>
          <w:szCs w:val="20"/>
          <w:lang w:eastAsia="en-IN"/>
          <w14:ligatures w14:val="none"/>
        </w:rPr>
        <w:t xml:space="preserve">) for quality and postharvest shelf-life extension. </w:t>
      </w:r>
      <w:r w:rsidRPr="00BF4F13">
        <w:rPr>
          <w:rFonts w:ascii="Arial" w:eastAsia="Times New Roman" w:hAnsi="Arial" w:cs="Arial"/>
          <w:i/>
          <w:iCs/>
          <w:kern w:val="0"/>
          <w:sz w:val="20"/>
          <w:szCs w:val="20"/>
          <w:lang w:eastAsia="en-IN"/>
          <w14:ligatures w14:val="none"/>
        </w:rPr>
        <w:t>Sustainable Food Technology</w:t>
      </w:r>
      <w:r w:rsidRPr="00BF4F13">
        <w:rPr>
          <w:rFonts w:ascii="Arial" w:eastAsia="Times New Roman" w:hAnsi="Arial" w:cs="Arial"/>
          <w:kern w:val="0"/>
          <w:sz w:val="20"/>
          <w:szCs w:val="20"/>
          <w:lang w:eastAsia="en-IN"/>
          <w14:ligatures w14:val="none"/>
        </w:rPr>
        <w:t xml:space="preserve">. Advance online publication. </w:t>
      </w:r>
      <w:hyperlink r:id="rId6" w:history="1">
        <w:r w:rsidRPr="00BF4F13">
          <w:rPr>
            <w:rStyle w:val="Hyperlink"/>
            <w:rFonts w:ascii="Arial" w:eastAsia="Times New Roman" w:hAnsi="Arial" w:cs="Arial"/>
            <w:kern w:val="0"/>
            <w:sz w:val="20"/>
            <w:szCs w:val="20"/>
            <w:lang w:eastAsia="en-IN"/>
            <w14:ligatures w14:val="none"/>
          </w:rPr>
          <w:t>https://doi.org/10.1039/D5FB00575B</w:t>
        </w:r>
      </w:hyperlink>
      <w:r w:rsidRPr="002E440F">
        <w:rPr>
          <w:rFonts w:ascii="Arial" w:eastAsia="Times New Roman" w:hAnsi="Arial" w:cs="Arial"/>
          <w:kern w:val="0"/>
          <w:sz w:val="20"/>
          <w:szCs w:val="20"/>
          <w:lang w:eastAsia="en-IN"/>
          <w14:ligatures w14:val="none"/>
        </w:rPr>
        <w:t xml:space="preserve"> </w:t>
      </w:r>
    </w:p>
    <w:p w14:paraId="0E855AFB" w14:textId="77777777" w:rsidR="002E440F" w:rsidRPr="00BF4F13" w:rsidRDefault="002E440F"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proofErr w:type="spellStart"/>
      <w:r w:rsidRPr="00BF4F13">
        <w:rPr>
          <w:rFonts w:ascii="Arial" w:eastAsia="Times New Roman" w:hAnsi="Arial" w:cs="Arial"/>
          <w:kern w:val="0"/>
          <w:sz w:val="20"/>
          <w:szCs w:val="20"/>
          <w:lang w:eastAsia="en-IN"/>
          <w14:ligatures w14:val="none"/>
        </w:rPr>
        <w:t>Ghoora</w:t>
      </w:r>
      <w:proofErr w:type="spellEnd"/>
      <w:r w:rsidRPr="00BF4F13">
        <w:rPr>
          <w:rFonts w:ascii="Arial" w:eastAsia="Times New Roman" w:hAnsi="Arial" w:cs="Arial"/>
          <w:kern w:val="0"/>
          <w:sz w:val="20"/>
          <w:szCs w:val="20"/>
          <w:lang w:eastAsia="en-IN"/>
          <w14:ligatures w14:val="none"/>
        </w:rPr>
        <w:t xml:space="preserve">, M. D., </w:t>
      </w:r>
      <w:proofErr w:type="spellStart"/>
      <w:r w:rsidRPr="00BF4F13">
        <w:rPr>
          <w:rFonts w:ascii="Arial" w:eastAsia="Times New Roman" w:hAnsi="Arial" w:cs="Arial"/>
          <w:kern w:val="0"/>
          <w:sz w:val="20"/>
          <w:szCs w:val="20"/>
          <w:lang w:eastAsia="en-IN"/>
          <w14:ligatures w14:val="none"/>
        </w:rPr>
        <w:t>Babu</w:t>
      </w:r>
      <w:proofErr w:type="spellEnd"/>
      <w:r w:rsidRPr="00BF4F13">
        <w:rPr>
          <w:rFonts w:ascii="Arial" w:eastAsia="Times New Roman" w:hAnsi="Arial" w:cs="Arial"/>
          <w:kern w:val="0"/>
          <w:sz w:val="20"/>
          <w:szCs w:val="20"/>
          <w:lang w:eastAsia="en-IN"/>
          <w14:ligatures w14:val="none"/>
        </w:rPr>
        <w:t xml:space="preserve">, D. R., &amp; Srividya, N. (2020). Nutrient composition, oxalate content and nutritional ranking of ten culinary microgreens. </w:t>
      </w:r>
      <w:r w:rsidRPr="00BF4F13">
        <w:rPr>
          <w:rFonts w:ascii="Arial" w:eastAsia="Times New Roman" w:hAnsi="Arial" w:cs="Arial"/>
          <w:i/>
          <w:iCs/>
          <w:kern w:val="0"/>
          <w:sz w:val="20"/>
          <w:szCs w:val="20"/>
          <w:lang w:eastAsia="en-IN"/>
          <w14:ligatures w14:val="none"/>
        </w:rPr>
        <w:t>Journal of Food Composition and Analysis, 91</w:t>
      </w:r>
      <w:r w:rsidRPr="00BF4F13">
        <w:rPr>
          <w:rFonts w:ascii="Arial" w:eastAsia="Times New Roman" w:hAnsi="Arial" w:cs="Arial"/>
          <w:kern w:val="0"/>
          <w:sz w:val="20"/>
          <w:szCs w:val="20"/>
          <w:lang w:eastAsia="en-IN"/>
          <w14:ligatures w14:val="none"/>
        </w:rPr>
        <w:t xml:space="preserve">, 103495. </w:t>
      </w:r>
      <w:hyperlink r:id="rId7" w:history="1">
        <w:r w:rsidRPr="00BF4F13">
          <w:rPr>
            <w:rStyle w:val="Hyperlink"/>
            <w:rFonts w:ascii="Arial" w:eastAsia="Times New Roman" w:hAnsi="Arial" w:cs="Arial"/>
            <w:kern w:val="0"/>
            <w:sz w:val="20"/>
            <w:szCs w:val="20"/>
            <w:lang w:eastAsia="en-IN"/>
            <w14:ligatures w14:val="none"/>
          </w:rPr>
          <w:t>https://doi.org/10.1016/j.jfca.2020.103495</w:t>
        </w:r>
      </w:hyperlink>
      <w:r w:rsidRPr="002E440F">
        <w:rPr>
          <w:rFonts w:ascii="Arial" w:eastAsia="Times New Roman" w:hAnsi="Arial" w:cs="Arial"/>
          <w:kern w:val="0"/>
          <w:sz w:val="20"/>
          <w:szCs w:val="20"/>
          <w:lang w:eastAsia="en-IN"/>
          <w14:ligatures w14:val="none"/>
        </w:rPr>
        <w:t xml:space="preserve"> </w:t>
      </w:r>
    </w:p>
    <w:p w14:paraId="2CFFFC11" w14:textId="77777777" w:rsidR="002E440F" w:rsidRPr="00BF4F13" w:rsidRDefault="002E440F"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proofErr w:type="spellStart"/>
      <w:r w:rsidRPr="00BF4F13">
        <w:rPr>
          <w:rFonts w:ascii="Arial" w:eastAsia="Times New Roman" w:hAnsi="Arial" w:cs="Arial"/>
          <w:kern w:val="0"/>
          <w:sz w:val="20"/>
          <w:szCs w:val="20"/>
          <w:lang w:eastAsia="en-IN"/>
          <w14:ligatures w14:val="none"/>
        </w:rPr>
        <w:t>Ghoora</w:t>
      </w:r>
      <w:proofErr w:type="spellEnd"/>
      <w:r w:rsidRPr="00BF4F13">
        <w:rPr>
          <w:rFonts w:ascii="Arial" w:eastAsia="Times New Roman" w:hAnsi="Arial" w:cs="Arial"/>
          <w:kern w:val="0"/>
          <w:sz w:val="20"/>
          <w:szCs w:val="20"/>
          <w:lang w:eastAsia="en-IN"/>
          <w14:ligatures w14:val="none"/>
        </w:rPr>
        <w:t xml:space="preserve">, M. D., </w:t>
      </w:r>
      <w:proofErr w:type="spellStart"/>
      <w:r w:rsidRPr="00BF4F13">
        <w:rPr>
          <w:rFonts w:ascii="Arial" w:eastAsia="Times New Roman" w:hAnsi="Arial" w:cs="Arial"/>
          <w:kern w:val="0"/>
          <w:sz w:val="20"/>
          <w:szCs w:val="20"/>
          <w:lang w:eastAsia="en-IN"/>
          <w14:ligatures w14:val="none"/>
        </w:rPr>
        <w:t>Haldipur</w:t>
      </w:r>
      <w:proofErr w:type="spellEnd"/>
      <w:r w:rsidRPr="00BF4F13">
        <w:rPr>
          <w:rFonts w:ascii="Arial" w:eastAsia="Times New Roman" w:hAnsi="Arial" w:cs="Arial"/>
          <w:kern w:val="0"/>
          <w:sz w:val="20"/>
          <w:szCs w:val="20"/>
          <w:lang w:eastAsia="en-IN"/>
          <w14:ligatures w14:val="none"/>
        </w:rPr>
        <w:t xml:space="preserve">, A. C., &amp; Srividya, N. (2020). Comparative evaluation of phytochemical content, antioxidant capacities and overall antioxidant potential of select culinary microgreens. </w:t>
      </w:r>
      <w:r w:rsidRPr="00BF4F13">
        <w:rPr>
          <w:rFonts w:ascii="Arial" w:eastAsia="Times New Roman" w:hAnsi="Arial" w:cs="Arial"/>
          <w:i/>
          <w:iCs/>
          <w:kern w:val="0"/>
          <w:sz w:val="20"/>
          <w:szCs w:val="20"/>
          <w:lang w:eastAsia="en-IN"/>
          <w14:ligatures w14:val="none"/>
        </w:rPr>
        <w:t>Journal of Agriculture and Food Research, 2</w:t>
      </w:r>
      <w:r w:rsidRPr="00BF4F13">
        <w:rPr>
          <w:rFonts w:ascii="Arial" w:eastAsia="Times New Roman" w:hAnsi="Arial" w:cs="Arial"/>
          <w:kern w:val="0"/>
          <w:sz w:val="20"/>
          <w:szCs w:val="20"/>
          <w:lang w:eastAsia="en-IN"/>
          <w14:ligatures w14:val="none"/>
        </w:rPr>
        <w:t xml:space="preserve">, 100046. </w:t>
      </w:r>
      <w:hyperlink r:id="rId8" w:tgtFrame="_new" w:history="1">
        <w:r w:rsidRPr="00BF4F13">
          <w:rPr>
            <w:rFonts w:ascii="Arial" w:eastAsia="Times New Roman" w:hAnsi="Arial" w:cs="Arial"/>
            <w:color w:val="0000FF"/>
            <w:kern w:val="0"/>
            <w:sz w:val="20"/>
            <w:szCs w:val="20"/>
            <w:u w:val="single"/>
            <w:lang w:eastAsia="en-IN"/>
            <w14:ligatures w14:val="none"/>
          </w:rPr>
          <w:t>https://doi.org/10.1016/j.jafr.2020.100046</w:t>
        </w:r>
      </w:hyperlink>
    </w:p>
    <w:p w14:paraId="7375EA72" w14:textId="77777777" w:rsidR="002E440F" w:rsidRPr="00BF4F13" w:rsidRDefault="002E440F"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Jones-</w:t>
      </w:r>
      <w:proofErr w:type="spellStart"/>
      <w:r w:rsidRPr="00BF4F13">
        <w:rPr>
          <w:rFonts w:ascii="Arial" w:eastAsia="Times New Roman" w:hAnsi="Arial" w:cs="Arial"/>
          <w:kern w:val="0"/>
          <w:sz w:val="20"/>
          <w:szCs w:val="20"/>
          <w:lang w:eastAsia="en-IN"/>
          <w14:ligatures w14:val="none"/>
        </w:rPr>
        <w:t>Baumgardt</w:t>
      </w:r>
      <w:proofErr w:type="spellEnd"/>
      <w:r w:rsidRPr="00BF4F13">
        <w:rPr>
          <w:rFonts w:ascii="Arial" w:eastAsia="Times New Roman" w:hAnsi="Arial" w:cs="Arial"/>
          <w:kern w:val="0"/>
          <w:sz w:val="20"/>
          <w:szCs w:val="20"/>
          <w:lang w:eastAsia="en-IN"/>
          <w14:ligatures w14:val="none"/>
        </w:rPr>
        <w:t xml:space="preserve">, C., Ying, Q., Zheng, Y., &amp; </w:t>
      </w:r>
      <w:proofErr w:type="spellStart"/>
      <w:r w:rsidRPr="00BF4F13">
        <w:rPr>
          <w:rFonts w:ascii="Arial" w:eastAsia="Times New Roman" w:hAnsi="Arial" w:cs="Arial"/>
          <w:kern w:val="0"/>
          <w:sz w:val="20"/>
          <w:szCs w:val="20"/>
          <w:lang w:eastAsia="en-IN"/>
          <w14:ligatures w14:val="none"/>
        </w:rPr>
        <w:t>Bozzo</w:t>
      </w:r>
      <w:proofErr w:type="spellEnd"/>
      <w:r w:rsidRPr="00BF4F13">
        <w:rPr>
          <w:rFonts w:ascii="Arial" w:eastAsia="Times New Roman" w:hAnsi="Arial" w:cs="Arial"/>
          <w:kern w:val="0"/>
          <w:sz w:val="20"/>
          <w:szCs w:val="20"/>
          <w:lang w:eastAsia="en-IN"/>
          <w14:ligatures w14:val="none"/>
        </w:rPr>
        <w:t xml:space="preserve">, G. G. (2020). The growth and morphology of microgreens is associated with modified ascorbate and anthocyanin profiles in response to the intensity of sole-source light-emitting diodes. </w:t>
      </w:r>
      <w:r w:rsidRPr="00BF4F13">
        <w:rPr>
          <w:rFonts w:ascii="Arial" w:eastAsia="Times New Roman" w:hAnsi="Arial" w:cs="Arial"/>
          <w:i/>
          <w:iCs/>
          <w:kern w:val="0"/>
          <w:sz w:val="20"/>
          <w:szCs w:val="20"/>
          <w:lang w:eastAsia="en-IN"/>
          <w14:ligatures w14:val="none"/>
        </w:rPr>
        <w:t>Canadian Journal of Plant Science</w:t>
      </w:r>
      <w:r w:rsidRPr="00BF4F13">
        <w:rPr>
          <w:rFonts w:ascii="Arial" w:eastAsia="Times New Roman" w:hAnsi="Arial" w:cs="Arial"/>
          <w:kern w:val="0"/>
          <w:sz w:val="20"/>
          <w:szCs w:val="20"/>
          <w:lang w:eastAsia="en-IN"/>
          <w14:ligatures w14:val="none"/>
        </w:rPr>
        <w:t xml:space="preserve">. Advance online publication. </w:t>
      </w:r>
      <w:hyperlink r:id="rId9" w:history="1">
        <w:r w:rsidRPr="00BF4F13">
          <w:rPr>
            <w:rStyle w:val="Hyperlink"/>
            <w:rFonts w:ascii="Arial" w:eastAsia="Times New Roman" w:hAnsi="Arial" w:cs="Arial"/>
            <w:kern w:val="0"/>
            <w:sz w:val="20"/>
            <w:szCs w:val="20"/>
            <w:lang w:eastAsia="en-IN"/>
            <w14:ligatures w14:val="none"/>
          </w:rPr>
          <w:t>https://doi.org/10.1139/cjps-2020-0060</w:t>
        </w:r>
      </w:hyperlink>
      <w:r w:rsidRPr="002E440F">
        <w:rPr>
          <w:rFonts w:ascii="Arial" w:eastAsia="Times New Roman" w:hAnsi="Arial" w:cs="Arial"/>
          <w:kern w:val="0"/>
          <w:sz w:val="20"/>
          <w:szCs w:val="20"/>
          <w:lang w:eastAsia="en-IN"/>
          <w14:ligatures w14:val="none"/>
        </w:rPr>
        <w:t xml:space="preserve"> </w:t>
      </w:r>
    </w:p>
    <w:p w14:paraId="0DB00231" w14:textId="77777777" w:rsidR="002E440F" w:rsidRPr="00BF4F13" w:rsidRDefault="002E440F"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proofErr w:type="spellStart"/>
      <w:r w:rsidRPr="00BF4F13">
        <w:rPr>
          <w:rFonts w:ascii="Arial" w:eastAsia="Times New Roman" w:hAnsi="Arial" w:cs="Arial"/>
          <w:kern w:val="0"/>
          <w:sz w:val="20"/>
          <w:szCs w:val="20"/>
          <w:lang w:eastAsia="en-IN"/>
          <w14:ligatures w14:val="none"/>
        </w:rPr>
        <w:t>Komeroski</w:t>
      </w:r>
      <w:proofErr w:type="spellEnd"/>
      <w:r w:rsidRPr="00BF4F13">
        <w:rPr>
          <w:rFonts w:ascii="Arial" w:eastAsia="Times New Roman" w:hAnsi="Arial" w:cs="Arial"/>
          <w:kern w:val="0"/>
          <w:sz w:val="20"/>
          <w:szCs w:val="20"/>
          <w:lang w:eastAsia="en-IN"/>
          <w14:ligatures w14:val="none"/>
        </w:rPr>
        <w:t xml:space="preserve">, M. R., </w:t>
      </w:r>
      <w:proofErr w:type="spellStart"/>
      <w:r w:rsidRPr="00BF4F13">
        <w:rPr>
          <w:rFonts w:ascii="Arial" w:eastAsia="Times New Roman" w:hAnsi="Arial" w:cs="Arial"/>
          <w:kern w:val="0"/>
          <w:sz w:val="20"/>
          <w:szCs w:val="20"/>
          <w:lang w:eastAsia="en-IN"/>
          <w14:ligatures w14:val="none"/>
        </w:rPr>
        <w:t>Beninca</w:t>
      </w:r>
      <w:proofErr w:type="spellEnd"/>
      <w:r w:rsidRPr="00BF4F13">
        <w:rPr>
          <w:rFonts w:ascii="Arial" w:eastAsia="Times New Roman" w:hAnsi="Arial" w:cs="Arial"/>
          <w:kern w:val="0"/>
          <w:sz w:val="20"/>
          <w:szCs w:val="20"/>
          <w:lang w:eastAsia="en-IN"/>
          <w14:ligatures w14:val="none"/>
        </w:rPr>
        <w:t xml:space="preserve">, T., Portal, K. A., </w:t>
      </w:r>
      <w:proofErr w:type="spellStart"/>
      <w:r w:rsidRPr="00BF4F13">
        <w:rPr>
          <w:rFonts w:ascii="Arial" w:eastAsia="Times New Roman" w:hAnsi="Arial" w:cs="Arial"/>
          <w:kern w:val="0"/>
          <w:sz w:val="20"/>
          <w:szCs w:val="20"/>
          <w:lang w:eastAsia="en-IN"/>
          <w14:ligatures w14:val="none"/>
        </w:rPr>
        <w:t>Malheiros</w:t>
      </w:r>
      <w:proofErr w:type="spellEnd"/>
      <w:r w:rsidRPr="00BF4F13">
        <w:rPr>
          <w:rFonts w:ascii="Arial" w:eastAsia="Times New Roman" w:hAnsi="Arial" w:cs="Arial"/>
          <w:kern w:val="0"/>
          <w:sz w:val="20"/>
          <w:szCs w:val="20"/>
          <w:lang w:eastAsia="en-IN"/>
          <w14:ligatures w14:val="none"/>
        </w:rPr>
        <w:t>, P. S., Klug, T. V., Flores, S. H., &amp; Rios, A. O. (2024). Postharvest quality of arugula (</w:t>
      </w:r>
      <w:proofErr w:type="spellStart"/>
      <w:r w:rsidRPr="00BF4F13">
        <w:rPr>
          <w:rFonts w:ascii="Arial" w:eastAsia="Times New Roman" w:hAnsi="Arial" w:cs="Arial"/>
          <w:i/>
          <w:iCs/>
          <w:kern w:val="0"/>
          <w:sz w:val="20"/>
          <w:szCs w:val="20"/>
          <w:lang w:eastAsia="en-IN"/>
          <w14:ligatures w14:val="none"/>
        </w:rPr>
        <w:t>Eruca</w:t>
      </w:r>
      <w:proofErr w:type="spellEnd"/>
      <w:r w:rsidRPr="00BF4F13">
        <w:rPr>
          <w:rFonts w:ascii="Arial" w:eastAsia="Times New Roman" w:hAnsi="Arial" w:cs="Arial"/>
          <w:i/>
          <w:iCs/>
          <w:kern w:val="0"/>
          <w:sz w:val="20"/>
          <w:szCs w:val="20"/>
          <w:lang w:eastAsia="en-IN"/>
          <w14:ligatures w14:val="none"/>
        </w:rPr>
        <w:t xml:space="preserve"> sativa</w:t>
      </w:r>
      <w:r w:rsidRPr="00BF4F13">
        <w:rPr>
          <w:rFonts w:ascii="Arial" w:eastAsia="Times New Roman" w:hAnsi="Arial" w:cs="Arial"/>
          <w:kern w:val="0"/>
          <w:sz w:val="20"/>
          <w:szCs w:val="20"/>
          <w:lang w:eastAsia="en-IN"/>
          <w14:ligatures w14:val="none"/>
        </w:rPr>
        <w:t xml:space="preserve">) microgreens determined by microbiological, </w:t>
      </w:r>
      <w:proofErr w:type="spellStart"/>
      <w:r w:rsidRPr="00BF4F13">
        <w:rPr>
          <w:rFonts w:ascii="Arial" w:eastAsia="Times New Roman" w:hAnsi="Arial" w:cs="Arial"/>
          <w:kern w:val="0"/>
          <w:sz w:val="20"/>
          <w:szCs w:val="20"/>
          <w:lang w:eastAsia="en-IN"/>
          <w14:ligatures w14:val="none"/>
        </w:rPr>
        <w:t>physico</w:t>
      </w:r>
      <w:proofErr w:type="spellEnd"/>
      <w:r w:rsidRPr="00BF4F13">
        <w:rPr>
          <w:rFonts w:ascii="Arial" w:eastAsia="Times New Roman" w:hAnsi="Arial" w:cs="Arial"/>
          <w:kern w:val="0"/>
          <w:sz w:val="20"/>
          <w:szCs w:val="20"/>
          <w:lang w:eastAsia="en-IN"/>
          <w14:ligatures w14:val="none"/>
        </w:rPr>
        <w:t xml:space="preserve">-chemical, and sensory parameters. </w:t>
      </w:r>
      <w:r w:rsidRPr="00BF4F13">
        <w:rPr>
          <w:rFonts w:ascii="Arial" w:eastAsia="Times New Roman" w:hAnsi="Arial" w:cs="Arial"/>
          <w:i/>
          <w:iCs/>
          <w:kern w:val="0"/>
          <w:sz w:val="20"/>
          <w:szCs w:val="20"/>
          <w:lang w:eastAsia="en-IN"/>
          <w14:ligatures w14:val="none"/>
        </w:rPr>
        <w:t>Foods, 13</w:t>
      </w:r>
      <w:r w:rsidRPr="00BF4F13">
        <w:rPr>
          <w:rFonts w:ascii="Arial" w:eastAsia="Times New Roman" w:hAnsi="Arial" w:cs="Arial"/>
          <w:kern w:val="0"/>
          <w:sz w:val="20"/>
          <w:szCs w:val="20"/>
          <w:lang w:eastAsia="en-IN"/>
          <w14:ligatures w14:val="none"/>
        </w:rPr>
        <w:t xml:space="preserve">(19), 3020. </w:t>
      </w:r>
      <w:hyperlink r:id="rId10" w:history="1">
        <w:r w:rsidRPr="00BF4F13">
          <w:rPr>
            <w:rStyle w:val="Hyperlink"/>
            <w:rFonts w:ascii="Arial" w:eastAsia="Times New Roman" w:hAnsi="Arial" w:cs="Arial"/>
            <w:kern w:val="0"/>
            <w:sz w:val="20"/>
            <w:szCs w:val="20"/>
            <w:lang w:eastAsia="en-IN"/>
            <w14:ligatures w14:val="none"/>
          </w:rPr>
          <w:t>https://doi.org/10.3390/foods13193020</w:t>
        </w:r>
      </w:hyperlink>
      <w:r w:rsidRPr="002E440F">
        <w:rPr>
          <w:rFonts w:ascii="Arial" w:eastAsia="Times New Roman" w:hAnsi="Arial" w:cs="Arial"/>
          <w:kern w:val="0"/>
          <w:sz w:val="20"/>
          <w:szCs w:val="20"/>
          <w:lang w:eastAsia="en-IN"/>
          <w14:ligatures w14:val="none"/>
        </w:rPr>
        <w:t xml:space="preserve"> </w:t>
      </w:r>
    </w:p>
    <w:p w14:paraId="3450BF22" w14:textId="77777777" w:rsidR="002E440F" w:rsidRPr="00784BA1" w:rsidRDefault="002E440F"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proofErr w:type="spellStart"/>
      <w:r w:rsidRPr="00784BA1">
        <w:rPr>
          <w:rFonts w:ascii="Arial" w:eastAsia="Times New Roman" w:hAnsi="Arial" w:cs="Arial"/>
          <w:kern w:val="0"/>
          <w:sz w:val="20"/>
          <w:szCs w:val="20"/>
          <w:lang w:eastAsia="en-IN"/>
          <w14:ligatures w14:val="none"/>
        </w:rPr>
        <w:t>Kyriacou</w:t>
      </w:r>
      <w:proofErr w:type="spellEnd"/>
      <w:r w:rsidRPr="00784BA1">
        <w:rPr>
          <w:rFonts w:ascii="Arial" w:eastAsia="Times New Roman" w:hAnsi="Arial" w:cs="Arial"/>
          <w:kern w:val="0"/>
          <w:sz w:val="20"/>
          <w:szCs w:val="20"/>
          <w:lang w:eastAsia="en-IN"/>
          <w14:ligatures w14:val="none"/>
        </w:rPr>
        <w:t xml:space="preserve">, M. C., </w:t>
      </w:r>
      <w:proofErr w:type="spellStart"/>
      <w:r w:rsidRPr="00784BA1">
        <w:rPr>
          <w:rFonts w:ascii="Arial" w:eastAsia="Times New Roman" w:hAnsi="Arial" w:cs="Arial"/>
          <w:kern w:val="0"/>
          <w:sz w:val="20"/>
          <w:szCs w:val="20"/>
          <w:lang w:eastAsia="en-IN"/>
          <w14:ligatures w14:val="none"/>
        </w:rPr>
        <w:t>Rouphael</w:t>
      </w:r>
      <w:proofErr w:type="spellEnd"/>
      <w:r w:rsidRPr="00784BA1">
        <w:rPr>
          <w:rFonts w:ascii="Arial" w:eastAsia="Times New Roman" w:hAnsi="Arial" w:cs="Arial"/>
          <w:kern w:val="0"/>
          <w:sz w:val="20"/>
          <w:szCs w:val="20"/>
          <w:lang w:eastAsia="en-IN"/>
          <w14:ligatures w14:val="none"/>
        </w:rPr>
        <w:t xml:space="preserve">, Y., Di </w:t>
      </w:r>
      <w:proofErr w:type="spellStart"/>
      <w:r w:rsidRPr="00784BA1">
        <w:rPr>
          <w:rFonts w:ascii="Arial" w:eastAsia="Times New Roman" w:hAnsi="Arial" w:cs="Arial"/>
          <w:kern w:val="0"/>
          <w:sz w:val="20"/>
          <w:szCs w:val="20"/>
          <w:lang w:eastAsia="en-IN"/>
          <w14:ligatures w14:val="none"/>
        </w:rPr>
        <w:t>Gioia</w:t>
      </w:r>
      <w:proofErr w:type="spellEnd"/>
      <w:r w:rsidRPr="00784BA1">
        <w:rPr>
          <w:rFonts w:ascii="Arial" w:eastAsia="Times New Roman" w:hAnsi="Arial" w:cs="Arial"/>
          <w:kern w:val="0"/>
          <w:sz w:val="20"/>
          <w:szCs w:val="20"/>
          <w:lang w:eastAsia="en-IN"/>
          <w14:ligatures w14:val="none"/>
        </w:rPr>
        <w:t xml:space="preserve">, F., </w:t>
      </w:r>
      <w:proofErr w:type="spellStart"/>
      <w:r w:rsidRPr="00784BA1">
        <w:rPr>
          <w:rFonts w:ascii="Arial" w:eastAsia="Times New Roman" w:hAnsi="Arial" w:cs="Arial"/>
          <w:kern w:val="0"/>
          <w:sz w:val="20"/>
          <w:szCs w:val="20"/>
          <w:lang w:eastAsia="en-IN"/>
          <w14:ligatures w14:val="none"/>
        </w:rPr>
        <w:t>Kyratzis</w:t>
      </w:r>
      <w:proofErr w:type="spellEnd"/>
      <w:r w:rsidRPr="00784BA1">
        <w:rPr>
          <w:rFonts w:ascii="Arial" w:eastAsia="Times New Roman" w:hAnsi="Arial" w:cs="Arial"/>
          <w:kern w:val="0"/>
          <w:sz w:val="20"/>
          <w:szCs w:val="20"/>
          <w:lang w:eastAsia="en-IN"/>
          <w14:ligatures w14:val="none"/>
        </w:rPr>
        <w:t xml:space="preserve">, A., Serio, F., Renna, M., De Pascale, S., &amp; Santamaria, P. (2016). Micro-scale vegetable production and the rise of microgreens. </w:t>
      </w:r>
      <w:r w:rsidRPr="00784BA1">
        <w:rPr>
          <w:rFonts w:ascii="Arial" w:eastAsia="Times New Roman" w:hAnsi="Arial" w:cs="Arial"/>
          <w:i/>
          <w:iCs/>
          <w:kern w:val="0"/>
          <w:sz w:val="20"/>
          <w:szCs w:val="20"/>
          <w:lang w:eastAsia="en-IN"/>
          <w14:ligatures w14:val="none"/>
        </w:rPr>
        <w:t>Trends in Food Science &amp; Technology, 57</w:t>
      </w:r>
      <w:r w:rsidRPr="002E440F">
        <w:rPr>
          <w:rFonts w:ascii="Arial" w:eastAsia="Times New Roman" w:hAnsi="Arial" w:cs="Arial"/>
          <w:i/>
          <w:iCs/>
          <w:kern w:val="0"/>
          <w:sz w:val="20"/>
          <w:szCs w:val="20"/>
          <w:lang w:eastAsia="en-IN"/>
          <w14:ligatures w14:val="none"/>
        </w:rPr>
        <w:t>A</w:t>
      </w:r>
      <w:r w:rsidRPr="00784BA1">
        <w:rPr>
          <w:rFonts w:ascii="Arial" w:eastAsia="Times New Roman" w:hAnsi="Arial" w:cs="Arial"/>
          <w:kern w:val="0"/>
          <w:sz w:val="20"/>
          <w:szCs w:val="20"/>
          <w:lang w:eastAsia="en-IN"/>
          <w14:ligatures w14:val="none"/>
        </w:rPr>
        <w:t xml:space="preserve">, 103–115. </w:t>
      </w:r>
      <w:hyperlink r:id="rId11" w:history="1">
        <w:r w:rsidRPr="00784BA1">
          <w:rPr>
            <w:rStyle w:val="Hyperlink"/>
            <w:rFonts w:ascii="Arial" w:eastAsia="Times New Roman" w:hAnsi="Arial" w:cs="Arial"/>
            <w:kern w:val="0"/>
            <w:sz w:val="20"/>
            <w:szCs w:val="20"/>
            <w:lang w:eastAsia="en-IN"/>
            <w14:ligatures w14:val="none"/>
          </w:rPr>
          <w:t>https://doi.org/10.1016/j.tifs.2016.09.005</w:t>
        </w:r>
      </w:hyperlink>
      <w:r w:rsidRPr="002E440F">
        <w:rPr>
          <w:rFonts w:ascii="Arial" w:eastAsia="Times New Roman" w:hAnsi="Arial" w:cs="Arial"/>
          <w:kern w:val="0"/>
          <w:sz w:val="20"/>
          <w:szCs w:val="20"/>
          <w:lang w:eastAsia="en-IN"/>
          <w14:ligatures w14:val="none"/>
        </w:rPr>
        <w:t xml:space="preserve"> </w:t>
      </w:r>
    </w:p>
    <w:p w14:paraId="18C15112" w14:textId="77777777" w:rsidR="002E440F" w:rsidRPr="00BF4F13" w:rsidRDefault="002E440F"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lastRenderedPageBreak/>
        <w:t xml:space="preserve">Parkes, M. G., Azevedo, D. L., Cavallo, A. C., </w:t>
      </w:r>
      <w:proofErr w:type="spellStart"/>
      <w:r w:rsidRPr="00BF4F13">
        <w:rPr>
          <w:rFonts w:ascii="Arial" w:eastAsia="Times New Roman" w:hAnsi="Arial" w:cs="Arial"/>
          <w:kern w:val="0"/>
          <w:sz w:val="20"/>
          <w:szCs w:val="20"/>
          <w:lang w:eastAsia="en-IN"/>
          <w14:ligatures w14:val="none"/>
        </w:rPr>
        <w:t>Domingos</w:t>
      </w:r>
      <w:proofErr w:type="spellEnd"/>
      <w:r w:rsidRPr="00BF4F13">
        <w:rPr>
          <w:rFonts w:ascii="Arial" w:eastAsia="Times New Roman" w:hAnsi="Arial" w:cs="Arial"/>
          <w:kern w:val="0"/>
          <w:sz w:val="20"/>
          <w:szCs w:val="20"/>
          <w:lang w:eastAsia="en-IN"/>
          <w14:ligatures w14:val="none"/>
        </w:rPr>
        <w:t xml:space="preserve">, T., &amp; Teixeira, R. F. M. (2023). Life cycle assessment of microgreen production: Effects of indoor vertical farm management on yield and environmental performance. </w:t>
      </w:r>
      <w:r w:rsidRPr="00BF4F13">
        <w:rPr>
          <w:rFonts w:ascii="Arial" w:eastAsia="Times New Roman" w:hAnsi="Arial" w:cs="Arial"/>
          <w:i/>
          <w:iCs/>
          <w:kern w:val="0"/>
          <w:sz w:val="20"/>
          <w:szCs w:val="20"/>
          <w:lang w:eastAsia="en-IN"/>
          <w14:ligatures w14:val="none"/>
        </w:rPr>
        <w:t>Scientific Reports, 13</w:t>
      </w:r>
      <w:r w:rsidRPr="00BF4F13">
        <w:rPr>
          <w:rFonts w:ascii="Arial" w:eastAsia="Times New Roman" w:hAnsi="Arial" w:cs="Arial"/>
          <w:kern w:val="0"/>
          <w:sz w:val="20"/>
          <w:szCs w:val="20"/>
          <w:lang w:eastAsia="en-IN"/>
          <w14:ligatures w14:val="none"/>
        </w:rPr>
        <w:t xml:space="preserve">, Article </w:t>
      </w:r>
      <w:r w:rsidRPr="002E440F">
        <w:rPr>
          <w:rFonts w:ascii="Arial" w:eastAsia="Times New Roman" w:hAnsi="Arial" w:cs="Arial"/>
          <w:kern w:val="0"/>
          <w:sz w:val="20"/>
          <w:szCs w:val="20"/>
          <w:lang w:eastAsia="en-IN"/>
          <w14:ligatures w14:val="none"/>
        </w:rPr>
        <w:t>11324.</w:t>
      </w:r>
      <w:r w:rsidRPr="00BF4F13">
        <w:rPr>
          <w:rFonts w:ascii="Arial" w:eastAsia="Times New Roman" w:hAnsi="Arial" w:cs="Arial"/>
          <w:kern w:val="0"/>
          <w:sz w:val="20"/>
          <w:szCs w:val="20"/>
          <w:lang w:eastAsia="en-IN"/>
          <w14:ligatures w14:val="none"/>
        </w:rPr>
        <w:t xml:space="preserve"> </w:t>
      </w:r>
      <w:hyperlink r:id="rId12" w:history="1">
        <w:r w:rsidRPr="00BF4F13">
          <w:rPr>
            <w:rStyle w:val="Hyperlink"/>
            <w:rFonts w:ascii="Arial" w:eastAsia="Times New Roman" w:hAnsi="Arial" w:cs="Arial"/>
            <w:kern w:val="0"/>
            <w:sz w:val="20"/>
            <w:szCs w:val="20"/>
            <w:lang w:eastAsia="en-IN"/>
            <w14:ligatures w14:val="none"/>
          </w:rPr>
          <w:t>https://doi.org/10.1038/s41598-023-38325-0</w:t>
        </w:r>
      </w:hyperlink>
      <w:r w:rsidRPr="002E440F">
        <w:rPr>
          <w:rFonts w:ascii="Arial" w:eastAsia="Times New Roman" w:hAnsi="Arial" w:cs="Arial"/>
          <w:kern w:val="0"/>
          <w:sz w:val="20"/>
          <w:szCs w:val="20"/>
          <w:lang w:eastAsia="en-IN"/>
          <w14:ligatures w14:val="none"/>
        </w:rPr>
        <w:t xml:space="preserve"> </w:t>
      </w:r>
    </w:p>
    <w:p w14:paraId="4B4FF196" w14:textId="77777777" w:rsidR="002E440F" w:rsidRPr="00BF4F13" w:rsidRDefault="002E440F"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 xml:space="preserve">Riggio, G. M., Wang, Q., </w:t>
      </w:r>
      <w:proofErr w:type="spellStart"/>
      <w:r w:rsidRPr="00BF4F13">
        <w:rPr>
          <w:rFonts w:ascii="Arial" w:eastAsia="Times New Roman" w:hAnsi="Arial" w:cs="Arial"/>
          <w:kern w:val="0"/>
          <w:sz w:val="20"/>
          <w:szCs w:val="20"/>
          <w:lang w:eastAsia="en-IN"/>
          <w14:ligatures w14:val="none"/>
        </w:rPr>
        <w:t>Kniel</w:t>
      </w:r>
      <w:proofErr w:type="spellEnd"/>
      <w:r w:rsidRPr="00BF4F13">
        <w:rPr>
          <w:rFonts w:ascii="Arial" w:eastAsia="Times New Roman" w:hAnsi="Arial" w:cs="Arial"/>
          <w:kern w:val="0"/>
          <w:sz w:val="20"/>
          <w:szCs w:val="20"/>
          <w:lang w:eastAsia="en-IN"/>
          <w14:ligatures w14:val="none"/>
        </w:rPr>
        <w:t xml:space="preserve">, K. E., &amp; Gibson, K. E. (2019). Microgreens—A review of food safety considerations along the farm to fork continuum. </w:t>
      </w:r>
      <w:r w:rsidRPr="00BF4F13">
        <w:rPr>
          <w:rFonts w:ascii="Arial" w:eastAsia="Times New Roman" w:hAnsi="Arial" w:cs="Arial"/>
          <w:i/>
          <w:iCs/>
          <w:kern w:val="0"/>
          <w:sz w:val="20"/>
          <w:szCs w:val="20"/>
          <w:lang w:eastAsia="en-IN"/>
          <w14:ligatures w14:val="none"/>
        </w:rPr>
        <w:t>International Journal of Food Microbiology, 290</w:t>
      </w:r>
      <w:r w:rsidRPr="00BF4F13">
        <w:rPr>
          <w:rFonts w:ascii="Arial" w:eastAsia="Times New Roman" w:hAnsi="Arial" w:cs="Arial"/>
          <w:kern w:val="0"/>
          <w:sz w:val="20"/>
          <w:szCs w:val="20"/>
          <w:lang w:eastAsia="en-IN"/>
          <w14:ligatures w14:val="none"/>
        </w:rPr>
        <w:t>, 76–85. https://doi.org/10.1016/j.ijfoodmicro.2018.09.027</w:t>
      </w:r>
    </w:p>
    <w:p w14:paraId="54F3DD5C" w14:textId="77777777" w:rsidR="002E440F" w:rsidRPr="00BF4F13" w:rsidRDefault="002E440F"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proofErr w:type="spellStart"/>
      <w:r w:rsidRPr="00BF4F13">
        <w:rPr>
          <w:rFonts w:ascii="Arial" w:eastAsia="Times New Roman" w:hAnsi="Arial" w:cs="Arial"/>
          <w:kern w:val="0"/>
          <w:sz w:val="20"/>
          <w:szCs w:val="20"/>
          <w:lang w:eastAsia="en-IN"/>
          <w14:ligatures w14:val="none"/>
        </w:rPr>
        <w:t>Rocchetti</w:t>
      </w:r>
      <w:proofErr w:type="spellEnd"/>
      <w:r w:rsidRPr="00BF4F13">
        <w:rPr>
          <w:rFonts w:ascii="Arial" w:eastAsia="Times New Roman" w:hAnsi="Arial" w:cs="Arial"/>
          <w:kern w:val="0"/>
          <w:sz w:val="20"/>
          <w:szCs w:val="20"/>
          <w:lang w:eastAsia="en-IN"/>
          <w14:ligatures w14:val="none"/>
        </w:rPr>
        <w:t xml:space="preserve">, G., Tomas, M., Zhang, L., </w:t>
      </w:r>
      <w:proofErr w:type="spellStart"/>
      <w:r w:rsidRPr="00BF4F13">
        <w:rPr>
          <w:rFonts w:ascii="Arial" w:eastAsia="Times New Roman" w:hAnsi="Arial" w:cs="Arial"/>
          <w:kern w:val="0"/>
          <w:sz w:val="20"/>
          <w:szCs w:val="20"/>
          <w:lang w:eastAsia="en-IN"/>
          <w14:ligatures w14:val="none"/>
        </w:rPr>
        <w:t>Zengin</w:t>
      </w:r>
      <w:proofErr w:type="spellEnd"/>
      <w:r w:rsidRPr="00BF4F13">
        <w:rPr>
          <w:rFonts w:ascii="Arial" w:eastAsia="Times New Roman" w:hAnsi="Arial" w:cs="Arial"/>
          <w:kern w:val="0"/>
          <w:sz w:val="20"/>
          <w:szCs w:val="20"/>
          <w:lang w:eastAsia="en-IN"/>
          <w14:ligatures w14:val="none"/>
        </w:rPr>
        <w:t xml:space="preserve">, G., </w:t>
      </w:r>
      <w:proofErr w:type="spellStart"/>
      <w:r w:rsidRPr="00BF4F13">
        <w:rPr>
          <w:rFonts w:ascii="Arial" w:eastAsia="Times New Roman" w:hAnsi="Arial" w:cs="Arial"/>
          <w:kern w:val="0"/>
          <w:sz w:val="20"/>
          <w:szCs w:val="20"/>
          <w:lang w:eastAsia="en-IN"/>
          <w14:ligatures w14:val="none"/>
        </w:rPr>
        <w:t>Lucini</w:t>
      </w:r>
      <w:proofErr w:type="spellEnd"/>
      <w:r w:rsidRPr="00BF4F13">
        <w:rPr>
          <w:rFonts w:ascii="Arial" w:eastAsia="Times New Roman" w:hAnsi="Arial" w:cs="Arial"/>
          <w:kern w:val="0"/>
          <w:sz w:val="20"/>
          <w:szCs w:val="20"/>
          <w:lang w:eastAsia="en-IN"/>
          <w14:ligatures w14:val="none"/>
        </w:rPr>
        <w:t xml:space="preserve">, L., &amp; </w:t>
      </w:r>
      <w:proofErr w:type="spellStart"/>
      <w:r w:rsidRPr="00BF4F13">
        <w:rPr>
          <w:rFonts w:ascii="Arial" w:eastAsia="Times New Roman" w:hAnsi="Arial" w:cs="Arial"/>
          <w:kern w:val="0"/>
          <w:sz w:val="20"/>
          <w:szCs w:val="20"/>
          <w:lang w:eastAsia="en-IN"/>
          <w14:ligatures w14:val="none"/>
        </w:rPr>
        <w:t>Capanoglu</w:t>
      </w:r>
      <w:proofErr w:type="spellEnd"/>
      <w:r w:rsidRPr="00BF4F13">
        <w:rPr>
          <w:rFonts w:ascii="Arial" w:eastAsia="Times New Roman" w:hAnsi="Arial" w:cs="Arial"/>
          <w:kern w:val="0"/>
          <w:sz w:val="20"/>
          <w:szCs w:val="20"/>
          <w:lang w:eastAsia="en-IN"/>
          <w14:ligatures w14:val="none"/>
        </w:rPr>
        <w:t>, E. (2020). Red beet (</w:t>
      </w:r>
      <w:r w:rsidRPr="00BF4F13">
        <w:rPr>
          <w:rFonts w:ascii="Arial" w:eastAsia="Times New Roman" w:hAnsi="Arial" w:cs="Arial"/>
          <w:i/>
          <w:iCs/>
          <w:kern w:val="0"/>
          <w:sz w:val="20"/>
          <w:szCs w:val="20"/>
          <w:lang w:eastAsia="en-IN"/>
          <w14:ligatures w14:val="none"/>
        </w:rPr>
        <w:t>Beta vulgaris</w:t>
      </w:r>
      <w:r w:rsidRPr="00BF4F13">
        <w:rPr>
          <w:rFonts w:ascii="Arial" w:eastAsia="Times New Roman" w:hAnsi="Arial" w:cs="Arial"/>
          <w:kern w:val="0"/>
          <w:sz w:val="20"/>
          <w:szCs w:val="20"/>
          <w:lang w:eastAsia="en-IN"/>
          <w14:ligatures w14:val="none"/>
        </w:rPr>
        <w:t>) and amaranth (</w:t>
      </w:r>
      <w:r w:rsidRPr="00BF4F13">
        <w:rPr>
          <w:rFonts w:ascii="Arial" w:eastAsia="Times New Roman" w:hAnsi="Arial" w:cs="Arial"/>
          <w:i/>
          <w:iCs/>
          <w:kern w:val="0"/>
          <w:sz w:val="20"/>
          <w:szCs w:val="20"/>
          <w:lang w:eastAsia="en-IN"/>
          <w14:ligatures w14:val="none"/>
        </w:rPr>
        <w:t>Amaranthus</w:t>
      </w:r>
      <w:r w:rsidRPr="00BF4F13">
        <w:rPr>
          <w:rFonts w:ascii="Arial" w:eastAsia="Times New Roman" w:hAnsi="Arial" w:cs="Arial"/>
          <w:kern w:val="0"/>
          <w:sz w:val="20"/>
          <w:szCs w:val="20"/>
          <w:lang w:eastAsia="en-IN"/>
          <w14:ligatures w14:val="none"/>
        </w:rPr>
        <w:t xml:space="preserve"> sp.) microgreens: Effect of storage and in vitro gastrointestinal digestion on the untargeted metabolomic profile. </w:t>
      </w:r>
      <w:r w:rsidRPr="00BF4F13">
        <w:rPr>
          <w:rFonts w:ascii="Arial" w:eastAsia="Times New Roman" w:hAnsi="Arial" w:cs="Arial"/>
          <w:i/>
          <w:iCs/>
          <w:kern w:val="0"/>
          <w:sz w:val="20"/>
          <w:szCs w:val="20"/>
          <w:lang w:eastAsia="en-IN"/>
          <w14:ligatures w14:val="none"/>
        </w:rPr>
        <w:t>Food Chemistry, 332</w:t>
      </w:r>
      <w:r w:rsidRPr="00BF4F13">
        <w:rPr>
          <w:rFonts w:ascii="Arial" w:eastAsia="Times New Roman" w:hAnsi="Arial" w:cs="Arial"/>
          <w:kern w:val="0"/>
          <w:sz w:val="20"/>
          <w:szCs w:val="20"/>
          <w:lang w:eastAsia="en-IN"/>
          <w14:ligatures w14:val="none"/>
        </w:rPr>
        <w:t xml:space="preserve">, 127415. </w:t>
      </w:r>
      <w:hyperlink r:id="rId13" w:history="1">
        <w:r w:rsidRPr="00BF4F13">
          <w:rPr>
            <w:rStyle w:val="Hyperlink"/>
            <w:rFonts w:ascii="Arial" w:eastAsia="Times New Roman" w:hAnsi="Arial" w:cs="Arial"/>
            <w:kern w:val="0"/>
            <w:sz w:val="20"/>
            <w:szCs w:val="20"/>
            <w:lang w:eastAsia="en-IN"/>
            <w14:ligatures w14:val="none"/>
          </w:rPr>
          <w:t>https://doi.org/10.1016/j.foodchem.2020.127415</w:t>
        </w:r>
      </w:hyperlink>
      <w:r w:rsidRPr="002E440F">
        <w:rPr>
          <w:rFonts w:ascii="Arial" w:eastAsia="Times New Roman" w:hAnsi="Arial" w:cs="Arial"/>
          <w:kern w:val="0"/>
          <w:sz w:val="20"/>
          <w:szCs w:val="20"/>
          <w:lang w:eastAsia="en-IN"/>
          <w14:ligatures w14:val="none"/>
        </w:rPr>
        <w:t xml:space="preserve"> </w:t>
      </w:r>
    </w:p>
    <w:p w14:paraId="2A7FF268" w14:textId="77777777" w:rsidR="002E440F" w:rsidRPr="00784BA1" w:rsidRDefault="002E440F"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2E440F">
        <w:rPr>
          <w:rFonts w:ascii="Arial" w:eastAsia="Times New Roman" w:hAnsi="Arial" w:cs="Arial"/>
          <w:kern w:val="0"/>
          <w:sz w:val="20"/>
          <w:szCs w:val="20"/>
          <w:lang w:eastAsia="en-IN"/>
          <w14:ligatures w14:val="none"/>
        </w:rPr>
        <w:t xml:space="preserve">Shetty, S. S., </w:t>
      </w:r>
      <w:proofErr w:type="spellStart"/>
      <w:r w:rsidRPr="002E440F">
        <w:rPr>
          <w:rFonts w:ascii="Arial" w:eastAsia="Times New Roman" w:hAnsi="Arial" w:cs="Arial"/>
          <w:kern w:val="0"/>
          <w:sz w:val="20"/>
          <w:szCs w:val="20"/>
          <w:lang w:eastAsia="en-IN"/>
          <w14:ligatures w14:val="none"/>
        </w:rPr>
        <w:t>Revanna</w:t>
      </w:r>
      <w:proofErr w:type="spellEnd"/>
      <w:r w:rsidRPr="002E440F">
        <w:rPr>
          <w:rFonts w:ascii="Arial" w:eastAsia="Times New Roman" w:hAnsi="Arial" w:cs="Arial"/>
          <w:kern w:val="0"/>
          <w:sz w:val="20"/>
          <w:szCs w:val="20"/>
          <w:lang w:eastAsia="en-IN"/>
          <w14:ligatures w14:val="none"/>
        </w:rPr>
        <w:t xml:space="preserve">, M. L., </w:t>
      </w:r>
      <w:proofErr w:type="spellStart"/>
      <w:r w:rsidRPr="002E440F">
        <w:rPr>
          <w:rFonts w:ascii="Arial" w:eastAsia="Times New Roman" w:hAnsi="Arial" w:cs="Arial"/>
          <w:kern w:val="0"/>
          <w:sz w:val="20"/>
          <w:szCs w:val="20"/>
          <w:lang w:eastAsia="en-IN"/>
          <w14:ligatures w14:val="none"/>
        </w:rPr>
        <w:t>Manjunatha</w:t>
      </w:r>
      <w:proofErr w:type="spellEnd"/>
      <w:r w:rsidRPr="002E440F">
        <w:rPr>
          <w:rFonts w:ascii="Arial" w:eastAsia="Times New Roman" w:hAnsi="Arial" w:cs="Arial"/>
          <w:kern w:val="0"/>
          <w:sz w:val="20"/>
          <w:szCs w:val="20"/>
          <w:lang w:eastAsia="en-IN"/>
          <w14:ligatures w14:val="none"/>
        </w:rPr>
        <w:t xml:space="preserve"> Swamy, T. S., &amp; </w:t>
      </w:r>
      <w:proofErr w:type="spellStart"/>
      <w:r w:rsidRPr="002E440F">
        <w:rPr>
          <w:rFonts w:ascii="Arial" w:eastAsia="Times New Roman" w:hAnsi="Arial" w:cs="Arial"/>
          <w:kern w:val="0"/>
          <w:sz w:val="20"/>
          <w:szCs w:val="20"/>
          <w:lang w:eastAsia="en-IN"/>
          <w14:ligatures w14:val="none"/>
        </w:rPr>
        <w:t>Vijayalaxmi</w:t>
      </w:r>
      <w:proofErr w:type="spellEnd"/>
      <w:r w:rsidRPr="002E440F">
        <w:rPr>
          <w:rFonts w:ascii="Arial" w:eastAsia="Times New Roman" w:hAnsi="Arial" w:cs="Arial"/>
          <w:kern w:val="0"/>
          <w:sz w:val="20"/>
          <w:szCs w:val="20"/>
          <w:lang w:eastAsia="en-IN"/>
          <w14:ligatures w14:val="none"/>
        </w:rPr>
        <w:t xml:space="preserve">, K. G. (2024). Optimizing soilless media for superior microgreen production and sensory acceptance. Journal of Scientific Research and Reports, 30(12), 640–647. </w:t>
      </w:r>
      <w:hyperlink r:id="rId14" w:history="1">
        <w:r w:rsidRPr="002E440F">
          <w:rPr>
            <w:rStyle w:val="Hyperlink"/>
            <w:rFonts w:ascii="Arial" w:eastAsia="Times New Roman" w:hAnsi="Arial" w:cs="Arial"/>
            <w:kern w:val="0"/>
            <w:sz w:val="20"/>
            <w:szCs w:val="20"/>
            <w:lang w:eastAsia="en-IN"/>
            <w14:ligatures w14:val="none"/>
          </w:rPr>
          <w:t>https://doi.org/10.9734/jsrr/2024/v30i122708</w:t>
        </w:r>
      </w:hyperlink>
      <w:r w:rsidRPr="002E440F">
        <w:rPr>
          <w:rFonts w:ascii="Arial" w:eastAsia="Times New Roman" w:hAnsi="Arial" w:cs="Arial"/>
          <w:kern w:val="0"/>
          <w:sz w:val="20"/>
          <w:szCs w:val="20"/>
          <w:lang w:eastAsia="en-IN"/>
          <w14:ligatures w14:val="none"/>
        </w:rPr>
        <w:t xml:space="preserve"> </w:t>
      </w:r>
    </w:p>
    <w:p w14:paraId="09834D69" w14:textId="77777777" w:rsidR="002E440F" w:rsidRPr="002E440F" w:rsidRDefault="002E440F"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2E440F">
        <w:rPr>
          <w:rFonts w:ascii="Arial" w:eastAsia="Times New Roman" w:hAnsi="Arial" w:cs="Arial"/>
          <w:kern w:val="0"/>
          <w:sz w:val="20"/>
          <w:szCs w:val="20"/>
          <w:lang w:eastAsia="en-IN"/>
          <w14:ligatures w14:val="none"/>
        </w:rPr>
        <w:t xml:space="preserve">Singh, J., </w:t>
      </w:r>
      <w:proofErr w:type="spellStart"/>
      <w:r w:rsidRPr="002E440F">
        <w:rPr>
          <w:rFonts w:ascii="Arial" w:eastAsia="Times New Roman" w:hAnsi="Arial" w:cs="Arial"/>
          <w:kern w:val="0"/>
          <w:sz w:val="20"/>
          <w:szCs w:val="20"/>
          <w:lang w:eastAsia="en-IN"/>
          <w14:ligatures w14:val="none"/>
        </w:rPr>
        <w:t>Manvir</w:t>
      </w:r>
      <w:proofErr w:type="spellEnd"/>
      <w:r w:rsidRPr="002E440F">
        <w:rPr>
          <w:rFonts w:ascii="Arial" w:eastAsia="Times New Roman" w:hAnsi="Arial" w:cs="Arial"/>
          <w:kern w:val="0"/>
          <w:sz w:val="20"/>
          <w:szCs w:val="20"/>
          <w:lang w:eastAsia="en-IN"/>
          <w14:ligatures w14:val="none"/>
        </w:rPr>
        <w:t xml:space="preserve">, &amp; </w:t>
      </w:r>
      <w:proofErr w:type="spellStart"/>
      <w:r w:rsidRPr="002E440F">
        <w:rPr>
          <w:rFonts w:ascii="Arial" w:eastAsia="Times New Roman" w:hAnsi="Arial" w:cs="Arial"/>
          <w:kern w:val="0"/>
          <w:sz w:val="20"/>
          <w:szCs w:val="20"/>
          <w:lang w:eastAsia="en-IN"/>
          <w14:ligatures w14:val="none"/>
        </w:rPr>
        <w:t>Sood</w:t>
      </w:r>
      <w:proofErr w:type="spellEnd"/>
      <w:r w:rsidRPr="002E440F">
        <w:rPr>
          <w:rFonts w:ascii="Arial" w:eastAsia="Times New Roman" w:hAnsi="Arial" w:cs="Arial"/>
          <w:kern w:val="0"/>
          <w:sz w:val="20"/>
          <w:szCs w:val="20"/>
          <w:lang w:eastAsia="en-IN"/>
          <w14:ligatures w14:val="none"/>
        </w:rPr>
        <w:t xml:space="preserve">, Y. (2025). Microgreens in urban agriculture: Bridging nutrition, sustainability and innovation. Journal of Experimental Agriculture International, 47(4), 291–303. </w:t>
      </w:r>
      <w:hyperlink r:id="rId15" w:history="1">
        <w:r w:rsidRPr="002E440F">
          <w:rPr>
            <w:rStyle w:val="Hyperlink"/>
            <w:rFonts w:ascii="Arial" w:eastAsia="Times New Roman" w:hAnsi="Arial" w:cs="Arial"/>
            <w:kern w:val="0"/>
            <w:sz w:val="20"/>
            <w:szCs w:val="20"/>
            <w:lang w:eastAsia="en-IN"/>
            <w14:ligatures w14:val="none"/>
          </w:rPr>
          <w:t>https://doi.org/10.9734/jeai/2025/v47i43378</w:t>
        </w:r>
      </w:hyperlink>
      <w:r w:rsidRPr="002E440F">
        <w:rPr>
          <w:rFonts w:ascii="Arial" w:eastAsia="Times New Roman" w:hAnsi="Arial" w:cs="Arial"/>
          <w:kern w:val="0"/>
          <w:sz w:val="20"/>
          <w:szCs w:val="20"/>
          <w:lang w:eastAsia="en-IN"/>
          <w14:ligatures w14:val="none"/>
        </w:rPr>
        <w:t xml:space="preserve"> </w:t>
      </w:r>
    </w:p>
    <w:p w14:paraId="0D3D6F84" w14:textId="77777777" w:rsidR="002E440F" w:rsidRPr="00BF4F13" w:rsidRDefault="002E440F"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 xml:space="preserve">Tomas, M., Zhang, L., </w:t>
      </w:r>
      <w:proofErr w:type="spellStart"/>
      <w:r w:rsidRPr="00BF4F13">
        <w:rPr>
          <w:rFonts w:ascii="Arial" w:eastAsia="Times New Roman" w:hAnsi="Arial" w:cs="Arial"/>
          <w:kern w:val="0"/>
          <w:sz w:val="20"/>
          <w:szCs w:val="20"/>
          <w:lang w:eastAsia="en-IN"/>
          <w14:ligatures w14:val="none"/>
        </w:rPr>
        <w:t>Zengin</w:t>
      </w:r>
      <w:proofErr w:type="spellEnd"/>
      <w:r w:rsidRPr="00BF4F13">
        <w:rPr>
          <w:rFonts w:ascii="Arial" w:eastAsia="Times New Roman" w:hAnsi="Arial" w:cs="Arial"/>
          <w:kern w:val="0"/>
          <w:sz w:val="20"/>
          <w:szCs w:val="20"/>
          <w:lang w:eastAsia="en-IN"/>
          <w14:ligatures w14:val="none"/>
        </w:rPr>
        <w:t xml:space="preserve">, G., </w:t>
      </w:r>
      <w:proofErr w:type="spellStart"/>
      <w:r w:rsidRPr="00BF4F13">
        <w:rPr>
          <w:rFonts w:ascii="Arial" w:eastAsia="Times New Roman" w:hAnsi="Arial" w:cs="Arial"/>
          <w:kern w:val="0"/>
          <w:sz w:val="20"/>
          <w:szCs w:val="20"/>
          <w:lang w:eastAsia="en-IN"/>
          <w14:ligatures w14:val="none"/>
        </w:rPr>
        <w:t>Rocchetti</w:t>
      </w:r>
      <w:proofErr w:type="spellEnd"/>
      <w:r w:rsidRPr="00BF4F13">
        <w:rPr>
          <w:rFonts w:ascii="Arial" w:eastAsia="Times New Roman" w:hAnsi="Arial" w:cs="Arial"/>
          <w:kern w:val="0"/>
          <w:sz w:val="20"/>
          <w:szCs w:val="20"/>
          <w:lang w:eastAsia="en-IN"/>
          <w14:ligatures w14:val="none"/>
        </w:rPr>
        <w:t xml:space="preserve">, G., </w:t>
      </w:r>
      <w:proofErr w:type="spellStart"/>
      <w:r w:rsidRPr="00BF4F13">
        <w:rPr>
          <w:rFonts w:ascii="Arial" w:eastAsia="Times New Roman" w:hAnsi="Arial" w:cs="Arial"/>
          <w:kern w:val="0"/>
          <w:sz w:val="20"/>
          <w:szCs w:val="20"/>
          <w:lang w:eastAsia="en-IN"/>
          <w14:ligatures w14:val="none"/>
        </w:rPr>
        <w:t>Capanoglu</w:t>
      </w:r>
      <w:proofErr w:type="spellEnd"/>
      <w:r w:rsidRPr="00BF4F13">
        <w:rPr>
          <w:rFonts w:ascii="Arial" w:eastAsia="Times New Roman" w:hAnsi="Arial" w:cs="Arial"/>
          <w:kern w:val="0"/>
          <w:sz w:val="20"/>
          <w:szCs w:val="20"/>
          <w:lang w:eastAsia="en-IN"/>
          <w14:ligatures w14:val="none"/>
        </w:rPr>
        <w:t xml:space="preserve">, E., &amp; </w:t>
      </w:r>
      <w:proofErr w:type="spellStart"/>
      <w:r w:rsidRPr="00BF4F13">
        <w:rPr>
          <w:rFonts w:ascii="Arial" w:eastAsia="Times New Roman" w:hAnsi="Arial" w:cs="Arial"/>
          <w:kern w:val="0"/>
          <w:sz w:val="20"/>
          <w:szCs w:val="20"/>
          <w:lang w:eastAsia="en-IN"/>
          <w14:ligatures w14:val="none"/>
        </w:rPr>
        <w:t>Lucini</w:t>
      </w:r>
      <w:proofErr w:type="spellEnd"/>
      <w:r w:rsidRPr="00BF4F13">
        <w:rPr>
          <w:rFonts w:ascii="Arial" w:eastAsia="Times New Roman" w:hAnsi="Arial" w:cs="Arial"/>
          <w:kern w:val="0"/>
          <w:sz w:val="20"/>
          <w:szCs w:val="20"/>
          <w:lang w:eastAsia="en-IN"/>
          <w14:ligatures w14:val="none"/>
        </w:rPr>
        <w:t xml:space="preserve">, L. (2021). Metabolomic insight into the profile, in vitro </w:t>
      </w:r>
      <w:proofErr w:type="spellStart"/>
      <w:r w:rsidRPr="00BF4F13">
        <w:rPr>
          <w:rFonts w:ascii="Arial" w:eastAsia="Times New Roman" w:hAnsi="Arial" w:cs="Arial"/>
          <w:kern w:val="0"/>
          <w:sz w:val="20"/>
          <w:szCs w:val="20"/>
          <w:lang w:eastAsia="en-IN"/>
          <w14:ligatures w14:val="none"/>
        </w:rPr>
        <w:t>bioaccessibility</w:t>
      </w:r>
      <w:proofErr w:type="spellEnd"/>
      <w:r w:rsidRPr="00BF4F13">
        <w:rPr>
          <w:rFonts w:ascii="Arial" w:eastAsia="Times New Roman" w:hAnsi="Arial" w:cs="Arial"/>
          <w:kern w:val="0"/>
          <w:sz w:val="20"/>
          <w:szCs w:val="20"/>
          <w:lang w:eastAsia="en-IN"/>
          <w14:ligatures w14:val="none"/>
        </w:rPr>
        <w:t xml:space="preserve"> and bioactive properties of polyphenols and </w:t>
      </w:r>
      <w:proofErr w:type="spellStart"/>
      <w:r w:rsidRPr="00BF4F13">
        <w:rPr>
          <w:rFonts w:ascii="Arial" w:eastAsia="Times New Roman" w:hAnsi="Arial" w:cs="Arial"/>
          <w:kern w:val="0"/>
          <w:sz w:val="20"/>
          <w:szCs w:val="20"/>
          <w:lang w:eastAsia="en-IN"/>
          <w14:ligatures w14:val="none"/>
        </w:rPr>
        <w:t>glucosinolates</w:t>
      </w:r>
      <w:proofErr w:type="spellEnd"/>
      <w:r w:rsidRPr="00BF4F13">
        <w:rPr>
          <w:rFonts w:ascii="Arial" w:eastAsia="Times New Roman" w:hAnsi="Arial" w:cs="Arial"/>
          <w:kern w:val="0"/>
          <w:sz w:val="20"/>
          <w:szCs w:val="20"/>
          <w:lang w:eastAsia="en-IN"/>
          <w14:ligatures w14:val="none"/>
        </w:rPr>
        <w:t xml:space="preserve"> from four </w:t>
      </w:r>
      <w:r w:rsidRPr="00BF4F13">
        <w:rPr>
          <w:rFonts w:ascii="Arial" w:eastAsia="Times New Roman" w:hAnsi="Arial" w:cs="Arial"/>
          <w:i/>
          <w:iCs/>
          <w:kern w:val="0"/>
          <w:sz w:val="20"/>
          <w:szCs w:val="20"/>
          <w:lang w:eastAsia="en-IN"/>
          <w14:ligatures w14:val="none"/>
        </w:rPr>
        <w:t>Brassicaceae</w:t>
      </w:r>
      <w:r w:rsidRPr="00BF4F13">
        <w:rPr>
          <w:rFonts w:ascii="Arial" w:eastAsia="Times New Roman" w:hAnsi="Arial" w:cs="Arial"/>
          <w:kern w:val="0"/>
          <w:sz w:val="20"/>
          <w:szCs w:val="20"/>
          <w:lang w:eastAsia="en-IN"/>
          <w14:ligatures w14:val="none"/>
        </w:rPr>
        <w:t xml:space="preserve"> microgreens. </w:t>
      </w:r>
      <w:r w:rsidRPr="00BF4F13">
        <w:rPr>
          <w:rFonts w:ascii="Arial" w:eastAsia="Times New Roman" w:hAnsi="Arial" w:cs="Arial"/>
          <w:i/>
          <w:iCs/>
          <w:kern w:val="0"/>
          <w:sz w:val="20"/>
          <w:szCs w:val="20"/>
          <w:lang w:eastAsia="en-IN"/>
          <w14:ligatures w14:val="none"/>
        </w:rPr>
        <w:t>Food Research International, 140</w:t>
      </w:r>
      <w:r w:rsidRPr="00BF4F13">
        <w:rPr>
          <w:rFonts w:ascii="Arial" w:eastAsia="Times New Roman" w:hAnsi="Arial" w:cs="Arial"/>
          <w:kern w:val="0"/>
          <w:sz w:val="20"/>
          <w:szCs w:val="20"/>
          <w:lang w:eastAsia="en-IN"/>
          <w14:ligatures w14:val="none"/>
        </w:rPr>
        <w:t xml:space="preserve">, 110039. </w:t>
      </w:r>
      <w:hyperlink r:id="rId16" w:history="1">
        <w:r w:rsidRPr="00BF4F13">
          <w:rPr>
            <w:rStyle w:val="Hyperlink"/>
            <w:rFonts w:ascii="Arial" w:eastAsia="Times New Roman" w:hAnsi="Arial" w:cs="Arial"/>
            <w:kern w:val="0"/>
            <w:sz w:val="20"/>
            <w:szCs w:val="20"/>
            <w:lang w:eastAsia="en-IN"/>
            <w14:ligatures w14:val="none"/>
          </w:rPr>
          <w:t>https://doi.org/10.1016/j.foodres.2020.110039</w:t>
        </w:r>
      </w:hyperlink>
      <w:r w:rsidRPr="002E440F">
        <w:rPr>
          <w:rFonts w:ascii="Arial" w:eastAsia="Times New Roman" w:hAnsi="Arial" w:cs="Arial"/>
          <w:kern w:val="0"/>
          <w:sz w:val="20"/>
          <w:szCs w:val="20"/>
          <w:lang w:eastAsia="en-IN"/>
          <w14:ligatures w14:val="none"/>
        </w:rPr>
        <w:t xml:space="preserve"> </w:t>
      </w:r>
    </w:p>
    <w:p w14:paraId="08EBE18A" w14:textId="77777777" w:rsidR="002E440F" w:rsidRPr="00784BA1" w:rsidRDefault="002E440F"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784BA1">
        <w:rPr>
          <w:rFonts w:ascii="Arial" w:eastAsia="Times New Roman" w:hAnsi="Arial" w:cs="Arial"/>
          <w:kern w:val="0"/>
          <w:sz w:val="20"/>
          <w:szCs w:val="20"/>
          <w:lang w:eastAsia="en-IN"/>
          <w14:ligatures w14:val="none"/>
        </w:rPr>
        <w:t xml:space="preserve">Turner, E. R., Buchanan, R. L., &amp; Luo, Y. (2020). Microgreen nutrition, food safety, and shelf life: A review. </w:t>
      </w:r>
      <w:r w:rsidRPr="00784BA1">
        <w:rPr>
          <w:rFonts w:ascii="Arial" w:eastAsia="Times New Roman" w:hAnsi="Arial" w:cs="Arial"/>
          <w:i/>
          <w:iCs/>
          <w:kern w:val="0"/>
          <w:sz w:val="20"/>
          <w:szCs w:val="20"/>
          <w:lang w:eastAsia="en-IN"/>
          <w14:ligatures w14:val="none"/>
        </w:rPr>
        <w:t>Journal of Food Science, 85</w:t>
      </w:r>
      <w:r w:rsidRPr="00784BA1">
        <w:rPr>
          <w:rFonts w:ascii="Arial" w:eastAsia="Times New Roman" w:hAnsi="Arial" w:cs="Arial"/>
          <w:kern w:val="0"/>
          <w:sz w:val="20"/>
          <w:szCs w:val="20"/>
          <w:lang w:eastAsia="en-IN"/>
          <w14:ligatures w14:val="none"/>
        </w:rPr>
        <w:t xml:space="preserve">(4), 870–882. </w:t>
      </w:r>
      <w:hyperlink r:id="rId17" w:tgtFrame="_new" w:history="1">
        <w:r w:rsidRPr="00784BA1">
          <w:rPr>
            <w:rFonts w:ascii="Arial" w:eastAsia="Times New Roman" w:hAnsi="Arial" w:cs="Arial"/>
            <w:color w:val="0000FF"/>
            <w:kern w:val="0"/>
            <w:sz w:val="20"/>
            <w:szCs w:val="20"/>
            <w:u w:val="single"/>
            <w:lang w:eastAsia="en-IN"/>
            <w14:ligatures w14:val="none"/>
          </w:rPr>
          <w:t>https://doi.org/10.1111/1750-3841.15049</w:t>
        </w:r>
      </w:hyperlink>
    </w:p>
    <w:p w14:paraId="5C3822A7" w14:textId="77777777" w:rsidR="002E440F" w:rsidRPr="00784BA1" w:rsidRDefault="002E440F"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784BA1">
        <w:rPr>
          <w:rFonts w:ascii="Arial" w:eastAsia="Times New Roman" w:hAnsi="Arial" w:cs="Arial"/>
          <w:kern w:val="0"/>
          <w:sz w:val="20"/>
          <w:szCs w:val="20"/>
          <w:lang w:eastAsia="en-IN"/>
          <w14:ligatures w14:val="none"/>
        </w:rPr>
        <w:t xml:space="preserve">Xiao, Z., Rausch, S. R., Luo, Y., Sun, J., Yu, L., Wang, Q., Chen, P., &amp; </w:t>
      </w:r>
      <w:proofErr w:type="spellStart"/>
      <w:r w:rsidRPr="00784BA1">
        <w:rPr>
          <w:rFonts w:ascii="Arial" w:eastAsia="Times New Roman" w:hAnsi="Arial" w:cs="Arial"/>
          <w:kern w:val="0"/>
          <w:sz w:val="20"/>
          <w:szCs w:val="20"/>
          <w:lang w:eastAsia="en-IN"/>
          <w14:ligatures w14:val="none"/>
        </w:rPr>
        <w:t>Stommel</w:t>
      </w:r>
      <w:proofErr w:type="spellEnd"/>
      <w:r w:rsidRPr="00784BA1">
        <w:rPr>
          <w:rFonts w:ascii="Arial" w:eastAsia="Times New Roman" w:hAnsi="Arial" w:cs="Arial"/>
          <w:kern w:val="0"/>
          <w:sz w:val="20"/>
          <w:szCs w:val="20"/>
          <w:lang w:eastAsia="en-IN"/>
          <w14:ligatures w14:val="none"/>
        </w:rPr>
        <w:t xml:space="preserve">, J. R. (2019). Microgreens of Brassicaceae: Genetic diversity of phytochemical concentrations and antioxidant capacities. </w:t>
      </w:r>
      <w:r w:rsidRPr="00784BA1">
        <w:rPr>
          <w:rFonts w:ascii="Arial" w:eastAsia="Times New Roman" w:hAnsi="Arial" w:cs="Arial"/>
          <w:i/>
          <w:iCs/>
          <w:kern w:val="0"/>
          <w:sz w:val="20"/>
          <w:szCs w:val="20"/>
          <w:lang w:eastAsia="en-IN"/>
          <w14:ligatures w14:val="none"/>
        </w:rPr>
        <w:t>LWT – Food Science and Technology, 101</w:t>
      </w:r>
      <w:r w:rsidRPr="00784BA1">
        <w:rPr>
          <w:rFonts w:ascii="Arial" w:eastAsia="Times New Roman" w:hAnsi="Arial" w:cs="Arial"/>
          <w:kern w:val="0"/>
          <w:sz w:val="20"/>
          <w:szCs w:val="20"/>
          <w:lang w:eastAsia="en-IN"/>
          <w14:ligatures w14:val="none"/>
        </w:rPr>
        <w:t xml:space="preserve">, 731–737. </w:t>
      </w:r>
      <w:hyperlink r:id="rId18" w:history="1">
        <w:r w:rsidRPr="00784BA1">
          <w:rPr>
            <w:rStyle w:val="Hyperlink"/>
            <w:rFonts w:ascii="Arial" w:eastAsia="Times New Roman" w:hAnsi="Arial" w:cs="Arial"/>
            <w:kern w:val="0"/>
            <w:sz w:val="20"/>
            <w:szCs w:val="20"/>
            <w:lang w:eastAsia="en-IN"/>
            <w14:ligatures w14:val="none"/>
          </w:rPr>
          <w:t>https://doi.org/10.1016/j.lwt.2018.10.076</w:t>
        </w:r>
      </w:hyperlink>
      <w:r w:rsidRPr="002E440F">
        <w:rPr>
          <w:rFonts w:ascii="Arial" w:eastAsia="Times New Roman" w:hAnsi="Arial" w:cs="Arial"/>
          <w:kern w:val="0"/>
          <w:sz w:val="20"/>
          <w:szCs w:val="20"/>
          <w:lang w:eastAsia="en-IN"/>
          <w14:ligatures w14:val="none"/>
        </w:rPr>
        <w:t xml:space="preserve"> </w:t>
      </w:r>
    </w:p>
    <w:p w14:paraId="7096515C" w14:textId="77777777" w:rsidR="002E440F" w:rsidRPr="00BF4F13" w:rsidRDefault="002E440F"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Ying, Q., Jones-</w:t>
      </w:r>
      <w:proofErr w:type="spellStart"/>
      <w:r w:rsidRPr="00BF4F13">
        <w:rPr>
          <w:rFonts w:ascii="Arial" w:eastAsia="Times New Roman" w:hAnsi="Arial" w:cs="Arial"/>
          <w:kern w:val="0"/>
          <w:sz w:val="20"/>
          <w:szCs w:val="20"/>
          <w:lang w:eastAsia="en-IN"/>
          <w14:ligatures w14:val="none"/>
        </w:rPr>
        <w:t>Baumgardt</w:t>
      </w:r>
      <w:proofErr w:type="spellEnd"/>
      <w:r w:rsidRPr="00BF4F13">
        <w:rPr>
          <w:rFonts w:ascii="Arial" w:eastAsia="Times New Roman" w:hAnsi="Arial" w:cs="Arial"/>
          <w:kern w:val="0"/>
          <w:sz w:val="20"/>
          <w:szCs w:val="20"/>
          <w:lang w:eastAsia="en-IN"/>
          <w14:ligatures w14:val="none"/>
        </w:rPr>
        <w:t xml:space="preserve">, C., Zheng, Y., &amp; </w:t>
      </w:r>
      <w:proofErr w:type="spellStart"/>
      <w:r w:rsidRPr="00BF4F13">
        <w:rPr>
          <w:rFonts w:ascii="Arial" w:eastAsia="Times New Roman" w:hAnsi="Arial" w:cs="Arial"/>
          <w:kern w:val="0"/>
          <w:sz w:val="20"/>
          <w:szCs w:val="20"/>
          <w:lang w:eastAsia="en-IN"/>
          <w14:ligatures w14:val="none"/>
        </w:rPr>
        <w:t>Bozzo</w:t>
      </w:r>
      <w:proofErr w:type="spellEnd"/>
      <w:r w:rsidRPr="00BF4F13">
        <w:rPr>
          <w:rFonts w:ascii="Arial" w:eastAsia="Times New Roman" w:hAnsi="Arial" w:cs="Arial"/>
          <w:kern w:val="0"/>
          <w:sz w:val="20"/>
          <w:szCs w:val="20"/>
          <w:lang w:eastAsia="en-IN"/>
          <w14:ligatures w14:val="none"/>
        </w:rPr>
        <w:t xml:space="preserve">, G. (2021). The proportion of blue light from light-emitting diodes alters microgreen phytochemical profiles in a species-specific manner. </w:t>
      </w:r>
      <w:proofErr w:type="spellStart"/>
      <w:r w:rsidRPr="00BF4F13">
        <w:rPr>
          <w:rFonts w:ascii="Arial" w:eastAsia="Times New Roman" w:hAnsi="Arial" w:cs="Arial"/>
          <w:i/>
          <w:iCs/>
          <w:kern w:val="0"/>
          <w:sz w:val="20"/>
          <w:szCs w:val="20"/>
          <w:lang w:eastAsia="en-IN"/>
          <w14:ligatures w14:val="none"/>
        </w:rPr>
        <w:t>HortScience</w:t>
      </w:r>
      <w:proofErr w:type="spellEnd"/>
      <w:r w:rsidRPr="00BF4F13">
        <w:rPr>
          <w:rFonts w:ascii="Arial" w:eastAsia="Times New Roman" w:hAnsi="Arial" w:cs="Arial"/>
          <w:i/>
          <w:iCs/>
          <w:kern w:val="0"/>
          <w:sz w:val="20"/>
          <w:szCs w:val="20"/>
          <w:lang w:eastAsia="en-IN"/>
          <w14:ligatures w14:val="none"/>
        </w:rPr>
        <w:t>, 56</w:t>
      </w:r>
      <w:r w:rsidRPr="00BF4F13">
        <w:rPr>
          <w:rFonts w:ascii="Arial" w:eastAsia="Times New Roman" w:hAnsi="Arial" w:cs="Arial"/>
          <w:kern w:val="0"/>
          <w:sz w:val="20"/>
          <w:szCs w:val="20"/>
          <w:lang w:eastAsia="en-IN"/>
          <w14:ligatures w14:val="none"/>
        </w:rPr>
        <w:t xml:space="preserve">(1), 13–20. </w:t>
      </w:r>
      <w:hyperlink r:id="rId19" w:history="1">
        <w:r w:rsidRPr="00BF4F13">
          <w:rPr>
            <w:rStyle w:val="Hyperlink"/>
            <w:rFonts w:ascii="Arial" w:eastAsia="Times New Roman" w:hAnsi="Arial" w:cs="Arial"/>
            <w:kern w:val="0"/>
            <w:sz w:val="20"/>
            <w:szCs w:val="20"/>
            <w:lang w:eastAsia="en-IN"/>
            <w14:ligatures w14:val="none"/>
          </w:rPr>
          <w:t>https://doi.org/10.21273/HORTSCI15371-20</w:t>
        </w:r>
      </w:hyperlink>
      <w:r w:rsidRPr="002E440F">
        <w:rPr>
          <w:rFonts w:ascii="Arial" w:eastAsia="Times New Roman" w:hAnsi="Arial" w:cs="Arial"/>
          <w:kern w:val="0"/>
          <w:sz w:val="20"/>
          <w:szCs w:val="20"/>
          <w:lang w:eastAsia="en-IN"/>
          <w14:ligatures w14:val="none"/>
        </w:rPr>
        <w:t xml:space="preserve"> </w:t>
      </w:r>
    </w:p>
    <w:p w14:paraId="51BC1774" w14:textId="77777777" w:rsidR="002E440F" w:rsidRPr="00BF4F13" w:rsidRDefault="002E440F"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 xml:space="preserve">Zhang, X., </w:t>
      </w:r>
      <w:proofErr w:type="spellStart"/>
      <w:r w:rsidRPr="00BF4F13">
        <w:rPr>
          <w:rFonts w:ascii="Arial" w:eastAsia="Times New Roman" w:hAnsi="Arial" w:cs="Arial"/>
          <w:kern w:val="0"/>
          <w:sz w:val="20"/>
          <w:szCs w:val="20"/>
          <w:lang w:eastAsia="en-IN"/>
          <w14:ligatures w14:val="none"/>
        </w:rPr>
        <w:t>Bian</w:t>
      </w:r>
      <w:proofErr w:type="spellEnd"/>
      <w:r w:rsidRPr="00BF4F13">
        <w:rPr>
          <w:rFonts w:ascii="Arial" w:eastAsia="Times New Roman" w:hAnsi="Arial" w:cs="Arial"/>
          <w:kern w:val="0"/>
          <w:sz w:val="20"/>
          <w:szCs w:val="20"/>
          <w:lang w:eastAsia="en-IN"/>
          <w14:ligatures w14:val="none"/>
        </w:rPr>
        <w:t xml:space="preserve">, Z., Yuan, X., Chen, X., &amp; Lu, C. (2020). A review on the effects of light-emitting diode (LED) light on the nutrients of sprouts and microgreens. </w:t>
      </w:r>
      <w:r w:rsidRPr="00BF4F13">
        <w:rPr>
          <w:rFonts w:ascii="Arial" w:eastAsia="Times New Roman" w:hAnsi="Arial" w:cs="Arial"/>
          <w:i/>
          <w:iCs/>
          <w:kern w:val="0"/>
          <w:sz w:val="20"/>
          <w:szCs w:val="20"/>
          <w:lang w:eastAsia="en-IN"/>
          <w14:ligatures w14:val="none"/>
        </w:rPr>
        <w:t>Trends in Food Science &amp; Technology, 99</w:t>
      </w:r>
      <w:r w:rsidRPr="00BF4F13">
        <w:rPr>
          <w:rFonts w:ascii="Arial" w:eastAsia="Times New Roman" w:hAnsi="Arial" w:cs="Arial"/>
          <w:kern w:val="0"/>
          <w:sz w:val="20"/>
          <w:szCs w:val="20"/>
          <w:lang w:eastAsia="en-IN"/>
          <w14:ligatures w14:val="none"/>
        </w:rPr>
        <w:t xml:space="preserve">, 203–216. </w:t>
      </w:r>
      <w:hyperlink r:id="rId20" w:history="1">
        <w:r w:rsidRPr="00BF4F13">
          <w:rPr>
            <w:rStyle w:val="Hyperlink"/>
            <w:rFonts w:ascii="Arial" w:eastAsia="Times New Roman" w:hAnsi="Arial" w:cs="Arial"/>
            <w:kern w:val="0"/>
            <w:sz w:val="20"/>
            <w:szCs w:val="20"/>
            <w:lang w:eastAsia="en-IN"/>
            <w14:ligatures w14:val="none"/>
          </w:rPr>
          <w:t>https://doi.org/10.1016/j.tifs.2020.02.031</w:t>
        </w:r>
      </w:hyperlink>
      <w:r w:rsidRPr="002E440F">
        <w:rPr>
          <w:rFonts w:ascii="Arial" w:eastAsia="Times New Roman" w:hAnsi="Arial" w:cs="Arial"/>
          <w:kern w:val="0"/>
          <w:sz w:val="20"/>
          <w:szCs w:val="20"/>
          <w:lang w:eastAsia="en-IN"/>
          <w14:ligatures w14:val="none"/>
        </w:rPr>
        <w:t xml:space="preserve"> </w:t>
      </w:r>
    </w:p>
    <w:p w14:paraId="37DC9FAC" w14:textId="77777777" w:rsidR="002E440F" w:rsidRPr="00BF4F13" w:rsidRDefault="002E440F" w:rsidP="008038A9">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BF4F13">
        <w:rPr>
          <w:rFonts w:ascii="Arial" w:eastAsia="Times New Roman" w:hAnsi="Arial" w:cs="Arial"/>
          <w:kern w:val="0"/>
          <w:sz w:val="20"/>
          <w:szCs w:val="20"/>
          <w:lang w:eastAsia="en-IN"/>
          <w14:ligatures w14:val="none"/>
        </w:rPr>
        <w:t xml:space="preserve">Zhang, Y., Xiao, Z., Ager, E., Kong, L., &amp; Tan, L. (2021). Nutritional quality and health benefits of microgreens, a crop of modern agriculture. </w:t>
      </w:r>
      <w:r w:rsidRPr="00BF4F13">
        <w:rPr>
          <w:rFonts w:ascii="Arial" w:eastAsia="Times New Roman" w:hAnsi="Arial" w:cs="Arial"/>
          <w:i/>
          <w:iCs/>
          <w:kern w:val="0"/>
          <w:sz w:val="20"/>
          <w:szCs w:val="20"/>
          <w:lang w:eastAsia="en-IN"/>
          <w14:ligatures w14:val="none"/>
        </w:rPr>
        <w:t>Journal of Future Foods, 1</w:t>
      </w:r>
      <w:r w:rsidRPr="00BF4F13">
        <w:rPr>
          <w:rFonts w:ascii="Arial" w:eastAsia="Times New Roman" w:hAnsi="Arial" w:cs="Arial"/>
          <w:kern w:val="0"/>
          <w:sz w:val="20"/>
          <w:szCs w:val="20"/>
          <w:lang w:eastAsia="en-IN"/>
          <w14:ligatures w14:val="none"/>
        </w:rPr>
        <w:t xml:space="preserve">(1), 58–66. </w:t>
      </w:r>
      <w:hyperlink r:id="rId21" w:tgtFrame="_new" w:history="1">
        <w:r w:rsidRPr="00BF4F13">
          <w:rPr>
            <w:rFonts w:ascii="Arial" w:eastAsia="Times New Roman" w:hAnsi="Arial" w:cs="Arial"/>
            <w:color w:val="0000FF"/>
            <w:kern w:val="0"/>
            <w:sz w:val="20"/>
            <w:szCs w:val="20"/>
            <w:u w:val="single"/>
            <w:lang w:eastAsia="en-IN"/>
            <w14:ligatures w14:val="none"/>
          </w:rPr>
          <w:t>https://doi.org/10.1016/j.jfutfo.2021.07.001</w:t>
        </w:r>
      </w:hyperlink>
    </w:p>
    <w:p w14:paraId="1B234EA8" w14:textId="77777777" w:rsidR="00140D31" w:rsidRPr="00140D31" w:rsidRDefault="00140D31" w:rsidP="00140D31">
      <w:pPr>
        <w:shd w:val="clear" w:color="auto" w:fill="FFFFFF"/>
        <w:spacing w:after="150" w:line="240" w:lineRule="auto"/>
        <w:rPr>
          <w:rFonts w:ascii="inherit" w:eastAsia="Times New Roman" w:hAnsi="inherit" w:cs="Helvetica"/>
          <w:color w:val="222222"/>
          <w:kern w:val="0"/>
          <w:sz w:val="18"/>
          <w:szCs w:val="18"/>
          <w:lang w:val="en-US"/>
          <w14:ligatures w14:val="none"/>
        </w:rPr>
      </w:pPr>
      <w:r w:rsidRPr="00774253">
        <w:rPr>
          <w:rFonts w:ascii="inherit" w:eastAsia="Times New Roman" w:hAnsi="inherit" w:cs="Helvetica"/>
          <w:color w:val="222222"/>
          <w:kern w:val="0"/>
          <w:sz w:val="18"/>
          <w:szCs w:val="18"/>
          <w:highlight w:val="yellow"/>
          <w:lang w:val="en-US"/>
          <w14:ligatures w14:val="none"/>
        </w:rPr>
        <w:t xml:space="preserve">Seth, T., Mishra, G. P., Chattopadhyay, A., Deb Roy, P., Devi, M., </w:t>
      </w:r>
      <w:proofErr w:type="spellStart"/>
      <w:r w:rsidRPr="00774253">
        <w:rPr>
          <w:rFonts w:ascii="inherit" w:eastAsia="Times New Roman" w:hAnsi="inherit" w:cs="Helvetica"/>
          <w:color w:val="222222"/>
          <w:kern w:val="0"/>
          <w:sz w:val="18"/>
          <w:szCs w:val="18"/>
          <w:highlight w:val="yellow"/>
          <w:lang w:val="en-US"/>
          <w14:ligatures w14:val="none"/>
        </w:rPr>
        <w:t>Sahu</w:t>
      </w:r>
      <w:proofErr w:type="spellEnd"/>
      <w:r w:rsidRPr="00774253">
        <w:rPr>
          <w:rFonts w:ascii="inherit" w:eastAsia="Times New Roman" w:hAnsi="inherit" w:cs="Helvetica"/>
          <w:color w:val="222222"/>
          <w:kern w:val="0"/>
          <w:sz w:val="18"/>
          <w:szCs w:val="18"/>
          <w:highlight w:val="yellow"/>
          <w:lang w:val="en-US"/>
          <w14:ligatures w14:val="none"/>
        </w:rPr>
        <w:t xml:space="preserve">, A., Sarangi, S. K., Mhatre, C. S., </w:t>
      </w:r>
      <w:proofErr w:type="spellStart"/>
      <w:r w:rsidRPr="00774253">
        <w:rPr>
          <w:rFonts w:ascii="inherit" w:eastAsia="Times New Roman" w:hAnsi="inherit" w:cs="Helvetica"/>
          <w:color w:val="222222"/>
          <w:kern w:val="0"/>
          <w:sz w:val="18"/>
          <w:szCs w:val="18"/>
          <w:highlight w:val="yellow"/>
          <w:lang w:val="en-US"/>
          <w14:ligatures w14:val="none"/>
        </w:rPr>
        <w:t>Lyngdoh</w:t>
      </w:r>
      <w:proofErr w:type="spellEnd"/>
      <w:r w:rsidRPr="00774253">
        <w:rPr>
          <w:rFonts w:ascii="inherit" w:eastAsia="Times New Roman" w:hAnsi="inherit" w:cs="Helvetica"/>
          <w:color w:val="222222"/>
          <w:kern w:val="0"/>
          <w:sz w:val="18"/>
          <w:szCs w:val="18"/>
          <w:highlight w:val="yellow"/>
          <w:lang w:val="en-US"/>
          <w14:ligatures w14:val="none"/>
        </w:rPr>
        <w:t>, Y. A., Chandra, V., Dikshit, H. K., &amp; Nair, R. M. (2025). Microgreens: Functional Food for Nutrition and Dietary Diversification. </w:t>
      </w:r>
      <w:r w:rsidRPr="00774253">
        <w:rPr>
          <w:rFonts w:ascii="inherit" w:eastAsia="Times New Roman" w:hAnsi="inherit" w:cs="Helvetica"/>
          <w:i/>
          <w:iCs/>
          <w:color w:val="222222"/>
          <w:kern w:val="0"/>
          <w:sz w:val="18"/>
          <w:szCs w:val="18"/>
          <w:highlight w:val="yellow"/>
          <w:lang w:val="en-US"/>
          <w14:ligatures w14:val="none"/>
        </w:rPr>
        <w:t>Plants</w:t>
      </w:r>
      <w:r w:rsidRPr="00774253">
        <w:rPr>
          <w:rFonts w:ascii="inherit" w:eastAsia="Times New Roman" w:hAnsi="inherit" w:cs="Helvetica"/>
          <w:color w:val="222222"/>
          <w:kern w:val="0"/>
          <w:sz w:val="18"/>
          <w:szCs w:val="18"/>
          <w:highlight w:val="yellow"/>
          <w:lang w:val="en-US"/>
          <w14:ligatures w14:val="none"/>
        </w:rPr>
        <w:t>, </w:t>
      </w:r>
      <w:r w:rsidRPr="00774253">
        <w:rPr>
          <w:rFonts w:ascii="inherit" w:eastAsia="Times New Roman" w:hAnsi="inherit" w:cs="Helvetica"/>
          <w:i/>
          <w:iCs/>
          <w:color w:val="222222"/>
          <w:kern w:val="0"/>
          <w:sz w:val="18"/>
          <w:szCs w:val="18"/>
          <w:highlight w:val="yellow"/>
          <w:lang w:val="en-US"/>
          <w14:ligatures w14:val="none"/>
        </w:rPr>
        <w:t>14</w:t>
      </w:r>
      <w:r w:rsidRPr="00774253">
        <w:rPr>
          <w:rFonts w:ascii="inherit" w:eastAsia="Times New Roman" w:hAnsi="inherit" w:cs="Helvetica"/>
          <w:color w:val="222222"/>
          <w:kern w:val="0"/>
          <w:sz w:val="18"/>
          <w:szCs w:val="18"/>
          <w:highlight w:val="yellow"/>
          <w:lang w:val="en-US"/>
          <w14:ligatures w14:val="none"/>
        </w:rPr>
        <w:t>(4), 526. https://doi.org/10.3390/plants14040526</w:t>
      </w:r>
    </w:p>
    <w:p w14:paraId="1F7C4D50" w14:textId="57B7DBB8" w:rsidR="002E440F" w:rsidRDefault="00025CCD" w:rsidP="008038A9">
      <w:pPr>
        <w:jc w:val="both"/>
        <w:rPr>
          <w:rFonts w:ascii="Arial" w:hAnsi="Arial" w:cs="Arial"/>
          <w:color w:val="222222"/>
          <w:sz w:val="18"/>
          <w:szCs w:val="20"/>
          <w:highlight w:val="yellow"/>
          <w:shd w:val="clear" w:color="auto" w:fill="FFFFFF"/>
        </w:rPr>
      </w:pPr>
      <w:proofErr w:type="spellStart"/>
      <w:r w:rsidRPr="00774253">
        <w:rPr>
          <w:rFonts w:ascii="Arial" w:hAnsi="Arial" w:cs="Arial"/>
          <w:color w:val="222222"/>
          <w:sz w:val="18"/>
          <w:szCs w:val="20"/>
          <w:highlight w:val="yellow"/>
          <w:shd w:val="clear" w:color="auto" w:fill="FFFFFF"/>
        </w:rPr>
        <w:t>Rihn</w:t>
      </w:r>
      <w:proofErr w:type="spellEnd"/>
      <w:r w:rsidRPr="00774253">
        <w:rPr>
          <w:rFonts w:ascii="Arial" w:hAnsi="Arial" w:cs="Arial"/>
          <w:color w:val="222222"/>
          <w:sz w:val="18"/>
          <w:szCs w:val="20"/>
          <w:highlight w:val="yellow"/>
          <w:shd w:val="clear" w:color="auto" w:fill="FFFFFF"/>
        </w:rPr>
        <w:t xml:space="preserve">, A. L., Walters, K., Bumgarner, N., &amp; </w:t>
      </w:r>
      <w:proofErr w:type="spellStart"/>
      <w:r w:rsidRPr="00774253">
        <w:rPr>
          <w:rFonts w:ascii="Arial" w:hAnsi="Arial" w:cs="Arial"/>
          <w:color w:val="222222"/>
          <w:sz w:val="18"/>
          <w:szCs w:val="20"/>
          <w:highlight w:val="yellow"/>
          <w:shd w:val="clear" w:color="auto" w:fill="FFFFFF"/>
        </w:rPr>
        <w:t>Bajgain</w:t>
      </w:r>
      <w:proofErr w:type="spellEnd"/>
      <w:r w:rsidRPr="00774253">
        <w:rPr>
          <w:rFonts w:ascii="Arial" w:hAnsi="Arial" w:cs="Arial"/>
          <w:color w:val="222222"/>
          <w:sz w:val="18"/>
          <w:szCs w:val="20"/>
          <w:highlight w:val="yellow"/>
          <w:shd w:val="clear" w:color="auto" w:fill="FFFFFF"/>
        </w:rPr>
        <w:t>, P. (2025). Consumers’ risk perceptions of production practices to enhance the nutrient content of microgreens. </w:t>
      </w:r>
      <w:r w:rsidRPr="00774253">
        <w:rPr>
          <w:rFonts w:ascii="Arial" w:hAnsi="Arial" w:cs="Arial"/>
          <w:i/>
          <w:iCs/>
          <w:color w:val="222222"/>
          <w:sz w:val="18"/>
          <w:szCs w:val="20"/>
          <w:highlight w:val="yellow"/>
          <w:shd w:val="clear" w:color="auto" w:fill="FFFFFF"/>
        </w:rPr>
        <w:t>Journal of Agriculture and Food Research</w:t>
      </w:r>
      <w:r w:rsidRPr="00774253">
        <w:rPr>
          <w:rFonts w:ascii="Arial" w:hAnsi="Arial" w:cs="Arial"/>
          <w:color w:val="222222"/>
          <w:sz w:val="18"/>
          <w:szCs w:val="20"/>
          <w:highlight w:val="yellow"/>
          <w:shd w:val="clear" w:color="auto" w:fill="FFFFFF"/>
        </w:rPr>
        <w:t>, </w:t>
      </w:r>
      <w:r w:rsidRPr="00774253">
        <w:rPr>
          <w:rFonts w:ascii="Arial" w:hAnsi="Arial" w:cs="Arial"/>
          <w:i/>
          <w:iCs/>
          <w:color w:val="222222"/>
          <w:sz w:val="18"/>
          <w:szCs w:val="20"/>
          <w:highlight w:val="yellow"/>
          <w:shd w:val="clear" w:color="auto" w:fill="FFFFFF"/>
        </w:rPr>
        <w:t>19</w:t>
      </w:r>
      <w:r w:rsidRPr="00774253">
        <w:rPr>
          <w:rFonts w:ascii="Arial" w:hAnsi="Arial" w:cs="Arial"/>
          <w:color w:val="222222"/>
          <w:sz w:val="18"/>
          <w:szCs w:val="20"/>
          <w:highlight w:val="yellow"/>
          <w:shd w:val="clear" w:color="auto" w:fill="FFFFFF"/>
        </w:rPr>
        <w:t>, 101542.</w:t>
      </w:r>
    </w:p>
    <w:p w14:paraId="7A619FE4" w14:textId="77777777" w:rsidR="00901F34" w:rsidRPr="00901F34" w:rsidRDefault="00901F34" w:rsidP="00901F34">
      <w:pPr>
        <w:spacing w:after="0" w:line="240" w:lineRule="auto"/>
        <w:rPr>
          <w:rFonts w:ascii="Consolas" w:eastAsia="Times New Roman" w:hAnsi="Consolas" w:cs="Times New Roman"/>
          <w:kern w:val="0"/>
          <w:sz w:val="24"/>
          <w:szCs w:val="24"/>
          <w:lang w:val="en-US"/>
          <w14:ligatures w14:val="none"/>
        </w:rPr>
      </w:pPr>
      <w:proofErr w:type="spellStart"/>
      <w:r w:rsidRPr="00774253">
        <w:rPr>
          <w:rFonts w:ascii="Consolas" w:eastAsia="Times New Roman" w:hAnsi="Consolas" w:cs="Times New Roman"/>
          <w:kern w:val="0"/>
          <w:sz w:val="24"/>
          <w:szCs w:val="24"/>
          <w:highlight w:val="yellow"/>
          <w:lang w:val="en-US"/>
          <w14:ligatures w14:val="none"/>
        </w:rPr>
        <w:t>Bhaswant</w:t>
      </w:r>
      <w:proofErr w:type="spellEnd"/>
      <w:r w:rsidRPr="00774253">
        <w:rPr>
          <w:rFonts w:ascii="Consolas" w:eastAsia="Times New Roman" w:hAnsi="Consolas" w:cs="Times New Roman"/>
          <w:kern w:val="0"/>
          <w:sz w:val="24"/>
          <w:szCs w:val="24"/>
          <w:highlight w:val="yellow"/>
          <w:lang w:val="en-US"/>
          <w14:ligatures w14:val="none"/>
        </w:rPr>
        <w:t xml:space="preserve"> M, Shanmugam DK, Miyazawa T, Abe C, Miyazawa T. Microgreens-A Comprehensive Review of Bioactive Molecules and Health Benefits. Molecules. 2023 Jan 15;28(2):867. </w:t>
      </w:r>
      <w:proofErr w:type="spellStart"/>
      <w:r w:rsidRPr="00774253">
        <w:rPr>
          <w:rFonts w:ascii="Consolas" w:eastAsia="Times New Roman" w:hAnsi="Consolas" w:cs="Times New Roman"/>
          <w:kern w:val="0"/>
          <w:sz w:val="24"/>
          <w:szCs w:val="24"/>
          <w:highlight w:val="yellow"/>
          <w:lang w:val="en-US"/>
          <w14:ligatures w14:val="none"/>
        </w:rPr>
        <w:t>doi</w:t>
      </w:r>
      <w:proofErr w:type="spellEnd"/>
      <w:r w:rsidRPr="00774253">
        <w:rPr>
          <w:rFonts w:ascii="Consolas" w:eastAsia="Times New Roman" w:hAnsi="Consolas" w:cs="Times New Roman"/>
          <w:kern w:val="0"/>
          <w:sz w:val="24"/>
          <w:szCs w:val="24"/>
          <w:highlight w:val="yellow"/>
          <w:lang w:val="en-US"/>
          <w14:ligatures w14:val="none"/>
        </w:rPr>
        <w:t>: 10.3390/molecules28020867. PMID: 36677933; PMCID: PMC9864543.</w:t>
      </w:r>
    </w:p>
    <w:p w14:paraId="43751263" w14:textId="77777777" w:rsidR="00901F34" w:rsidRPr="00774253" w:rsidRDefault="00901F34" w:rsidP="008038A9">
      <w:pPr>
        <w:jc w:val="both"/>
        <w:rPr>
          <w:rFonts w:ascii="Arial" w:hAnsi="Arial" w:cs="Arial"/>
          <w:sz w:val="18"/>
          <w:szCs w:val="20"/>
        </w:rPr>
      </w:pPr>
    </w:p>
    <w:sectPr w:rsidR="00901F34" w:rsidRPr="00774253" w:rsidSect="001E337C">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F0CE6" w14:textId="77777777" w:rsidR="0085786E" w:rsidRDefault="0085786E" w:rsidP="00BD264B">
      <w:pPr>
        <w:spacing w:after="0" w:line="240" w:lineRule="auto"/>
      </w:pPr>
      <w:r>
        <w:separator/>
      </w:r>
    </w:p>
  </w:endnote>
  <w:endnote w:type="continuationSeparator" w:id="0">
    <w:p w14:paraId="47A4C304" w14:textId="77777777" w:rsidR="0085786E" w:rsidRDefault="0085786E" w:rsidP="00BD2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2F6C0" w14:textId="77777777" w:rsidR="00BD264B" w:rsidRDefault="00BD2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367E4" w14:textId="77777777" w:rsidR="00BD264B" w:rsidRDefault="00BD26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C4918" w14:textId="77777777" w:rsidR="00BD264B" w:rsidRDefault="00BD2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BC248" w14:textId="77777777" w:rsidR="0085786E" w:rsidRDefault="0085786E" w:rsidP="00BD264B">
      <w:pPr>
        <w:spacing w:after="0" w:line="240" w:lineRule="auto"/>
      </w:pPr>
      <w:r>
        <w:separator/>
      </w:r>
    </w:p>
  </w:footnote>
  <w:footnote w:type="continuationSeparator" w:id="0">
    <w:p w14:paraId="2F6AE660" w14:textId="77777777" w:rsidR="0085786E" w:rsidRDefault="0085786E" w:rsidP="00BD2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7507F" w14:textId="22027EBF" w:rsidR="00BD264B" w:rsidRDefault="0085786E">
    <w:pPr>
      <w:pStyle w:val="Header"/>
    </w:pPr>
    <w:r>
      <w:rPr>
        <w:noProof/>
      </w:rPr>
      <w:pict w14:anchorId="594E0A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5021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EA80C" w14:textId="650ECB29" w:rsidR="00BD264B" w:rsidRDefault="0085786E">
    <w:pPr>
      <w:pStyle w:val="Header"/>
    </w:pPr>
    <w:r>
      <w:rPr>
        <w:noProof/>
      </w:rPr>
      <w:pict w14:anchorId="073706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5021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891DE" w14:textId="1D28BDC4" w:rsidR="00BD264B" w:rsidRDefault="0085786E">
    <w:pPr>
      <w:pStyle w:val="Header"/>
    </w:pPr>
    <w:r>
      <w:rPr>
        <w:noProof/>
      </w:rPr>
      <w:pict w14:anchorId="45EC81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5021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xNDKzNDExNTAxM7cwMjJS0lEKTi0uzszPAykwqgUADedSdCwAAAA="/>
  </w:docVars>
  <w:rsids>
    <w:rsidRoot w:val="00CA711B"/>
    <w:rsid w:val="00025CCD"/>
    <w:rsid w:val="000F01A6"/>
    <w:rsid w:val="0010142A"/>
    <w:rsid w:val="00140D31"/>
    <w:rsid w:val="001C69F9"/>
    <w:rsid w:val="001E337C"/>
    <w:rsid w:val="002E440F"/>
    <w:rsid w:val="0035580F"/>
    <w:rsid w:val="00380CD8"/>
    <w:rsid w:val="004A3668"/>
    <w:rsid w:val="005C2098"/>
    <w:rsid w:val="006F654E"/>
    <w:rsid w:val="00774253"/>
    <w:rsid w:val="008038A9"/>
    <w:rsid w:val="00804FD1"/>
    <w:rsid w:val="0085786E"/>
    <w:rsid w:val="00901F34"/>
    <w:rsid w:val="009B5316"/>
    <w:rsid w:val="00AC093C"/>
    <w:rsid w:val="00B04FBC"/>
    <w:rsid w:val="00BD264B"/>
    <w:rsid w:val="00BF4F13"/>
    <w:rsid w:val="00C3170E"/>
    <w:rsid w:val="00CA711B"/>
    <w:rsid w:val="00CD6B0F"/>
    <w:rsid w:val="00D90C3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0DDD4C"/>
  <w15:chartTrackingRefBased/>
  <w15:docId w15:val="{F853AB71-EA36-40D5-9D61-37A70241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37C"/>
  </w:style>
  <w:style w:type="paragraph" w:styleId="Heading1">
    <w:name w:val="heading 1"/>
    <w:basedOn w:val="Normal"/>
    <w:next w:val="Normal"/>
    <w:link w:val="Heading1Char"/>
    <w:uiPriority w:val="9"/>
    <w:qFormat/>
    <w:rsid w:val="00CA71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A71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A71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71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71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71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1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1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1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1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A71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A71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71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71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71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1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1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11B"/>
    <w:rPr>
      <w:rFonts w:eastAsiaTheme="majorEastAsia" w:cstheme="majorBidi"/>
      <w:color w:val="272727" w:themeColor="text1" w:themeTint="D8"/>
    </w:rPr>
  </w:style>
  <w:style w:type="paragraph" w:styleId="Title">
    <w:name w:val="Title"/>
    <w:basedOn w:val="Normal"/>
    <w:next w:val="Normal"/>
    <w:link w:val="TitleChar"/>
    <w:uiPriority w:val="10"/>
    <w:qFormat/>
    <w:rsid w:val="00CA71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1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1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1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11B"/>
    <w:pPr>
      <w:spacing w:before="160"/>
      <w:jc w:val="center"/>
    </w:pPr>
    <w:rPr>
      <w:i/>
      <w:iCs/>
      <w:color w:val="404040" w:themeColor="text1" w:themeTint="BF"/>
    </w:rPr>
  </w:style>
  <w:style w:type="character" w:customStyle="1" w:styleId="QuoteChar">
    <w:name w:val="Quote Char"/>
    <w:basedOn w:val="DefaultParagraphFont"/>
    <w:link w:val="Quote"/>
    <w:uiPriority w:val="29"/>
    <w:rsid w:val="00CA711B"/>
    <w:rPr>
      <w:i/>
      <w:iCs/>
      <w:color w:val="404040" w:themeColor="text1" w:themeTint="BF"/>
    </w:rPr>
  </w:style>
  <w:style w:type="paragraph" w:styleId="ListParagraph">
    <w:name w:val="List Paragraph"/>
    <w:basedOn w:val="Normal"/>
    <w:uiPriority w:val="34"/>
    <w:qFormat/>
    <w:rsid w:val="00CA711B"/>
    <w:pPr>
      <w:ind w:left="720"/>
      <w:contextualSpacing/>
    </w:pPr>
  </w:style>
  <w:style w:type="character" w:styleId="IntenseEmphasis">
    <w:name w:val="Intense Emphasis"/>
    <w:basedOn w:val="DefaultParagraphFont"/>
    <w:uiPriority w:val="21"/>
    <w:qFormat/>
    <w:rsid w:val="00CA711B"/>
    <w:rPr>
      <w:i/>
      <w:iCs/>
      <w:color w:val="2F5496" w:themeColor="accent1" w:themeShade="BF"/>
    </w:rPr>
  </w:style>
  <w:style w:type="paragraph" w:styleId="IntenseQuote">
    <w:name w:val="Intense Quote"/>
    <w:basedOn w:val="Normal"/>
    <w:next w:val="Normal"/>
    <w:link w:val="IntenseQuoteChar"/>
    <w:uiPriority w:val="30"/>
    <w:qFormat/>
    <w:rsid w:val="00CA71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711B"/>
    <w:rPr>
      <w:i/>
      <w:iCs/>
      <w:color w:val="2F5496" w:themeColor="accent1" w:themeShade="BF"/>
    </w:rPr>
  </w:style>
  <w:style w:type="character" w:styleId="IntenseReference">
    <w:name w:val="Intense Reference"/>
    <w:basedOn w:val="DefaultParagraphFont"/>
    <w:uiPriority w:val="32"/>
    <w:qFormat/>
    <w:rsid w:val="00CA711B"/>
    <w:rPr>
      <w:b/>
      <w:bCs/>
      <w:smallCaps/>
      <w:color w:val="2F5496" w:themeColor="accent1" w:themeShade="BF"/>
      <w:spacing w:val="5"/>
    </w:rPr>
  </w:style>
  <w:style w:type="paragraph" w:styleId="NormalWeb">
    <w:name w:val="Normal (Web)"/>
    <w:basedOn w:val="Normal"/>
    <w:uiPriority w:val="99"/>
    <w:semiHidden/>
    <w:unhideWhenUsed/>
    <w:rsid w:val="00BF4F13"/>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BF4F13"/>
    <w:rPr>
      <w:b/>
      <w:bCs/>
    </w:rPr>
  </w:style>
  <w:style w:type="character" w:styleId="Emphasis">
    <w:name w:val="Emphasis"/>
    <w:basedOn w:val="DefaultParagraphFont"/>
    <w:uiPriority w:val="20"/>
    <w:qFormat/>
    <w:rsid w:val="00BF4F13"/>
    <w:rPr>
      <w:i/>
      <w:iCs/>
    </w:rPr>
  </w:style>
  <w:style w:type="character" w:styleId="Hyperlink">
    <w:name w:val="Hyperlink"/>
    <w:basedOn w:val="DefaultParagraphFont"/>
    <w:uiPriority w:val="99"/>
    <w:unhideWhenUsed/>
    <w:rsid w:val="00BF4F13"/>
    <w:rPr>
      <w:color w:val="0000FF"/>
      <w:u w:val="single"/>
    </w:rPr>
  </w:style>
  <w:style w:type="character" w:styleId="FollowedHyperlink">
    <w:name w:val="FollowedHyperlink"/>
    <w:basedOn w:val="DefaultParagraphFont"/>
    <w:uiPriority w:val="99"/>
    <w:semiHidden/>
    <w:unhideWhenUsed/>
    <w:rsid w:val="002E440F"/>
    <w:rPr>
      <w:color w:val="954F72" w:themeColor="followedHyperlink"/>
      <w:u w:val="single"/>
    </w:rPr>
  </w:style>
  <w:style w:type="paragraph" w:styleId="Header">
    <w:name w:val="header"/>
    <w:basedOn w:val="Normal"/>
    <w:link w:val="HeaderChar"/>
    <w:uiPriority w:val="99"/>
    <w:unhideWhenUsed/>
    <w:rsid w:val="00BD2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64B"/>
  </w:style>
  <w:style w:type="paragraph" w:styleId="Footer">
    <w:name w:val="footer"/>
    <w:basedOn w:val="Normal"/>
    <w:link w:val="FooterChar"/>
    <w:uiPriority w:val="99"/>
    <w:unhideWhenUsed/>
    <w:rsid w:val="00BD2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64B"/>
  </w:style>
  <w:style w:type="paragraph" w:styleId="NoSpacing">
    <w:name w:val="No Spacing"/>
    <w:uiPriority w:val="1"/>
    <w:qFormat/>
    <w:rsid w:val="000F01A6"/>
    <w:pPr>
      <w:spacing w:after="0" w:line="240" w:lineRule="auto"/>
    </w:pPr>
    <w:rPr>
      <w:kern w:val="0"/>
      <w:lang w:val="en-GB"/>
    </w:rPr>
  </w:style>
  <w:style w:type="paragraph" w:styleId="BalloonText">
    <w:name w:val="Balloon Text"/>
    <w:basedOn w:val="Normal"/>
    <w:link w:val="BalloonTextChar"/>
    <w:uiPriority w:val="99"/>
    <w:semiHidden/>
    <w:unhideWhenUsed/>
    <w:rsid w:val="008038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8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685556">
      <w:bodyDiv w:val="1"/>
      <w:marLeft w:val="0"/>
      <w:marRight w:val="0"/>
      <w:marTop w:val="0"/>
      <w:marBottom w:val="0"/>
      <w:divBdr>
        <w:top w:val="none" w:sz="0" w:space="0" w:color="auto"/>
        <w:left w:val="none" w:sz="0" w:space="0" w:color="auto"/>
        <w:bottom w:val="none" w:sz="0" w:space="0" w:color="auto"/>
        <w:right w:val="none" w:sz="0" w:space="0" w:color="auto"/>
      </w:divBdr>
      <w:divsChild>
        <w:div w:id="413553112">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642079464">
      <w:bodyDiv w:val="1"/>
      <w:marLeft w:val="0"/>
      <w:marRight w:val="0"/>
      <w:marTop w:val="0"/>
      <w:marBottom w:val="0"/>
      <w:divBdr>
        <w:top w:val="none" w:sz="0" w:space="0" w:color="auto"/>
        <w:left w:val="none" w:sz="0" w:space="0" w:color="auto"/>
        <w:bottom w:val="none" w:sz="0" w:space="0" w:color="auto"/>
        <w:right w:val="none" w:sz="0" w:space="0" w:color="auto"/>
      </w:divBdr>
      <w:divsChild>
        <w:div w:id="435911002">
          <w:marLeft w:val="0"/>
          <w:marRight w:val="0"/>
          <w:marTop w:val="0"/>
          <w:marBottom w:val="0"/>
          <w:divBdr>
            <w:top w:val="none" w:sz="0" w:space="0" w:color="auto"/>
            <w:left w:val="none" w:sz="0" w:space="0" w:color="auto"/>
            <w:bottom w:val="none" w:sz="0" w:space="0" w:color="auto"/>
            <w:right w:val="none" w:sz="0" w:space="0" w:color="auto"/>
          </w:divBdr>
          <w:divsChild>
            <w:div w:id="14432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afr.2020.100046" TargetMode="External"/><Relationship Id="rId13" Type="http://schemas.openxmlformats.org/officeDocument/2006/relationships/hyperlink" Target="https://doi.org/10.1016/j.foodchem.2020.127415" TargetMode="External"/><Relationship Id="rId18" Type="http://schemas.openxmlformats.org/officeDocument/2006/relationships/hyperlink" Target="https://doi.org/10.1016/j.lwt.2018.10.076"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s://doi.org/10.1016/j.jfutfo.2021.07.001" TargetMode="External"/><Relationship Id="rId7" Type="http://schemas.openxmlformats.org/officeDocument/2006/relationships/hyperlink" Target="https://doi.org/10.1016/j.jfca.2020.103495" TargetMode="External"/><Relationship Id="rId12" Type="http://schemas.openxmlformats.org/officeDocument/2006/relationships/hyperlink" Target="https://doi.org/10.1038/s41598-023-38325-0" TargetMode="External"/><Relationship Id="rId17" Type="http://schemas.openxmlformats.org/officeDocument/2006/relationships/hyperlink" Target="https://doi.org/10.1111/1750-3841.15049"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doi.org/10.1016/j.foodres.2020.110039" TargetMode="External"/><Relationship Id="rId20" Type="http://schemas.openxmlformats.org/officeDocument/2006/relationships/hyperlink" Target="https://doi.org/10.1016/j.tifs.2020.02.031"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039/D5FB00575B" TargetMode="External"/><Relationship Id="rId11" Type="http://schemas.openxmlformats.org/officeDocument/2006/relationships/hyperlink" Target="https://doi.org/10.1016/j.tifs.2016.09.005"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doi.org/10.9734/jeai/2025/v47i4337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3390/foods13193020" TargetMode="External"/><Relationship Id="rId19" Type="http://schemas.openxmlformats.org/officeDocument/2006/relationships/hyperlink" Target="https://doi.org/10.21273/HORTSCI15371-20" TargetMode="External"/><Relationship Id="rId4" Type="http://schemas.openxmlformats.org/officeDocument/2006/relationships/footnotes" Target="footnotes.xml"/><Relationship Id="rId9" Type="http://schemas.openxmlformats.org/officeDocument/2006/relationships/hyperlink" Target="https://doi.org/10.1139/cjps-2020-0060" TargetMode="External"/><Relationship Id="rId14" Type="http://schemas.openxmlformats.org/officeDocument/2006/relationships/hyperlink" Target="https://doi.org/10.9734/jsrr/2024/v30i122708"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11</Pages>
  <Words>6438</Words>
  <Characters>36698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Manisha</dc:creator>
  <cp:keywords/>
  <dc:description/>
  <cp:lastModifiedBy>SDI PC New 16</cp:lastModifiedBy>
  <cp:revision>15</cp:revision>
  <dcterms:created xsi:type="dcterms:W3CDTF">2026-01-12T12:27:00Z</dcterms:created>
  <dcterms:modified xsi:type="dcterms:W3CDTF">2026-01-17T10:55:00Z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d6942d4f-9dd4-4292-ba98-bb7081b088ce</vt:lpwstr>
  </property>
</Properties>
</file>