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AF8CA" w14:textId="48936E43" w:rsidR="003D548A" w:rsidRDefault="007D5277" w:rsidP="007D5277">
      <w:pPr>
        <w:jc w:val="center"/>
        <w:rPr>
          <w:rFonts w:ascii="Times New Roman" w:hAnsi="Times New Roman" w:cs="Times New Roman"/>
          <w:b/>
          <w:bCs/>
          <w:sz w:val="28"/>
          <w:szCs w:val="32"/>
        </w:rPr>
      </w:pPr>
      <w:r w:rsidRPr="007D5277">
        <w:rPr>
          <w:rFonts w:ascii="Times New Roman" w:hAnsi="Times New Roman" w:cs="Times New Roman"/>
          <w:b/>
          <w:bCs/>
          <w:sz w:val="28"/>
          <w:szCs w:val="32"/>
        </w:rPr>
        <w:t>Navigating the Future of Novel Drug Delivery Systems: Market Dynamics, Technological Innovations, and Translational Challenges</w:t>
      </w:r>
    </w:p>
    <w:p w14:paraId="4D3FDEA9" w14:textId="77777777" w:rsidR="007D5277" w:rsidRDefault="007D5277" w:rsidP="00342557">
      <w:pPr>
        <w:rPr>
          <w:rFonts w:ascii="Times New Roman" w:hAnsi="Times New Roman" w:cs="Times New Roman"/>
          <w:b/>
          <w:bCs/>
          <w:sz w:val="28"/>
          <w:szCs w:val="32"/>
        </w:rPr>
      </w:pPr>
    </w:p>
    <w:p w14:paraId="0DDEE9EA" w14:textId="77777777" w:rsidR="000A27C0" w:rsidRPr="000A27C0" w:rsidRDefault="000A27C0" w:rsidP="000A27C0">
      <w:pPr>
        <w:jc w:val="both"/>
        <w:rPr>
          <w:rFonts w:ascii="Times New Roman" w:hAnsi="Times New Roman" w:cs="Times New Roman"/>
          <w:b/>
          <w:bCs/>
          <w:sz w:val="28"/>
          <w:szCs w:val="32"/>
        </w:rPr>
      </w:pPr>
      <w:r w:rsidRPr="000A27C0">
        <w:rPr>
          <w:rFonts w:ascii="Times New Roman" w:hAnsi="Times New Roman" w:cs="Times New Roman"/>
          <w:b/>
          <w:bCs/>
          <w:sz w:val="28"/>
          <w:szCs w:val="32"/>
        </w:rPr>
        <w:t>Abstract</w:t>
      </w:r>
    </w:p>
    <w:p w14:paraId="3BC05E52"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Novel Drug Delivery Systems (NDDS) have emerged as pivotal technologies in modern therapeutics, addressing limitations of conventional drug administration such as poor bioavailability, non-specific targeting, and adverse side effects. The growing global market and rapid technological advancements underscore the need for a comprehensive understanding of NDDS development, market dynamics, and translational challenges.</w:t>
      </w:r>
    </w:p>
    <w:p w14:paraId="5DEF3EFD" w14:textId="6E4EAC10"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This review systematically analy</w:t>
      </w:r>
      <w:r w:rsidR="00F71C4E">
        <w:rPr>
          <w:rFonts w:ascii="Times New Roman" w:hAnsi="Times New Roman" w:cs="Times New Roman"/>
          <w:szCs w:val="28"/>
        </w:rPr>
        <w:t>s</w:t>
      </w:r>
      <w:r w:rsidRPr="000A27C0">
        <w:rPr>
          <w:rFonts w:ascii="Times New Roman" w:hAnsi="Times New Roman" w:cs="Times New Roman"/>
          <w:szCs w:val="28"/>
        </w:rPr>
        <w:t xml:space="preserve">es recent progress in NDDS, focusing on key nanocarriers including liposomes, cubosomes, and solid lipid nanoparticles, alongside emerging multifunctional and stimuli-responsive systems. A thorough literature survey was conducted using databases such as PubMed, Scopus, and Web of Science, complemented by market reports and regulatory guidelines. Emphasis was placed on formulation techniques, material innovations, integration with </w:t>
      </w:r>
      <w:proofErr w:type="spellStart"/>
      <w:r w:rsidRPr="000A27C0">
        <w:rPr>
          <w:rFonts w:ascii="Times New Roman" w:hAnsi="Times New Roman" w:cs="Times New Roman"/>
          <w:szCs w:val="28"/>
        </w:rPr>
        <w:t>personali</w:t>
      </w:r>
      <w:r w:rsidR="00F71C4E">
        <w:rPr>
          <w:rFonts w:ascii="Times New Roman" w:hAnsi="Times New Roman" w:cs="Times New Roman"/>
          <w:szCs w:val="28"/>
        </w:rPr>
        <w:t>s</w:t>
      </w:r>
      <w:r w:rsidRPr="000A27C0">
        <w:rPr>
          <w:rFonts w:ascii="Times New Roman" w:hAnsi="Times New Roman" w:cs="Times New Roman"/>
          <w:szCs w:val="28"/>
        </w:rPr>
        <w:t>ed</w:t>
      </w:r>
      <w:proofErr w:type="spellEnd"/>
      <w:r w:rsidRPr="000A27C0">
        <w:rPr>
          <w:rFonts w:ascii="Times New Roman" w:hAnsi="Times New Roman" w:cs="Times New Roman"/>
          <w:szCs w:val="28"/>
        </w:rPr>
        <w:t xml:space="preserve"> medicine, and the role of artificial intelligence in </w:t>
      </w:r>
      <w:proofErr w:type="spellStart"/>
      <w:r w:rsidRPr="000A27C0">
        <w:rPr>
          <w:rFonts w:ascii="Times New Roman" w:hAnsi="Times New Roman" w:cs="Times New Roman"/>
          <w:szCs w:val="28"/>
        </w:rPr>
        <w:t>optimi</w:t>
      </w:r>
      <w:r w:rsidR="00F71C4E">
        <w:rPr>
          <w:rFonts w:ascii="Times New Roman" w:hAnsi="Times New Roman" w:cs="Times New Roman"/>
          <w:szCs w:val="28"/>
        </w:rPr>
        <w:t>s</w:t>
      </w:r>
      <w:r w:rsidRPr="000A27C0">
        <w:rPr>
          <w:rFonts w:ascii="Times New Roman" w:hAnsi="Times New Roman" w:cs="Times New Roman"/>
          <w:szCs w:val="28"/>
        </w:rPr>
        <w:t>ing</w:t>
      </w:r>
      <w:proofErr w:type="spellEnd"/>
      <w:r w:rsidRPr="000A27C0">
        <w:rPr>
          <w:rFonts w:ascii="Times New Roman" w:hAnsi="Times New Roman" w:cs="Times New Roman"/>
          <w:szCs w:val="28"/>
        </w:rPr>
        <w:t xml:space="preserve"> design and clinical translation.</w:t>
      </w:r>
    </w:p>
    <w:p w14:paraId="3E504986"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Results highlight significant advances in scalable manufacturing, green synthesis, and multifunctional hybrid platforms that enhance targeting and controlled release. However, challenges persist in regulatory approval, long-term safety evaluation, and market adoption, particularly due to complex manufacturing and intellectual property landscapes. The integration of digital health tools and real-time monitoring presents promising avenues to improve patient compliance and therapeutic outcomes.</w:t>
      </w:r>
    </w:p>
    <w:p w14:paraId="29217CD0" w14:textId="3D008B68"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 xml:space="preserve">In conclusion, NDDS represent a transformative shift toward precision medicine, but their successful clinical translation requires multidisciplinary collaboration, regulatory alignment, and sustainable manufacturing practices. Addressing current research gaps and leveraging emerging technologies will be critical to fully </w:t>
      </w:r>
      <w:proofErr w:type="spellStart"/>
      <w:r w:rsidRPr="000A27C0">
        <w:rPr>
          <w:rFonts w:ascii="Times New Roman" w:hAnsi="Times New Roman" w:cs="Times New Roman"/>
          <w:szCs w:val="28"/>
        </w:rPr>
        <w:t>reali</w:t>
      </w:r>
      <w:r w:rsidR="00F71C4E">
        <w:rPr>
          <w:rFonts w:ascii="Times New Roman" w:hAnsi="Times New Roman" w:cs="Times New Roman"/>
          <w:szCs w:val="28"/>
        </w:rPr>
        <w:t>s</w:t>
      </w:r>
      <w:r w:rsidRPr="000A27C0">
        <w:rPr>
          <w:rFonts w:ascii="Times New Roman" w:hAnsi="Times New Roman" w:cs="Times New Roman"/>
          <w:szCs w:val="28"/>
        </w:rPr>
        <w:t>e</w:t>
      </w:r>
      <w:proofErr w:type="spellEnd"/>
      <w:r w:rsidRPr="000A27C0">
        <w:rPr>
          <w:rFonts w:ascii="Times New Roman" w:hAnsi="Times New Roman" w:cs="Times New Roman"/>
          <w:szCs w:val="28"/>
        </w:rPr>
        <w:t xml:space="preserve"> the therapeutic and commercial potential of NDDS, ultimately improving patient care worldwide.</w:t>
      </w:r>
    </w:p>
    <w:p w14:paraId="5DC8EA8C" w14:textId="746B1F7A" w:rsidR="00837BA3" w:rsidRDefault="00837BA3" w:rsidP="00837BA3">
      <w:pPr>
        <w:jc w:val="both"/>
        <w:rPr>
          <w:rFonts w:ascii="Times New Roman" w:hAnsi="Times New Roman" w:cs="Times New Roman"/>
          <w:szCs w:val="28"/>
        </w:rPr>
      </w:pPr>
      <w:r>
        <w:rPr>
          <w:rFonts w:ascii="Times New Roman" w:hAnsi="Times New Roman" w:cs="Times New Roman"/>
          <w:b/>
          <w:bCs/>
          <w:sz w:val="28"/>
          <w:szCs w:val="32"/>
        </w:rPr>
        <w:t>Keywords -</w:t>
      </w:r>
      <w:r w:rsidRPr="00837BA3">
        <w:rPr>
          <w:rFonts w:ascii="Times New Roman" w:hAnsi="Times New Roman" w:cs="Times New Roman"/>
          <w:sz w:val="28"/>
          <w:szCs w:val="32"/>
        </w:rPr>
        <w:t>Novel Drug Delivery Systems (NDDS),</w:t>
      </w:r>
      <w:r>
        <w:rPr>
          <w:rFonts w:ascii="Times New Roman" w:hAnsi="Times New Roman" w:cs="Times New Roman"/>
          <w:b/>
          <w:bCs/>
          <w:sz w:val="28"/>
          <w:szCs w:val="32"/>
        </w:rPr>
        <w:t xml:space="preserve"> </w:t>
      </w:r>
      <w:r w:rsidRPr="00837BA3">
        <w:rPr>
          <w:rFonts w:ascii="Times New Roman" w:hAnsi="Times New Roman" w:cs="Times New Roman"/>
          <w:szCs w:val="28"/>
        </w:rPr>
        <w:t>Nanocarriers</w:t>
      </w:r>
      <w:r>
        <w:rPr>
          <w:rFonts w:ascii="Times New Roman" w:hAnsi="Times New Roman" w:cs="Times New Roman"/>
          <w:b/>
          <w:bCs/>
          <w:sz w:val="28"/>
          <w:szCs w:val="32"/>
        </w:rPr>
        <w:t xml:space="preserve">, </w:t>
      </w:r>
      <w:r w:rsidRPr="00837BA3">
        <w:rPr>
          <w:rFonts w:ascii="Times New Roman" w:hAnsi="Times New Roman" w:cs="Times New Roman"/>
          <w:szCs w:val="28"/>
        </w:rPr>
        <w:t>Liposomes</w:t>
      </w:r>
      <w:r>
        <w:rPr>
          <w:rFonts w:ascii="Times New Roman" w:hAnsi="Times New Roman" w:cs="Times New Roman"/>
          <w:b/>
          <w:bCs/>
          <w:sz w:val="28"/>
          <w:szCs w:val="32"/>
        </w:rPr>
        <w:t xml:space="preserve">, </w:t>
      </w:r>
      <w:r w:rsidRPr="00837BA3">
        <w:rPr>
          <w:rFonts w:ascii="Times New Roman" w:hAnsi="Times New Roman" w:cs="Times New Roman"/>
          <w:szCs w:val="28"/>
        </w:rPr>
        <w:t>Cubosomes</w:t>
      </w:r>
      <w:r>
        <w:rPr>
          <w:rFonts w:ascii="Times New Roman" w:hAnsi="Times New Roman" w:cs="Times New Roman"/>
          <w:b/>
          <w:bCs/>
          <w:sz w:val="28"/>
          <w:szCs w:val="32"/>
        </w:rPr>
        <w:t xml:space="preserve">, </w:t>
      </w:r>
      <w:r w:rsidRPr="00837BA3">
        <w:rPr>
          <w:rFonts w:ascii="Times New Roman" w:hAnsi="Times New Roman" w:cs="Times New Roman"/>
          <w:szCs w:val="28"/>
        </w:rPr>
        <w:t>Solid Lipid Nanoparticles (SLNs)</w:t>
      </w:r>
      <w:r>
        <w:rPr>
          <w:rFonts w:ascii="Times New Roman" w:hAnsi="Times New Roman" w:cs="Times New Roman"/>
          <w:b/>
          <w:bCs/>
          <w:sz w:val="28"/>
          <w:szCs w:val="32"/>
        </w:rPr>
        <w:t xml:space="preserve">, </w:t>
      </w:r>
      <w:r w:rsidRPr="00837BA3">
        <w:rPr>
          <w:rFonts w:ascii="Times New Roman" w:hAnsi="Times New Roman" w:cs="Times New Roman"/>
          <w:szCs w:val="28"/>
        </w:rPr>
        <w:t>Stimuli-Responsive Drug Delivery</w:t>
      </w:r>
      <w:r>
        <w:rPr>
          <w:rFonts w:ascii="Times New Roman" w:hAnsi="Times New Roman" w:cs="Times New Roman"/>
          <w:b/>
          <w:bCs/>
          <w:sz w:val="28"/>
          <w:szCs w:val="32"/>
        </w:rPr>
        <w:t xml:space="preserve">, </w:t>
      </w:r>
      <w:r w:rsidRPr="00837BA3">
        <w:rPr>
          <w:rFonts w:ascii="Times New Roman" w:hAnsi="Times New Roman" w:cs="Times New Roman"/>
          <w:szCs w:val="28"/>
        </w:rPr>
        <w:t>Multifunctional Nanocarriers</w:t>
      </w:r>
      <w:r>
        <w:rPr>
          <w:rFonts w:ascii="Times New Roman" w:hAnsi="Times New Roman" w:cs="Times New Roman"/>
          <w:b/>
          <w:bCs/>
          <w:sz w:val="28"/>
          <w:szCs w:val="32"/>
        </w:rPr>
        <w:t xml:space="preserve">, </w:t>
      </w:r>
      <w:r w:rsidRPr="00837BA3">
        <w:rPr>
          <w:rFonts w:ascii="Times New Roman" w:hAnsi="Times New Roman" w:cs="Times New Roman"/>
          <w:szCs w:val="28"/>
        </w:rPr>
        <w:t>Targeted Drug Delivery</w:t>
      </w:r>
    </w:p>
    <w:p w14:paraId="5A0EDB9E" w14:textId="77777777" w:rsidR="00654937" w:rsidRDefault="00654937" w:rsidP="00837BA3">
      <w:pPr>
        <w:jc w:val="both"/>
        <w:rPr>
          <w:rFonts w:ascii="Times New Roman" w:hAnsi="Times New Roman" w:cs="Times New Roman"/>
          <w:szCs w:val="28"/>
        </w:rPr>
      </w:pPr>
    </w:p>
    <w:p w14:paraId="7775C00B" w14:textId="77777777" w:rsidR="00654937" w:rsidRDefault="00654937" w:rsidP="00837BA3">
      <w:pPr>
        <w:jc w:val="both"/>
        <w:rPr>
          <w:rFonts w:ascii="Times New Roman" w:hAnsi="Times New Roman" w:cs="Times New Roman"/>
          <w:szCs w:val="28"/>
        </w:rPr>
      </w:pPr>
    </w:p>
    <w:p w14:paraId="13AC41F8" w14:textId="77777777" w:rsidR="00654937" w:rsidRDefault="00654937" w:rsidP="00837BA3">
      <w:pPr>
        <w:jc w:val="both"/>
        <w:rPr>
          <w:rFonts w:ascii="Times New Roman" w:hAnsi="Times New Roman" w:cs="Times New Roman"/>
          <w:szCs w:val="28"/>
        </w:rPr>
      </w:pPr>
    </w:p>
    <w:p w14:paraId="19293C50" w14:textId="77777777" w:rsidR="00C92D93" w:rsidRDefault="00C92D93" w:rsidP="00837BA3">
      <w:pPr>
        <w:jc w:val="both"/>
        <w:rPr>
          <w:rFonts w:ascii="Times New Roman" w:hAnsi="Times New Roman" w:cs="Times New Roman"/>
          <w:szCs w:val="28"/>
        </w:rPr>
      </w:pPr>
    </w:p>
    <w:p w14:paraId="403C30FA" w14:textId="372CB305" w:rsidR="00281F32" w:rsidRPr="00342557" w:rsidRDefault="00281F32" w:rsidP="00342557">
      <w:pPr>
        <w:jc w:val="center"/>
        <w:rPr>
          <w:rFonts w:ascii="Times New Roman" w:hAnsi="Times New Roman" w:cs="Times New Roman"/>
          <w:b/>
          <w:bCs/>
          <w:sz w:val="28"/>
          <w:szCs w:val="32"/>
          <w:u w:val="single"/>
        </w:rPr>
      </w:pPr>
      <w:r w:rsidRPr="00342557">
        <w:rPr>
          <w:rFonts w:ascii="Times New Roman" w:hAnsi="Times New Roman" w:cs="Times New Roman"/>
          <w:b/>
          <w:bCs/>
          <w:szCs w:val="28"/>
          <w:u w:val="single"/>
        </w:rPr>
        <w:lastRenderedPageBreak/>
        <w:t>Graphical abstract</w:t>
      </w:r>
    </w:p>
    <w:p w14:paraId="14E0DD20" w14:textId="5AB03752" w:rsidR="007D5277" w:rsidRPr="00837BA3" w:rsidRDefault="007D5277" w:rsidP="000A27C0">
      <w:pPr>
        <w:jc w:val="both"/>
        <w:rPr>
          <w:rFonts w:ascii="Times New Roman" w:hAnsi="Times New Roman" w:cs="Times New Roman"/>
          <w:szCs w:val="28"/>
        </w:rPr>
      </w:pPr>
    </w:p>
    <w:p w14:paraId="5B5CEC61" w14:textId="355F6D4B" w:rsidR="00881A13" w:rsidRPr="00881A13" w:rsidRDefault="00881A13" w:rsidP="00881A13">
      <w:pPr>
        <w:jc w:val="both"/>
        <w:rPr>
          <w:rFonts w:ascii="Times New Roman" w:hAnsi="Times New Roman" w:cs="Times New Roman"/>
          <w:b/>
          <w:bCs/>
          <w:sz w:val="28"/>
          <w:szCs w:val="32"/>
        </w:rPr>
      </w:pPr>
      <w:r w:rsidRPr="00881A13">
        <w:rPr>
          <w:rFonts w:ascii="Times New Roman" w:hAnsi="Times New Roman" w:cs="Times New Roman"/>
          <w:b/>
          <w:bCs/>
          <w:noProof/>
          <w:sz w:val="28"/>
          <w:szCs w:val="32"/>
          <w:lang w:bidi="ar-SA"/>
        </w:rPr>
        <w:drawing>
          <wp:inline distT="0" distB="0" distL="0" distR="0" wp14:anchorId="0603D05B" wp14:editId="242213E2">
            <wp:extent cx="5974080" cy="5494020"/>
            <wp:effectExtent l="0" t="0" r="7620" b="0"/>
            <wp:docPr id="58688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4080" cy="5494020"/>
                    </a:xfrm>
                    <a:prstGeom prst="rect">
                      <a:avLst/>
                    </a:prstGeom>
                    <a:noFill/>
                    <a:ln>
                      <a:noFill/>
                    </a:ln>
                  </pic:spPr>
                </pic:pic>
              </a:graphicData>
            </a:graphic>
          </wp:inline>
        </w:drawing>
      </w:r>
    </w:p>
    <w:p w14:paraId="2733DA58" w14:textId="77777777" w:rsidR="00837BA3" w:rsidRDefault="00837BA3" w:rsidP="000A27C0">
      <w:pPr>
        <w:jc w:val="both"/>
        <w:rPr>
          <w:rFonts w:ascii="Times New Roman" w:hAnsi="Times New Roman" w:cs="Times New Roman"/>
          <w:b/>
          <w:bCs/>
          <w:sz w:val="28"/>
          <w:szCs w:val="32"/>
        </w:rPr>
      </w:pPr>
    </w:p>
    <w:p w14:paraId="069F45E0" w14:textId="77777777" w:rsidR="00837BA3" w:rsidRDefault="00837BA3" w:rsidP="000A27C0">
      <w:pPr>
        <w:jc w:val="both"/>
        <w:rPr>
          <w:rFonts w:ascii="Times New Roman" w:hAnsi="Times New Roman" w:cs="Times New Roman"/>
          <w:b/>
          <w:bCs/>
          <w:sz w:val="28"/>
          <w:szCs w:val="32"/>
        </w:rPr>
      </w:pPr>
    </w:p>
    <w:p w14:paraId="473F420E" w14:textId="77777777" w:rsidR="00881A13" w:rsidRDefault="00881A13" w:rsidP="000A27C0">
      <w:pPr>
        <w:jc w:val="both"/>
        <w:rPr>
          <w:rFonts w:ascii="Times New Roman" w:hAnsi="Times New Roman" w:cs="Times New Roman"/>
          <w:b/>
          <w:bCs/>
          <w:sz w:val="28"/>
          <w:szCs w:val="32"/>
        </w:rPr>
      </w:pPr>
    </w:p>
    <w:p w14:paraId="0B50A1DE" w14:textId="77777777" w:rsidR="00881A13" w:rsidRDefault="00881A13" w:rsidP="000A27C0">
      <w:pPr>
        <w:jc w:val="both"/>
        <w:rPr>
          <w:rFonts w:ascii="Times New Roman" w:hAnsi="Times New Roman" w:cs="Times New Roman"/>
          <w:b/>
          <w:bCs/>
          <w:sz w:val="28"/>
          <w:szCs w:val="32"/>
        </w:rPr>
      </w:pPr>
    </w:p>
    <w:p w14:paraId="54758D2B" w14:textId="77777777" w:rsidR="00881A13" w:rsidRDefault="00881A13" w:rsidP="000A27C0">
      <w:pPr>
        <w:jc w:val="both"/>
        <w:rPr>
          <w:rFonts w:ascii="Times New Roman" w:hAnsi="Times New Roman" w:cs="Times New Roman"/>
          <w:b/>
          <w:bCs/>
          <w:sz w:val="28"/>
          <w:szCs w:val="32"/>
        </w:rPr>
      </w:pPr>
    </w:p>
    <w:p w14:paraId="1C9E7DE9" w14:textId="77777777" w:rsidR="00881A13" w:rsidRDefault="00881A13" w:rsidP="000A27C0">
      <w:pPr>
        <w:jc w:val="both"/>
        <w:rPr>
          <w:rFonts w:ascii="Times New Roman" w:hAnsi="Times New Roman" w:cs="Times New Roman"/>
          <w:b/>
          <w:bCs/>
          <w:sz w:val="28"/>
          <w:szCs w:val="32"/>
        </w:rPr>
      </w:pPr>
    </w:p>
    <w:p w14:paraId="4BA1D563" w14:textId="77777777" w:rsidR="00881A13" w:rsidRDefault="00881A13" w:rsidP="000A27C0">
      <w:pPr>
        <w:jc w:val="both"/>
        <w:rPr>
          <w:rFonts w:ascii="Times New Roman" w:hAnsi="Times New Roman" w:cs="Times New Roman"/>
          <w:b/>
          <w:bCs/>
          <w:sz w:val="28"/>
          <w:szCs w:val="32"/>
        </w:rPr>
      </w:pPr>
    </w:p>
    <w:p w14:paraId="5AC9FADF" w14:textId="77777777" w:rsidR="00881A13" w:rsidRDefault="00881A13" w:rsidP="000A27C0">
      <w:pPr>
        <w:jc w:val="both"/>
        <w:rPr>
          <w:rFonts w:ascii="Times New Roman" w:hAnsi="Times New Roman" w:cs="Times New Roman"/>
          <w:b/>
          <w:bCs/>
          <w:sz w:val="28"/>
          <w:szCs w:val="32"/>
        </w:rPr>
      </w:pPr>
    </w:p>
    <w:p w14:paraId="172E729C" w14:textId="41FA7E24"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Introduction</w:t>
      </w:r>
    </w:p>
    <w:p w14:paraId="6BEF90BA" w14:textId="1EBB5E75"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The landscape of pharmaceutical therapeutics has been profoundly transformed by the advent of Novel Drug Delivery Systems (NDDS). These advanced delivery platforms are designed to </w:t>
      </w:r>
      <w:proofErr w:type="spellStart"/>
      <w:r w:rsidRPr="007D5277">
        <w:rPr>
          <w:rFonts w:ascii="Times New Roman" w:hAnsi="Times New Roman" w:cs="Times New Roman"/>
          <w:szCs w:val="28"/>
        </w:rPr>
        <w:t>optimi</w:t>
      </w:r>
      <w:r w:rsidR="00F71C4E">
        <w:rPr>
          <w:rFonts w:ascii="Times New Roman" w:hAnsi="Times New Roman" w:cs="Times New Roman"/>
          <w:szCs w:val="28"/>
        </w:rPr>
        <w:t>s</w:t>
      </w:r>
      <w:r w:rsidRPr="007D5277">
        <w:rPr>
          <w:rFonts w:ascii="Times New Roman" w:hAnsi="Times New Roman" w:cs="Times New Roman"/>
          <w:szCs w:val="28"/>
        </w:rPr>
        <w:t>e</w:t>
      </w:r>
      <w:proofErr w:type="spellEnd"/>
      <w:r w:rsidRPr="007D5277">
        <w:rPr>
          <w:rFonts w:ascii="Times New Roman" w:hAnsi="Times New Roman" w:cs="Times New Roman"/>
          <w:szCs w:val="28"/>
        </w:rPr>
        <w:t xml:space="preserve"> the pharmacokinetics and pharmacodynamics of therapeutic agents, thereby enhancing efficacy, reducing side effects, and improving patient compliance. Traditional drug delivery methods often face limitations such as poor bioavailability, non-specific distribution, and rapid clearance, which can compromise therapeutic outcomes. NDDS, encompassing technologies such as nanoparticles, liposomes, cubosomes, solid lipid nanoparticles, and stimuli-responsive carriers, offer innovative solutions to these challenges by enabling targeted, controlled, and sustained drug </w:t>
      </w:r>
      <w:proofErr w:type="gramStart"/>
      <w:r w:rsidRPr="007D5277">
        <w:rPr>
          <w:rFonts w:ascii="Times New Roman" w:hAnsi="Times New Roman" w:cs="Times New Roman"/>
          <w:szCs w:val="28"/>
        </w:rPr>
        <w:t>release</w:t>
      </w:r>
      <w:r w:rsidR="000713E6">
        <w:rPr>
          <w:rFonts w:ascii="Times New Roman" w:hAnsi="Times New Roman" w:cs="Times New Roman"/>
          <w:szCs w:val="28"/>
        </w:rPr>
        <w:t>[</w:t>
      </w:r>
      <w:proofErr w:type="gramEnd"/>
      <w:r w:rsidR="000713E6">
        <w:rPr>
          <w:rFonts w:ascii="Times New Roman" w:hAnsi="Times New Roman" w:cs="Times New Roman"/>
          <w:szCs w:val="28"/>
        </w:rPr>
        <w:t>01,02]</w:t>
      </w:r>
      <w:r w:rsidRPr="007D5277">
        <w:rPr>
          <w:rFonts w:ascii="Times New Roman" w:hAnsi="Times New Roman" w:cs="Times New Roman"/>
          <w:szCs w:val="28"/>
        </w:rPr>
        <w:t>.</w:t>
      </w:r>
    </w:p>
    <w:p w14:paraId="60902967" w14:textId="0B559622"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The importance of NDDS in modern therapeutics extends beyond improved drug performance; they also facilitate the delivery of complex molecules</w:t>
      </w:r>
      <w:r w:rsidR="00F71C4E">
        <w:rPr>
          <w:rFonts w:ascii="Times New Roman" w:hAnsi="Times New Roman" w:cs="Times New Roman"/>
          <w:szCs w:val="28"/>
        </w:rPr>
        <w:t>,</w:t>
      </w:r>
      <w:r w:rsidRPr="007D5277">
        <w:rPr>
          <w:rFonts w:ascii="Times New Roman" w:hAnsi="Times New Roman" w:cs="Times New Roman"/>
          <w:szCs w:val="28"/>
        </w:rPr>
        <w:t xml:space="preserve"> including biologics, nucleic acids, and poorly soluble drugs, which are otherwise difficult to administer effectively. Furthermore, NDDS play a critical role in </w:t>
      </w:r>
      <w:proofErr w:type="spellStart"/>
      <w:r w:rsidRPr="007D5277">
        <w:rPr>
          <w:rFonts w:ascii="Times New Roman" w:hAnsi="Times New Roman" w:cs="Times New Roman"/>
          <w:szCs w:val="28"/>
        </w:rPr>
        <w:t>personali</w:t>
      </w:r>
      <w:r w:rsidR="00F71C4E">
        <w:rPr>
          <w:rFonts w:ascii="Times New Roman" w:hAnsi="Times New Roman" w:cs="Times New Roman"/>
          <w:szCs w:val="28"/>
        </w:rPr>
        <w:t>s</w:t>
      </w:r>
      <w:r w:rsidRPr="007D5277">
        <w:rPr>
          <w:rFonts w:ascii="Times New Roman" w:hAnsi="Times New Roman" w:cs="Times New Roman"/>
          <w:szCs w:val="28"/>
        </w:rPr>
        <w:t>ed</w:t>
      </w:r>
      <w:proofErr w:type="spellEnd"/>
      <w:r w:rsidRPr="007D5277">
        <w:rPr>
          <w:rFonts w:ascii="Times New Roman" w:hAnsi="Times New Roman" w:cs="Times New Roman"/>
          <w:szCs w:val="28"/>
        </w:rPr>
        <w:t xml:space="preserve"> medicine by allowing tailored drug delivery strategies that consider individual patient </w:t>
      </w:r>
      <w:proofErr w:type="gramStart"/>
      <w:r w:rsidRPr="007D5277">
        <w:rPr>
          <w:rFonts w:ascii="Times New Roman" w:hAnsi="Times New Roman" w:cs="Times New Roman"/>
          <w:szCs w:val="28"/>
        </w:rPr>
        <w:t>variability</w:t>
      </w:r>
      <w:r w:rsidR="000713E6">
        <w:rPr>
          <w:rFonts w:ascii="Times New Roman" w:hAnsi="Times New Roman" w:cs="Times New Roman"/>
          <w:szCs w:val="28"/>
        </w:rPr>
        <w:t>[</w:t>
      </w:r>
      <w:proofErr w:type="gramEnd"/>
      <w:r w:rsidR="000713E6">
        <w:rPr>
          <w:rFonts w:ascii="Times New Roman" w:hAnsi="Times New Roman" w:cs="Times New Roman"/>
          <w:szCs w:val="28"/>
        </w:rPr>
        <w:t>03]</w:t>
      </w:r>
      <w:r w:rsidRPr="007D5277">
        <w:rPr>
          <w:rFonts w:ascii="Times New Roman" w:hAnsi="Times New Roman" w:cs="Times New Roman"/>
          <w:szCs w:val="28"/>
        </w:rPr>
        <w:t>.</w:t>
      </w:r>
    </w:p>
    <w:p w14:paraId="15913BBF" w14:textId="3D109F9C"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This review aims to provide a comprehensive overview of the current state and prospects of NDDS, focusing on three key dimensions: global market dynamics, technological innovations, and translational challenges. By analyzing market trends and economic factors, we seek to elucidate the commercial landscape shaping NDDS development. Concurrently, we explore cutting-edge technological advancements that are driving the evolution of drug delivery platforms. Finally, we address the critical barriers to clinical translation, including manufacturing scalability, regulatory hurdles, and safety concerns, which must be overcome to </w:t>
      </w:r>
      <w:proofErr w:type="spellStart"/>
      <w:r w:rsidRPr="007D5277">
        <w:rPr>
          <w:rFonts w:ascii="Times New Roman" w:hAnsi="Times New Roman" w:cs="Times New Roman"/>
          <w:szCs w:val="28"/>
        </w:rPr>
        <w:t>reali</w:t>
      </w:r>
      <w:r w:rsidR="00F71C4E">
        <w:rPr>
          <w:rFonts w:ascii="Times New Roman" w:hAnsi="Times New Roman" w:cs="Times New Roman"/>
          <w:szCs w:val="28"/>
        </w:rPr>
        <w:t>s</w:t>
      </w:r>
      <w:r w:rsidRPr="007D5277">
        <w:rPr>
          <w:rFonts w:ascii="Times New Roman" w:hAnsi="Times New Roman" w:cs="Times New Roman"/>
          <w:szCs w:val="28"/>
        </w:rPr>
        <w:t>e</w:t>
      </w:r>
      <w:proofErr w:type="spellEnd"/>
      <w:r w:rsidRPr="007D5277">
        <w:rPr>
          <w:rFonts w:ascii="Times New Roman" w:hAnsi="Times New Roman" w:cs="Times New Roman"/>
          <w:szCs w:val="28"/>
        </w:rPr>
        <w:t xml:space="preserve"> the full potential of </w:t>
      </w:r>
      <w:proofErr w:type="gramStart"/>
      <w:r w:rsidRPr="007D5277">
        <w:rPr>
          <w:rFonts w:ascii="Times New Roman" w:hAnsi="Times New Roman" w:cs="Times New Roman"/>
          <w:szCs w:val="28"/>
        </w:rPr>
        <w:t>NDDS</w:t>
      </w:r>
      <w:r w:rsidR="000713E6">
        <w:rPr>
          <w:rFonts w:ascii="Times New Roman" w:hAnsi="Times New Roman" w:cs="Times New Roman"/>
          <w:szCs w:val="28"/>
        </w:rPr>
        <w:t>[</w:t>
      </w:r>
      <w:proofErr w:type="gramEnd"/>
      <w:r w:rsidR="000713E6">
        <w:rPr>
          <w:rFonts w:ascii="Times New Roman" w:hAnsi="Times New Roman" w:cs="Times New Roman"/>
          <w:szCs w:val="28"/>
        </w:rPr>
        <w:t>04]</w:t>
      </w:r>
      <w:r w:rsidRPr="007D5277">
        <w:rPr>
          <w:rFonts w:ascii="Times New Roman" w:hAnsi="Times New Roman" w:cs="Times New Roman"/>
          <w:szCs w:val="28"/>
        </w:rPr>
        <w:t>.</w:t>
      </w:r>
    </w:p>
    <w:p w14:paraId="7FADD45E" w14:textId="5E0C5D15" w:rsid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Through this integrated approach, the review intends to offer valuable insights for researchers, industry stakeholders, and policymakers, guiding strategic decisions and fostering innovation in the rapidly evolving field of novel drug </w:t>
      </w:r>
      <w:proofErr w:type="gramStart"/>
      <w:r w:rsidRPr="007D5277">
        <w:rPr>
          <w:rFonts w:ascii="Times New Roman" w:hAnsi="Times New Roman" w:cs="Times New Roman"/>
          <w:szCs w:val="28"/>
        </w:rPr>
        <w:t>delivery</w:t>
      </w:r>
      <w:r w:rsidR="000713E6">
        <w:rPr>
          <w:rFonts w:ascii="Times New Roman" w:hAnsi="Times New Roman" w:cs="Times New Roman"/>
          <w:szCs w:val="28"/>
        </w:rPr>
        <w:t>[</w:t>
      </w:r>
      <w:proofErr w:type="gramEnd"/>
      <w:r w:rsidR="000713E6">
        <w:rPr>
          <w:rFonts w:ascii="Times New Roman" w:hAnsi="Times New Roman" w:cs="Times New Roman"/>
          <w:szCs w:val="28"/>
        </w:rPr>
        <w:t>05,06]</w:t>
      </w:r>
      <w:r w:rsidRPr="007D5277">
        <w:rPr>
          <w:rFonts w:ascii="Times New Roman" w:hAnsi="Times New Roman" w:cs="Times New Roman"/>
          <w:szCs w:val="28"/>
        </w:rPr>
        <w:t>.</w:t>
      </w:r>
    </w:p>
    <w:p w14:paraId="76F10FED"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1.1 Market Size, Growth Trends, and Forecasts</w:t>
      </w:r>
    </w:p>
    <w:p w14:paraId="18FD00AB" w14:textId="6A915DD5"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The global market for Novel Drug Delivery Systems (NDDS) has witnessed robust growth over the past decade, driven by increasing demand for improved therapeutic efficacy, patient compliance, and the rising prevalence of chronic diseases. According to recent market analyses, the NDDS market was valued at approximately USD 150 billion in 2023 and is projected to grow at a compound annual growth rate (CAGR) of 8–10% from 2024 to 2030, potentially exceeding USD 300 billion by the end of the </w:t>
      </w:r>
      <w:proofErr w:type="gramStart"/>
      <w:r w:rsidRPr="007D5277">
        <w:rPr>
          <w:rFonts w:ascii="Times New Roman" w:hAnsi="Times New Roman" w:cs="Times New Roman"/>
          <w:szCs w:val="28"/>
        </w:rPr>
        <w:t>decade</w:t>
      </w:r>
      <w:r w:rsidR="000713E6">
        <w:rPr>
          <w:rFonts w:ascii="Times New Roman" w:hAnsi="Times New Roman" w:cs="Times New Roman"/>
          <w:szCs w:val="28"/>
        </w:rPr>
        <w:t>[</w:t>
      </w:r>
      <w:proofErr w:type="gramEnd"/>
      <w:r w:rsidR="000713E6">
        <w:rPr>
          <w:rFonts w:ascii="Times New Roman" w:hAnsi="Times New Roman" w:cs="Times New Roman"/>
          <w:szCs w:val="28"/>
        </w:rPr>
        <w:t>07]</w:t>
      </w:r>
      <w:r>
        <w:rPr>
          <w:rFonts w:ascii="Times New Roman" w:hAnsi="Times New Roman" w:cs="Times New Roman"/>
          <w:szCs w:val="28"/>
        </w:rPr>
        <w:t>.</w:t>
      </w:r>
    </w:p>
    <w:p w14:paraId="3D0F667B" w14:textId="0630F952"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lastRenderedPageBreak/>
        <w:t xml:space="preserve">Key factors propelling this growth include advancements in nanotechnology, the surge in biologics and complex drug molecules requiring </w:t>
      </w:r>
      <w:proofErr w:type="spellStart"/>
      <w:r w:rsidRPr="007D5277">
        <w:rPr>
          <w:rFonts w:ascii="Times New Roman" w:hAnsi="Times New Roman" w:cs="Times New Roman"/>
          <w:szCs w:val="28"/>
        </w:rPr>
        <w:t>speciali</w:t>
      </w:r>
      <w:r w:rsidR="00F71C4E">
        <w:rPr>
          <w:rFonts w:ascii="Times New Roman" w:hAnsi="Times New Roman" w:cs="Times New Roman"/>
          <w:szCs w:val="28"/>
        </w:rPr>
        <w:t>s</w:t>
      </w:r>
      <w:r w:rsidRPr="007D5277">
        <w:rPr>
          <w:rFonts w:ascii="Times New Roman" w:hAnsi="Times New Roman" w:cs="Times New Roman"/>
          <w:szCs w:val="28"/>
        </w:rPr>
        <w:t>ed</w:t>
      </w:r>
      <w:proofErr w:type="spellEnd"/>
      <w:r w:rsidRPr="007D5277">
        <w:rPr>
          <w:rFonts w:ascii="Times New Roman" w:hAnsi="Times New Roman" w:cs="Times New Roman"/>
          <w:szCs w:val="28"/>
        </w:rPr>
        <w:t xml:space="preserve"> delivery platforms, and the growing emphasis on </w:t>
      </w:r>
      <w:proofErr w:type="spellStart"/>
      <w:r w:rsidRPr="007D5277">
        <w:rPr>
          <w:rFonts w:ascii="Times New Roman" w:hAnsi="Times New Roman" w:cs="Times New Roman"/>
          <w:szCs w:val="28"/>
        </w:rPr>
        <w:t>personali</w:t>
      </w:r>
      <w:r w:rsidR="00F71C4E">
        <w:rPr>
          <w:rFonts w:ascii="Times New Roman" w:hAnsi="Times New Roman" w:cs="Times New Roman"/>
          <w:szCs w:val="28"/>
        </w:rPr>
        <w:t>s</w:t>
      </w:r>
      <w:r w:rsidRPr="007D5277">
        <w:rPr>
          <w:rFonts w:ascii="Times New Roman" w:hAnsi="Times New Roman" w:cs="Times New Roman"/>
          <w:szCs w:val="28"/>
        </w:rPr>
        <w:t>ed</w:t>
      </w:r>
      <w:proofErr w:type="spellEnd"/>
      <w:r w:rsidRPr="007D5277">
        <w:rPr>
          <w:rFonts w:ascii="Times New Roman" w:hAnsi="Times New Roman" w:cs="Times New Roman"/>
          <w:szCs w:val="28"/>
        </w:rPr>
        <w:t xml:space="preserve"> medicine. Additionally, the increasing geriatric population and the rising incidence of lifestyle-related diseases such as cancer, diabetes, and cardiovascular disorders are expanding the demand for targeted and controlled drug delivery </w:t>
      </w:r>
      <w:proofErr w:type="gramStart"/>
      <w:r w:rsidRPr="007D5277">
        <w:rPr>
          <w:rFonts w:ascii="Times New Roman" w:hAnsi="Times New Roman" w:cs="Times New Roman"/>
          <w:szCs w:val="28"/>
        </w:rPr>
        <w:t>solutions</w:t>
      </w:r>
      <w:r w:rsidR="000713E6">
        <w:rPr>
          <w:rFonts w:ascii="Times New Roman" w:hAnsi="Times New Roman" w:cs="Times New Roman"/>
          <w:szCs w:val="28"/>
        </w:rPr>
        <w:t>[</w:t>
      </w:r>
      <w:proofErr w:type="gramEnd"/>
      <w:r w:rsidR="000713E6">
        <w:rPr>
          <w:rFonts w:ascii="Times New Roman" w:hAnsi="Times New Roman" w:cs="Times New Roman"/>
          <w:szCs w:val="28"/>
        </w:rPr>
        <w:t>08]</w:t>
      </w:r>
      <w:r>
        <w:rPr>
          <w:rFonts w:ascii="Times New Roman" w:hAnsi="Times New Roman" w:cs="Times New Roman"/>
          <w:szCs w:val="28"/>
        </w:rPr>
        <w:t>.</w:t>
      </w:r>
    </w:p>
    <w:p w14:paraId="12DB45AB" w14:textId="1FD9642E" w:rsid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Technological innovations such as stimuli-responsive carriers, multifunctional nanoparticles, and hybrid delivery systems are further enhancing the therapeutic potential of NDDS, thereby attracting significant investment from pharmaceutical companies and venture capitalists. The integration of artificial intelligence and machine learning in formulation design and predictive mode</w:t>
      </w:r>
      <w:r w:rsidR="00F71C4E">
        <w:rPr>
          <w:rFonts w:ascii="Times New Roman" w:hAnsi="Times New Roman" w:cs="Times New Roman"/>
          <w:szCs w:val="28"/>
        </w:rPr>
        <w:t>l</w:t>
      </w:r>
      <w:r w:rsidRPr="007D5277">
        <w:rPr>
          <w:rFonts w:ascii="Times New Roman" w:hAnsi="Times New Roman" w:cs="Times New Roman"/>
          <w:szCs w:val="28"/>
        </w:rPr>
        <w:t>ling is also expected to accelerate product development and market penetration [4].</w:t>
      </w:r>
    </w:p>
    <w:p w14:paraId="0F24AD2C"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Regional Market Analysis and Economic Factors</w:t>
      </w:r>
    </w:p>
    <w:p w14:paraId="0D143459" w14:textId="77777777"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The NDDS market exhibits significant regional variation influenced by economic development, healthcare infrastructure, regulatory environments, and demographic trends.</w:t>
      </w:r>
    </w:p>
    <w:p w14:paraId="5B28F91F" w14:textId="71E504AF" w:rsidR="007D5277" w:rsidRPr="007D5277" w:rsidRDefault="007D5277" w:rsidP="007D5277">
      <w:pPr>
        <w:numPr>
          <w:ilvl w:val="0"/>
          <w:numId w:val="1"/>
        </w:numPr>
        <w:jc w:val="both"/>
        <w:rPr>
          <w:rFonts w:ascii="Times New Roman" w:hAnsi="Times New Roman" w:cs="Times New Roman"/>
          <w:szCs w:val="28"/>
        </w:rPr>
      </w:pPr>
      <w:r w:rsidRPr="007D5277">
        <w:rPr>
          <w:rFonts w:ascii="Times New Roman" w:hAnsi="Times New Roman" w:cs="Times New Roman"/>
          <w:b/>
          <w:bCs/>
          <w:szCs w:val="28"/>
        </w:rPr>
        <w:t>North America</w:t>
      </w:r>
      <w:r w:rsidRPr="007D5277">
        <w:rPr>
          <w:rFonts w:ascii="Times New Roman" w:hAnsi="Times New Roman" w:cs="Times New Roman"/>
          <w:szCs w:val="28"/>
        </w:rPr>
        <w:t xml:space="preserve"> remains the largest market, accounting for over 40% of global revenue, driven by strong pharmaceutical R&amp;D, </w:t>
      </w:r>
      <w:proofErr w:type="spellStart"/>
      <w:r w:rsidRPr="007D5277">
        <w:rPr>
          <w:rFonts w:ascii="Times New Roman" w:hAnsi="Times New Roman" w:cs="Times New Roman"/>
          <w:szCs w:val="28"/>
        </w:rPr>
        <w:t>favo</w:t>
      </w:r>
      <w:r w:rsidR="00F71C4E">
        <w:rPr>
          <w:rFonts w:ascii="Times New Roman" w:hAnsi="Times New Roman" w:cs="Times New Roman"/>
          <w:szCs w:val="28"/>
        </w:rPr>
        <w:t>u</w:t>
      </w:r>
      <w:r w:rsidRPr="007D5277">
        <w:rPr>
          <w:rFonts w:ascii="Times New Roman" w:hAnsi="Times New Roman" w:cs="Times New Roman"/>
          <w:szCs w:val="28"/>
        </w:rPr>
        <w:t>rable</w:t>
      </w:r>
      <w:proofErr w:type="spellEnd"/>
      <w:r w:rsidRPr="007D5277">
        <w:rPr>
          <w:rFonts w:ascii="Times New Roman" w:hAnsi="Times New Roman" w:cs="Times New Roman"/>
          <w:szCs w:val="28"/>
        </w:rPr>
        <w:t xml:space="preserve"> regulatory frameworks, and high healthcare expenditure. The United States, in particular, leads in the adoption of advanced NDDS technologies, supported by substantial government funding and private sector innovation [</w:t>
      </w:r>
      <w:r w:rsidR="000713E6">
        <w:rPr>
          <w:rFonts w:ascii="Times New Roman" w:hAnsi="Times New Roman" w:cs="Times New Roman"/>
          <w:szCs w:val="28"/>
        </w:rPr>
        <w:t>09</w:t>
      </w:r>
      <w:r w:rsidRPr="007D5277">
        <w:rPr>
          <w:rFonts w:ascii="Times New Roman" w:hAnsi="Times New Roman" w:cs="Times New Roman"/>
          <w:szCs w:val="28"/>
        </w:rPr>
        <w:t>].</w:t>
      </w:r>
    </w:p>
    <w:p w14:paraId="4DE9FC58" w14:textId="3B085102" w:rsidR="007D5277" w:rsidRPr="007D5277" w:rsidRDefault="007D5277" w:rsidP="007D5277">
      <w:pPr>
        <w:numPr>
          <w:ilvl w:val="0"/>
          <w:numId w:val="1"/>
        </w:numPr>
        <w:jc w:val="both"/>
        <w:rPr>
          <w:rFonts w:ascii="Times New Roman" w:hAnsi="Times New Roman" w:cs="Times New Roman"/>
          <w:szCs w:val="28"/>
        </w:rPr>
      </w:pPr>
      <w:r w:rsidRPr="007D5277">
        <w:rPr>
          <w:rFonts w:ascii="Times New Roman" w:hAnsi="Times New Roman" w:cs="Times New Roman"/>
          <w:b/>
          <w:bCs/>
          <w:szCs w:val="28"/>
        </w:rPr>
        <w:t>Europe</w:t>
      </w:r>
      <w:r w:rsidRPr="007D5277">
        <w:rPr>
          <w:rFonts w:ascii="Times New Roman" w:hAnsi="Times New Roman" w:cs="Times New Roman"/>
          <w:szCs w:val="28"/>
        </w:rPr>
        <w:t> holds the second-largest share, with countries like Germany, the United Kingdom, and France investing heavily in nanomedicine and drug delivery research. The European Medicines Agency (EMA) provides clear regulatory pathways that facilitate the clinical translation of novel delivery systems [</w:t>
      </w:r>
      <w:r w:rsidR="000713E6">
        <w:rPr>
          <w:rFonts w:ascii="Times New Roman" w:hAnsi="Times New Roman" w:cs="Times New Roman"/>
          <w:szCs w:val="28"/>
        </w:rPr>
        <w:t>10,11</w:t>
      </w:r>
      <w:r w:rsidRPr="007D5277">
        <w:rPr>
          <w:rFonts w:ascii="Times New Roman" w:hAnsi="Times New Roman" w:cs="Times New Roman"/>
          <w:szCs w:val="28"/>
        </w:rPr>
        <w:t>].</w:t>
      </w:r>
    </w:p>
    <w:p w14:paraId="24828CE5" w14:textId="7D0B767B" w:rsidR="007D5277" w:rsidRPr="007D5277" w:rsidRDefault="007D5277" w:rsidP="007D5277">
      <w:pPr>
        <w:numPr>
          <w:ilvl w:val="0"/>
          <w:numId w:val="1"/>
        </w:numPr>
        <w:jc w:val="both"/>
        <w:rPr>
          <w:rFonts w:ascii="Times New Roman" w:hAnsi="Times New Roman" w:cs="Times New Roman"/>
          <w:szCs w:val="28"/>
        </w:rPr>
      </w:pPr>
      <w:r w:rsidRPr="007D5277">
        <w:rPr>
          <w:rFonts w:ascii="Times New Roman" w:hAnsi="Times New Roman" w:cs="Times New Roman"/>
          <w:b/>
          <w:bCs/>
          <w:szCs w:val="28"/>
        </w:rPr>
        <w:t>Asia-Pacific</w:t>
      </w:r>
      <w:r w:rsidRPr="007D5277">
        <w:rPr>
          <w:rFonts w:ascii="Times New Roman" w:hAnsi="Times New Roman" w:cs="Times New Roman"/>
          <w:szCs w:val="28"/>
        </w:rPr>
        <w:t> is the fastest-growing region, with a CAGR exceeding 12%, fueled by expanding healthcare access, increasing prevalence of chronic diseases, and growing pharmaceutical manufacturing capabilities in China, India, and Japan. Government initiatives to promote biotechnology and nanotechnology research are also key growth drivers [</w:t>
      </w:r>
      <w:r w:rsidR="000713E6">
        <w:rPr>
          <w:rFonts w:ascii="Times New Roman" w:hAnsi="Times New Roman" w:cs="Times New Roman"/>
          <w:szCs w:val="28"/>
        </w:rPr>
        <w:t>0</w:t>
      </w:r>
      <w:r w:rsidRPr="007D5277">
        <w:rPr>
          <w:rFonts w:ascii="Times New Roman" w:hAnsi="Times New Roman" w:cs="Times New Roman"/>
          <w:szCs w:val="28"/>
        </w:rPr>
        <w:t>7</w:t>
      </w:r>
      <w:r w:rsidR="000713E6">
        <w:rPr>
          <w:rFonts w:ascii="Times New Roman" w:hAnsi="Times New Roman" w:cs="Times New Roman"/>
          <w:szCs w:val="28"/>
        </w:rPr>
        <w:t>,09</w:t>
      </w:r>
      <w:r w:rsidRPr="007D5277">
        <w:rPr>
          <w:rFonts w:ascii="Times New Roman" w:hAnsi="Times New Roman" w:cs="Times New Roman"/>
          <w:szCs w:val="28"/>
        </w:rPr>
        <w:t>].</w:t>
      </w:r>
    </w:p>
    <w:p w14:paraId="3F63E743" w14:textId="5BB05A52" w:rsidR="007D5277" w:rsidRPr="007D5277" w:rsidRDefault="007D5277" w:rsidP="007D5277">
      <w:pPr>
        <w:numPr>
          <w:ilvl w:val="0"/>
          <w:numId w:val="1"/>
        </w:numPr>
        <w:jc w:val="both"/>
        <w:rPr>
          <w:rFonts w:ascii="Times New Roman" w:hAnsi="Times New Roman" w:cs="Times New Roman"/>
          <w:szCs w:val="28"/>
        </w:rPr>
      </w:pPr>
      <w:r w:rsidRPr="007D5277">
        <w:rPr>
          <w:rFonts w:ascii="Times New Roman" w:hAnsi="Times New Roman" w:cs="Times New Roman"/>
          <w:b/>
          <w:bCs/>
          <w:szCs w:val="28"/>
        </w:rPr>
        <w:t>Latin America and Middle East &amp; Africa</w:t>
      </w:r>
      <w:r w:rsidRPr="007D5277">
        <w:rPr>
          <w:rFonts w:ascii="Times New Roman" w:hAnsi="Times New Roman" w:cs="Times New Roman"/>
          <w:szCs w:val="28"/>
        </w:rPr>
        <w:t> are emerging markets with increasing investments in healthcare infrastructure and pharmaceutical innovation, though growth is moderated by economic and regulatory challenges [</w:t>
      </w:r>
      <w:r w:rsidR="000713E6">
        <w:rPr>
          <w:rFonts w:ascii="Times New Roman" w:hAnsi="Times New Roman" w:cs="Times New Roman"/>
          <w:szCs w:val="28"/>
        </w:rPr>
        <w:t>12</w:t>
      </w:r>
      <w:r w:rsidRPr="007D5277">
        <w:rPr>
          <w:rFonts w:ascii="Times New Roman" w:hAnsi="Times New Roman" w:cs="Times New Roman"/>
          <w:szCs w:val="28"/>
        </w:rPr>
        <w:t>].</w:t>
      </w:r>
    </w:p>
    <w:p w14:paraId="76ABC669" w14:textId="25EC5AB5"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Economic factors such as healthcare spending, reimbursement policies, and intellectual property regulations significantly impact NDDS market dynamics. Countries with robust healthcare funding and supportive policies tend to adopt novel drug delivery technologies more rapidly. Conversely, high development costs and complex regulatory requirements can delay market entry, particularly in low- and middle-income regions [</w:t>
      </w:r>
      <w:r w:rsidR="000713E6">
        <w:rPr>
          <w:rFonts w:ascii="Times New Roman" w:hAnsi="Times New Roman" w:cs="Times New Roman"/>
          <w:szCs w:val="28"/>
        </w:rPr>
        <w:t>13</w:t>
      </w:r>
      <w:r w:rsidRPr="007D5277">
        <w:rPr>
          <w:rFonts w:ascii="Times New Roman" w:hAnsi="Times New Roman" w:cs="Times New Roman"/>
          <w:szCs w:val="28"/>
        </w:rPr>
        <w:t>].</w:t>
      </w:r>
    </w:p>
    <w:p w14:paraId="22517ACB"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1.2 Key Industry Players and Competitive Landscape</w:t>
      </w:r>
    </w:p>
    <w:p w14:paraId="2AE079EA" w14:textId="3AFCD54F"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lastRenderedPageBreak/>
        <w:t xml:space="preserve">The novel drug delivery systems (NDDS) market is </w:t>
      </w:r>
      <w:proofErr w:type="spellStart"/>
      <w:r w:rsidRPr="007D5277">
        <w:rPr>
          <w:rFonts w:ascii="Times New Roman" w:hAnsi="Times New Roman" w:cs="Times New Roman"/>
          <w:szCs w:val="28"/>
        </w:rPr>
        <w:t>characteri</w:t>
      </w:r>
      <w:r w:rsidR="00F71C4E">
        <w:rPr>
          <w:rFonts w:ascii="Times New Roman" w:hAnsi="Times New Roman" w:cs="Times New Roman"/>
          <w:szCs w:val="28"/>
        </w:rPr>
        <w:t>s</w:t>
      </w:r>
      <w:r w:rsidRPr="007D5277">
        <w:rPr>
          <w:rFonts w:ascii="Times New Roman" w:hAnsi="Times New Roman" w:cs="Times New Roman"/>
          <w:szCs w:val="28"/>
        </w:rPr>
        <w:t>ed</w:t>
      </w:r>
      <w:proofErr w:type="spellEnd"/>
      <w:r w:rsidRPr="007D5277">
        <w:rPr>
          <w:rFonts w:ascii="Times New Roman" w:hAnsi="Times New Roman" w:cs="Times New Roman"/>
          <w:szCs w:val="28"/>
        </w:rPr>
        <w:t xml:space="preserve"> by the presence of several global pharmaceutical and biotechnology companies, alongside emerging startups </w:t>
      </w:r>
      <w:proofErr w:type="spellStart"/>
      <w:r w:rsidRPr="007D5277">
        <w:rPr>
          <w:rFonts w:ascii="Times New Roman" w:hAnsi="Times New Roman" w:cs="Times New Roman"/>
          <w:szCs w:val="28"/>
        </w:rPr>
        <w:t>speciali</w:t>
      </w:r>
      <w:r w:rsidR="00F71C4E">
        <w:rPr>
          <w:rFonts w:ascii="Times New Roman" w:hAnsi="Times New Roman" w:cs="Times New Roman"/>
          <w:szCs w:val="28"/>
        </w:rPr>
        <w:t>s</w:t>
      </w:r>
      <w:r w:rsidRPr="007D5277">
        <w:rPr>
          <w:rFonts w:ascii="Times New Roman" w:hAnsi="Times New Roman" w:cs="Times New Roman"/>
          <w:szCs w:val="28"/>
        </w:rPr>
        <w:t>ing</w:t>
      </w:r>
      <w:proofErr w:type="spellEnd"/>
      <w:r w:rsidRPr="007D5277">
        <w:rPr>
          <w:rFonts w:ascii="Times New Roman" w:hAnsi="Times New Roman" w:cs="Times New Roman"/>
          <w:szCs w:val="28"/>
        </w:rPr>
        <w:t xml:space="preserve"> in nanotechnology and advanced formulation techniques. Leading industry players have established strong portfolios of NDDS products and are actively investing in research and development to maintain competitive advantages.</w:t>
      </w:r>
    </w:p>
    <w:p w14:paraId="00B1DA62" w14:textId="0173B304"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b/>
          <w:bCs/>
          <w:szCs w:val="28"/>
        </w:rPr>
        <w:t>Major industry players</w:t>
      </w:r>
      <w:r w:rsidRPr="007D5277">
        <w:rPr>
          <w:rFonts w:ascii="Times New Roman" w:hAnsi="Times New Roman" w:cs="Times New Roman"/>
          <w:szCs w:val="28"/>
        </w:rPr>
        <w:t xml:space="preserve"> include Johnson &amp; Johnson, Pfizer Inc., Novartis AG, Roche Holding AG, AstraZeneca, GlaxoSmithKline (GSK), and Sanofi. These companies have leveraged their extensive R&amp;D capabilities and global distribution networks to develop and </w:t>
      </w:r>
      <w:proofErr w:type="spellStart"/>
      <w:r w:rsidRPr="007D5277">
        <w:rPr>
          <w:rFonts w:ascii="Times New Roman" w:hAnsi="Times New Roman" w:cs="Times New Roman"/>
          <w:szCs w:val="28"/>
        </w:rPr>
        <w:t>commerciali</w:t>
      </w:r>
      <w:r w:rsidR="00F71C4E">
        <w:rPr>
          <w:rFonts w:ascii="Times New Roman" w:hAnsi="Times New Roman" w:cs="Times New Roman"/>
          <w:szCs w:val="28"/>
        </w:rPr>
        <w:t>s</w:t>
      </w:r>
      <w:r w:rsidRPr="007D5277">
        <w:rPr>
          <w:rFonts w:ascii="Times New Roman" w:hAnsi="Times New Roman" w:cs="Times New Roman"/>
          <w:szCs w:val="28"/>
        </w:rPr>
        <w:t>e</w:t>
      </w:r>
      <w:proofErr w:type="spellEnd"/>
      <w:r w:rsidRPr="007D5277">
        <w:rPr>
          <w:rFonts w:ascii="Times New Roman" w:hAnsi="Times New Roman" w:cs="Times New Roman"/>
          <w:szCs w:val="28"/>
        </w:rPr>
        <w:t xml:space="preserve"> a variety of NDDS platforms such as liposomal formulations, polymeric nanoparticles, and lipid-based carriers [</w:t>
      </w:r>
      <w:r w:rsidR="000713E6">
        <w:rPr>
          <w:rFonts w:ascii="Times New Roman" w:hAnsi="Times New Roman" w:cs="Times New Roman"/>
          <w:szCs w:val="28"/>
        </w:rPr>
        <w:t>14,15</w:t>
      </w:r>
      <w:r w:rsidRPr="007D5277">
        <w:rPr>
          <w:rFonts w:ascii="Times New Roman" w:hAnsi="Times New Roman" w:cs="Times New Roman"/>
          <w:szCs w:val="28"/>
        </w:rPr>
        <w:t>].</w:t>
      </w:r>
    </w:p>
    <w:p w14:paraId="421382F2" w14:textId="05205991"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In addition to pharmaceutical giants, </w:t>
      </w:r>
      <w:proofErr w:type="spellStart"/>
      <w:r w:rsidRPr="007D5277">
        <w:rPr>
          <w:rFonts w:ascii="Times New Roman" w:hAnsi="Times New Roman" w:cs="Times New Roman"/>
          <w:szCs w:val="28"/>
        </w:rPr>
        <w:t>speciali</w:t>
      </w:r>
      <w:r w:rsidR="00F71C4E">
        <w:rPr>
          <w:rFonts w:ascii="Times New Roman" w:hAnsi="Times New Roman" w:cs="Times New Roman"/>
          <w:szCs w:val="28"/>
        </w:rPr>
        <w:t>s</w:t>
      </w:r>
      <w:r w:rsidRPr="007D5277">
        <w:rPr>
          <w:rFonts w:ascii="Times New Roman" w:hAnsi="Times New Roman" w:cs="Times New Roman"/>
          <w:szCs w:val="28"/>
        </w:rPr>
        <w:t>ed</w:t>
      </w:r>
      <w:proofErr w:type="spellEnd"/>
      <w:r w:rsidRPr="007D5277">
        <w:rPr>
          <w:rFonts w:ascii="Times New Roman" w:hAnsi="Times New Roman" w:cs="Times New Roman"/>
          <w:szCs w:val="28"/>
        </w:rPr>
        <w:t xml:space="preserve"> biotech firms like Moderna, BioNTech, and Arcturus Therapeutics have gained prominence by pioneering lipid nanoparticle (LNP) technologies, which have been critical in the development of mRNA vaccines, exemplifying the clinical and commercial potential of NDDS [</w:t>
      </w:r>
      <w:r w:rsidR="000713E6">
        <w:rPr>
          <w:rFonts w:ascii="Times New Roman" w:hAnsi="Times New Roman" w:cs="Times New Roman"/>
          <w:szCs w:val="28"/>
        </w:rPr>
        <w:t>15,16</w:t>
      </w:r>
      <w:r w:rsidRPr="007D5277">
        <w:rPr>
          <w:rFonts w:ascii="Times New Roman" w:hAnsi="Times New Roman" w:cs="Times New Roman"/>
          <w:szCs w:val="28"/>
        </w:rPr>
        <w:t>].</w:t>
      </w:r>
    </w:p>
    <w:p w14:paraId="0193513D" w14:textId="63F4CA77"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The competitive landscape is also shaped by numerous startups and contract development and manufacturing </w:t>
      </w:r>
      <w:proofErr w:type="spellStart"/>
      <w:r w:rsidRPr="007D5277">
        <w:rPr>
          <w:rFonts w:ascii="Times New Roman" w:hAnsi="Times New Roman" w:cs="Times New Roman"/>
          <w:szCs w:val="28"/>
        </w:rPr>
        <w:t>organi</w:t>
      </w:r>
      <w:r w:rsidR="00F71C4E">
        <w:rPr>
          <w:rFonts w:ascii="Times New Roman" w:hAnsi="Times New Roman" w:cs="Times New Roman"/>
          <w:szCs w:val="28"/>
        </w:rPr>
        <w:t>s</w:t>
      </w:r>
      <w:r w:rsidRPr="007D5277">
        <w:rPr>
          <w:rFonts w:ascii="Times New Roman" w:hAnsi="Times New Roman" w:cs="Times New Roman"/>
          <w:szCs w:val="28"/>
        </w:rPr>
        <w:t>ations</w:t>
      </w:r>
      <w:proofErr w:type="spellEnd"/>
      <w:r w:rsidRPr="007D5277">
        <w:rPr>
          <w:rFonts w:ascii="Times New Roman" w:hAnsi="Times New Roman" w:cs="Times New Roman"/>
          <w:szCs w:val="28"/>
        </w:rPr>
        <w:t xml:space="preserve"> (CDMOs) focusing on niche technologies such as cubosomes, solid lipid nanoparticles, and stimuli-responsive systems. Strategic partnerships, mergers, and acquisitions are common as companies seek to expand their technological capabilities and market reach [</w:t>
      </w:r>
      <w:r w:rsidR="000713E6">
        <w:rPr>
          <w:rFonts w:ascii="Times New Roman" w:hAnsi="Times New Roman" w:cs="Times New Roman"/>
          <w:szCs w:val="28"/>
        </w:rPr>
        <w:t>17</w:t>
      </w:r>
      <w:r w:rsidRPr="007D5277">
        <w:rPr>
          <w:rFonts w:ascii="Times New Roman" w:hAnsi="Times New Roman" w:cs="Times New Roman"/>
          <w:szCs w:val="28"/>
        </w:rPr>
        <w:t>].</w:t>
      </w:r>
    </w:p>
    <w:p w14:paraId="0BA04F81" w14:textId="1664627B"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Intellectual property (IP) plays a crucial role in maintaining competitive advantage, with companies actively filing patents related to novel formulations, manufacturing processes, and delivery mechanisms. Regulatory approvals and successful clinical trials further differentiate market leaders, underscoring the importance of innovation and compliance in this sector [</w:t>
      </w:r>
      <w:r w:rsidR="000713E6">
        <w:rPr>
          <w:rFonts w:ascii="Times New Roman" w:hAnsi="Times New Roman" w:cs="Times New Roman"/>
          <w:szCs w:val="28"/>
        </w:rPr>
        <w:t>12,16</w:t>
      </w:r>
      <w:r w:rsidRPr="007D5277">
        <w:rPr>
          <w:rFonts w:ascii="Times New Roman" w:hAnsi="Times New Roman" w:cs="Times New Roman"/>
          <w:szCs w:val="28"/>
        </w:rPr>
        <w:t>].</w:t>
      </w:r>
    </w:p>
    <w:p w14:paraId="398CC5BF"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Technological Innovations in Novel Drug Delivery Systems</w:t>
      </w:r>
    </w:p>
    <w:p w14:paraId="688AF64B" w14:textId="6D12B7C7"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Technological innovation is the driving force behind the rapid evolution of NDDS, enabling enhanced drug targeting, controlled release, and improved patient outcomes. Recent advances focus on multifunctional and stimuli-responsive nanocarriers, integration of artificial intelligence (AI) in formulation design, and novel materials for improved biocompatibility and </w:t>
      </w:r>
      <w:proofErr w:type="gramStart"/>
      <w:r w:rsidRPr="007D5277">
        <w:rPr>
          <w:rFonts w:ascii="Times New Roman" w:hAnsi="Times New Roman" w:cs="Times New Roman"/>
          <w:szCs w:val="28"/>
        </w:rPr>
        <w:t>stability</w:t>
      </w:r>
      <w:r w:rsidR="000713E6">
        <w:rPr>
          <w:rFonts w:ascii="Times New Roman" w:hAnsi="Times New Roman" w:cs="Times New Roman"/>
          <w:szCs w:val="28"/>
        </w:rPr>
        <w:t>[</w:t>
      </w:r>
      <w:proofErr w:type="gramEnd"/>
      <w:r w:rsidR="000713E6">
        <w:rPr>
          <w:rFonts w:ascii="Times New Roman" w:hAnsi="Times New Roman" w:cs="Times New Roman"/>
          <w:szCs w:val="28"/>
        </w:rPr>
        <w:t>04,15]</w:t>
      </w:r>
      <w:r w:rsidRPr="007D5277">
        <w:rPr>
          <w:rFonts w:ascii="Times New Roman" w:hAnsi="Times New Roman" w:cs="Times New Roman"/>
          <w:szCs w:val="28"/>
        </w:rPr>
        <w:t>.</w:t>
      </w:r>
    </w:p>
    <w:p w14:paraId="36178725" w14:textId="6C38D97D" w:rsidR="007D5277" w:rsidRPr="007D5277" w:rsidRDefault="00881A13" w:rsidP="007D5277">
      <w:pPr>
        <w:jc w:val="both"/>
        <w:rPr>
          <w:rFonts w:ascii="Times New Roman" w:hAnsi="Times New Roman" w:cs="Times New Roman"/>
          <w:b/>
          <w:bCs/>
          <w:szCs w:val="28"/>
        </w:rPr>
      </w:pPr>
      <w:r>
        <w:rPr>
          <w:rFonts w:ascii="Times New Roman" w:hAnsi="Times New Roman" w:cs="Times New Roman"/>
          <w:b/>
          <w:bCs/>
          <w:szCs w:val="28"/>
        </w:rPr>
        <w:t xml:space="preserve">02. </w:t>
      </w:r>
      <w:r w:rsidR="007D5277" w:rsidRPr="007D5277">
        <w:rPr>
          <w:rFonts w:ascii="Times New Roman" w:hAnsi="Times New Roman" w:cs="Times New Roman"/>
          <w:b/>
          <w:bCs/>
          <w:szCs w:val="28"/>
        </w:rPr>
        <w:t>Multifunctional and Stimuli-Responsive Nanocarriers</w:t>
      </w:r>
    </w:p>
    <w:p w14:paraId="3FA85F7F" w14:textId="1B21DD60"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Nanocarriers capable of responding to specific physiological stimuli such as pH, temperature, redox conditions, or enzymes have gained significant attention. These systems enable site-specific drug release, </w:t>
      </w:r>
      <w:proofErr w:type="spellStart"/>
      <w:r w:rsidRPr="007D5277">
        <w:rPr>
          <w:rFonts w:ascii="Times New Roman" w:hAnsi="Times New Roman" w:cs="Times New Roman"/>
          <w:szCs w:val="28"/>
        </w:rPr>
        <w:t>minimi</w:t>
      </w:r>
      <w:r w:rsidR="00F71C4E">
        <w:rPr>
          <w:rFonts w:ascii="Times New Roman" w:hAnsi="Times New Roman" w:cs="Times New Roman"/>
          <w:szCs w:val="28"/>
        </w:rPr>
        <w:t>s</w:t>
      </w:r>
      <w:r w:rsidRPr="007D5277">
        <w:rPr>
          <w:rFonts w:ascii="Times New Roman" w:hAnsi="Times New Roman" w:cs="Times New Roman"/>
          <w:szCs w:val="28"/>
        </w:rPr>
        <w:t>ing</w:t>
      </w:r>
      <w:proofErr w:type="spellEnd"/>
      <w:r w:rsidRPr="007D5277">
        <w:rPr>
          <w:rFonts w:ascii="Times New Roman" w:hAnsi="Times New Roman" w:cs="Times New Roman"/>
          <w:szCs w:val="28"/>
        </w:rPr>
        <w:t xml:space="preserve"> systemic toxicity and enhancing therapeutic efficacy. Examples include pH-sensitive liposomes for </w:t>
      </w:r>
      <w:proofErr w:type="spellStart"/>
      <w:r w:rsidRPr="007D5277">
        <w:rPr>
          <w:rFonts w:ascii="Times New Roman" w:hAnsi="Times New Roman" w:cs="Times New Roman"/>
          <w:szCs w:val="28"/>
        </w:rPr>
        <w:t>tumo</w:t>
      </w:r>
      <w:r w:rsidR="00F71C4E">
        <w:rPr>
          <w:rFonts w:ascii="Times New Roman" w:hAnsi="Times New Roman" w:cs="Times New Roman"/>
          <w:szCs w:val="28"/>
        </w:rPr>
        <w:t>u</w:t>
      </w:r>
      <w:r w:rsidRPr="007D5277">
        <w:rPr>
          <w:rFonts w:ascii="Times New Roman" w:hAnsi="Times New Roman" w:cs="Times New Roman"/>
          <w:szCs w:val="28"/>
        </w:rPr>
        <w:t>r</w:t>
      </w:r>
      <w:proofErr w:type="spellEnd"/>
      <w:r w:rsidRPr="007D5277">
        <w:rPr>
          <w:rFonts w:ascii="Times New Roman" w:hAnsi="Times New Roman" w:cs="Times New Roman"/>
          <w:szCs w:val="28"/>
        </w:rPr>
        <w:t xml:space="preserve"> targeting and redox-responsive polymeric nanoparticles for intracellular drug delivery [</w:t>
      </w:r>
      <w:r w:rsidR="000713E6">
        <w:rPr>
          <w:rFonts w:ascii="Times New Roman" w:hAnsi="Times New Roman" w:cs="Times New Roman"/>
          <w:szCs w:val="28"/>
        </w:rPr>
        <w:t>16,17</w:t>
      </w:r>
      <w:r w:rsidRPr="007D5277">
        <w:rPr>
          <w:rFonts w:ascii="Times New Roman" w:hAnsi="Times New Roman" w:cs="Times New Roman"/>
          <w:szCs w:val="28"/>
        </w:rPr>
        <w:t>].</w:t>
      </w:r>
    </w:p>
    <w:p w14:paraId="396468CC"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Lipid-Based Nanocarriers</w:t>
      </w:r>
    </w:p>
    <w:p w14:paraId="5C1535E5" w14:textId="40989BBB"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lastRenderedPageBreak/>
        <w:t>Lipid-based systems such as solid lipid nanoparticles (SLNs), nanostructured lipid carriers (NLCs), and cubosomes offer biocompatibility, high drug loading capacity, and controlled release profiles. Recent innovations include surface functionalization with targeting ligands and PEGylation to improve circulation time and reduce immunogenicity [8</w:t>
      </w:r>
      <w:r w:rsidR="000713E6">
        <w:rPr>
          <w:rFonts w:ascii="Times New Roman" w:hAnsi="Times New Roman" w:cs="Times New Roman"/>
          <w:szCs w:val="28"/>
        </w:rPr>
        <w:t>,14</w:t>
      </w:r>
      <w:r w:rsidRPr="007D5277">
        <w:rPr>
          <w:rFonts w:ascii="Times New Roman" w:hAnsi="Times New Roman" w:cs="Times New Roman"/>
          <w:szCs w:val="28"/>
        </w:rPr>
        <w:t>].</w:t>
      </w:r>
    </w:p>
    <w:p w14:paraId="34C17F96"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Polymer-Based Delivery Systems</w:t>
      </w:r>
    </w:p>
    <w:p w14:paraId="7E487ED2" w14:textId="6A38B0E3"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Advances in biodegradable polymers like PLGA (</w:t>
      </w:r>
      <w:proofErr w:type="gramStart"/>
      <w:r w:rsidRPr="007D5277">
        <w:rPr>
          <w:rFonts w:ascii="Times New Roman" w:hAnsi="Times New Roman" w:cs="Times New Roman"/>
          <w:szCs w:val="28"/>
        </w:rPr>
        <w:t>poly(</w:t>
      </w:r>
      <w:proofErr w:type="gramEnd"/>
      <w:r w:rsidRPr="007D5277">
        <w:rPr>
          <w:rFonts w:ascii="Times New Roman" w:hAnsi="Times New Roman" w:cs="Times New Roman"/>
          <w:szCs w:val="28"/>
        </w:rPr>
        <w:t>lactic-co-glycolic acid)) and PEG (polyethylene glycol) have facilitated the development of nanoparticles and micelles with tunable degradation rates and drug release kinetics. Smart polymers that respond to external stimuli are also under active investigation [</w:t>
      </w:r>
      <w:r w:rsidR="000713E6">
        <w:rPr>
          <w:rFonts w:ascii="Times New Roman" w:hAnsi="Times New Roman" w:cs="Times New Roman"/>
          <w:szCs w:val="28"/>
        </w:rPr>
        <w:t>18</w:t>
      </w:r>
      <w:r w:rsidRPr="007D5277">
        <w:rPr>
          <w:rFonts w:ascii="Times New Roman" w:hAnsi="Times New Roman" w:cs="Times New Roman"/>
          <w:szCs w:val="28"/>
        </w:rPr>
        <w:t>].</w:t>
      </w:r>
    </w:p>
    <w:p w14:paraId="3E363C9E"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Integration of Artificial Intelligence and Computational Modeling</w:t>
      </w:r>
    </w:p>
    <w:p w14:paraId="41C05CD4" w14:textId="2E16A1C7" w:rsid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AI and machine learning are increasingly employed to </w:t>
      </w:r>
      <w:proofErr w:type="spellStart"/>
      <w:r w:rsidRPr="007D5277">
        <w:rPr>
          <w:rFonts w:ascii="Times New Roman" w:hAnsi="Times New Roman" w:cs="Times New Roman"/>
          <w:szCs w:val="28"/>
        </w:rPr>
        <w:t>optimi</w:t>
      </w:r>
      <w:r w:rsidR="00F71C4E">
        <w:rPr>
          <w:rFonts w:ascii="Times New Roman" w:hAnsi="Times New Roman" w:cs="Times New Roman"/>
          <w:szCs w:val="28"/>
        </w:rPr>
        <w:t>s</w:t>
      </w:r>
      <w:r w:rsidRPr="007D5277">
        <w:rPr>
          <w:rFonts w:ascii="Times New Roman" w:hAnsi="Times New Roman" w:cs="Times New Roman"/>
          <w:szCs w:val="28"/>
        </w:rPr>
        <w:t>e</w:t>
      </w:r>
      <w:proofErr w:type="spellEnd"/>
      <w:r w:rsidRPr="007D5277">
        <w:rPr>
          <w:rFonts w:ascii="Times New Roman" w:hAnsi="Times New Roman" w:cs="Times New Roman"/>
          <w:szCs w:val="28"/>
        </w:rPr>
        <w:t xml:space="preserve"> NDDS design, predict drug-polymer interactions, and streamline formulation development. Computational tools enable rapid screening of excipients and prediction of pharmacokinetic profiles, accelerating the translation from bench to clinic [1</w:t>
      </w:r>
      <w:r w:rsidR="000713E6">
        <w:rPr>
          <w:rFonts w:ascii="Times New Roman" w:hAnsi="Times New Roman" w:cs="Times New Roman"/>
          <w:szCs w:val="28"/>
        </w:rPr>
        <w:t>9</w:t>
      </w:r>
      <w:r w:rsidRPr="007D5277">
        <w:rPr>
          <w:rFonts w:ascii="Times New Roman" w:hAnsi="Times New Roman" w:cs="Times New Roman"/>
          <w:szCs w:val="28"/>
        </w:rPr>
        <w:t>].</w:t>
      </w:r>
    </w:p>
    <w:p w14:paraId="484931FE" w14:textId="743B3C27" w:rsidR="00635FF8" w:rsidRPr="00635FF8" w:rsidRDefault="00635FF8" w:rsidP="00635FF8">
      <w:pPr>
        <w:jc w:val="both"/>
        <w:rPr>
          <w:rFonts w:ascii="Times New Roman" w:hAnsi="Times New Roman" w:cs="Times New Roman"/>
          <w:szCs w:val="28"/>
        </w:rPr>
      </w:pPr>
      <w:r w:rsidRPr="00635FF8">
        <w:rPr>
          <w:rFonts w:ascii="Times New Roman" w:hAnsi="Times New Roman" w:cs="Times New Roman"/>
          <w:noProof/>
          <w:szCs w:val="28"/>
          <w:lang w:bidi="ar-SA"/>
        </w:rPr>
        <w:drawing>
          <wp:inline distT="0" distB="0" distL="0" distR="0" wp14:anchorId="594507CD" wp14:editId="190C4AA1">
            <wp:extent cx="5958840" cy="4427220"/>
            <wp:effectExtent l="0" t="0" r="3810" b="0"/>
            <wp:docPr id="1959836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rotWithShape="1">
                    <a:blip r:embed="rId8">
                      <a:extLst>
                        <a:ext uri="{28A0092B-C50C-407E-A947-70E740481C1C}">
                          <a14:useLocalDpi xmlns:a14="http://schemas.microsoft.com/office/drawing/2010/main" val="0"/>
                        </a:ext>
                      </a:extLst>
                    </a:blip>
                    <a:srcRect b="7924"/>
                    <a:stretch>
                      <a:fillRect/>
                    </a:stretch>
                  </pic:blipFill>
                  <pic:spPr bwMode="auto">
                    <a:xfrm>
                      <a:off x="0" y="0"/>
                      <a:ext cx="5958840" cy="4427220"/>
                    </a:xfrm>
                    <a:prstGeom prst="rect">
                      <a:avLst/>
                    </a:prstGeom>
                    <a:noFill/>
                    <a:ln>
                      <a:noFill/>
                    </a:ln>
                    <a:extLst>
                      <a:ext uri="{53640926-AAD7-44D8-BBD7-CCE9431645EC}">
                        <a14:shadowObscured xmlns:a14="http://schemas.microsoft.com/office/drawing/2010/main"/>
                      </a:ext>
                    </a:extLst>
                  </pic:spPr>
                </pic:pic>
              </a:graphicData>
            </a:graphic>
          </wp:inline>
        </w:drawing>
      </w:r>
    </w:p>
    <w:p w14:paraId="239BC61C" w14:textId="4FA272B7" w:rsidR="00267071" w:rsidRPr="007D5277" w:rsidRDefault="00267071" w:rsidP="00342557">
      <w:pPr>
        <w:jc w:val="center"/>
        <w:rPr>
          <w:rFonts w:ascii="Times New Roman" w:hAnsi="Times New Roman" w:cs="Times New Roman"/>
          <w:szCs w:val="28"/>
        </w:rPr>
      </w:pPr>
      <w:r w:rsidRPr="00267071">
        <w:rPr>
          <w:rFonts w:ascii="Times New Roman" w:hAnsi="Times New Roman" w:cs="Times New Roman"/>
          <w:szCs w:val="28"/>
        </w:rPr>
        <w:lastRenderedPageBreak/>
        <w:t>Fig 1 -</w:t>
      </w:r>
      <w:r w:rsidRPr="00267071">
        <w:rPr>
          <w:rFonts w:ascii="Times New Roman" w:eastAsia="Times New Roman" w:hAnsi="Times New Roman" w:cs="Times New Roman"/>
          <w:kern w:val="0"/>
          <w:szCs w:val="24"/>
          <w:lang w:bidi="ar-SA"/>
          <w14:ligatures w14:val="none"/>
        </w:rPr>
        <w:t xml:space="preserve"> </w:t>
      </w:r>
      <w:r w:rsidRPr="00267071">
        <w:rPr>
          <w:rFonts w:ascii="Times New Roman" w:hAnsi="Times New Roman" w:cs="Times New Roman"/>
          <w:szCs w:val="28"/>
        </w:rPr>
        <w:t>Illustration of cutting-edge technological innovations in novel drug delivery systems, highlighting advanced techniques such as nanocarriers, targeted delivery, and controlled release mechanisms for improving therapeutic effica</w:t>
      </w:r>
      <w:r w:rsidR="00E00F5B">
        <w:rPr>
          <w:rFonts w:ascii="Times New Roman" w:hAnsi="Times New Roman" w:cs="Times New Roman"/>
          <w:szCs w:val="28"/>
        </w:rPr>
        <w:t xml:space="preserve">cy and </w:t>
      </w:r>
      <w:proofErr w:type="spellStart"/>
      <w:r w:rsidR="00E00F5B">
        <w:rPr>
          <w:rFonts w:ascii="Times New Roman" w:hAnsi="Times New Roman" w:cs="Times New Roman"/>
          <w:szCs w:val="28"/>
        </w:rPr>
        <w:t>minimi</w:t>
      </w:r>
      <w:r w:rsidR="00F71C4E">
        <w:rPr>
          <w:rFonts w:ascii="Times New Roman" w:hAnsi="Times New Roman" w:cs="Times New Roman"/>
          <w:szCs w:val="28"/>
        </w:rPr>
        <w:t>s</w:t>
      </w:r>
      <w:r w:rsidR="00E00F5B">
        <w:rPr>
          <w:rFonts w:ascii="Times New Roman" w:hAnsi="Times New Roman" w:cs="Times New Roman"/>
          <w:szCs w:val="28"/>
        </w:rPr>
        <w:t>ing</w:t>
      </w:r>
      <w:proofErr w:type="spellEnd"/>
      <w:r w:rsidR="00E00F5B">
        <w:rPr>
          <w:rFonts w:ascii="Times New Roman" w:hAnsi="Times New Roman" w:cs="Times New Roman"/>
          <w:szCs w:val="28"/>
        </w:rPr>
        <w:t xml:space="preserve"> side effects.</w:t>
      </w:r>
    </w:p>
    <w:p w14:paraId="0BB60C48"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Emerging Platforms</w:t>
      </w:r>
    </w:p>
    <w:p w14:paraId="6201E2C6" w14:textId="7527DF60"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Novel platforms such as exosomes, dendrimers, and mesoporous silica nanoparticles are being explored for their unique structural and functional properties. Additionally, 3D printing technologies are being investigated for </w:t>
      </w:r>
      <w:proofErr w:type="spellStart"/>
      <w:r w:rsidRPr="007D5277">
        <w:rPr>
          <w:rFonts w:ascii="Times New Roman" w:hAnsi="Times New Roman" w:cs="Times New Roman"/>
          <w:szCs w:val="28"/>
        </w:rPr>
        <w:t>personali</w:t>
      </w:r>
      <w:r w:rsidR="00F71C4E">
        <w:rPr>
          <w:rFonts w:ascii="Times New Roman" w:hAnsi="Times New Roman" w:cs="Times New Roman"/>
          <w:szCs w:val="28"/>
        </w:rPr>
        <w:t>s</w:t>
      </w:r>
      <w:r w:rsidRPr="007D5277">
        <w:rPr>
          <w:rFonts w:ascii="Times New Roman" w:hAnsi="Times New Roman" w:cs="Times New Roman"/>
          <w:szCs w:val="28"/>
        </w:rPr>
        <w:t>ed</w:t>
      </w:r>
      <w:proofErr w:type="spellEnd"/>
      <w:r w:rsidRPr="007D5277">
        <w:rPr>
          <w:rFonts w:ascii="Times New Roman" w:hAnsi="Times New Roman" w:cs="Times New Roman"/>
          <w:szCs w:val="28"/>
        </w:rPr>
        <w:t xml:space="preserve"> NDDS fabrication, allowing precise control over dosage forms and release characteristics [11,12].</w:t>
      </w:r>
    </w:p>
    <w:p w14:paraId="04838F57" w14:textId="7FC6B0EC"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2.</w:t>
      </w:r>
      <w:r w:rsidR="00881A13">
        <w:rPr>
          <w:rFonts w:ascii="Times New Roman" w:hAnsi="Times New Roman" w:cs="Times New Roman"/>
          <w:b/>
          <w:bCs/>
          <w:szCs w:val="28"/>
        </w:rPr>
        <w:t>1</w:t>
      </w:r>
      <w:r w:rsidRPr="007D5277">
        <w:rPr>
          <w:rFonts w:ascii="Times New Roman" w:hAnsi="Times New Roman" w:cs="Times New Roman"/>
          <w:b/>
          <w:bCs/>
          <w:szCs w:val="28"/>
        </w:rPr>
        <w:t xml:space="preserve"> Nanocarriers: Liposomes, Cubosomes, Solid Lipid Nanoparticles, and Beyond</w:t>
      </w:r>
    </w:p>
    <w:p w14:paraId="461EA30B" w14:textId="797D214C"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Nanocarriers have </w:t>
      </w:r>
      <w:proofErr w:type="spellStart"/>
      <w:r w:rsidRPr="007D5277">
        <w:rPr>
          <w:rFonts w:ascii="Times New Roman" w:hAnsi="Times New Roman" w:cs="Times New Roman"/>
          <w:szCs w:val="28"/>
        </w:rPr>
        <w:t>revolutioni</w:t>
      </w:r>
      <w:r w:rsidR="00F71C4E">
        <w:rPr>
          <w:rFonts w:ascii="Times New Roman" w:hAnsi="Times New Roman" w:cs="Times New Roman"/>
          <w:szCs w:val="28"/>
        </w:rPr>
        <w:t>s</w:t>
      </w:r>
      <w:r w:rsidRPr="007D5277">
        <w:rPr>
          <w:rFonts w:ascii="Times New Roman" w:hAnsi="Times New Roman" w:cs="Times New Roman"/>
          <w:szCs w:val="28"/>
        </w:rPr>
        <w:t>ed</w:t>
      </w:r>
      <w:proofErr w:type="spellEnd"/>
      <w:r w:rsidRPr="007D5277">
        <w:rPr>
          <w:rFonts w:ascii="Times New Roman" w:hAnsi="Times New Roman" w:cs="Times New Roman"/>
          <w:szCs w:val="28"/>
        </w:rPr>
        <w:t xml:space="preserve"> drug delivery by enabling precise control over drug release, improved bioavailability, and targeted delivery to specific tissues or cells. Among the diverse nanocarrier platforms, liposomes, cubosomes, and solid lipid nanoparticles (SLNs) have emerged as prominent systems due to their unique physicochemical properties and clinical potential.</w:t>
      </w:r>
    </w:p>
    <w:p w14:paraId="2061BDCE"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Liposomes</w:t>
      </w:r>
    </w:p>
    <w:p w14:paraId="60BB5563" w14:textId="51020675"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Liposomes are spherical vesicles composed of one or more phospholipid bilayers encapsulating an aqueous core. Since their discovery in the 1960s, liposomes have been extensively studied and </w:t>
      </w:r>
      <w:proofErr w:type="spellStart"/>
      <w:r w:rsidRPr="007D5277">
        <w:rPr>
          <w:rFonts w:ascii="Times New Roman" w:hAnsi="Times New Roman" w:cs="Times New Roman"/>
          <w:szCs w:val="28"/>
        </w:rPr>
        <w:t>utili</w:t>
      </w:r>
      <w:r w:rsidR="00F71C4E">
        <w:rPr>
          <w:rFonts w:ascii="Times New Roman" w:hAnsi="Times New Roman" w:cs="Times New Roman"/>
          <w:szCs w:val="28"/>
        </w:rPr>
        <w:t>s</w:t>
      </w:r>
      <w:r w:rsidRPr="007D5277">
        <w:rPr>
          <w:rFonts w:ascii="Times New Roman" w:hAnsi="Times New Roman" w:cs="Times New Roman"/>
          <w:szCs w:val="28"/>
        </w:rPr>
        <w:t>ed</w:t>
      </w:r>
      <w:proofErr w:type="spellEnd"/>
      <w:r w:rsidRPr="007D5277">
        <w:rPr>
          <w:rFonts w:ascii="Times New Roman" w:hAnsi="Times New Roman" w:cs="Times New Roman"/>
          <w:szCs w:val="28"/>
        </w:rPr>
        <w:t xml:space="preserve"> for delivering both hydrophilic and hydrophobic drugs [</w:t>
      </w:r>
      <w:r w:rsidR="000713E6">
        <w:rPr>
          <w:rFonts w:ascii="Times New Roman" w:hAnsi="Times New Roman" w:cs="Times New Roman"/>
          <w:szCs w:val="28"/>
        </w:rPr>
        <w:t>20,21</w:t>
      </w:r>
      <w:r w:rsidRPr="007D5277">
        <w:rPr>
          <w:rFonts w:ascii="Times New Roman" w:hAnsi="Times New Roman" w:cs="Times New Roman"/>
          <w:szCs w:val="28"/>
        </w:rPr>
        <w:t>]. Their biocompatibility, ability to encapsulate diverse drug molecules, and modifiable surface properties make them versatile carriers. [2</w:t>
      </w:r>
      <w:r w:rsidR="000713E6">
        <w:rPr>
          <w:rFonts w:ascii="Times New Roman" w:hAnsi="Times New Roman" w:cs="Times New Roman"/>
          <w:szCs w:val="28"/>
        </w:rPr>
        <w:t>2,23,24</w:t>
      </w:r>
      <w:r w:rsidRPr="007D5277">
        <w:rPr>
          <w:rFonts w:ascii="Times New Roman" w:hAnsi="Times New Roman" w:cs="Times New Roman"/>
          <w:szCs w:val="28"/>
        </w:rPr>
        <w:t>].</w:t>
      </w:r>
    </w:p>
    <w:p w14:paraId="0DC790BB" w14:textId="166D7EBA"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Advancements in liposome technology include PEGylation to prolong circulation time, ligand conjugation for active targeting, and stimuli-responsive liposomes that release drugs in response to pH, temperature, or enzymes [</w:t>
      </w:r>
      <w:r w:rsidR="000713E6">
        <w:rPr>
          <w:rFonts w:ascii="Times New Roman" w:hAnsi="Times New Roman" w:cs="Times New Roman"/>
          <w:szCs w:val="28"/>
        </w:rPr>
        <w:t>21,22</w:t>
      </w:r>
      <w:r w:rsidRPr="007D5277">
        <w:rPr>
          <w:rFonts w:ascii="Times New Roman" w:hAnsi="Times New Roman" w:cs="Times New Roman"/>
          <w:szCs w:val="28"/>
        </w:rPr>
        <w:t>]. Despite their advantages, challenges such as stability, large-scale manufacturing, and rapid clearance by the mononuclear phagocyte system remain areas of active research.</w:t>
      </w:r>
    </w:p>
    <w:p w14:paraId="3C0820A3"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Cubosomes</w:t>
      </w:r>
    </w:p>
    <w:p w14:paraId="1ED8EABA" w14:textId="01A35D19"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Cubosomes are nanostructured liquid crystalline particles formed from amphiphilic lipids that self-assemble into a bicontinuous cubic phase. These particles possess a unique internal cubic lattice structure, providing a large surface area and high encapsulation efficiency for both hydrophilic and lipophilic drugs [</w:t>
      </w:r>
      <w:r w:rsidR="000713E6">
        <w:rPr>
          <w:rFonts w:ascii="Times New Roman" w:hAnsi="Times New Roman" w:cs="Times New Roman"/>
          <w:szCs w:val="28"/>
        </w:rPr>
        <w:t>2</w:t>
      </w:r>
      <w:r w:rsidRPr="007D5277">
        <w:rPr>
          <w:rFonts w:ascii="Times New Roman" w:hAnsi="Times New Roman" w:cs="Times New Roman"/>
          <w:szCs w:val="28"/>
        </w:rPr>
        <w:t>4]. Cubosomes offer controlled release profiles and enhanced stability compared to traditional liposomes.</w:t>
      </w:r>
    </w:p>
    <w:p w14:paraId="02B1AF6D" w14:textId="26A1A965"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Their potential applications span oral, topical, ophthalmic, and parenteral drug delivery. Recent studies have explored cubosomes for delivering anticancer agents, vaccines, and poorly soluble drugs, highlighting their versatility [</w:t>
      </w:r>
      <w:r w:rsidR="000713E6">
        <w:rPr>
          <w:rFonts w:ascii="Times New Roman" w:hAnsi="Times New Roman" w:cs="Times New Roman"/>
          <w:szCs w:val="28"/>
        </w:rPr>
        <w:t>2</w:t>
      </w:r>
      <w:r w:rsidRPr="007D5277">
        <w:rPr>
          <w:rFonts w:ascii="Times New Roman" w:hAnsi="Times New Roman" w:cs="Times New Roman"/>
          <w:szCs w:val="28"/>
        </w:rPr>
        <w:t>5]. However, challenges such as scalable production, long-term stability, and comprehensive toxicological evaluation need to be addressed to facilitate clinical translation [</w:t>
      </w:r>
      <w:r w:rsidR="000713E6">
        <w:rPr>
          <w:rFonts w:ascii="Times New Roman" w:hAnsi="Times New Roman" w:cs="Times New Roman"/>
          <w:szCs w:val="28"/>
        </w:rPr>
        <w:t>2</w:t>
      </w:r>
      <w:r w:rsidRPr="007D5277">
        <w:rPr>
          <w:rFonts w:ascii="Times New Roman" w:hAnsi="Times New Roman" w:cs="Times New Roman"/>
          <w:szCs w:val="28"/>
        </w:rPr>
        <w:t>6].</w:t>
      </w:r>
    </w:p>
    <w:p w14:paraId="75A39181" w14:textId="038BECB9"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lastRenderedPageBreak/>
        <w:t>Solid Lipid Nanoparticles (SLNs)</w:t>
      </w:r>
    </w:p>
    <w:p w14:paraId="1F1208D0" w14:textId="22EC4F66"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SLNs are submicron colloidal carriers composed of solid lipids stabilized by surfactants. They combine the advantages of liposomes and polymeric nanoparticles, offering controlled drug release, improved drug stability, and biocompatibility [</w:t>
      </w:r>
      <w:r w:rsidR="000713E6">
        <w:rPr>
          <w:rFonts w:ascii="Times New Roman" w:hAnsi="Times New Roman" w:cs="Times New Roman"/>
          <w:szCs w:val="28"/>
        </w:rPr>
        <w:t>2</w:t>
      </w:r>
      <w:r w:rsidRPr="007D5277">
        <w:rPr>
          <w:rFonts w:ascii="Times New Roman" w:hAnsi="Times New Roman" w:cs="Times New Roman"/>
          <w:szCs w:val="28"/>
        </w:rPr>
        <w:t>7]. SLNs can encapsulate lipophilic drugs efficiently and protect labile molecules from degradation.</w:t>
      </w:r>
    </w:p>
    <w:p w14:paraId="11E8E337" w14:textId="5EAECF60"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SLNs have been investigated for various routes of administration, including oral, topical, and parenteral. Their solid lipid matrix allows for sustained drug release and reduced burst effect. However, issues such as drug expulsion during storage and limited drug loading capacity are challenges under investigation [</w:t>
      </w:r>
      <w:r w:rsidR="000713E6">
        <w:rPr>
          <w:rFonts w:ascii="Times New Roman" w:hAnsi="Times New Roman" w:cs="Times New Roman"/>
          <w:szCs w:val="28"/>
        </w:rPr>
        <w:t>2</w:t>
      </w:r>
      <w:r w:rsidRPr="007D5277">
        <w:rPr>
          <w:rFonts w:ascii="Times New Roman" w:hAnsi="Times New Roman" w:cs="Times New Roman"/>
          <w:szCs w:val="28"/>
        </w:rPr>
        <w:t>8].</w:t>
      </w:r>
    </w:p>
    <w:tbl>
      <w:tblPr>
        <w:tblStyle w:val="TableGrid"/>
        <w:tblW w:w="0" w:type="auto"/>
        <w:tblLook w:val="04A0" w:firstRow="1" w:lastRow="0" w:firstColumn="1" w:lastColumn="0" w:noHBand="0" w:noVBand="1"/>
      </w:tblPr>
      <w:tblGrid>
        <w:gridCol w:w="1439"/>
        <w:gridCol w:w="2183"/>
        <w:gridCol w:w="1442"/>
        <w:gridCol w:w="1432"/>
        <w:gridCol w:w="1797"/>
        <w:gridCol w:w="1057"/>
      </w:tblGrid>
      <w:tr w:rsidR="007D5277" w:rsidRPr="007D5277" w14:paraId="77274B2E" w14:textId="77777777" w:rsidTr="007D5277">
        <w:tc>
          <w:tcPr>
            <w:tcW w:w="0" w:type="auto"/>
            <w:noWrap/>
            <w:hideMark/>
          </w:tcPr>
          <w:p w14:paraId="2E029044" w14:textId="77777777" w:rsidR="007D5277" w:rsidRPr="007D5277" w:rsidRDefault="007D5277" w:rsidP="007D5277">
            <w:pPr>
              <w:spacing w:after="160" w:line="278" w:lineRule="auto"/>
              <w:jc w:val="both"/>
              <w:rPr>
                <w:rFonts w:ascii="Times New Roman" w:hAnsi="Times New Roman" w:cs="Times New Roman"/>
                <w:b/>
                <w:bCs/>
                <w:szCs w:val="28"/>
              </w:rPr>
            </w:pPr>
            <w:r w:rsidRPr="007D5277">
              <w:rPr>
                <w:rFonts w:ascii="Times New Roman" w:hAnsi="Times New Roman" w:cs="Times New Roman"/>
                <w:b/>
                <w:bCs/>
                <w:szCs w:val="28"/>
              </w:rPr>
              <w:t>Nanocarrier</w:t>
            </w:r>
          </w:p>
        </w:tc>
        <w:tc>
          <w:tcPr>
            <w:tcW w:w="0" w:type="auto"/>
            <w:noWrap/>
            <w:hideMark/>
          </w:tcPr>
          <w:p w14:paraId="33653FB8" w14:textId="77777777" w:rsidR="007D5277" w:rsidRPr="007D5277" w:rsidRDefault="007D5277" w:rsidP="007D5277">
            <w:pPr>
              <w:spacing w:after="160" w:line="278" w:lineRule="auto"/>
              <w:jc w:val="both"/>
              <w:rPr>
                <w:rFonts w:ascii="Times New Roman" w:hAnsi="Times New Roman" w:cs="Times New Roman"/>
                <w:b/>
                <w:bCs/>
                <w:szCs w:val="28"/>
              </w:rPr>
            </w:pPr>
            <w:r w:rsidRPr="007D5277">
              <w:rPr>
                <w:rFonts w:ascii="Times New Roman" w:hAnsi="Times New Roman" w:cs="Times New Roman"/>
                <w:b/>
                <w:bCs/>
                <w:szCs w:val="28"/>
              </w:rPr>
              <w:t>Structure &amp; Composition</w:t>
            </w:r>
          </w:p>
        </w:tc>
        <w:tc>
          <w:tcPr>
            <w:tcW w:w="0" w:type="auto"/>
            <w:noWrap/>
            <w:hideMark/>
          </w:tcPr>
          <w:p w14:paraId="4E4A4677" w14:textId="77777777" w:rsidR="007D5277" w:rsidRPr="007D5277" w:rsidRDefault="007D5277" w:rsidP="007D5277">
            <w:pPr>
              <w:spacing w:after="160" w:line="278" w:lineRule="auto"/>
              <w:jc w:val="both"/>
              <w:rPr>
                <w:rFonts w:ascii="Times New Roman" w:hAnsi="Times New Roman" w:cs="Times New Roman"/>
                <w:b/>
                <w:bCs/>
                <w:szCs w:val="28"/>
              </w:rPr>
            </w:pPr>
            <w:r w:rsidRPr="007D5277">
              <w:rPr>
                <w:rFonts w:ascii="Times New Roman" w:hAnsi="Times New Roman" w:cs="Times New Roman"/>
                <w:b/>
                <w:bCs/>
                <w:szCs w:val="28"/>
              </w:rPr>
              <w:t>Advantages</w:t>
            </w:r>
          </w:p>
        </w:tc>
        <w:tc>
          <w:tcPr>
            <w:tcW w:w="0" w:type="auto"/>
            <w:noWrap/>
            <w:hideMark/>
          </w:tcPr>
          <w:p w14:paraId="127E2E28" w14:textId="77777777" w:rsidR="007D5277" w:rsidRPr="007D5277" w:rsidRDefault="007D5277" w:rsidP="007D5277">
            <w:pPr>
              <w:spacing w:after="160" w:line="278" w:lineRule="auto"/>
              <w:jc w:val="both"/>
              <w:rPr>
                <w:rFonts w:ascii="Times New Roman" w:hAnsi="Times New Roman" w:cs="Times New Roman"/>
                <w:b/>
                <w:bCs/>
                <w:szCs w:val="28"/>
              </w:rPr>
            </w:pPr>
            <w:r w:rsidRPr="007D5277">
              <w:rPr>
                <w:rFonts w:ascii="Times New Roman" w:hAnsi="Times New Roman" w:cs="Times New Roman"/>
                <w:b/>
                <w:bCs/>
                <w:szCs w:val="28"/>
              </w:rPr>
              <w:t>Limitations</w:t>
            </w:r>
          </w:p>
        </w:tc>
        <w:tc>
          <w:tcPr>
            <w:tcW w:w="0" w:type="auto"/>
            <w:noWrap/>
            <w:hideMark/>
          </w:tcPr>
          <w:p w14:paraId="0DBD6FBA" w14:textId="77777777" w:rsidR="007D5277" w:rsidRPr="007D5277" w:rsidRDefault="007D5277" w:rsidP="007D5277">
            <w:pPr>
              <w:spacing w:after="160" w:line="278" w:lineRule="auto"/>
              <w:jc w:val="both"/>
              <w:rPr>
                <w:rFonts w:ascii="Times New Roman" w:hAnsi="Times New Roman" w:cs="Times New Roman"/>
                <w:b/>
                <w:bCs/>
                <w:szCs w:val="28"/>
              </w:rPr>
            </w:pPr>
            <w:r w:rsidRPr="007D5277">
              <w:rPr>
                <w:rFonts w:ascii="Times New Roman" w:hAnsi="Times New Roman" w:cs="Times New Roman"/>
                <w:b/>
                <w:bCs/>
                <w:szCs w:val="28"/>
              </w:rPr>
              <w:t>Typical Applications</w:t>
            </w:r>
          </w:p>
        </w:tc>
        <w:tc>
          <w:tcPr>
            <w:tcW w:w="0" w:type="auto"/>
            <w:noWrap/>
            <w:hideMark/>
          </w:tcPr>
          <w:p w14:paraId="3773F914" w14:textId="77777777" w:rsidR="007D5277" w:rsidRPr="007D5277" w:rsidRDefault="007D5277" w:rsidP="007D5277">
            <w:pPr>
              <w:spacing w:after="160" w:line="278" w:lineRule="auto"/>
              <w:jc w:val="both"/>
              <w:rPr>
                <w:rFonts w:ascii="Times New Roman" w:hAnsi="Times New Roman" w:cs="Times New Roman"/>
                <w:b/>
                <w:bCs/>
                <w:szCs w:val="28"/>
              </w:rPr>
            </w:pPr>
            <w:r w:rsidRPr="007D5277">
              <w:rPr>
                <w:rFonts w:ascii="Times New Roman" w:hAnsi="Times New Roman" w:cs="Times New Roman"/>
                <w:b/>
                <w:bCs/>
                <w:szCs w:val="28"/>
              </w:rPr>
              <w:t>References</w:t>
            </w:r>
          </w:p>
        </w:tc>
      </w:tr>
      <w:tr w:rsidR="007D5277" w:rsidRPr="007D5277" w14:paraId="7E3C2DC4" w14:textId="77777777" w:rsidTr="007D5277">
        <w:tc>
          <w:tcPr>
            <w:tcW w:w="0" w:type="auto"/>
            <w:hideMark/>
          </w:tcPr>
          <w:p w14:paraId="397C1886"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b/>
                <w:bCs/>
                <w:szCs w:val="28"/>
              </w:rPr>
              <w:t>Liposomes</w:t>
            </w:r>
          </w:p>
        </w:tc>
        <w:tc>
          <w:tcPr>
            <w:tcW w:w="0" w:type="auto"/>
            <w:hideMark/>
          </w:tcPr>
          <w:p w14:paraId="68C5AD69"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Spherical vesicles with one or more phospholipid bilayers encapsulating aqueous core</w:t>
            </w:r>
          </w:p>
        </w:tc>
        <w:tc>
          <w:tcPr>
            <w:tcW w:w="0" w:type="auto"/>
            <w:hideMark/>
          </w:tcPr>
          <w:p w14:paraId="22E95B89" w14:textId="77777777" w:rsid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Biocompatible and biodegradable- Can carry hydrophilic &amp; hydrophobic drug</w:t>
            </w:r>
            <w:r>
              <w:rPr>
                <w:rFonts w:ascii="Times New Roman" w:hAnsi="Times New Roman" w:cs="Times New Roman"/>
                <w:szCs w:val="28"/>
              </w:rPr>
              <w:t>.</w:t>
            </w:r>
          </w:p>
          <w:p w14:paraId="029A8218" w14:textId="74169F4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xml:space="preserve"> Surface modifiable for targeting and stealth (PEGylation)</w:t>
            </w:r>
          </w:p>
        </w:tc>
        <w:tc>
          <w:tcPr>
            <w:tcW w:w="0" w:type="auto"/>
            <w:hideMark/>
          </w:tcPr>
          <w:p w14:paraId="7C7D8A3D" w14:textId="2FC534D3"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Stability issues (leakage, fusion)- Rapid clearance by RES- Complex large-scale production</w:t>
            </w:r>
          </w:p>
        </w:tc>
        <w:tc>
          <w:tcPr>
            <w:tcW w:w="0" w:type="auto"/>
            <w:hideMark/>
          </w:tcPr>
          <w:p w14:paraId="772D36DA"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Cancer therapy, antifungal drugs, vaccines</w:t>
            </w:r>
          </w:p>
        </w:tc>
        <w:tc>
          <w:tcPr>
            <w:tcW w:w="0" w:type="auto"/>
            <w:hideMark/>
          </w:tcPr>
          <w:p w14:paraId="1C9E414F" w14:textId="47344E94"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w:t>
            </w:r>
            <w:r w:rsidR="000713E6" w:rsidRPr="000713E6">
              <w:rPr>
                <w:rFonts w:ascii="Times New Roman" w:hAnsi="Times New Roman" w:cs="Times New Roman"/>
                <w:szCs w:val="28"/>
              </w:rPr>
              <w:t>1</w:t>
            </w:r>
            <w:r w:rsidRPr="007D5277">
              <w:rPr>
                <w:rFonts w:ascii="Times New Roman" w:hAnsi="Times New Roman" w:cs="Times New Roman"/>
                <w:szCs w:val="28"/>
              </w:rPr>
              <w:t>1,</w:t>
            </w:r>
            <w:r w:rsidR="000713E6" w:rsidRPr="000713E6">
              <w:rPr>
                <w:rFonts w:ascii="Times New Roman" w:hAnsi="Times New Roman" w:cs="Times New Roman"/>
                <w:szCs w:val="28"/>
              </w:rPr>
              <w:t>2</w:t>
            </w:r>
            <w:r w:rsidRPr="007D5277">
              <w:rPr>
                <w:rFonts w:ascii="Times New Roman" w:hAnsi="Times New Roman" w:cs="Times New Roman"/>
                <w:szCs w:val="28"/>
              </w:rPr>
              <w:t>2]</w:t>
            </w:r>
          </w:p>
        </w:tc>
      </w:tr>
      <w:tr w:rsidR="007D5277" w:rsidRPr="007D5277" w14:paraId="6EA63E24" w14:textId="77777777" w:rsidTr="007D5277">
        <w:tc>
          <w:tcPr>
            <w:tcW w:w="0" w:type="auto"/>
            <w:hideMark/>
          </w:tcPr>
          <w:p w14:paraId="65B4AFA3"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b/>
                <w:bCs/>
                <w:szCs w:val="28"/>
              </w:rPr>
              <w:t>Cubosomes</w:t>
            </w:r>
          </w:p>
        </w:tc>
        <w:tc>
          <w:tcPr>
            <w:tcW w:w="0" w:type="auto"/>
            <w:hideMark/>
          </w:tcPr>
          <w:p w14:paraId="5FC2EEBC"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Nanostructured liquid crystalline particles with bicontinuous cubic lipid phase</w:t>
            </w:r>
          </w:p>
        </w:tc>
        <w:tc>
          <w:tcPr>
            <w:tcW w:w="0" w:type="auto"/>
            <w:hideMark/>
          </w:tcPr>
          <w:p w14:paraId="544D7910" w14:textId="6DDA0D1C"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xml:space="preserve">- High surface area- Encapsulate hydrophilic &amp; lipophilic drugs- Controlled release- Enhanced </w:t>
            </w:r>
            <w:r w:rsidRPr="007D5277">
              <w:rPr>
                <w:rFonts w:ascii="Times New Roman" w:hAnsi="Times New Roman" w:cs="Times New Roman"/>
                <w:szCs w:val="28"/>
              </w:rPr>
              <w:lastRenderedPageBreak/>
              <w:t>stability vs liposomes</w:t>
            </w:r>
          </w:p>
        </w:tc>
        <w:tc>
          <w:tcPr>
            <w:tcW w:w="0" w:type="auto"/>
            <w:hideMark/>
          </w:tcPr>
          <w:p w14:paraId="3B2A41B1" w14:textId="3C8153D9"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lastRenderedPageBreak/>
              <w:t>- Difficult scalable manufacturing- Limited clinical data- Toxicity profile not fully known</w:t>
            </w:r>
          </w:p>
        </w:tc>
        <w:tc>
          <w:tcPr>
            <w:tcW w:w="0" w:type="auto"/>
            <w:hideMark/>
          </w:tcPr>
          <w:p w14:paraId="5F26E5D6"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Oral, topical, ophthalmic delivery; anticancer agents</w:t>
            </w:r>
          </w:p>
        </w:tc>
        <w:tc>
          <w:tcPr>
            <w:tcW w:w="0" w:type="auto"/>
            <w:hideMark/>
          </w:tcPr>
          <w:p w14:paraId="724C27F8" w14:textId="6C6C5246"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w:t>
            </w:r>
            <w:r w:rsidR="000713E6" w:rsidRPr="000713E6">
              <w:rPr>
                <w:rFonts w:ascii="Times New Roman" w:hAnsi="Times New Roman" w:cs="Times New Roman"/>
                <w:szCs w:val="28"/>
              </w:rPr>
              <w:t>11,14</w:t>
            </w:r>
            <w:r w:rsidRPr="007D5277">
              <w:rPr>
                <w:rFonts w:ascii="Times New Roman" w:hAnsi="Times New Roman" w:cs="Times New Roman"/>
                <w:szCs w:val="28"/>
              </w:rPr>
              <w:t>]</w:t>
            </w:r>
          </w:p>
        </w:tc>
      </w:tr>
      <w:tr w:rsidR="007D5277" w:rsidRPr="007D5277" w14:paraId="3F2C81FC" w14:textId="77777777" w:rsidTr="007D5277">
        <w:tc>
          <w:tcPr>
            <w:tcW w:w="0" w:type="auto"/>
            <w:hideMark/>
          </w:tcPr>
          <w:p w14:paraId="7AAADE64"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b/>
                <w:bCs/>
                <w:szCs w:val="28"/>
              </w:rPr>
              <w:t>Solid Lipid Nanoparticles (SLNs)</w:t>
            </w:r>
          </w:p>
        </w:tc>
        <w:tc>
          <w:tcPr>
            <w:tcW w:w="0" w:type="auto"/>
            <w:hideMark/>
          </w:tcPr>
          <w:p w14:paraId="08229127"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Solid lipid core stabilized by surfactants</w:t>
            </w:r>
          </w:p>
        </w:tc>
        <w:tc>
          <w:tcPr>
            <w:tcW w:w="0" w:type="auto"/>
            <w:hideMark/>
          </w:tcPr>
          <w:p w14:paraId="31272B28" w14:textId="1FE99FA0"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Biocompatible and biodegradable- Controlled drug release- Protects labile drugs- Scalable production</w:t>
            </w:r>
          </w:p>
        </w:tc>
        <w:tc>
          <w:tcPr>
            <w:tcW w:w="0" w:type="auto"/>
            <w:hideMark/>
          </w:tcPr>
          <w:p w14:paraId="46AF7AE4" w14:textId="5529CEBD"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Limited drug loading- Drug expulsion during storage- Polymorphic transitions affect stability</w:t>
            </w:r>
          </w:p>
        </w:tc>
        <w:tc>
          <w:tcPr>
            <w:tcW w:w="0" w:type="auto"/>
            <w:hideMark/>
          </w:tcPr>
          <w:p w14:paraId="550A631B"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Oral, topical, parenteral delivery</w:t>
            </w:r>
          </w:p>
        </w:tc>
        <w:tc>
          <w:tcPr>
            <w:tcW w:w="0" w:type="auto"/>
            <w:hideMark/>
          </w:tcPr>
          <w:p w14:paraId="0A88DA54" w14:textId="36C0A460"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w:t>
            </w:r>
            <w:r w:rsidR="000713E6" w:rsidRPr="000713E6">
              <w:rPr>
                <w:rFonts w:ascii="Times New Roman" w:hAnsi="Times New Roman" w:cs="Times New Roman"/>
                <w:szCs w:val="28"/>
              </w:rPr>
              <w:t>1</w:t>
            </w:r>
            <w:r w:rsidRPr="007D5277">
              <w:rPr>
                <w:rFonts w:ascii="Times New Roman" w:hAnsi="Times New Roman" w:cs="Times New Roman"/>
                <w:szCs w:val="28"/>
              </w:rPr>
              <w:t>7,</w:t>
            </w:r>
            <w:r w:rsidR="000713E6" w:rsidRPr="000713E6">
              <w:rPr>
                <w:rFonts w:ascii="Times New Roman" w:hAnsi="Times New Roman" w:cs="Times New Roman"/>
                <w:szCs w:val="28"/>
              </w:rPr>
              <w:t>1</w:t>
            </w:r>
            <w:r w:rsidRPr="007D5277">
              <w:rPr>
                <w:rFonts w:ascii="Times New Roman" w:hAnsi="Times New Roman" w:cs="Times New Roman"/>
                <w:szCs w:val="28"/>
              </w:rPr>
              <w:t>8]</w:t>
            </w:r>
          </w:p>
        </w:tc>
      </w:tr>
      <w:tr w:rsidR="007D5277" w:rsidRPr="007D5277" w14:paraId="53090EDA" w14:textId="77777777" w:rsidTr="007D5277">
        <w:tc>
          <w:tcPr>
            <w:tcW w:w="0" w:type="auto"/>
            <w:hideMark/>
          </w:tcPr>
          <w:p w14:paraId="2983869A"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b/>
                <w:bCs/>
                <w:szCs w:val="28"/>
              </w:rPr>
              <w:t>Nanostructured Lipid Carriers (NLCs)</w:t>
            </w:r>
          </w:p>
        </w:tc>
        <w:tc>
          <w:tcPr>
            <w:tcW w:w="0" w:type="auto"/>
            <w:hideMark/>
          </w:tcPr>
          <w:p w14:paraId="35CF848F"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Blend of solid and liquid lipids forming imperfect lipid matrix</w:t>
            </w:r>
          </w:p>
        </w:tc>
        <w:tc>
          <w:tcPr>
            <w:tcW w:w="0" w:type="auto"/>
            <w:hideMark/>
          </w:tcPr>
          <w:p w14:paraId="751D27C8" w14:textId="145373F2"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Higher drug loading than SLNs- Improved stability- Controlled release</w:t>
            </w:r>
          </w:p>
        </w:tc>
        <w:tc>
          <w:tcPr>
            <w:tcW w:w="0" w:type="auto"/>
            <w:hideMark/>
          </w:tcPr>
          <w:p w14:paraId="7A8C0895" w14:textId="6A2A6458"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More complex formulation- Potential for lipid oxidation</w:t>
            </w:r>
          </w:p>
        </w:tc>
        <w:tc>
          <w:tcPr>
            <w:tcW w:w="0" w:type="auto"/>
            <w:hideMark/>
          </w:tcPr>
          <w:p w14:paraId="69322FBE"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Similar to SLNs; enhanced delivery of poorly soluble drugs</w:t>
            </w:r>
          </w:p>
        </w:tc>
        <w:tc>
          <w:tcPr>
            <w:tcW w:w="0" w:type="auto"/>
            <w:hideMark/>
          </w:tcPr>
          <w:p w14:paraId="455E705A" w14:textId="176EC999"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w:t>
            </w:r>
            <w:r w:rsidR="000713E6" w:rsidRPr="000713E6">
              <w:rPr>
                <w:rFonts w:ascii="Times New Roman" w:hAnsi="Times New Roman" w:cs="Times New Roman"/>
                <w:szCs w:val="28"/>
              </w:rPr>
              <w:t>1</w:t>
            </w:r>
            <w:r w:rsidRPr="007D5277">
              <w:rPr>
                <w:rFonts w:ascii="Times New Roman" w:hAnsi="Times New Roman" w:cs="Times New Roman"/>
                <w:szCs w:val="28"/>
              </w:rPr>
              <w:t>9]</w:t>
            </w:r>
          </w:p>
        </w:tc>
      </w:tr>
      <w:tr w:rsidR="007D5277" w:rsidRPr="007D5277" w14:paraId="33FDF81C" w14:textId="77777777" w:rsidTr="007D5277">
        <w:tc>
          <w:tcPr>
            <w:tcW w:w="0" w:type="auto"/>
            <w:hideMark/>
          </w:tcPr>
          <w:p w14:paraId="1D8B9917"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b/>
                <w:bCs/>
                <w:szCs w:val="28"/>
              </w:rPr>
              <w:t>Dendrimers</w:t>
            </w:r>
          </w:p>
        </w:tc>
        <w:tc>
          <w:tcPr>
            <w:tcW w:w="0" w:type="auto"/>
            <w:hideMark/>
          </w:tcPr>
          <w:p w14:paraId="0F7CBD4F"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Highly branched, monodisperse polymers with multiple surface functional groups</w:t>
            </w:r>
          </w:p>
        </w:tc>
        <w:tc>
          <w:tcPr>
            <w:tcW w:w="0" w:type="auto"/>
            <w:hideMark/>
          </w:tcPr>
          <w:p w14:paraId="3F772AC9" w14:textId="586CE700"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Precise size and shape control- High drug loading capacity- Surface modifiable for targeting</w:t>
            </w:r>
          </w:p>
        </w:tc>
        <w:tc>
          <w:tcPr>
            <w:tcW w:w="0" w:type="auto"/>
            <w:hideMark/>
          </w:tcPr>
          <w:p w14:paraId="59B12581" w14:textId="380885B5"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Potential cytotoxicity- Complex synthesis- Clearance and biodistribution challenges</w:t>
            </w:r>
          </w:p>
        </w:tc>
        <w:tc>
          <w:tcPr>
            <w:tcW w:w="0" w:type="auto"/>
            <w:hideMark/>
          </w:tcPr>
          <w:p w14:paraId="7BF8A073"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Gene delivery, anticancer drugs, imaging agents</w:t>
            </w:r>
          </w:p>
        </w:tc>
        <w:tc>
          <w:tcPr>
            <w:tcW w:w="0" w:type="auto"/>
            <w:hideMark/>
          </w:tcPr>
          <w:p w14:paraId="0C304CC6" w14:textId="6B553BF1"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[1</w:t>
            </w:r>
            <w:r w:rsidR="000713E6" w:rsidRPr="000713E6">
              <w:rPr>
                <w:rFonts w:ascii="Times New Roman" w:hAnsi="Times New Roman" w:cs="Times New Roman"/>
                <w:szCs w:val="28"/>
              </w:rPr>
              <w:t>1</w:t>
            </w:r>
            <w:r w:rsidRPr="007D5277">
              <w:rPr>
                <w:rFonts w:ascii="Times New Roman" w:hAnsi="Times New Roman" w:cs="Times New Roman"/>
                <w:szCs w:val="28"/>
              </w:rPr>
              <w:t>]</w:t>
            </w:r>
          </w:p>
        </w:tc>
      </w:tr>
      <w:tr w:rsidR="007D5277" w:rsidRPr="007D5277" w14:paraId="73A93AB4" w14:textId="77777777" w:rsidTr="007D5277">
        <w:tc>
          <w:tcPr>
            <w:tcW w:w="0" w:type="auto"/>
            <w:hideMark/>
          </w:tcPr>
          <w:p w14:paraId="31241C25"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b/>
                <w:bCs/>
                <w:szCs w:val="28"/>
              </w:rPr>
              <w:t>Polymeric Micelles</w:t>
            </w:r>
          </w:p>
        </w:tc>
        <w:tc>
          <w:tcPr>
            <w:tcW w:w="0" w:type="auto"/>
            <w:hideMark/>
          </w:tcPr>
          <w:p w14:paraId="51588657"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Self-assembled amphiphilic block copolymers forming core-shell structures</w:t>
            </w:r>
          </w:p>
        </w:tc>
        <w:tc>
          <w:tcPr>
            <w:tcW w:w="0" w:type="auto"/>
            <w:hideMark/>
          </w:tcPr>
          <w:p w14:paraId="4C269BB6" w14:textId="2180040C"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xml:space="preserve">- Solubilize hydrophobic drugs- Prolonged circulation- Stimuli-responsive </w:t>
            </w:r>
            <w:r w:rsidRPr="007D5277">
              <w:rPr>
                <w:rFonts w:ascii="Times New Roman" w:hAnsi="Times New Roman" w:cs="Times New Roman"/>
                <w:szCs w:val="28"/>
              </w:rPr>
              <w:lastRenderedPageBreak/>
              <w:t>variants available</w:t>
            </w:r>
          </w:p>
        </w:tc>
        <w:tc>
          <w:tcPr>
            <w:tcW w:w="0" w:type="auto"/>
            <w:hideMark/>
          </w:tcPr>
          <w:p w14:paraId="0030625F" w14:textId="45D3660F"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lastRenderedPageBreak/>
              <w:t>- Stability issues upon dilution- Limited drug loading capacity</w:t>
            </w:r>
          </w:p>
        </w:tc>
        <w:tc>
          <w:tcPr>
            <w:tcW w:w="0" w:type="auto"/>
            <w:hideMark/>
          </w:tcPr>
          <w:p w14:paraId="5B3A9467"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Cancer therapy, solubilization of poorly soluble drugs</w:t>
            </w:r>
          </w:p>
        </w:tc>
        <w:tc>
          <w:tcPr>
            <w:tcW w:w="0" w:type="auto"/>
            <w:hideMark/>
          </w:tcPr>
          <w:p w14:paraId="715C0E9B" w14:textId="4B6AE9ED"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[1</w:t>
            </w:r>
            <w:r w:rsidR="000713E6" w:rsidRPr="000713E6">
              <w:rPr>
                <w:rFonts w:ascii="Times New Roman" w:hAnsi="Times New Roman" w:cs="Times New Roman"/>
                <w:szCs w:val="28"/>
              </w:rPr>
              <w:t>2,16</w:t>
            </w:r>
            <w:r w:rsidRPr="007D5277">
              <w:rPr>
                <w:rFonts w:ascii="Times New Roman" w:hAnsi="Times New Roman" w:cs="Times New Roman"/>
                <w:szCs w:val="28"/>
              </w:rPr>
              <w:t>]</w:t>
            </w:r>
          </w:p>
        </w:tc>
      </w:tr>
      <w:tr w:rsidR="007D5277" w:rsidRPr="007D5277" w14:paraId="4F5987EA" w14:textId="77777777" w:rsidTr="007D5277">
        <w:tc>
          <w:tcPr>
            <w:tcW w:w="0" w:type="auto"/>
            <w:hideMark/>
          </w:tcPr>
          <w:p w14:paraId="3E3E08E5"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b/>
                <w:bCs/>
                <w:szCs w:val="28"/>
              </w:rPr>
              <w:t>Mesoporous Silica Nanoparticles (MSNs)</w:t>
            </w:r>
          </w:p>
        </w:tc>
        <w:tc>
          <w:tcPr>
            <w:tcW w:w="0" w:type="auto"/>
            <w:hideMark/>
          </w:tcPr>
          <w:p w14:paraId="6CE81C9E"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Porous silica framework with tunable pore size and surface chemistry</w:t>
            </w:r>
          </w:p>
        </w:tc>
        <w:tc>
          <w:tcPr>
            <w:tcW w:w="0" w:type="auto"/>
            <w:hideMark/>
          </w:tcPr>
          <w:p w14:paraId="1F9EDB07" w14:textId="3BD968D1"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High surface area and pore volume- Controlled drug release- Easy surface functionalization</w:t>
            </w:r>
          </w:p>
        </w:tc>
        <w:tc>
          <w:tcPr>
            <w:tcW w:w="0" w:type="auto"/>
            <w:hideMark/>
          </w:tcPr>
          <w:p w14:paraId="2C455850" w14:textId="042882F3"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Potential silica toxicity- Biodegradability concerns- Complex synthesis</w:t>
            </w:r>
          </w:p>
        </w:tc>
        <w:tc>
          <w:tcPr>
            <w:tcW w:w="0" w:type="auto"/>
            <w:hideMark/>
          </w:tcPr>
          <w:p w14:paraId="7B59B473"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Controlled release, gene delivery, imaging</w:t>
            </w:r>
          </w:p>
        </w:tc>
        <w:tc>
          <w:tcPr>
            <w:tcW w:w="0" w:type="auto"/>
            <w:hideMark/>
          </w:tcPr>
          <w:p w14:paraId="3B6C933E" w14:textId="55E353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[12</w:t>
            </w:r>
            <w:r w:rsidR="000713E6" w:rsidRPr="000713E6">
              <w:rPr>
                <w:rFonts w:ascii="Times New Roman" w:hAnsi="Times New Roman" w:cs="Times New Roman"/>
                <w:szCs w:val="28"/>
              </w:rPr>
              <w:t>,15</w:t>
            </w:r>
            <w:r w:rsidRPr="007D5277">
              <w:rPr>
                <w:rFonts w:ascii="Times New Roman" w:hAnsi="Times New Roman" w:cs="Times New Roman"/>
                <w:szCs w:val="28"/>
              </w:rPr>
              <w:t>]</w:t>
            </w:r>
          </w:p>
        </w:tc>
      </w:tr>
    </w:tbl>
    <w:p w14:paraId="07515A51" w14:textId="77777777" w:rsidR="007D5277" w:rsidRDefault="007D5277" w:rsidP="007D5277">
      <w:pPr>
        <w:jc w:val="both"/>
        <w:rPr>
          <w:rFonts w:ascii="Times New Roman" w:hAnsi="Times New Roman" w:cs="Times New Roman"/>
          <w:szCs w:val="28"/>
        </w:rPr>
      </w:pPr>
    </w:p>
    <w:p w14:paraId="0EFF83A3" w14:textId="77777777" w:rsidR="00292D7A" w:rsidRDefault="00267071" w:rsidP="00267071">
      <w:pPr>
        <w:jc w:val="center"/>
        <w:rPr>
          <w:rFonts w:ascii="Times New Roman" w:hAnsi="Times New Roman" w:cs="Times New Roman"/>
          <w:szCs w:val="28"/>
        </w:rPr>
      </w:pPr>
      <w:r>
        <w:rPr>
          <w:rFonts w:ascii="Times New Roman" w:hAnsi="Times New Roman" w:cs="Times New Roman"/>
          <w:szCs w:val="28"/>
        </w:rPr>
        <w:t xml:space="preserve">Table 1 - </w:t>
      </w:r>
      <w:r w:rsidRPr="00267071">
        <w:rPr>
          <w:rFonts w:ascii="Times New Roman" w:hAnsi="Times New Roman" w:cs="Times New Roman"/>
          <w:szCs w:val="28"/>
        </w:rPr>
        <w:t xml:space="preserve">Table summarizing key characteristics of nanocarriers, including their structure and composition, advantages, limitations, typical applications, and relevant references. </w:t>
      </w:r>
    </w:p>
    <w:p w14:paraId="2AFAF8FA" w14:textId="59E706DF" w:rsidR="00267071" w:rsidRPr="007D5277" w:rsidRDefault="00267071" w:rsidP="00267071">
      <w:pPr>
        <w:jc w:val="center"/>
        <w:rPr>
          <w:rFonts w:ascii="Times New Roman" w:hAnsi="Times New Roman" w:cs="Times New Roman"/>
          <w:szCs w:val="28"/>
        </w:rPr>
      </w:pPr>
      <w:r w:rsidRPr="00267071">
        <w:rPr>
          <w:rFonts w:ascii="Times New Roman" w:hAnsi="Times New Roman" w:cs="Times New Roman"/>
          <w:szCs w:val="28"/>
        </w:rPr>
        <w:t>This table provides a comparative overview of various nanocarrier systems used in drug delivery, helping to highlight their unique properties and potential for enhancing treatment outcomes.</w:t>
      </w:r>
    </w:p>
    <w:p w14:paraId="21A35508" w14:textId="77777777" w:rsidR="00DE19E8" w:rsidRPr="00DE19E8" w:rsidRDefault="00DE19E8" w:rsidP="00DE19E8">
      <w:pPr>
        <w:jc w:val="both"/>
        <w:rPr>
          <w:rFonts w:ascii="Times New Roman" w:hAnsi="Times New Roman" w:cs="Times New Roman"/>
          <w:b/>
          <w:bCs/>
          <w:szCs w:val="28"/>
        </w:rPr>
      </w:pPr>
      <w:r w:rsidRPr="00DE19E8">
        <w:rPr>
          <w:rFonts w:ascii="Times New Roman" w:hAnsi="Times New Roman" w:cs="Times New Roman"/>
          <w:b/>
          <w:bCs/>
          <w:szCs w:val="28"/>
        </w:rPr>
        <w:t>3.0 Stimuli-Responsive and Multifunctional Delivery Systems</w:t>
      </w:r>
    </w:p>
    <w:p w14:paraId="1201CA62" w14:textId="1DA2EE98" w:rsidR="00DE19E8" w:rsidRPr="00DE19E8" w:rsidRDefault="00DE19E8" w:rsidP="00DE19E8">
      <w:pPr>
        <w:jc w:val="both"/>
        <w:rPr>
          <w:rFonts w:ascii="Times New Roman" w:hAnsi="Times New Roman" w:cs="Times New Roman"/>
          <w:szCs w:val="28"/>
        </w:rPr>
      </w:pPr>
      <w:r w:rsidRPr="00DE19E8">
        <w:rPr>
          <w:rFonts w:ascii="Times New Roman" w:hAnsi="Times New Roman" w:cs="Times New Roman"/>
          <w:szCs w:val="28"/>
        </w:rPr>
        <w:t xml:space="preserve">Stimuli-responsive drug delivery systems represent a significant advancement in the field of novel drug delivery, designed to release therapeutic agents in response to specific internal or external triggers. These smart systems provide enhanced drug targeting, reduce systemic side effects, and improve therapeutic efficacy by enabling precise spatiotemporal control over drug release. Multifunctional delivery systems take this concept further by integrating multiple functionalities such as targeted delivery, imaging, and controlled release into a single platform. This integration facilitates </w:t>
      </w:r>
      <w:proofErr w:type="spellStart"/>
      <w:r w:rsidRPr="00DE19E8">
        <w:rPr>
          <w:rFonts w:ascii="Times New Roman" w:hAnsi="Times New Roman" w:cs="Times New Roman"/>
          <w:szCs w:val="28"/>
        </w:rPr>
        <w:t>theranostic</w:t>
      </w:r>
      <w:proofErr w:type="spellEnd"/>
      <w:r w:rsidRPr="00DE19E8">
        <w:rPr>
          <w:rFonts w:ascii="Times New Roman" w:hAnsi="Times New Roman" w:cs="Times New Roman"/>
          <w:szCs w:val="28"/>
        </w:rPr>
        <w:t xml:space="preserve"> applications and supports the development of </w:t>
      </w:r>
      <w:proofErr w:type="spellStart"/>
      <w:r w:rsidRPr="00DE19E8">
        <w:rPr>
          <w:rFonts w:ascii="Times New Roman" w:hAnsi="Times New Roman" w:cs="Times New Roman"/>
          <w:szCs w:val="28"/>
        </w:rPr>
        <w:t>personali</w:t>
      </w:r>
      <w:r w:rsidR="00F71C4E">
        <w:rPr>
          <w:rFonts w:ascii="Times New Roman" w:hAnsi="Times New Roman" w:cs="Times New Roman"/>
          <w:szCs w:val="28"/>
        </w:rPr>
        <w:t>s</w:t>
      </w:r>
      <w:r w:rsidRPr="00DE19E8">
        <w:rPr>
          <w:rFonts w:ascii="Times New Roman" w:hAnsi="Times New Roman" w:cs="Times New Roman"/>
          <w:szCs w:val="28"/>
        </w:rPr>
        <w:t>ed</w:t>
      </w:r>
      <w:proofErr w:type="spellEnd"/>
      <w:r w:rsidRPr="00DE19E8">
        <w:rPr>
          <w:rFonts w:ascii="Times New Roman" w:hAnsi="Times New Roman" w:cs="Times New Roman"/>
          <w:szCs w:val="28"/>
        </w:rPr>
        <w:t xml:space="preserve"> medicine, where diagnosis and treatment are combined for </w:t>
      </w:r>
      <w:proofErr w:type="spellStart"/>
      <w:r w:rsidRPr="00DE19E8">
        <w:rPr>
          <w:rFonts w:ascii="Times New Roman" w:hAnsi="Times New Roman" w:cs="Times New Roman"/>
          <w:szCs w:val="28"/>
        </w:rPr>
        <w:t>optimi</w:t>
      </w:r>
      <w:r w:rsidR="00F71C4E">
        <w:rPr>
          <w:rFonts w:ascii="Times New Roman" w:hAnsi="Times New Roman" w:cs="Times New Roman"/>
          <w:szCs w:val="28"/>
        </w:rPr>
        <w:t>s</w:t>
      </w:r>
      <w:r w:rsidRPr="00DE19E8">
        <w:rPr>
          <w:rFonts w:ascii="Times New Roman" w:hAnsi="Times New Roman" w:cs="Times New Roman"/>
          <w:szCs w:val="28"/>
        </w:rPr>
        <w:t>ed</w:t>
      </w:r>
      <w:proofErr w:type="spellEnd"/>
      <w:r w:rsidRPr="00DE19E8">
        <w:rPr>
          <w:rFonts w:ascii="Times New Roman" w:hAnsi="Times New Roman" w:cs="Times New Roman"/>
          <w:szCs w:val="28"/>
        </w:rPr>
        <w:t xml:space="preserve"> patient outcomes [1</w:t>
      </w:r>
      <w:r w:rsidR="000713E6">
        <w:rPr>
          <w:rFonts w:ascii="Times New Roman" w:hAnsi="Times New Roman" w:cs="Times New Roman"/>
          <w:szCs w:val="28"/>
        </w:rPr>
        <w:t>1</w:t>
      </w:r>
      <w:r w:rsidRPr="00DE19E8">
        <w:rPr>
          <w:rFonts w:ascii="Times New Roman" w:hAnsi="Times New Roman" w:cs="Times New Roman"/>
          <w:szCs w:val="28"/>
        </w:rPr>
        <w:t>,2</w:t>
      </w:r>
      <w:r w:rsidR="000713E6">
        <w:rPr>
          <w:rFonts w:ascii="Times New Roman" w:hAnsi="Times New Roman" w:cs="Times New Roman"/>
          <w:szCs w:val="28"/>
        </w:rPr>
        <w:t>1</w:t>
      </w:r>
      <w:r w:rsidRPr="00DE19E8">
        <w:rPr>
          <w:rFonts w:ascii="Times New Roman" w:hAnsi="Times New Roman" w:cs="Times New Roman"/>
          <w:szCs w:val="28"/>
        </w:rPr>
        <w:t>].</w:t>
      </w:r>
    </w:p>
    <w:p w14:paraId="69BDDE1A" w14:textId="5DAC989C" w:rsidR="00DE19E8" w:rsidRDefault="00DE19E8" w:rsidP="00DE19E8">
      <w:pPr>
        <w:jc w:val="both"/>
        <w:rPr>
          <w:rFonts w:ascii="Times New Roman" w:hAnsi="Times New Roman" w:cs="Times New Roman"/>
          <w:szCs w:val="28"/>
        </w:rPr>
      </w:pPr>
      <w:r w:rsidRPr="00DE19E8">
        <w:rPr>
          <w:rFonts w:ascii="Times New Roman" w:hAnsi="Times New Roman" w:cs="Times New Roman"/>
          <w:szCs w:val="28"/>
        </w:rPr>
        <w:t xml:space="preserve">The stimuli that trigger drug release in these systems can be broadly </w:t>
      </w:r>
      <w:proofErr w:type="spellStart"/>
      <w:r w:rsidRPr="00DE19E8">
        <w:rPr>
          <w:rFonts w:ascii="Times New Roman" w:hAnsi="Times New Roman" w:cs="Times New Roman"/>
          <w:szCs w:val="28"/>
        </w:rPr>
        <w:t>categori</w:t>
      </w:r>
      <w:r w:rsidR="00F71C4E">
        <w:rPr>
          <w:rFonts w:ascii="Times New Roman" w:hAnsi="Times New Roman" w:cs="Times New Roman"/>
          <w:szCs w:val="28"/>
        </w:rPr>
        <w:t>s</w:t>
      </w:r>
      <w:r w:rsidRPr="00DE19E8">
        <w:rPr>
          <w:rFonts w:ascii="Times New Roman" w:hAnsi="Times New Roman" w:cs="Times New Roman"/>
          <w:szCs w:val="28"/>
        </w:rPr>
        <w:t>ed</w:t>
      </w:r>
      <w:proofErr w:type="spellEnd"/>
      <w:r w:rsidRPr="00DE19E8">
        <w:rPr>
          <w:rFonts w:ascii="Times New Roman" w:hAnsi="Times New Roman" w:cs="Times New Roman"/>
          <w:szCs w:val="28"/>
        </w:rPr>
        <w:t xml:space="preserve"> into internal and external types. Internal stimuli include physiological conditions such as pH variations, redox potential, enzyme presence, temperature changes, and hypoxia, which are often characteristic of diseased tissues. External stimuli, on the other hand, involve externally applied triggers such as light, magnetic fields, ultrasound, or electric fields, allowing precise control over drug release timing and location.</w:t>
      </w:r>
    </w:p>
    <w:p w14:paraId="60565B66" w14:textId="1959B1DE" w:rsidR="00635FF8" w:rsidRPr="00635FF8" w:rsidRDefault="00635FF8" w:rsidP="00635FF8">
      <w:pPr>
        <w:jc w:val="both"/>
        <w:rPr>
          <w:rFonts w:ascii="Times New Roman" w:hAnsi="Times New Roman" w:cs="Times New Roman"/>
          <w:szCs w:val="28"/>
        </w:rPr>
      </w:pPr>
      <w:r w:rsidRPr="00635FF8">
        <w:rPr>
          <w:rFonts w:ascii="Times New Roman" w:hAnsi="Times New Roman" w:cs="Times New Roman"/>
          <w:noProof/>
          <w:szCs w:val="28"/>
          <w:lang w:bidi="ar-SA"/>
        </w:rPr>
        <w:lastRenderedPageBreak/>
        <w:drawing>
          <wp:inline distT="0" distB="0" distL="0" distR="0" wp14:anchorId="04EF0318" wp14:editId="0EDB8160">
            <wp:extent cx="6179820" cy="4099560"/>
            <wp:effectExtent l="0" t="0" r="0" b="0"/>
            <wp:docPr id="9645595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9820" cy="4099560"/>
                    </a:xfrm>
                    <a:prstGeom prst="rect">
                      <a:avLst/>
                    </a:prstGeom>
                    <a:noFill/>
                    <a:ln>
                      <a:noFill/>
                    </a:ln>
                  </pic:spPr>
                </pic:pic>
              </a:graphicData>
            </a:graphic>
          </wp:inline>
        </w:drawing>
      </w:r>
    </w:p>
    <w:p w14:paraId="610D5BBD" w14:textId="384AA124" w:rsidR="00635FF8" w:rsidRPr="00DE19E8" w:rsidRDefault="00267071" w:rsidP="00267071">
      <w:pPr>
        <w:jc w:val="center"/>
        <w:rPr>
          <w:rFonts w:ascii="Times New Roman" w:hAnsi="Times New Roman" w:cs="Times New Roman"/>
          <w:szCs w:val="28"/>
        </w:rPr>
      </w:pPr>
      <w:r w:rsidRPr="00267071">
        <w:rPr>
          <w:rFonts w:ascii="Times New Roman" w:hAnsi="Times New Roman" w:cs="Times New Roman"/>
          <w:szCs w:val="28"/>
        </w:rPr>
        <w:t>Figure</w:t>
      </w:r>
      <w:r>
        <w:rPr>
          <w:rFonts w:ascii="Times New Roman" w:hAnsi="Times New Roman" w:cs="Times New Roman"/>
          <w:szCs w:val="28"/>
        </w:rPr>
        <w:t xml:space="preserve"> No </w:t>
      </w:r>
      <w:proofErr w:type="gramStart"/>
      <w:r>
        <w:rPr>
          <w:rFonts w:ascii="Times New Roman" w:hAnsi="Times New Roman" w:cs="Times New Roman"/>
          <w:szCs w:val="28"/>
        </w:rPr>
        <w:t xml:space="preserve">2 </w:t>
      </w:r>
      <w:r w:rsidRPr="00267071">
        <w:rPr>
          <w:rFonts w:ascii="Times New Roman" w:hAnsi="Times New Roman" w:cs="Times New Roman"/>
          <w:szCs w:val="28"/>
        </w:rPr>
        <w:t>:</w:t>
      </w:r>
      <w:proofErr w:type="gramEnd"/>
      <w:r w:rsidRPr="00267071">
        <w:rPr>
          <w:rFonts w:ascii="Times New Roman" w:hAnsi="Times New Roman" w:cs="Times New Roman"/>
          <w:szCs w:val="28"/>
        </w:rPr>
        <w:t xml:space="preserve"> illustrating stimuli-responsive and multifunctional delivery systems, showcasing how these advanced systems can release therapeutic agents in response to specific environmental triggers such as pH, temperature, or enzymes. The figure </w:t>
      </w:r>
      <w:proofErr w:type="spellStart"/>
      <w:r w:rsidRPr="00267071">
        <w:rPr>
          <w:rFonts w:ascii="Times New Roman" w:hAnsi="Times New Roman" w:cs="Times New Roman"/>
          <w:szCs w:val="28"/>
        </w:rPr>
        <w:t>emphasi</w:t>
      </w:r>
      <w:r w:rsidR="00F71C4E">
        <w:rPr>
          <w:rFonts w:ascii="Times New Roman" w:hAnsi="Times New Roman" w:cs="Times New Roman"/>
          <w:szCs w:val="28"/>
        </w:rPr>
        <w:t>s</w:t>
      </w:r>
      <w:r w:rsidRPr="00267071">
        <w:rPr>
          <w:rFonts w:ascii="Times New Roman" w:hAnsi="Times New Roman" w:cs="Times New Roman"/>
          <w:szCs w:val="28"/>
        </w:rPr>
        <w:t>es</w:t>
      </w:r>
      <w:proofErr w:type="spellEnd"/>
      <w:r w:rsidRPr="00267071">
        <w:rPr>
          <w:rFonts w:ascii="Times New Roman" w:hAnsi="Times New Roman" w:cs="Times New Roman"/>
          <w:szCs w:val="28"/>
        </w:rPr>
        <w:t xml:space="preserve"> the versatility and precision of these systems in enhancing targeted drug delivery and improving treatment efficacy.</w:t>
      </w:r>
    </w:p>
    <w:p w14:paraId="33FE76BE" w14:textId="2A6342C0" w:rsidR="00DE19E8" w:rsidRPr="00DE19E8" w:rsidRDefault="00DE19E8" w:rsidP="00DE19E8">
      <w:pPr>
        <w:jc w:val="both"/>
        <w:rPr>
          <w:rFonts w:ascii="Times New Roman" w:hAnsi="Times New Roman" w:cs="Times New Roman"/>
          <w:szCs w:val="28"/>
        </w:rPr>
      </w:pPr>
      <w:r w:rsidRPr="00DE19E8">
        <w:rPr>
          <w:rFonts w:ascii="Times New Roman" w:hAnsi="Times New Roman" w:cs="Times New Roman"/>
          <w:szCs w:val="28"/>
        </w:rPr>
        <w:t xml:space="preserve">Among internal stimuli, pH-responsive systems are particularly well-studied due to the acidic microenvironment of </w:t>
      </w:r>
      <w:proofErr w:type="spellStart"/>
      <w:r w:rsidRPr="00DE19E8">
        <w:rPr>
          <w:rFonts w:ascii="Times New Roman" w:hAnsi="Times New Roman" w:cs="Times New Roman"/>
          <w:szCs w:val="28"/>
        </w:rPr>
        <w:t>tumo</w:t>
      </w:r>
      <w:r w:rsidR="00F71C4E">
        <w:rPr>
          <w:rFonts w:ascii="Times New Roman" w:hAnsi="Times New Roman" w:cs="Times New Roman"/>
          <w:szCs w:val="28"/>
        </w:rPr>
        <w:t>u</w:t>
      </w:r>
      <w:r w:rsidRPr="00DE19E8">
        <w:rPr>
          <w:rFonts w:ascii="Times New Roman" w:hAnsi="Times New Roman" w:cs="Times New Roman"/>
          <w:szCs w:val="28"/>
        </w:rPr>
        <w:t>rs</w:t>
      </w:r>
      <w:proofErr w:type="spellEnd"/>
      <w:r w:rsidRPr="00DE19E8">
        <w:rPr>
          <w:rFonts w:ascii="Times New Roman" w:hAnsi="Times New Roman" w:cs="Times New Roman"/>
          <w:szCs w:val="28"/>
        </w:rPr>
        <w:t xml:space="preserve"> and intracellular compartments like endosomes and lysosomes. These systems </w:t>
      </w:r>
      <w:proofErr w:type="spellStart"/>
      <w:r w:rsidRPr="00DE19E8">
        <w:rPr>
          <w:rFonts w:ascii="Times New Roman" w:hAnsi="Times New Roman" w:cs="Times New Roman"/>
          <w:szCs w:val="28"/>
        </w:rPr>
        <w:t>utili</w:t>
      </w:r>
      <w:r w:rsidR="00F71C4E">
        <w:rPr>
          <w:rFonts w:ascii="Times New Roman" w:hAnsi="Times New Roman" w:cs="Times New Roman"/>
          <w:szCs w:val="28"/>
        </w:rPr>
        <w:t>s</w:t>
      </w:r>
      <w:r w:rsidRPr="00DE19E8">
        <w:rPr>
          <w:rFonts w:ascii="Times New Roman" w:hAnsi="Times New Roman" w:cs="Times New Roman"/>
          <w:szCs w:val="28"/>
        </w:rPr>
        <w:t>e</w:t>
      </w:r>
      <w:proofErr w:type="spellEnd"/>
      <w:r w:rsidRPr="00DE19E8">
        <w:rPr>
          <w:rFonts w:ascii="Times New Roman" w:hAnsi="Times New Roman" w:cs="Times New Roman"/>
          <w:szCs w:val="28"/>
        </w:rPr>
        <w:t xml:space="preserve"> acid-labile linkers, pH-sensitive polymers, or membrane-disruptive materials that </w:t>
      </w:r>
      <w:proofErr w:type="spellStart"/>
      <w:r w:rsidRPr="00DE19E8">
        <w:rPr>
          <w:rFonts w:ascii="Times New Roman" w:hAnsi="Times New Roman" w:cs="Times New Roman"/>
          <w:szCs w:val="28"/>
        </w:rPr>
        <w:t>destabili</w:t>
      </w:r>
      <w:r w:rsidR="00F71C4E">
        <w:rPr>
          <w:rFonts w:ascii="Times New Roman" w:hAnsi="Times New Roman" w:cs="Times New Roman"/>
          <w:szCs w:val="28"/>
        </w:rPr>
        <w:t>s</w:t>
      </w:r>
      <w:r w:rsidRPr="00DE19E8">
        <w:rPr>
          <w:rFonts w:ascii="Times New Roman" w:hAnsi="Times New Roman" w:cs="Times New Roman"/>
          <w:szCs w:val="28"/>
        </w:rPr>
        <w:t>e</w:t>
      </w:r>
      <w:proofErr w:type="spellEnd"/>
      <w:r w:rsidRPr="00DE19E8">
        <w:rPr>
          <w:rFonts w:ascii="Times New Roman" w:hAnsi="Times New Roman" w:cs="Times New Roman"/>
          <w:szCs w:val="28"/>
        </w:rPr>
        <w:t xml:space="preserve"> under acidic conditions, thereby releasing the drug selectively at the target site. This selective release </w:t>
      </w:r>
      <w:proofErr w:type="spellStart"/>
      <w:r w:rsidRPr="00DE19E8">
        <w:rPr>
          <w:rFonts w:ascii="Times New Roman" w:hAnsi="Times New Roman" w:cs="Times New Roman"/>
          <w:szCs w:val="28"/>
        </w:rPr>
        <w:t>minimi</w:t>
      </w:r>
      <w:r w:rsidR="00F71C4E">
        <w:rPr>
          <w:rFonts w:ascii="Times New Roman" w:hAnsi="Times New Roman" w:cs="Times New Roman"/>
          <w:szCs w:val="28"/>
        </w:rPr>
        <w:t>s</w:t>
      </w:r>
      <w:r w:rsidRPr="00DE19E8">
        <w:rPr>
          <w:rFonts w:ascii="Times New Roman" w:hAnsi="Times New Roman" w:cs="Times New Roman"/>
          <w:szCs w:val="28"/>
        </w:rPr>
        <w:t>es</w:t>
      </w:r>
      <w:proofErr w:type="spellEnd"/>
      <w:r w:rsidRPr="00DE19E8">
        <w:rPr>
          <w:rFonts w:ascii="Times New Roman" w:hAnsi="Times New Roman" w:cs="Times New Roman"/>
          <w:szCs w:val="28"/>
        </w:rPr>
        <w:t xml:space="preserve"> damage to healthy tissues and enhances therapeutic efficacy [</w:t>
      </w:r>
      <w:r w:rsidR="000713E6">
        <w:rPr>
          <w:rFonts w:ascii="Times New Roman" w:hAnsi="Times New Roman" w:cs="Times New Roman"/>
          <w:szCs w:val="28"/>
        </w:rPr>
        <w:t>2</w:t>
      </w:r>
      <w:r w:rsidRPr="00DE19E8">
        <w:rPr>
          <w:rFonts w:ascii="Times New Roman" w:hAnsi="Times New Roman" w:cs="Times New Roman"/>
          <w:szCs w:val="28"/>
        </w:rPr>
        <w:t>3,</w:t>
      </w:r>
      <w:r w:rsidR="000713E6">
        <w:rPr>
          <w:rFonts w:ascii="Times New Roman" w:hAnsi="Times New Roman" w:cs="Times New Roman"/>
          <w:szCs w:val="28"/>
        </w:rPr>
        <w:t>2</w:t>
      </w:r>
      <w:r w:rsidRPr="00DE19E8">
        <w:rPr>
          <w:rFonts w:ascii="Times New Roman" w:hAnsi="Times New Roman" w:cs="Times New Roman"/>
          <w:szCs w:val="28"/>
        </w:rPr>
        <w:t>4]. Similarly, redox-responsive systems exploit the elevated levels of reducing agents such as glutathione found inside cells, especially cancer cells. By incorporating disulfide bonds or other redox-sensitive linkages, these carriers release their payload intracellularly, improving cytoplasmic delivery of drugs and nucleic acids [</w:t>
      </w:r>
      <w:r w:rsidR="000713E6">
        <w:rPr>
          <w:rFonts w:ascii="Times New Roman" w:hAnsi="Times New Roman" w:cs="Times New Roman"/>
          <w:szCs w:val="28"/>
        </w:rPr>
        <w:t>2</w:t>
      </w:r>
      <w:r w:rsidRPr="00DE19E8">
        <w:rPr>
          <w:rFonts w:ascii="Times New Roman" w:hAnsi="Times New Roman" w:cs="Times New Roman"/>
          <w:szCs w:val="28"/>
        </w:rPr>
        <w:t>5].</w:t>
      </w:r>
    </w:p>
    <w:p w14:paraId="441E350F" w14:textId="08EE47A3" w:rsidR="00DE19E8" w:rsidRPr="00DE19E8" w:rsidRDefault="00DE19E8" w:rsidP="00DE19E8">
      <w:pPr>
        <w:jc w:val="both"/>
        <w:rPr>
          <w:rFonts w:ascii="Times New Roman" w:hAnsi="Times New Roman" w:cs="Times New Roman"/>
          <w:szCs w:val="28"/>
        </w:rPr>
      </w:pPr>
      <w:r w:rsidRPr="00DE19E8">
        <w:rPr>
          <w:rFonts w:ascii="Times New Roman" w:hAnsi="Times New Roman" w:cs="Times New Roman"/>
          <w:szCs w:val="28"/>
        </w:rPr>
        <w:t>Enzyme-responsive systems leverage the overexpression of specific enzymes, such as matrix metalloproteinases (MMPs), in pathological tissues. These systems are designed with enzyme-cleavable linkers or coatings that degrade selectively in the presence of target enzymes, enabling site-specific drug release. This approach enhances drug accumulation at diseased sites while sparing normal tissues [</w:t>
      </w:r>
      <w:r w:rsidR="000713E6">
        <w:rPr>
          <w:rFonts w:ascii="Times New Roman" w:hAnsi="Times New Roman" w:cs="Times New Roman"/>
          <w:szCs w:val="28"/>
        </w:rPr>
        <w:t>2</w:t>
      </w:r>
      <w:r w:rsidRPr="00DE19E8">
        <w:rPr>
          <w:rFonts w:ascii="Times New Roman" w:hAnsi="Times New Roman" w:cs="Times New Roman"/>
          <w:szCs w:val="28"/>
        </w:rPr>
        <w:t xml:space="preserve">6]. Temperature-responsive systems </w:t>
      </w:r>
      <w:proofErr w:type="spellStart"/>
      <w:r w:rsidRPr="00DE19E8">
        <w:rPr>
          <w:rFonts w:ascii="Times New Roman" w:hAnsi="Times New Roman" w:cs="Times New Roman"/>
          <w:szCs w:val="28"/>
        </w:rPr>
        <w:t>utili</w:t>
      </w:r>
      <w:r w:rsidR="00F71C4E">
        <w:rPr>
          <w:rFonts w:ascii="Times New Roman" w:hAnsi="Times New Roman" w:cs="Times New Roman"/>
          <w:szCs w:val="28"/>
        </w:rPr>
        <w:t>s</w:t>
      </w:r>
      <w:r w:rsidRPr="00DE19E8">
        <w:rPr>
          <w:rFonts w:ascii="Times New Roman" w:hAnsi="Times New Roman" w:cs="Times New Roman"/>
          <w:szCs w:val="28"/>
        </w:rPr>
        <w:t>e</w:t>
      </w:r>
      <w:proofErr w:type="spellEnd"/>
      <w:r w:rsidRPr="00DE19E8">
        <w:rPr>
          <w:rFonts w:ascii="Times New Roman" w:hAnsi="Times New Roman" w:cs="Times New Roman"/>
          <w:szCs w:val="28"/>
        </w:rPr>
        <w:t xml:space="preserve"> thermo-sensitive polymers </w:t>
      </w:r>
      <w:r w:rsidRPr="00DE19E8">
        <w:rPr>
          <w:rFonts w:ascii="Times New Roman" w:hAnsi="Times New Roman" w:cs="Times New Roman"/>
          <w:szCs w:val="28"/>
        </w:rPr>
        <w:lastRenderedPageBreak/>
        <w:t xml:space="preserve">that undergo phase transitions at mild hyperthermic temperatures (typically 40–42°C). This property is exploited in </w:t>
      </w:r>
      <w:proofErr w:type="spellStart"/>
      <w:r w:rsidRPr="00DE19E8">
        <w:rPr>
          <w:rFonts w:ascii="Times New Roman" w:hAnsi="Times New Roman" w:cs="Times New Roman"/>
          <w:szCs w:val="28"/>
        </w:rPr>
        <w:t>locali</w:t>
      </w:r>
      <w:r w:rsidR="00F71C4E">
        <w:rPr>
          <w:rFonts w:ascii="Times New Roman" w:hAnsi="Times New Roman" w:cs="Times New Roman"/>
          <w:szCs w:val="28"/>
        </w:rPr>
        <w:t>s</w:t>
      </w:r>
      <w:r w:rsidRPr="00DE19E8">
        <w:rPr>
          <w:rFonts w:ascii="Times New Roman" w:hAnsi="Times New Roman" w:cs="Times New Roman"/>
          <w:szCs w:val="28"/>
        </w:rPr>
        <w:t>ed</w:t>
      </w:r>
      <w:proofErr w:type="spellEnd"/>
      <w:r w:rsidRPr="00DE19E8">
        <w:rPr>
          <w:rFonts w:ascii="Times New Roman" w:hAnsi="Times New Roman" w:cs="Times New Roman"/>
          <w:szCs w:val="28"/>
        </w:rPr>
        <w:t xml:space="preserve"> therapies, such as cancer treatment and transdermal drug delivery, where controlled drug release is triggered by externally applied heat [</w:t>
      </w:r>
      <w:r w:rsidR="000713E6">
        <w:rPr>
          <w:rFonts w:ascii="Times New Roman" w:hAnsi="Times New Roman" w:cs="Times New Roman"/>
          <w:szCs w:val="28"/>
        </w:rPr>
        <w:t>2</w:t>
      </w:r>
      <w:r w:rsidRPr="00DE19E8">
        <w:rPr>
          <w:rFonts w:ascii="Times New Roman" w:hAnsi="Times New Roman" w:cs="Times New Roman"/>
          <w:szCs w:val="28"/>
        </w:rPr>
        <w:t>7].</w:t>
      </w:r>
    </w:p>
    <w:p w14:paraId="55E658B7" w14:textId="1EA4AB9C" w:rsidR="00DE19E8" w:rsidRPr="00DE19E8" w:rsidRDefault="00DE19E8" w:rsidP="00DE19E8">
      <w:pPr>
        <w:jc w:val="both"/>
        <w:rPr>
          <w:rFonts w:ascii="Times New Roman" w:hAnsi="Times New Roman" w:cs="Times New Roman"/>
          <w:szCs w:val="28"/>
        </w:rPr>
      </w:pPr>
      <w:r w:rsidRPr="00DE19E8">
        <w:rPr>
          <w:rFonts w:ascii="Times New Roman" w:hAnsi="Times New Roman" w:cs="Times New Roman"/>
          <w:szCs w:val="28"/>
        </w:rPr>
        <w:t>External stimuli-responsive systems offer additional control and precision. Light-responsive carriers use photo-cleavable bonds or photosensitizers to release drugs upon irradiation with ultraviolet, visible, or near-infrared light. This allows for non-invasive, spatially and temporally controlled drug release [</w:t>
      </w:r>
      <w:r w:rsidR="000713E6">
        <w:rPr>
          <w:rFonts w:ascii="Times New Roman" w:hAnsi="Times New Roman" w:cs="Times New Roman"/>
          <w:szCs w:val="28"/>
        </w:rPr>
        <w:t>2</w:t>
      </w:r>
      <w:r w:rsidRPr="00DE19E8">
        <w:rPr>
          <w:rFonts w:ascii="Times New Roman" w:hAnsi="Times New Roman" w:cs="Times New Roman"/>
          <w:szCs w:val="28"/>
        </w:rPr>
        <w:t>8]. Magnetic field-responsive systems incorporate magnetic nanoparticles that generate heat or mechanical forces when exposed to alternating magnetic fields, triggering drug release or enhancing tissue penetration [</w:t>
      </w:r>
      <w:r w:rsidR="000713E6">
        <w:rPr>
          <w:rFonts w:ascii="Times New Roman" w:hAnsi="Times New Roman" w:cs="Times New Roman"/>
          <w:szCs w:val="28"/>
        </w:rPr>
        <w:t>2</w:t>
      </w:r>
      <w:r w:rsidRPr="00DE19E8">
        <w:rPr>
          <w:rFonts w:ascii="Times New Roman" w:hAnsi="Times New Roman" w:cs="Times New Roman"/>
          <w:szCs w:val="28"/>
        </w:rPr>
        <w:t xml:space="preserve">9]. Ultrasound-responsive systems </w:t>
      </w:r>
      <w:proofErr w:type="spellStart"/>
      <w:r w:rsidRPr="00DE19E8">
        <w:rPr>
          <w:rFonts w:ascii="Times New Roman" w:hAnsi="Times New Roman" w:cs="Times New Roman"/>
          <w:szCs w:val="28"/>
        </w:rPr>
        <w:t>utili</w:t>
      </w:r>
      <w:r w:rsidR="00F71C4E">
        <w:rPr>
          <w:rFonts w:ascii="Times New Roman" w:hAnsi="Times New Roman" w:cs="Times New Roman"/>
          <w:szCs w:val="28"/>
        </w:rPr>
        <w:t>s</w:t>
      </w:r>
      <w:r w:rsidRPr="00DE19E8">
        <w:rPr>
          <w:rFonts w:ascii="Times New Roman" w:hAnsi="Times New Roman" w:cs="Times New Roman"/>
          <w:szCs w:val="28"/>
        </w:rPr>
        <w:t>e</w:t>
      </w:r>
      <w:proofErr w:type="spellEnd"/>
      <w:r w:rsidRPr="00DE19E8">
        <w:rPr>
          <w:rFonts w:ascii="Times New Roman" w:hAnsi="Times New Roman" w:cs="Times New Roman"/>
          <w:szCs w:val="28"/>
        </w:rPr>
        <w:t xml:space="preserve"> acoustic cavitation to disrupt nanocarriers and increase tissue permeability, facilitating drug delivery [</w:t>
      </w:r>
      <w:r w:rsidR="000713E6">
        <w:rPr>
          <w:rFonts w:ascii="Times New Roman" w:hAnsi="Times New Roman" w:cs="Times New Roman"/>
          <w:szCs w:val="28"/>
        </w:rPr>
        <w:t>3</w:t>
      </w:r>
      <w:r w:rsidRPr="00DE19E8">
        <w:rPr>
          <w:rFonts w:ascii="Times New Roman" w:hAnsi="Times New Roman" w:cs="Times New Roman"/>
          <w:szCs w:val="28"/>
        </w:rPr>
        <w:t>0].</w:t>
      </w:r>
    </w:p>
    <w:tbl>
      <w:tblPr>
        <w:tblStyle w:val="TableGrid"/>
        <w:tblW w:w="5359" w:type="pct"/>
        <w:tblLayout w:type="fixed"/>
        <w:tblLook w:val="04A0" w:firstRow="1" w:lastRow="0" w:firstColumn="1" w:lastColumn="0" w:noHBand="0" w:noVBand="1"/>
      </w:tblPr>
      <w:tblGrid>
        <w:gridCol w:w="1131"/>
        <w:gridCol w:w="2014"/>
        <w:gridCol w:w="2828"/>
        <w:gridCol w:w="1972"/>
        <w:gridCol w:w="2076"/>
      </w:tblGrid>
      <w:tr w:rsidR="007D6C76" w:rsidRPr="007D6C76" w14:paraId="4F69D343" w14:textId="77777777" w:rsidTr="007D6C76">
        <w:tc>
          <w:tcPr>
            <w:tcW w:w="564" w:type="pct"/>
            <w:noWrap/>
            <w:hideMark/>
          </w:tcPr>
          <w:p w14:paraId="43709F55" w14:textId="77777777" w:rsidR="007D6C76" w:rsidRPr="007D6C76" w:rsidRDefault="007D6C76" w:rsidP="007D6C76">
            <w:pPr>
              <w:spacing w:after="160" w:line="278" w:lineRule="auto"/>
              <w:jc w:val="both"/>
              <w:rPr>
                <w:rFonts w:ascii="Times New Roman" w:hAnsi="Times New Roman" w:cs="Times New Roman"/>
                <w:b/>
                <w:bCs/>
                <w:szCs w:val="28"/>
              </w:rPr>
            </w:pPr>
            <w:r w:rsidRPr="007D6C76">
              <w:rPr>
                <w:rFonts w:ascii="Times New Roman" w:hAnsi="Times New Roman" w:cs="Times New Roman"/>
                <w:b/>
                <w:bCs/>
                <w:szCs w:val="28"/>
              </w:rPr>
              <w:t>Aspect</w:t>
            </w:r>
          </w:p>
        </w:tc>
        <w:tc>
          <w:tcPr>
            <w:tcW w:w="1005" w:type="pct"/>
            <w:noWrap/>
            <w:hideMark/>
          </w:tcPr>
          <w:p w14:paraId="529D5A04" w14:textId="77777777" w:rsidR="007D6C76" w:rsidRPr="007D6C76" w:rsidRDefault="007D6C76" w:rsidP="007D6C76">
            <w:pPr>
              <w:spacing w:after="160" w:line="278" w:lineRule="auto"/>
              <w:jc w:val="both"/>
              <w:rPr>
                <w:rFonts w:ascii="Times New Roman" w:hAnsi="Times New Roman" w:cs="Times New Roman"/>
                <w:b/>
                <w:bCs/>
                <w:szCs w:val="28"/>
              </w:rPr>
            </w:pPr>
            <w:r w:rsidRPr="007D6C76">
              <w:rPr>
                <w:rFonts w:ascii="Times New Roman" w:hAnsi="Times New Roman" w:cs="Times New Roman"/>
                <w:b/>
                <w:bCs/>
                <w:szCs w:val="28"/>
              </w:rPr>
              <w:t>Description</w:t>
            </w:r>
          </w:p>
        </w:tc>
        <w:tc>
          <w:tcPr>
            <w:tcW w:w="1411" w:type="pct"/>
            <w:noWrap/>
            <w:hideMark/>
          </w:tcPr>
          <w:p w14:paraId="799338FF" w14:textId="77777777" w:rsidR="007D6C76" w:rsidRPr="007D6C76" w:rsidRDefault="007D6C76" w:rsidP="007D6C76">
            <w:pPr>
              <w:spacing w:after="160" w:line="278" w:lineRule="auto"/>
              <w:jc w:val="both"/>
              <w:rPr>
                <w:rFonts w:ascii="Times New Roman" w:hAnsi="Times New Roman" w:cs="Times New Roman"/>
                <w:b/>
                <w:bCs/>
                <w:szCs w:val="28"/>
              </w:rPr>
            </w:pPr>
            <w:r w:rsidRPr="007D6C76">
              <w:rPr>
                <w:rFonts w:ascii="Times New Roman" w:hAnsi="Times New Roman" w:cs="Times New Roman"/>
                <w:b/>
                <w:bCs/>
                <w:szCs w:val="28"/>
              </w:rPr>
              <w:t>Examples/Mechanisms</w:t>
            </w:r>
          </w:p>
        </w:tc>
        <w:tc>
          <w:tcPr>
            <w:tcW w:w="984" w:type="pct"/>
            <w:noWrap/>
            <w:hideMark/>
          </w:tcPr>
          <w:p w14:paraId="1FFE7DE8" w14:textId="77777777" w:rsidR="007D6C76" w:rsidRPr="007D6C76" w:rsidRDefault="007D6C76" w:rsidP="007D6C76">
            <w:pPr>
              <w:spacing w:after="160" w:line="278" w:lineRule="auto"/>
              <w:jc w:val="both"/>
              <w:rPr>
                <w:rFonts w:ascii="Times New Roman" w:hAnsi="Times New Roman" w:cs="Times New Roman"/>
                <w:b/>
                <w:bCs/>
                <w:szCs w:val="28"/>
              </w:rPr>
            </w:pPr>
            <w:r w:rsidRPr="007D6C76">
              <w:rPr>
                <w:rFonts w:ascii="Times New Roman" w:hAnsi="Times New Roman" w:cs="Times New Roman"/>
                <w:b/>
                <w:bCs/>
                <w:szCs w:val="28"/>
              </w:rPr>
              <w:t>Advantages</w:t>
            </w:r>
          </w:p>
        </w:tc>
        <w:tc>
          <w:tcPr>
            <w:tcW w:w="1036" w:type="pct"/>
            <w:noWrap/>
            <w:hideMark/>
          </w:tcPr>
          <w:p w14:paraId="0130FD16" w14:textId="77777777" w:rsidR="007D6C76" w:rsidRPr="007D6C76" w:rsidRDefault="007D6C76" w:rsidP="007D6C76">
            <w:pPr>
              <w:spacing w:after="160" w:line="278" w:lineRule="auto"/>
              <w:jc w:val="both"/>
              <w:rPr>
                <w:rFonts w:ascii="Times New Roman" w:hAnsi="Times New Roman" w:cs="Times New Roman"/>
                <w:b/>
                <w:bCs/>
                <w:szCs w:val="28"/>
              </w:rPr>
            </w:pPr>
            <w:r w:rsidRPr="007D6C76">
              <w:rPr>
                <w:rFonts w:ascii="Times New Roman" w:hAnsi="Times New Roman" w:cs="Times New Roman"/>
                <w:b/>
                <w:bCs/>
                <w:szCs w:val="28"/>
              </w:rPr>
              <w:t>Challenges</w:t>
            </w:r>
          </w:p>
        </w:tc>
      </w:tr>
      <w:tr w:rsidR="007D6C76" w:rsidRPr="007D6C76" w14:paraId="469487B6" w14:textId="77777777" w:rsidTr="007D6C76">
        <w:tc>
          <w:tcPr>
            <w:tcW w:w="564" w:type="pct"/>
            <w:hideMark/>
          </w:tcPr>
          <w:p w14:paraId="29DA99DE"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Stimuli Types</w:t>
            </w:r>
          </w:p>
        </w:tc>
        <w:tc>
          <w:tcPr>
            <w:tcW w:w="1005" w:type="pct"/>
            <w:hideMark/>
          </w:tcPr>
          <w:p w14:paraId="424DA780"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Systems respond to internal or external triggers to release drugs</w:t>
            </w:r>
          </w:p>
        </w:tc>
        <w:tc>
          <w:tcPr>
            <w:tcW w:w="1411" w:type="pct"/>
            <w:hideMark/>
          </w:tcPr>
          <w:p w14:paraId="381FA8C6"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Internal: pH, redox potential, enzymes, temperature, hypoxia&lt;</w:t>
            </w:r>
            <w:proofErr w:type="spellStart"/>
            <w:r w:rsidRPr="007D6C76">
              <w:rPr>
                <w:rFonts w:ascii="Times New Roman" w:hAnsi="Times New Roman" w:cs="Times New Roman"/>
                <w:szCs w:val="28"/>
              </w:rPr>
              <w:t>br</w:t>
            </w:r>
            <w:proofErr w:type="spellEnd"/>
            <w:r w:rsidRPr="007D6C76">
              <w:rPr>
                <w:rFonts w:ascii="Times New Roman" w:hAnsi="Times New Roman" w:cs="Times New Roman"/>
                <w:szCs w:val="28"/>
              </w:rPr>
              <w:t>&gt;External: light, magnetic field, ultrasound, electric field</w:t>
            </w:r>
          </w:p>
        </w:tc>
        <w:tc>
          <w:tcPr>
            <w:tcW w:w="984" w:type="pct"/>
            <w:hideMark/>
          </w:tcPr>
          <w:p w14:paraId="319A9483"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Precise spatiotemporal control of drug release</w:t>
            </w:r>
          </w:p>
        </w:tc>
        <w:tc>
          <w:tcPr>
            <w:tcW w:w="1036" w:type="pct"/>
            <w:hideMark/>
          </w:tcPr>
          <w:p w14:paraId="1240449A"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Complexity in design and manufacturing</w:t>
            </w:r>
          </w:p>
        </w:tc>
      </w:tr>
      <w:tr w:rsidR="007D6C76" w:rsidRPr="007D6C76" w14:paraId="3D01EF46" w14:textId="77777777" w:rsidTr="007D6C76">
        <w:tc>
          <w:tcPr>
            <w:tcW w:w="564" w:type="pct"/>
            <w:hideMark/>
          </w:tcPr>
          <w:p w14:paraId="4B271AB2"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pH-Responsive Systems</w:t>
            </w:r>
          </w:p>
        </w:tc>
        <w:tc>
          <w:tcPr>
            <w:tcW w:w="1005" w:type="pct"/>
            <w:hideMark/>
          </w:tcPr>
          <w:p w14:paraId="363806BE"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Exploit acidic tumor or intracellular environments to trigger drug release</w:t>
            </w:r>
          </w:p>
        </w:tc>
        <w:tc>
          <w:tcPr>
            <w:tcW w:w="1411" w:type="pct"/>
            <w:hideMark/>
          </w:tcPr>
          <w:p w14:paraId="1E6765F7"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Acid-labile linkers, pH-sensitive polymers, membrane-disruptive materials</w:t>
            </w:r>
          </w:p>
        </w:tc>
        <w:tc>
          <w:tcPr>
            <w:tcW w:w="984" w:type="pct"/>
            <w:hideMark/>
          </w:tcPr>
          <w:p w14:paraId="7FBF7E62"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Targeted release in acidic microenvironments, reduced off-target effects</w:t>
            </w:r>
          </w:p>
        </w:tc>
        <w:tc>
          <w:tcPr>
            <w:tcW w:w="1036" w:type="pct"/>
            <w:hideMark/>
          </w:tcPr>
          <w:p w14:paraId="706064A5"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Stability of pH-sensitive materials, variability in pH across tissues</w:t>
            </w:r>
          </w:p>
        </w:tc>
      </w:tr>
      <w:tr w:rsidR="007D6C76" w:rsidRPr="007D6C76" w14:paraId="54BE7D21" w14:textId="77777777" w:rsidTr="007D6C76">
        <w:tc>
          <w:tcPr>
            <w:tcW w:w="564" w:type="pct"/>
            <w:hideMark/>
          </w:tcPr>
          <w:p w14:paraId="0E452879"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Redox-Responsive Systems</w:t>
            </w:r>
          </w:p>
        </w:tc>
        <w:tc>
          <w:tcPr>
            <w:tcW w:w="1005" w:type="pct"/>
            <w:hideMark/>
          </w:tcPr>
          <w:p w14:paraId="0E2E6DD8"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Utilize high intracellular glutathione levels to cleave redox-sensitive bonds</w:t>
            </w:r>
          </w:p>
        </w:tc>
        <w:tc>
          <w:tcPr>
            <w:tcW w:w="1411" w:type="pct"/>
            <w:hideMark/>
          </w:tcPr>
          <w:p w14:paraId="2638C0AD"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Disulfide bonds cleaved by glutathione</w:t>
            </w:r>
          </w:p>
        </w:tc>
        <w:tc>
          <w:tcPr>
            <w:tcW w:w="984" w:type="pct"/>
            <w:hideMark/>
          </w:tcPr>
          <w:p w14:paraId="6A447214"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Enhanced intracellular drug release, improved efficacy</w:t>
            </w:r>
          </w:p>
        </w:tc>
        <w:tc>
          <w:tcPr>
            <w:tcW w:w="1036" w:type="pct"/>
            <w:hideMark/>
          </w:tcPr>
          <w:p w14:paraId="5ED9632C"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Potential premature release, ensuring selective cleavage</w:t>
            </w:r>
          </w:p>
        </w:tc>
      </w:tr>
      <w:tr w:rsidR="007D6C76" w:rsidRPr="007D6C76" w14:paraId="0C2D1EB6" w14:textId="77777777" w:rsidTr="007D6C76">
        <w:tc>
          <w:tcPr>
            <w:tcW w:w="564" w:type="pct"/>
            <w:hideMark/>
          </w:tcPr>
          <w:p w14:paraId="2AD33547"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Enzyme-Responsive Systems</w:t>
            </w:r>
          </w:p>
        </w:tc>
        <w:tc>
          <w:tcPr>
            <w:tcW w:w="1005" w:type="pct"/>
            <w:hideMark/>
          </w:tcPr>
          <w:p w14:paraId="03AFB9EA"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Trigger drug release via enzymatic degradation in diseased tissues</w:t>
            </w:r>
          </w:p>
        </w:tc>
        <w:tc>
          <w:tcPr>
            <w:tcW w:w="1411" w:type="pct"/>
            <w:hideMark/>
          </w:tcPr>
          <w:p w14:paraId="077C06AD"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Enzyme-cleavable linkers or coatings (e.g., MMP-sensitive)</w:t>
            </w:r>
          </w:p>
        </w:tc>
        <w:tc>
          <w:tcPr>
            <w:tcW w:w="984" w:type="pct"/>
            <w:hideMark/>
          </w:tcPr>
          <w:p w14:paraId="3C18C4F5"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Site-specific release, reduced systemic toxicity</w:t>
            </w:r>
          </w:p>
        </w:tc>
        <w:tc>
          <w:tcPr>
            <w:tcW w:w="1036" w:type="pct"/>
            <w:hideMark/>
          </w:tcPr>
          <w:p w14:paraId="1D48C7FE"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Variability in enzyme expression, off-target enzyme activity</w:t>
            </w:r>
          </w:p>
        </w:tc>
      </w:tr>
      <w:tr w:rsidR="007D6C76" w:rsidRPr="007D6C76" w14:paraId="0A3959F9" w14:textId="77777777" w:rsidTr="007D6C76">
        <w:tc>
          <w:tcPr>
            <w:tcW w:w="564" w:type="pct"/>
            <w:hideMark/>
          </w:tcPr>
          <w:p w14:paraId="39FFF1E0"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lastRenderedPageBreak/>
              <w:t>Temperature-Responsive Systems</w:t>
            </w:r>
          </w:p>
        </w:tc>
        <w:tc>
          <w:tcPr>
            <w:tcW w:w="1005" w:type="pct"/>
            <w:hideMark/>
          </w:tcPr>
          <w:p w14:paraId="2AEEFC56"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Use thermo-sensitive polymers that change properties at mild hyperthermia</w:t>
            </w:r>
          </w:p>
        </w:tc>
        <w:tc>
          <w:tcPr>
            <w:tcW w:w="1411" w:type="pct"/>
            <w:hideMark/>
          </w:tcPr>
          <w:p w14:paraId="2D53408A"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Polymers with phase transition at 40–42°C</w:t>
            </w:r>
          </w:p>
        </w:tc>
        <w:tc>
          <w:tcPr>
            <w:tcW w:w="984" w:type="pct"/>
            <w:hideMark/>
          </w:tcPr>
          <w:p w14:paraId="6DDFCB0B"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Controlled release triggered by localized heating</w:t>
            </w:r>
          </w:p>
        </w:tc>
        <w:tc>
          <w:tcPr>
            <w:tcW w:w="1036" w:type="pct"/>
            <w:hideMark/>
          </w:tcPr>
          <w:p w14:paraId="3D7D47D4"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Precise temperature control needed, potential tissue damage</w:t>
            </w:r>
          </w:p>
        </w:tc>
      </w:tr>
      <w:tr w:rsidR="007D6C76" w:rsidRPr="007D6C76" w14:paraId="67082DE3" w14:textId="77777777" w:rsidTr="007D6C76">
        <w:tc>
          <w:tcPr>
            <w:tcW w:w="564" w:type="pct"/>
            <w:hideMark/>
          </w:tcPr>
          <w:p w14:paraId="553D63A6"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Light-Responsive Systems</w:t>
            </w:r>
          </w:p>
        </w:tc>
        <w:tc>
          <w:tcPr>
            <w:tcW w:w="1005" w:type="pct"/>
            <w:hideMark/>
          </w:tcPr>
          <w:p w14:paraId="2F24A801"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Drug release triggered by light irradiation</w:t>
            </w:r>
          </w:p>
        </w:tc>
        <w:tc>
          <w:tcPr>
            <w:tcW w:w="1411" w:type="pct"/>
            <w:hideMark/>
          </w:tcPr>
          <w:p w14:paraId="2C4DF9E4"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Photo-cleavable bonds, photosensitizers</w:t>
            </w:r>
          </w:p>
        </w:tc>
        <w:tc>
          <w:tcPr>
            <w:tcW w:w="984" w:type="pct"/>
            <w:hideMark/>
          </w:tcPr>
          <w:p w14:paraId="46787D43"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Non-invasive, precise spatial and temporal control</w:t>
            </w:r>
          </w:p>
        </w:tc>
        <w:tc>
          <w:tcPr>
            <w:tcW w:w="1036" w:type="pct"/>
            <w:hideMark/>
          </w:tcPr>
          <w:p w14:paraId="176A6097"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Limited tissue penetration of light, potential phototoxicity</w:t>
            </w:r>
          </w:p>
        </w:tc>
      </w:tr>
      <w:tr w:rsidR="007D6C76" w:rsidRPr="007D6C76" w14:paraId="55E27B31" w14:textId="77777777" w:rsidTr="007D6C76">
        <w:tc>
          <w:tcPr>
            <w:tcW w:w="564" w:type="pct"/>
            <w:hideMark/>
          </w:tcPr>
          <w:p w14:paraId="3FD53DAC"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Magnetic Field-Responsive Systems</w:t>
            </w:r>
          </w:p>
        </w:tc>
        <w:tc>
          <w:tcPr>
            <w:tcW w:w="1005" w:type="pct"/>
            <w:hideMark/>
          </w:tcPr>
          <w:p w14:paraId="72ABD203"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Use magnetic nanoparticles to generate heat or mechanical forces under alternating magnetic fields</w:t>
            </w:r>
          </w:p>
        </w:tc>
        <w:tc>
          <w:tcPr>
            <w:tcW w:w="1411" w:type="pct"/>
            <w:hideMark/>
          </w:tcPr>
          <w:p w14:paraId="44A4B7D3"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Magnetic hyperthermia, magnetically triggered release</w:t>
            </w:r>
          </w:p>
        </w:tc>
        <w:tc>
          <w:tcPr>
            <w:tcW w:w="984" w:type="pct"/>
            <w:hideMark/>
          </w:tcPr>
          <w:p w14:paraId="7E2CE181"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Remote activation, enhanced tissue penetration</w:t>
            </w:r>
          </w:p>
        </w:tc>
        <w:tc>
          <w:tcPr>
            <w:tcW w:w="1036" w:type="pct"/>
            <w:hideMark/>
          </w:tcPr>
          <w:p w14:paraId="1AD4197C"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Safety concerns, heating control</w:t>
            </w:r>
          </w:p>
        </w:tc>
      </w:tr>
      <w:tr w:rsidR="007D6C76" w:rsidRPr="007D6C76" w14:paraId="40EE97B3" w14:textId="77777777" w:rsidTr="007D6C76">
        <w:tc>
          <w:tcPr>
            <w:tcW w:w="564" w:type="pct"/>
            <w:hideMark/>
          </w:tcPr>
          <w:p w14:paraId="6C9CFC23"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Ultrasound-Responsive Systems</w:t>
            </w:r>
          </w:p>
        </w:tc>
        <w:tc>
          <w:tcPr>
            <w:tcW w:w="1005" w:type="pct"/>
            <w:hideMark/>
          </w:tcPr>
          <w:p w14:paraId="5D81B5C9"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Use acoustic cavitation to disrupt carriers and enhance permeability</w:t>
            </w:r>
          </w:p>
        </w:tc>
        <w:tc>
          <w:tcPr>
            <w:tcW w:w="1411" w:type="pct"/>
            <w:hideMark/>
          </w:tcPr>
          <w:p w14:paraId="5427CF96"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Ultrasound-triggered carrier disruption</w:t>
            </w:r>
          </w:p>
        </w:tc>
        <w:tc>
          <w:tcPr>
            <w:tcW w:w="984" w:type="pct"/>
            <w:hideMark/>
          </w:tcPr>
          <w:p w14:paraId="16539918"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Non-invasive, enhanced drug penetration</w:t>
            </w:r>
          </w:p>
        </w:tc>
        <w:tc>
          <w:tcPr>
            <w:tcW w:w="1036" w:type="pct"/>
            <w:hideMark/>
          </w:tcPr>
          <w:p w14:paraId="2024DAE7"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Control over ultrasound parameters, potential tissue damage</w:t>
            </w:r>
          </w:p>
        </w:tc>
      </w:tr>
      <w:tr w:rsidR="007D6C76" w:rsidRPr="007D6C76" w14:paraId="585616B5" w14:textId="77777777" w:rsidTr="007D6C76">
        <w:tc>
          <w:tcPr>
            <w:tcW w:w="564" w:type="pct"/>
            <w:hideMark/>
          </w:tcPr>
          <w:p w14:paraId="1C3E8852"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Multifunctional Systems</w:t>
            </w:r>
          </w:p>
        </w:tc>
        <w:tc>
          <w:tcPr>
            <w:tcW w:w="1005" w:type="pct"/>
            <w:hideMark/>
          </w:tcPr>
          <w:p w14:paraId="2600608C"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Combine stimuli-responsiveness with targeting, imaging, and combination therapy</w:t>
            </w:r>
          </w:p>
        </w:tc>
        <w:tc>
          <w:tcPr>
            <w:tcW w:w="1411" w:type="pct"/>
            <w:hideMark/>
          </w:tcPr>
          <w:p w14:paraId="77849B85"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Ligand targeting (antibodies, peptides), imaging agents (MRI, fluorescence), co-delivery of drugs</w:t>
            </w:r>
          </w:p>
        </w:tc>
        <w:tc>
          <w:tcPr>
            <w:tcW w:w="984" w:type="pct"/>
            <w:hideMark/>
          </w:tcPr>
          <w:p w14:paraId="354F3427" w14:textId="77777777" w:rsidR="007D6C76" w:rsidRPr="007D6C76" w:rsidRDefault="007D6C76" w:rsidP="007D6C76">
            <w:pPr>
              <w:spacing w:after="160" w:line="278" w:lineRule="auto"/>
              <w:jc w:val="both"/>
              <w:rPr>
                <w:rFonts w:ascii="Times New Roman" w:hAnsi="Times New Roman" w:cs="Times New Roman"/>
                <w:szCs w:val="28"/>
              </w:rPr>
            </w:pPr>
            <w:proofErr w:type="spellStart"/>
            <w:r w:rsidRPr="007D6C76">
              <w:rPr>
                <w:rFonts w:ascii="Times New Roman" w:hAnsi="Times New Roman" w:cs="Times New Roman"/>
                <w:szCs w:val="28"/>
              </w:rPr>
              <w:t>Theranostics</w:t>
            </w:r>
            <w:proofErr w:type="spellEnd"/>
            <w:r w:rsidRPr="007D6C76">
              <w:rPr>
                <w:rFonts w:ascii="Times New Roman" w:hAnsi="Times New Roman" w:cs="Times New Roman"/>
                <w:szCs w:val="28"/>
              </w:rPr>
              <w:t>, personalized medicine, synergistic therapies</w:t>
            </w:r>
          </w:p>
        </w:tc>
        <w:tc>
          <w:tcPr>
            <w:tcW w:w="1036" w:type="pct"/>
            <w:hideMark/>
          </w:tcPr>
          <w:p w14:paraId="3A90994E"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Complex design, regulatory challenges</w:t>
            </w:r>
          </w:p>
        </w:tc>
      </w:tr>
      <w:tr w:rsidR="007D6C76" w:rsidRPr="007D6C76" w14:paraId="7FC8D22F" w14:textId="77777777" w:rsidTr="007D6C76">
        <w:tc>
          <w:tcPr>
            <w:tcW w:w="564" w:type="pct"/>
            <w:hideMark/>
          </w:tcPr>
          <w:p w14:paraId="79B201A1"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Clinical Translation Challenges</w:t>
            </w:r>
          </w:p>
        </w:tc>
        <w:tc>
          <w:tcPr>
            <w:tcW w:w="1005" w:type="pct"/>
            <w:hideMark/>
          </w:tcPr>
          <w:p w14:paraId="3CF58290"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Barriers to clinical use</w:t>
            </w:r>
          </w:p>
        </w:tc>
        <w:tc>
          <w:tcPr>
            <w:tcW w:w="1411" w:type="pct"/>
            <w:hideMark/>
          </w:tcPr>
          <w:p w14:paraId="319E9891"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Manufacturing complexity, immunogenicity, toxicity, regulatory hurdles</w:t>
            </w:r>
          </w:p>
        </w:tc>
        <w:tc>
          <w:tcPr>
            <w:tcW w:w="984" w:type="pct"/>
            <w:hideMark/>
          </w:tcPr>
          <w:p w14:paraId="2C4FCCBE"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w:t>
            </w:r>
          </w:p>
        </w:tc>
        <w:tc>
          <w:tcPr>
            <w:tcW w:w="1036" w:type="pct"/>
            <w:hideMark/>
          </w:tcPr>
          <w:p w14:paraId="0C6E553E"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Scalability, reproducibility, safety evaluation, unclear regulatory pathways</w:t>
            </w:r>
          </w:p>
        </w:tc>
      </w:tr>
    </w:tbl>
    <w:p w14:paraId="24B16271" w14:textId="7B69C9E5" w:rsidR="00267071" w:rsidRDefault="00267071" w:rsidP="00267071">
      <w:pPr>
        <w:jc w:val="center"/>
        <w:rPr>
          <w:rFonts w:ascii="Times New Roman" w:hAnsi="Times New Roman" w:cs="Times New Roman"/>
          <w:szCs w:val="28"/>
        </w:rPr>
      </w:pPr>
      <w:r>
        <w:rPr>
          <w:rFonts w:ascii="Times New Roman" w:hAnsi="Times New Roman" w:cs="Times New Roman"/>
          <w:szCs w:val="28"/>
        </w:rPr>
        <w:t>Table 2 -</w:t>
      </w:r>
      <w:r w:rsidRPr="00267071">
        <w:rPr>
          <w:rFonts w:ascii="Times New Roman" w:hAnsi="Times New Roman" w:cs="Times New Roman"/>
          <w:szCs w:val="28"/>
        </w:rPr>
        <w:t>Overview of key aspects of stimuli-responsive and multifunctional drug delivery systems, outlining their descriptions, representative examples or mechanisms, associated advantages, and major challenges. This table highlights how different design aspects contribute to targeted, controlled, and efficient therapeutic delivery while addressing existing limitations.</w:t>
      </w:r>
    </w:p>
    <w:p w14:paraId="3312B98E" w14:textId="77777777" w:rsidR="00267071" w:rsidRPr="007D5277" w:rsidRDefault="00267071" w:rsidP="00267071">
      <w:pPr>
        <w:jc w:val="center"/>
        <w:rPr>
          <w:rFonts w:ascii="Times New Roman" w:hAnsi="Times New Roman" w:cs="Times New Roman"/>
          <w:szCs w:val="28"/>
        </w:rPr>
      </w:pPr>
    </w:p>
    <w:p w14:paraId="13C5CDEF" w14:textId="15475E79" w:rsidR="007D6C76" w:rsidRPr="007D6C76" w:rsidRDefault="00881A13" w:rsidP="007D6C76">
      <w:pPr>
        <w:jc w:val="both"/>
        <w:rPr>
          <w:rFonts w:ascii="Times New Roman" w:hAnsi="Times New Roman" w:cs="Times New Roman"/>
          <w:b/>
          <w:bCs/>
          <w:szCs w:val="28"/>
        </w:rPr>
      </w:pPr>
      <w:r>
        <w:rPr>
          <w:rFonts w:ascii="Times New Roman" w:hAnsi="Times New Roman" w:cs="Times New Roman"/>
          <w:b/>
          <w:bCs/>
          <w:szCs w:val="28"/>
        </w:rPr>
        <w:lastRenderedPageBreak/>
        <w:t xml:space="preserve">04. </w:t>
      </w:r>
      <w:r w:rsidR="007D6C76" w:rsidRPr="007D6C76">
        <w:rPr>
          <w:rFonts w:ascii="Times New Roman" w:hAnsi="Times New Roman" w:cs="Times New Roman"/>
          <w:b/>
          <w:bCs/>
          <w:szCs w:val="28"/>
        </w:rPr>
        <w:t>Advances in Formulation Techniques and Materials</w:t>
      </w:r>
    </w:p>
    <w:p w14:paraId="2679F822" w14:textId="7777777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The continuous evolution of novel drug delivery systems (NDDS) is closely linked to significant advances in formulation techniques and the development of innovative materials. These advances have enabled the design of more efficient, stable, and targeted delivery platforms capable of overcoming biological barriers and improving therapeutic outcomes.</w:t>
      </w:r>
    </w:p>
    <w:p w14:paraId="3030ED92" w14:textId="5EBCCFCD"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 xml:space="preserve">One of the key formulation advancements is the refinement of nanoprecipitation and solvent evaporation methods, which allow for the controlled synthesis of nanoparticles with uniform size distribution and high drug loading efficiency. These techniques have been </w:t>
      </w:r>
      <w:proofErr w:type="spellStart"/>
      <w:r w:rsidRPr="007D6C76">
        <w:rPr>
          <w:rFonts w:ascii="Times New Roman" w:hAnsi="Times New Roman" w:cs="Times New Roman"/>
          <w:szCs w:val="28"/>
        </w:rPr>
        <w:t>optimi</w:t>
      </w:r>
      <w:r w:rsidR="00F71C4E">
        <w:rPr>
          <w:rFonts w:ascii="Times New Roman" w:hAnsi="Times New Roman" w:cs="Times New Roman"/>
          <w:szCs w:val="28"/>
        </w:rPr>
        <w:t>s</w:t>
      </w:r>
      <w:r w:rsidRPr="007D6C76">
        <w:rPr>
          <w:rFonts w:ascii="Times New Roman" w:hAnsi="Times New Roman" w:cs="Times New Roman"/>
          <w:szCs w:val="28"/>
        </w:rPr>
        <w:t>ed</w:t>
      </w:r>
      <w:proofErr w:type="spellEnd"/>
      <w:r w:rsidRPr="007D6C76">
        <w:rPr>
          <w:rFonts w:ascii="Times New Roman" w:hAnsi="Times New Roman" w:cs="Times New Roman"/>
          <w:szCs w:val="28"/>
        </w:rPr>
        <w:t xml:space="preserve"> to reduce the use of toxic organic solvents and improve scalability, making them more suitable for industrial production [</w:t>
      </w:r>
      <w:r w:rsidR="000713E6">
        <w:rPr>
          <w:rFonts w:ascii="Times New Roman" w:hAnsi="Times New Roman" w:cs="Times New Roman"/>
          <w:szCs w:val="28"/>
        </w:rPr>
        <w:t>3</w:t>
      </w:r>
      <w:r w:rsidRPr="007D6C76">
        <w:rPr>
          <w:rFonts w:ascii="Times New Roman" w:hAnsi="Times New Roman" w:cs="Times New Roman"/>
          <w:szCs w:val="28"/>
        </w:rPr>
        <w:t>1]. Additionally, microfluidics-based approaches have emerged as powerful tools for the precise and reproducible fabrication of nanocarriers. Microfluidic systems enable fine control over mixing, particle size, and morphology, facilitating the production of complex multifunctional nanoparticles with enhanced batch-to-batch consistency [</w:t>
      </w:r>
      <w:r w:rsidR="000713E6">
        <w:rPr>
          <w:rFonts w:ascii="Times New Roman" w:hAnsi="Times New Roman" w:cs="Times New Roman"/>
          <w:szCs w:val="28"/>
        </w:rPr>
        <w:t>2</w:t>
      </w:r>
      <w:r w:rsidRPr="007D6C76">
        <w:rPr>
          <w:rFonts w:ascii="Times New Roman" w:hAnsi="Times New Roman" w:cs="Times New Roman"/>
          <w:szCs w:val="28"/>
        </w:rPr>
        <w:t>2].</w:t>
      </w:r>
    </w:p>
    <w:p w14:paraId="6016BCE0" w14:textId="7B4DF5D4"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 xml:space="preserve">The development of self-assembling materials has also </w:t>
      </w:r>
      <w:proofErr w:type="spellStart"/>
      <w:r w:rsidRPr="007D6C76">
        <w:rPr>
          <w:rFonts w:ascii="Times New Roman" w:hAnsi="Times New Roman" w:cs="Times New Roman"/>
          <w:szCs w:val="28"/>
        </w:rPr>
        <w:t>revolutioni</w:t>
      </w:r>
      <w:r w:rsidR="00F71C4E">
        <w:rPr>
          <w:rFonts w:ascii="Times New Roman" w:hAnsi="Times New Roman" w:cs="Times New Roman"/>
          <w:szCs w:val="28"/>
        </w:rPr>
        <w:t>s</w:t>
      </w:r>
      <w:r w:rsidRPr="007D6C76">
        <w:rPr>
          <w:rFonts w:ascii="Times New Roman" w:hAnsi="Times New Roman" w:cs="Times New Roman"/>
          <w:szCs w:val="28"/>
        </w:rPr>
        <w:t>ed</w:t>
      </w:r>
      <w:proofErr w:type="spellEnd"/>
      <w:r w:rsidRPr="007D6C76">
        <w:rPr>
          <w:rFonts w:ascii="Times New Roman" w:hAnsi="Times New Roman" w:cs="Times New Roman"/>
          <w:szCs w:val="28"/>
        </w:rPr>
        <w:t xml:space="preserve"> NDDS formulation. Amphiphilic block copolymers, lipids, and peptides can spontaneously </w:t>
      </w:r>
      <w:proofErr w:type="spellStart"/>
      <w:r w:rsidRPr="007D6C76">
        <w:rPr>
          <w:rFonts w:ascii="Times New Roman" w:hAnsi="Times New Roman" w:cs="Times New Roman"/>
          <w:szCs w:val="28"/>
        </w:rPr>
        <w:t>organi</w:t>
      </w:r>
      <w:r w:rsidR="00F71C4E">
        <w:rPr>
          <w:rFonts w:ascii="Times New Roman" w:hAnsi="Times New Roman" w:cs="Times New Roman"/>
          <w:szCs w:val="28"/>
        </w:rPr>
        <w:t>s</w:t>
      </w:r>
      <w:r w:rsidRPr="007D6C76">
        <w:rPr>
          <w:rFonts w:ascii="Times New Roman" w:hAnsi="Times New Roman" w:cs="Times New Roman"/>
          <w:szCs w:val="28"/>
        </w:rPr>
        <w:t>e</w:t>
      </w:r>
      <w:proofErr w:type="spellEnd"/>
      <w:r w:rsidRPr="007D6C76">
        <w:rPr>
          <w:rFonts w:ascii="Times New Roman" w:hAnsi="Times New Roman" w:cs="Times New Roman"/>
          <w:szCs w:val="28"/>
        </w:rPr>
        <w:t xml:space="preserve"> into well-defined nanostructures such as micelles, liposomes, and cubosomes under appropriate conditions. This self-assembly process allows for the encapsulation of diverse therapeutic agents and the incorporation of stimuli-responsive elements, enhancing the functionality of delivery systems [</w:t>
      </w:r>
      <w:r w:rsidR="000713E6">
        <w:rPr>
          <w:rFonts w:ascii="Times New Roman" w:hAnsi="Times New Roman" w:cs="Times New Roman"/>
          <w:szCs w:val="28"/>
        </w:rPr>
        <w:t>2</w:t>
      </w:r>
      <w:r w:rsidRPr="007D6C76">
        <w:rPr>
          <w:rFonts w:ascii="Times New Roman" w:hAnsi="Times New Roman" w:cs="Times New Roman"/>
          <w:szCs w:val="28"/>
        </w:rPr>
        <w:t>3].</w:t>
      </w:r>
    </w:p>
    <w:p w14:paraId="6358B81D" w14:textId="78DCBEDF"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 xml:space="preserve">In terms of materials, biodegradable polymers such as </w:t>
      </w:r>
      <w:proofErr w:type="gramStart"/>
      <w:r w:rsidRPr="007D6C76">
        <w:rPr>
          <w:rFonts w:ascii="Times New Roman" w:hAnsi="Times New Roman" w:cs="Times New Roman"/>
          <w:szCs w:val="28"/>
        </w:rPr>
        <w:t>poly(</w:t>
      </w:r>
      <w:proofErr w:type="gramEnd"/>
      <w:r w:rsidRPr="007D6C76">
        <w:rPr>
          <w:rFonts w:ascii="Times New Roman" w:hAnsi="Times New Roman" w:cs="Times New Roman"/>
          <w:szCs w:val="28"/>
        </w:rPr>
        <w:t>lactic-co-glycolic acid) (PLGA), polycaprolactone (PCL), and polyethene glycol (PEG) have become staples in NDDS due to their biocompatibility, tunable degradation rates, and ability to protect drugs from premature degradation. Recent innovations include the synthesis of stimuli-responsive polymers that undergo conformational changes or degradation in response to environmental triggers like pH, temperature, or redox conditions, enabling controlled and site-specific drug release [</w:t>
      </w:r>
      <w:r w:rsidR="000713E6">
        <w:rPr>
          <w:rFonts w:ascii="Times New Roman" w:hAnsi="Times New Roman" w:cs="Times New Roman"/>
          <w:szCs w:val="28"/>
        </w:rPr>
        <w:t>32</w:t>
      </w:r>
      <w:r w:rsidRPr="007D6C76">
        <w:rPr>
          <w:rFonts w:ascii="Times New Roman" w:hAnsi="Times New Roman" w:cs="Times New Roman"/>
          <w:szCs w:val="28"/>
        </w:rPr>
        <w:t>].</w:t>
      </w:r>
    </w:p>
    <w:p w14:paraId="5D9C0919" w14:textId="02BE26BA"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Lipid-based materials have also seen significant improvements. The introduction of nanostructured lipid carriers (NLCs), which combine solid and liquid lipids, has addressed limitations of solid lipid nanoparticles by enhancing drug loading capacity and preventing drug expulsion during storage. Moreover, surface modification techniques such as PEGylation and ligand conjugation have been widely adopted to improve circulation time, reduce immunogenicity, and enable active targeting of nanocarriers [</w:t>
      </w:r>
      <w:r w:rsidR="000713E6">
        <w:rPr>
          <w:rFonts w:ascii="Times New Roman" w:hAnsi="Times New Roman" w:cs="Times New Roman"/>
          <w:szCs w:val="28"/>
        </w:rPr>
        <w:t>33</w:t>
      </w:r>
      <w:r w:rsidRPr="007D6C76">
        <w:rPr>
          <w:rFonts w:ascii="Times New Roman" w:hAnsi="Times New Roman" w:cs="Times New Roman"/>
          <w:szCs w:val="28"/>
        </w:rPr>
        <w:t>].</w:t>
      </w:r>
    </w:p>
    <w:p w14:paraId="4615F8BF" w14:textId="7E59DD80"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Emerging materials</w:t>
      </w:r>
      <w:r w:rsidR="00F71C4E">
        <w:rPr>
          <w:rFonts w:ascii="Times New Roman" w:hAnsi="Times New Roman" w:cs="Times New Roman"/>
          <w:szCs w:val="28"/>
        </w:rPr>
        <w:t>,</w:t>
      </w:r>
      <w:r w:rsidRPr="007D6C76">
        <w:rPr>
          <w:rFonts w:ascii="Times New Roman" w:hAnsi="Times New Roman" w:cs="Times New Roman"/>
          <w:szCs w:val="28"/>
        </w:rPr>
        <w:t xml:space="preserve"> such as inorganic nanoparticles (e.g., gold, silica, iron oxide) and hybrid organic-inorganic systems</w:t>
      </w:r>
      <w:r w:rsidR="00F71C4E">
        <w:rPr>
          <w:rFonts w:ascii="Times New Roman" w:hAnsi="Times New Roman" w:cs="Times New Roman"/>
          <w:szCs w:val="28"/>
        </w:rPr>
        <w:t>,</w:t>
      </w:r>
      <w:r w:rsidRPr="007D6C76">
        <w:rPr>
          <w:rFonts w:ascii="Times New Roman" w:hAnsi="Times New Roman" w:cs="Times New Roman"/>
          <w:szCs w:val="28"/>
        </w:rPr>
        <w:t> offer unique optical, magnetic, and structural properties that can be harnessed for combined therapeutic and diagnostic (</w:t>
      </w:r>
      <w:proofErr w:type="spellStart"/>
      <w:r w:rsidRPr="007D6C76">
        <w:rPr>
          <w:rFonts w:ascii="Times New Roman" w:hAnsi="Times New Roman" w:cs="Times New Roman"/>
          <w:szCs w:val="28"/>
        </w:rPr>
        <w:t>theranostic</w:t>
      </w:r>
      <w:proofErr w:type="spellEnd"/>
      <w:r w:rsidRPr="007D6C76">
        <w:rPr>
          <w:rFonts w:ascii="Times New Roman" w:hAnsi="Times New Roman" w:cs="Times New Roman"/>
          <w:szCs w:val="28"/>
        </w:rPr>
        <w:t>) applications. These materials facilitate multimodal imaging and targeted therapy, expanding the scope of NDDS beyond conventional drug delivery [</w:t>
      </w:r>
      <w:r w:rsidR="000713E6">
        <w:rPr>
          <w:rFonts w:ascii="Times New Roman" w:hAnsi="Times New Roman" w:cs="Times New Roman"/>
          <w:szCs w:val="28"/>
        </w:rPr>
        <w:t>34</w:t>
      </w:r>
      <w:r w:rsidRPr="007D6C76">
        <w:rPr>
          <w:rFonts w:ascii="Times New Roman" w:hAnsi="Times New Roman" w:cs="Times New Roman"/>
          <w:szCs w:val="28"/>
        </w:rPr>
        <w:t>].</w:t>
      </w:r>
    </w:p>
    <w:p w14:paraId="53F48A1B" w14:textId="2B52F25A"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 xml:space="preserve">Furthermore, advances in 3D printing and additive manufacturing technologies have opened new avenues for </w:t>
      </w:r>
      <w:proofErr w:type="spellStart"/>
      <w:r w:rsidRPr="007D6C76">
        <w:rPr>
          <w:rFonts w:ascii="Times New Roman" w:hAnsi="Times New Roman" w:cs="Times New Roman"/>
          <w:szCs w:val="28"/>
        </w:rPr>
        <w:t>personali</w:t>
      </w:r>
      <w:r w:rsidR="00F71C4E">
        <w:rPr>
          <w:rFonts w:ascii="Times New Roman" w:hAnsi="Times New Roman" w:cs="Times New Roman"/>
          <w:szCs w:val="28"/>
        </w:rPr>
        <w:t>s</w:t>
      </w:r>
      <w:r w:rsidRPr="007D6C76">
        <w:rPr>
          <w:rFonts w:ascii="Times New Roman" w:hAnsi="Times New Roman" w:cs="Times New Roman"/>
          <w:szCs w:val="28"/>
        </w:rPr>
        <w:t>ed</w:t>
      </w:r>
      <w:proofErr w:type="spellEnd"/>
      <w:r w:rsidRPr="007D6C76">
        <w:rPr>
          <w:rFonts w:ascii="Times New Roman" w:hAnsi="Times New Roman" w:cs="Times New Roman"/>
          <w:szCs w:val="28"/>
        </w:rPr>
        <w:t xml:space="preserve"> drug delivery. These techniques allow for the fabrication of complex </w:t>
      </w:r>
      <w:r w:rsidRPr="007D6C76">
        <w:rPr>
          <w:rFonts w:ascii="Times New Roman" w:hAnsi="Times New Roman" w:cs="Times New Roman"/>
          <w:szCs w:val="28"/>
        </w:rPr>
        <w:lastRenderedPageBreak/>
        <w:t>dosage forms with precise control over drug distribution, release kinetics, and geometry, enabling patient-specific therapies tailored to individual needs [</w:t>
      </w:r>
      <w:r w:rsidR="000713E6">
        <w:rPr>
          <w:rFonts w:ascii="Times New Roman" w:hAnsi="Times New Roman" w:cs="Times New Roman"/>
          <w:szCs w:val="28"/>
        </w:rPr>
        <w:t>33,35</w:t>
      </w:r>
      <w:r w:rsidRPr="007D6C76">
        <w:rPr>
          <w:rFonts w:ascii="Times New Roman" w:hAnsi="Times New Roman" w:cs="Times New Roman"/>
          <w:szCs w:val="28"/>
        </w:rPr>
        <w:t>].</w:t>
      </w:r>
    </w:p>
    <w:p w14:paraId="67631C07" w14:textId="7777777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Despite these advances, challenges remain in translating novel formulation techniques and materials into clinically viable products. Issues such as reproducibility, scalability, regulatory compliance, and long-term safety must be addressed through interdisciplinary collaboration and rigorous evaluation.</w:t>
      </w:r>
    </w:p>
    <w:p w14:paraId="3C1DA205" w14:textId="03305154" w:rsidR="007D6C76" w:rsidRPr="007D6C76" w:rsidRDefault="00881A13" w:rsidP="007D6C76">
      <w:pPr>
        <w:jc w:val="both"/>
        <w:rPr>
          <w:rFonts w:ascii="Times New Roman" w:hAnsi="Times New Roman" w:cs="Times New Roman"/>
          <w:b/>
          <w:bCs/>
          <w:szCs w:val="28"/>
        </w:rPr>
      </w:pPr>
      <w:r>
        <w:rPr>
          <w:rFonts w:ascii="Times New Roman" w:hAnsi="Times New Roman" w:cs="Times New Roman"/>
          <w:b/>
          <w:bCs/>
          <w:szCs w:val="28"/>
        </w:rPr>
        <w:t xml:space="preserve">05 </w:t>
      </w:r>
      <w:r w:rsidR="007D6C76" w:rsidRPr="007D6C76">
        <w:rPr>
          <w:rFonts w:ascii="Times New Roman" w:hAnsi="Times New Roman" w:cs="Times New Roman"/>
          <w:b/>
          <w:bCs/>
          <w:szCs w:val="28"/>
        </w:rPr>
        <w:t xml:space="preserve">Integration with </w:t>
      </w:r>
      <w:proofErr w:type="spellStart"/>
      <w:r w:rsidR="007D6C76" w:rsidRPr="007D6C76">
        <w:rPr>
          <w:rFonts w:ascii="Times New Roman" w:hAnsi="Times New Roman" w:cs="Times New Roman"/>
          <w:b/>
          <w:bCs/>
          <w:szCs w:val="28"/>
        </w:rPr>
        <w:t>Personali</w:t>
      </w:r>
      <w:r w:rsidR="00F71C4E">
        <w:rPr>
          <w:rFonts w:ascii="Times New Roman" w:hAnsi="Times New Roman" w:cs="Times New Roman"/>
          <w:b/>
          <w:bCs/>
          <w:szCs w:val="28"/>
        </w:rPr>
        <w:t>s</w:t>
      </w:r>
      <w:r w:rsidR="007D6C76" w:rsidRPr="007D6C76">
        <w:rPr>
          <w:rFonts w:ascii="Times New Roman" w:hAnsi="Times New Roman" w:cs="Times New Roman"/>
          <w:b/>
          <w:bCs/>
          <w:szCs w:val="28"/>
        </w:rPr>
        <w:t>ed</w:t>
      </w:r>
      <w:proofErr w:type="spellEnd"/>
      <w:r w:rsidR="007D6C76" w:rsidRPr="007D6C76">
        <w:rPr>
          <w:rFonts w:ascii="Times New Roman" w:hAnsi="Times New Roman" w:cs="Times New Roman"/>
          <w:b/>
          <w:bCs/>
          <w:szCs w:val="28"/>
        </w:rPr>
        <w:t xml:space="preserve"> Medicine and AI-Driven Design</w:t>
      </w:r>
    </w:p>
    <w:p w14:paraId="57DD73CE" w14:textId="16730FC0"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 xml:space="preserve">The integration of novel drug delivery systems (NDDS) with </w:t>
      </w:r>
      <w:proofErr w:type="spellStart"/>
      <w:r w:rsidRPr="007D6C76">
        <w:rPr>
          <w:rFonts w:ascii="Times New Roman" w:hAnsi="Times New Roman" w:cs="Times New Roman"/>
          <w:szCs w:val="28"/>
        </w:rPr>
        <w:t>personali</w:t>
      </w:r>
      <w:r w:rsidR="00F71C4E">
        <w:rPr>
          <w:rFonts w:ascii="Times New Roman" w:hAnsi="Times New Roman" w:cs="Times New Roman"/>
          <w:szCs w:val="28"/>
        </w:rPr>
        <w:t>s</w:t>
      </w:r>
      <w:r w:rsidRPr="007D6C76">
        <w:rPr>
          <w:rFonts w:ascii="Times New Roman" w:hAnsi="Times New Roman" w:cs="Times New Roman"/>
          <w:szCs w:val="28"/>
        </w:rPr>
        <w:t>ed</w:t>
      </w:r>
      <w:proofErr w:type="spellEnd"/>
      <w:r w:rsidRPr="007D6C76">
        <w:rPr>
          <w:rFonts w:ascii="Times New Roman" w:hAnsi="Times New Roman" w:cs="Times New Roman"/>
          <w:szCs w:val="28"/>
        </w:rPr>
        <w:t xml:space="preserve"> medicine represents a transformative approach in healthcare, aiming to tailor therapeutic interventions to individual patient characteristics such as genetics, disease phenotype, and lifestyle. </w:t>
      </w:r>
      <w:proofErr w:type="spellStart"/>
      <w:r w:rsidRPr="007D6C76">
        <w:rPr>
          <w:rFonts w:ascii="Times New Roman" w:hAnsi="Times New Roman" w:cs="Times New Roman"/>
          <w:szCs w:val="28"/>
        </w:rPr>
        <w:t>Personali</w:t>
      </w:r>
      <w:r w:rsidR="00F71C4E">
        <w:rPr>
          <w:rFonts w:ascii="Times New Roman" w:hAnsi="Times New Roman" w:cs="Times New Roman"/>
          <w:szCs w:val="28"/>
        </w:rPr>
        <w:t>s</w:t>
      </w:r>
      <w:r w:rsidRPr="007D6C76">
        <w:rPr>
          <w:rFonts w:ascii="Times New Roman" w:hAnsi="Times New Roman" w:cs="Times New Roman"/>
          <w:szCs w:val="28"/>
        </w:rPr>
        <w:t>ed</w:t>
      </w:r>
      <w:proofErr w:type="spellEnd"/>
      <w:r w:rsidRPr="007D6C76">
        <w:rPr>
          <w:rFonts w:ascii="Times New Roman" w:hAnsi="Times New Roman" w:cs="Times New Roman"/>
          <w:szCs w:val="28"/>
        </w:rPr>
        <w:t xml:space="preserve"> medicine seeks to </w:t>
      </w:r>
      <w:proofErr w:type="spellStart"/>
      <w:r w:rsidRPr="007D6C76">
        <w:rPr>
          <w:rFonts w:ascii="Times New Roman" w:hAnsi="Times New Roman" w:cs="Times New Roman"/>
          <w:szCs w:val="28"/>
        </w:rPr>
        <w:t>optimi</w:t>
      </w:r>
      <w:r w:rsidR="00F71C4E">
        <w:rPr>
          <w:rFonts w:ascii="Times New Roman" w:hAnsi="Times New Roman" w:cs="Times New Roman"/>
          <w:szCs w:val="28"/>
        </w:rPr>
        <w:t>s</w:t>
      </w:r>
      <w:r w:rsidRPr="007D6C76">
        <w:rPr>
          <w:rFonts w:ascii="Times New Roman" w:hAnsi="Times New Roman" w:cs="Times New Roman"/>
          <w:szCs w:val="28"/>
        </w:rPr>
        <w:t>e</w:t>
      </w:r>
      <w:proofErr w:type="spellEnd"/>
      <w:r w:rsidRPr="007D6C76">
        <w:rPr>
          <w:rFonts w:ascii="Times New Roman" w:hAnsi="Times New Roman" w:cs="Times New Roman"/>
          <w:szCs w:val="28"/>
        </w:rPr>
        <w:t xml:space="preserve"> drug efficacy and minimize adverse effects by considering patient-specific variability in drug metabolism, target expression, and disease progression. NDDS play a crucial role in this paradigm by enabling precise control over drug release, targeted delivery, and adaptable dosing regimens that can be </w:t>
      </w:r>
      <w:proofErr w:type="spellStart"/>
      <w:r w:rsidRPr="007D6C76">
        <w:rPr>
          <w:rFonts w:ascii="Times New Roman" w:hAnsi="Times New Roman" w:cs="Times New Roman"/>
          <w:szCs w:val="28"/>
        </w:rPr>
        <w:t>customi</w:t>
      </w:r>
      <w:r w:rsidR="00F71C4E">
        <w:rPr>
          <w:rFonts w:ascii="Times New Roman" w:hAnsi="Times New Roman" w:cs="Times New Roman"/>
          <w:szCs w:val="28"/>
        </w:rPr>
        <w:t>s</w:t>
      </w:r>
      <w:r w:rsidRPr="007D6C76">
        <w:rPr>
          <w:rFonts w:ascii="Times New Roman" w:hAnsi="Times New Roman" w:cs="Times New Roman"/>
          <w:szCs w:val="28"/>
        </w:rPr>
        <w:t>ed</w:t>
      </w:r>
      <w:proofErr w:type="spellEnd"/>
      <w:r w:rsidRPr="007D6C76">
        <w:rPr>
          <w:rFonts w:ascii="Times New Roman" w:hAnsi="Times New Roman" w:cs="Times New Roman"/>
          <w:szCs w:val="28"/>
        </w:rPr>
        <w:t xml:space="preserve"> to the needs of individual patients [</w:t>
      </w:r>
      <w:r w:rsidR="000713E6">
        <w:rPr>
          <w:rFonts w:ascii="Times New Roman" w:hAnsi="Times New Roman" w:cs="Times New Roman"/>
          <w:szCs w:val="28"/>
        </w:rPr>
        <w:t>35</w:t>
      </w:r>
      <w:r w:rsidRPr="007D6C76">
        <w:rPr>
          <w:rFonts w:ascii="Times New Roman" w:hAnsi="Times New Roman" w:cs="Times New Roman"/>
          <w:szCs w:val="28"/>
        </w:rPr>
        <w:t>].</w:t>
      </w:r>
    </w:p>
    <w:p w14:paraId="65B08571" w14:textId="688B5071"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 xml:space="preserve">Recent advances in genomics, proteomics, and biomarker discovery have provided a wealth of data that can inform the design of </w:t>
      </w:r>
      <w:proofErr w:type="spellStart"/>
      <w:r w:rsidRPr="007D6C76">
        <w:rPr>
          <w:rFonts w:ascii="Times New Roman" w:hAnsi="Times New Roman" w:cs="Times New Roman"/>
          <w:szCs w:val="28"/>
        </w:rPr>
        <w:t>personali</w:t>
      </w:r>
      <w:r w:rsidR="00F71C4E">
        <w:rPr>
          <w:rFonts w:ascii="Times New Roman" w:hAnsi="Times New Roman" w:cs="Times New Roman"/>
          <w:szCs w:val="28"/>
        </w:rPr>
        <w:t>s</w:t>
      </w:r>
      <w:r w:rsidRPr="007D6C76">
        <w:rPr>
          <w:rFonts w:ascii="Times New Roman" w:hAnsi="Times New Roman" w:cs="Times New Roman"/>
          <w:szCs w:val="28"/>
        </w:rPr>
        <w:t>ed</w:t>
      </w:r>
      <w:proofErr w:type="spellEnd"/>
      <w:r w:rsidRPr="007D6C76">
        <w:rPr>
          <w:rFonts w:ascii="Times New Roman" w:hAnsi="Times New Roman" w:cs="Times New Roman"/>
          <w:szCs w:val="28"/>
        </w:rPr>
        <w:t xml:space="preserve"> NDDS. For example, nanocarriers can be functionalized with ligands that target specific receptors overexpressed in a patient’s tumor or diseased tissue, enhancing selective drug accumulation and therapeutic outcomes. Additionally, stimuli-responsive systems can be engineered to respond to unique microenvironmental cues present in a patient’s pathology, such as pH or enzyme levels, further refining drug release profiles [</w:t>
      </w:r>
      <w:r w:rsidR="000713E6">
        <w:rPr>
          <w:rFonts w:ascii="Times New Roman" w:hAnsi="Times New Roman" w:cs="Times New Roman"/>
          <w:szCs w:val="28"/>
        </w:rPr>
        <w:t>35</w:t>
      </w:r>
      <w:r w:rsidRPr="007D6C76">
        <w:rPr>
          <w:rFonts w:ascii="Times New Roman" w:hAnsi="Times New Roman" w:cs="Times New Roman"/>
          <w:szCs w:val="28"/>
        </w:rPr>
        <w:t>].</w:t>
      </w:r>
    </w:p>
    <w:p w14:paraId="3FFC3790" w14:textId="7E625C7F"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 xml:space="preserve">Artificial intelligence (AI) and machine learning (ML) technologies have emerged as powerful tools to accelerate and </w:t>
      </w:r>
      <w:proofErr w:type="spellStart"/>
      <w:r w:rsidRPr="007D6C76">
        <w:rPr>
          <w:rFonts w:ascii="Times New Roman" w:hAnsi="Times New Roman" w:cs="Times New Roman"/>
          <w:szCs w:val="28"/>
        </w:rPr>
        <w:t>optimi</w:t>
      </w:r>
      <w:r w:rsidR="00F71C4E">
        <w:rPr>
          <w:rFonts w:ascii="Times New Roman" w:hAnsi="Times New Roman" w:cs="Times New Roman"/>
          <w:szCs w:val="28"/>
        </w:rPr>
        <w:t>s</w:t>
      </w:r>
      <w:r w:rsidRPr="007D6C76">
        <w:rPr>
          <w:rFonts w:ascii="Times New Roman" w:hAnsi="Times New Roman" w:cs="Times New Roman"/>
          <w:szCs w:val="28"/>
        </w:rPr>
        <w:t>e</w:t>
      </w:r>
      <w:proofErr w:type="spellEnd"/>
      <w:r w:rsidRPr="007D6C76">
        <w:rPr>
          <w:rFonts w:ascii="Times New Roman" w:hAnsi="Times New Roman" w:cs="Times New Roman"/>
          <w:szCs w:val="28"/>
        </w:rPr>
        <w:t xml:space="preserve"> the design of NDDS within the personali</w:t>
      </w:r>
      <w:r w:rsidR="00F71C4E">
        <w:rPr>
          <w:rFonts w:ascii="Times New Roman" w:hAnsi="Times New Roman" w:cs="Times New Roman"/>
          <w:szCs w:val="28"/>
        </w:rPr>
        <w:t>s</w:t>
      </w:r>
      <w:r w:rsidRPr="007D6C76">
        <w:rPr>
          <w:rFonts w:ascii="Times New Roman" w:hAnsi="Times New Roman" w:cs="Times New Roman"/>
          <w:szCs w:val="28"/>
        </w:rPr>
        <w:t xml:space="preserve">ed medicine framework. AI algorithms can </w:t>
      </w:r>
      <w:proofErr w:type="spellStart"/>
      <w:r w:rsidRPr="007D6C76">
        <w:rPr>
          <w:rFonts w:ascii="Times New Roman" w:hAnsi="Times New Roman" w:cs="Times New Roman"/>
          <w:szCs w:val="28"/>
        </w:rPr>
        <w:t>analy</w:t>
      </w:r>
      <w:r w:rsidR="00F71C4E">
        <w:rPr>
          <w:rFonts w:ascii="Times New Roman" w:hAnsi="Times New Roman" w:cs="Times New Roman"/>
          <w:szCs w:val="28"/>
        </w:rPr>
        <w:t>s</w:t>
      </w:r>
      <w:r w:rsidRPr="007D6C76">
        <w:rPr>
          <w:rFonts w:ascii="Times New Roman" w:hAnsi="Times New Roman" w:cs="Times New Roman"/>
          <w:szCs w:val="28"/>
        </w:rPr>
        <w:t>e</w:t>
      </w:r>
      <w:proofErr w:type="spellEnd"/>
      <w:r w:rsidRPr="007D6C76">
        <w:rPr>
          <w:rFonts w:ascii="Times New Roman" w:hAnsi="Times New Roman" w:cs="Times New Roman"/>
          <w:szCs w:val="28"/>
        </w:rPr>
        <w:t xml:space="preserve"> large datasets from clinical trials, patient records, and molecular profiling to identify patterns and predict drug responses. This capability enables the rational design of nanocarriers with </w:t>
      </w:r>
      <w:proofErr w:type="spellStart"/>
      <w:r w:rsidRPr="007D6C76">
        <w:rPr>
          <w:rFonts w:ascii="Times New Roman" w:hAnsi="Times New Roman" w:cs="Times New Roman"/>
          <w:szCs w:val="28"/>
        </w:rPr>
        <w:t>optimi</w:t>
      </w:r>
      <w:r w:rsidR="00F71C4E">
        <w:rPr>
          <w:rFonts w:ascii="Times New Roman" w:hAnsi="Times New Roman" w:cs="Times New Roman"/>
          <w:szCs w:val="28"/>
        </w:rPr>
        <w:t>s</w:t>
      </w:r>
      <w:r w:rsidRPr="007D6C76">
        <w:rPr>
          <w:rFonts w:ascii="Times New Roman" w:hAnsi="Times New Roman" w:cs="Times New Roman"/>
          <w:szCs w:val="28"/>
        </w:rPr>
        <w:t>ed</w:t>
      </w:r>
      <w:proofErr w:type="spellEnd"/>
      <w:r w:rsidRPr="007D6C76">
        <w:rPr>
          <w:rFonts w:ascii="Times New Roman" w:hAnsi="Times New Roman" w:cs="Times New Roman"/>
          <w:szCs w:val="28"/>
        </w:rPr>
        <w:t xml:space="preserve"> physicochemical properties, drug loading, and release kinetics tailored to specific patient populations [</w:t>
      </w:r>
      <w:r w:rsidR="000713E6">
        <w:rPr>
          <w:rFonts w:ascii="Times New Roman" w:hAnsi="Times New Roman" w:cs="Times New Roman"/>
          <w:szCs w:val="28"/>
        </w:rPr>
        <w:t>36</w:t>
      </w:r>
      <w:r w:rsidRPr="007D6C76">
        <w:rPr>
          <w:rFonts w:ascii="Times New Roman" w:hAnsi="Times New Roman" w:cs="Times New Roman"/>
          <w:szCs w:val="28"/>
        </w:rPr>
        <w:t>].</w:t>
      </w:r>
    </w:p>
    <w:p w14:paraId="49EC5E49" w14:textId="5902FD5D"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Machine learning models are also employed to predict the interactions between drugs and delivery materials, stability under physiological conditions, and potential toxicity, thereby reducing the time and cost associated with experimental trial-and-error approaches. Furthermore, AI-driven computational simulations facilitate the screening of novel materials and formulations, guiding the synthesis of multifunctional nanocarriers with enhanced targeting and therapeutic efficacy [</w:t>
      </w:r>
      <w:r w:rsidR="000713E6">
        <w:rPr>
          <w:rFonts w:ascii="Times New Roman" w:hAnsi="Times New Roman" w:cs="Times New Roman"/>
          <w:szCs w:val="28"/>
        </w:rPr>
        <w:t>36</w:t>
      </w:r>
      <w:r w:rsidRPr="007D6C76">
        <w:rPr>
          <w:rFonts w:ascii="Times New Roman" w:hAnsi="Times New Roman" w:cs="Times New Roman"/>
          <w:szCs w:val="28"/>
        </w:rPr>
        <w:t>].</w:t>
      </w:r>
    </w:p>
    <w:p w14:paraId="0BEA0198" w14:textId="33104AFE"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 xml:space="preserve">The convergence of AI and </w:t>
      </w:r>
      <w:proofErr w:type="spellStart"/>
      <w:r w:rsidRPr="007D6C76">
        <w:rPr>
          <w:rFonts w:ascii="Times New Roman" w:hAnsi="Times New Roman" w:cs="Times New Roman"/>
          <w:szCs w:val="28"/>
        </w:rPr>
        <w:t>personali</w:t>
      </w:r>
      <w:r w:rsidR="00F71C4E">
        <w:rPr>
          <w:rFonts w:ascii="Times New Roman" w:hAnsi="Times New Roman" w:cs="Times New Roman"/>
          <w:szCs w:val="28"/>
        </w:rPr>
        <w:t>s</w:t>
      </w:r>
      <w:r w:rsidRPr="007D6C76">
        <w:rPr>
          <w:rFonts w:ascii="Times New Roman" w:hAnsi="Times New Roman" w:cs="Times New Roman"/>
          <w:szCs w:val="28"/>
        </w:rPr>
        <w:t>ed</w:t>
      </w:r>
      <w:proofErr w:type="spellEnd"/>
      <w:r w:rsidRPr="007D6C76">
        <w:rPr>
          <w:rFonts w:ascii="Times New Roman" w:hAnsi="Times New Roman" w:cs="Times New Roman"/>
          <w:szCs w:val="28"/>
        </w:rPr>
        <w:t xml:space="preserve"> medicine extends to clinical decision support systems, where predictive analytics can recommend the most suitable NDDS-based therapies for individual patients based on their genetic and phenotypic profiles. This integration promises to improve treatment outcomes, reduce adverse drug reactions, and enable dynamic adjustments to therapy in response to patient monitoring data [</w:t>
      </w:r>
      <w:r w:rsidR="000713E6">
        <w:rPr>
          <w:rFonts w:ascii="Times New Roman" w:hAnsi="Times New Roman" w:cs="Times New Roman"/>
          <w:szCs w:val="28"/>
        </w:rPr>
        <w:t>37</w:t>
      </w:r>
      <w:r w:rsidRPr="007D6C76">
        <w:rPr>
          <w:rFonts w:ascii="Times New Roman" w:hAnsi="Times New Roman" w:cs="Times New Roman"/>
          <w:szCs w:val="28"/>
        </w:rPr>
        <w:t>].</w:t>
      </w:r>
    </w:p>
    <w:p w14:paraId="2B4BED5A" w14:textId="634DDF56"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lastRenderedPageBreak/>
        <w:t xml:space="preserve">Despite these promising developments, challenges remain in implementing AI-driven </w:t>
      </w:r>
      <w:proofErr w:type="spellStart"/>
      <w:r w:rsidRPr="007D6C76">
        <w:rPr>
          <w:rFonts w:ascii="Times New Roman" w:hAnsi="Times New Roman" w:cs="Times New Roman"/>
          <w:szCs w:val="28"/>
        </w:rPr>
        <w:t>personali</w:t>
      </w:r>
      <w:r w:rsidR="00F71C4E">
        <w:rPr>
          <w:rFonts w:ascii="Times New Roman" w:hAnsi="Times New Roman" w:cs="Times New Roman"/>
          <w:szCs w:val="28"/>
        </w:rPr>
        <w:t>s</w:t>
      </w:r>
      <w:r w:rsidRPr="007D6C76">
        <w:rPr>
          <w:rFonts w:ascii="Times New Roman" w:hAnsi="Times New Roman" w:cs="Times New Roman"/>
          <w:szCs w:val="28"/>
        </w:rPr>
        <w:t>ed</w:t>
      </w:r>
      <w:proofErr w:type="spellEnd"/>
      <w:r w:rsidRPr="007D6C76">
        <w:rPr>
          <w:rFonts w:ascii="Times New Roman" w:hAnsi="Times New Roman" w:cs="Times New Roman"/>
          <w:szCs w:val="28"/>
        </w:rPr>
        <w:t xml:space="preserve"> NDDS. Data privacy, the need for large, high-quality datasets, and the interpretability of AI models are critical concerns. Additionally, regulatory frameworks must evolve to accommodate AI-assisted design and </w:t>
      </w:r>
      <w:proofErr w:type="spellStart"/>
      <w:r w:rsidRPr="007D6C76">
        <w:rPr>
          <w:rFonts w:ascii="Times New Roman" w:hAnsi="Times New Roman" w:cs="Times New Roman"/>
          <w:szCs w:val="28"/>
        </w:rPr>
        <w:t>personali</w:t>
      </w:r>
      <w:r w:rsidR="00F71C4E">
        <w:rPr>
          <w:rFonts w:ascii="Times New Roman" w:hAnsi="Times New Roman" w:cs="Times New Roman"/>
          <w:szCs w:val="28"/>
        </w:rPr>
        <w:t>s</w:t>
      </w:r>
      <w:r w:rsidRPr="007D6C76">
        <w:rPr>
          <w:rFonts w:ascii="Times New Roman" w:hAnsi="Times New Roman" w:cs="Times New Roman"/>
          <w:szCs w:val="28"/>
        </w:rPr>
        <w:t>ed</w:t>
      </w:r>
      <w:proofErr w:type="spellEnd"/>
      <w:r w:rsidRPr="007D6C76">
        <w:rPr>
          <w:rFonts w:ascii="Times New Roman" w:hAnsi="Times New Roman" w:cs="Times New Roman"/>
          <w:szCs w:val="28"/>
        </w:rPr>
        <w:t xml:space="preserve"> therapeutic strategies, ensuring safety and efficacy while fostering innovation [</w:t>
      </w:r>
      <w:r w:rsidR="000713E6">
        <w:rPr>
          <w:rFonts w:ascii="Times New Roman" w:hAnsi="Times New Roman" w:cs="Times New Roman"/>
          <w:szCs w:val="28"/>
        </w:rPr>
        <w:t>38</w:t>
      </w:r>
      <w:r w:rsidRPr="007D6C76">
        <w:rPr>
          <w:rFonts w:ascii="Times New Roman" w:hAnsi="Times New Roman" w:cs="Times New Roman"/>
          <w:szCs w:val="28"/>
        </w:rPr>
        <w:t>].</w:t>
      </w:r>
    </w:p>
    <w:p w14:paraId="1ADD53F7" w14:textId="41C21E5F"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 xml:space="preserve">In summary, the integration of NDDS with </w:t>
      </w:r>
      <w:proofErr w:type="spellStart"/>
      <w:r w:rsidRPr="007D6C76">
        <w:rPr>
          <w:rFonts w:ascii="Times New Roman" w:hAnsi="Times New Roman" w:cs="Times New Roman"/>
          <w:szCs w:val="28"/>
        </w:rPr>
        <w:t>personali</w:t>
      </w:r>
      <w:r w:rsidR="00F71C4E">
        <w:rPr>
          <w:rFonts w:ascii="Times New Roman" w:hAnsi="Times New Roman" w:cs="Times New Roman"/>
          <w:szCs w:val="28"/>
        </w:rPr>
        <w:t>s</w:t>
      </w:r>
      <w:r w:rsidRPr="007D6C76">
        <w:rPr>
          <w:rFonts w:ascii="Times New Roman" w:hAnsi="Times New Roman" w:cs="Times New Roman"/>
          <w:szCs w:val="28"/>
        </w:rPr>
        <w:t>ed</w:t>
      </w:r>
      <w:proofErr w:type="spellEnd"/>
      <w:r w:rsidRPr="007D6C76">
        <w:rPr>
          <w:rFonts w:ascii="Times New Roman" w:hAnsi="Times New Roman" w:cs="Times New Roman"/>
          <w:szCs w:val="28"/>
        </w:rPr>
        <w:t xml:space="preserve"> medicine and AI-driven design holds immense potential to </w:t>
      </w:r>
      <w:bookmarkStart w:id="0" w:name="_GoBack"/>
      <w:bookmarkEnd w:id="0"/>
      <w:proofErr w:type="spellStart"/>
      <w:r w:rsidRPr="007D6C76">
        <w:rPr>
          <w:rFonts w:ascii="Times New Roman" w:hAnsi="Times New Roman" w:cs="Times New Roman"/>
          <w:szCs w:val="28"/>
        </w:rPr>
        <w:t>revolutioni</w:t>
      </w:r>
      <w:r w:rsidR="00F71C4E">
        <w:rPr>
          <w:rFonts w:ascii="Times New Roman" w:hAnsi="Times New Roman" w:cs="Times New Roman"/>
          <w:szCs w:val="28"/>
        </w:rPr>
        <w:t>s</w:t>
      </w:r>
      <w:r w:rsidRPr="007D6C76">
        <w:rPr>
          <w:rFonts w:ascii="Times New Roman" w:hAnsi="Times New Roman" w:cs="Times New Roman"/>
          <w:szCs w:val="28"/>
        </w:rPr>
        <w:t>e</w:t>
      </w:r>
      <w:proofErr w:type="spellEnd"/>
      <w:r w:rsidRPr="007D6C76">
        <w:rPr>
          <w:rFonts w:ascii="Times New Roman" w:hAnsi="Times New Roman" w:cs="Times New Roman"/>
          <w:szCs w:val="28"/>
        </w:rPr>
        <w:t xml:space="preserve"> drug delivery by enabling highly tailored, efficient, and adaptive therapies. Continued interdisciplinary collaboration among clinicians, data scientists, and pharmaceutical researchers is essential to realize this vision and translate it into clinical practice.</w:t>
      </w:r>
    </w:p>
    <w:p w14:paraId="443556BF" w14:textId="35FE2317" w:rsidR="007D6C76" w:rsidRPr="007D6C76" w:rsidRDefault="00881A13" w:rsidP="007D6C76">
      <w:pPr>
        <w:jc w:val="both"/>
        <w:rPr>
          <w:rFonts w:ascii="Times New Roman" w:hAnsi="Times New Roman" w:cs="Times New Roman"/>
          <w:b/>
          <w:bCs/>
          <w:szCs w:val="28"/>
        </w:rPr>
      </w:pPr>
      <w:r>
        <w:rPr>
          <w:rFonts w:ascii="Times New Roman" w:hAnsi="Times New Roman" w:cs="Times New Roman"/>
          <w:b/>
          <w:bCs/>
          <w:szCs w:val="28"/>
        </w:rPr>
        <w:t xml:space="preserve">06 </w:t>
      </w:r>
      <w:r w:rsidR="007D6C76" w:rsidRPr="007D6C76">
        <w:rPr>
          <w:rFonts w:ascii="Times New Roman" w:hAnsi="Times New Roman" w:cs="Times New Roman"/>
          <w:b/>
          <w:bCs/>
          <w:szCs w:val="28"/>
        </w:rPr>
        <w:t>Scalability and Manufacturing Hurdles</w:t>
      </w:r>
    </w:p>
    <w:p w14:paraId="4D4DBA5F" w14:textId="4DAC4FC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The transition of novel drug delivery systems (NDDS) from laboratory-scale research to commercial production presents significant scalability and manufacturing challenges. Many NDDS rely on complex formulation processes, such as nanoprecipitation, self-assembly, or microfluidics, which are often optimized for small batches but difficult to reproduce consistently at industrial scales. Achieving uniform particle size distribution, drug loading efficiency, and batch-to-batch reproducibility remains a critical hurdle [</w:t>
      </w:r>
      <w:r w:rsidR="000713E6">
        <w:rPr>
          <w:rFonts w:ascii="Times New Roman" w:hAnsi="Times New Roman" w:cs="Times New Roman"/>
          <w:szCs w:val="28"/>
        </w:rPr>
        <w:t>38</w:t>
      </w:r>
      <w:r w:rsidRPr="007D6C76">
        <w:rPr>
          <w:rFonts w:ascii="Times New Roman" w:hAnsi="Times New Roman" w:cs="Times New Roman"/>
          <w:szCs w:val="28"/>
        </w:rPr>
        <w:t>].</w:t>
      </w:r>
    </w:p>
    <w:p w14:paraId="39F3B850" w14:textId="4C927922"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Manufacturing processes must also comply with Good Manufacturing Practices (GMP), requiring stringent control over raw materials, process parameters, and environmental conditions. The sensitivity of nanocarriers to factors such as temperature, shear stress, and solvent residues complicates scale-up efforts. Additionally, the use of organic solvents and surfactants in some formulations raises concerns about residual toxicity and environmental impact, necessitating the development of greener, solvent-free manufacturing methods [</w:t>
      </w:r>
      <w:r w:rsidR="000713E6">
        <w:rPr>
          <w:rFonts w:ascii="Times New Roman" w:hAnsi="Times New Roman" w:cs="Times New Roman"/>
          <w:szCs w:val="28"/>
        </w:rPr>
        <w:t>39</w:t>
      </w:r>
      <w:r w:rsidRPr="007D6C76">
        <w:rPr>
          <w:rFonts w:ascii="Times New Roman" w:hAnsi="Times New Roman" w:cs="Times New Roman"/>
          <w:szCs w:val="28"/>
        </w:rPr>
        <w:t>].</w:t>
      </w:r>
    </w:p>
    <w:p w14:paraId="55F29AD2" w14:textId="45D62F03"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Process analytical technologies (PAT) and real-time monitoring tools are increasingly being integrated into manufacturing workflows to ensure quality control and process robustness. However, the high cost of specialized equipment and the need for skilled personnel can limit widespread adoption, especially in emerging markets [</w:t>
      </w:r>
      <w:r w:rsidR="000713E6">
        <w:rPr>
          <w:rFonts w:ascii="Times New Roman" w:hAnsi="Times New Roman" w:cs="Times New Roman"/>
          <w:szCs w:val="28"/>
        </w:rPr>
        <w:t>39</w:t>
      </w:r>
      <w:r w:rsidRPr="007D6C76">
        <w:rPr>
          <w:rFonts w:ascii="Times New Roman" w:hAnsi="Times New Roman" w:cs="Times New Roman"/>
          <w:szCs w:val="28"/>
        </w:rPr>
        <w:t>].</w:t>
      </w:r>
    </w:p>
    <w:p w14:paraId="572A4840" w14:textId="7777777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Furthermore, the complexity of multifunctional and stimuli-responsive NDDS adds layers of difficulty in scaling up, as each functional component must be precisely controlled to maintain efficacy and safety. The integration of continuous manufacturing and modular production platforms offers promising solutions to these challenges by enabling flexible, scalable, and cost-effective production [4].</w:t>
      </w:r>
    </w:p>
    <w:p w14:paraId="41F2ADA2" w14:textId="7CE4C41E" w:rsidR="007D6C76" w:rsidRPr="007D6C76" w:rsidRDefault="00881A13" w:rsidP="007D6C76">
      <w:pPr>
        <w:jc w:val="both"/>
        <w:rPr>
          <w:rFonts w:ascii="Times New Roman" w:hAnsi="Times New Roman" w:cs="Times New Roman"/>
          <w:b/>
          <w:bCs/>
          <w:szCs w:val="28"/>
        </w:rPr>
      </w:pPr>
      <w:r>
        <w:rPr>
          <w:rFonts w:ascii="Times New Roman" w:hAnsi="Times New Roman" w:cs="Times New Roman"/>
          <w:b/>
          <w:bCs/>
          <w:szCs w:val="28"/>
        </w:rPr>
        <w:t>07</w:t>
      </w:r>
      <w:r w:rsidR="007D6C76" w:rsidRPr="007D6C76">
        <w:rPr>
          <w:rFonts w:ascii="Times New Roman" w:hAnsi="Times New Roman" w:cs="Times New Roman"/>
          <w:b/>
          <w:bCs/>
          <w:szCs w:val="28"/>
        </w:rPr>
        <w:t> Regulatory and Safety Considerations</w:t>
      </w:r>
    </w:p>
    <w:p w14:paraId="15FBFC17" w14:textId="1D0D95F8"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 xml:space="preserve">Regulatory approval of NDDS is a multifaceted process that requires comprehensive evaluation of safety, efficacy, quality, and manufacturing consistency. Regulatory agencies such as the U.S. Food and Drug Administration (FDA), European Medicines Agency (EMA), and others have established </w:t>
      </w:r>
      <w:r w:rsidRPr="007D6C76">
        <w:rPr>
          <w:rFonts w:ascii="Times New Roman" w:hAnsi="Times New Roman" w:cs="Times New Roman"/>
          <w:szCs w:val="28"/>
        </w:rPr>
        <w:lastRenderedPageBreak/>
        <w:t>guidelines for nanomedicines, but the rapid evolution and complexity of NDDS often outpace regulatory frameworks, creating uncertainty for developers [</w:t>
      </w:r>
      <w:r w:rsidR="000713E6">
        <w:rPr>
          <w:rFonts w:ascii="Times New Roman" w:hAnsi="Times New Roman" w:cs="Times New Roman"/>
          <w:szCs w:val="28"/>
        </w:rPr>
        <w:t>40</w:t>
      </w:r>
      <w:r w:rsidRPr="007D6C76">
        <w:rPr>
          <w:rFonts w:ascii="Times New Roman" w:hAnsi="Times New Roman" w:cs="Times New Roman"/>
          <w:szCs w:val="28"/>
        </w:rPr>
        <w:t>].</w:t>
      </w:r>
    </w:p>
    <w:p w14:paraId="7F02C8D5" w14:textId="2D3F08C3"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Safety considerations are paramount, as nanocarriers can exhibit unique pharmacokinetics, biodistribution, and potential toxicity profiles compared to conventional formulations. Issues such as immunogenicity, long-term accumulation, off-target effects, and interactions with biological systems must be thoroughly investigated through in vitro, in vivo, and clinical studies [</w:t>
      </w:r>
      <w:r w:rsidR="000713E6">
        <w:rPr>
          <w:rFonts w:ascii="Times New Roman" w:hAnsi="Times New Roman" w:cs="Times New Roman"/>
          <w:szCs w:val="28"/>
        </w:rPr>
        <w:t>2</w:t>
      </w:r>
      <w:r w:rsidRPr="007D6C76">
        <w:rPr>
          <w:rFonts w:ascii="Times New Roman" w:hAnsi="Times New Roman" w:cs="Times New Roman"/>
          <w:szCs w:val="28"/>
        </w:rPr>
        <w:t>6].</w:t>
      </w:r>
    </w:p>
    <w:p w14:paraId="28DF8259" w14:textId="5A2AE00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Standardized characterization methods for physicochemical properties, stability, and biological interactions are essential to ensure reproducibility and comparability across studies. Regulatory agencies increasingly emphasize the need for robust analytical techniques and validated assays to assess nanocarrier quality and safety [</w:t>
      </w:r>
      <w:r w:rsidR="000713E6">
        <w:rPr>
          <w:rFonts w:ascii="Times New Roman" w:hAnsi="Times New Roman" w:cs="Times New Roman"/>
          <w:szCs w:val="28"/>
        </w:rPr>
        <w:t>1</w:t>
      </w:r>
      <w:r w:rsidRPr="007D6C76">
        <w:rPr>
          <w:rFonts w:ascii="Times New Roman" w:hAnsi="Times New Roman" w:cs="Times New Roman"/>
          <w:szCs w:val="28"/>
        </w:rPr>
        <w:t>7].</w:t>
      </w:r>
    </w:p>
    <w:p w14:paraId="21986A9F" w14:textId="39E14C14"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The complexity of multifunctional NDDS, which may combine therapeutic, diagnostic, and targeting components, poses additional regulatory challenges. Developers must navigate overlapping requirements for drugs, biologics, and medical devices, often necessitating coordinated review by multiple regulatory divisions [</w:t>
      </w:r>
      <w:r w:rsidR="000713E6">
        <w:rPr>
          <w:rFonts w:ascii="Times New Roman" w:hAnsi="Times New Roman" w:cs="Times New Roman"/>
          <w:szCs w:val="28"/>
        </w:rPr>
        <w:t>2</w:t>
      </w:r>
      <w:r w:rsidRPr="007D6C76">
        <w:rPr>
          <w:rFonts w:ascii="Times New Roman" w:hAnsi="Times New Roman" w:cs="Times New Roman"/>
          <w:szCs w:val="28"/>
        </w:rPr>
        <w:t>8].</w:t>
      </w:r>
    </w:p>
    <w:p w14:paraId="6F3F2AE1" w14:textId="13306573"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To facilitate regulatory approval, early engagement with regulatory bodies, clear communication of product attributes, and adherence to quality-by-design (</w:t>
      </w:r>
      <w:proofErr w:type="spellStart"/>
      <w:r w:rsidRPr="007D6C76">
        <w:rPr>
          <w:rFonts w:ascii="Times New Roman" w:hAnsi="Times New Roman" w:cs="Times New Roman"/>
          <w:szCs w:val="28"/>
        </w:rPr>
        <w:t>QbD</w:t>
      </w:r>
      <w:proofErr w:type="spellEnd"/>
      <w:r w:rsidRPr="007D6C76">
        <w:rPr>
          <w:rFonts w:ascii="Times New Roman" w:hAnsi="Times New Roman" w:cs="Times New Roman"/>
          <w:szCs w:val="28"/>
        </w:rPr>
        <w:t>) principles are recommended. Collaborative efforts between industry, academia, and regulators are critical to establish harmonized standards and accelerate the safe translation of NDDS to the clinic [</w:t>
      </w:r>
      <w:r w:rsidR="000713E6">
        <w:rPr>
          <w:rFonts w:ascii="Times New Roman" w:hAnsi="Times New Roman" w:cs="Times New Roman"/>
          <w:szCs w:val="28"/>
        </w:rPr>
        <w:t>1</w:t>
      </w:r>
      <w:r w:rsidRPr="007D6C76">
        <w:rPr>
          <w:rFonts w:ascii="Times New Roman" w:hAnsi="Times New Roman" w:cs="Times New Roman"/>
          <w:szCs w:val="28"/>
        </w:rPr>
        <w:t>9].</w:t>
      </w:r>
    </w:p>
    <w:p w14:paraId="6E85DAC5" w14:textId="77FFFD1A" w:rsidR="007D6C76" w:rsidRPr="007D6C76" w:rsidRDefault="00881A13" w:rsidP="007D6C76">
      <w:pPr>
        <w:jc w:val="both"/>
        <w:rPr>
          <w:rFonts w:ascii="Times New Roman" w:hAnsi="Times New Roman" w:cs="Times New Roman"/>
          <w:b/>
          <w:bCs/>
          <w:szCs w:val="28"/>
        </w:rPr>
      </w:pPr>
      <w:r>
        <w:rPr>
          <w:rFonts w:ascii="Times New Roman" w:hAnsi="Times New Roman" w:cs="Times New Roman"/>
          <w:b/>
          <w:bCs/>
          <w:szCs w:val="28"/>
        </w:rPr>
        <w:t xml:space="preserve">08 </w:t>
      </w:r>
      <w:r w:rsidR="007D6C76" w:rsidRPr="007D6C76">
        <w:rPr>
          <w:rFonts w:ascii="Times New Roman" w:hAnsi="Times New Roman" w:cs="Times New Roman"/>
          <w:b/>
          <w:bCs/>
          <w:szCs w:val="28"/>
        </w:rPr>
        <w:t>Clinical Trial Design and Patient Compliance Issues</w:t>
      </w:r>
    </w:p>
    <w:p w14:paraId="2026ACD5" w14:textId="42B09982"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The clinical evaluation of novel drug delivery systems (NDDS) presents unique challenges that differ from traditional drug formulations. Designing clinical trials for NDDS requires careful consideration of the delivery platform’s pharmacokinetics, biodistribution, and mechanism of action. Unlike conventional drugs, NDDS often exhibit complex behavior such as targeted delivery, controlled release, and multifunctionality, which necessitate specialized endpoints and biomarkers to accurately assess efficacy and safety [1</w:t>
      </w:r>
      <w:r w:rsidR="000713E6">
        <w:rPr>
          <w:rFonts w:ascii="Times New Roman" w:hAnsi="Times New Roman" w:cs="Times New Roman"/>
          <w:szCs w:val="28"/>
        </w:rPr>
        <w:t>1</w:t>
      </w:r>
      <w:r w:rsidRPr="007D6C76">
        <w:rPr>
          <w:rFonts w:ascii="Times New Roman" w:hAnsi="Times New Roman" w:cs="Times New Roman"/>
          <w:szCs w:val="28"/>
        </w:rPr>
        <w:t>].</w:t>
      </w:r>
    </w:p>
    <w:p w14:paraId="06C12533" w14:textId="0BFDFAEE"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Patient compliance is another critical factor influencing the success of NDDS in clinical settings. While NDDS aim to improve adherence by reducing dosing frequency and side effects, the complexity of some delivery systems, such as injectable nanoparticles or implantable devices, may pose barriers to patient acceptance. Additionally, patient education and healthcare provider training are essential to ensure proper administration and monitoring [</w:t>
      </w:r>
      <w:r w:rsidR="000713E6">
        <w:rPr>
          <w:rFonts w:ascii="Times New Roman" w:hAnsi="Times New Roman" w:cs="Times New Roman"/>
          <w:szCs w:val="28"/>
        </w:rPr>
        <w:t>2</w:t>
      </w:r>
      <w:r w:rsidRPr="007D6C76">
        <w:rPr>
          <w:rFonts w:ascii="Times New Roman" w:hAnsi="Times New Roman" w:cs="Times New Roman"/>
          <w:szCs w:val="28"/>
        </w:rPr>
        <w:t>2].</w:t>
      </w:r>
    </w:p>
    <w:p w14:paraId="76A066BB" w14:textId="299022C0"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Adaptive trial designs and real-world evidence are increasingly employed to address these challenges, allowing for flexible protocols that can accommodate patient variability and evolving therapeutic responses. Incorporating patient-reported outcomes and digital health technologies can further enhance compliance monitoring and personalized treatment adjustments [</w:t>
      </w:r>
      <w:r w:rsidR="000713E6">
        <w:rPr>
          <w:rFonts w:ascii="Times New Roman" w:hAnsi="Times New Roman" w:cs="Times New Roman"/>
          <w:szCs w:val="28"/>
        </w:rPr>
        <w:t>1</w:t>
      </w:r>
      <w:r w:rsidRPr="007D6C76">
        <w:rPr>
          <w:rFonts w:ascii="Times New Roman" w:hAnsi="Times New Roman" w:cs="Times New Roman"/>
          <w:szCs w:val="28"/>
        </w:rPr>
        <w:t>3].</w:t>
      </w:r>
    </w:p>
    <w:p w14:paraId="029215DD" w14:textId="67DA4CFB" w:rsidR="007D6C76" w:rsidRPr="007D6C76" w:rsidRDefault="007D6C76" w:rsidP="007D6C76">
      <w:pPr>
        <w:jc w:val="both"/>
        <w:rPr>
          <w:rFonts w:ascii="Times New Roman" w:hAnsi="Times New Roman" w:cs="Times New Roman"/>
          <w:b/>
          <w:bCs/>
          <w:szCs w:val="28"/>
        </w:rPr>
      </w:pPr>
      <w:r w:rsidRPr="007D6C76">
        <w:rPr>
          <w:rFonts w:ascii="Times New Roman" w:hAnsi="Times New Roman" w:cs="Times New Roman"/>
          <w:b/>
          <w:bCs/>
          <w:szCs w:val="28"/>
        </w:rPr>
        <w:t>Intellectual Property and Commercialization Barriers</w:t>
      </w:r>
    </w:p>
    <w:p w14:paraId="395D7190" w14:textId="49CA879A"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lastRenderedPageBreak/>
        <w:t>Intellectual property (IP) protection is vital for incentivizing innovation in NDDS but also presents significant challenges. The complexity of NDDS, which often combine novel materials, formulation techniques, and targeting ligands, leads to intricate patent landscapes with overlapping claims. Navigating these landscapes requires strategic patent filing and freedom-to-operate analyses to avoid infringement and ensure market exclusivity [</w:t>
      </w:r>
      <w:r w:rsidR="000713E6">
        <w:rPr>
          <w:rFonts w:ascii="Times New Roman" w:hAnsi="Times New Roman" w:cs="Times New Roman"/>
          <w:szCs w:val="28"/>
        </w:rPr>
        <w:t>26</w:t>
      </w:r>
      <w:r w:rsidRPr="007D6C76">
        <w:rPr>
          <w:rFonts w:ascii="Times New Roman" w:hAnsi="Times New Roman" w:cs="Times New Roman"/>
          <w:szCs w:val="28"/>
        </w:rPr>
        <w:t>].</w:t>
      </w:r>
    </w:p>
    <w:p w14:paraId="50DA7695" w14:textId="6B469BA5"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Commercialization barriers include high development costs, lengthy regulatory approval processes, and the need for specialized manufacturing infrastructure. The scale-up of NDDS production while maintaining quality and consistency is capital-intensive, which can deter investment, especially for smaller companies and startups [</w:t>
      </w:r>
      <w:r w:rsidR="000713E6">
        <w:rPr>
          <w:rFonts w:ascii="Times New Roman" w:hAnsi="Times New Roman" w:cs="Times New Roman"/>
          <w:szCs w:val="28"/>
        </w:rPr>
        <w:t>36</w:t>
      </w:r>
      <w:r w:rsidRPr="007D6C76">
        <w:rPr>
          <w:rFonts w:ascii="Times New Roman" w:hAnsi="Times New Roman" w:cs="Times New Roman"/>
          <w:szCs w:val="28"/>
        </w:rPr>
        <w:t>].</w:t>
      </w:r>
    </w:p>
    <w:p w14:paraId="000F4677" w14:textId="3CC8381D"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Market acceptance is influenced by factors such as cost-effectiveness, reimbursement policies, and competition from generic or biosimilar products. Collaborations between academia, industry, and regulatory agencies are essential to streamline development pathways and facilitate technology transfer [6].</w:t>
      </w:r>
    </w:p>
    <w:p w14:paraId="650EFB6D" w14:textId="0413B041" w:rsidR="007D6C76" w:rsidRPr="007D6C76" w:rsidRDefault="00881A13" w:rsidP="007D6C76">
      <w:pPr>
        <w:jc w:val="both"/>
        <w:rPr>
          <w:rFonts w:ascii="Times New Roman" w:hAnsi="Times New Roman" w:cs="Times New Roman"/>
          <w:b/>
          <w:bCs/>
          <w:szCs w:val="28"/>
        </w:rPr>
      </w:pPr>
      <w:r>
        <w:rPr>
          <w:rFonts w:ascii="Times New Roman" w:hAnsi="Times New Roman" w:cs="Times New Roman"/>
          <w:b/>
          <w:bCs/>
          <w:szCs w:val="28"/>
        </w:rPr>
        <w:t xml:space="preserve">09. </w:t>
      </w:r>
      <w:r w:rsidR="007D6C76" w:rsidRPr="007D6C76">
        <w:rPr>
          <w:rFonts w:ascii="Times New Roman" w:hAnsi="Times New Roman" w:cs="Times New Roman"/>
          <w:b/>
          <w:bCs/>
          <w:szCs w:val="28"/>
        </w:rPr>
        <w:t>Emerging Trends and Future Directions</w:t>
      </w:r>
    </w:p>
    <w:p w14:paraId="0AD06748" w14:textId="5711935B"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The field of NDDS is rapidly evolving, driven by advances in materials science, biotechnology, and digital health. One emerging trend is the integration of artificial intelligence (AI) and machine learning to optimize formulation design, predict biological interactions, and personalize therapies. AI-driven platforms enable rapid screening of nanocarrier properties and patient-specific treatment regimens, accelerating development timelines [</w:t>
      </w:r>
      <w:r w:rsidR="000713E6">
        <w:rPr>
          <w:rFonts w:ascii="Times New Roman" w:hAnsi="Times New Roman" w:cs="Times New Roman"/>
          <w:szCs w:val="28"/>
        </w:rPr>
        <w:t>35</w:t>
      </w:r>
      <w:r w:rsidRPr="007D6C76">
        <w:rPr>
          <w:rFonts w:ascii="Times New Roman" w:hAnsi="Times New Roman" w:cs="Times New Roman"/>
          <w:szCs w:val="28"/>
        </w:rPr>
        <w:t>].</w:t>
      </w:r>
    </w:p>
    <w:p w14:paraId="7816FEBC" w14:textId="25317B41"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Sustainability and green manufacturing are gaining prominence, with efforts to develop eco-friendly synthesis methods, biodegradable materials, and solvent-free processes to reduce environmental impact. This aligns with global regulatory and societal demands for sustainable pharmaceutical production [</w:t>
      </w:r>
      <w:r w:rsidR="000713E6">
        <w:rPr>
          <w:rFonts w:ascii="Times New Roman" w:hAnsi="Times New Roman" w:cs="Times New Roman"/>
          <w:szCs w:val="28"/>
        </w:rPr>
        <w:t>36</w:t>
      </w:r>
      <w:r w:rsidRPr="007D6C76">
        <w:rPr>
          <w:rFonts w:ascii="Times New Roman" w:hAnsi="Times New Roman" w:cs="Times New Roman"/>
          <w:szCs w:val="28"/>
        </w:rPr>
        <w:t>].</w:t>
      </w:r>
    </w:p>
    <w:p w14:paraId="25375A60" w14:textId="2D06EFF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The rise of </w:t>
      </w:r>
      <w:proofErr w:type="spellStart"/>
      <w:r w:rsidRPr="007D6C76">
        <w:rPr>
          <w:rFonts w:ascii="Times New Roman" w:hAnsi="Times New Roman" w:cs="Times New Roman"/>
          <w:szCs w:val="28"/>
        </w:rPr>
        <w:t>theranostics</w:t>
      </w:r>
      <w:proofErr w:type="spellEnd"/>
      <w:r w:rsidR="000713E6">
        <w:rPr>
          <w:rFonts w:ascii="Times New Roman" w:hAnsi="Times New Roman" w:cs="Times New Roman"/>
          <w:szCs w:val="28"/>
        </w:rPr>
        <w:t xml:space="preserve"> </w:t>
      </w:r>
      <w:r w:rsidRPr="007D6C76">
        <w:rPr>
          <w:rFonts w:ascii="Times New Roman" w:hAnsi="Times New Roman" w:cs="Times New Roman"/>
          <w:szCs w:val="28"/>
        </w:rPr>
        <w:t>combining therapeutic and diagnostic functions in a single NDDS</w:t>
      </w:r>
      <w:r w:rsidR="000713E6">
        <w:rPr>
          <w:rFonts w:ascii="Times New Roman" w:hAnsi="Times New Roman" w:cs="Times New Roman"/>
          <w:szCs w:val="28"/>
        </w:rPr>
        <w:t xml:space="preserve"> </w:t>
      </w:r>
      <w:r w:rsidRPr="007D6C76">
        <w:rPr>
          <w:rFonts w:ascii="Times New Roman" w:hAnsi="Times New Roman" w:cs="Times New Roman"/>
          <w:szCs w:val="28"/>
        </w:rPr>
        <w:t>offers real-time monitoring of drug delivery and treatment response, enhancing precision medicine. Multifunctional nanocarriers capable of co-delivering drugs, imaging agents, and gene-editing tools are under active investigation [</w:t>
      </w:r>
      <w:r w:rsidR="000713E6">
        <w:rPr>
          <w:rFonts w:ascii="Times New Roman" w:hAnsi="Times New Roman" w:cs="Times New Roman"/>
          <w:szCs w:val="28"/>
        </w:rPr>
        <w:t>1</w:t>
      </w:r>
      <w:r w:rsidRPr="007D6C76">
        <w:rPr>
          <w:rFonts w:ascii="Times New Roman" w:hAnsi="Times New Roman" w:cs="Times New Roman"/>
          <w:szCs w:val="28"/>
        </w:rPr>
        <w:t>9].</w:t>
      </w:r>
    </w:p>
    <w:p w14:paraId="5792D3E3" w14:textId="7777777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Advances in 3D printing and personalized dosage forms are enabling patient-specific drug delivery devices with tailored release profiles and geometries. This technology holds promise for improving treatment adherence and outcomes, particularly in complex or chronic diseases [10].</w:t>
      </w:r>
    </w:p>
    <w:p w14:paraId="36D7A274" w14:textId="7777777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Finally, the expansion of NDDS into non-traditional routes of administration such as pulmonary, nasal, and transdermal delivery is opening new therapeutic opportunities, especially for vaccines and biologics. These routes offer non-invasive alternatives with rapid onset and improved patient compliance [11].</w:t>
      </w:r>
    </w:p>
    <w:p w14:paraId="3418E151" w14:textId="77777777" w:rsidR="007D6C76" w:rsidRPr="007D6C76" w:rsidRDefault="007D6C76" w:rsidP="007D6C76">
      <w:pPr>
        <w:jc w:val="both"/>
        <w:rPr>
          <w:rFonts w:ascii="Times New Roman" w:hAnsi="Times New Roman" w:cs="Times New Roman"/>
          <w:b/>
          <w:bCs/>
          <w:szCs w:val="28"/>
        </w:rPr>
      </w:pPr>
      <w:r w:rsidRPr="007D6C76">
        <w:rPr>
          <w:rFonts w:ascii="Times New Roman" w:hAnsi="Times New Roman" w:cs="Times New Roman"/>
          <w:b/>
          <w:bCs/>
          <w:szCs w:val="28"/>
        </w:rPr>
        <w:t>Green and Sustainable NDDS Manufacturing</w:t>
      </w:r>
    </w:p>
    <w:p w14:paraId="3988B937" w14:textId="7E30A660"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lastRenderedPageBreak/>
        <w:t>The pharmaceutical industry is increasingly prioritizing green and sustainable manufacturing practices to reduce environmental impact, improve safety, and comply with evolving regulatory standards. Novel drug delivery systems (NDDS) manufacturing is no exception, as traditional processes often involve toxic solvents, high energy consumption, and generate significant waste. Green manufacturing approaches aim to minimize these drawbacks by adopting eco-friendly materials, solvent-free or solvent-reduced techniques, and energy-efficient processes [1</w:t>
      </w:r>
      <w:r w:rsidR="000713E6">
        <w:rPr>
          <w:rFonts w:ascii="Times New Roman" w:hAnsi="Times New Roman" w:cs="Times New Roman"/>
          <w:szCs w:val="28"/>
        </w:rPr>
        <w:t>2</w:t>
      </w:r>
      <w:r w:rsidRPr="007D6C76">
        <w:rPr>
          <w:rFonts w:ascii="Times New Roman" w:hAnsi="Times New Roman" w:cs="Times New Roman"/>
          <w:szCs w:val="28"/>
        </w:rPr>
        <w:t>].</w:t>
      </w:r>
    </w:p>
    <w:p w14:paraId="4D36562F" w14:textId="5DF0B886"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One major advancement is the use of supercritical fluid technology, which employs supercritical CO₂ as a green solvent for nanoparticle synthesis and drug encapsulation. This method reduces or eliminates the need for harmful organic solvents, lowers residual solvent levels, and allows precise control over particle size and morphology [2</w:t>
      </w:r>
      <w:r w:rsidR="000713E6">
        <w:rPr>
          <w:rFonts w:ascii="Times New Roman" w:hAnsi="Times New Roman" w:cs="Times New Roman"/>
          <w:szCs w:val="28"/>
        </w:rPr>
        <w:t>4</w:t>
      </w:r>
      <w:r w:rsidRPr="007D6C76">
        <w:rPr>
          <w:rFonts w:ascii="Times New Roman" w:hAnsi="Times New Roman" w:cs="Times New Roman"/>
          <w:szCs w:val="28"/>
        </w:rPr>
        <w:t>]. Similarly, microfluidic platforms enable continuous, scalable production of nanocarriers with minimal reagent consumption and waste generation, enhancing process sustainability [3</w:t>
      </w:r>
      <w:r w:rsidR="000713E6">
        <w:rPr>
          <w:rFonts w:ascii="Times New Roman" w:hAnsi="Times New Roman" w:cs="Times New Roman"/>
          <w:szCs w:val="28"/>
        </w:rPr>
        <w:t>4</w:t>
      </w:r>
      <w:r w:rsidRPr="007D6C76">
        <w:rPr>
          <w:rFonts w:ascii="Times New Roman" w:hAnsi="Times New Roman" w:cs="Times New Roman"/>
          <w:szCs w:val="28"/>
        </w:rPr>
        <w:t>].</w:t>
      </w:r>
    </w:p>
    <w:p w14:paraId="389535CC" w14:textId="1F799D7E"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Biodegradable and renewable materials such as natural polymers (e.g., chitosan, alginate) and lipids derived from sustainable sources are increasingly favored for NDDS formulation. These materials not only reduce environmental burden but also improve biocompatibility and patient safety [</w:t>
      </w:r>
      <w:r w:rsidR="000713E6">
        <w:rPr>
          <w:rFonts w:ascii="Times New Roman" w:hAnsi="Times New Roman" w:cs="Times New Roman"/>
          <w:szCs w:val="28"/>
        </w:rPr>
        <w:t>2</w:t>
      </w:r>
      <w:r w:rsidRPr="007D6C76">
        <w:rPr>
          <w:rFonts w:ascii="Times New Roman" w:hAnsi="Times New Roman" w:cs="Times New Roman"/>
          <w:szCs w:val="28"/>
        </w:rPr>
        <w:t>4]. Additionally, process intensification strategies, including continuous manufacturing and in-line monitoring, optimize resource utilization and reduce production times [</w:t>
      </w:r>
      <w:r w:rsidR="000713E6">
        <w:rPr>
          <w:rFonts w:ascii="Times New Roman" w:hAnsi="Times New Roman" w:cs="Times New Roman"/>
          <w:szCs w:val="28"/>
        </w:rPr>
        <w:t>1</w:t>
      </w:r>
      <w:r w:rsidRPr="007D6C76">
        <w:rPr>
          <w:rFonts w:ascii="Times New Roman" w:hAnsi="Times New Roman" w:cs="Times New Roman"/>
          <w:szCs w:val="28"/>
        </w:rPr>
        <w:t>5].</w:t>
      </w:r>
    </w:p>
    <w:p w14:paraId="0999F50D" w14:textId="179BB960"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Despite these advances, challenges remain in balancing green manufacturing goals with product quality, scalability, and regulatory compliance. Ongoing research focuses on developing standardized green protocols and life cycle assessments to quantify environmental benefits and guide sustainable NDDS development [</w:t>
      </w:r>
      <w:r w:rsidR="000713E6">
        <w:rPr>
          <w:rFonts w:ascii="Times New Roman" w:hAnsi="Times New Roman" w:cs="Times New Roman"/>
          <w:szCs w:val="28"/>
        </w:rPr>
        <w:t>2</w:t>
      </w:r>
      <w:r w:rsidRPr="007D6C76">
        <w:rPr>
          <w:rFonts w:ascii="Times New Roman" w:hAnsi="Times New Roman" w:cs="Times New Roman"/>
          <w:szCs w:val="28"/>
        </w:rPr>
        <w:t>6].</w:t>
      </w:r>
    </w:p>
    <w:p w14:paraId="725AAD44" w14:textId="025D5840" w:rsidR="007D6C76" w:rsidRPr="007D6C76" w:rsidRDefault="007D6C76" w:rsidP="007D6C76">
      <w:pPr>
        <w:jc w:val="both"/>
        <w:rPr>
          <w:rFonts w:ascii="Times New Roman" w:hAnsi="Times New Roman" w:cs="Times New Roman"/>
          <w:b/>
          <w:bCs/>
          <w:szCs w:val="28"/>
        </w:rPr>
      </w:pPr>
      <w:r w:rsidRPr="007D6C76">
        <w:rPr>
          <w:rFonts w:ascii="Times New Roman" w:hAnsi="Times New Roman" w:cs="Times New Roman"/>
          <w:b/>
          <w:bCs/>
          <w:szCs w:val="28"/>
        </w:rPr>
        <w:t>Hybrid and Multifunctional Systems</w:t>
      </w:r>
    </w:p>
    <w:p w14:paraId="1BB5F6BA" w14:textId="4C23601B"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Hybrid and multifunctional drug delivery systems represent the next frontier in NDDS, combining diverse materials and functionalities to address complex therapeutic challenges. These systems integrate multiple components</w:t>
      </w:r>
      <w:r w:rsidR="000713E6">
        <w:rPr>
          <w:rFonts w:ascii="Times New Roman" w:hAnsi="Times New Roman" w:cs="Times New Roman"/>
          <w:szCs w:val="28"/>
        </w:rPr>
        <w:t xml:space="preserve"> </w:t>
      </w:r>
      <w:r w:rsidRPr="007D6C76">
        <w:rPr>
          <w:rFonts w:ascii="Times New Roman" w:hAnsi="Times New Roman" w:cs="Times New Roman"/>
          <w:szCs w:val="28"/>
        </w:rPr>
        <w:t>such as polymers, lipids, inorganic nanoparticles, and targeting ligands</w:t>
      </w:r>
      <w:r w:rsidR="000713E6">
        <w:rPr>
          <w:rFonts w:ascii="Times New Roman" w:hAnsi="Times New Roman" w:cs="Times New Roman"/>
          <w:szCs w:val="28"/>
        </w:rPr>
        <w:t xml:space="preserve"> </w:t>
      </w:r>
      <w:r w:rsidRPr="007D6C76">
        <w:rPr>
          <w:rFonts w:ascii="Times New Roman" w:hAnsi="Times New Roman" w:cs="Times New Roman"/>
          <w:szCs w:val="28"/>
        </w:rPr>
        <w:t>into a single platform, enabling simultaneous drug delivery, targeting, imaging, and stimuli-responsiveness [</w:t>
      </w:r>
      <w:r w:rsidR="000713E6">
        <w:rPr>
          <w:rFonts w:ascii="Times New Roman" w:hAnsi="Times New Roman" w:cs="Times New Roman"/>
          <w:szCs w:val="28"/>
        </w:rPr>
        <w:t>1</w:t>
      </w:r>
      <w:r w:rsidRPr="007D6C76">
        <w:rPr>
          <w:rFonts w:ascii="Times New Roman" w:hAnsi="Times New Roman" w:cs="Times New Roman"/>
          <w:szCs w:val="28"/>
        </w:rPr>
        <w:t>7].</w:t>
      </w:r>
    </w:p>
    <w:p w14:paraId="2EC6FC23" w14:textId="7882BC40"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For example, polymer-lipid hybrid nanoparticles merge the structural stability and controlled release properties of polymers with the biocompatibility and membrane fusion capabilities of lipids. This synergy enhances drug loading, circulation time, and cellular uptake, making them promising carriers for cancer therapy and gene delivery [</w:t>
      </w:r>
      <w:r w:rsidR="000713E6">
        <w:rPr>
          <w:rFonts w:ascii="Times New Roman" w:hAnsi="Times New Roman" w:cs="Times New Roman"/>
          <w:szCs w:val="28"/>
        </w:rPr>
        <w:t>1</w:t>
      </w:r>
      <w:r w:rsidRPr="007D6C76">
        <w:rPr>
          <w:rFonts w:ascii="Times New Roman" w:hAnsi="Times New Roman" w:cs="Times New Roman"/>
          <w:szCs w:val="28"/>
        </w:rPr>
        <w:t xml:space="preserve">8]. Similarly, inorganic-organic hybrids, such as silica-coated magnetic nanoparticles, combine magnetic targeting and imaging with controlled drug release, facilitating </w:t>
      </w:r>
      <w:proofErr w:type="spellStart"/>
      <w:r w:rsidRPr="007D6C76">
        <w:rPr>
          <w:rFonts w:ascii="Times New Roman" w:hAnsi="Times New Roman" w:cs="Times New Roman"/>
          <w:szCs w:val="28"/>
        </w:rPr>
        <w:t>theranostic</w:t>
      </w:r>
      <w:proofErr w:type="spellEnd"/>
      <w:r w:rsidRPr="007D6C76">
        <w:rPr>
          <w:rFonts w:ascii="Times New Roman" w:hAnsi="Times New Roman" w:cs="Times New Roman"/>
          <w:szCs w:val="28"/>
        </w:rPr>
        <w:t xml:space="preserve"> applications [</w:t>
      </w:r>
      <w:r w:rsidR="000713E6">
        <w:rPr>
          <w:rFonts w:ascii="Times New Roman" w:hAnsi="Times New Roman" w:cs="Times New Roman"/>
          <w:szCs w:val="28"/>
        </w:rPr>
        <w:t>2</w:t>
      </w:r>
      <w:r w:rsidRPr="007D6C76">
        <w:rPr>
          <w:rFonts w:ascii="Times New Roman" w:hAnsi="Times New Roman" w:cs="Times New Roman"/>
          <w:szCs w:val="28"/>
        </w:rPr>
        <w:t>9].</w:t>
      </w:r>
    </w:p>
    <w:p w14:paraId="22C397E5" w14:textId="7777777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 xml:space="preserve">Multifunctional systems often incorporate stimuli-responsive elements that trigger drug release in response to environmental cues (pH, temperature, enzymes), improving site-specificity and </w:t>
      </w:r>
      <w:r w:rsidRPr="007D6C76">
        <w:rPr>
          <w:rFonts w:ascii="Times New Roman" w:hAnsi="Times New Roman" w:cs="Times New Roman"/>
          <w:szCs w:val="28"/>
        </w:rPr>
        <w:lastRenderedPageBreak/>
        <w:t>reducing systemic toxicity. Additionally, surface modification with targeting moieties (antibodies, peptides, aptamers) enables active targeting of diseased cells, enhancing therapeutic efficacy [10].</w:t>
      </w:r>
    </w:p>
    <w:p w14:paraId="44A6E31D" w14:textId="7777777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The design of hybrid systems requires careful consideration of component compatibility, synthesis complexity, and potential toxicity. However, their ability to perform multiple roles simultaneously offers significant advantages over conventional single-function carriers, particularly in personalized and precision medicine [11].</w:t>
      </w:r>
    </w:p>
    <w:p w14:paraId="45C5B589" w14:textId="520F5049" w:rsidR="00E64738" w:rsidRPr="00E64738" w:rsidRDefault="00E64738" w:rsidP="00E64738">
      <w:pPr>
        <w:jc w:val="both"/>
        <w:rPr>
          <w:rFonts w:ascii="Times New Roman" w:hAnsi="Times New Roman" w:cs="Times New Roman"/>
          <w:b/>
          <w:bCs/>
          <w:szCs w:val="28"/>
        </w:rPr>
      </w:pPr>
      <w:r w:rsidRPr="00E64738">
        <w:rPr>
          <w:rFonts w:ascii="Times New Roman" w:hAnsi="Times New Roman" w:cs="Times New Roman"/>
          <w:b/>
          <w:bCs/>
          <w:szCs w:val="28"/>
        </w:rPr>
        <w:t>Digital Health Integration and Real-Time Monitoring</w:t>
      </w:r>
    </w:p>
    <w:p w14:paraId="4CD223E2" w14:textId="4A7CCC86"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The integration of digital health technologies with novel drug delivery systems (NDDS) is revolutionizing personalized medicine by enabling real-time monitoring, adaptive therapy, and improved patient engagement. Wearable sensors, implantable devices, and mobile health applications can continuously track physiological parameters, drug release profiles, and therapeutic responses, providing valuable data to clinicians and patients alike [</w:t>
      </w:r>
      <w:r w:rsidR="000713E6">
        <w:rPr>
          <w:rFonts w:ascii="Times New Roman" w:hAnsi="Times New Roman" w:cs="Times New Roman"/>
          <w:szCs w:val="28"/>
        </w:rPr>
        <w:t>3</w:t>
      </w:r>
      <w:r w:rsidRPr="00E64738">
        <w:rPr>
          <w:rFonts w:ascii="Times New Roman" w:hAnsi="Times New Roman" w:cs="Times New Roman"/>
          <w:szCs w:val="28"/>
        </w:rPr>
        <w:t>1]. This real-time feedback facilitates dynamic dose adjustments, early detection of adverse effects, and enhanced adherence, ultimately improving treatment outcomes.</w:t>
      </w:r>
    </w:p>
    <w:p w14:paraId="34B76A25" w14:textId="30BF1276"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Smart NDDS platforms equipped with biosensors can detect biomarkers or environmental changes and modulate drug release accordingly, creating closed-loop systems that respond autonomously to patient needs [</w:t>
      </w:r>
      <w:r w:rsidR="000713E6">
        <w:rPr>
          <w:rFonts w:ascii="Times New Roman" w:hAnsi="Times New Roman" w:cs="Times New Roman"/>
          <w:szCs w:val="28"/>
        </w:rPr>
        <w:t>1</w:t>
      </w:r>
      <w:r w:rsidRPr="00E64738">
        <w:rPr>
          <w:rFonts w:ascii="Times New Roman" w:hAnsi="Times New Roman" w:cs="Times New Roman"/>
          <w:szCs w:val="28"/>
        </w:rPr>
        <w:t>2]. Additionally, digital tools support remote patient monitoring and telemedicine, expanding access to care and reducing healthcare costs. The convergence of NDDS with digital health thus represents a paradigm shift towards more precise, responsive, and patient-centered therapies.</w:t>
      </w:r>
    </w:p>
    <w:p w14:paraId="0FF71C19" w14:textId="01A14D1F" w:rsidR="00E64738" w:rsidRPr="00E64738" w:rsidRDefault="00E64738" w:rsidP="00E64738">
      <w:pPr>
        <w:jc w:val="both"/>
        <w:rPr>
          <w:rFonts w:ascii="Times New Roman" w:hAnsi="Times New Roman" w:cs="Times New Roman"/>
          <w:b/>
          <w:bCs/>
          <w:szCs w:val="28"/>
        </w:rPr>
      </w:pPr>
      <w:r w:rsidRPr="00E64738">
        <w:rPr>
          <w:rFonts w:ascii="Times New Roman" w:hAnsi="Times New Roman" w:cs="Times New Roman"/>
          <w:b/>
          <w:bCs/>
          <w:szCs w:val="28"/>
        </w:rPr>
        <w:t>Potential Impact of Evolving Regulatory Policies</w:t>
      </w:r>
    </w:p>
    <w:p w14:paraId="15FDA168" w14:textId="2D341448"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Regulatory agencies worldwide are adapting to the rapid advancements in NDDS and associated digital health technologies by updating guidelines and frameworks to ensure safety, efficacy, and quality. Evolving policies emphasize the importance of robust characterization, standardized testing, and post-market surveillance for complex nanomedicines and multifunctional delivery systems [</w:t>
      </w:r>
      <w:r w:rsidR="000713E6">
        <w:rPr>
          <w:rFonts w:ascii="Times New Roman" w:hAnsi="Times New Roman" w:cs="Times New Roman"/>
          <w:szCs w:val="28"/>
        </w:rPr>
        <w:t>3</w:t>
      </w:r>
      <w:r w:rsidRPr="00E64738">
        <w:rPr>
          <w:rFonts w:ascii="Times New Roman" w:hAnsi="Times New Roman" w:cs="Times New Roman"/>
          <w:szCs w:val="28"/>
        </w:rPr>
        <w:t>3]. Regulatory bodies are also increasingly considering real-world evidence and adaptive clinical trial designs to accelerate approval processes without compromising patient safety.</w:t>
      </w:r>
    </w:p>
    <w:p w14:paraId="3E25E0B5" w14:textId="41FAD8B6"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The integration of digital health components introduces additional regulatory considerations related to data security, privacy, software validation, and interoperability. Harmonization of regulations across regions remains a challenge but is critical for global development and commercialization of NDDS [</w:t>
      </w:r>
      <w:r w:rsidR="000713E6">
        <w:rPr>
          <w:rFonts w:ascii="Times New Roman" w:hAnsi="Times New Roman" w:cs="Times New Roman"/>
          <w:szCs w:val="28"/>
        </w:rPr>
        <w:t>1</w:t>
      </w:r>
      <w:r w:rsidRPr="00E64738">
        <w:rPr>
          <w:rFonts w:ascii="Times New Roman" w:hAnsi="Times New Roman" w:cs="Times New Roman"/>
          <w:szCs w:val="28"/>
        </w:rPr>
        <w:t>4]. Proactive engagement with regulators and early incorporation of regulatory science principles into product development are essential strategies to navigate this evolving landscape.</w:t>
      </w:r>
    </w:p>
    <w:p w14:paraId="4931F419" w14:textId="50E85528" w:rsidR="00E64738" w:rsidRPr="00E64738" w:rsidRDefault="00E64738" w:rsidP="00E64738">
      <w:pPr>
        <w:jc w:val="both"/>
        <w:rPr>
          <w:rFonts w:ascii="Times New Roman" w:hAnsi="Times New Roman" w:cs="Times New Roman"/>
          <w:b/>
          <w:bCs/>
          <w:szCs w:val="28"/>
        </w:rPr>
      </w:pPr>
      <w:r w:rsidRPr="00E64738">
        <w:rPr>
          <w:rFonts w:ascii="Times New Roman" w:hAnsi="Times New Roman" w:cs="Times New Roman"/>
          <w:b/>
          <w:bCs/>
          <w:szCs w:val="28"/>
        </w:rPr>
        <w:t>Research Gaps and Opportunities</w:t>
      </w:r>
    </w:p>
    <w:p w14:paraId="1C6E4278" w14:textId="4F588DB1"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lastRenderedPageBreak/>
        <w:t>Despite significant progress, several research gaps hinder the full realization of NDDS potential. Key gaps include limited understanding of long-term safety and immunogenicity, especially for multifunctional and stimuli-responsive systems. There is a need for standardized, predictive in vitro and in vivo models that better mimic human physiology to evaluate nanocarrier behavior and toxicity [</w:t>
      </w:r>
      <w:r w:rsidR="000713E6">
        <w:rPr>
          <w:rFonts w:ascii="Times New Roman" w:hAnsi="Times New Roman" w:cs="Times New Roman"/>
          <w:szCs w:val="28"/>
        </w:rPr>
        <w:t>2</w:t>
      </w:r>
      <w:r w:rsidRPr="00E64738">
        <w:rPr>
          <w:rFonts w:ascii="Times New Roman" w:hAnsi="Times New Roman" w:cs="Times New Roman"/>
          <w:szCs w:val="28"/>
        </w:rPr>
        <w:t>5].</w:t>
      </w:r>
    </w:p>
    <w:p w14:paraId="4CF8B1D6" w14:textId="77777777"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Scalability and reproducibility of complex NDDS formulations remain challenging, necessitating advances in manufacturing technologies and quality control methods. Furthermore, integration of AI and digital health tools requires large, high-quality datasets and improved algorithms to ensure accuracy and clinical relevance.</w:t>
      </w:r>
    </w:p>
    <w:p w14:paraId="7BCB3A14" w14:textId="598398D5"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Opportunities lie in developing biodegradable and environmentally sustainable materials, enhancing targeting specificity through novel ligands, and expanding NDDS applications to emerging therapeutic areas such as gene editing and immunotherapy. Collaborative efforts among academia, industry, and regulatory agencies are vital to address these gaps and accelerate translation from bench to bedside [</w:t>
      </w:r>
      <w:r w:rsidR="00BD4782">
        <w:rPr>
          <w:rFonts w:ascii="Times New Roman" w:hAnsi="Times New Roman" w:cs="Times New Roman"/>
          <w:szCs w:val="28"/>
        </w:rPr>
        <w:t>1</w:t>
      </w:r>
      <w:r w:rsidRPr="00E64738">
        <w:rPr>
          <w:rFonts w:ascii="Times New Roman" w:hAnsi="Times New Roman" w:cs="Times New Roman"/>
          <w:szCs w:val="28"/>
        </w:rPr>
        <w:t>6].</w:t>
      </w:r>
    </w:p>
    <w:p w14:paraId="2B2FB09A" w14:textId="77777777" w:rsidR="00E64738" w:rsidRPr="00E64738" w:rsidRDefault="00E64738" w:rsidP="00E64738">
      <w:pPr>
        <w:jc w:val="both"/>
        <w:rPr>
          <w:rFonts w:ascii="Times New Roman" w:hAnsi="Times New Roman" w:cs="Times New Roman"/>
          <w:b/>
          <w:bCs/>
          <w:szCs w:val="28"/>
        </w:rPr>
      </w:pPr>
      <w:r w:rsidRPr="00E64738">
        <w:rPr>
          <w:rFonts w:ascii="Times New Roman" w:hAnsi="Times New Roman" w:cs="Times New Roman"/>
          <w:b/>
          <w:bCs/>
          <w:szCs w:val="28"/>
        </w:rPr>
        <w:t>Identified Gaps in Market Understanding and Technology</w:t>
      </w:r>
    </w:p>
    <w:p w14:paraId="5F96C116" w14:textId="288AFC05"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Despite the rapid growth and technological advancements in novel drug delivery systems (NDDS), several critical gaps remain in both market understanding and technological development. From a market perspective, there is a lack of comprehensive, region-specific data that integrates socio-economic, demographic, and regulatory factors influencing NDDS adoption. Many market analyses focus on global trends but fail to capture local healthcare infrastructure disparities, reimbursement policies, and patient access issues, which are crucial for effective commercialization strategies [1</w:t>
      </w:r>
      <w:r w:rsidR="00BD4782">
        <w:rPr>
          <w:rFonts w:ascii="Times New Roman" w:hAnsi="Times New Roman" w:cs="Times New Roman"/>
          <w:szCs w:val="28"/>
        </w:rPr>
        <w:t>3</w:t>
      </w:r>
      <w:r w:rsidRPr="00E64738">
        <w:rPr>
          <w:rFonts w:ascii="Times New Roman" w:hAnsi="Times New Roman" w:cs="Times New Roman"/>
          <w:szCs w:val="28"/>
        </w:rPr>
        <w:t>].</w:t>
      </w:r>
    </w:p>
    <w:p w14:paraId="2FA4A891" w14:textId="76F32115"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Technologically, while numerous NDDS platforms have demonstrated promising preclinical results, the translation to clinical and commercial success is limited by insufficient understanding of long-term safety, biodistribution, and immunogenicity. The complexity of multifunctional and stimuli-responsive systems poses challenges in reproducibility, scalability, and quality control. Moreover, the integration of emerging technologies such as artificial intelligence (AI) and digital health into NDDS design and monitoring is still in its infancy, with limited standardized protocols and validation frameworks [2</w:t>
      </w:r>
      <w:r w:rsidR="00BD4782">
        <w:rPr>
          <w:rFonts w:ascii="Times New Roman" w:hAnsi="Times New Roman" w:cs="Times New Roman"/>
          <w:szCs w:val="28"/>
        </w:rPr>
        <w:t>2</w:t>
      </w:r>
      <w:r w:rsidRPr="00E64738">
        <w:rPr>
          <w:rFonts w:ascii="Times New Roman" w:hAnsi="Times New Roman" w:cs="Times New Roman"/>
          <w:szCs w:val="28"/>
        </w:rPr>
        <w:t>].</w:t>
      </w:r>
    </w:p>
    <w:p w14:paraId="5AE39ADD" w14:textId="24C738F0" w:rsidR="00E64738" w:rsidRPr="00E64738" w:rsidRDefault="00E64738" w:rsidP="00E64738">
      <w:pPr>
        <w:jc w:val="both"/>
        <w:rPr>
          <w:rFonts w:ascii="Times New Roman" w:hAnsi="Times New Roman" w:cs="Times New Roman"/>
          <w:b/>
          <w:bCs/>
          <w:szCs w:val="28"/>
        </w:rPr>
      </w:pPr>
      <w:r w:rsidRPr="00E64738">
        <w:rPr>
          <w:rFonts w:ascii="Times New Roman" w:hAnsi="Times New Roman" w:cs="Times New Roman"/>
          <w:b/>
          <w:bCs/>
          <w:szCs w:val="28"/>
        </w:rPr>
        <w:t>Areas Requiring Focused Research and Innovation</w:t>
      </w:r>
    </w:p>
    <w:p w14:paraId="68B90878" w14:textId="68491797"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To bridge these gaps, focused research and innovation are needed in several key areas. First, the development of robust, predictive in vitro and in vivo models that closely mimic human physiology is essential to better evaluate the safety, efficacy, and pharmacokinetics of NDDS. Such models will facilitate more accurate risk assessment and accelerate regulatory approval [3</w:t>
      </w:r>
      <w:r w:rsidR="00BD4782">
        <w:rPr>
          <w:rFonts w:ascii="Times New Roman" w:hAnsi="Times New Roman" w:cs="Times New Roman"/>
          <w:szCs w:val="28"/>
        </w:rPr>
        <w:t>2</w:t>
      </w:r>
      <w:r w:rsidRPr="00E64738">
        <w:rPr>
          <w:rFonts w:ascii="Times New Roman" w:hAnsi="Times New Roman" w:cs="Times New Roman"/>
          <w:szCs w:val="28"/>
        </w:rPr>
        <w:t>].</w:t>
      </w:r>
    </w:p>
    <w:p w14:paraId="1D86CAEC" w14:textId="571AEA86"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 xml:space="preserve">Second, scalable and cost-effective manufacturing technologies must be advanced to ensure consistent quality and batch-to-batch reproducibility of complex NDDS formulations. Innovations </w:t>
      </w:r>
      <w:r w:rsidRPr="00E64738">
        <w:rPr>
          <w:rFonts w:ascii="Times New Roman" w:hAnsi="Times New Roman" w:cs="Times New Roman"/>
          <w:szCs w:val="28"/>
        </w:rPr>
        <w:lastRenderedPageBreak/>
        <w:t>in continuous manufacturing, process analytical technologies (PAT), and green chemistry approaches will be critical to meet industrial demands while minimizing environmental impact [</w:t>
      </w:r>
      <w:r w:rsidR="00BD4782">
        <w:rPr>
          <w:rFonts w:ascii="Times New Roman" w:hAnsi="Times New Roman" w:cs="Times New Roman"/>
          <w:szCs w:val="28"/>
        </w:rPr>
        <w:t>1</w:t>
      </w:r>
      <w:r w:rsidRPr="00E64738">
        <w:rPr>
          <w:rFonts w:ascii="Times New Roman" w:hAnsi="Times New Roman" w:cs="Times New Roman"/>
          <w:szCs w:val="28"/>
        </w:rPr>
        <w:t>4].</w:t>
      </w:r>
    </w:p>
    <w:p w14:paraId="572385B7" w14:textId="3EA3FB62"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Third, the design of biodegradable, biocompatible, and environmentally sustainable materials should be prioritized to address safety concerns and regulatory requirements. Research into novel polymers, lipids, and hybrid materials with tunable properties will expand the versatility and applicability of NDDS [</w:t>
      </w:r>
      <w:r w:rsidR="00BD4782">
        <w:rPr>
          <w:rFonts w:ascii="Times New Roman" w:hAnsi="Times New Roman" w:cs="Times New Roman"/>
          <w:szCs w:val="28"/>
        </w:rPr>
        <w:t>1</w:t>
      </w:r>
      <w:r w:rsidRPr="00E64738">
        <w:rPr>
          <w:rFonts w:ascii="Times New Roman" w:hAnsi="Times New Roman" w:cs="Times New Roman"/>
          <w:szCs w:val="28"/>
        </w:rPr>
        <w:t>5].</w:t>
      </w:r>
    </w:p>
    <w:p w14:paraId="08CDB059" w14:textId="33EFBD3D"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Fourth, the integration of AI and machine learning into NDDS development requires further exploration. This includes the creation of large, high-quality datasets, development of predictive algorithms for drug-carrier interactions, and validation of AI models in clinical settings. Such efforts will enhance personalized medicine approaches and optimize therapeutic outcomes [</w:t>
      </w:r>
      <w:r w:rsidR="00BD4782">
        <w:rPr>
          <w:rFonts w:ascii="Times New Roman" w:hAnsi="Times New Roman" w:cs="Times New Roman"/>
          <w:szCs w:val="28"/>
        </w:rPr>
        <w:t>2</w:t>
      </w:r>
      <w:r w:rsidRPr="00E64738">
        <w:rPr>
          <w:rFonts w:ascii="Times New Roman" w:hAnsi="Times New Roman" w:cs="Times New Roman"/>
          <w:szCs w:val="28"/>
        </w:rPr>
        <w:t>6].</w:t>
      </w:r>
    </w:p>
    <w:p w14:paraId="55F30B44" w14:textId="0F3B9073"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Finally, interdisciplinary collaboration among academia, industry, regulatory bodies, and healthcare providers is necessary to establish standardized guidelines, harmonize regulatory frameworks, and facilitate technology transfer. Public-private partnerships and global consortia can accelerate innovation and ensure equitable access to advanced NDDS technologies [</w:t>
      </w:r>
      <w:r w:rsidR="00BD4782">
        <w:rPr>
          <w:rFonts w:ascii="Times New Roman" w:hAnsi="Times New Roman" w:cs="Times New Roman"/>
          <w:szCs w:val="28"/>
        </w:rPr>
        <w:t>2</w:t>
      </w:r>
      <w:r w:rsidRPr="00E64738">
        <w:rPr>
          <w:rFonts w:ascii="Times New Roman" w:hAnsi="Times New Roman" w:cs="Times New Roman"/>
          <w:szCs w:val="28"/>
        </w:rPr>
        <w:t>7].</w:t>
      </w:r>
    </w:p>
    <w:p w14:paraId="026D86A6" w14:textId="77777777" w:rsidR="00E64738" w:rsidRPr="00E64738" w:rsidRDefault="00E64738" w:rsidP="00E64738">
      <w:pPr>
        <w:jc w:val="both"/>
        <w:rPr>
          <w:rFonts w:ascii="Times New Roman" w:hAnsi="Times New Roman" w:cs="Times New Roman"/>
          <w:b/>
          <w:bCs/>
          <w:szCs w:val="28"/>
        </w:rPr>
      </w:pPr>
      <w:r w:rsidRPr="00E64738">
        <w:rPr>
          <w:rFonts w:ascii="Times New Roman" w:hAnsi="Times New Roman" w:cs="Times New Roman"/>
          <w:b/>
          <w:bCs/>
          <w:szCs w:val="28"/>
        </w:rPr>
        <w:t>Strategies to Accelerate Clinical Translation and Adoption</w:t>
      </w:r>
    </w:p>
    <w:p w14:paraId="3ED34E25" w14:textId="77777777"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The successful clinical translation and widespread adoption of novel drug delivery systems (NDDS) require a multifaceted approach that addresses scientific, regulatory, manufacturing, and market challenges. To bridge the gap between laboratory research and clinical application, several strategic measures can be implemented.</w:t>
      </w:r>
    </w:p>
    <w:p w14:paraId="4B69B1FE" w14:textId="7B214398"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First, early and continuous engagement with regulatory agencies is critical. Proactive communication helps clarify regulatory expectations, streamline approval pathways, and identify potential safety concerns early in development. Utilizing regulatory frameworks such as the FDA’s Breakthrough Therapy designation or EMA’s PRIME scheme can expedite review processes for promising NDDS candidates [</w:t>
      </w:r>
      <w:r w:rsidR="00BD4782">
        <w:rPr>
          <w:rFonts w:ascii="Times New Roman" w:hAnsi="Times New Roman" w:cs="Times New Roman"/>
          <w:szCs w:val="28"/>
        </w:rPr>
        <w:t>2</w:t>
      </w:r>
      <w:r w:rsidRPr="00E64738">
        <w:rPr>
          <w:rFonts w:ascii="Times New Roman" w:hAnsi="Times New Roman" w:cs="Times New Roman"/>
          <w:szCs w:val="28"/>
        </w:rPr>
        <w:t>1].</w:t>
      </w:r>
    </w:p>
    <w:p w14:paraId="30DE31DE" w14:textId="462B2AC9"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Second, adopting a quality-by-design (</w:t>
      </w:r>
      <w:proofErr w:type="spellStart"/>
      <w:r w:rsidRPr="00E64738">
        <w:rPr>
          <w:rFonts w:ascii="Times New Roman" w:hAnsi="Times New Roman" w:cs="Times New Roman"/>
          <w:szCs w:val="28"/>
        </w:rPr>
        <w:t>QbD</w:t>
      </w:r>
      <w:proofErr w:type="spellEnd"/>
      <w:r w:rsidRPr="00E64738">
        <w:rPr>
          <w:rFonts w:ascii="Times New Roman" w:hAnsi="Times New Roman" w:cs="Times New Roman"/>
          <w:szCs w:val="28"/>
        </w:rPr>
        <w:t xml:space="preserve">) approach throughout development ensures robust product quality and process control. </w:t>
      </w:r>
      <w:proofErr w:type="spellStart"/>
      <w:r w:rsidRPr="00E64738">
        <w:rPr>
          <w:rFonts w:ascii="Times New Roman" w:hAnsi="Times New Roman" w:cs="Times New Roman"/>
          <w:szCs w:val="28"/>
        </w:rPr>
        <w:t>QbD</w:t>
      </w:r>
      <w:proofErr w:type="spellEnd"/>
      <w:r w:rsidRPr="00E64738">
        <w:rPr>
          <w:rFonts w:ascii="Times New Roman" w:hAnsi="Times New Roman" w:cs="Times New Roman"/>
          <w:szCs w:val="28"/>
        </w:rPr>
        <w:t xml:space="preserve"> principles emphasize understanding critical quality attributes and process parameters, enabling consistent manufacturing and reducing variability. This approach facilitates regulatory compliance and enhances product reliability [2</w:t>
      </w:r>
      <w:r w:rsidR="00BD4782">
        <w:rPr>
          <w:rFonts w:ascii="Times New Roman" w:hAnsi="Times New Roman" w:cs="Times New Roman"/>
          <w:szCs w:val="28"/>
        </w:rPr>
        <w:t>2</w:t>
      </w:r>
      <w:r w:rsidRPr="00E64738">
        <w:rPr>
          <w:rFonts w:ascii="Times New Roman" w:hAnsi="Times New Roman" w:cs="Times New Roman"/>
          <w:szCs w:val="28"/>
        </w:rPr>
        <w:t>].</w:t>
      </w:r>
    </w:p>
    <w:p w14:paraId="572BEE42" w14:textId="01153192"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Third, scalable and reproducible manufacturing technologies must be prioritized. Implementing continuous manufacturing, microfluidics, and process analytical technologies (PAT) can improve batch consistency, reduce production costs, and accelerate scale-up. Collaboration with contract manufacturing organizations (CMOs) experienced in nanomedicine production can also support efficient technology transfer [3</w:t>
      </w:r>
      <w:r w:rsidR="00BD4782">
        <w:rPr>
          <w:rFonts w:ascii="Times New Roman" w:hAnsi="Times New Roman" w:cs="Times New Roman"/>
          <w:szCs w:val="28"/>
        </w:rPr>
        <w:t>1</w:t>
      </w:r>
      <w:r w:rsidRPr="00E64738">
        <w:rPr>
          <w:rFonts w:ascii="Times New Roman" w:hAnsi="Times New Roman" w:cs="Times New Roman"/>
          <w:szCs w:val="28"/>
        </w:rPr>
        <w:t>].</w:t>
      </w:r>
    </w:p>
    <w:p w14:paraId="4B60474C" w14:textId="251B6BA2"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 xml:space="preserve">Fourth, fostering interdisciplinary collaboration among academia, industry, clinicians, and regulatory bodies accelerates innovation and translation. Such partnerships enable sharing of </w:t>
      </w:r>
      <w:r w:rsidRPr="00E64738">
        <w:rPr>
          <w:rFonts w:ascii="Times New Roman" w:hAnsi="Times New Roman" w:cs="Times New Roman"/>
          <w:szCs w:val="28"/>
        </w:rPr>
        <w:lastRenderedPageBreak/>
        <w:t>expertise, resources, and clinical insights, ensuring that NDDS development aligns with unmet medical needs and practical clinical considerations [</w:t>
      </w:r>
      <w:r w:rsidR="00BD4782">
        <w:rPr>
          <w:rFonts w:ascii="Times New Roman" w:hAnsi="Times New Roman" w:cs="Times New Roman"/>
          <w:szCs w:val="28"/>
        </w:rPr>
        <w:t>2</w:t>
      </w:r>
      <w:r w:rsidRPr="00E64738">
        <w:rPr>
          <w:rFonts w:ascii="Times New Roman" w:hAnsi="Times New Roman" w:cs="Times New Roman"/>
          <w:szCs w:val="28"/>
        </w:rPr>
        <w:t>4].</w:t>
      </w:r>
    </w:p>
    <w:p w14:paraId="479C08F9" w14:textId="07398BAB"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Fifth, integrating digital health tools and real-world evidence into clinical trials and post-market surveillance enhances patient monitoring, adherence, and outcome assessment. Digital platforms facilitate adaptive trial designs and personalized therapy adjustments, improving the relevance and success of clinical studies [</w:t>
      </w:r>
      <w:r w:rsidR="00BD4782">
        <w:rPr>
          <w:rFonts w:ascii="Times New Roman" w:hAnsi="Times New Roman" w:cs="Times New Roman"/>
          <w:szCs w:val="28"/>
        </w:rPr>
        <w:t>31</w:t>
      </w:r>
      <w:r w:rsidRPr="00E64738">
        <w:rPr>
          <w:rFonts w:ascii="Times New Roman" w:hAnsi="Times New Roman" w:cs="Times New Roman"/>
          <w:szCs w:val="28"/>
        </w:rPr>
        <w:t>].</w:t>
      </w:r>
    </w:p>
    <w:p w14:paraId="4811148B" w14:textId="45AFD632"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Finally, addressing patient-centric factors such as ease of administration, dosing frequency, and education improves acceptance and compliance. Designing NDDS with patient preferences in mind and involving patients early in development can increase adoption rates and therapeutic effectiveness [</w:t>
      </w:r>
      <w:r w:rsidR="00BD4782">
        <w:rPr>
          <w:rFonts w:ascii="Times New Roman" w:hAnsi="Times New Roman" w:cs="Times New Roman"/>
          <w:szCs w:val="28"/>
        </w:rPr>
        <w:t>2</w:t>
      </w:r>
      <w:r w:rsidRPr="00E64738">
        <w:rPr>
          <w:rFonts w:ascii="Times New Roman" w:hAnsi="Times New Roman" w:cs="Times New Roman"/>
          <w:szCs w:val="28"/>
        </w:rPr>
        <w:t>6].</w:t>
      </w:r>
    </w:p>
    <w:p w14:paraId="524DFB67" w14:textId="77777777"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In summary, accelerating clinical translation and adoption of NDDS demands a holistic strategy encompassing regulatory alignment, manufacturing excellence, collaborative innovation, digital integration, and patient engagement. Implementing these strategies will help realize the full potential of NDDS in improving healthcare outcomes.</w:t>
      </w:r>
    </w:p>
    <w:p w14:paraId="432D4E5C" w14:textId="77777777" w:rsidR="000A27C0" w:rsidRPr="000A27C0" w:rsidRDefault="000A27C0" w:rsidP="000A27C0">
      <w:pPr>
        <w:jc w:val="both"/>
        <w:rPr>
          <w:rFonts w:ascii="Times New Roman" w:hAnsi="Times New Roman" w:cs="Times New Roman"/>
          <w:b/>
          <w:bCs/>
          <w:szCs w:val="28"/>
        </w:rPr>
      </w:pPr>
      <w:r w:rsidRPr="000A27C0">
        <w:rPr>
          <w:rFonts w:ascii="Times New Roman" w:hAnsi="Times New Roman" w:cs="Times New Roman"/>
          <w:b/>
          <w:bCs/>
          <w:szCs w:val="28"/>
        </w:rPr>
        <w:t>Conclusion</w:t>
      </w:r>
    </w:p>
    <w:p w14:paraId="3C240ADF"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Novel drug delivery systems (NDDS) represent a transformative frontier in pharmaceutical sciences, offering unprecedented opportunities to enhance therapeutic efficacy, reduce side effects, and personalize treatment regimens. The rapid advancements in nanotechnology, materials science, and formulation techniques have expanded the capabilities of NDDS, enabling targeted, controlled, and stimuli-responsive drug delivery. Integration with digital health and artificial intelligence further propels the field toward precision medicine, promising improved patient outcomes and healthcare efficiency.</w:t>
      </w:r>
    </w:p>
    <w:p w14:paraId="4DC1D29F"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Despite these promising developments, significant challenges remain in translating NDDS from bench to bedside. Scalability, manufacturing complexity, regulatory hurdles, and comprehensive safety evaluation continue to impede clinical adoption. Moreover, gaps in market understanding and the need for sustainable, patient-centric designs highlight areas requiring focused research and innovation.</w:t>
      </w:r>
    </w:p>
    <w:p w14:paraId="1FB9EDCA"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Addressing these challenges demands a multidisciplinary approach involving early regulatory engagement, quality-by-design manufacturing, collaborative innovation, and incorporation of real-world evidence. Embracing green manufacturing practices and developing multifunctional, hybrid systems will further enhance the clinical and commercial viability of NDDS.</w:t>
      </w:r>
    </w:p>
    <w:p w14:paraId="3AE4118F"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In conclusion, the future of NDDS lies in harmonizing technological innovation with regulatory, economic, and patient-centered considerations. Continued investment in research, infrastructure, and cross-sector partnerships will be essential to unlock the full potential of NDDS, ultimately transforming drug delivery and improving global health outcomes.</w:t>
      </w:r>
    </w:p>
    <w:p w14:paraId="075289E1" w14:textId="77777777" w:rsidR="000A27C0" w:rsidRPr="000A27C0" w:rsidRDefault="000A27C0" w:rsidP="000A27C0">
      <w:pPr>
        <w:jc w:val="both"/>
        <w:rPr>
          <w:rFonts w:ascii="Times New Roman" w:hAnsi="Times New Roman" w:cs="Times New Roman"/>
          <w:b/>
          <w:bCs/>
          <w:szCs w:val="28"/>
        </w:rPr>
      </w:pPr>
      <w:r w:rsidRPr="000A27C0">
        <w:rPr>
          <w:rFonts w:ascii="Times New Roman" w:hAnsi="Times New Roman" w:cs="Times New Roman"/>
          <w:b/>
          <w:bCs/>
          <w:szCs w:val="28"/>
        </w:rPr>
        <w:t>List of Abbreviations</w:t>
      </w:r>
    </w:p>
    <w:tbl>
      <w:tblPr>
        <w:tblW w:w="7647"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169"/>
        <w:gridCol w:w="4478"/>
      </w:tblGrid>
      <w:tr w:rsidR="000A27C0" w:rsidRPr="000A27C0" w14:paraId="76ADC0C1" w14:textId="77777777" w:rsidTr="000713E6">
        <w:trPr>
          <w:tblHeader/>
        </w:trPr>
        <w:tc>
          <w:tcPr>
            <w:tcW w:w="0" w:type="auto"/>
            <w:shd w:val="clear" w:color="auto" w:fill="FFFFFF" w:themeFill="background1"/>
            <w:noWrap/>
            <w:vAlign w:val="bottom"/>
            <w:hideMark/>
          </w:tcPr>
          <w:p w14:paraId="04802833" w14:textId="77777777" w:rsidR="000A27C0" w:rsidRPr="000A27C0" w:rsidRDefault="000A27C0" w:rsidP="000A27C0">
            <w:pPr>
              <w:jc w:val="both"/>
              <w:rPr>
                <w:rFonts w:ascii="Times New Roman" w:hAnsi="Times New Roman" w:cs="Times New Roman"/>
                <w:b/>
                <w:bCs/>
                <w:szCs w:val="28"/>
              </w:rPr>
            </w:pPr>
            <w:r w:rsidRPr="000A27C0">
              <w:rPr>
                <w:rFonts w:ascii="Times New Roman" w:hAnsi="Times New Roman" w:cs="Times New Roman"/>
                <w:b/>
                <w:bCs/>
                <w:szCs w:val="28"/>
              </w:rPr>
              <w:lastRenderedPageBreak/>
              <w:t>Abbreviation</w:t>
            </w:r>
          </w:p>
        </w:tc>
        <w:tc>
          <w:tcPr>
            <w:tcW w:w="4478" w:type="dxa"/>
            <w:shd w:val="clear" w:color="auto" w:fill="FFFFFF" w:themeFill="background1"/>
            <w:noWrap/>
            <w:vAlign w:val="bottom"/>
            <w:hideMark/>
          </w:tcPr>
          <w:p w14:paraId="4392ED7E" w14:textId="77777777" w:rsidR="000A27C0" w:rsidRPr="000A27C0" w:rsidRDefault="000A27C0" w:rsidP="000A27C0">
            <w:pPr>
              <w:jc w:val="both"/>
              <w:rPr>
                <w:rFonts w:ascii="Times New Roman" w:hAnsi="Times New Roman" w:cs="Times New Roman"/>
                <w:b/>
                <w:bCs/>
                <w:szCs w:val="28"/>
              </w:rPr>
            </w:pPr>
            <w:r w:rsidRPr="000A27C0">
              <w:rPr>
                <w:rFonts w:ascii="Times New Roman" w:hAnsi="Times New Roman" w:cs="Times New Roman"/>
                <w:b/>
                <w:bCs/>
                <w:szCs w:val="28"/>
              </w:rPr>
              <w:t>Full Form</w:t>
            </w:r>
          </w:p>
        </w:tc>
      </w:tr>
      <w:tr w:rsidR="000A27C0" w:rsidRPr="000A27C0" w14:paraId="2517E4CF" w14:textId="77777777" w:rsidTr="000713E6">
        <w:tc>
          <w:tcPr>
            <w:tcW w:w="0" w:type="auto"/>
            <w:shd w:val="clear" w:color="auto" w:fill="FFFFFF" w:themeFill="background1"/>
            <w:vAlign w:val="bottom"/>
            <w:hideMark/>
          </w:tcPr>
          <w:p w14:paraId="02C89EFB"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NDDS</w:t>
            </w:r>
          </w:p>
        </w:tc>
        <w:tc>
          <w:tcPr>
            <w:tcW w:w="4478" w:type="dxa"/>
            <w:shd w:val="clear" w:color="auto" w:fill="FFFFFF" w:themeFill="background1"/>
            <w:vAlign w:val="bottom"/>
            <w:hideMark/>
          </w:tcPr>
          <w:p w14:paraId="6587C831"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Novel Drug Delivery Systems</w:t>
            </w:r>
          </w:p>
        </w:tc>
      </w:tr>
      <w:tr w:rsidR="000A27C0" w:rsidRPr="000A27C0" w14:paraId="6DB44672" w14:textId="77777777" w:rsidTr="000713E6">
        <w:tc>
          <w:tcPr>
            <w:tcW w:w="0" w:type="auto"/>
            <w:shd w:val="clear" w:color="auto" w:fill="FFFFFF" w:themeFill="background1"/>
            <w:vAlign w:val="bottom"/>
            <w:hideMark/>
          </w:tcPr>
          <w:p w14:paraId="20B19DFC"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SLN</w:t>
            </w:r>
          </w:p>
        </w:tc>
        <w:tc>
          <w:tcPr>
            <w:tcW w:w="4478" w:type="dxa"/>
            <w:shd w:val="clear" w:color="auto" w:fill="FFFFFF" w:themeFill="background1"/>
            <w:vAlign w:val="bottom"/>
            <w:hideMark/>
          </w:tcPr>
          <w:p w14:paraId="59069CA5"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Solid Lipid Nanoparticles</w:t>
            </w:r>
          </w:p>
        </w:tc>
      </w:tr>
      <w:tr w:rsidR="000A27C0" w:rsidRPr="000A27C0" w14:paraId="63E97C6C" w14:textId="77777777" w:rsidTr="000713E6">
        <w:tc>
          <w:tcPr>
            <w:tcW w:w="0" w:type="auto"/>
            <w:shd w:val="clear" w:color="auto" w:fill="FFFFFF" w:themeFill="background1"/>
            <w:vAlign w:val="bottom"/>
            <w:hideMark/>
          </w:tcPr>
          <w:p w14:paraId="37FF81D2"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NLC</w:t>
            </w:r>
          </w:p>
        </w:tc>
        <w:tc>
          <w:tcPr>
            <w:tcW w:w="4478" w:type="dxa"/>
            <w:shd w:val="clear" w:color="auto" w:fill="FFFFFF" w:themeFill="background1"/>
            <w:vAlign w:val="bottom"/>
            <w:hideMark/>
          </w:tcPr>
          <w:p w14:paraId="6024193F"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Nanostructured Lipid Carriers</w:t>
            </w:r>
          </w:p>
        </w:tc>
      </w:tr>
      <w:tr w:rsidR="000A27C0" w:rsidRPr="000A27C0" w14:paraId="29FF67E5" w14:textId="77777777" w:rsidTr="000713E6">
        <w:tc>
          <w:tcPr>
            <w:tcW w:w="0" w:type="auto"/>
            <w:shd w:val="clear" w:color="auto" w:fill="FFFFFF" w:themeFill="background1"/>
            <w:vAlign w:val="bottom"/>
            <w:hideMark/>
          </w:tcPr>
          <w:p w14:paraId="0F5722B7"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AI</w:t>
            </w:r>
          </w:p>
        </w:tc>
        <w:tc>
          <w:tcPr>
            <w:tcW w:w="4478" w:type="dxa"/>
            <w:shd w:val="clear" w:color="auto" w:fill="FFFFFF" w:themeFill="background1"/>
            <w:vAlign w:val="bottom"/>
            <w:hideMark/>
          </w:tcPr>
          <w:p w14:paraId="1CDB740A"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Artificial Intelligence</w:t>
            </w:r>
          </w:p>
        </w:tc>
      </w:tr>
      <w:tr w:rsidR="000A27C0" w:rsidRPr="000A27C0" w14:paraId="2311FC92" w14:textId="77777777" w:rsidTr="000713E6">
        <w:tc>
          <w:tcPr>
            <w:tcW w:w="0" w:type="auto"/>
            <w:shd w:val="clear" w:color="auto" w:fill="FFFFFF" w:themeFill="background1"/>
            <w:vAlign w:val="bottom"/>
            <w:hideMark/>
          </w:tcPr>
          <w:p w14:paraId="464181E0"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ML</w:t>
            </w:r>
          </w:p>
        </w:tc>
        <w:tc>
          <w:tcPr>
            <w:tcW w:w="4478" w:type="dxa"/>
            <w:shd w:val="clear" w:color="auto" w:fill="FFFFFF" w:themeFill="background1"/>
            <w:vAlign w:val="bottom"/>
            <w:hideMark/>
          </w:tcPr>
          <w:p w14:paraId="5A20455E"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Machine Learning</w:t>
            </w:r>
          </w:p>
        </w:tc>
      </w:tr>
      <w:tr w:rsidR="000A27C0" w:rsidRPr="000A27C0" w14:paraId="003D6C95" w14:textId="77777777" w:rsidTr="000713E6">
        <w:tc>
          <w:tcPr>
            <w:tcW w:w="0" w:type="auto"/>
            <w:shd w:val="clear" w:color="auto" w:fill="FFFFFF" w:themeFill="background1"/>
            <w:vAlign w:val="bottom"/>
            <w:hideMark/>
          </w:tcPr>
          <w:p w14:paraId="04132337"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PEG</w:t>
            </w:r>
          </w:p>
        </w:tc>
        <w:tc>
          <w:tcPr>
            <w:tcW w:w="4478" w:type="dxa"/>
            <w:shd w:val="clear" w:color="auto" w:fill="FFFFFF" w:themeFill="background1"/>
            <w:vAlign w:val="bottom"/>
            <w:hideMark/>
          </w:tcPr>
          <w:p w14:paraId="6D3AB4F8"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Polyethylene Glycol</w:t>
            </w:r>
          </w:p>
        </w:tc>
      </w:tr>
      <w:tr w:rsidR="000A27C0" w:rsidRPr="000A27C0" w14:paraId="6951E01D" w14:textId="77777777" w:rsidTr="000713E6">
        <w:tc>
          <w:tcPr>
            <w:tcW w:w="0" w:type="auto"/>
            <w:shd w:val="clear" w:color="auto" w:fill="FFFFFF" w:themeFill="background1"/>
            <w:vAlign w:val="bottom"/>
            <w:hideMark/>
          </w:tcPr>
          <w:p w14:paraId="4F7B458D"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PLGA</w:t>
            </w:r>
          </w:p>
        </w:tc>
        <w:tc>
          <w:tcPr>
            <w:tcW w:w="4478" w:type="dxa"/>
            <w:shd w:val="clear" w:color="auto" w:fill="FFFFFF" w:themeFill="background1"/>
            <w:vAlign w:val="bottom"/>
            <w:hideMark/>
          </w:tcPr>
          <w:p w14:paraId="47281F9F"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Poly(lactic-co-glycolic acid)</w:t>
            </w:r>
          </w:p>
        </w:tc>
      </w:tr>
      <w:tr w:rsidR="000A27C0" w:rsidRPr="000A27C0" w14:paraId="1A185201" w14:textId="77777777" w:rsidTr="000713E6">
        <w:tc>
          <w:tcPr>
            <w:tcW w:w="0" w:type="auto"/>
            <w:shd w:val="clear" w:color="auto" w:fill="FFFFFF" w:themeFill="background1"/>
            <w:vAlign w:val="bottom"/>
            <w:hideMark/>
          </w:tcPr>
          <w:p w14:paraId="050FB213"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FDA</w:t>
            </w:r>
          </w:p>
        </w:tc>
        <w:tc>
          <w:tcPr>
            <w:tcW w:w="4478" w:type="dxa"/>
            <w:shd w:val="clear" w:color="auto" w:fill="FFFFFF" w:themeFill="background1"/>
            <w:vAlign w:val="bottom"/>
            <w:hideMark/>
          </w:tcPr>
          <w:p w14:paraId="462F27D8"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Food and Drug Administration</w:t>
            </w:r>
          </w:p>
        </w:tc>
      </w:tr>
      <w:tr w:rsidR="000A27C0" w:rsidRPr="000A27C0" w14:paraId="7A7D854D" w14:textId="77777777" w:rsidTr="000713E6">
        <w:tc>
          <w:tcPr>
            <w:tcW w:w="0" w:type="auto"/>
            <w:shd w:val="clear" w:color="auto" w:fill="FFFFFF" w:themeFill="background1"/>
            <w:vAlign w:val="bottom"/>
            <w:hideMark/>
          </w:tcPr>
          <w:p w14:paraId="320E9D3F"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EMA</w:t>
            </w:r>
          </w:p>
        </w:tc>
        <w:tc>
          <w:tcPr>
            <w:tcW w:w="4478" w:type="dxa"/>
            <w:shd w:val="clear" w:color="auto" w:fill="FFFFFF" w:themeFill="background1"/>
            <w:vAlign w:val="bottom"/>
            <w:hideMark/>
          </w:tcPr>
          <w:p w14:paraId="75B34C28"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European Medicines Agency</w:t>
            </w:r>
          </w:p>
        </w:tc>
      </w:tr>
      <w:tr w:rsidR="000A27C0" w:rsidRPr="000A27C0" w14:paraId="737FD10A" w14:textId="77777777" w:rsidTr="000713E6">
        <w:tc>
          <w:tcPr>
            <w:tcW w:w="0" w:type="auto"/>
            <w:shd w:val="clear" w:color="auto" w:fill="FFFFFF" w:themeFill="background1"/>
            <w:vAlign w:val="bottom"/>
            <w:hideMark/>
          </w:tcPr>
          <w:p w14:paraId="3C6FD508"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GMP</w:t>
            </w:r>
          </w:p>
        </w:tc>
        <w:tc>
          <w:tcPr>
            <w:tcW w:w="4478" w:type="dxa"/>
            <w:shd w:val="clear" w:color="auto" w:fill="FFFFFF" w:themeFill="background1"/>
            <w:vAlign w:val="bottom"/>
            <w:hideMark/>
          </w:tcPr>
          <w:p w14:paraId="294C69B3"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Good Manufacturing Practices</w:t>
            </w:r>
          </w:p>
        </w:tc>
      </w:tr>
      <w:tr w:rsidR="000A27C0" w:rsidRPr="000A27C0" w14:paraId="31573294" w14:textId="77777777" w:rsidTr="000713E6">
        <w:tc>
          <w:tcPr>
            <w:tcW w:w="0" w:type="auto"/>
            <w:shd w:val="clear" w:color="auto" w:fill="FFFFFF" w:themeFill="background1"/>
            <w:vAlign w:val="bottom"/>
            <w:hideMark/>
          </w:tcPr>
          <w:p w14:paraId="098364BF"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PAT</w:t>
            </w:r>
          </w:p>
        </w:tc>
        <w:tc>
          <w:tcPr>
            <w:tcW w:w="4478" w:type="dxa"/>
            <w:shd w:val="clear" w:color="auto" w:fill="FFFFFF" w:themeFill="background1"/>
            <w:vAlign w:val="bottom"/>
            <w:hideMark/>
          </w:tcPr>
          <w:p w14:paraId="10BCAD76"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Process Analytical Technology</w:t>
            </w:r>
          </w:p>
        </w:tc>
      </w:tr>
      <w:tr w:rsidR="000A27C0" w:rsidRPr="000A27C0" w14:paraId="7AE57C98" w14:textId="77777777" w:rsidTr="000713E6">
        <w:tc>
          <w:tcPr>
            <w:tcW w:w="0" w:type="auto"/>
            <w:shd w:val="clear" w:color="auto" w:fill="FFFFFF" w:themeFill="background1"/>
            <w:vAlign w:val="bottom"/>
            <w:hideMark/>
          </w:tcPr>
          <w:p w14:paraId="793C1FC5" w14:textId="77777777" w:rsidR="000A27C0" w:rsidRPr="000A27C0" w:rsidRDefault="000A27C0" w:rsidP="000A27C0">
            <w:pPr>
              <w:jc w:val="both"/>
              <w:rPr>
                <w:rFonts w:ascii="Times New Roman" w:hAnsi="Times New Roman" w:cs="Times New Roman"/>
                <w:szCs w:val="28"/>
              </w:rPr>
            </w:pPr>
            <w:proofErr w:type="spellStart"/>
            <w:r w:rsidRPr="000A27C0">
              <w:rPr>
                <w:rFonts w:ascii="Times New Roman" w:hAnsi="Times New Roman" w:cs="Times New Roman"/>
                <w:szCs w:val="28"/>
              </w:rPr>
              <w:t>QbD</w:t>
            </w:r>
            <w:proofErr w:type="spellEnd"/>
          </w:p>
        </w:tc>
        <w:tc>
          <w:tcPr>
            <w:tcW w:w="4478" w:type="dxa"/>
            <w:shd w:val="clear" w:color="auto" w:fill="FFFFFF" w:themeFill="background1"/>
            <w:vAlign w:val="bottom"/>
            <w:hideMark/>
          </w:tcPr>
          <w:p w14:paraId="129BB7C3"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Quality by Design</w:t>
            </w:r>
          </w:p>
        </w:tc>
      </w:tr>
      <w:tr w:rsidR="000A27C0" w:rsidRPr="000A27C0" w14:paraId="11D14183" w14:textId="77777777" w:rsidTr="000713E6">
        <w:tc>
          <w:tcPr>
            <w:tcW w:w="0" w:type="auto"/>
            <w:shd w:val="clear" w:color="auto" w:fill="FFFFFF" w:themeFill="background1"/>
            <w:vAlign w:val="bottom"/>
            <w:hideMark/>
          </w:tcPr>
          <w:p w14:paraId="50E9BB5E"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mRNA</w:t>
            </w:r>
          </w:p>
        </w:tc>
        <w:tc>
          <w:tcPr>
            <w:tcW w:w="4478" w:type="dxa"/>
            <w:shd w:val="clear" w:color="auto" w:fill="FFFFFF" w:themeFill="background1"/>
            <w:vAlign w:val="bottom"/>
            <w:hideMark/>
          </w:tcPr>
          <w:p w14:paraId="31C5F192"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Messenger Ribonucleic Acid</w:t>
            </w:r>
          </w:p>
        </w:tc>
      </w:tr>
      <w:tr w:rsidR="000A27C0" w:rsidRPr="000A27C0" w14:paraId="6187C9C2" w14:textId="77777777" w:rsidTr="000713E6">
        <w:tc>
          <w:tcPr>
            <w:tcW w:w="0" w:type="auto"/>
            <w:shd w:val="clear" w:color="auto" w:fill="FFFFFF" w:themeFill="background1"/>
            <w:vAlign w:val="bottom"/>
            <w:hideMark/>
          </w:tcPr>
          <w:p w14:paraId="23CAFF68"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MRI</w:t>
            </w:r>
          </w:p>
        </w:tc>
        <w:tc>
          <w:tcPr>
            <w:tcW w:w="4478" w:type="dxa"/>
            <w:shd w:val="clear" w:color="auto" w:fill="FFFFFF" w:themeFill="background1"/>
            <w:vAlign w:val="bottom"/>
            <w:hideMark/>
          </w:tcPr>
          <w:p w14:paraId="3DB4F0D4"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Magnetic Resonance Imaging</w:t>
            </w:r>
          </w:p>
        </w:tc>
      </w:tr>
      <w:tr w:rsidR="000A27C0" w:rsidRPr="000A27C0" w14:paraId="39AB1017" w14:textId="77777777" w:rsidTr="000713E6">
        <w:tc>
          <w:tcPr>
            <w:tcW w:w="0" w:type="auto"/>
            <w:shd w:val="clear" w:color="auto" w:fill="FFFFFF" w:themeFill="background1"/>
            <w:vAlign w:val="bottom"/>
            <w:hideMark/>
          </w:tcPr>
          <w:p w14:paraId="31540207"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PET</w:t>
            </w:r>
          </w:p>
        </w:tc>
        <w:tc>
          <w:tcPr>
            <w:tcW w:w="4478" w:type="dxa"/>
            <w:shd w:val="clear" w:color="auto" w:fill="FFFFFF" w:themeFill="background1"/>
            <w:vAlign w:val="bottom"/>
            <w:hideMark/>
          </w:tcPr>
          <w:p w14:paraId="7EDE8541"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Positron Emission Tomography</w:t>
            </w:r>
          </w:p>
        </w:tc>
      </w:tr>
      <w:tr w:rsidR="000A27C0" w:rsidRPr="000A27C0" w14:paraId="546C2147" w14:textId="77777777" w:rsidTr="000713E6">
        <w:tc>
          <w:tcPr>
            <w:tcW w:w="0" w:type="auto"/>
            <w:shd w:val="clear" w:color="auto" w:fill="FFFFFF" w:themeFill="background1"/>
            <w:vAlign w:val="bottom"/>
            <w:hideMark/>
          </w:tcPr>
          <w:p w14:paraId="72951765"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MMP</w:t>
            </w:r>
          </w:p>
        </w:tc>
        <w:tc>
          <w:tcPr>
            <w:tcW w:w="4478" w:type="dxa"/>
            <w:shd w:val="clear" w:color="auto" w:fill="FFFFFF" w:themeFill="background1"/>
            <w:vAlign w:val="bottom"/>
            <w:hideMark/>
          </w:tcPr>
          <w:p w14:paraId="5CAF841D"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Matrix Metalloproteinase</w:t>
            </w:r>
          </w:p>
        </w:tc>
      </w:tr>
      <w:tr w:rsidR="000A27C0" w:rsidRPr="000A27C0" w14:paraId="3B1FADB0" w14:textId="77777777" w:rsidTr="000713E6">
        <w:tc>
          <w:tcPr>
            <w:tcW w:w="0" w:type="auto"/>
            <w:shd w:val="clear" w:color="auto" w:fill="FFFFFF" w:themeFill="background1"/>
            <w:vAlign w:val="bottom"/>
            <w:hideMark/>
          </w:tcPr>
          <w:p w14:paraId="53458B57"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RES</w:t>
            </w:r>
          </w:p>
        </w:tc>
        <w:tc>
          <w:tcPr>
            <w:tcW w:w="4478" w:type="dxa"/>
            <w:shd w:val="clear" w:color="auto" w:fill="FFFFFF" w:themeFill="background1"/>
            <w:vAlign w:val="bottom"/>
            <w:hideMark/>
          </w:tcPr>
          <w:p w14:paraId="2DFF6DAF"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Reticuloendothelial System</w:t>
            </w:r>
          </w:p>
        </w:tc>
      </w:tr>
      <w:tr w:rsidR="000A27C0" w:rsidRPr="000A27C0" w14:paraId="07EDBD1F" w14:textId="77777777" w:rsidTr="000713E6">
        <w:tc>
          <w:tcPr>
            <w:tcW w:w="0" w:type="auto"/>
            <w:shd w:val="clear" w:color="auto" w:fill="FFFFFF" w:themeFill="background1"/>
            <w:vAlign w:val="bottom"/>
            <w:hideMark/>
          </w:tcPr>
          <w:p w14:paraId="49570DFB"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CMO</w:t>
            </w:r>
          </w:p>
        </w:tc>
        <w:tc>
          <w:tcPr>
            <w:tcW w:w="4478" w:type="dxa"/>
            <w:shd w:val="clear" w:color="auto" w:fill="FFFFFF" w:themeFill="background1"/>
            <w:vAlign w:val="bottom"/>
            <w:hideMark/>
          </w:tcPr>
          <w:p w14:paraId="2BC0363E"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Contract Manufacturing Organization</w:t>
            </w:r>
          </w:p>
        </w:tc>
      </w:tr>
      <w:tr w:rsidR="000A27C0" w:rsidRPr="000A27C0" w14:paraId="6573C139" w14:textId="77777777" w:rsidTr="000713E6">
        <w:tc>
          <w:tcPr>
            <w:tcW w:w="0" w:type="auto"/>
            <w:shd w:val="clear" w:color="auto" w:fill="FFFFFF" w:themeFill="background1"/>
            <w:vAlign w:val="bottom"/>
            <w:hideMark/>
          </w:tcPr>
          <w:p w14:paraId="467D0482"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FDA</w:t>
            </w:r>
          </w:p>
        </w:tc>
        <w:tc>
          <w:tcPr>
            <w:tcW w:w="4478" w:type="dxa"/>
            <w:shd w:val="clear" w:color="auto" w:fill="FFFFFF" w:themeFill="background1"/>
            <w:vAlign w:val="bottom"/>
            <w:hideMark/>
          </w:tcPr>
          <w:p w14:paraId="4522DC8C"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Food and Drug Administration</w:t>
            </w:r>
          </w:p>
        </w:tc>
      </w:tr>
      <w:tr w:rsidR="000A27C0" w:rsidRPr="000A27C0" w14:paraId="0E9B0885" w14:textId="77777777" w:rsidTr="000713E6">
        <w:tc>
          <w:tcPr>
            <w:tcW w:w="0" w:type="auto"/>
            <w:shd w:val="clear" w:color="auto" w:fill="FFFFFF" w:themeFill="background1"/>
            <w:vAlign w:val="bottom"/>
            <w:hideMark/>
          </w:tcPr>
          <w:p w14:paraId="24C883CC" w14:textId="77777777" w:rsidR="000A27C0" w:rsidRPr="000A27C0" w:rsidRDefault="000A27C0" w:rsidP="000A27C0">
            <w:pPr>
              <w:jc w:val="both"/>
              <w:rPr>
                <w:rFonts w:ascii="Times New Roman" w:hAnsi="Times New Roman" w:cs="Times New Roman"/>
                <w:szCs w:val="28"/>
              </w:rPr>
            </w:pPr>
            <w:proofErr w:type="spellStart"/>
            <w:r w:rsidRPr="000A27C0">
              <w:rPr>
                <w:rFonts w:ascii="Times New Roman" w:hAnsi="Times New Roman" w:cs="Times New Roman"/>
                <w:szCs w:val="28"/>
              </w:rPr>
              <w:t>QbD</w:t>
            </w:r>
            <w:proofErr w:type="spellEnd"/>
          </w:p>
        </w:tc>
        <w:tc>
          <w:tcPr>
            <w:tcW w:w="4478" w:type="dxa"/>
            <w:shd w:val="clear" w:color="auto" w:fill="FFFFFF" w:themeFill="background1"/>
            <w:vAlign w:val="bottom"/>
            <w:hideMark/>
          </w:tcPr>
          <w:p w14:paraId="3B74E5A7"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Quality by Design</w:t>
            </w:r>
          </w:p>
        </w:tc>
      </w:tr>
      <w:tr w:rsidR="000A27C0" w:rsidRPr="000A27C0" w14:paraId="3F428AE2" w14:textId="77777777" w:rsidTr="000713E6">
        <w:tc>
          <w:tcPr>
            <w:tcW w:w="0" w:type="auto"/>
            <w:shd w:val="clear" w:color="auto" w:fill="FFFFFF" w:themeFill="background1"/>
            <w:vAlign w:val="bottom"/>
            <w:hideMark/>
          </w:tcPr>
          <w:p w14:paraId="6CA2896A"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UV</w:t>
            </w:r>
          </w:p>
        </w:tc>
        <w:tc>
          <w:tcPr>
            <w:tcW w:w="4478" w:type="dxa"/>
            <w:shd w:val="clear" w:color="auto" w:fill="FFFFFF" w:themeFill="background1"/>
            <w:vAlign w:val="bottom"/>
            <w:hideMark/>
          </w:tcPr>
          <w:p w14:paraId="327EA311"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Ultraviolet</w:t>
            </w:r>
          </w:p>
        </w:tc>
      </w:tr>
      <w:tr w:rsidR="000A27C0" w:rsidRPr="000A27C0" w14:paraId="194D9BB0" w14:textId="77777777" w:rsidTr="000713E6">
        <w:tc>
          <w:tcPr>
            <w:tcW w:w="0" w:type="auto"/>
            <w:shd w:val="clear" w:color="auto" w:fill="FFFFFF" w:themeFill="background1"/>
            <w:vAlign w:val="bottom"/>
            <w:hideMark/>
          </w:tcPr>
          <w:p w14:paraId="76D6D36B"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NIR</w:t>
            </w:r>
          </w:p>
        </w:tc>
        <w:tc>
          <w:tcPr>
            <w:tcW w:w="4478" w:type="dxa"/>
            <w:shd w:val="clear" w:color="auto" w:fill="FFFFFF" w:themeFill="background1"/>
            <w:vAlign w:val="bottom"/>
            <w:hideMark/>
          </w:tcPr>
          <w:p w14:paraId="2A79AF7A"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Near-Infrared</w:t>
            </w:r>
          </w:p>
        </w:tc>
      </w:tr>
    </w:tbl>
    <w:p w14:paraId="681AE8E3" w14:textId="0B387386" w:rsidR="000A27C0" w:rsidRDefault="000A27C0" w:rsidP="007D5277">
      <w:pPr>
        <w:jc w:val="both"/>
        <w:rPr>
          <w:rFonts w:ascii="Times New Roman" w:hAnsi="Times New Roman" w:cs="Times New Roman"/>
          <w:szCs w:val="28"/>
        </w:rPr>
      </w:pPr>
    </w:p>
    <w:p w14:paraId="0FB4A437" w14:textId="77777777" w:rsidR="00FC0B38" w:rsidRDefault="00FC0B38" w:rsidP="007D5277">
      <w:pPr>
        <w:jc w:val="both"/>
        <w:rPr>
          <w:rFonts w:ascii="Times New Roman" w:hAnsi="Times New Roman" w:cs="Times New Roman"/>
          <w:szCs w:val="28"/>
        </w:rPr>
      </w:pPr>
    </w:p>
    <w:p w14:paraId="7DBEE219" w14:textId="1EF4D577" w:rsidR="00B0312C" w:rsidRDefault="00B0312C" w:rsidP="007D5277">
      <w:pPr>
        <w:jc w:val="both"/>
        <w:rPr>
          <w:rFonts w:ascii="Times New Roman" w:hAnsi="Times New Roman" w:cs="Times New Roman"/>
          <w:szCs w:val="28"/>
        </w:rPr>
      </w:pPr>
    </w:p>
    <w:p w14:paraId="7AEDF3C3" w14:textId="77777777" w:rsidR="00B0312C" w:rsidRPr="00342557" w:rsidRDefault="00B0312C" w:rsidP="00B0312C">
      <w:pPr>
        <w:pStyle w:val="NoSpacing"/>
        <w:rPr>
          <w:rFonts w:ascii="Arial" w:hAnsi="Arial" w:cs="Arial"/>
        </w:rPr>
      </w:pPr>
      <w:r w:rsidRPr="00342557">
        <w:rPr>
          <w:rFonts w:ascii="Arial" w:hAnsi="Arial" w:cs="Arial"/>
        </w:rPr>
        <w:lastRenderedPageBreak/>
        <w:t>Disclaimer (Artificial intelligence)</w:t>
      </w:r>
    </w:p>
    <w:p w14:paraId="15AD87B0" w14:textId="77777777" w:rsidR="00B0312C" w:rsidRPr="00342557" w:rsidRDefault="00B0312C" w:rsidP="00B0312C">
      <w:pPr>
        <w:pStyle w:val="NoSpacing"/>
        <w:rPr>
          <w:rFonts w:ascii="Arial" w:hAnsi="Arial" w:cs="Arial"/>
        </w:rPr>
      </w:pPr>
    </w:p>
    <w:p w14:paraId="3D3B2A8D" w14:textId="5217D815" w:rsidR="00B0312C" w:rsidRPr="00342557" w:rsidRDefault="00B0312C" w:rsidP="00B0312C">
      <w:pPr>
        <w:pStyle w:val="NoSpacing"/>
        <w:rPr>
          <w:rFonts w:ascii="Arial" w:hAnsi="Arial" w:cs="Arial"/>
        </w:rPr>
      </w:pPr>
      <w:r w:rsidRPr="00342557">
        <w:rPr>
          <w:rFonts w:ascii="Arial" w:hAnsi="Arial" w:cs="Arial"/>
        </w:rPr>
        <w:t xml:space="preserve">Author(s) hereby declare that NO generative AI technologies such as Large Language Models and text-to-image generators have been used during the writing or editing of this manuscript. </w:t>
      </w:r>
    </w:p>
    <w:p w14:paraId="31ADFDCA" w14:textId="77777777" w:rsidR="00B0312C" w:rsidRDefault="00B0312C" w:rsidP="007D5277">
      <w:pPr>
        <w:jc w:val="both"/>
        <w:rPr>
          <w:rFonts w:ascii="Times New Roman" w:hAnsi="Times New Roman" w:cs="Times New Roman"/>
          <w:szCs w:val="28"/>
        </w:rPr>
      </w:pPr>
    </w:p>
    <w:p w14:paraId="239DA2F3" w14:textId="74485F04" w:rsidR="000A27C0" w:rsidRDefault="000713E6" w:rsidP="007D5277">
      <w:pPr>
        <w:jc w:val="both"/>
        <w:rPr>
          <w:rFonts w:ascii="Times New Roman" w:hAnsi="Times New Roman" w:cs="Times New Roman"/>
          <w:szCs w:val="28"/>
        </w:rPr>
      </w:pPr>
      <w:r>
        <w:rPr>
          <w:rFonts w:ascii="Times New Roman" w:hAnsi="Times New Roman" w:cs="Times New Roman"/>
          <w:szCs w:val="28"/>
        </w:rPr>
        <w:t xml:space="preserve">References – </w:t>
      </w:r>
    </w:p>
    <w:p w14:paraId="277DC349" w14:textId="1D78E9C3" w:rsidR="000713E6" w:rsidRPr="00104E5E" w:rsidRDefault="004C0C0B"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Lammers, T., Aime, S., Hennink, W. E., Storm, G., &amp; Kiessling, F. (2011). </w:t>
      </w:r>
      <w:proofErr w:type="spellStart"/>
      <w:r w:rsidRPr="00104E5E">
        <w:rPr>
          <w:rFonts w:ascii="Times New Roman" w:hAnsi="Times New Roman" w:cs="Times New Roman"/>
          <w:szCs w:val="28"/>
        </w:rPr>
        <w:t>Theranostic</w:t>
      </w:r>
      <w:proofErr w:type="spellEnd"/>
      <w:r w:rsidRPr="00104E5E">
        <w:rPr>
          <w:rFonts w:ascii="Times New Roman" w:hAnsi="Times New Roman" w:cs="Times New Roman"/>
          <w:szCs w:val="28"/>
        </w:rPr>
        <w:t xml:space="preserve"> nanomedicine. Accounts of Chemical Research, 44(10), 1029–1038. </w:t>
      </w:r>
      <w:hyperlink r:id="rId10" w:history="1">
        <w:r w:rsidRPr="00104E5E">
          <w:rPr>
            <w:rStyle w:val="Hyperlink"/>
            <w:rFonts w:ascii="Times New Roman" w:hAnsi="Times New Roman" w:cs="Times New Roman"/>
            <w:szCs w:val="28"/>
          </w:rPr>
          <w:t>https://doi.org/10.1021/ar200019c</w:t>
        </w:r>
      </w:hyperlink>
      <w:r w:rsidRPr="00104E5E">
        <w:rPr>
          <w:rFonts w:ascii="Times New Roman" w:hAnsi="Times New Roman" w:cs="Times New Roman"/>
          <w:szCs w:val="28"/>
        </w:rPr>
        <w:t xml:space="preserve"> </w:t>
      </w:r>
    </w:p>
    <w:p w14:paraId="1EB984D0" w14:textId="7BC4F555" w:rsidR="000713E6" w:rsidRPr="00104E5E" w:rsidRDefault="009A2EE0"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Whitesides, G. M. (2006). The origins and the future of microfluidics. Nature, 442(7101), 368–373. </w:t>
      </w:r>
      <w:hyperlink r:id="rId11" w:history="1">
        <w:r w:rsidRPr="00104E5E">
          <w:rPr>
            <w:rStyle w:val="Hyperlink"/>
            <w:rFonts w:ascii="Times New Roman" w:hAnsi="Times New Roman" w:cs="Times New Roman"/>
            <w:szCs w:val="28"/>
          </w:rPr>
          <w:t>https://doi.org/10.1038/nature05058</w:t>
        </w:r>
      </w:hyperlink>
      <w:r w:rsidRPr="00104E5E">
        <w:rPr>
          <w:rFonts w:ascii="Times New Roman" w:hAnsi="Times New Roman" w:cs="Times New Roman"/>
          <w:szCs w:val="28"/>
        </w:rPr>
        <w:t xml:space="preserve"> </w:t>
      </w:r>
    </w:p>
    <w:p w14:paraId="4E28E95E" w14:textId="15E9C77D" w:rsidR="000713E6" w:rsidRPr="00104E5E" w:rsidRDefault="00670AE9"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Mura, S., Nicolas, J., &amp; Couvreur, P. (2013). Stimuli-responsive nanocarriers for drug delivery. Nature Materials, 12(11), 991–1003. </w:t>
      </w:r>
      <w:hyperlink r:id="rId12" w:history="1">
        <w:r w:rsidRPr="00104E5E">
          <w:rPr>
            <w:rStyle w:val="Hyperlink"/>
            <w:rFonts w:ascii="Times New Roman" w:hAnsi="Times New Roman" w:cs="Times New Roman"/>
            <w:szCs w:val="28"/>
          </w:rPr>
          <w:t>https://doi.org/10.1038/nmat3776</w:t>
        </w:r>
      </w:hyperlink>
      <w:r w:rsidRPr="00104E5E">
        <w:rPr>
          <w:rFonts w:ascii="Times New Roman" w:hAnsi="Times New Roman" w:cs="Times New Roman"/>
          <w:szCs w:val="28"/>
        </w:rPr>
        <w:t xml:space="preserve"> </w:t>
      </w:r>
    </w:p>
    <w:p w14:paraId="128D91C5" w14:textId="6DF8B3F5" w:rsidR="000713E6" w:rsidRPr="00104E5E" w:rsidRDefault="00465407"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Lee, H.-</w:t>
      </w:r>
      <w:proofErr w:type="spellStart"/>
      <w:r w:rsidRPr="00104E5E">
        <w:rPr>
          <w:rFonts w:ascii="Times New Roman" w:hAnsi="Times New Roman" w:cs="Times New Roman"/>
          <w:szCs w:val="28"/>
        </w:rPr>
        <w:t>i</w:t>
      </w:r>
      <w:proofErr w:type="spellEnd"/>
      <w:r w:rsidRPr="00104E5E">
        <w:rPr>
          <w:rFonts w:ascii="Times New Roman" w:hAnsi="Times New Roman" w:cs="Times New Roman"/>
          <w:szCs w:val="28"/>
        </w:rPr>
        <w:t xml:space="preserve">., </w:t>
      </w:r>
      <w:proofErr w:type="spellStart"/>
      <w:r w:rsidRPr="00104E5E">
        <w:rPr>
          <w:rFonts w:ascii="Times New Roman" w:hAnsi="Times New Roman" w:cs="Times New Roman"/>
          <w:szCs w:val="28"/>
        </w:rPr>
        <w:t>Pietrasik</w:t>
      </w:r>
      <w:proofErr w:type="spellEnd"/>
      <w:r w:rsidRPr="00104E5E">
        <w:rPr>
          <w:rFonts w:ascii="Times New Roman" w:hAnsi="Times New Roman" w:cs="Times New Roman"/>
          <w:szCs w:val="28"/>
        </w:rPr>
        <w:t xml:space="preserve">, J., Sheiko, S. S., &amp; Matyjaszewski, K. (2010). Stimuli-responsive molecular brushes. Progress in Polymer Science, 35(1-2), 24–44. </w:t>
      </w:r>
      <w:hyperlink r:id="rId13" w:history="1">
        <w:r w:rsidRPr="00104E5E">
          <w:rPr>
            <w:rStyle w:val="Hyperlink"/>
            <w:rFonts w:ascii="Times New Roman" w:hAnsi="Times New Roman" w:cs="Times New Roman"/>
            <w:szCs w:val="28"/>
          </w:rPr>
          <w:t>https://doi.org/10.1016/j.progpolymsci.2009.11.002</w:t>
        </w:r>
      </w:hyperlink>
      <w:r w:rsidRPr="00104E5E">
        <w:rPr>
          <w:rFonts w:ascii="Times New Roman" w:hAnsi="Times New Roman" w:cs="Times New Roman"/>
          <w:szCs w:val="28"/>
        </w:rPr>
        <w:t xml:space="preserve"> </w:t>
      </w:r>
    </w:p>
    <w:p w14:paraId="5C1DE524" w14:textId="65C9D1FE" w:rsidR="000713E6" w:rsidRPr="00104E5E" w:rsidRDefault="00C61D56"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Mehnert, W., &amp; </w:t>
      </w:r>
      <w:proofErr w:type="spellStart"/>
      <w:r w:rsidRPr="00104E5E">
        <w:rPr>
          <w:rFonts w:ascii="Times New Roman" w:hAnsi="Times New Roman" w:cs="Times New Roman"/>
          <w:szCs w:val="28"/>
        </w:rPr>
        <w:t>Mäder</w:t>
      </w:r>
      <w:proofErr w:type="spellEnd"/>
      <w:r w:rsidRPr="00104E5E">
        <w:rPr>
          <w:rFonts w:ascii="Times New Roman" w:hAnsi="Times New Roman" w:cs="Times New Roman"/>
          <w:szCs w:val="28"/>
        </w:rPr>
        <w:t xml:space="preserve">, K. (2001). Solid lipid nanoparticles: production, characterization and applications. Advanced Drug Delivery Reviews, 47(2-3), 165-196. </w:t>
      </w:r>
      <w:hyperlink r:id="rId14" w:history="1">
        <w:r w:rsidRPr="00104E5E">
          <w:rPr>
            <w:rStyle w:val="Hyperlink"/>
            <w:rFonts w:ascii="Times New Roman" w:hAnsi="Times New Roman" w:cs="Times New Roman"/>
            <w:szCs w:val="28"/>
          </w:rPr>
          <w:t>https://doi.org/10.1016/S0169-409X(01)00105-3</w:t>
        </w:r>
      </w:hyperlink>
      <w:r w:rsidRPr="00104E5E">
        <w:rPr>
          <w:rFonts w:ascii="Times New Roman" w:hAnsi="Times New Roman" w:cs="Times New Roman"/>
          <w:szCs w:val="28"/>
        </w:rPr>
        <w:t xml:space="preserve"> </w:t>
      </w:r>
    </w:p>
    <w:p w14:paraId="01EC8739" w14:textId="0A5D0ED9" w:rsidR="000713E6" w:rsidRPr="00104E5E" w:rsidRDefault="003D12A5"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Rathore, A. S., &amp; Winkle, H. (2009). Quality by design for biopharmaceuticals. Nature Biotechnology, 27(1), 26–34. </w:t>
      </w:r>
      <w:hyperlink r:id="rId15" w:history="1">
        <w:r w:rsidRPr="00104E5E">
          <w:rPr>
            <w:rStyle w:val="Hyperlink"/>
            <w:rFonts w:ascii="Times New Roman" w:hAnsi="Times New Roman" w:cs="Times New Roman"/>
            <w:szCs w:val="28"/>
          </w:rPr>
          <w:t>https://doi.org/10.1038/nbt0109-26</w:t>
        </w:r>
      </w:hyperlink>
      <w:r w:rsidRPr="00104E5E">
        <w:rPr>
          <w:rFonts w:ascii="Times New Roman" w:hAnsi="Times New Roman" w:cs="Times New Roman"/>
          <w:szCs w:val="28"/>
        </w:rPr>
        <w:t xml:space="preserve"> </w:t>
      </w:r>
    </w:p>
    <w:p w14:paraId="6A0C53D2" w14:textId="134CF196" w:rsidR="000713E6" w:rsidRPr="00104E5E" w:rsidRDefault="009B3D4B"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lang w:val="nb-NO"/>
        </w:rPr>
        <w:t xml:space="preserve">Discher, D. E., &amp; Eisenberg, A. (2002). </w:t>
      </w:r>
      <w:r w:rsidRPr="00104E5E">
        <w:rPr>
          <w:rFonts w:ascii="Times New Roman" w:hAnsi="Times New Roman" w:cs="Times New Roman"/>
          <w:szCs w:val="28"/>
        </w:rPr>
        <w:t xml:space="preserve">Polymer Vesicles. Science, 297(5583), 967–973. </w:t>
      </w:r>
      <w:hyperlink r:id="rId16" w:history="1">
        <w:r w:rsidRPr="00104E5E">
          <w:rPr>
            <w:rStyle w:val="Hyperlink"/>
            <w:rFonts w:ascii="Times New Roman" w:hAnsi="Times New Roman" w:cs="Times New Roman"/>
            <w:szCs w:val="28"/>
          </w:rPr>
          <w:t>https://doi.org/10.1126/science.1074972</w:t>
        </w:r>
      </w:hyperlink>
      <w:r w:rsidRPr="00104E5E">
        <w:rPr>
          <w:rFonts w:ascii="Times New Roman" w:hAnsi="Times New Roman" w:cs="Times New Roman"/>
          <w:szCs w:val="28"/>
        </w:rPr>
        <w:t xml:space="preserve"> </w:t>
      </w:r>
    </w:p>
    <w:p w14:paraId="75F88F62" w14:textId="5AB437BE" w:rsidR="000713E6" w:rsidRPr="00104E5E" w:rsidRDefault="00395450"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Du, N., Park, H. B., Robertson, G. P., Dal-Cin, M. M., Visser, T., Scoles, L., &amp; </w:t>
      </w:r>
      <w:proofErr w:type="spellStart"/>
      <w:r w:rsidRPr="00104E5E">
        <w:rPr>
          <w:rFonts w:ascii="Times New Roman" w:hAnsi="Times New Roman" w:cs="Times New Roman"/>
          <w:szCs w:val="28"/>
        </w:rPr>
        <w:t>Guiver</w:t>
      </w:r>
      <w:proofErr w:type="spellEnd"/>
      <w:r w:rsidRPr="00104E5E">
        <w:rPr>
          <w:rFonts w:ascii="Times New Roman" w:hAnsi="Times New Roman" w:cs="Times New Roman"/>
          <w:szCs w:val="28"/>
        </w:rPr>
        <w:t xml:space="preserve">, M. D. (2011). Polymer </w:t>
      </w:r>
      <w:proofErr w:type="spellStart"/>
      <w:r w:rsidRPr="00104E5E">
        <w:rPr>
          <w:rFonts w:ascii="Times New Roman" w:hAnsi="Times New Roman" w:cs="Times New Roman"/>
          <w:szCs w:val="28"/>
        </w:rPr>
        <w:t>nanosieve</w:t>
      </w:r>
      <w:proofErr w:type="spellEnd"/>
      <w:r w:rsidRPr="00104E5E">
        <w:rPr>
          <w:rFonts w:ascii="Times New Roman" w:hAnsi="Times New Roman" w:cs="Times New Roman"/>
          <w:szCs w:val="28"/>
        </w:rPr>
        <w:t xml:space="preserve"> membranes for CO2-capture applications. Nature Materials, 10(5), 372–375. </w:t>
      </w:r>
      <w:hyperlink r:id="rId17" w:history="1">
        <w:r w:rsidRPr="00104E5E">
          <w:rPr>
            <w:rStyle w:val="Hyperlink"/>
            <w:rFonts w:ascii="Times New Roman" w:hAnsi="Times New Roman" w:cs="Times New Roman"/>
            <w:szCs w:val="28"/>
          </w:rPr>
          <w:t>https://doi.org/10.1038/nmat2989</w:t>
        </w:r>
      </w:hyperlink>
      <w:r w:rsidRPr="00104E5E">
        <w:rPr>
          <w:rFonts w:ascii="Times New Roman" w:hAnsi="Times New Roman" w:cs="Times New Roman"/>
          <w:szCs w:val="28"/>
        </w:rPr>
        <w:t xml:space="preserve"> </w:t>
      </w:r>
    </w:p>
    <w:p w14:paraId="5BA18941" w14:textId="549519D6" w:rsidR="000713E6" w:rsidRPr="00104E5E" w:rsidRDefault="00B34ED0"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Danhier, F., </w:t>
      </w:r>
      <w:proofErr w:type="spellStart"/>
      <w:r w:rsidRPr="00104E5E">
        <w:rPr>
          <w:rFonts w:ascii="Times New Roman" w:hAnsi="Times New Roman" w:cs="Times New Roman"/>
          <w:szCs w:val="28"/>
        </w:rPr>
        <w:t>Ansorena</w:t>
      </w:r>
      <w:proofErr w:type="spellEnd"/>
      <w:r w:rsidRPr="00104E5E">
        <w:rPr>
          <w:rFonts w:ascii="Times New Roman" w:hAnsi="Times New Roman" w:cs="Times New Roman"/>
          <w:szCs w:val="28"/>
        </w:rPr>
        <w:t xml:space="preserve">, E., Silva, J. M., Coco, R., Le Breton, A., &amp; </w:t>
      </w:r>
      <w:proofErr w:type="spellStart"/>
      <w:r w:rsidRPr="00104E5E">
        <w:rPr>
          <w:rFonts w:ascii="Times New Roman" w:hAnsi="Times New Roman" w:cs="Times New Roman"/>
          <w:szCs w:val="28"/>
        </w:rPr>
        <w:t>Préat</w:t>
      </w:r>
      <w:proofErr w:type="spellEnd"/>
      <w:r w:rsidRPr="00104E5E">
        <w:rPr>
          <w:rFonts w:ascii="Times New Roman" w:hAnsi="Times New Roman" w:cs="Times New Roman"/>
          <w:szCs w:val="28"/>
        </w:rPr>
        <w:t xml:space="preserve">, V. (2012). PLGA-based nanoparticles: An overview of biomedical applications. Journal of Controlled Release, 161(2), 505–522. </w:t>
      </w:r>
      <w:hyperlink r:id="rId18" w:history="1">
        <w:r w:rsidRPr="00104E5E">
          <w:rPr>
            <w:rStyle w:val="Hyperlink"/>
            <w:rFonts w:ascii="Times New Roman" w:hAnsi="Times New Roman" w:cs="Times New Roman"/>
            <w:szCs w:val="28"/>
          </w:rPr>
          <w:t>https://doi.org/10.1016/j.jconrel.2012.01.043</w:t>
        </w:r>
      </w:hyperlink>
      <w:r w:rsidRPr="00104E5E">
        <w:rPr>
          <w:rFonts w:ascii="Times New Roman" w:hAnsi="Times New Roman" w:cs="Times New Roman"/>
          <w:szCs w:val="28"/>
        </w:rPr>
        <w:t xml:space="preserve"> </w:t>
      </w:r>
    </w:p>
    <w:p w14:paraId="5F1B56C2" w14:textId="357BA4F9" w:rsidR="000713E6" w:rsidRPr="00104E5E" w:rsidRDefault="00B34ED0"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Williams, M. S., Buchanan, A. H., Davis, F. D., Faucett, W. A., Hallquist, M. L. G., Leader, J. B., Martin, C. L., McCormick, C. Z., Meyer, M. N., Murray, M. F., Rahm, A. K., Schwartz, M. L. B., Sturm, A. C., Wagner, J. K., Williams, J. L., Willard, H. F., &amp; Ledbetter, D. H. (2018). Patient-Centered Precision Health </w:t>
      </w:r>
      <w:proofErr w:type="gramStart"/>
      <w:r w:rsidRPr="00104E5E">
        <w:rPr>
          <w:rFonts w:ascii="Times New Roman" w:hAnsi="Times New Roman" w:cs="Times New Roman"/>
          <w:szCs w:val="28"/>
        </w:rPr>
        <w:t>In</w:t>
      </w:r>
      <w:proofErr w:type="gramEnd"/>
      <w:r w:rsidRPr="00104E5E">
        <w:rPr>
          <w:rFonts w:ascii="Times New Roman" w:hAnsi="Times New Roman" w:cs="Times New Roman"/>
          <w:szCs w:val="28"/>
        </w:rPr>
        <w:t xml:space="preserve"> A Learning Health Care System: Geisinger’s Genomic Medicine Experience. Health Affairs, 37(5), 757–764. </w:t>
      </w:r>
      <w:hyperlink r:id="rId19" w:history="1">
        <w:r w:rsidRPr="00104E5E">
          <w:rPr>
            <w:rStyle w:val="Hyperlink"/>
            <w:rFonts w:ascii="Times New Roman" w:hAnsi="Times New Roman" w:cs="Times New Roman"/>
            <w:szCs w:val="28"/>
          </w:rPr>
          <w:t>https://doi.org/10.1377/hlthaff.2017.1557</w:t>
        </w:r>
      </w:hyperlink>
      <w:r w:rsidRPr="00104E5E">
        <w:rPr>
          <w:rFonts w:ascii="Times New Roman" w:hAnsi="Times New Roman" w:cs="Times New Roman"/>
          <w:szCs w:val="28"/>
        </w:rPr>
        <w:t xml:space="preserve"> </w:t>
      </w:r>
    </w:p>
    <w:p w14:paraId="36DC29A4" w14:textId="51EEFC9E" w:rsidR="000713E6" w:rsidRPr="00104E5E" w:rsidRDefault="00B34ED0"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lang w:val="nb-NO"/>
        </w:rPr>
        <w:t xml:space="preserve">Mitragotri, S., Burke, P. A., &amp; Langer, R. (2014). </w:t>
      </w:r>
      <w:r w:rsidRPr="00104E5E">
        <w:rPr>
          <w:rFonts w:ascii="Times New Roman" w:hAnsi="Times New Roman" w:cs="Times New Roman"/>
          <w:szCs w:val="28"/>
        </w:rPr>
        <w:t xml:space="preserve">Overcoming the challenges in administering biopharmaceuticals: formulation and delivery strategies. Nat Rev Drug </w:t>
      </w:r>
      <w:proofErr w:type="spellStart"/>
      <w:r w:rsidRPr="00104E5E">
        <w:rPr>
          <w:rFonts w:ascii="Times New Roman" w:hAnsi="Times New Roman" w:cs="Times New Roman"/>
          <w:szCs w:val="28"/>
        </w:rPr>
        <w:t>Discov</w:t>
      </w:r>
      <w:proofErr w:type="spellEnd"/>
      <w:r w:rsidRPr="00104E5E">
        <w:rPr>
          <w:rFonts w:ascii="Times New Roman" w:hAnsi="Times New Roman" w:cs="Times New Roman"/>
          <w:szCs w:val="28"/>
        </w:rPr>
        <w:t xml:space="preserve">, 13(9), 655–72. </w:t>
      </w:r>
      <w:hyperlink r:id="rId20" w:history="1">
        <w:r w:rsidRPr="00104E5E">
          <w:rPr>
            <w:rStyle w:val="Hyperlink"/>
            <w:rFonts w:ascii="Times New Roman" w:hAnsi="Times New Roman" w:cs="Times New Roman"/>
            <w:szCs w:val="28"/>
          </w:rPr>
          <w:t>https://doi.org/10.1038/nrd4363</w:t>
        </w:r>
      </w:hyperlink>
      <w:r w:rsidRPr="00104E5E">
        <w:rPr>
          <w:rFonts w:ascii="Times New Roman" w:hAnsi="Times New Roman" w:cs="Times New Roman"/>
          <w:szCs w:val="28"/>
        </w:rPr>
        <w:t xml:space="preserve"> </w:t>
      </w:r>
    </w:p>
    <w:p w14:paraId="37365843" w14:textId="65AC0BE5" w:rsidR="000713E6" w:rsidRPr="00104E5E" w:rsidRDefault="00B34ED0" w:rsidP="00104E5E">
      <w:pPr>
        <w:pStyle w:val="ListParagraph"/>
        <w:numPr>
          <w:ilvl w:val="0"/>
          <w:numId w:val="5"/>
        </w:numPr>
        <w:jc w:val="both"/>
        <w:rPr>
          <w:rFonts w:ascii="Times New Roman" w:hAnsi="Times New Roman" w:cs="Times New Roman"/>
          <w:szCs w:val="28"/>
        </w:rPr>
      </w:pPr>
      <w:proofErr w:type="spellStart"/>
      <w:r w:rsidRPr="00104E5E">
        <w:rPr>
          <w:rFonts w:ascii="Times New Roman" w:hAnsi="Times New Roman" w:cs="Times New Roman"/>
          <w:szCs w:val="28"/>
        </w:rPr>
        <w:t>Mallakpour</w:t>
      </w:r>
      <w:proofErr w:type="spellEnd"/>
      <w:r w:rsidRPr="00104E5E">
        <w:rPr>
          <w:rFonts w:ascii="Times New Roman" w:hAnsi="Times New Roman" w:cs="Times New Roman"/>
          <w:szCs w:val="28"/>
        </w:rPr>
        <w:t xml:space="preserve">, S., &amp; Rafiee, Z. (2011). New developments in polymer science and technology using combination of ionic liquids and microwave irradiation. Progress in </w:t>
      </w:r>
      <w:r w:rsidRPr="00104E5E">
        <w:rPr>
          <w:rFonts w:ascii="Times New Roman" w:hAnsi="Times New Roman" w:cs="Times New Roman"/>
          <w:szCs w:val="28"/>
        </w:rPr>
        <w:lastRenderedPageBreak/>
        <w:t xml:space="preserve">Polymer Science, 36(12), 1754–1765. </w:t>
      </w:r>
      <w:hyperlink r:id="rId21" w:history="1">
        <w:r w:rsidRPr="00104E5E">
          <w:rPr>
            <w:rStyle w:val="Hyperlink"/>
            <w:rFonts w:ascii="Times New Roman" w:hAnsi="Times New Roman" w:cs="Times New Roman"/>
            <w:szCs w:val="28"/>
          </w:rPr>
          <w:t>https://doi.org/10.1016/j.progpolymsci.2011.03.001</w:t>
        </w:r>
      </w:hyperlink>
      <w:r w:rsidRPr="00104E5E">
        <w:rPr>
          <w:rFonts w:ascii="Times New Roman" w:hAnsi="Times New Roman" w:cs="Times New Roman"/>
          <w:szCs w:val="28"/>
        </w:rPr>
        <w:t xml:space="preserve"> </w:t>
      </w:r>
    </w:p>
    <w:p w14:paraId="3AE4DA75" w14:textId="27131853" w:rsidR="000713E6" w:rsidRPr="00104E5E" w:rsidRDefault="00B34ED0"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Anselmo, A. C., &amp; Mitragotri, S. (2019). Nanoparticles in the clinic: An update. Bioengineering &amp; Translational Medicine, 4(3), e10143. </w:t>
      </w:r>
      <w:hyperlink r:id="rId22" w:history="1">
        <w:r w:rsidRPr="00104E5E">
          <w:rPr>
            <w:rStyle w:val="Hyperlink"/>
            <w:rFonts w:ascii="Times New Roman" w:hAnsi="Times New Roman" w:cs="Times New Roman"/>
            <w:szCs w:val="28"/>
          </w:rPr>
          <w:t>https://doi.org/10.1002/btm2.10143</w:t>
        </w:r>
      </w:hyperlink>
      <w:r w:rsidRPr="00104E5E">
        <w:rPr>
          <w:rFonts w:ascii="Times New Roman" w:hAnsi="Times New Roman" w:cs="Times New Roman"/>
          <w:szCs w:val="28"/>
        </w:rPr>
        <w:t xml:space="preserve"> </w:t>
      </w:r>
    </w:p>
    <w:p w14:paraId="789D855B" w14:textId="57030E48" w:rsidR="000713E6" w:rsidRPr="00104E5E" w:rsidRDefault="00B34ED0"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lang w:val="nb-NO"/>
        </w:rPr>
        <w:t xml:space="preserve">Riehemann, K., Schneider, S. W., Luger, T. A., Godin, B., Ferrari, M., &amp; Fuchs, H. (2009). </w:t>
      </w:r>
      <w:r w:rsidRPr="00104E5E">
        <w:rPr>
          <w:rFonts w:ascii="Times New Roman" w:hAnsi="Times New Roman" w:cs="Times New Roman"/>
          <w:szCs w:val="28"/>
        </w:rPr>
        <w:t xml:space="preserve">Nanomedicine—Challenge and Perspectives. </w:t>
      </w:r>
      <w:proofErr w:type="spellStart"/>
      <w:r w:rsidRPr="00104E5E">
        <w:rPr>
          <w:rFonts w:ascii="Times New Roman" w:hAnsi="Times New Roman" w:cs="Times New Roman"/>
          <w:szCs w:val="28"/>
        </w:rPr>
        <w:t>Angewandte</w:t>
      </w:r>
      <w:proofErr w:type="spellEnd"/>
      <w:r w:rsidRPr="00104E5E">
        <w:rPr>
          <w:rFonts w:ascii="Times New Roman" w:hAnsi="Times New Roman" w:cs="Times New Roman"/>
          <w:szCs w:val="28"/>
        </w:rPr>
        <w:t xml:space="preserve"> </w:t>
      </w:r>
      <w:proofErr w:type="spellStart"/>
      <w:r w:rsidRPr="00104E5E">
        <w:rPr>
          <w:rFonts w:ascii="Times New Roman" w:hAnsi="Times New Roman" w:cs="Times New Roman"/>
          <w:szCs w:val="28"/>
        </w:rPr>
        <w:t>Chemie</w:t>
      </w:r>
      <w:proofErr w:type="spellEnd"/>
      <w:r w:rsidRPr="00104E5E">
        <w:rPr>
          <w:rFonts w:ascii="Times New Roman" w:hAnsi="Times New Roman" w:cs="Times New Roman"/>
          <w:szCs w:val="28"/>
        </w:rPr>
        <w:t xml:space="preserve"> International Edition, 48(5), 872–897. </w:t>
      </w:r>
      <w:hyperlink r:id="rId23" w:history="1">
        <w:r w:rsidRPr="00104E5E">
          <w:rPr>
            <w:rStyle w:val="Hyperlink"/>
            <w:rFonts w:ascii="Times New Roman" w:hAnsi="Times New Roman" w:cs="Times New Roman"/>
            <w:szCs w:val="28"/>
          </w:rPr>
          <w:t>https://doi.org/10.1002/anie.200802585</w:t>
        </w:r>
      </w:hyperlink>
      <w:r w:rsidRPr="00104E5E">
        <w:rPr>
          <w:rFonts w:ascii="Times New Roman" w:hAnsi="Times New Roman" w:cs="Times New Roman"/>
          <w:szCs w:val="28"/>
        </w:rPr>
        <w:t xml:space="preserve"> </w:t>
      </w:r>
    </w:p>
    <w:p w14:paraId="4E11DF81" w14:textId="594A8F6D" w:rsidR="000713E6" w:rsidRPr="00104E5E" w:rsidRDefault="00B34ED0" w:rsidP="00104E5E">
      <w:pPr>
        <w:pStyle w:val="ListParagraph"/>
        <w:numPr>
          <w:ilvl w:val="0"/>
          <w:numId w:val="5"/>
        </w:numPr>
        <w:jc w:val="both"/>
        <w:rPr>
          <w:rFonts w:ascii="Times New Roman" w:hAnsi="Times New Roman" w:cs="Times New Roman"/>
          <w:szCs w:val="28"/>
        </w:rPr>
      </w:pPr>
      <w:proofErr w:type="spellStart"/>
      <w:r w:rsidRPr="00104E5E">
        <w:rPr>
          <w:rFonts w:ascii="Times New Roman" w:hAnsi="Times New Roman" w:cs="Times New Roman"/>
          <w:szCs w:val="28"/>
        </w:rPr>
        <w:t>Torchilin</w:t>
      </w:r>
      <w:proofErr w:type="spellEnd"/>
      <w:r w:rsidRPr="00104E5E">
        <w:rPr>
          <w:rFonts w:ascii="Times New Roman" w:hAnsi="Times New Roman" w:cs="Times New Roman"/>
          <w:szCs w:val="28"/>
        </w:rPr>
        <w:t xml:space="preserve">, V. P. (2014). Multifunctional, stimuli-sensitive nanoparticulate systems for drug delivery. Nature Reviews Drug Discovery, 13(11), 813–827. </w:t>
      </w:r>
      <w:hyperlink r:id="rId24" w:history="1">
        <w:r w:rsidRPr="00104E5E">
          <w:rPr>
            <w:rStyle w:val="Hyperlink"/>
            <w:rFonts w:ascii="Times New Roman" w:hAnsi="Times New Roman" w:cs="Times New Roman"/>
            <w:szCs w:val="28"/>
          </w:rPr>
          <w:t>https://doi.org/10.1038/nrd4333</w:t>
        </w:r>
      </w:hyperlink>
      <w:r w:rsidRPr="00104E5E">
        <w:rPr>
          <w:rFonts w:ascii="Times New Roman" w:hAnsi="Times New Roman" w:cs="Times New Roman"/>
          <w:szCs w:val="28"/>
        </w:rPr>
        <w:t xml:space="preserve"> </w:t>
      </w:r>
    </w:p>
    <w:p w14:paraId="1EB843FD" w14:textId="1E5ADADF" w:rsidR="000713E6" w:rsidRPr="00104E5E" w:rsidRDefault="004D3485"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Pardi, N., Hogan, M. J., Porter, F. W., &amp; Weissman, D. (2018). mRNA vaccines — a new era in vaccinology. Nature Reviews Drug Discovery, 17(4), 261–279. </w:t>
      </w:r>
      <w:hyperlink r:id="rId25" w:history="1">
        <w:r w:rsidRPr="00104E5E">
          <w:rPr>
            <w:rStyle w:val="Hyperlink"/>
            <w:rFonts w:ascii="Times New Roman" w:hAnsi="Times New Roman" w:cs="Times New Roman"/>
            <w:szCs w:val="28"/>
          </w:rPr>
          <w:t>https://doi.org/10.1038/nrd.2017.243</w:t>
        </w:r>
      </w:hyperlink>
      <w:r w:rsidRPr="00104E5E">
        <w:rPr>
          <w:rFonts w:ascii="Times New Roman" w:hAnsi="Times New Roman" w:cs="Times New Roman"/>
          <w:szCs w:val="28"/>
        </w:rPr>
        <w:t xml:space="preserve"> </w:t>
      </w:r>
    </w:p>
    <w:p w14:paraId="1E14F882" w14:textId="10BC8072" w:rsidR="000713E6" w:rsidRPr="00104E5E" w:rsidRDefault="002858C1"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Patil V. A novel approach to herbal skincare: preparation and evaluation of </w:t>
      </w:r>
      <w:r w:rsidRPr="00104E5E">
        <w:rPr>
          <w:rFonts w:ascii="Times New Roman" w:hAnsi="Times New Roman" w:cs="Times New Roman"/>
          <w:i/>
          <w:iCs/>
          <w:szCs w:val="28"/>
        </w:rPr>
        <w:t>Daucus carota</w:t>
      </w:r>
      <w:r w:rsidRPr="00104E5E">
        <w:rPr>
          <w:rFonts w:ascii="Times New Roman" w:hAnsi="Times New Roman" w:cs="Times New Roman"/>
          <w:szCs w:val="28"/>
        </w:rPr>
        <w:t xml:space="preserve">-based vanishing cream. </w:t>
      </w:r>
      <w:r w:rsidRPr="00104E5E">
        <w:rPr>
          <w:rFonts w:ascii="Times New Roman" w:hAnsi="Times New Roman" w:cs="Times New Roman"/>
          <w:b/>
          <w:bCs/>
          <w:szCs w:val="28"/>
        </w:rPr>
        <w:t>Int J Pharm Sci.</w:t>
      </w:r>
      <w:r w:rsidRPr="00104E5E">
        <w:rPr>
          <w:rFonts w:ascii="Times New Roman" w:hAnsi="Times New Roman" w:cs="Times New Roman"/>
          <w:szCs w:val="28"/>
        </w:rPr>
        <w:t xml:space="preserve"> 2025 Jul.</w:t>
      </w:r>
      <w:r w:rsidR="004D3485" w:rsidRPr="00104E5E">
        <w:rPr>
          <w:rFonts w:ascii="Times New Roman" w:hAnsi="Times New Roman" w:cs="Times New Roman"/>
          <w:szCs w:val="28"/>
        </w:rPr>
        <w:t xml:space="preserve"> </w:t>
      </w:r>
    </w:p>
    <w:p w14:paraId="258E6487" w14:textId="24B3E6FA" w:rsidR="000713E6" w:rsidRPr="00104E5E" w:rsidRDefault="00915A2D"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lang w:val="nb-NO"/>
        </w:rPr>
        <w:t xml:space="preserve">DiMasi, J. A., Grabowski, H. G., &amp; Hansen, R. W. (2016). </w:t>
      </w:r>
      <w:r w:rsidRPr="00104E5E">
        <w:rPr>
          <w:rFonts w:ascii="Times New Roman" w:hAnsi="Times New Roman" w:cs="Times New Roman"/>
          <w:szCs w:val="28"/>
        </w:rPr>
        <w:t xml:space="preserve">Innovation in the pharmaceutical industry: New estimates of R&amp;D costs. </w:t>
      </w:r>
      <w:r w:rsidRPr="00104E5E">
        <w:rPr>
          <w:rFonts w:ascii="Times New Roman" w:hAnsi="Times New Roman" w:cs="Times New Roman"/>
          <w:szCs w:val="28"/>
          <w:lang w:val="nb-NO"/>
        </w:rPr>
        <w:t xml:space="preserve">Journal of Health Economics, 47, 20–33. </w:t>
      </w:r>
      <w:hyperlink r:id="rId26" w:history="1">
        <w:r w:rsidRPr="00104E5E">
          <w:rPr>
            <w:rStyle w:val="Hyperlink"/>
            <w:rFonts w:ascii="Times New Roman" w:hAnsi="Times New Roman" w:cs="Times New Roman"/>
            <w:szCs w:val="28"/>
            <w:lang w:val="nb-NO"/>
          </w:rPr>
          <w:t>https://doi.org/10.1016/j.jhealeco.2016.01.012</w:t>
        </w:r>
      </w:hyperlink>
      <w:r w:rsidRPr="00104E5E">
        <w:rPr>
          <w:rFonts w:ascii="Times New Roman" w:hAnsi="Times New Roman" w:cs="Times New Roman"/>
          <w:szCs w:val="28"/>
          <w:lang w:val="nb-NO"/>
        </w:rPr>
        <w:t xml:space="preserve"> </w:t>
      </w:r>
    </w:p>
    <w:p w14:paraId="62B34597" w14:textId="25AB059C" w:rsidR="000713E6" w:rsidRPr="00104E5E" w:rsidRDefault="005C2FBC"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Patton, J. S., &amp; Byron, P. R. (2007). Inhaling medicines: delivering drugs to the body through the lungs. Nature Reviews Drug Discovery. </w:t>
      </w:r>
      <w:hyperlink r:id="rId27" w:history="1">
        <w:r w:rsidRPr="00104E5E">
          <w:rPr>
            <w:rStyle w:val="Hyperlink"/>
            <w:rFonts w:ascii="Times New Roman" w:hAnsi="Times New Roman" w:cs="Times New Roman"/>
            <w:szCs w:val="28"/>
          </w:rPr>
          <w:t>https://doi.org/10.1038/nrd2153</w:t>
        </w:r>
      </w:hyperlink>
      <w:r w:rsidRPr="00104E5E">
        <w:rPr>
          <w:rFonts w:ascii="Times New Roman" w:hAnsi="Times New Roman" w:cs="Times New Roman"/>
          <w:szCs w:val="28"/>
        </w:rPr>
        <w:t xml:space="preserve"> </w:t>
      </w:r>
    </w:p>
    <w:p w14:paraId="128194B0" w14:textId="27C698AB" w:rsidR="000713E6" w:rsidRPr="00104E5E" w:rsidRDefault="005C2FBC"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Danaei, M., </w:t>
      </w:r>
      <w:proofErr w:type="spellStart"/>
      <w:r w:rsidRPr="00104E5E">
        <w:rPr>
          <w:rFonts w:ascii="Times New Roman" w:hAnsi="Times New Roman" w:cs="Times New Roman"/>
          <w:szCs w:val="28"/>
        </w:rPr>
        <w:t>Dehghankhold</w:t>
      </w:r>
      <w:proofErr w:type="spellEnd"/>
      <w:r w:rsidRPr="00104E5E">
        <w:rPr>
          <w:rFonts w:ascii="Times New Roman" w:hAnsi="Times New Roman" w:cs="Times New Roman"/>
          <w:szCs w:val="28"/>
        </w:rPr>
        <w:t xml:space="preserve">, M., Ataei, S., Hasanzadeh Davarani, F., Javanmard, R., </w:t>
      </w:r>
      <w:proofErr w:type="spellStart"/>
      <w:r w:rsidRPr="00104E5E">
        <w:rPr>
          <w:rFonts w:ascii="Times New Roman" w:hAnsi="Times New Roman" w:cs="Times New Roman"/>
          <w:szCs w:val="28"/>
        </w:rPr>
        <w:t>Dokhani</w:t>
      </w:r>
      <w:proofErr w:type="spellEnd"/>
      <w:r w:rsidRPr="00104E5E">
        <w:rPr>
          <w:rFonts w:ascii="Times New Roman" w:hAnsi="Times New Roman" w:cs="Times New Roman"/>
          <w:szCs w:val="28"/>
        </w:rPr>
        <w:t xml:space="preserve">, A., Khorasani, S., &amp; </w:t>
      </w:r>
      <w:proofErr w:type="spellStart"/>
      <w:r w:rsidRPr="00104E5E">
        <w:rPr>
          <w:rFonts w:ascii="Times New Roman" w:hAnsi="Times New Roman" w:cs="Times New Roman"/>
          <w:szCs w:val="28"/>
        </w:rPr>
        <w:t>Mozafari</w:t>
      </w:r>
      <w:proofErr w:type="spellEnd"/>
      <w:r w:rsidRPr="00104E5E">
        <w:rPr>
          <w:rFonts w:ascii="Times New Roman" w:hAnsi="Times New Roman" w:cs="Times New Roman"/>
          <w:szCs w:val="28"/>
        </w:rPr>
        <w:t xml:space="preserve">, M. R. (2018). Impact of Particle Size and Polydispersity Index on the Clinical Applications of Lipidic Nanocarrier Systems. Pharmaceutics, 10(2), 57. </w:t>
      </w:r>
      <w:hyperlink r:id="rId28" w:history="1">
        <w:r w:rsidRPr="00104E5E">
          <w:rPr>
            <w:rStyle w:val="Hyperlink"/>
            <w:rFonts w:ascii="Times New Roman" w:hAnsi="Times New Roman" w:cs="Times New Roman"/>
            <w:szCs w:val="28"/>
          </w:rPr>
          <w:t>https://doi.org/10.3390/pharmaceutics10020057</w:t>
        </w:r>
      </w:hyperlink>
      <w:r w:rsidRPr="00104E5E">
        <w:rPr>
          <w:rFonts w:ascii="Times New Roman" w:hAnsi="Times New Roman" w:cs="Times New Roman"/>
          <w:szCs w:val="28"/>
        </w:rPr>
        <w:t xml:space="preserve"> </w:t>
      </w:r>
    </w:p>
    <w:p w14:paraId="1031EDD2" w14:textId="3C3C1483" w:rsidR="000713E6" w:rsidRPr="00104E5E" w:rsidRDefault="005C2FBC"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Kim, K. S., Youn, Y. S., &amp; Bae, Y. H. (2019). Immune-triggered cancer treatment by intestinal lymphatic delivery of docetaxel-loaded nanoparticle. Journal of Controlled Release, 311–312, 85–95. </w:t>
      </w:r>
      <w:hyperlink r:id="rId29" w:history="1">
        <w:r w:rsidRPr="00104E5E">
          <w:rPr>
            <w:rStyle w:val="Hyperlink"/>
            <w:rFonts w:ascii="Times New Roman" w:hAnsi="Times New Roman" w:cs="Times New Roman"/>
            <w:szCs w:val="28"/>
          </w:rPr>
          <w:t>https://doi.org/10.1016/j.jconrel.2019.08.027</w:t>
        </w:r>
      </w:hyperlink>
      <w:r w:rsidRPr="00104E5E">
        <w:rPr>
          <w:rFonts w:ascii="Times New Roman" w:hAnsi="Times New Roman" w:cs="Times New Roman"/>
          <w:szCs w:val="28"/>
        </w:rPr>
        <w:t xml:space="preserve"> </w:t>
      </w:r>
    </w:p>
    <w:p w14:paraId="667D4882" w14:textId="2A32BE8F" w:rsidR="000713E6" w:rsidRPr="00104E5E" w:rsidRDefault="005C2FBC"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Topol, E. J. (2019). High-performance medicine: The convergence of human and artificial intelligence. Nature Medicine, 25(1), 44–56. </w:t>
      </w:r>
      <w:hyperlink r:id="rId30" w:history="1">
        <w:r w:rsidRPr="00104E5E">
          <w:rPr>
            <w:rStyle w:val="Hyperlink"/>
            <w:rFonts w:ascii="Times New Roman" w:hAnsi="Times New Roman" w:cs="Times New Roman"/>
            <w:szCs w:val="28"/>
          </w:rPr>
          <w:t>https://doi.org/10.1038/s41591-018-0300-7</w:t>
        </w:r>
      </w:hyperlink>
      <w:r w:rsidRPr="00104E5E">
        <w:rPr>
          <w:rFonts w:ascii="Times New Roman" w:hAnsi="Times New Roman" w:cs="Times New Roman"/>
          <w:szCs w:val="28"/>
        </w:rPr>
        <w:t xml:space="preserve"> </w:t>
      </w:r>
    </w:p>
    <w:p w14:paraId="6F539E68" w14:textId="0129CE94" w:rsidR="000713E6" w:rsidRPr="00104E5E" w:rsidRDefault="002858C1"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Patil V, </w:t>
      </w:r>
      <w:proofErr w:type="spellStart"/>
      <w:r w:rsidRPr="00104E5E">
        <w:rPr>
          <w:rFonts w:ascii="Times New Roman" w:hAnsi="Times New Roman" w:cs="Times New Roman"/>
          <w:szCs w:val="28"/>
        </w:rPr>
        <w:t>Kadasi</w:t>
      </w:r>
      <w:proofErr w:type="spellEnd"/>
      <w:r w:rsidRPr="00104E5E">
        <w:rPr>
          <w:rFonts w:ascii="Times New Roman" w:hAnsi="Times New Roman" w:cs="Times New Roman"/>
          <w:szCs w:val="28"/>
        </w:rPr>
        <w:t xml:space="preserve"> S, </w:t>
      </w:r>
      <w:proofErr w:type="spellStart"/>
      <w:r w:rsidRPr="00104E5E">
        <w:rPr>
          <w:rFonts w:ascii="Times New Roman" w:hAnsi="Times New Roman" w:cs="Times New Roman"/>
          <w:szCs w:val="28"/>
        </w:rPr>
        <w:t>Thakare</w:t>
      </w:r>
      <w:proofErr w:type="spellEnd"/>
      <w:r w:rsidRPr="00104E5E">
        <w:rPr>
          <w:rFonts w:ascii="Times New Roman" w:hAnsi="Times New Roman" w:cs="Times New Roman"/>
          <w:szCs w:val="28"/>
        </w:rPr>
        <w:t xml:space="preserve"> P, Mali R, </w:t>
      </w:r>
      <w:proofErr w:type="spellStart"/>
      <w:r w:rsidRPr="00104E5E">
        <w:rPr>
          <w:rFonts w:ascii="Times New Roman" w:hAnsi="Times New Roman" w:cs="Times New Roman"/>
          <w:szCs w:val="28"/>
        </w:rPr>
        <w:t>Kilaje</w:t>
      </w:r>
      <w:proofErr w:type="spellEnd"/>
      <w:r w:rsidRPr="00104E5E">
        <w:rPr>
          <w:rFonts w:ascii="Times New Roman" w:hAnsi="Times New Roman" w:cs="Times New Roman"/>
          <w:szCs w:val="28"/>
        </w:rPr>
        <w:t xml:space="preserve"> S, </w:t>
      </w:r>
      <w:proofErr w:type="spellStart"/>
      <w:r w:rsidRPr="00104E5E">
        <w:rPr>
          <w:rFonts w:ascii="Times New Roman" w:hAnsi="Times New Roman" w:cs="Times New Roman"/>
          <w:szCs w:val="28"/>
        </w:rPr>
        <w:t>Kapase</w:t>
      </w:r>
      <w:proofErr w:type="spellEnd"/>
      <w:r w:rsidRPr="00104E5E">
        <w:rPr>
          <w:rFonts w:ascii="Times New Roman" w:hAnsi="Times New Roman" w:cs="Times New Roman"/>
          <w:szCs w:val="28"/>
        </w:rPr>
        <w:t xml:space="preserve"> A. The globe amaranth in focus: therapeutic prospects and phytochemical riches of </w:t>
      </w:r>
      <w:r w:rsidRPr="00104E5E">
        <w:rPr>
          <w:rFonts w:ascii="Times New Roman" w:hAnsi="Times New Roman" w:cs="Times New Roman"/>
          <w:i/>
          <w:iCs/>
          <w:szCs w:val="28"/>
        </w:rPr>
        <w:t>Gomphrena globosa</w:t>
      </w:r>
      <w:r w:rsidRPr="00104E5E">
        <w:rPr>
          <w:rFonts w:ascii="Times New Roman" w:hAnsi="Times New Roman" w:cs="Times New Roman"/>
          <w:szCs w:val="28"/>
        </w:rPr>
        <w:t xml:space="preserve"> L. </w:t>
      </w:r>
      <w:r w:rsidRPr="00104E5E">
        <w:rPr>
          <w:rFonts w:ascii="Times New Roman" w:hAnsi="Times New Roman" w:cs="Times New Roman"/>
          <w:b/>
          <w:bCs/>
          <w:szCs w:val="28"/>
        </w:rPr>
        <w:t>Int J Pharm Sci.</w:t>
      </w:r>
      <w:r w:rsidRPr="00104E5E">
        <w:rPr>
          <w:rFonts w:ascii="Times New Roman" w:hAnsi="Times New Roman" w:cs="Times New Roman"/>
          <w:szCs w:val="28"/>
        </w:rPr>
        <w:t xml:space="preserve"> 2025 Jul.</w:t>
      </w:r>
      <w:r w:rsidR="005C2FBC" w:rsidRPr="00104E5E">
        <w:rPr>
          <w:rFonts w:ascii="Times New Roman" w:hAnsi="Times New Roman" w:cs="Times New Roman"/>
          <w:szCs w:val="28"/>
        </w:rPr>
        <w:t xml:space="preserve"> </w:t>
      </w:r>
    </w:p>
    <w:p w14:paraId="75F0ED4B" w14:textId="1E999BB5" w:rsidR="000713E6" w:rsidRPr="00104E5E" w:rsidRDefault="005C2FBC"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lang w:val="nl-BE"/>
        </w:rPr>
        <w:t xml:space="preserve">Krishna, K. V., Ménard-Moyon, C., Verma, S., &amp; Bianco, A. (2013). </w:t>
      </w:r>
      <w:r w:rsidRPr="00104E5E">
        <w:rPr>
          <w:rFonts w:ascii="Times New Roman" w:hAnsi="Times New Roman" w:cs="Times New Roman"/>
          <w:szCs w:val="28"/>
        </w:rPr>
        <w:t xml:space="preserve">Graphene-based nanomaterials for nanobiotechnology and biomedical applications. Nanomedicine (London), 8(10), 1669–1688. </w:t>
      </w:r>
      <w:hyperlink r:id="rId31" w:history="1">
        <w:r w:rsidRPr="00104E5E">
          <w:rPr>
            <w:rStyle w:val="Hyperlink"/>
            <w:rFonts w:ascii="Times New Roman" w:hAnsi="Times New Roman" w:cs="Times New Roman"/>
            <w:szCs w:val="28"/>
          </w:rPr>
          <w:t>https://doi.org/10.2217/nnm.13.140</w:t>
        </w:r>
      </w:hyperlink>
      <w:r w:rsidRPr="00104E5E">
        <w:rPr>
          <w:rFonts w:ascii="Times New Roman" w:hAnsi="Times New Roman" w:cs="Times New Roman"/>
          <w:szCs w:val="28"/>
        </w:rPr>
        <w:t xml:space="preserve"> </w:t>
      </w:r>
    </w:p>
    <w:p w14:paraId="36CC5DA4" w14:textId="35055F4A" w:rsidR="000713E6" w:rsidRPr="00104E5E" w:rsidRDefault="005C2FBC"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Ekins, S., Puhl, A. C., Zorn, K. M., Lane, T. R., Russo, D. P., Klein, J. J., Hickey, A. J., &amp; Clark, A. M. (2019). Exploiting machine learning for end-to-end drug discovery and </w:t>
      </w:r>
      <w:r w:rsidRPr="00104E5E">
        <w:rPr>
          <w:rFonts w:ascii="Times New Roman" w:hAnsi="Times New Roman" w:cs="Times New Roman"/>
          <w:szCs w:val="28"/>
        </w:rPr>
        <w:lastRenderedPageBreak/>
        <w:t xml:space="preserve">development. Nature Materials, 18(5), 435–441. </w:t>
      </w:r>
      <w:hyperlink r:id="rId32" w:history="1">
        <w:r w:rsidRPr="00104E5E">
          <w:rPr>
            <w:rStyle w:val="Hyperlink"/>
            <w:rFonts w:ascii="Times New Roman" w:hAnsi="Times New Roman" w:cs="Times New Roman"/>
            <w:szCs w:val="28"/>
          </w:rPr>
          <w:t>https://doi.org/10.1038/s41563-019-0338-z</w:t>
        </w:r>
      </w:hyperlink>
      <w:r w:rsidRPr="00104E5E">
        <w:rPr>
          <w:rFonts w:ascii="Times New Roman" w:hAnsi="Times New Roman" w:cs="Times New Roman"/>
          <w:szCs w:val="28"/>
        </w:rPr>
        <w:t xml:space="preserve"> </w:t>
      </w:r>
    </w:p>
    <w:p w14:paraId="59313F1C" w14:textId="247DD790" w:rsidR="000713E6" w:rsidRPr="00104E5E" w:rsidRDefault="005C2FBC"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Chao, Y., Siller, L., Krishnamurthy, S., Coxon, P. R., Bangert, U., Gass, M., Kjeldgaard, L., Patole, S. N., Lie, L. H., O'Farrell, N., Alsop, T. A., Houlton, A., &amp; Horrocks, B. R. (2007). Evaporation and deposition of alkyl-capped silicon nanocrystals in ultrahigh vacuum. </w:t>
      </w:r>
      <w:r w:rsidRPr="00104E5E">
        <w:rPr>
          <w:rFonts w:ascii="Times New Roman" w:hAnsi="Times New Roman" w:cs="Times New Roman"/>
          <w:szCs w:val="28"/>
          <w:lang w:val="nb-NO"/>
        </w:rPr>
        <w:t xml:space="preserve">Nature Nanotechnology, 2(8), 486–489. </w:t>
      </w:r>
      <w:hyperlink r:id="rId33" w:history="1">
        <w:r w:rsidRPr="00104E5E">
          <w:rPr>
            <w:rStyle w:val="Hyperlink"/>
            <w:rFonts w:ascii="Times New Roman" w:hAnsi="Times New Roman" w:cs="Times New Roman"/>
            <w:szCs w:val="28"/>
            <w:lang w:val="nb-NO"/>
          </w:rPr>
          <w:t>https://doi.org/10.1038/nnano.2007.224</w:t>
        </w:r>
      </w:hyperlink>
      <w:r w:rsidRPr="00104E5E">
        <w:rPr>
          <w:rFonts w:ascii="Times New Roman" w:hAnsi="Times New Roman" w:cs="Times New Roman"/>
          <w:szCs w:val="28"/>
          <w:lang w:val="nb-NO"/>
        </w:rPr>
        <w:t xml:space="preserve"> </w:t>
      </w:r>
    </w:p>
    <w:p w14:paraId="514EE98A" w14:textId="51B9E468" w:rsidR="000713E6" w:rsidRPr="00104E5E" w:rsidRDefault="005C2FBC"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Lipinski, C. A. (2000). Drug-like properties and the causes of poor solubility and poor permeability. Journal of Pharmacological and Toxicological Methods, 44(1), 235–249. </w:t>
      </w:r>
      <w:hyperlink r:id="rId34" w:history="1">
        <w:r w:rsidRPr="00104E5E">
          <w:rPr>
            <w:rStyle w:val="Hyperlink"/>
            <w:rFonts w:ascii="Times New Roman" w:hAnsi="Times New Roman" w:cs="Times New Roman"/>
            <w:szCs w:val="28"/>
          </w:rPr>
          <w:t>https://doi.org/10.1016/S1056-8719(00)00107-6</w:t>
        </w:r>
      </w:hyperlink>
      <w:r w:rsidRPr="00104E5E">
        <w:rPr>
          <w:rFonts w:ascii="Times New Roman" w:hAnsi="Times New Roman" w:cs="Times New Roman"/>
          <w:szCs w:val="28"/>
        </w:rPr>
        <w:t xml:space="preserve"> </w:t>
      </w:r>
    </w:p>
    <w:p w14:paraId="5B624133" w14:textId="4677DF94" w:rsidR="000713E6" w:rsidRPr="00104E5E" w:rsidRDefault="005C2FBC" w:rsidP="00104E5E">
      <w:pPr>
        <w:pStyle w:val="ListParagraph"/>
        <w:numPr>
          <w:ilvl w:val="0"/>
          <w:numId w:val="5"/>
        </w:numPr>
        <w:jc w:val="both"/>
        <w:rPr>
          <w:rFonts w:ascii="Times New Roman" w:hAnsi="Times New Roman" w:cs="Times New Roman"/>
          <w:szCs w:val="28"/>
        </w:rPr>
      </w:pPr>
      <w:proofErr w:type="spellStart"/>
      <w:r w:rsidRPr="00104E5E">
        <w:rPr>
          <w:rFonts w:ascii="Times New Roman" w:hAnsi="Times New Roman" w:cs="Times New Roman"/>
          <w:szCs w:val="28"/>
        </w:rPr>
        <w:t>Barenholz</w:t>
      </w:r>
      <w:proofErr w:type="spellEnd"/>
      <w:r w:rsidRPr="00104E5E">
        <w:rPr>
          <w:rFonts w:ascii="Times New Roman" w:hAnsi="Times New Roman" w:cs="Times New Roman"/>
          <w:szCs w:val="28"/>
        </w:rPr>
        <w:t xml:space="preserve">, Y. (2012). </w:t>
      </w:r>
      <w:proofErr w:type="spellStart"/>
      <w:r w:rsidRPr="00104E5E">
        <w:rPr>
          <w:rFonts w:ascii="Times New Roman" w:hAnsi="Times New Roman" w:cs="Times New Roman"/>
          <w:szCs w:val="28"/>
        </w:rPr>
        <w:t>Doxil</w:t>
      </w:r>
      <w:proofErr w:type="spellEnd"/>
      <w:r w:rsidRPr="00104E5E">
        <w:rPr>
          <w:rFonts w:ascii="Times New Roman" w:hAnsi="Times New Roman" w:cs="Times New Roman"/>
          <w:szCs w:val="28"/>
        </w:rPr>
        <w:t xml:space="preserve">®--the first FDA-approved </w:t>
      </w:r>
      <w:proofErr w:type="spellStart"/>
      <w:r w:rsidRPr="00104E5E">
        <w:rPr>
          <w:rFonts w:ascii="Times New Roman" w:hAnsi="Times New Roman" w:cs="Times New Roman"/>
          <w:szCs w:val="28"/>
        </w:rPr>
        <w:t>nano</w:t>
      </w:r>
      <w:proofErr w:type="spellEnd"/>
      <w:r w:rsidRPr="00104E5E">
        <w:rPr>
          <w:rFonts w:ascii="Times New Roman" w:hAnsi="Times New Roman" w:cs="Times New Roman"/>
          <w:szCs w:val="28"/>
        </w:rPr>
        <w:t xml:space="preserve">-drug: lessons learned. Journal of Controlled Release, 160(2), 117–134. </w:t>
      </w:r>
      <w:hyperlink r:id="rId35" w:history="1">
        <w:r w:rsidRPr="00104E5E">
          <w:rPr>
            <w:rStyle w:val="Hyperlink"/>
            <w:rFonts w:ascii="Times New Roman" w:hAnsi="Times New Roman" w:cs="Times New Roman"/>
            <w:szCs w:val="28"/>
          </w:rPr>
          <w:t>https://doi.org/10.1016/j.jconrel.2012.03.020</w:t>
        </w:r>
      </w:hyperlink>
      <w:r w:rsidRPr="00104E5E">
        <w:rPr>
          <w:rFonts w:ascii="Times New Roman" w:hAnsi="Times New Roman" w:cs="Times New Roman"/>
          <w:szCs w:val="28"/>
        </w:rPr>
        <w:t xml:space="preserve"> </w:t>
      </w:r>
    </w:p>
    <w:p w14:paraId="636C3B36" w14:textId="06CA96AF" w:rsidR="000713E6" w:rsidRPr="00104E5E" w:rsidRDefault="005C2FBC"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Bates, P. J., Laber, D. A., Miller, D. M., Thomas, S. D., &amp; Trent, J. O. (2009). Discovery and development of the G-rich oligonucleotide AS1411 as a novel treatment for cancer. </w:t>
      </w:r>
      <w:r w:rsidRPr="00104E5E">
        <w:rPr>
          <w:rFonts w:ascii="Times New Roman" w:hAnsi="Times New Roman" w:cs="Times New Roman"/>
          <w:szCs w:val="28"/>
          <w:lang w:val="nb-NO"/>
        </w:rPr>
        <w:t xml:space="preserve">Experimental and Molecular Pathology, 86(3), 151–164. </w:t>
      </w:r>
      <w:hyperlink r:id="rId36" w:history="1">
        <w:r w:rsidRPr="00104E5E">
          <w:rPr>
            <w:rStyle w:val="Hyperlink"/>
            <w:rFonts w:ascii="Times New Roman" w:hAnsi="Times New Roman" w:cs="Times New Roman"/>
            <w:szCs w:val="28"/>
            <w:lang w:val="nb-NO"/>
          </w:rPr>
          <w:t>https://doi.org/10.1016/j.yexmp.2009.01.004</w:t>
        </w:r>
      </w:hyperlink>
      <w:r w:rsidRPr="00104E5E">
        <w:rPr>
          <w:rFonts w:ascii="Times New Roman" w:hAnsi="Times New Roman" w:cs="Times New Roman"/>
          <w:szCs w:val="28"/>
          <w:lang w:val="nb-NO"/>
        </w:rPr>
        <w:t xml:space="preserve"> </w:t>
      </w:r>
    </w:p>
    <w:p w14:paraId="7591E4F3" w14:textId="77777777" w:rsidR="002858C1" w:rsidRPr="00104E5E" w:rsidRDefault="002858C1"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Patil A, Mali R, Bhosale V, Patil V. Evaluation of anti-dandruff activity of </w:t>
      </w:r>
      <w:r w:rsidRPr="00104E5E">
        <w:rPr>
          <w:rFonts w:ascii="Times New Roman" w:hAnsi="Times New Roman" w:cs="Times New Roman"/>
          <w:i/>
          <w:iCs/>
          <w:szCs w:val="28"/>
        </w:rPr>
        <w:t>Carica papaya</w:t>
      </w:r>
      <w:r w:rsidRPr="00104E5E">
        <w:rPr>
          <w:rFonts w:ascii="Times New Roman" w:hAnsi="Times New Roman" w:cs="Times New Roman"/>
          <w:szCs w:val="28"/>
        </w:rPr>
        <w:t xml:space="preserve"> Linn. seed oil against </w:t>
      </w:r>
      <w:r w:rsidRPr="00104E5E">
        <w:rPr>
          <w:rFonts w:ascii="Times New Roman" w:hAnsi="Times New Roman" w:cs="Times New Roman"/>
          <w:i/>
          <w:iCs/>
          <w:szCs w:val="28"/>
        </w:rPr>
        <w:t>Malassezia furfur</w:t>
      </w:r>
      <w:r w:rsidRPr="00104E5E">
        <w:rPr>
          <w:rFonts w:ascii="Times New Roman" w:hAnsi="Times New Roman" w:cs="Times New Roman"/>
          <w:szCs w:val="28"/>
        </w:rPr>
        <w:t xml:space="preserve">. </w:t>
      </w:r>
      <w:r w:rsidRPr="00104E5E">
        <w:rPr>
          <w:rFonts w:ascii="Times New Roman" w:hAnsi="Times New Roman" w:cs="Times New Roman"/>
          <w:b/>
          <w:bCs/>
          <w:szCs w:val="28"/>
        </w:rPr>
        <w:t>Int J Pharm Sci.</w:t>
      </w:r>
      <w:r w:rsidRPr="00104E5E">
        <w:rPr>
          <w:rFonts w:ascii="Times New Roman" w:hAnsi="Times New Roman" w:cs="Times New Roman"/>
          <w:szCs w:val="28"/>
        </w:rPr>
        <w:t xml:space="preserve"> 2025 Jul.</w:t>
      </w:r>
    </w:p>
    <w:p w14:paraId="09F23B37" w14:textId="3C49C831" w:rsidR="000713E6" w:rsidRPr="00104E5E" w:rsidRDefault="00122A9B"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Lee, J. G., Jun, S., Cho, Y. W., Lee, H., Kim, G. B., Seo, J. B., &amp; Kim, N. (2017). Deep Learning in Medical Imaging: General Overview. Korean Journal of Radiology, 18(4), 570-584. </w:t>
      </w:r>
      <w:hyperlink r:id="rId37" w:history="1">
        <w:r w:rsidRPr="00104E5E">
          <w:rPr>
            <w:rStyle w:val="Hyperlink"/>
            <w:rFonts w:ascii="Times New Roman" w:hAnsi="Times New Roman" w:cs="Times New Roman"/>
            <w:szCs w:val="28"/>
          </w:rPr>
          <w:t>https://doi.org/10.3348/kjr.2017.18.4.570</w:t>
        </w:r>
      </w:hyperlink>
      <w:r w:rsidRPr="00104E5E">
        <w:rPr>
          <w:rFonts w:ascii="Times New Roman" w:hAnsi="Times New Roman" w:cs="Times New Roman"/>
          <w:szCs w:val="28"/>
        </w:rPr>
        <w:t xml:space="preserve"> </w:t>
      </w:r>
    </w:p>
    <w:p w14:paraId="2CD65A9D" w14:textId="5CA970DC" w:rsidR="000713E6" w:rsidRPr="00104E5E" w:rsidRDefault="00033F1E"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Lantos, J. D., Wendler, D., Septimus, E., Wahba, S., Madigan, R., &amp; Bliss, G. (2015). Considerations in the evaluation and determination of minimal risk in pragmatic clinical trials. Clinical Trials, 12(5), 485–492. </w:t>
      </w:r>
      <w:hyperlink r:id="rId38" w:history="1">
        <w:r w:rsidRPr="00104E5E">
          <w:rPr>
            <w:rStyle w:val="Hyperlink"/>
            <w:rFonts w:ascii="Times New Roman" w:hAnsi="Times New Roman" w:cs="Times New Roman"/>
            <w:szCs w:val="28"/>
          </w:rPr>
          <w:t>https://doi.org/10.1177/1740774515597687</w:t>
        </w:r>
      </w:hyperlink>
      <w:r w:rsidRPr="00104E5E">
        <w:rPr>
          <w:rFonts w:ascii="Times New Roman" w:hAnsi="Times New Roman" w:cs="Times New Roman"/>
          <w:szCs w:val="28"/>
        </w:rPr>
        <w:t xml:space="preserve"> </w:t>
      </w:r>
    </w:p>
    <w:p w14:paraId="365F0444" w14:textId="4FE22594" w:rsidR="000713E6" w:rsidRPr="00104E5E" w:rsidRDefault="00957230"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lang w:val="nb-NO"/>
        </w:rPr>
        <w:t xml:space="preserve">Lebleu, B., Moulton, H. M., Abes, R., Ivanova, G. D., Abes, S., Stein, D. A., Iversen, P. L., Arzumanov, A. A., &amp; Gait, M. J. (2008). </w:t>
      </w:r>
      <w:r w:rsidRPr="00104E5E">
        <w:rPr>
          <w:rFonts w:ascii="Times New Roman" w:hAnsi="Times New Roman" w:cs="Times New Roman"/>
          <w:szCs w:val="28"/>
        </w:rPr>
        <w:t xml:space="preserve">Cell penetrating peptide conjugates of steric block oligonucleotides. Advanced Drug Delivery Reviews, 60(4–5), 517–529. </w:t>
      </w:r>
      <w:hyperlink r:id="rId39" w:history="1">
        <w:r w:rsidRPr="00104E5E">
          <w:rPr>
            <w:rStyle w:val="Hyperlink"/>
            <w:rFonts w:ascii="Times New Roman" w:hAnsi="Times New Roman" w:cs="Times New Roman"/>
            <w:szCs w:val="28"/>
            <w:lang w:val="nb-NO"/>
          </w:rPr>
          <w:t>https://doi.org/10.1016/j.addr.2007.09.002</w:t>
        </w:r>
      </w:hyperlink>
      <w:r w:rsidRPr="00104E5E">
        <w:rPr>
          <w:rFonts w:ascii="Times New Roman" w:hAnsi="Times New Roman" w:cs="Times New Roman"/>
          <w:szCs w:val="28"/>
          <w:lang w:val="nb-NO"/>
        </w:rPr>
        <w:t xml:space="preserve"> </w:t>
      </w:r>
    </w:p>
    <w:p w14:paraId="76336643" w14:textId="21FF24A7" w:rsidR="000713E6" w:rsidRPr="00104E5E" w:rsidRDefault="00957230"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Kambe, Y., </w:t>
      </w:r>
      <w:proofErr w:type="spellStart"/>
      <w:r w:rsidRPr="00104E5E">
        <w:rPr>
          <w:rFonts w:ascii="Times New Roman" w:hAnsi="Times New Roman" w:cs="Times New Roman"/>
          <w:szCs w:val="28"/>
        </w:rPr>
        <w:t>Koyashiki</w:t>
      </w:r>
      <w:proofErr w:type="spellEnd"/>
      <w:r w:rsidRPr="00104E5E">
        <w:rPr>
          <w:rFonts w:ascii="Times New Roman" w:hAnsi="Times New Roman" w:cs="Times New Roman"/>
          <w:szCs w:val="28"/>
        </w:rPr>
        <w:t xml:space="preserve">, K., Hirano, Y., Harada-Shiba, M., &amp; Yamaoka, T. (2020). Artificial switching of the metabolic processing pathway of an etiologic factor, β2-microglobulin, by a “navigator” molecule. Journal of Controlled Release, 327, 8–18. </w:t>
      </w:r>
      <w:hyperlink r:id="rId40" w:history="1">
        <w:r w:rsidRPr="00104E5E">
          <w:rPr>
            <w:rStyle w:val="Hyperlink"/>
            <w:rFonts w:ascii="Times New Roman" w:hAnsi="Times New Roman" w:cs="Times New Roman"/>
            <w:szCs w:val="28"/>
          </w:rPr>
          <w:t>https://doi.org/10.1016/j.jconrel.2020.07.041</w:t>
        </w:r>
      </w:hyperlink>
      <w:r w:rsidRPr="00104E5E">
        <w:rPr>
          <w:rFonts w:ascii="Times New Roman" w:hAnsi="Times New Roman" w:cs="Times New Roman"/>
          <w:szCs w:val="28"/>
        </w:rPr>
        <w:t xml:space="preserve"> </w:t>
      </w:r>
      <w:r w:rsidR="000713E6" w:rsidRPr="00104E5E">
        <w:rPr>
          <w:rFonts w:ascii="Times New Roman" w:hAnsi="Times New Roman" w:cs="Times New Roman"/>
          <w:szCs w:val="28"/>
        </w:rPr>
        <w:t>.</w:t>
      </w:r>
    </w:p>
    <w:p w14:paraId="2CE71612" w14:textId="3CC8E3B6" w:rsidR="000713E6" w:rsidRPr="00104E5E" w:rsidRDefault="00D013FF"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Sercombe, L., </w:t>
      </w:r>
      <w:proofErr w:type="spellStart"/>
      <w:r w:rsidRPr="00104E5E">
        <w:rPr>
          <w:rFonts w:ascii="Times New Roman" w:hAnsi="Times New Roman" w:cs="Times New Roman"/>
          <w:szCs w:val="28"/>
        </w:rPr>
        <w:t>Veerati</w:t>
      </w:r>
      <w:proofErr w:type="spellEnd"/>
      <w:r w:rsidRPr="00104E5E">
        <w:rPr>
          <w:rFonts w:ascii="Times New Roman" w:hAnsi="Times New Roman" w:cs="Times New Roman"/>
          <w:szCs w:val="28"/>
        </w:rPr>
        <w:t xml:space="preserve">, T., </w:t>
      </w:r>
      <w:proofErr w:type="spellStart"/>
      <w:r w:rsidRPr="00104E5E">
        <w:rPr>
          <w:rFonts w:ascii="Times New Roman" w:hAnsi="Times New Roman" w:cs="Times New Roman"/>
          <w:szCs w:val="28"/>
        </w:rPr>
        <w:t>Moheimani</w:t>
      </w:r>
      <w:proofErr w:type="spellEnd"/>
      <w:r w:rsidRPr="00104E5E">
        <w:rPr>
          <w:rFonts w:ascii="Times New Roman" w:hAnsi="Times New Roman" w:cs="Times New Roman"/>
          <w:szCs w:val="28"/>
        </w:rPr>
        <w:t xml:space="preserve">, F., Wu, S.Y., Sood, A.K., &amp; Hua, S. (2015). Advances and Challenges of Liposome Assisted Drug Delivery. Frontiers in Pharmacology. </w:t>
      </w:r>
      <w:hyperlink r:id="rId41" w:history="1">
        <w:r w:rsidRPr="00104E5E">
          <w:rPr>
            <w:rStyle w:val="Hyperlink"/>
            <w:rFonts w:ascii="Times New Roman" w:hAnsi="Times New Roman" w:cs="Times New Roman"/>
            <w:szCs w:val="28"/>
          </w:rPr>
          <w:t>https://doi.org/10.3389/fphar.2015.00286</w:t>
        </w:r>
      </w:hyperlink>
      <w:r w:rsidRPr="00104E5E">
        <w:rPr>
          <w:rFonts w:ascii="Times New Roman" w:hAnsi="Times New Roman" w:cs="Times New Roman"/>
          <w:szCs w:val="28"/>
        </w:rPr>
        <w:t xml:space="preserve"> </w:t>
      </w:r>
    </w:p>
    <w:p w14:paraId="2DF07DAE" w14:textId="77777777" w:rsidR="002858C1" w:rsidRPr="00104E5E" w:rsidRDefault="002858C1" w:rsidP="00104E5E">
      <w:pPr>
        <w:pStyle w:val="ListParagraph"/>
        <w:numPr>
          <w:ilvl w:val="0"/>
          <w:numId w:val="5"/>
        </w:numPr>
        <w:jc w:val="both"/>
        <w:rPr>
          <w:rFonts w:ascii="Times New Roman" w:hAnsi="Times New Roman" w:cs="Times New Roman"/>
          <w:szCs w:val="28"/>
        </w:rPr>
      </w:pPr>
      <w:proofErr w:type="spellStart"/>
      <w:r w:rsidRPr="00104E5E">
        <w:rPr>
          <w:rFonts w:ascii="Times New Roman" w:hAnsi="Times New Roman" w:cs="Times New Roman"/>
          <w:szCs w:val="28"/>
        </w:rPr>
        <w:t>Ghatge</w:t>
      </w:r>
      <w:proofErr w:type="spellEnd"/>
      <w:r w:rsidRPr="00104E5E">
        <w:rPr>
          <w:rFonts w:ascii="Times New Roman" w:hAnsi="Times New Roman" w:cs="Times New Roman"/>
          <w:szCs w:val="28"/>
        </w:rPr>
        <w:t xml:space="preserve"> K, Patil K, </w:t>
      </w:r>
      <w:proofErr w:type="spellStart"/>
      <w:r w:rsidRPr="00104E5E">
        <w:rPr>
          <w:rFonts w:ascii="Times New Roman" w:hAnsi="Times New Roman" w:cs="Times New Roman"/>
          <w:szCs w:val="28"/>
        </w:rPr>
        <w:t>Khetre</w:t>
      </w:r>
      <w:proofErr w:type="spellEnd"/>
      <w:r w:rsidRPr="00104E5E">
        <w:rPr>
          <w:rFonts w:ascii="Times New Roman" w:hAnsi="Times New Roman" w:cs="Times New Roman"/>
          <w:szCs w:val="28"/>
        </w:rPr>
        <w:t xml:space="preserve"> A, Patil V, Mali R. Synthetic xanthone derivatives as multifunctional therapeutics for Alzheimer’s disease: chemistry, mechanisms and future perspectives. </w:t>
      </w:r>
      <w:r w:rsidRPr="00104E5E">
        <w:rPr>
          <w:rFonts w:ascii="Times New Roman" w:hAnsi="Times New Roman" w:cs="Times New Roman"/>
          <w:b/>
          <w:bCs/>
          <w:szCs w:val="28"/>
        </w:rPr>
        <w:t xml:space="preserve">Int </w:t>
      </w:r>
      <w:proofErr w:type="spellStart"/>
      <w:r w:rsidRPr="00104E5E">
        <w:rPr>
          <w:rFonts w:ascii="Times New Roman" w:hAnsi="Times New Roman" w:cs="Times New Roman"/>
          <w:b/>
          <w:bCs/>
          <w:szCs w:val="28"/>
        </w:rPr>
        <w:t>Neuropsychiatr</w:t>
      </w:r>
      <w:proofErr w:type="spellEnd"/>
      <w:r w:rsidRPr="00104E5E">
        <w:rPr>
          <w:rFonts w:ascii="Times New Roman" w:hAnsi="Times New Roman" w:cs="Times New Roman"/>
          <w:b/>
          <w:bCs/>
          <w:szCs w:val="28"/>
        </w:rPr>
        <w:t xml:space="preserve"> Dis J.</w:t>
      </w:r>
      <w:r w:rsidRPr="00104E5E">
        <w:rPr>
          <w:rFonts w:ascii="Times New Roman" w:hAnsi="Times New Roman" w:cs="Times New Roman"/>
          <w:szCs w:val="28"/>
        </w:rPr>
        <w:t xml:space="preserve"> 2025;22(5</w:t>
      </w:r>
      <w:proofErr w:type="gramStart"/>
      <w:r w:rsidRPr="00104E5E">
        <w:rPr>
          <w:rFonts w:ascii="Times New Roman" w:hAnsi="Times New Roman" w:cs="Times New Roman"/>
          <w:szCs w:val="28"/>
        </w:rPr>
        <w:t>):Art.</w:t>
      </w:r>
      <w:proofErr w:type="gramEnd"/>
      <w:r w:rsidRPr="00104E5E">
        <w:rPr>
          <w:rFonts w:ascii="Times New Roman" w:hAnsi="Times New Roman" w:cs="Times New Roman"/>
          <w:szCs w:val="28"/>
        </w:rPr>
        <w:t>512.</w:t>
      </w:r>
    </w:p>
    <w:p w14:paraId="38468296" w14:textId="3AC2BD4F" w:rsidR="000713E6" w:rsidRPr="00104E5E" w:rsidRDefault="002858C1"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lastRenderedPageBreak/>
        <w:t xml:space="preserve">Patil S, Patil V, </w:t>
      </w:r>
      <w:proofErr w:type="spellStart"/>
      <w:r w:rsidRPr="00104E5E">
        <w:rPr>
          <w:rFonts w:ascii="Times New Roman" w:hAnsi="Times New Roman" w:cs="Times New Roman"/>
          <w:szCs w:val="28"/>
        </w:rPr>
        <w:t>Taral</w:t>
      </w:r>
      <w:proofErr w:type="spellEnd"/>
      <w:r w:rsidRPr="00104E5E">
        <w:rPr>
          <w:rFonts w:ascii="Times New Roman" w:hAnsi="Times New Roman" w:cs="Times New Roman"/>
          <w:szCs w:val="28"/>
        </w:rPr>
        <w:t xml:space="preserve"> D, </w:t>
      </w:r>
      <w:proofErr w:type="spellStart"/>
      <w:r w:rsidRPr="00104E5E">
        <w:rPr>
          <w:rFonts w:ascii="Times New Roman" w:hAnsi="Times New Roman" w:cs="Times New Roman"/>
          <w:szCs w:val="28"/>
        </w:rPr>
        <w:t>Magdum</w:t>
      </w:r>
      <w:proofErr w:type="spellEnd"/>
      <w:r w:rsidRPr="00104E5E">
        <w:rPr>
          <w:rFonts w:ascii="Times New Roman" w:hAnsi="Times New Roman" w:cs="Times New Roman"/>
          <w:szCs w:val="28"/>
        </w:rPr>
        <w:t xml:space="preserve"> S, </w:t>
      </w:r>
      <w:proofErr w:type="spellStart"/>
      <w:r w:rsidRPr="00104E5E">
        <w:rPr>
          <w:rFonts w:ascii="Times New Roman" w:hAnsi="Times New Roman" w:cs="Times New Roman"/>
          <w:szCs w:val="28"/>
        </w:rPr>
        <w:t>Koli</w:t>
      </w:r>
      <w:proofErr w:type="spellEnd"/>
      <w:r w:rsidRPr="00104E5E">
        <w:rPr>
          <w:rFonts w:ascii="Times New Roman" w:hAnsi="Times New Roman" w:cs="Times New Roman"/>
          <w:szCs w:val="28"/>
        </w:rPr>
        <w:t xml:space="preserve"> R, Mane S. From theory to practice: how artificial intelligence is reshaping pharmacy education globally? </w:t>
      </w:r>
      <w:r w:rsidRPr="00104E5E">
        <w:rPr>
          <w:rFonts w:ascii="Times New Roman" w:hAnsi="Times New Roman" w:cs="Times New Roman"/>
          <w:b/>
          <w:bCs/>
          <w:szCs w:val="28"/>
        </w:rPr>
        <w:t>J Glob Res Educ Soc Sci.</w:t>
      </w:r>
      <w:r w:rsidRPr="00104E5E">
        <w:rPr>
          <w:rFonts w:ascii="Times New Roman" w:hAnsi="Times New Roman" w:cs="Times New Roman"/>
          <w:szCs w:val="28"/>
        </w:rPr>
        <w:t xml:space="preserve"> 2025;19(4):Art.9683</w:t>
      </w:r>
      <w:r w:rsidR="009B2678" w:rsidRPr="00104E5E">
        <w:rPr>
          <w:rFonts w:ascii="Times New Roman" w:hAnsi="Times New Roman" w:cs="Times New Roman"/>
          <w:szCs w:val="28"/>
        </w:rPr>
        <w:t xml:space="preserve"> </w:t>
      </w:r>
    </w:p>
    <w:p w14:paraId="040C8A5D" w14:textId="6F879D1A" w:rsidR="000713E6" w:rsidRPr="00104E5E" w:rsidRDefault="0078277D"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lang w:val="nl-BE"/>
        </w:rPr>
        <w:t xml:space="preserve">Papadopoulos, A. I., &amp; Linke, P. (2005). </w:t>
      </w:r>
      <w:r w:rsidRPr="00104E5E">
        <w:rPr>
          <w:rFonts w:ascii="Times New Roman" w:hAnsi="Times New Roman" w:cs="Times New Roman"/>
          <w:szCs w:val="28"/>
        </w:rPr>
        <w:t xml:space="preserve">A unified framework for integrated process and molecular design. Chemical Engineering Research and Design, 83(6), 674–678. </w:t>
      </w:r>
      <w:hyperlink r:id="rId42" w:history="1">
        <w:r w:rsidRPr="00104E5E">
          <w:rPr>
            <w:rStyle w:val="Hyperlink"/>
            <w:rFonts w:ascii="Times New Roman" w:hAnsi="Times New Roman" w:cs="Times New Roman"/>
            <w:szCs w:val="28"/>
          </w:rPr>
          <w:t>https://doi.org/10.1016/j.cherd.2005.04.006</w:t>
        </w:r>
      </w:hyperlink>
      <w:r w:rsidRPr="00104E5E">
        <w:rPr>
          <w:rFonts w:ascii="Times New Roman" w:hAnsi="Times New Roman" w:cs="Times New Roman"/>
          <w:szCs w:val="28"/>
        </w:rPr>
        <w:t xml:space="preserve"> </w:t>
      </w:r>
    </w:p>
    <w:p w14:paraId="7024CB67" w14:textId="64C387C2" w:rsidR="000713E6" w:rsidRPr="00104E5E" w:rsidRDefault="000B6ACE"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Ritter, J., Lewis, L., Mant, T., &amp; Ferro, A. (2008). A Textbook of Clinical Pharmacology and Therapeutics, 5Ed. CRC Press. </w:t>
      </w:r>
      <w:hyperlink r:id="rId43" w:history="1">
        <w:r w:rsidRPr="00104E5E">
          <w:rPr>
            <w:rStyle w:val="Hyperlink"/>
            <w:rFonts w:ascii="Times New Roman" w:hAnsi="Times New Roman" w:cs="Times New Roman"/>
            <w:szCs w:val="28"/>
          </w:rPr>
          <w:t>https://doi.org/10.1201/b13234</w:t>
        </w:r>
      </w:hyperlink>
      <w:r w:rsidRPr="00104E5E">
        <w:rPr>
          <w:rFonts w:ascii="Times New Roman" w:hAnsi="Times New Roman" w:cs="Times New Roman"/>
          <w:szCs w:val="28"/>
        </w:rPr>
        <w:t xml:space="preserve"> </w:t>
      </w:r>
    </w:p>
    <w:p w14:paraId="4E9C2268" w14:textId="167ACDA3" w:rsidR="000713E6" w:rsidRPr="00104E5E" w:rsidRDefault="00C64BF5"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lang w:val="nl-BE"/>
        </w:rPr>
        <w:t xml:space="preserve">Shi, Y., Lu, A., Wang, X., Belhadj, Z., Wang, J., &amp; Zhang, Q. (2021). </w:t>
      </w:r>
      <w:r w:rsidRPr="00104E5E">
        <w:rPr>
          <w:rFonts w:ascii="Times New Roman" w:hAnsi="Times New Roman" w:cs="Times New Roman"/>
          <w:szCs w:val="28"/>
        </w:rPr>
        <w:t xml:space="preserve">A review of existing strategies for designing long-acting parenteral formulations: Focus on underlying mechanisms, and future perspectives. Acta Pharmaceutica Sinica B, 11(8), 2396–2415. </w:t>
      </w:r>
      <w:hyperlink r:id="rId44" w:history="1">
        <w:r w:rsidRPr="00104E5E">
          <w:rPr>
            <w:rStyle w:val="Hyperlink"/>
            <w:rFonts w:ascii="Times New Roman" w:hAnsi="Times New Roman" w:cs="Times New Roman"/>
            <w:szCs w:val="28"/>
          </w:rPr>
          <w:t>https://doi.org/10.1016/j.apsb.2021.05.002</w:t>
        </w:r>
      </w:hyperlink>
      <w:r w:rsidRPr="00104E5E">
        <w:rPr>
          <w:rFonts w:ascii="Times New Roman" w:hAnsi="Times New Roman" w:cs="Times New Roman"/>
          <w:szCs w:val="28"/>
        </w:rPr>
        <w:t xml:space="preserve"> </w:t>
      </w:r>
    </w:p>
    <w:p w14:paraId="56E0D083" w14:textId="2E7C0A3D" w:rsidR="000713E6" w:rsidRPr="00104E5E" w:rsidRDefault="00A342D7" w:rsidP="00104E5E">
      <w:pPr>
        <w:pStyle w:val="ListParagraph"/>
        <w:numPr>
          <w:ilvl w:val="0"/>
          <w:numId w:val="5"/>
        </w:numPr>
        <w:jc w:val="both"/>
        <w:rPr>
          <w:rFonts w:ascii="Times New Roman" w:hAnsi="Times New Roman" w:cs="Times New Roman"/>
          <w:szCs w:val="28"/>
        </w:rPr>
      </w:pPr>
      <w:r w:rsidRPr="00104E5E">
        <w:rPr>
          <w:rFonts w:ascii="Times New Roman" w:hAnsi="Times New Roman" w:cs="Times New Roman"/>
          <w:szCs w:val="28"/>
        </w:rPr>
        <w:t xml:space="preserve">Zhang, Y. S., Yue, K., Aleman, J., Mollazadeh Moghaddam, K., Bakht, S. M., Yang, J., Jia, W., </w:t>
      </w:r>
      <w:proofErr w:type="spellStart"/>
      <w:r w:rsidRPr="00104E5E">
        <w:rPr>
          <w:rFonts w:ascii="Times New Roman" w:hAnsi="Times New Roman" w:cs="Times New Roman"/>
          <w:szCs w:val="28"/>
        </w:rPr>
        <w:t>Dell'Erba</w:t>
      </w:r>
      <w:proofErr w:type="spellEnd"/>
      <w:r w:rsidRPr="00104E5E">
        <w:rPr>
          <w:rFonts w:ascii="Times New Roman" w:hAnsi="Times New Roman" w:cs="Times New Roman"/>
          <w:szCs w:val="28"/>
        </w:rPr>
        <w:t xml:space="preserve">, V., Assawes, P., Shin, S. R., </w:t>
      </w:r>
      <w:proofErr w:type="spellStart"/>
      <w:r w:rsidRPr="00104E5E">
        <w:rPr>
          <w:rFonts w:ascii="Times New Roman" w:hAnsi="Times New Roman" w:cs="Times New Roman"/>
          <w:szCs w:val="28"/>
        </w:rPr>
        <w:t>Dokmeci</w:t>
      </w:r>
      <w:proofErr w:type="spellEnd"/>
      <w:r w:rsidRPr="00104E5E">
        <w:rPr>
          <w:rFonts w:ascii="Times New Roman" w:hAnsi="Times New Roman" w:cs="Times New Roman"/>
          <w:szCs w:val="28"/>
        </w:rPr>
        <w:t xml:space="preserve">, M. R., </w:t>
      </w:r>
      <w:proofErr w:type="spellStart"/>
      <w:r w:rsidRPr="00104E5E">
        <w:rPr>
          <w:rFonts w:ascii="Times New Roman" w:hAnsi="Times New Roman" w:cs="Times New Roman"/>
          <w:szCs w:val="28"/>
        </w:rPr>
        <w:t>Oklu</w:t>
      </w:r>
      <w:proofErr w:type="spellEnd"/>
      <w:r w:rsidRPr="00104E5E">
        <w:rPr>
          <w:rFonts w:ascii="Times New Roman" w:hAnsi="Times New Roman" w:cs="Times New Roman"/>
          <w:szCs w:val="28"/>
        </w:rPr>
        <w:t xml:space="preserve">, R., &amp; </w:t>
      </w:r>
      <w:proofErr w:type="spellStart"/>
      <w:r w:rsidRPr="00104E5E">
        <w:rPr>
          <w:rFonts w:ascii="Times New Roman" w:hAnsi="Times New Roman" w:cs="Times New Roman"/>
          <w:szCs w:val="28"/>
        </w:rPr>
        <w:t>Khademhosseini</w:t>
      </w:r>
      <w:proofErr w:type="spellEnd"/>
      <w:r w:rsidRPr="00104E5E">
        <w:rPr>
          <w:rFonts w:ascii="Times New Roman" w:hAnsi="Times New Roman" w:cs="Times New Roman"/>
          <w:szCs w:val="28"/>
        </w:rPr>
        <w:t xml:space="preserve">, A. (2017). 3D Bioprinting for Tissue and Organ Fabrication. Annals of Biomedical Engineering, 45(1), 148–163. </w:t>
      </w:r>
      <w:hyperlink r:id="rId45" w:history="1">
        <w:r w:rsidRPr="00104E5E">
          <w:rPr>
            <w:rStyle w:val="Hyperlink"/>
            <w:rFonts w:ascii="Times New Roman" w:hAnsi="Times New Roman" w:cs="Times New Roman"/>
            <w:szCs w:val="28"/>
          </w:rPr>
          <w:t>https://doi.org/10.1007/s10439-016-1612-8</w:t>
        </w:r>
      </w:hyperlink>
      <w:r w:rsidRPr="00104E5E">
        <w:rPr>
          <w:rFonts w:ascii="Times New Roman" w:hAnsi="Times New Roman" w:cs="Times New Roman"/>
          <w:szCs w:val="28"/>
        </w:rPr>
        <w:t xml:space="preserve"> </w:t>
      </w:r>
    </w:p>
    <w:p w14:paraId="1FDE9816" w14:textId="2E1C456C" w:rsidR="000713E6" w:rsidRPr="000713E6" w:rsidRDefault="000713E6" w:rsidP="000713E6">
      <w:pPr>
        <w:pStyle w:val="ListParagraph"/>
        <w:jc w:val="both"/>
        <w:rPr>
          <w:rFonts w:ascii="Times New Roman" w:hAnsi="Times New Roman" w:cs="Times New Roman"/>
          <w:szCs w:val="28"/>
        </w:rPr>
      </w:pPr>
    </w:p>
    <w:sectPr w:rsidR="000713E6" w:rsidRPr="000713E6">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82F82" w14:textId="77777777" w:rsidR="00CC74AD" w:rsidRDefault="00CC74AD" w:rsidP="00D01DBA">
      <w:pPr>
        <w:spacing w:after="0" w:line="240" w:lineRule="auto"/>
      </w:pPr>
      <w:r>
        <w:separator/>
      </w:r>
    </w:p>
  </w:endnote>
  <w:endnote w:type="continuationSeparator" w:id="0">
    <w:p w14:paraId="148D60D3" w14:textId="77777777" w:rsidR="00CC74AD" w:rsidRDefault="00CC74AD" w:rsidP="00D01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CE252" w14:textId="77777777" w:rsidR="00D01DBA" w:rsidRDefault="00D01D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8CB54" w14:textId="77777777" w:rsidR="00D01DBA" w:rsidRDefault="00D01D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D93C0" w14:textId="77777777" w:rsidR="00D01DBA" w:rsidRDefault="00D01D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134525" w14:textId="77777777" w:rsidR="00CC74AD" w:rsidRDefault="00CC74AD" w:rsidP="00D01DBA">
      <w:pPr>
        <w:spacing w:after="0" w:line="240" w:lineRule="auto"/>
      </w:pPr>
      <w:r>
        <w:separator/>
      </w:r>
    </w:p>
  </w:footnote>
  <w:footnote w:type="continuationSeparator" w:id="0">
    <w:p w14:paraId="1CDBE28D" w14:textId="77777777" w:rsidR="00CC74AD" w:rsidRDefault="00CC74AD" w:rsidP="00D01D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4F3F2" w14:textId="4B0C8C2A" w:rsidR="00D01DBA" w:rsidRDefault="00F71C4E">
    <w:pPr>
      <w:pStyle w:val="Header"/>
    </w:pPr>
    <w:r>
      <w:rPr>
        <w:noProof/>
      </w:rPr>
      <w:pict w14:anchorId="77D540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267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40EBD" w14:textId="5D77C488" w:rsidR="00D01DBA" w:rsidRDefault="00F71C4E">
    <w:pPr>
      <w:pStyle w:val="Header"/>
    </w:pPr>
    <w:r>
      <w:rPr>
        <w:noProof/>
      </w:rPr>
      <w:pict w14:anchorId="391B0A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267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30E67" w14:textId="1A10E283" w:rsidR="00D01DBA" w:rsidRDefault="00F71C4E">
    <w:pPr>
      <w:pStyle w:val="Header"/>
    </w:pPr>
    <w:r>
      <w:rPr>
        <w:noProof/>
      </w:rPr>
      <w:pict w14:anchorId="192E2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267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E2BCF"/>
    <w:multiLevelType w:val="hybridMultilevel"/>
    <w:tmpl w:val="F642FF80"/>
    <w:lvl w:ilvl="0" w:tplc="9682824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1C0C3B"/>
    <w:multiLevelType w:val="hybridMultilevel"/>
    <w:tmpl w:val="C23609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4EB6295"/>
    <w:multiLevelType w:val="multilevel"/>
    <w:tmpl w:val="8D96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D345D81"/>
    <w:multiLevelType w:val="multilevel"/>
    <w:tmpl w:val="BFDE4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C594200"/>
    <w:multiLevelType w:val="multilevel"/>
    <w:tmpl w:val="6C3A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IwNjOzsDQzNDcAMpV0lIJTi4sz8/NACgxrAcbr9gcsAAAA"/>
  </w:docVars>
  <w:rsids>
    <w:rsidRoot w:val="00561F44"/>
    <w:rsid w:val="00033F1E"/>
    <w:rsid w:val="0004115E"/>
    <w:rsid w:val="000713E6"/>
    <w:rsid w:val="000A27C0"/>
    <w:rsid w:val="000B6ACE"/>
    <w:rsid w:val="00104E5E"/>
    <w:rsid w:val="00122A9B"/>
    <w:rsid w:val="00144253"/>
    <w:rsid w:val="00241F44"/>
    <w:rsid w:val="00267071"/>
    <w:rsid w:val="00281F32"/>
    <w:rsid w:val="002858C1"/>
    <w:rsid w:val="00292D7A"/>
    <w:rsid w:val="00342557"/>
    <w:rsid w:val="003834F5"/>
    <w:rsid w:val="00395450"/>
    <w:rsid w:val="003D12A5"/>
    <w:rsid w:val="003D548A"/>
    <w:rsid w:val="00465407"/>
    <w:rsid w:val="004775A4"/>
    <w:rsid w:val="004C0C0B"/>
    <w:rsid w:val="004D3485"/>
    <w:rsid w:val="00561F44"/>
    <w:rsid w:val="00590B7B"/>
    <w:rsid w:val="005A6640"/>
    <w:rsid w:val="005C2FBC"/>
    <w:rsid w:val="005F438C"/>
    <w:rsid w:val="00625511"/>
    <w:rsid w:val="00635FF8"/>
    <w:rsid w:val="0064577C"/>
    <w:rsid w:val="00654937"/>
    <w:rsid w:val="00670AE9"/>
    <w:rsid w:val="0078277D"/>
    <w:rsid w:val="007D5277"/>
    <w:rsid w:val="007D6C76"/>
    <w:rsid w:val="00837BA3"/>
    <w:rsid w:val="00842D7C"/>
    <w:rsid w:val="00881A13"/>
    <w:rsid w:val="00915A2D"/>
    <w:rsid w:val="00956836"/>
    <w:rsid w:val="00957230"/>
    <w:rsid w:val="009A2EE0"/>
    <w:rsid w:val="009B2678"/>
    <w:rsid w:val="009B3D4B"/>
    <w:rsid w:val="009F7AC4"/>
    <w:rsid w:val="00A342D7"/>
    <w:rsid w:val="00B0312C"/>
    <w:rsid w:val="00B34ED0"/>
    <w:rsid w:val="00BB6B7B"/>
    <w:rsid w:val="00BD4782"/>
    <w:rsid w:val="00C10431"/>
    <w:rsid w:val="00C61D56"/>
    <w:rsid w:val="00C64BF5"/>
    <w:rsid w:val="00C92D93"/>
    <w:rsid w:val="00CC74AD"/>
    <w:rsid w:val="00CE694B"/>
    <w:rsid w:val="00D013FF"/>
    <w:rsid w:val="00D01DBA"/>
    <w:rsid w:val="00DE19E8"/>
    <w:rsid w:val="00E00F5B"/>
    <w:rsid w:val="00E64738"/>
    <w:rsid w:val="00F5506F"/>
    <w:rsid w:val="00F71C4E"/>
    <w:rsid w:val="00F75D13"/>
    <w:rsid w:val="00FC0B3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07E91D"/>
  <w15:chartTrackingRefBased/>
  <w15:docId w15:val="{DF4AFD89-AD23-4C63-8588-4D02997FC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1F44"/>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unhideWhenUsed/>
    <w:qFormat/>
    <w:rsid w:val="00561F44"/>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561F44"/>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561F4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61F4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1F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1F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1F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1F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F44"/>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rsid w:val="00561F44"/>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561F44"/>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561F4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61F4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1F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1F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1F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1F44"/>
    <w:rPr>
      <w:rFonts w:eastAsiaTheme="majorEastAsia" w:cstheme="majorBidi"/>
      <w:color w:val="272727" w:themeColor="text1" w:themeTint="D8"/>
    </w:rPr>
  </w:style>
  <w:style w:type="paragraph" w:styleId="Title">
    <w:name w:val="Title"/>
    <w:basedOn w:val="Normal"/>
    <w:next w:val="Normal"/>
    <w:link w:val="TitleChar"/>
    <w:uiPriority w:val="10"/>
    <w:qFormat/>
    <w:rsid w:val="00561F44"/>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561F44"/>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561F44"/>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561F44"/>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561F44"/>
    <w:pPr>
      <w:spacing w:before="160"/>
      <w:jc w:val="center"/>
    </w:pPr>
    <w:rPr>
      <w:i/>
      <w:iCs/>
      <w:color w:val="404040" w:themeColor="text1" w:themeTint="BF"/>
    </w:rPr>
  </w:style>
  <w:style w:type="character" w:customStyle="1" w:styleId="QuoteChar">
    <w:name w:val="Quote Char"/>
    <w:basedOn w:val="DefaultParagraphFont"/>
    <w:link w:val="Quote"/>
    <w:uiPriority w:val="29"/>
    <w:rsid w:val="00561F44"/>
    <w:rPr>
      <w:i/>
      <w:iCs/>
      <w:color w:val="404040" w:themeColor="text1" w:themeTint="BF"/>
    </w:rPr>
  </w:style>
  <w:style w:type="paragraph" w:styleId="ListParagraph">
    <w:name w:val="List Paragraph"/>
    <w:basedOn w:val="Normal"/>
    <w:uiPriority w:val="34"/>
    <w:qFormat/>
    <w:rsid w:val="00561F44"/>
    <w:pPr>
      <w:ind w:left="720"/>
      <w:contextualSpacing/>
    </w:pPr>
  </w:style>
  <w:style w:type="character" w:styleId="IntenseEmphasis">
    <w:name w:val="Intense Emphasis"/>
    <w:basedOn w:val="DefaultParagraphFont"/>
    <w:uiPriority w:val="21"/>
    <w:qFormat/>
    <w:rsid w:val="00561F44"/>
    <w:rPr>
      <w:i/>
      <w:iCs/>
      <w:color w:val="2F5496" w:themeColor="accent1" w:themeShade="BF"/>
    </w:rPr>
  </w:style>
  <w:style w:type="paragraph" w:styleId="IntenseQuote">
    <w:name w:val="Intense Quote"/>
    <w:basedOn w:val="Normal"/>
    <w:next w:val="Normal"/>
    <w:link w:val="IntenseQuoteChar"/>
    <w:uiPriority w:val="30"/>
    <w:qFormat/>
    <w:rsid w:val="00561F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1F44"/>
    <w:rPr>
      <w:i/>
      <w:iCs/>
      <w:color w:val="2F5496" w:themeColor="accent1" w:themeShade="BF"/>
    </w:rPr>
  </w:style>
  <w:style w:type="character" w:styleId="IntenseReference">
    <w:name w:val="Intense Reference"/>
    <w:basedOn w:val="DefaultParagraphFont"/>
    <w:uiPriority w:val="32"/>
    <w:qFormat/>
    <w:rsid w:val="00561F44"/>
    <w:rPr>
      <w:b/>
      <w:bCs/>
      <w:smallCaps/>
      <w:color w:val="2F5496" w:themeColor="accent1" w:themeShade="BF"/>
      <w:spacing w:val="5"/>
    </w:rPr>
  </w:style>
  <w:style w:type="table" w:styleId="TableGrid">
    <w:name w:val="Table Grid"/>
    <w:basedOn w:val="TableNormal"/>
    <w:uiPriority w:val="39"/>
    <w:rsid w:val="007D5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13E6"/>
    <w:rPr>
      <w:color w:val="0563C1" w:themeColor="hyperlink"/>
      <w:u w:val="single"/>
    </w:rPr>
  </w:style>
  <w:style w:type="character" w:customStyle="1" w:styleId="UnresolvedMention1">
    <w:name w:val="Unresolved Mention1"/>
    <w:basedOn w:val="DefaultParagraphFont"/>
    <w:uiPriority w:val="99"/>
    <w:semiHidden/>
    <w:unhideWhenUsed/>
    <w:rsid w:val="000713E6"/>
    <w:rPr>
      <w:color w:val="605E5C"/>
      <w:shd w:val="clear" w:color="auto" w:fill="E1DFDD"/>
    </w:rPr>
  </w:style>
  <w:style w:type="paragraph" w:styleId="NormalWeb">
    <w:name w:val="Normal (Web)"/>
    <w:basedOn w:val="Normal"/>
    <w:uiPriority w:val="99"/>
    <w:semiHidden/>
    <w:unhideWhenUsed/>
    <w:rsid w:val="00267071"/>
    <w:rPr>
      <w:rFonts w:ascii="Times New Roman" w:hAnsi="Times New Roman" w:cs="Angsana New"/>
    </w:rPr>
  </w:style>
  <w:style w:type="paragraph" w:styleId="Header">
    <w:name w:val="header"/>
    <w:basedOn w:val="Normal"/>
    <w:link w:val="HeaderChar"/>
    <w:uiPriority w:val="99"/>
    <w:unhideWhenUsed/>
    <w:rsid w:val="00D01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DBA"/>
  </w:style>
  <w:style w:type="paragraph" w:styleId="Footer">
    <w:name w:val="footer"/>
    <w:basedOn w:val="Normal"/>
    <w:link w:val="FooterChar"/>
    <w:uiPriority w:val="99"/>
    <w:unhideWhenUsed/>
    <w:rsid w:val="00D01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DBA"/>
  </w:style>
  <w:style w:type="paragraph" w:styleId="NoSpacing">
    <w:name w:val="No Spacing"/>
    <w:uiPriority w:val="1"/>
    <w:qFormat/>
    <w:rsid w:val="00B0312C"/>
    <w:pPr>
      <w:spacing w:after="0" w:line="240" w:lineRule="auto"/>
    </w:pPr>
    <w:rPr>
      <w:kern w:val="0"/>
      <w:sz w:val="22"/>
      <w:szCs w:val="22"/>
      <w:lang w:val="en-GB"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progpolymsci.2009.11.002" TargetMode="External"/><Relationship Id="rId18" Type="http://schemas.openxmlformats.org/officeDocument/2006/relationships/hyperlink" Target="https://doi.org/10.1016/j.jconrel.2012.01.043" TargetMode="External"/><Relationship Id="rId26" Type="http://schemas.openxmlformats.org/officeDocument/2006/relationships/hyperlink" Target="https://doi.org/10.1016/j.jhealeco.2016.01.012" TargetMode="External"/><Relationship Id="rId39" Type="http://schemas.openxmlformats.org/officeDocument/2006/relationships/hyperlink" Target="https://doi.org/10.1016/j.addr.2007.09.002" TargetMode="External"/><Relationship Id="rId21" Type="http://schemas.openxmlformats.org/officeDocument/2006/relationships/hyperlink" Target="https://doi.org/10.1016/j.progpolymsci.2011.03.001" TargetMode="External"/><Relationship Id="rId34" Type="http://schemas.openxmlformats.org/officeDocument/2006/relationships/hyperlink" Target="https://doi.org/10.1016/S1056-8719(00)00107-6" TargetMode="External"/><Relationship Id="rId42" Type="http://schemas.openxmlformats.org/officeDocument/2006/relationships/hyperlink" Target="https://doi.org/10.1016/j.cherd.2005.04.006"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126/science.1074972" TargetMode="External"/><Relationship Id="rId29" Type="http://schemas.openxmlformats.org/officeDocument/2006/relationships/hyperlink" Target="https://doi.org/10.1016/j.jconrel.2019.08.027" TargetMode="External"/><Relationship Id="rId11" Type="http://schemas.openxmlformats.org/officeDocument/2006/relationships/hyperlink" Target="https://doi.org/10.1038/nature05058" TargetMode="External"/><Relationship Id="rId24" Type="http://schemas.openxmlformats.org/officeDocument/2006/relationships/hyperlink" Target="https://doi.org/10.1038/nrd4333" TargetMode="External"/><Relationship Id="rId32" Type="http://schemas.openxmlformats.org/officeDocument/2006/relationships/hyperlink" Target="https://doi.org/10.1038/s41563-019-0338-z" TargetMode="External"/><Relationship Id="rId37" Type="http://schemas.openxmlformats.org/officeDocument/2006/relationships/hyperlink" Target="https://doi.org/10.3348/kjr.2017.18.4.570" TargetMode="External"/><Relationship Id="rId40" Type="http://schemas.openxmlformats.org/officeDocument/2006/relationships/hyperlink" Target="https://doi.org/10.1016/j.jconrel.2020.07.041" TargetMode="External"/><Relationship Id="rId45" Type="http://schemas.openxmlformats.org/officeDocument/2006/relationships/hyperlink" Target="https://doi.org/10.1007/s10439-016-1612-8"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doi.org/10.1021/ar200019c" TargetMode="External"/><Relationship Id="rId19" Type="http://schemas.openxmlformats.org/officeDocument/2006/relationships/hyperlink" Target="https://doi.org/10.1377/hlthaff.2017.1557" TargetMode="External"/><Relationship Id="rId31" Type="http://schemas.openxmlformats.org/officeDocument/2006/relationships/hyperlink" Target="https://doi.org/10.2217/nnm.13.140" TargetMode="External"/><Relationship Id="rId44" Type="http://schemas.openxmlformats.org/officeDocument/2006/relationships/hyperlink" Target="https://doi.org/10.1016/j.apsb.2021.05.002"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S0169-409X(01)00105-3" TargetMode="External"/><Relationship Id="rId22" Type="http://schemas.openxmlformats.org/officeDocument/2006/relationships/hyperlink" Target="https://doi.org/10.1002/btm2.10143" TargetMode="External"/><Relationship Id="rId27" Type="http://schemas.openxmlformats.org/officeDocument/2006/relationships/hyperlink" Target="https://doi.org/10.1038/nrd2153" TargetMode="External"/><Relationship Id="rId30" Type="http://schemas.openxmlformats.org/officeDocument/2006/relationships/hyperlink" Target="https://doi.org/10.1038/s41591-018-0300-7" TargetMode="External"/><Relationship Id="rId35" Type="http://schemas.openxmlformats.org/officeDocument/2006/relationships/hyperlink" Target="https://doi.org/10.1016/j.jconrel.2012.03.020" TargetMode="External"/><Relationship Id="rId43" Type="http://schemas.openxmlformats.org/officeDocument/2006/relationships/hyperlink" Target="https://doi.org/10.1201/b13234" TargetMode="External"/><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doi.org/10.1038/nmat3776" TargetMode="External"/><Relationship Id="rId17" Type="http://schemas.openxmlformats.org/officeDocument/2006/relationships/hyperlink" Target="https://doi.org/10.1038/nmat2989" TargetMode="External"/><Relationship Id="rId25" Type="http://schemas.openxmlformats.org/officeDocument/2006/relationships/hyperlink" Target="https://doi.org/10.1038/nrd.2017.243" TargetMode="External"/><Relationship Id="rId33" Type="http://schemas.openxmlformats.org/officeDocument/2006/relationships/hyperlink" Target="https://doi.org/10.1038/nnano.2007.224" TargetMode="External"/><Relationship Id="rId38" Type="http://schemas.openxmlformats.org/officeDocument/2006/relationships/hyperlink" Target="https://doi.org/10.1177/1740774515597687" TargetMode="External"/><Relationship Id="rId46" Type="http://schemas.openxmlformats.org/officeDocument/2006/relationships/header" Target="header1.xml"/><Relationship Id="rId20" Type="http://schemas.openxmlformats.org/officeDocument/2006/relationships/hyperlink" Target="https://doi.org/10.1038/nrd4363" TargetMode="External"/><Relationship Id="rId41" Type="http://schemas.openxmlformats.org/officeDocument/2006/relationships/hyperlink" Target="https://doi.org/10.3389/fphar.2015.0028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38/nbt0109-26" TargetMode="External"/><Relationship Id="rId23" Type="http://schemas.openxmlformats.org/officeDocument/2006/relationships/hyperlink" Target="https://doi.org/10.1002/anie.200802585" TargetMode="External"/><Relationship Id="rId28" Type="http://schemas.openxmlformats.org/officeDocument/2006/relationships/hyperlink" Target="https://doi.org/10.3390/pharmaceutics10020057" TargetMode="External"/><Relationship Id="rId36" Type="http://schemas.openxmlformats.org/officeDocument/2006/relationships/hyperlink" Target="https://doi.org/10.1016/j.yexmp.2009.01.004"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28</Pages>
  <Words>10008</Words>
  <Characters>57047</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vrushabh patil</dc:creator>
  <cp:keywords/>
  <dc:description/>
  <cp:lastModifiedBy>SDI PC New 16</cp:lastModifiedBy>
  <cp:revision>42</cp:revision>
  <dcterms:created xsi:type="dcterms:W3CDTF">2026-01-05T17:06:00Z</dcterms:created>
  <dcterms:modified xsi:type="dcterms:W3CDTF">2026-01-14T04:04:00Z</dcterms:modified>
</cp:coreProperties>
</file>