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11B6" w14:textId="77777777" w:rsidR="00754C9A" w:rsidRDefault="00754C9A" w:rsidP="00441B6F">
      <w:pPr>
        <w:pStyle w:val="Title"/>
        <w:spacing w:after="0"/>
        <w:jc w:val="both"/>
        <w:rPr>
          <w:rFonts w:ascii="Arial" w:hAnsi="Arial" w:cs="Arial"/>
        </w:rPr>
      </w:pPr>
    </w:p>
    <w:p w14:paraId="4BA05B4D" w14:textId="31ACC372" w:rsidR="00794E0E" w:rsidRDefault="00794E0E" w:rsidP="00490F69">
      <w:pPr>
        <w:pStyle w:val="Author"/>
        <w:spacing w:line="240" w:lineRule="auto"/>
        <w:jc w:val="center"/>
        <w:rPr>
          <w:rFonts w:ascii="Arial" w:hAnsi="Arial" w:cs="Arial"/>
          <w:bCs/>
          <w:iCs/>
          <w:kern w:val="28"/>
          <w:sz w:val="36"/>
        </w:rPr>
      </w:pPr>
      <w:r w:rsidRPr="00794E0E">
        <w:rPr>
          <w:rFonts w:ascii="Arial" w:hAnsi="Arial" w:cs="Arial"/>
          <w:bCs/>
          <w:iCs/>
          <w:kern w:val="28"/>
          <w:sz w:val="36"/>
        </w:rPr>
        <w:t>Review Article</w:t>
      </w:r>
    </w:p>
    <w:p w14:paraId="34B0E150" w14:textId="5D02B32B" w:rsidR="00A258C3" w:rsidRDefault="00D41361" w:rsidP="00D41361">
      <w:pPr>
        <w:pStyle w:val="Author"/>
        <w:spacing w:line="240" w:lineRule="auto"/>
        <w:rPr>
          <w:rFonts w:ascii="Arial" w:hAnsi="Arial" w:cs="Arial"/>
          <w:bCs/>
          <w:iCs/>
          <w:kern w:val="28"/>
          <w:sz w:val="36"/>
        </w:rPr>
      </w:pPr>
      <w:r w:rsidRPr="00D41361">
        <w:rPr>
          <w:rFonts w:ascii="Arial" w:hAnsi="Arial" w:cs="Arial"/>
          <w:bCs/>
          <w:iCs/>
          <w:kern w:val="28"/>
          <w:sz w:val="36"/>
        </w:rPr>
        <w:t>Next-Generation Sequencing (NGS) Technologies: Transformative Impact on Genomics and Personalized Medicine</w:t>
      </w:r>
    </w:p>
    <w:p w14:paraId="7C9FE5F0" w14:textId="77777777" w:rsidR="000E1D6B" w:rsidRPr="00790ADA" w:rsidRDefault="000E1D6B" w:rsidP="00D41361">
      <w:pPr>
        <w:pStyle w:val="Author"/>
        <w:spacing w:line="240" w:lineRule="auto"/>
        <w:rPr>
          <w:rFonts w:ascii="Arial" w:hAnsi="Arial" w:cs="Arial"/>
          <w:sz w:val="36"/>
        </w:rPr>
      </w:pPr>
    </w:p>
    <w:p w14:paraId="36D8C58F" w14:textId="77777777" w:rsidR="00790ADA" w:rsidRDefault="00790ADA" w:rsidP="00441B6F">
      <w:pPr>
        <w:pStyle w:val="Affiliation"/>
        <w:spacing w:after="0" w:line="240" w:lineRule="auto"/>
        <w:jc w:val="both"/>
        <w:rPr>
          <w:rFonts w:ascii="Arial" w:hAnsi="Arial" w:cs="Arial"/>
        </w:rPr>
      </w:pPr>
    </w:p>
    <w:p w14:paraId="351FC8AE" w14:textId="77777777" w:rsidR="002C57D2" w:rsidRPr="00FB3A86" w:rsidRDefault="002C57D2" w:rsidP="00441B6F">
      <w:pPr>
        <w:pStyle w:val="Affiliation"/>
        <w:spacing w:after="0" w:line="240" w:lineRule="auto"/>
        <w:jc w:val="both"/>
        <w:rPr>
          <w:rFonts w:ascii="Arial" w:hAnsi="Arial" w:cs="Arial"/>
        </w:rPr>
      </w:pPr>
    </w:p>
    <w:p w14:paraId="1F628ADD" w14:textId="77777777" w:rsidR="00B01FCD" w:rsidRPr="00FB3A86" w:rsidRDefault="00000000" w:rsidP="00441B6F">
      <w:pPr>
        <w:pStyle w:val="Copyright"/>
        <w:spacing w:after="0" w:line="240" w:lineRule="auto"/>
        <w:jc w:val="both"/>
        <w:rPr>
          <w:rFonts w:ascii="Arial" w:hAnsi="Arial" w:cs="Arial"/>
        </w:rPr>
        <w:sectPr w:rsidR="00B01FCD" w:rsidRPr="00FB3A86" w:rsidSect="006F3A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B80E05">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275F6FC" w14:textId="444BA33A" w:rsidR="00B01FCD" w:rsidRDefault="00B01FCD" w:rsidP="00441B6F">
      <w:pPr>
        <w:pStyle w:val="AbstHead"/>
        <w:spacing w:after="0"/>
        <w:jc w:val="both"/>
        <w:rPr>
          <w:rFonts w:ascii="Arial" w:hAnsi="Arial" w:cs="Arial"/>
        </w:rPr>
      </w:pPr>
      <w:r w:rsidRPr="00FB3A86">
        <w:rPr>
          <w:rFonts w:ascii="Arial" w:hAnsi="Arial" w:cs="Arial"/>
        </w:rPr>
        <w:t>ABSTRACT</w:t>
      </w:r>
    </w:p>
    <w:p w14:paraId="2290EB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6BE6A0" w14:textId="77777777" w:rsidTr="001E44FE">
        <w:tc>
          <w:tcPr>
            <w:tcW w:w="9576" w:type="dxa"/>
            <w:shd w:val="clear" w:color="auto" w:fill="F2F2F2"/>
          </w:tcPr>
          <w:p w14:paraId="2887FF8E" w14:textId="670B9011" w:rsidR="00436078" w:rsidRPr="00436078" w:rsidRDefault="00436078" w:rsidP="00436078">
            <w:pPr>
              <w:pStyle w:val="Body"/>
              <w:spacing w:after="0"/>
              <w:rPr>
                <w:rFonts w:ascii="Arial" w:eastAsia="Calibri" w:hAnsi="Arial" w:cs="Arial"/>
                <w:szCs w:val="22"/>
                <w:lang w:val="en-IN"/>
              </w:rPr>
            </w:pPr>
            <w:r w:rsidRPr="00436078">
              <w:rPr>
                <w:rFonts w:ascii="Arial" w:eastAsia="Calibri" w:hAnsi="Arial" w:cs="Arial"/>
                <w:szCs w:val="22"/>
                <w:highlight w:val="yellow"/>
                <w:lang w:val="en-IN"/>
              </w:rPr>
              <w:t>Next-generation sequencing (NGS) has become a cornerstone technology in modern genomics, fundamentally changing how genetic information is generated, analyzed, and applied. This review explores the expanding role of NGS across both research and clinical settings, emphasizing its transformative impact on precision medicine while also addressing existing technical and analytical challenges. An extensive review of contemporary literature was undertaken to evaluate recent progress in sequencing platforms, library preparation strategies, data processing workflows, and downstream analytical methods. Particular attention is given to the application of NGS in the study of rare genetic diseases, cancer genomics, infectious disease surveillance, microbiome analysis, population genetics, and functional genomics.</w:t>
            </w:r>
            <w:r w:rsidRPr="00F608F1">
              <w:rPr>
                <w:rFonts w:ascii="Arial" w:eastAsia="Calibri" w:hAnsi="Arial" w:cs="Arial"/>
                <w:szCs w:val="22"/>
                <w:highlight w:val="yellow"/>
                <w:lang w:val="en-IN"/>
              </w:rPr>
              <w:t xml:space="preserve"> </w:t>
            </w:r>
            <w:r w:rsidRPr="00436078">
              <w:rPr>
                <w:rFonts w:ascii="Arial" w:eastAsia="Calibri" w:hAnsi="Arial" w:cs="Arial"/>
                <w:szCs w:val="22"/>
                <w:highlight w:val="yellow"/>
                <w:lang w:val="en-IN"/>
              </w:rPr>
              <w:t>By enabling the parallel sequencing of millions of DNA and RNA fragments, NGS provides unparalleled resolution into genomic architecture, sequence variation, gene expression dynamics, and epigenetic regulation. These capabilities have significantly advanced diagnostic accuracy, facilitated the development of targeted and personalized therapeutic strategies, and improved disease risk assessment. Emerging innovations</w:t>
            </w:r>
            <w:r w:rsidRPr="00F608F1">
              <w:rPr>
                <w:rFonts w:ascii="Arial" w:eastAsia="Calibri" w:hAnsi="Arial" w:cs="Arial"/>
                <w:szCs w:val="22"/>
                <w:highlight w:val="yellow"/>
                <w:lang w:val="en-IN"/>
              </w:rPr>
              <w:t xml:space="preserve"> </w:t>
            </w:r>
            <w:r w:rsidRPr="00436078">
              <w:rPr>
                <w:rFonts w:ascii="Arial" w:eastAsia="Calibri" w:hAnsi="Arial" w:cs="Arial"/>
                <w:szCs w:val="22"/>
                <w:highlight w:val="yellow"/>
                <w:lang w:val="en-IN"/>
              </w:rPr>
              <w:t>including long-read sequencing technologies, single-cell sequencing approaches, and integrative epigenomic profiling</w:t>
            </w:r>
            <w:r w:rsidRPr="00F608F1">
              <w:rPr>
                <w:rFonts w:ascii="Arial" w:eastAsia="Calibri" w:hAnsi="Arial" w:cs="Arial"/>
                <w:szCs w:val="22"/>
                <w:highlight w:val="yellow"/>
                <w:lang w:val="en-IN"/>
              </w:rPr>
              <w:t xml:space="preserve"> </w:t>
            </w:r>
            <w:r w:rsidRPr="00436078">
              <w:rPr>
                <w:rFonts w:ascii="Arial" w:eastAsia="Calibri" w:hAnsi="Arial" w:cs="Arial"/>
                <w:szCs w:val="22"/>
                <w:highlight w:val="yellow"/>
                <w:lang w:val="en-IN"/>
              </w:rPr>
              <w:t>are further enhancing the analytical power and clinical relevance of NGS.</w:t>
            </w:r>
            <w:r w:rsidRPr="00F608F1">
              <w:rPr>
                <w:rFonts w:ascii="Arial" w:eastAsia="Calibri" w:hAnsi="Arial" w:cs="Arial"/>
                <w:szCs w:val="22"/>
                <w:highlight w:val="yellow"/>
                <w:lang w:val="en-IN"/>
              </w:rPr>
              <w:t xml:space="preserve"> </w:t>
            </w:r>
            <w:r w:rsidRPr="00436078">
              <w:rPr>
                <w:rFonts w:ascii="Arial" w:eastAsia="Calibri" w:hAnsi="Arial" w:cs="Arial"/>
                <w:szCs w:val="22"/>
                <w:highlight w:val="yellow"/>
                <w:lang w:val="en-IN"/>
              </w:rPr>
              <w:t>Despite these advancements, several limitations continue to hinder the full potential of NGS, such as challenges related to sequencing accuracy, data interpretation, cost constraints, and the scalability of bioinformatics infrastructures required to manage large and complex datasets. Addressing these issues through improvements in sequencing chemistry, computational algorithms, and cost-efficiency will be critical for broader clinical adoption. Overall, NGS continues to bridge the gap between genomic research and clinical implementation, and ongoing technological and analytical innovations are expected to expand its accessibility and impact across global healthcare and biomedical research.</w:t>
            </w:r>
          </w:p>
          <w:p w14:paraId="41A8FFD8" w14:textId="7B9BD36A" w:rsidR="00505F06" w:rsidRPr="00BA1B01" w:rsidRDefault="00505F06" w:rsidP="00441B6F">
            <w:pPr>
              <w:pStyle w:val="Body"/>
              <w:spacing w:after="0"/>
              <w:rPr>
                <w:rFonts w:ascii="Arial" w:eastAsia="Calibri" w:hAnsi="Arial" w:cs="Arial"/>
                <w:szCs w:val="22"/>
              </w:rPr>
            </w:pPr>
          </w:p>
        </w:tc>
      </w:tr>
    </w:tbl>
    <w:p w14:paraId="457B43D8" w14:textId="77777777" w:rsidR="00636EB2" w:rsidRDefault="00636EB2" w:rsidP="00441B6F">
      <w:pPr>
        <w:pStyle w:val="Body"/>
        <w:spacing w:after="0"/>
        <w:rPr>
          <w:rFonts w:ascii="Arial" w:hAnsi="Arial" w:cs="Arial"/>
          <w:i/>
        </w:rPr>
      </w:pPr>
    </w:p>
    <w:p w14:paraId="24E68665" w14:textId="647457A8" w:rsidR="00A24E7E" w:rsidRDefault="00A24E7E" w:rsidP="00441B6F">
      <w:pPr>
        <w:pStyle w:val="Body"/>
        <w:spacing w:after="0"/>
        <w:rPr>
          <w:rFonts w:ascii="Arial" w:hAnsi="Arial" w:cs="Arial"/>
          <w:i/>
        </w:rPr>
      </w:pPr>
      <w:r w:rsidRPr="00D41361">
        <w:rPr>
          <w:rFonts w:ascii="Arial" w:hAnsi="Arial" w:cs="Arial"/>
          <w:b/>
          <w:bCs/>
          <w:i/>
        </w:rPr>
        <w:t>Keywords:</w:t>
      </w:r>
      <w:r>
        <w:rPr>
          <w:rFonts w:ascii="Arial" w:hAnsi="Arial" w:cs="Arial"/>
          <w:i/>
        </w:rPr>
        <w:t xml:space="preserve"> </w:t>
      </w:r>
      <w:r w:rsidR="00D41361" w:rsidRPr="00D41361">
        <w:rPr>
          <w:rFonts w:ascii="Arial" w:hAnsi="Arial" w:cs="Arial"/>
          <w:i/>
        </w:rPr>
        <w:t>Next-generation sequencing, Genomics, Personalized medicine, Computational Tools.</w:t>
      </w:r>
    </w:p>
    <w:p w14:paraId="3ABE8AC3" w14:textId="77777777" w:rsidR="00790ADA" w:rsidRDefault="00790ADA" w:rsidP="00441B6F">
      <w:pPr>
        <w:pStyle w:val="Body"/>
        <w:spacing w:after="0"/>
        <w:rPr>
          <w:rFonts w:ascii="Arial" w:hAnsi="Arial" w:cs="Arial"/>
          <w:i/>
        </w:rPr>
      </w:pPr>
    </w:p>
    <w:p w14:paraId="27358B47" w14:textId="77777777" w:rsidR="0024282C" w:rsidRDefault="0024282C" w:rsidP="00441B6F">
      <w:pPr>
        <w:pStyle w:val="Body"/>
        <w:spacing w:after="0"/>
        <w:rPr>
          <w:rFonts w:ascii="Arial" w:hAnsi="Arial" w:cs="Arial"/>
          <w:i/>
          <w:sz w:val="18"/>
        </w:rPr>
      </w:pPr>
    </w:p>
    <w:p w14:paraId="4C2CE494" w14:textId="77777777" w:rsidR="00505F06" w:rsidRPr="00A24E7E" w:rsidRDefault="00505F06" w:rsidP="00441B6F">
      <w:pPr>
        <w:pStyle w:val="Body"/>
        <w:spacing w:after="0"/>
        <w:rPr>
          <w:rFonts w:ascii="Arial" w:hAnsi="Arial" w:cs="Arial"/>
          <w:i/>
        </w:rPr>
      </w:pPr>
    </w:p>
    <w:p w14:paraId="7149EE09" w14:textId="08FD4F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3DBB2B" w14:textId="77777777" w:rsidR="00790ADA" w:rsidRPr="00FB3A86" w:rsidRDefault="00790ADA" w:rsidP="00441B6F">
      <w:pPr>
        <w:pStyle w:val="AbstHead"/>
        <w:spacing w:after="0"/>
        <w:jc w:val="both"/>
        <w:rPr>
          <w:rFonts w:ascii="Arial" w:hAnsi="Arial" w:cs="Arial"/>
        </w:rPr>
      </w:pPr>
    </w:p>
    <w:p w14:paraId="16A02D2C" w14:textId="77777777" w:rsidR="00D41361" w:rsidRPr="00D41361" w:rsidRDefault="00D41361" w:rsidP="00D41361">
      <w:pPr>
        <w:pStyle w:val="Body"/>
        <w:rPr>
          <w:rFonts w:ascii="Arial" w:hAnsi="Arial" w:cs="Arial"/>
        </w:rPr>
      </w:pPr>
      <w:r w:rsidRPr="00D41361">
        <w:rPr>
          <w:rFonts w:ascii="Arial" w:hAnsi="Arial" w:cs="Arial"/>
        </w:rPr>
        <w:t>Next-generation sequencing (NGS) has brought a paradigm shift to the field of genomics, providing an unparalleled capacity to explore the architecture, regulation, and variability of genomes with remarkable precision. Unlike traditional sequencing methods that were time-</w:t>
      </w:r>
      <w:r w:rsidRPr="00D41361">
        <w:rPr>
          <w:rFonts w:ascii="Arial" w:hAnsi="Arial" w:cs="Arial"/>
        </w:rPr>
        <w:lastRenderedPageBreak/>
        <w:t>intensive and limited in scope, NGS technologies deliver rapid, high-throughput, and cost-effective solutions, thereby democratizing large-scale genomic research. This advancement has allowed scientists not only to catalog entire genomes but also to probe their dynamic behavior, offering a multidimensional understanding of genetic information that was previously unattainable (1). Consequently, NGS has established itself as an indispensable platform spanning both basic biological inquiry and applied biomedical sciences. The applications of NGS extend far beyond whole-genome sequencing. By enabling systematic studies of transcriptomes, epigenomes, and metagenomes, this technology has opened the door to integrative “multi-omics” approaches that capture the complexity of living systems. For instance, transcriptome sequencing has elucidated patterns of alternative splicing and gene regulation, while epigenomic profiling has revealed how DNA methylation and histone modifications shape developmental and disease processes. Similarly, metagenomic sequencing has transformed microbiome research by uncovering the diversity and functional roles of microbial communities that inhabit various ecological niches, including the human body (2).</w:t>
      </w:r>
    </w:p>
    <w:p w14:paraId="19F1ABA8" w14:textId="77777777" w:rsidR="00D41361" w:rsidRPr="00D41361" w:rsidRDefault="00D41361" w:rsidP="00D41361">
      <w:pPr>
        <w:pStyle w:val="Body"/>
        <w:rPr>
          <w:rFonts w:ascii="Arial" w:hAnsi="Arial" w:cs="Arial"/>
        </w:rPr>
      </w:pPr>
      <w:r w:rsidRPr="00D41361">
        <w:rPr>
          <w:rFonts w:ascii="Arial" w:hAnsi="Arial" w:cs="Arial"/>
        </w:rPr>
        <w:t>The rapid innovation in sequencing platforms has been central to this progress. Illumina sequencing, with its short-read accuracy and scalability, has become a gold standard in genomics, while long-read technologies from Pacific Biosciences and Oxford Nanopore have resolved previously intractable regions of the genome, such as structural variants, repetitive elements, and complex haplotypes. These complementary approaches now allow researchers to achieve unprecedented continuity and completeness in genome assembly and annotation. Furthermore, the ability to sequence millions to billions of DNA fragments in parallel has accelerated studies on genetic variation, enabling fine-scale mapping of single nucleotide polymorphisms, rare mutations, and structural rearrangements across populations. Beyond research, the clinical implications of NGS are profound (3). By detecting pathogenic variants, identifying hereditary risk factors, and monitoring tumor evolution, NGS has reshaped the practice of molecular diagnostics and precision medicine. It has empowered clinicians to stratify patients based on molecular signatures, uncover predictive biomarkers, and design targeted therapies that optimize efficacy while minimizing adverse effects. Notably, the emergence of single-cell sequencing technologies has refined our capacity to dissect cellular heterogeneity, revealing subpopulations of cells with distinct transcriptional or epigenetic states that drive processes such as cancer progression, immune response, and tissue regeneration.</w:t>
      </w:r>
    </w:p>
    <w:p w14:paraId="2CA0627D" w14:textId="6753081F" w:rsidR="00790ADA" w:rsidRDefault="00D41361" w:rsidP="00D41361">
      <w:pPr>
        <w:pStyle w:val="Body"/>
        <w:rPr>
          <w:rFonts w:ascii="Arial" w:hAnsi="Arial" w:cs="Arial"/>
        </w:rPr>
      </w:pPr>
      <w:r w:rsidRPr="00D41361">
        <w:rPr>
          <w:rFonts w:ascii="Arial" w:hAnsi="Arial" w:cs="Arial"/>
        </w:rPr>
        <w:t>This review delves into the evolution and applications of next-generation sequencing (NGS) technologies, emphasizing their transformative role in genomics and precision medicine. The authors discuss how NGS has advanced from first- to third-generation platforms, highlighting their respective strengths, limitations, and contributions to scientific and clinical breakthroughs. In particular, the article explores key applications spanning rare genetic disorders, oncology, infectious diseases, and microbiome studies, while also addressing emerging trends such as single-cell sequencing, long-read technologies, and integrative multi-omics approaches (4).</w:t>
      </w:r>
    </w:p>
    <w:p w14:paraId="42AB77B4" w14:textId="0101593E" w:rsidR="00D41361" w:rsidRPr="00D41361" w:rsidRDefault="00D41361" w:rsidP="00D41361">
      <w:pPr>
        <w:pStyle w:val="Body"/>
        <w:numPr>
          <w:ilvl w:val="0"/>
          <w:numId w:val="32"/>
        </w:numPr>
        <w:rPr>
          <w:rFonts w:ascii="Arial" w:hAnsi="Arial" w:cs="Arial"/>
          <w:b/>
          <w:bCs/>
        </w:rPr>
      </w:pPr>
      <w:r w:rsidRPr="00D41361">
        <w:rPr>
          <w:rFonts w:ascii="Arial" w:hAnsi="Arial" w:cs="Arial"/>
          <w:b/>
          <w:bCs/>
        </w:rPr>
        <w:t>First Generation Sequencing:</w:t>
      </w:r>
    </w:p>
    <w:p w14:paraId="471C13D9" w14:textId="77777777" w:rsidR="00D41361" w:rsidRPr="00D41361" w:rsidRDefault="00D41361" w:rsidP="00D41361">
      <w:pPr>
        <w:pStyle w:val="Body"/>
        <w:rPr>
          <w:rFonts w:ascii="Arial" w:hAnsi="Arial" w:cs="Arial"/>
        </w:rPr>
      </w:pPr>
      <w:r w:rsidRPr="00D41361">
        <w:rPr>
          <w:rFonts w:ascii="Arial" w:hAnsi="Arial" w:cs="Arial"/>
        </w:rPr>
        <w:t xml:space="preserve">The journey of DNA sequencing began with the earliest attempts to determine the nucleotide order of nucleic acids through chemical and enzymatic strategies. In the mid-1960s, a landmark achievement was made by Robert Holley, who successfully elucidated the complete sequence of alanine transfer RNA (tRNA). This work, accomplished using ribonuclease digestion of Saccharomyces cerevisiae tRNA, represented the first time a nucleic acid molecule was sequenced in its entirety and laid the groundwork for molecular decoding of genetic information (5). Building on this foundation, Walter Gilbert and Allan </w:t>
      </w:r>
      <w:r w:rsidRPr="00D41361">
        <w:rPr>
          <w:rFonts w:ascii="Arial" w:hAnsi="Arial" w:cs="Arial"/>
        </w:rPr>
        <w:lastRenderedPageBreak/>
        <w:t>Maxam in the 1970s introduced a chemical cleavage approach, later known as the Maxam–Gilbert method. Their technique involved selective chemical modification of DNA followed by strand scission, which allowed determination of sequence fragments. While the method provided valuable insights, it was labor-intensive, required hazardous chemicals, and was difficult to scale for larger genomes. Still, it represented a crucial step forward, demonstrating that sequencing DNA beyond short fragments was technically feasible (6).</w:t>
      </w:r>
    </w:p>
    <w:p w14:paraId="2B32E72B" w14:textId="1B325569" w:rsidR="00D41361" w:rsidRPr="00FB3A86" w:rsidRDefault="00D41361" w:rsidP="00D41361">
      <w:pPr>
        <w:pStyle w:val="Body"/>
        <w:rPr>
          <w:rFonts w:ascii="Arial" w:hAnsi="Arial" w:cs="Arial"/>
        </w:rPr>
      </w:pPr>
      <w:r w:rsidRPr="00D41361">
        <w:rPr>
          <w:rFonts w:ascii="Arial" w:hAnsi="Arial" w:cs="Arial"/>
        </w:rPr>
        <w:t xml:space="preserve">A transformative leap occurred when Frederick Sanger developed the chain-termination method in 1977. By incorporating dideoxynucleotides (ddNTPs) into the DNA synthesis reaction, Sanger’s approach exploited the natural process of DNA polymerization to generate sequence fragments of varying lengths that terminated precisely at specific nucleotides. Separation of these fragments through polyacrylamide gel electrophoresis allowed researchers to reconstruct the DNA sequence with high accuracy (7). This elegant method quickly became the gold standard due to its simplicity, reproducibility, and applicability across diverse organisms. The impact of Sanger sequencing was amplified with the introduction of automation. In 1987, Applied Biosystems released the ABI 370 DNA </w:t>
      </w:r>
      <w:proofErr w:type="spellStart"/>
      <w:r w:rsidRPr="00D41361">
        <w:rPr>
          <w:rFonts w:ascii="Arial" w:hAnsi="Arial" w:cs="Arial"/>
        </w:rPr>
        <w:t>sequencer</w:t>
      </w:r>
      <w:proofErr w:type="spellEnd"/>
      <w:r w:rsidRPr="00D41361">
        <w:rPr>
          <w:rFonts w:ascii="Arial" w:hAnsi="Arial" w:cs="Arial"/>
        </w:rPr>
        <w:t>, the first commercial instrument to integrate fluorescently labeled ddNTPs with capillary electrophoresis detection (8). This eliminated the need for radioactive labeling, reduced errors, and dramatically improved throughput. As subsequent models increased read length and speed, sequencing projects that once took years could now be completed in months. This technological leap was instrumental in enabling ambitious initiatives such as the Human Genome Project. Although newer sequencing technologies have since eclipsed its capacity for large-scale genome analysis, first-generation sequencing continues to hold a niche role. It remains the preferred choice for applications requiring exceptionally high accuracy, such as small-scale genomic studies, clinical validation of variants, and targeted sequencing of specific genes. More importantly, the principles established during this era provided the intellectual and technical foundation upon which all subsequent generations of sequencing technologies were built (9).</w:t>
      </w:r>
    </w:p>
    <w:p w14:paraId="2D4AABBA" w14:textId="6BFE6827"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Second-Generation Sequencing: </w:t>
      </w:r>
    </w:p>
    <w:p w14:paraId="24AAD809" w14:textId="77777777" w:rsidR="00D41361" w:rsidRPr="00D41361" w:rsidRDefault="00D41361" w:rsidP="00D41361">
      <w:pPr>
        <w:pStyle w:val="Body"/>
        <w:rPr>
          <w:rFonts w:ascii="Arial" w:hAnsi="Arial" w:cs="Arial"/>
        </w:rPr>
      </w:pPr>
      <w:r w:rsidRPr="00D41361">
        <w:rPr>
          <w:rFonts w:ascii="Arial" w:hAnsi="Arial" w:cs="Arial"/>
        </w:rPr>
        <w:t>Second-generation sequencing (SGS), often described as the first true leap beyond traditional Sanger sequencing, introduced high-throughput platforms that could process DNA at a scale never seen before. Whereas first-generation sequencing allowed researchers to read relatively long fragments but in a slow and labor-intensive manner, SGS technologies enabled the simultaneous sequencing of millions of short fragments in parallel. This innovation transformed genomics from small-scale projects into a discipline capable of tackling entire genomes, transcriptomes, and complex microbial communities. Among the pioneering SGS technologies, three platforms played particularly influential roles: pyrosequencing (Roche 454), Ion Torrent sequencing, and Illumina sequencing. Each of these systems is based on the principle of “sequencing by synthesis,” where nucleotides are incorporated into a growing DNA strand and the incorporation event is detected in real time. However, they differ substantially in their signal detection strategies, throughput, and technical limitations. Pyrosequencing, commercialized by Roche 454, was one of the earliest widely adopted SGS methods. It relies on a cascade of enzymatic reactions triggered when a nucleotide is incorporated into the DNA strand. The incorporation event releases pyrophosphate (PPi), which is then converted into ATP by the enzyme sulfurylase. This ATP serves as fuel for the luciferase reaction, producing a burst of light. The intensity of the emitted luminescence corresponds to the number of nucleotides added, thereby revealing the sequence in a quantitative manner (10). Pyrosequencing found important applications in single nucleotide polymorphism (SNP) detection, microbial genome sequencing, and methylation studies, as it offered greater speed and throughput than Sanger sequencing. Nonetheless, the method suffered from notable drawbacks. Its average read length of 400–</w:t>
      </w:r>
      <w:r w:rsidRPr="00D41361">
        <w:rPr>
          <w:rFonts w:ascii="Arial" w:hAnsi="Arial" w:cs="Arial"/>
        </w:rPr>
        <w:lastRenderedPageBreak/>
        <w:t>500 bases was adequate for many small-scale projects but insufficient for large genomes, and it consistently struggled with homopolymer regions (e.g., runs of identical bases like AAAA), which caused over- or underestimation of the number of incorporated nucleotides (11).</w:t>
      </w:r>
    </w:p>
    <w:p w14:paraId="276B445E" w14:textId="492EA676" w:rsidR="00790ADA" w:rsidRDefault="00D41361" w:rsidP="00D41361">
      <w:pPr>
        <w:pStyle w:val="Body"/>
        <w:rPr>
          <w:rFonts w:ascii="Arial" w:hAnsi="Arial" w:cs="Arial"/>
        </w:rPr>
      </w:pPr>
      <w:r w:rsidRPr="00D41361">
        <w:rPr>
          <w:rFonts w:ascii="Arial" w:hAnsi="Arial" w:cs="Arial"/>
        </w:rPr>
        <w:t>Ion Torrent sequencing marked a conceptual shift by eliminating optical detection altogether. Instead of measuring light signals, this platform detects the release of hydrogen ions that accompany nucleotide incorporation. When a base is added, the local pH changes slightly; this fluctuation is captured by a dense grid of ion-sensitive field-effect transistors (ISFETs). This direct chemical detection enabled faster sequencing cycles and reduced the cost and size of the equipment, making the technology attractive for diagnostic laboratories and point-of-care settings. Ion Torrent became particularly useful for targeted sequencing panels and microbial pathogen detection, where rapid turnaround was essential. However, the platform’s read lengths (typically 200–400 bases) remained short, and like pyrosequencing, it was vulnerable to errors in homopolymer tracts. Additionally, its sensitivity to contaminants and reliance on precise pH measurement meant that careful sample preparation was critical to achieve reliable results. Illumina sequencing, sometimes considered the “gold standard” of SGS, advanced the field even further by combining sequencing-by-synthesis chemistry with reversible dye-terminators. In this method, DNA fragments are ligated to adapters and immobilized on a flow cell surface, where they undergo bridge amplification to generate clusters of identical DNA molecules. During sequencing, fluorescently labeled nucleotides are introduced; each incorporation event is recorded by high-resolution imaging. The reversible terminator ensures that only one base is added at a time, after which the blocking group and fluorescent tag are removed to allow the next cycle. This approach enables highly accurate base calling and minimizes the risk of homopolymer-related errors. Illumina’s success lies in its combination of scalability, accuracy, and versatility. With the ability to generate billions of reads per run, Illumina platforms are routinely used for whole-genome sequencing, exome sequencing, RNA sequencing, metagenomics, and even single-cell transcriptomics. Paired-end sequencing, which sequences both ends of DNA fragments, further increases the effective read length and improves genome assembly. Typical read lengths range from 150 to 300 base pairs, which are longer than those produced by pyrosequencing or Ion Torrent but still shorter than third-generation methods such as PacBio or Oxford Nanopore (13). The trade-offs include high initial setup costs, expensive consumables, and the need for sophisticated computational pipelines to process the enormous volumes of data generated. Despite these challenges, Illumina sequencing has become the backbone of large-scale genomic initiatives, including cancer genome projects, population genetics studies, and microbiome analyses. Collectively, these second-generation platforms reshaped the field of genomics. Pyrosequencing introduced the concept of massively parallel sequencing, Ion Torrent demonstrated the feasibility of fast and cost-efficient chemical detection, and Illumina established the high-throughput, high-accuracy sequencing model that continues to dominate research and clinical applications. Although their read lengths and certain technical limitations are modest compared to third-generation technologies, SGS platforms laid the groundwork for the genomic revolution, enabling discoveries ranging from personalized medicine applications to global-scale epidemiological surveillance (14).</w:t>
      </w:r>
    </w:p>
    <w:p w14:paraId="7A7399E9" w14:textId="77777777" w:rsidR="00D41361" w:rsidRDefault="00D41361" w:rsidP="00D41361">
      <w:pPr>
        <w:pStyle w:val="Body"/>
        <w:rPr>
          <w:rFonts w:ascii="Arial" w:hAnsi="Arial" w:cs="Arial"/>
        </w:rPr>
      </w:pPr>
    </w:p>
    <w:p w14:paraId="5F51BCF8" w14:textId="08932CDF"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Third-Generation Sequencing: </w:t>
      </w:r>
    </w:p>
    <w:p w14:paraId="5DCB69EE" w14:textId="77777777" w:rsidR="00D41361" w:rsidRPr="00D41361" w:rsidRDefault="00D41361" w:rsidP="00D41361">
      <w:pPr>
        <w:pStyle w:val="Body"/>
        <w:rPr>
          <w:rFonts w:ascii="Arial" w:hAnsi="Arial" w:cs="Arial"/>
        </w:rPr>
      </w:pPr>
      <w:r w:rsidRPr="00D41361">
        <w:rPr>
          <w:rFonts w:ascii="Arial" w:hAnsi="Arial" w:cs="Arial"/>
        </w:rPr>
        <w:t xml:space="preserve">Third-generation sequencing (TGS) technologies have emerged as a powerful response to the limitations of earlier sequencing methods, particularly with respect to read length, amplification bias, and real-time data generation. Unlike second-generation sequencing </w:t>
      </w:r>
      <w:r w:rsidRPr="00D41361">
        <w:rPr>
          <w:rFonts w:ascii="Arial" w:hAnsi="Arial" w:cs="Arial"/>
        </w:rPr>
        <w:lastRenderedPageBreak/>
        <w:t>platforms that rely heavily on clonal amplification, TGS systems allow direct single-molecule sequencing, thereby minimizing errors and enabling the analysis of longer DNA fragments. One of the most prominent platforms, Pacific Biosciences (PacBio), developed the Single-Molecule Real-Time (SMRT) sequencing system. This technology employs fluorescently labeled nucleotides that emit distinct light signatures as they are incorporated into a growing DNA strand by polymerase enzymes immobilized within Zero-Mode Waveguides (ZMWs). These nanoscale observation chambers permit high-resolution monitoring of nucleotide incorporation events in real time. As a result, SMRT sequencing routinely produces long reads often exceeding tens of kilobases (kb), making it particularly advantageous for resolving repetitive genomic regions such as centromeres, telomeres, and transposable elements. In addition, PacBio’s system is capable of detecting base modifications such as methylation without the need for chemical treatments like bisulfite conversion, allowing simultaneous epigenetic profiling alongside nucleotide sequencing. This dual functionality renders the platform highly suitable for de novo genome assembly, structural variant (SV) detection, transcriptomics, metagenomics, and epigenetic research. For example, Wenwen Fang et al. (2025) (15) demonstrated the first high-quality chromosome-level genome assembly of Yanbian cattle using PacBio HiFi sequencing in combination with Hi-C scaffolding and RNA-seq data. Their assembly achieved remarkable continuity (contig N50 ≈ 86.41 Mb; scaffold N50 ≈ 111.08 Mb), with 17 chromosomes assembled without gaps, underscoring the capability of long-read sequencing to achieve near-complete genome assemblies. Similarly, S. Romagnoli et al. (2023) (16) employed PacBio SMRT sequencing to identify a wide spectrum of structural variants in CHM1 and CHM13 assemblies, discovering tens of thousands of insertions, deletions, and inversions, many of which had been undetected in short-read data, highlighting the superior resolving power of long-read approaches (17).</w:t>
      </w:r>
    </w:p>
    <w:p w14:paraId="11FA16C9" w14:textId="5FABC89E" w:rsidR="00D41361" w:rsidRDefault="00D41361" w:rsidP="00D41361">
      <w:pPr>
        <w:pStyle w:val="Body"/>
        <w:spacing w:after="0"/>
        <w:rPr>
          <w:rFonts w:ascii="Arial" w:hAnsi="Arial" w:cs="Arial"/>
        </w:rPr>
      </w:pPr>
      <w:r w:rsidRPr="00D41361">
        <w:rPr>
          <w:rFonts w:ascii="Arial" w:hAnsi="Arial" w:cs="Arial"/>
        </w:rPr>
        <w:t xml:space="preserve">In parallel, Oxford Nanopore Technologies (ONT) introduced a fundamentally different sequencing approach based on the passage of nucleic acids through protein nanopores embedded in a membrane. As a DNA or RNA strand moves through the nanopore, it generates disruptions in ionic current, which are measured and translated into nucleotide sequences in real time. This design permits ultra-long read generation, with some reads exceeding 1 million bases (1 Mb), and is distinguished by the portability of its devices. For instance, the MinION sequencer can be powered through a USB connection, making it suitable for on-site genomic surveillance, pathogen detection, and environmental monitoring (18). ONT also enables direct RNA sequencing, bypassing reverse transcription or amplification steps, thereby providing an accurate representation of the transcriptome and preserving RNA modifications (19). Despite these advantages, ONT faces challenges such as higher raw error rates compared to Illumina or PacBio and lower throughput in compact devices, particularly for large-scale projects. Nevertheless, recent studies illustrate its expanding potential: </w:t>
      </w:r>
      <w:proofErr w:type="spellStart"/>
      <w:r w:rsidRPr="00D41361">
        <w:rPr>
          <w:rFonts w:ascii="Arial" w:hAnsi="Arial" w:cs="Arial"/>
        </w:rPr>
        <w:t>Lingchen</w:t>
      </w:r>
      <w:proofErr w:type="spellEnd"/>
      <w:r w:rsidRPr="00D41361">
        <w:rPr>
          <w:rFonts w:ascii="Arial" w:hAnsi="Arial" w:cs="Arial"/>
        </w:rPr>
        <w:t xml:space="preserve"> Liu et al. (2024) (20) used ONT long-read sequencing in lung cancer samples to evaluate somatic structural variant (SV) detection, benchmarking various tools and showing that long-read data achieved higher recall for somatic SVs compared to short-read sequencing. H. Xie et al. (2022) (21) developed SMOOTH-seq, a long-read single-cell genome sequencing method combining PacBio HiFi and ONT reads, which allowed them to construct de novo assemblies from single cells and recover complex structural variants and insertions often inaccessible by short-read technologies. Similarly, Henry C. M. Leung et al. (2022) (22) demonstrated that even low-depth (~4×) whole-genome sequencing using a single ONT MinION (Figure-1) flow cell could sensitively detect structural variants with precise breakpoints via their tool SENSV, showing its potential utility in clinical diagnostics. Moreover, Yekai Zhou et al. (2022) (23) introduced Duet, an SV detection and phasing algorithm leveraging ONT reads, which integrates SNP and SV signatures to improve genotyping accuracy and phasing performance, particularly at moderate sequencing depths (8× to 40×). Taken together, these case studies illustrate how PacBio and ONT </w:t>
      </w:r>
      <w:r w:rsidRPr="00D41361">
        <w:rPr>
          <w:rFonts w:ascii="Arial" w:hAnsi="Arial" w:cs="Arial"/>
        </w:rPr>
        <w:lastRenderedPageBreak/>
        <w:t>platforms complement one another. PacBio excels in high-fidelity long-read sequencing that enables robust genome assemblies and epigenetic analysis, while ONT provides unparalleled portability and ultra-long reads for real-time genomic surveillance and field applications. The growing body of research from cattle genome assemblies to cancer genomics and structural variant phasing underscores how TGS technologies have transformed genomic science. Their ability to resolve complex genomic regions, detect epigenetic modifications, and enable real-time analysis positions them as essential tools for advancing personalized medicine, evolutionary biology, epidemiology, and translational research (24).</w:t>
      </w:r>
    </w:p>
    <w:p w14:paraId="0A602A79" w14:textId="77777777" w:rsidR="00D41361" w:rsidRDefault="00D41361" w:rsidP="00D41361">
      <w:pPr>
        <w:pStyle w:val="Body"/>
        <w:spacing w:after="0"/>
        <w:rPr>
          <w:rFonts w:ascii="Arial" w:hAnsi="Arial" w:cs="Arial"/>
        </w:rPr>
      </w:pPr>
    </w:p>
    <w:p w14:paraId="12A63B70" w14:textId="246EBA87" w:rsidR="00D41361" w:rsidRDefault="00D41361" w:rsidP="00D41361">
      <w:pPr>
        <w:pStyle w:val="Body"/>
        <w:spacing w:after="0"/>
        <w:jc w:val="center"/>
        <w:rPr>
          <w:rFonts w:ascii="Arial" w:hAnsi="Arial" w:cs="Arial"/>
        </w:rPr>
      </w:pPr>
      <w:r w:rsidRPr="006E5AB9">
        <w:rPr>
          <w:rFonts w:asciiTheme="majorHAnsi" w:hAnsiTheme="majorHAnsi" w:cstheme="majorHAnsi"/>
          <w:noProof/>
          <w:sz w:val="24"/>
          <w:szCs w:val="24"/>
        </w:rPr>
        <w:drawing>
          <wp:inline distT="0" distB="0" distL="0" distR="0" wp14:anchorId="46F6865D" wp14:editId="7A8D75E6">
            <wp:extent cx="3267075" cy="3330781"/>
            <wp:effectExtent l="0" t="0" r="0" b="3175"/>
            <wp:docPr id="97954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226" cy="3340111"/>
                    </a:xfrm>
                    <a:prstGeom prst="rect">
                      <a:avLst/>
                    </a:prstGeom>
                    <a:noFill/>
                    <a:ln>
                      <a:noFill/>
                    </a:ln>
                  </pic:spPr>
                </pic:pic>
              </a:graphicData>
            </a:graphic>
          </wp:inline>
        </w:drawing>
      </w:r>
    </w:p>
    <w:p w14:paraId="48588F89" w14:textId="77777777" w:rsidR="00D41361" w:rsidRDefault="00D41361" w:rsidP="00D41361">
      <w:pPr>
        <w:pStyle w:val="Body"/>
        <w:spacing w:after="0"/>
        <w:rPr>
          <w:rFonts w:ascii="Arial" w:hAnsi="Arial" w:cs="Arial"/>
        </w:rPr>
      </w:pPr>
    </w:p>
    <w:p w14:paraId="71F3BC01" w14:textId="77777777" w:rsidR="00D41361" w:rsidRDefault="00D41361" w:rsidP="00D41361">
      <w:pPr>
        <w:pStyle w:val="Body"/>
        <w:spacing w:after="0"/>
        <w:rPr>
          <w:rFonts w:ascii="Arial" w:hAnsi="Arial" w:cs="Arial"/>
        </w:rPr>
      </w:pPr>
    </w:p>
    <w:p w14:paraId="4D4AD2CE" w14:textId="77777777" w:rsidR="00D41361" w:rsidRPr="00D41361" w:rsidRDefault="00D41361" w:rsidP="00D41361">
      <w:pPr>
        <w:pStyle w:val="Body"/>
        <w:spacing w:after="0"/>
        <w:rPr>
          <w:rFonts w:ascii="Arial" w:hAnsi="Arial" w:cs="Arial"/>
          <w:b/>
          <w:bCs/>
        </w:rPr>
      </w:pPr>
    </w:p>
    <w:p w14:paraId="0F13CDFB" w14:textId="21DC0882" w:rsidR="00D41361" w:rsidRDefault="00D41361" w:rsidP="00D41361">
      <w:pPr>
        <w:pStyle w:val="Body"/>
        <w:spacing w:after="0"/>
        <w:jc w:val="center"/>
        <w:rPr>
          <w:rFonts w:ascii="Arial" w:hAnsi="Arial" w:cs="Arial"/>
        </w:rPr>
      </w:pPr>
      <w:r w:rsidRPr="00D41361">
        <w:rPr>
          <w:rFonts w:ascii="Arial" w:hAnsi="Arial" w:cs="Arial"/>
          <w:b/>
          <w:bCs/>
        </w:rPr>
        <w:t>Figure 1:</w:t>
      </w:r>
      <w:r w:rsidRPr="00D41361">
        <w:rPr>
          <w:rFonts w:ascii="Arial" w:hAnsi="Arial" w:cs="Arial"/>
        </w:rPr>
        <w:t xml:space="preserve"> MinION -Oxford Nanopore Technologies</w:t>
      </w:r>
    </w:p>
    <w:p w14:paraId="3FE7B9E3" w14:textId="77777777" w:rsidR="00D41361" w:rsidRDefault="00D41361" w:rsidP="00D41361">
      <w:pPr>
        <w:pStyle w:val="Body"/>
        <w:spacing w:after="0"/>
        <w:rPr>
          <w:rFonts w:ascii="Arial" w:hAnsi="Arial" w:cs="Arial"/>
        </w:rPr>
      </w:pPr>
    </w:p>
    <w:p w14:paraId="3C759FFE" w14:textId="77777777" w:rsidR="00D41361" w:rsidRDefault="00D41361" w:rsidP="00D41361">
      <w:pPr>
        <w:pStyle w:val="Body"/>
        <w:spacing w:after="0"/>
        <w:rPr>
          <w:rFonts w:ascii="Arial" w:hAnsi="Arial" w:cs="Arial"/>
        </w:rPr>
      </w:pPr>
    </w:p>
    <w:p w14:paraId="588F7F18" w14:textId="77777777" w:rsidR="00D41361" w:rsidRDefault="00D41361" w:rsidP="00D41361">
      <w:pPr>
        <w:pStyle w:val="Body"/>
        <w:spacing w:after="0"/>
        <w:rPr>
          <w:rFonts w:ascii="Arial" w:hAnsi="Arial" w:cs="Arial"/>
        </w:rPr>
      </w:pPr>
    </w:p>
    <w:p w14:paraId="0E2D1E60" w14:textId="08F44A7B"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Comparison of Short-Read and Long-Read Sequencing: </w:t>
      </w:r>
    </w:p>
    <w:p w14:paraId="73F2F17C" w14:textId="77777777" w:rsidR="00D41361" w:rsidRPr="00D41361" w:rsidRDefault="00D41361" w:rsidP="00D41361">
      <w:pPr>
        <w:pStyle w:val="Body"/>
        <w:rPr>
          <w:rFonts w:ascii="Arial" w:hAnsi="Arial" w:cs="Arial"/>
        </w:rPr>
      </w:pPr>
      <w:r w:rsidRPr="00D41361">
        <w:rPr>
          <w:rFonts w:ascii="Arial" w:hAnsi="Arial" w:cs="Arial"/>
        </w:rPr>
        <w:t>Short-read sequencing, predominantly represented by second-generation platforms such as Illumina, uses sequencing-by-synthesis chemistry to generate reads between 100 and 700 base pairs (25). These methods provide excellent per-base accuracy and very high throughput, making them well suited for population-scale variant discovery, gene expression profiling, and small genome assembly. Satam et al. (26) highlighted how short-read platforms remain cost-efficient for resequencing studies and expression analyses, but they emphasized that these approaches still struggle to capture repetitive or structurally complex regions. Similarly, Gehrig et al. (27) demonstrated that short reads often fail to resolve long structural variants or properly phase haplotypes in complex loci, underscoring the inherent limitations of read length despite high accuracy (28).</w:t>
      </w:r>
    </w:p>
    <w:p w14:paraId="4A270D1E" w14:textId="77777777" w:rsidR="00D41361" w:rsidRPr="00D41361" w:rsidRDefault="00D41361" w:rsidP="00D41361">
      <w:pPr>
        <w:pStyle w:val="Body"/>
        <w:rPr>
          <w:rFonts w:ascii="Arial" w:hAnsi="Arial" w:cs="Arial"/>
        </w:rPr>
      </w:pPr>
      <w:r w:rsidRPr="00D41361">
        <w:rPr>
          <w:rFonts w:ascii="Arial" w:hAnsi="Arial" w:cs="Arial"/>
        </w:rPr>
        <w:lastRenderedPageBreak/>
        <w:t>In contrast, long-read sequencing offered by Pacific Biosciences (PacBio) and Oxford Nanopore Technologies (ONT) routinely generates read lengths in the kilobase range, often between 10 and 30 kilobases. These reads can span repeats, structural variants, and haplotype blocks, thereby enabling more contiguous de novo genome assemblies and detailed variant resolution. Wenger et al. (29) developed the circular consensus sequencing approach, producing highly accurate PacBio HiFi reads that combine the long-read advantage with short-read–like accuracy. Nurk did the Telomere-to-Telomere consortium subsequently used a combination of HiFi and ultra-long nanopore reads to produce the first complete, gapless human genome, filling hundreds of megabases of previously inaccessible sequence (30). Cheng et al. (31) introduced the hifiasm assembler, which leverages the accuracy of HiFi reads to generate haplotype-resolved assemblies with exceptional contiguity. Hon et al. (32) provided benchmarking data showing that HiFi reads achieve accuracies near those of Illumina short reads while retaining their long-read benefits. Oxford Nanopore sequencing has also undergone rapid improvements. Mostafa et al. (33) described advances in ONT’s R10 pore chemistry and basecalling algorithms, which greatly reduced homopolymer errors and improved methylation detection. Liu-Wei et al. (34) showed that systematic basecalling errors are now much lower than in early nanopore datasets, allowing these reads to be used in high-precision contexts such as variant discovery and transcript isoform detection. Eisenhofer et al. (35) evaluated microbial community sequencing and demonstrated that while long reads provide superior assembly contiguity and recover more repeat structures, hybrid approaches combining short reads with HiFi data often offer the best trade-off between cost, completeness, and input requirements.</w:t>
      </w:r>
    </w:p>
    <w:p w14:paraId="31119B2D" w14:textId="572F2777" w:rsidR="00D41361" w:rsidRDefault="00D41361" w:rsidP="00D41361">
      <w:pPr>
        <w:pStyle w:val="Body"/>
        <w:spacing w:after="0"/>
        <w:rPr>
          <w:rFonts w:ascii="Arial" w:hAnsi="Arial" w:cs="Arial"/>
        </w:rPr>
      </w:pPr>
      <w:r w:rsidRPr="00D41361">
        <w:rPr>
          <w:rFonts w:ascii="Arial" w:hAnsi="Arial" w:cs="Arial"/>
        </w:rPr>
        <w:t>Hybrid strategies have become increasingly important for maximizing the strengths of both technologies. Brown et al. (36) compared assemblies built from short reads, nanopore long reads, and hybrid combinations in environmental metagenomes and found that hybrid or long-read assemblies recovered more mobile genetic elements and antimicrobial resistance genes. Di Marco et al. (37) further showed that combining data types yields more robust assemblies in complex microbial samples, where individual platforms alone might introduce biases. Shumate et al. (38) demonstrated that short-read polishing of long-read transcriptomes enhances isoform identification and discovery of novel splice variants. In clinical genomics, long-read technologies have made significant contributions. Sakamoto et al. (39) reviewed their application in oncology, showing that long reads reveal thousands more structural variants per genome and improve mapping in clinically relevant but repetitive regions. Guo et al. (40) evaluated haplotype-aware error correction methods and showed that careful polishing of long reads reduces assembly errors and improves variant calls in diploid genomes, which is essential for precision medicine applications. Amarasinghe et al. (41) summarized opportunities and challenges across long-read data analysis, pointing out that while throughput and accuracy are improving rapidly, computational pipelines remain critical for realizing their full potential.</w:t>
      </w:r>
    </w:p>
    <w:p w14:paraId="465D8F20" w14:textId="77777777" w:rsidR="00D41361" w:rsidRDefault="00D41361" w:rsidP="00D41361">
      <w:pPr>
        <w:pStyle w:val="Body"/>
        <w:spacing w:after="0"/>
        <w:rPr>
          <w:rFonts w:ascii="Arial" w:hAnsi="Arial" w:cs="Arial"/>
        </w:rPr>
      </w:pPr>
    </w:p>
    <w:p w14:paraId="2E6D23CD" w14:textId="270D41A4"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Next-Generation Sequencing-Based Omics: </w:t>
      </w:r>
    </w:p>
    <w:p w14:paraId="2C034531" w14:textId="77777777" w:rsidR="00D41361" w:rsidRPr="00D41361" w:rsidRDefault="00D41361" w:rsidP="00D41361">
      <w:pPr>
        <w:pStyle w:val="Body"/>
        <w:rPr>
          <w:rFonts w:ascii="Arial" w:hAnsi="Arial" w:cs="Arial"/>
        </w:rPr>
      </w:pPr>
      <w:r w:rsidRPr="00D41361">
        <w:rPr>
          <w:rFonts w:ascii="Arial" w:hAnsi="Arial" w:cs="Arial"/>
        </w:rPr>
        <w:t>Understanding the complexity of human diseases necessitates the integration of data from various omics technologies, such as genomics, transcriptomics, epigenomics, and proteomics. Advances in next-generation sequencing (NGS) platforms have revolutionized these fields, enabling comprehensive and high-resolution analyses. Below, we explore key omics technologies implemented on the NGS platform (42).</w:t>
      </w:r>
    </w:p>
    <w:p w14:paraId="14823ADA" w14:textId="21A08FEA"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Whole-Genome Sequencing (WGS): </w:t>
      </w:r>
    </w:p>
    <w:p w14:paraId="63186CB3" w14:textId="77777777" w:rsidR="00D41361" w:rsidRPr="00D41361" w:rsidRDefault="00D41361" w:rsidP="00D41361">
      <w:pPr>
        <w:pStyle w:val="Body"/>
        <w:rPr>
          <w:rFonts w:ascii="Arial" w:hAnsi="Arial" w:cs="Arial"/>
        </w:rPr>
      </w:pPr>
      <w:r w:rsidRPr="00D41361">
        <w:rPr>
          <w:rFonts w:ascii="Arial" w:hAnsi="Arial" w:cs="Arial"/>
        </w:rPr>
        <w:lastRenderedPageBreak/>
        <w:t>Whole-genome sequencing is a comprehensive approach that determines the entire DNA sequence of an individual’s genome. By analyzing both coding and non-coding regions, including genes, regulatory elements, and structural variations, WGS provides a complete genetic blueprint. It is widely applied in areas such as plant and animal research, cancer studies, rare genetic disorder investigations, population genetics, and the de novo assembly of genomes for eukaryotic and prokaryotic organisms. WGS can identify diverse genetic variations, including single-nucleotide polymorphisms (SNPs), insertions, deletions, and large structural rearrangements. This versatility enables its application across numerous research and clinical domains.</w:t>
      </w:r>
    </w:p>
    <w:p w14:paraId="3B0EEF03" w14:textId="77777777" w:rsidR="00D41361" w:rsidRPr="00D41361" w:rsidRDefault="00D41361" w:rsidP="00D41361">
      <w:pPr>
        <w:pStyle w:val="Body"/>
        <w:rPr>
          <w:rFonts w:ascii="Arial" w:hAnsi="Arial" w:cs="Arial"/>
        </w:rPr>
      </w:pPr>
      <w:r w:rsidRPr="00D41361">
        <w:rPr>
          <w:rFonts w:ascii="Arial" w:hAnsi="Arial" w:cs="Arial"/>
        </w:rPr>
        <w:t>Large genome sequencing is applied to genomes exceeding 5 megabases (Mb) in size, typically found in eukaryotic organisms such as humans, plants, and animals. These genomes are inherently complex, comprising both coding and non-coding regions, repetitive elements like centromeres, telomeres, and transposable elements, as well as structural variants and intricate regulatory networks (43). The challenges associated with large genomes, including high levels of repetitive sequences and polyploidy (especially in plant genomes), necessitate the use of advanced sequencing technologies, often combining short-read and long-read approaches to ensure high accuracy and completeness. These technologies enable the resolution of ambiguities in repetitive regions and the identification of structural variants such as large insertions, deletions, and chromosomal rearrangements. Applications of large genome sequencing span various fields, including human genome studies to explore genetic variations linked to diseases, ancestry, and evolution; plant genomics to identify traits for crop improvement such as disease resistance and drought tolerance; animal research to advance livestock breeding and evolutionary studies; and de novo assembly for generating high-quality reference genomes of species without existing references. Small genome sequencing targets genomes under 5 Mb, typical of prokaryotes like bacteria, archaea, and some viruses, which are compact with high gene density and fewer non-coding regions compared to eukaryotic genomes (44). These genomes can often be sequenced and assembled efficiently and cost-effectively, though challenges remain in distinguishing closely related microbial strains and resolving plasmids or mobile genetic elements. Applications include microbial identification and classification, pathogen genomics for tracking outbreaks and studying antibiotic resistance, metabolic engineering to optimize microbes for industrial applications, and environmental microbiology for understanding microbial communities. Short-read sequencing generates millions of high-quality, short DNA fragments (50–300 base pairs) that are cost-effective and ideal for detecting small-scale mutations like single-nucleotide polymorphisms (SNPs), insertions, and deletions, with platforms like Illumina dominating this space, though it struggles with repetitive regions and long structural variants (45). Long-read sequencing, using technologies like PacBio and Oxford Nanopore, produces reads ranging from several kilobases to over 100 kb, excelling in resolving repetitive regions, structural variants, and phased genome assemblies, making it ideal for de novo genome assembly. Hybrid approaches combine short-read and long-read sequencing to maximize accuracy and resolve complex genomic regions by using short reads for mutation calling and long reads for assembling contiguous sequences. Examples of hybrid applications include creating telomere-to-telomere human genome assemblies, resolving plasmids in microbial studies, and deciphering polyploid genomes in crops like wheat or sugarcane.</w:t>
      </w:r>
    </w:p>
    <w:p w14:paraId="46F413B7" w14:textId="77777777" w:rsidR="00D41361" w:rsidRPr="00D41361" w:rsidRDefault="00D41361" w:rsidP="00D41361">
      <w:pPr>
        <w:pStyle w:val="Body"/>
        <w:rPr>
          <w:rFonts w:ascii="Arial" w:hAnsi="Arial" w:cs="Arial"/>
        </w:rPr>
      </w:pPr>
      <w:r w:rsidRPr="00D41361">
        <w:rPr>
          <w:rFonts w:ascii="Arial" w:hAnsi="Arial" w:cs="Arial"/>
        </w:rPr>
        <w:t xml:space="preserve">Computational tools are indispensable for processing, analyzing, and integrating the vast data generated by both short-read and long-read sequencing technologies, addressing challenges such as error correction, genome alignment, variant calling, and assembly validation to ensure biologically meaningful interpretations. For small genomes, which are typically compact and less repetitive, tools like SPAdes and Velvet excel due to their efficiency and accuracy. SPAdes employ a de Bruijn graph-based approach, integrating </w:t>
      </w:r>
      <w:r w:rsidRPr="00D41361">
        <w:rPr>
          <w:rFonts w:ascii="Arial" w:hAnsi="Arial" w:cs="Arial"/>
        </w:rPr>
        <w:lastRenderedPageBreak/>
        <w:t>error correction modules to construct high-quality contigs, making it ideal for microbial and metagenomic assemblies. Similarly, Velvet optimizes short-read sequencing data using k-mer adjustments to minimize errors and is particularly suited for bacterial or viral genome assembly. Long-read sequencing tools like Canu and Flye are tailored for complex datasets, resolving repetitive regions and structural variations with high fidelity. Canu supports PacBio and Oxford Nanopore data, using advanced algorithms for de novo assembly and low-coverage datasets, while Flye efficiently assembles circular and repetitive genomes, including plasmids and mitochondrial DNA. Hybrid assembly tools, such as HybridSPAdes and MaSuRCA, integrate the strengths of short reads for base accuracy and long reads for spanning structural variants and repetitive regions. HybridSPAdes iteratively corrects long-read errors using short-read data, making it particularly effective for microbial genomes, while MaSuRCA generates "super reads" from short-read data, enabling the assembly of highly complex genomes (46). These tools often incorporate error correction modules to enhance data quality, support genome alignment and variant calling through integration with software like BWA and GATK, and utilize validation tools such as QUAST to ensure assembly accuracy and contiguity. Together, these tools empower researchers to achieve comprehensive and precise genome assemblies across diverse biological applications.</w:t>
      </w:r>
    </w:p>
    <w:p w14:paraId="1CA53437" w14:textId="250DC5BD"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 Whole-Exome Sequencing (WES):</w:t>
      </w:r>
    </w:p>
    <w:p w14:paraId="08D0E891" w14:textId="77777777" w:rsidR="00D41361" w:rsidRPr="00D41361" w:rsidRDefault="00D41361" w:rsidP="00D41361">
      <w:pPr>
        <w:pStyle w:val="Body"/>
        <w:rPr>
          <w:rFonts w:ascii="Arial" w:hAnsi="Arial" w:cs="Arial"/>
        </w:rPr>
      </w:pPr>
      <w:r w:rsidRPr="00D41361">
        <w:rPr>
          <w:rFonts w:ascii="Arial" w:hAnsi="Arial" w:cs="Arial"/>
        </w:rPr>
        <w:t>Whole-exome sequencing (WES) is a targeted approach to sequencing the exonic regions of the genome essentially the parts of the genome that encode proteins. Although the exome represents only about 1–2% of the total genome, it contains the majority of mutations known to be associated with various genetic disorders, including inherited diseases, cancers, and other complex conditions (47). By focusing on protein-coding regions, WES allows researchers and clinicians to gain critical insights into the genetic basis of disease, making it a powerful tool for both clinical diagnostics and research. The exome refers to the portion of the genome that is transcribed into mRNA and subsequently translated into proteins, which are the molecular machines and structural components of cells. Since most pathogenic mutations affect protein-coding genes, sequencing the exome is an efficient method to uncover these potentially harmful variations. In comparison to whole-genome sequencing (WGS), which provides a complete genomic profile, WES selectively targets the protein-coding regions, significantly reducing sequencing costs and time, while still enabling the detection of most disease-causing variants (48).</w:t>
      </w:r>
    </w:p>
    <w:p w14:paraId="5176BA32" w14:textId="77777777" w:rsidR="00D41361" w:rsidRPr="00D41361" w:rsidRDefault="00D41361" w:rsidP="00D41361">
      <w:pPr>
        <w:pStyle w:val="Body"/>
        <w:rPr>
          <w:rFonts w:ascii="Arial" w:hAnsi="Arial" w:cs="Arial"/>
        </w:rPr>
      </w:pPr>
      <w:r w:rsidRPr="00D41361">
        <w:rPr>
          <w:rFonts w:ascii="Arial" w:hAnsi="Arial" w:cs="Arial"/>
        </w:rPr>
        <w:t xml:space="preserve">The exonic regions are crucial for understanding gene function and the effects of genetic variations. Mutations in these regions can lead to altered protein function or expression, which may result in various health conditions. As a result, WES has become an invaluable tool in both basic and clinical genomics. WES has become an invaluable tool in a wide array of clinical and research applications. It plays a critical role in the diagnosis of rare and undiagnosed diseases by identifying novel mutations in disease-related genes when traditional diagnostic methods fail. In cancer genomics, WES helps uncover somatic mutations in tumor cells, contributing to the understanding of oncogenes, tumor suppressor genes, and drug resistance mechanisms, all of which are essential for personalized cancer treatment strategies. WES is also widely used in population genetics to explore genetic variation across different ethnic groups, shedding light on human evolution, migration, and the genetic basis of common traits, while identifying new disease-associated variants. In pharmacogenomics, WES helps predict patient responses to medications by identifying genetic variants that influence drug metabolism, efficacy, and toxicity, facilitating more personalized treatment regimens (49). Additionally, WES is pivotal in identifying genetic mutations underlying neurological disorders such as Alzheimer’s, Parkinson’s, and developmental delays, providing insights into their genetic causes. It is also a powerful tool for diagnosing congenital anomalies and inherited disorders, such as metabolic, </w:t>
      </w:r>
      <w:r w:rsidRPr="00D41361">
        <w:rPr>
          <w:rFonts w:ascii="Arial" w:hAnsi="Arial" w:cs="Arial"/>
        </w:rPr>
        <w:lastRenderedPageBreak/>
        <w:t>cardiovascular, and muscular diseases, by uncovering mutations that disrupt key developmental pathways, thus aiding in accurate diagnoses and informed clinical decision-making. And it is powerful technique that targets the exonic regions of the genome, focusing on protein-coding genes, which are critical for understanding genetic diseases. The methodology involves four key stages: sample preparation, exonic enrichment, sequencing, and data analysis. First, high-quality genomic DNA is extracted from blood or tissue samples, then fragmented into smaller pieces (150-200 base pairs), and adapters are added to prepare the DNA for sequencing (50). The exonic regions are enriched through hybrid capture, where biotinylated probes bind specifically to the exonic regions, or by target-specific amplification using PCR primers to selectively amplify these regions. Next, sequencing is performed using high-throughput platforms such as Illumina, Thermo Fisher, or BGI, which use sequencing-by-synthesis technologies to generate millions of short reads that are aligned to a reference genome. Following sequencing, bioinformatics tools like GATK, Samtools, and VarScan are used for variant calling, while databases such as dbSNP and ClinVar annotate known variants. Exon-centric analysis identifies mutations in coding sequences, including splice-site variations and frameshifts that could affect protein function. Finally, variant interpretation compares identified mutations to databases like ClinVar to determine their clinical significance. WES offers several advantages, including cost-effectiveness compared to whole-genome sequencing, high resolution for identifying pathogenic variants, and efficiency in diagnosing rare or undiagnosed diseases. However, it has limitations, such as not capturing non-coding regions that may harbor regulatory elements, being less effective for detecting large structural variants, and presenting challenges in interpreting novel or uncharacterized variants (51).</w:t>
      </w:r>
    </w:p>
    <w:p w14:paraId="52D200DB" w14:textId="3D3AE2E2" w:rsidR="00D41361" w:rsidRPr="00D41361" w:rsidRDefault="00D41361" w:rsidP="00D41361">
      <w:pPr>
        <w:pStyle w:val="Body"/>
        <w:numPr>
          <w:ilvl w:val="1"/>
          <w:numId w:val="32"/>
        </w:numPr>
        <w:rPr>
          <w:rFonts w:ascii="Arial" w:hAnsi="Arial" w:cs="Arial"/>
          <w:b/>
          <w:bCs/>
        </w:rPr>
      </w:pPr>
      <w:r w:rsidRPr="00D41361">
        <w:rPr>
          <w:rFonts w:ascii="Arial" w:hAnsi="Arial" w:cs="Arial"/>
          <w:b/>
          <w:bCs/>
        </w:rPr>
        <w:t>Targeted Sequencing:</w:t>
      </w:r>
    </w:p>
    <w:p w14:paraId="5D77B297" w14:textId="77777777" w:rsidR="00D41361" w:rsidRPr="00D41361" w:rsidRDefault="00D41361" w:rsidP="00D41361">
      <w:pPr>
        <w:pStyle w:val="Body"/>
        <w:rPr>
          <w:rFonts w:ascii="Arial" w:hAnsi="Arial" w:cs="Arial"/>
        </w:rPr>
      </w:pPr>
      <w:r w:rsidRPr="00D41361">
        <w:rPr>
          <w:rFonts w:ascii="Arial" w:hAnsi="Arial" w:cs="Arial"/>
        </w:rPr>
        <w:t>Targeted sequencing is a genomic technique focused on sequencing specific regions of the genome rather than sequencing the entire genome, as in Whole Genome Sequencing (WGS) or Whole Exome Sequencing (WES). This approach is designed to examine predefined genomic loci, such as genes or regions associated with diseases, making it a highly efficient and cost-effective method (52). The targeted approach allows for the detection of rare variants and mutations with high accuracy, providing valuable insights into specific genetic conditions. By focusing on a subset of the genome, targeted sequencing reduces costs compared to comprehensive methods like WGS, while also achieving greater sequencing depth in the targeted regions.</w:t>
      </w:r>
    </w:p>
    <w:p w14:paraId="540B2D4F" w14:textId="77777777" w:rsidR="00D41361" w:rsidRPr="00D41361" w:rsidRDefault="00D41361" w:rsidP="00D41361">
      <w:pPr>
        <w:pStyle w:val="Body"/>
        <w:rPr>
          <w:rFonts w:ascii="Arial" w:hAnsi="Arial" w:cs="Arial"/>
        </w:rPr>
      </w:pPr>
      <w:r w:rsidRPr="00D41361">
        <w:rPr>
          <w:rFonts w:ascii="Arial" w:hAnsi="Arial" w:cs="Arial"/>
        </w:rPr>
        <w:t xml:space="preserve">Targeted sequencing is a focused genomic technique that examines specific regions of interest, offering cost-effectiveness and high-depth coverage, often exceeding 5000×, which is crucial for detecting rare mutations or low-abundance variants. It has numerous applications, particularly in cancer genomics for detecting somatic mutations in tumor samples, monitoring disease progression, and enabling non-invasive testing via liquid biopsy using cell-free DNA. It's also widely used in identifying mutations associated with rare genetic disorders, pharmacogenomics to personalize drug treatments, cardiovascular diseases for diagnosing inherited cardiac conditions, and infectious diseases to track mutations linked to drug resistance. In neurological disorders, targeted sequencing helps identify mutations responsible for diseases like Alzheimer's and Parkinson's (53). The technique relies on enrichment by amplification using PCR-based methods or hybridization-based capture, followed by library preparation, and high-throughput sequencing using platforms like Illumina, Ion Torrent, or PacBio. Bioinformatics tools are used to align reads to reference genomes and call and annotate variants, with tools such as GATK and Samtools aiding in variant detection. The main advantages include cost-effectiveness, higher depth, and faster turnaround times, making it ideal for clinical applications. However, challenges include its limited discovery scope (due to its focus on predefined regions), potential biases </w:t>
      </w:r>
      <w:r w:rsidRPr="00D41361">
        <w:rPr>
          <w:rFonts w:ascii="Arial" w:hAnsi="Arial" w:cs="Arial"/>
        </w:rPr>
        <w:lastRenderedPageBreak/>
        <w:t xml:space="preserve">in amplification, and the need for careful panel design to ensure comprehensive mutation detection. Despite these challenges, targeted sequencing remains a powerful tool in personalized medicine, offering precise insights into genetic variations across various diseases (54). </w:t>
      </w:r>
    </w:p>
    <w:p w14:paraId="4BD62377" w14:textId="47A40D27" w:rsidR="00D41361" w:rsidRPr="00D41361" w:rsidRDefault="00D41361" w:rsidP="00D41361">
      <w:pPr>
        <w:pStyle w:val="Body"/>
        <w:numPr>
          <w:ilvl w:val="1"/>
          <w:numId w:val="32"/>
        </w:numPr>
        <w:rPr>
          <w:rFonts w:ascii="Arial" w:hAnsi="Arial" w:cs="Arial"/>
          <w:b/>
          <w:bCs/>
        </w:rPr>
      </w:pPr>
      <w:r w:rsidRPr="00D41361">
        <w:rPr>
          <w:rFonts w:ascii="Arial" w:hAnsi="Arial" w:cs="Arial"/>
          <w:b/>
          <w:bCs/>
        </w:rPr>
        <w:t>Transcriptomics:</w:t>
      </w:r>
    </w:p>
    <w:p w14:paraId="711B580E" w14:textId="77777777" w:rsidR="00D41361" w:rsidRPr="00D41361" w:rsidRDefault="00D41361" w:rsidP="00D41361">
      <w:pPr>
        <w:pStyle w:val="Body"/>
        <w:rPr>
          <w:rFonts w:ascii="Arial" w:hAnsi="Arial" w:cs="Arial"/>
        </w:rPr>
      </w:pPr>
      <w:r w:rsidRPr="00D41361">
        <w:rPr>
          <w:rFonts w:ascii="Arial" w:hAnsi="Arial" w:cs="Arial"/>
        </w:rPr>
        <w:t>Transcriptomics is the comprehensive study of the transcriptome, which represents the full set of RNA transcripts produced by the genome under specific conditions or in specific cell types. It provides insights into gene expression, regulation, and the molecular mechanisms controlling cellular processes. With advancements in high-throughput sequencing technologies, particularly Next-Generation Sequencing (NGS), transcriptomics has become a key tool in modern molecular biology and systems biology. Here is a more detailed breakdown of key applications and techniques in transcriptomics:</w:t>
      </w:r>
    </w:p>
    <w:p w14:paraId="410E0A65" w14:textId="77777777" w:rsidR="00D41361" w:rsidRPr="00D41361" w:rsidRDefault="00D41361" w:rsidP="00D41361">
      <w:pPr>
        <w:pStyle w:val="Body"/>
        <w:rPr>
          <w:rFonts w:ascii="Arial" w:hAnsi="Arial" w:cs="Arial"/>
        </w:rPr>
      </w:pPr>
      <w:r w:rsidRPr="00D41361">
        <w:rPr>
          <w:rFonts w:ascii="Arial" w:hAnsi="Arial" w:cs="Arial"/>
        </w:rPr>
        <w:t>RNA sequencing (RNA-Seq) has revolutionized transcriptomics by enabling the high-throughput analysis of the entire transcriptome, providing accurate, genome-wide quantification of gene expression levels through sequencing reads that align to specific genes. This facilitates the detection of both known and novel genes, offering a broad understanding of gene activity under different biological conditions, such as disease versus healthy states. RNA-Seq also enables differential gene expression analysis by comparing RNA profiles across various conditions, identifying genes that are differentially expressed and offering insights into the molecular mechanisms underlying specific phenotypes or disease mechanisms. Moreover, RNA-Seq does not rely on pre-defined annotations, allowing for the discovery of novel transcripts, including previously uncharacterized exons, introns, or alternative promoters. Advances in RNA-Seq, such as strand-specific sequencing and long-read sequencing technologies (e.g., PacBio or Oxford Nanopore), further enhance the ability to determine transcript directionality and capture full-length transcripts, aiding in the analysis of complex regions and isoforms. Another key area of RNA-Seq is alternative splicing analysis, which allows for the identification of multiple mRNA isoforms generated from a single gene (55). By aligning RNA-Seq reads to a reference genome, researchers can map exon-exon junctions and infer splicing events such as exon skipping, mutually exclusive exons, or alternative splice sites. This analysis reveals tissue-specific splicing patterns and isoform quantification, which can provide insights into how splicing changes in response to various environmental conditions or diseases, including cancer. Additionally, RNA-Seq is integral in non-coding RNA analysis, identifying small RNAs like miRNAs, which regulate gene expression post-transcriptionally by binding to target mRNAs, piRNAs involved in silencing transposons in germline cells, long non-coding RNAs (lncRNAs) that regulate gene expression through chromatin remodeling and transcriptional control, and circular RNAs (</w:t>
      </w:r>
      <w:proofErr w:type="spellStart"/>
      <w:r w:rsidRPr="00D41361">
        <w:rPr>
          <w:rFonts w:ascii="Arial" w:hAnsi="Arial" w:cs="Arial"/>
        </w:rPr>
        <w:t>circRNAs</w:t>
      </w:r>
      <w:proofErr w:type="spellEnd"/>
      <w:r w:rsidRPr="00D41361">
        <w:rPr>
          <w:rFonts w:ascii="Arial" w:hAnsi="Arial" w:cs="Arial"/>
        </w:rPr>
        <w:t xml:space="preserve">) that act as sponges for miRNAs and modulate gene expression. In the realm of single-cell transcriptomics (scRNA-Seq), RNA-Seq allows for the measurement of gene expression at the individual cell level, uncovering cellular heterogeneity within tissues, identifying rare cell populations, and enabling the reconstruction of developmental lineages by analyzing gene expression profiles over time (56). Furthermore, spatial transcriptomics, an extension of scRNA-Seq, integrates gene expression with spatial information within tissues, helping researchers understand tissue architecture and function. To gain a holistic view of gene regulation, transcriptomics data is often integrated with other "omics" data such as genomics, epigenomics, proteomics, and metabolomics. Integrating transcriptomics with genomic data helps identify how genetic variants impact gene expression, while combining it with epigenomic data offers insights into how epigenetic modifications like DNA methylation and histone modifications influence gene expression, particularly in diseases like cancer. Proteomics further complements transcriptomics by revealing the functional products of gene expression, proteins, allowing researchers to </w:t>
      </w:r>
      <w:r w:rsidRPr="00D41361">
        <w:rPr>
          <w:rFonts w:ascii="Arial" w:hAnsi="Arial" w:cs="Arial"/>
        </w:rPr>
        <w:lastRenderedPageBreak/>
        <w:t>correlate mRNA levels with protein abundance (57). Lastly, combining transcriptomics with metabolomics provides a deeper understanding of the molecular pathways regulating cellular functions, particularly in areas like cancer metabolism and drug development, where gene expression and metabolic changes are tightly coupled.</w:t>
      </w:r>
    </w:p>
    <w:p w14:paraId="52B1A187" w14:textId="374BE5B2"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Epigenomics: </w:t>
      </w:r>
    </w:p>
    <w:p w14:paraId="038E93E9" w14:textId="77777777" w:rsidR="00D41361" w:rsidRPr="00D41361" w:rsidRDefault="00D41361" w:rsidP="00D41361">
      <w:pPr>
        <w:pStyle w:val="Body"/>
        <w:rPr>
          <w:rFonts w:ascii="Arial" w:hAnsi="Arial" w:cs="Arial"/>
        </w:rPr>
      </w:pPr>
      <w:r w:rsidRPr="00D41361">
        <w:rPr>
          <w:rFonts w:ascii="Arial" w:hAnsi="Arial" w:cs="Arial"/>
        </w:rPr>
        <w:t>Epigenomics is a subfield of genomics that studies the epigenome, a set of heritable modifications to the DNA and associated proteins that regulate gene expression without altering the underlying DNA sequence. These modifications are crucial for controlling cellular identity, function, and response to environmental signals. The epigenome influences gene activity by modifying chromatin structure, transcriptional regulation, and RNA processing. Epigenomic modifications can be stable and heritable across cell divisions and can be influenced by environmental factors, providing a mechanism for gene-environment interactions.</w:t>
      </w:r>
    </w:p>
    <w:p w14:paraId="0FCCF949" w14:textId="77777777" w:rsidR="00D41361" w:rsidRPr="00D41361" w:rsidRDefault="00D41361" w:rsidP="00D41361">
      <w:pPr>
        <w:pStyle w:val="Body"/>
        <w:rPr>
          <w:rFonts w:ascii="Arial" w:hAnsi="Arial" w:cs="Arial"/>
        </w:rPr>
      </w:pPr>
      <w:r w:rsidRPr="00D41361">
        <w:rPr>
          <w:rFonts w:ascii="Arial" w:hAnsi="Arial" w:cs="Arial"/>
        </w:rPr>
        <w:t>Epigenomics focuses on heritable modifications that regulate gene expression without altering the underlying DNA sequence, with key mechanisms including DNA methylation, histone modifications, and RNA modifications. DNA methylation involves the addition of a methyl group to the 5' position of cytosine residues, typically within CpG dinucleotides, and is catalyzed by DNA methyltransferases (DNMTs), leading to transcriptional repression. This modification is essential for processes like genomic imprinting, X-chromosome inactivation, and silencing repetitive elements. Histone modifications, including methylation, acetylation, phosphorylation, and ubiquitination, alter chromatin structure and influence gene expression by acting as signals for chromatin remodeling, which are recognized by specific proteins such as bromodomains and chromodomains to determine whether genes are active or repressed. Additionally, RNA molecules, particularly mRNA, undergo various modifications like N6-methyladenosine (m6A) methylation, which regulates RNA splicing, stability, localization, and translation, adding another layer of post-transcriptional regulatory control (58). To study these modifications, techniques like Whole-Genome Bisulfite Sequencing (WGBS) and Reduced Representation Bisulfite Sequencing (RRBS) are used for DNA methylation profiling, providing insights into methylation patterns across the genome. Chromatin accessibility mapping is achieved through methods like Assay for Transposase-Accessible Chromatin (ATAC-seq) and DNase-seq, which help identify open chromatin regions, including enhancers, promoters, and transcription factor binding sites. Histone modifications are typically analyzed using Chromatin Immunoprecipitation Sequencing (ChIP-seq), which profiles histone marks and chromatin states to provide insights into gene regulation. Chromatin conformation studies, such as Hi-C and 4C-seq, explore the three-dimensional structure of chromatin, mapping long-range interactions and chromatin organization within the nucleus, revealing how spatial genome architecture influences gene expression. These techniques have diverse applications, including developmental biology, where epigenomic modifications control cell fate decisions and differentiation. In cancer, abnormal epigenetic changes are common, and epigenomic profiling aids in identifying biomarkers for early detection and personalized therapies. In neurobiology, epigenetic modifications regulate brain development, synaptic plasticity, and memory, with aberrations linked to diseases like Alzheimer’s and psychiatric disorders. Environmental epigenomics explores how factors like diet, toxins, and stress influence the epigenome and contribute to diseases such as obesity, diabetes, and cardiovascular disease. Finally, personalized medicine benefits from epigenomic profiling by identifying individual genetic predispositions, drug responses, and disease risks, paving the way for more targeted therapeutic interventions (59).</w:t>
      </w:r>
    </w:p>
    <w:p w14:paraId="45841C5E" w14:textId="46E77D33"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Metagenomics: </w:t>
      </w:r>
    </w:p>
    <w:p w14:paraId="78411A7C" w14:textId="77777777" w:rsidR="00D41361" w:rsidRPr="00D41361" w:rsidRDefault="00D41361" w:rsidP="00D41361">
      <w:pPr>
        <w:pStyle w:val="Body"/>
        <w:rPr>
          <w:rFonts w:ascii="Arial" w:hAnsi="Arial" w:cs="Arial"/>
        </w:rPr>
      </w:pPr>
      <w:r w:rsidRPr="00D41361">
        <w:rPr>
          <w:rFonts w:ascii="Arial" w:hAnsi="Arial" w:cs="Arial"/>
        </w:rPr>
        <w:lastRenderedPageBreak/>
        <w:t>Metagenomics is a powerful and rapidly evolving field that allows for the study of genetic material directly from environmental or clinical samples without the need for culturing microorganisms. This culture-independent approach provides insights into the complex microbial communities present in diverse environments, ranging from the human gut microbiome to environmental ecosystems like soil, water, and air. The method leverages advanced sequencing technologies to capture and analyze DNA from entire microbial populations, offering a broader and more comprehensive view of microbial life than traditional culturing methods.</w:t>
      </w:r>
    </w:p>
    <w:p w14:paraId="1F689263" w14:textId="74A20D2A" w:rsidR="00D41361" w:rsidRDefault="00D41361" w:rsidP="00D41361">
      <w:pPr>
        <w:pStyle w:val="Body"/>
        <w:spacing w:after="0"/>
        <w:rPr>
          <w:rFonts w:ascii="Arial" w:hAnsi="Arial" w:cs="Arial"/>
        </w:rPr>
      </w:pPr>
      <w:r w:rsidRPr="00D41361">
        <w:rPr>
          <w:rFonts w:ascii="Arial" w:hAnsi="Arial" w:cs="Arial"/>
        </w:rPr>
        <w:t>Metagenomics is a powerful culture-independent technique used to study genetic material from microbial communities in environmental or clinical samples, leveraging targeted sequencing (such as 16S/18S rRNA gene sequencing) or shotgun metagenomic sequencing. The 16S rRNA gene sequencing targets conserved and variable regions in bacterial and archaeal communities, enabling taxonomic identification and phylogenetic analysis, while 18S rRNA sequencing is focused on eukaryotic microbes like fungi and protozoa. Shotgun sequencing, on the other hand, randomizes the DNA from all microbial species present, providing a comprehensive understanding of microbial diversity, community structure, genetic content, and functional potential, including the identification of genes involved in metabolic pathways, antibiotic resistance, and virulence. Applications of metagenomics are vast and include microbial diversity studies, functional analysis, and interactions, viral genome sequencing, clinical diagnostics for pathogen detection and antimicrobial resistance (AMR) identification, infectious disease surveillance, and microbiome-disease associations. It is also instrumental in biodiversity monitoring, bioremediation, soil microbiome studies for plant health, and livestock disease management. Despite its potential, metagenomics faces challenges such as data complexity, taxonomic resolution, sample contamination, and ethical concerns regarding privacy in human microbiome studies. However, as sequencing technologies and bioinformatics improve, metagenomics is expected to become increasingly pivotal in personalized medicine, environmental monitoring, and biotechnology, offering a deeper understanding of microbial roles in health, disease, and ecological balance (60).</w:t>
      </w:r>
    </w:p>
    <w:p w14:paraId="7E3B5E52" w14:textId="77777777" w:rsidR="00D41361" w:rsidRDefault="00D41361" w:rsidP="00D41361">
      <w:pPr>
        <w:pStyle w:val="Body"/>
        <w:spacing w:after="0"/>
        <w:rPr>
          <w:rFonts w:ascii="Arial" w:hAnsi="Arial" w:cs="Arial"/>
        </w:rPr>
      </w:pPr>
    </w:p>
    <w:p w14:paraId="44A4BE1C" w14:textId="27EC1908"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Computational Strategies for Analyzing NGS Data: </w:t>
      </w:r>
    </w:p>
    <w:p w14:paraId="7F1E07E4" w14:textId="77777777" w:rsidR="00D41361" w:rsidRPr="00D41361" w:rsidRDefault="00D41361" w:rsidP="00D41361">
      <w:pPr>
        <w:pStyle w:val="Body"/>
        <w:rPr>
          <w:rFonts w:ascii="Arial" w:hAnsi="Arial" w:cs="Arial"/>
        </w:rPr>
      </w:pPr>
      <w:r w:rsidRPr="00D41361">
        <w:rPr>
          <w:rFonts w:ascii="Arial" w:hAnsi="Arial" w:cs="Arial"/>
        </w:rPr>
        <w:t>Next-generation sequencing (NGS) technologies produce massive volumes of DNA and RNA sequence data, necessitating sophisticated computational strategies to convert raw reads into biologically meaningful insights. Satam et al. (26) highlighted that the initial step of bioinformatics analysis involves rigorous pre-processing, including quality control, trimming low-quality bases, filtering contaminants, and removing adapter sequences, all of which ensure high-quality datasets for downstream analysis. Gehrig et al. (27) demonstrated that careful pre-processing dramatically reduces false-positive variant calls and improves alignment efficiency, particularly in complex or repetitive genomic regions. Once pre-processing is complete, alignment strategies are applied to map reads either to a reference genome or transcriptome. Wenger et al. showed that long-read alignments to a reference genome allow for more accurate detection of structural variants, while short-read alignments remain highly effective for single-nucleotide polymorphism (SNP) calling. Nurk et al. (30) emphasized that de novo assembly algorithms can reconstruct genomes or transcriptomes in the absence of a reference, relying on graph-based approaches to piece together overlapping reads and generate contigs that capture genomic complexity. Cheng et al. (31) illustrated that haplotype-aware assemblers improve contiguity and phasing of assembled sequences, providing deeper insight into allelic diversity.</w:t>
      </w:r>
    </w:p>
    <w:p w14:paraId="3E21C039" w14:textId="77777777" w:rsidR="00D41361" w:rsidRPr="00D41361" w:rsidRDefault="00D41361" w:rsidP="00D41361">
      <w:pPr>
        <w:pStyle w:val="Body"/>
        <w:rPr>
          <w:rFonts w:ascii="Arial" w:hAnsi="Arial" w:cs="Arial"/>
        </w:rPr>
      </w:pPr>
      <w:r w:rsidRPr="00D41361">
        <w:rPr>
          <w:rFonts w:ascii="Arial" w:hAnsi="Arial" w:cs="Arial"/>
        </w:rPr>
        <w:t xml:space="preserve">Following alignment, computational pipelines employ statistical and machine-learning methods to quantify gene expression and detect differential expression. Satam et al. </w:t>
      </w:r>
      <w:r w:rsidRPr="00D41361">
        <w:rPr>
          <w:rFonts w:ascii="Arial" w:hAnsi="Arial" w:cs="Arial"/>
        </w:rPr>
        <w:lastRenderedPageBreak/>
        <w:t>described how RNA-seq analysis tools, such as DESeq2 and edgeR, can identify genes significantly upregulated or downregulated under specific experimental conditions. Brown et al. (36) further demonstrated that integrating NGS data with complementary omics layers proteomics, metabolomics, and epigenomics provides a systems-level understanding of biological pathways and functional networks. These integrative analyses enable researchers to link genetic variation to phenotypic outcomes, uncover pathway enrichment patterns, and pinpoint potential biomarkers for disease. Advanced algorithms also address structural and complex genomic variations. Sakamoto et al. (39) showed that computational methods for copy number variation (CNV) detection and structural variant calling, when applied to long-read sequencing data, uncover variants that are often missed by short-read approaches. Guo et al. (40) highlighted that error-correction and haplotype-aware algorithms enhance variant calling accuracy and improve downstream analyses such as allele-specific expression and regulatory motif discovery. Mostafa et al. (33) demonstrated that long-read data combined with high-performance computational pipelines allows for direct detection of base modifications, expanding the functional insights that can be derived from sequencing experiments.</w:t>
      </w:r>
    </w:p>
    <w:p w14:paraId="40B2982C" w14:textId="2FD81111" w:rsidR="00D41361" w:rsidRDefault="00D41361" w:rsidP="00D41361">
      <w:pPr>
        <w:pStyle w:val="Body"/>
        <w:spacing w:after="0"/>
        <w:rPr>
          <w:rFonts w:ascii="Arial" w:hAnsi="Arial" w:cs="Arial"/>
        </w:rPr>
      </w:pPr>
      <w:r w:rsidRPr="00D41361">
        <w:rPr>
          <w:rFonts w:ascii="Arial" w:hAnsi="Arial" w:cs="Arial"/>
        </w:rPr>
        <w:t>In addition, integrative bioinformatics frameworks enable multi-omics analyses. Di Marco et al. (37) illustrated that combining RNA-seq, proteomics, and epigenomics allows researchers to reconstruct complex regulatory networks, while Shumate et al. showed that hybrid strategies using both short and long reads improve transcript isoform reconstruction, facilitating the discovery of novel splice variants. Amarasinghe et al. (41) emphasized that scalable cloud-based computational workflows are increasingly necessary to manage the growing volume of NGS data, enabling rapid analysis without sacrificing accuracy or reproducibility (Table-1).</w:t>
      </w:r>
    </w:p>
    <w:p w14:paraId="7F05A4EF" w14:textId="77777777" w:rsidR="00D41361" w:rsidRDefault="00D41361" w:rsidP="00441B6F">
      <w:pPr>
        <w:pStyle w:val="Body"/>
        <w:spacing w:after="0"/>
        <w:rPr>
          <w:rFonts w:ascii="Arial" w:hAnsi="Arial" w:cs="Arial"/>
        </w:rPr>
      </w:pPr>
    </w:p>
    <w:p w14:paraId="03A30092" w14:textId="77777777" w:rsidR="00D41361" w:rsidRDefault="00D41361" w:rsidP="00441B6F">
      <w:pPr>
        <w:pStyle w:val="Body"/>
        <w:spacing w:after="0"/>
        <w:rPr>
          <w:rFonts w:ascii="Arial" w:hAnsi="Arial" w:cs="Arial"/>
        </w:rPr>
      </w:pPr>
    </w:p>
    <w:p w14:paraId="592A9A2C" w14:textId="3CB55C94"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D41361" w:rsidRPr="00793556">
        <w:rPr>
          <w:rFonts w:ascii="Times New Roman" w:hAnsi="Times New Roman"/>
          <w:sz w:val="24"/>
          <w:szCs w:val="24"/>
        </w:rPr>
        <w:t>Overview of NGS analysis steps and commonly used tools.</w:t>
      </w:r>
    </w:p>
    <w:p w14:paraId="52696386" w14:textId="77777777" w:rsidR="00863BD3" w:rsidRPr="00DC3180" w:rsidRDefault="00863BD3" w:rsidP="00441B6F">
      <w:pPr>
        <w:tabs>
          <w:tab w:val="left" w:pos="1080"/>
        </w:tabs>
        <w:jc w:val="both"/>
        <w:rPr>
          <w:rFonts w:ascii="Arial" w:hAnsi="Arial"/>
          <w:b/>
        </w:rPr>
      </w:pPr>
    </w:p>
    <w:tbl>
      <w:tblPr>
        <w:tblStyle w:val="PlainTable2"/>
        <w:tblW w:w="5000" w:type="pct"/>
        <w:tblLook w:val="04A0" w:firstRow="1" w:lastRow="0" w:firstColumn="1" w:lastColumn="0" w:noHBand="0" w:noVBand="1"/>
      </w:tblPr>
      <w:tblGrid>
        <w:gridCol w:w="2052"/>
        <w:gridCol w:w="3001"/>
        <w:gridCol w:w="3371"/>
      </w:tblGrid>
      <w:tr w:rsidR="00D41361" w:rsidRPr="00793556" w14:paraId="23B5E3A1" w14:textId="77777777" w:rsidTr="00D41361">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18" w:type="pct"/>
            <w:vAlign w:val="center"/>
          </w:tcPr>
          <w:p w14:paraId="52E223E7" w14:textId="77777777" w:rsidR="00D41361" w:rsidRPr="00D41361" w:rsidRDefault="00D41361" w:rsidP="00D41361">
            <w:pPr>
              <w:jc w:val="center"/>
              <w:rPr>
                <w:rFonts w:ascii="Arial" w:hAnsi="Arial"/>
                <w:bCs w:val="0"/>
                <w:lang w:val="en-US" w:eastAsia="en-US"/>
              </w:rPr>
            </w:pPr>
            <w:r w:rsidRPr="00D41361">
              <w:rPr>
                <w:rFonts w:ascii="Arial" w:hAnsi="Arial"/>
                <w:bCs w:val="0"/>
                <w:lang w:val="en-US" w:eastAsia="en-US"/>
              </w:rPr>
              <w:t>Analysis Area</w:t>
            </w:r>
          </w:p>
        </w:tc>
        <w:tc>
          <w:tcPr>
            <w:tcW w:w="1781" w:type="pct"/>
            <w:vAlign w:val="center"/>
          </w:tcPr>
          <w:p w14:paraId="488824DE" w14:textId="77777777" w:rsidR="00D41361" w:rsidRPr="00D41361" w:rsidRDefault="00D41361" w:rsidP="00D41361">
            <w:pPr>
              <w:jc w:val="center"/>
              <w:cnfStyle w:val="100000000000" w:firstRow="1" w:lastRow="0" w:firstColumn="0" w:lastColumn="0" w:oddVBand="0" w:evenVBand="0" w:oddHBand="0" w:evenHBand="0" w:firstRowFirstColumn="0" w:firstRowLastColumn="0" w:lastRowFirstColumn="0" w:lastRowLastColumn="0"/>
              <w:rPr>
                <w:rFonts w:ascii="Arial" w:hAnsi="Arial"/>
                <w:bCs w:val="0"/>
                <w:lang w:val="en-US" w:eastAsia="en-US"/>
              </w:rPr>
            </w:pPr>
            <w:r w:rsidRPr="00D41361">
              <w:rPr>
                <w:rFonts w:ascii="Arial" w:hAnsi="Arial"/>
                <w:bCs w:val="0"/>
                <w:lang w:val="en-US" w:eastAsia="en-US"/>
              </w:rPr>
              <w:t>Analysis Step</w:t>
            </w:r>
          </w:p>
        </w:tc>
        <w:tc>
          <w:tcPr>
            <w:tcW w:w="2001" w:type="pct"/>
            <w:vAlign w:val="center"/>
          </w:tcPr>
          <w:p w14:paraId="29FB2B39" w14:textId="77777777" w:rsidR="00D41361" w:rsidRPr="00D41361" w:rsidRDefault="00D41361" w:rsidP="00D41361">
            <w:pPr>
              <w:jc w:val="center"/>
              <w:cnfStyle w:val="100000000000" w:firstRow="1" w:lastRow="0" w:firstColumn="0" w:lastColumn="0" w:oddVBand="0" w:evenVBand="0" w:oddHBand="0" w:evenHBand="0" w:firstRowFirstColumn="0" w:firstRowLastColumn="0" w:lastRowFirstColumn="0" w:lastRowLastColumn="0"/>
              <w:rPr>
                <w:rFonts w:ascii="Arial" w:hAnsi="Arial"/>
                <w:bCs w:val="0"/>
                <w:lang w:val="en-US" w:eastAsia="en-US"/>
              </w:rPr>
            </w:pPr>
            <w:r w:rsidRPr="00D41361">
              <w:rPr>
                <w:rFonts w:ascii="Arial" w:hAnsi="Arial"/>
                <w:bCs w:val="0"/>
                <w:lang w:val="en-US" w:eastAsia="en-US"/>
              </w:rPr>
              <w:t>Commonly Used Tools</w:t>
            </w:r>
          </w:p>
        </w:tc>
      </w:tr>
      <w:tr w:rsidR="00D41361" w:rsidRPr="00793556" w14:paraId="533424CD"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13EA5AA1"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General Analysis</w:t>
            </w:r>
          </w:p>
        </w:tc>
        <w:tc>
          <w:tcPr>
            <w:tcW w:w="1781" w:type="pct"/>
          </w:tcPr>
          <w:p w14:paraId="20A37C6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Sequence Quality Assessment</w:t>
            </w:r>
          </w:p>
        </w:tc>
        <w:tc>
          <w:tcPr>
            <w:tcW w:w="2001" w:type="pct"/>
          </w:tcPr>
          <w:p w14:paraId="3AE736F5"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FastQC, MultiQC, FASTX-toolkit, Cutadapt</w:t>
            </w:r>
          </w:p>
        </w:tc>
      </w:tr>
      <w:tr w:rsidR="00D41361" w:rsidRPr="00793556" w14:paraId="1B96B999"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1274B779" w14:textId="77777777" w:rsidR="00D41361" w:rsidRPr="00D41361" w:rsidRDefault="00D41361" w:rsidP="00FA6380">
            <w:pPr>
              <w:rPr>
                <w:rFonts w:ascii="Arial" w:hAnsi="Arial" w:cs="Arial"/>
                <w:b w:val="0"/>
                <w:bCs w:val="0"/>
                <w:lang w:val="en-US" w:eastAsia="en-US"/>
              </w:rPr>
            </w:pPr>
          </w:p>
        </w:tc>
        <w:tc>
          <w:tcPr>
            <w:tcW w:w="1781" w:type="pct"/>
          </w:tcPr>
          <w:p w14:paraId="22AF5F1F"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Trimming of Low-Quality Sequences and Adapters</w:t>
            </w:r>
          </w:p>
        </w:tc>
        <w:tc>
          <w:tcPr>
            <w:tcW w:w="2001" w:type="pct"/>
          </w:tcPr>
          <w:p w14:paraId="3CE0EAA6"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Trimmomatic, fastp, Cutadapt</w:t>
            </w:r>
          </w:p>
        </w:tc>
      </w:tr>
      <w:tr w:rsidR="00D41361" w:rsidRPr="00793556" w14:paraId="79DA3FBE"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005AED84" w14:textId="77777777" w:rsidR="00D41361" w:rsidRPr="00D41361" w:rsidRDefault="00D41361" w:rsidP="00FA6380">
            <w:pPr>
              <w:rPr>
                <w:rFonts w:ascii="Arial" w:hAnsi="Arial" w:cs="Arial"/>
                <w:b w:val="0"/>
                <w:bCs w:val="0"/>
                <w:lang w:val="en-US" w:eastAsia="en-US"/>
              </w:rPr>
            </w:pPr>
          </w:p>
        </w:tc>
        <w:tc>
          <w:tcPr>
            <w:tcW w:w="1781" w:type="pct"/>
          </w:tcPr>
          <w:p w14:paraId="3B5686A5"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Read Alignment to Reference Genome</w:t>
            </w:r>
          </w:p>
        </w:tc>
        <w:tc>
          <w:tcPr>
            <w:tcW w:w="2001" w:type="pct"/>
          </w:tcPr>
          <w:p w14:paraId="0178296F"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BWA, Bowtie2, dragMAP, STAR</w:t>
            </w:r>
          </w:p>
        </w:tc>
      </w:tr>
      <w:tr w:rsidR="00D41361" w:rsidRPr="00793556" w14:paraId="6D1A0493"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44CC539C" w14:textId="77777777" w:rsidR="00D41361" w:rsidRPr="00D41361" w:rsidRDefault="00D41361" w:rsidP="00FA6380">
            <w:pPr>
              <w:rPr>
                <w:rFonts w:ascii="Arial" w:hAnsi="Arial" w:cs="Arial"/>
                <w:b w:val="0"/>
                <w:bCs w:val="0"/>
                <w:lang w:val="en-US" w:eastAsia="en-US"/>
              </w:rPr>
            </w:pPr>
          </w:p>
        </w:tc>
        <w:tc>
          <w:tcPr>
            <w:tcW w:w="1781" w:type="pct"/>
          </w:tcPr>
          <w:p w14:paraId="6DB06927"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Visualization of Analysis Reports</w:t>
            </w:r>
          </w:p>
        </w:tc>
        <w:tc>
          <w:tcPr>
            <w:tcW w:w="2001" w:type="pct"/>
          </w:tcPr>
          <w:p w14:paraId="23BEE313"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MultiQC, IGV (Integrative Genomics Viewer)</w:t>
            </w:r>
          </w:p>
        </w:tc>
      </w:tr>
      <w:tr w:rsidR="00D41361" w:rsidRPr="00793556" w14:paraId="25276194"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1A2E6FD8"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Whole-Genome/Whole-Exome/Targeted Panels</w:t>
            </w:r>
          </w:p>
        </w:tc>
        <w:tc>
          <w:tcPr>
            <w:tcW w:w="1781" w:type="pct"/>
          </w:tcPr>
          <w:p w14:paraId="02856F7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Duplicate Read Removal</w:t>
            </w:r>
          </w:p>
        </w:tc>
        <w:tc>
          <w:tcPr>
            <w:tcW w:w="2001" w:type="pct"/>
          </w:tcPr>
          <w:p w14:paraId="5410D77B"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Picard, Sambamba, MarkDuplicates</w:t>
            </w:r>
          </w:p>
        </w:tc>
      </w:tr>
      <w:tr w:rsidR="00D41361" w:rsidRPr="00793556" w14:paraId="5A7B877E"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72D737B7" w14:textId="77777777" w:rsidR="00D41361" w:rsidRPr="00D41361" w:rsidRDefault="00D41361" w:rsidP="00FA6380">
            <w:pPr>
              <w:rPr>
                <w:rFonts w:ascii="Arial" w:hAnsi="Arial" w:cs="Arial"/>
                <w:b w:val="0"/>
                <w:bCs w:val="0"/>
                <w:lang w:val="en-US" w:eastAsia="en-US"/>
              </w:rPr>
            </w:pPr>
          </w:p>
        </w:tc>
        <w:tc>
          <w:tcPr>
            <w:tcW w:w="1781" w:type="pct"/>
          </w:tcPr>
          <w:p w14:paraId="45815639"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Variant Detection</w:t>
            </w:r>
          </w:p>
        </w:tc>
        <w:tc>
          <w:tcPr>
            <w:tcW w:w="2001" w:type="pct"/>
          </w:tcPr>
          <w:p w14:paraId="0DD5B488"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GATK, DeepVariant, FreeBayes, Illumina DRAGEN</w:t>
            </w:r>
          </w:p>
        </w:tc>
      </w:tr>
      <w:tr w:rsidR="00D41361" w:rsidRPr="00793556" w14:paraId="7688FA28"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5009CE8E" w14:textId="77777777" w:rsidR="00D41361" w:rsidRPr="00D41361" w:rsidRDefault="00D41361" w:rsidP="00FA6380">
            <w:pPr>
              <w:rPr>
                <w:rFonts w:ascii="Arial" w:hAnsi="Arial" w:cs="Arial"/>
                <w:b w:val="0"/>
                <w:bCs w:val="0"/>
                <w:lang w:val="en-US" w:eastAsia="en-US"/>
              </w:rPr>
            </w:pPr>
          </w:p>
        </w:tc>
        <w:tc>
          <w:tcPr>
            <w:tcW w:w="1781" w:type="pct"/>
          </w:tcPr>
          <w:p w14:paraId="2345F90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Variant Filtering and Merging</w:t>
            </w:r>
          </w:p>
        </w:tc>
        <w:tc>
          <w:tcPr>
            <w:tcW w:w="2001" w:type="pct"/>
          </w:tcPr>
          <w:p w14:paraId="4E6E3F8E"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bcftools, VCFtools, GATK VariantFiltration</w:t>
            </w:r>
          </w:p>
        </w:tc>
      </w:tr>
      <w:tr w:rsidR="00D41361" w:rsidRPr="00793556" w14:paraId="654ECEF8"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7FF1CCFC" w14:textId="77777777" w:rsidR="00D41361" w:rsidRPr="00D41361" w:rsidRDefault="00D41361" w:rsidP="00FA6380">
            <w:pPr>
              <w:rPr>
                <w:rFonts w:ascii="Arial" w:hAnsi="Arial" w:cs="Arial"/>
                <w:b w:val="0"/>
                <w:bCs w:val="0"/>
                <w:lang w:val="en-US" w:eastAsia="en-US"/>
              </w:rPr>
            </w:pPr>
          </w:p>
        </w:tc>
        <w:tc>
          <w:tcPr>
            <w:tcW w:w="1781" w:type="pct"/>
          </w:tcPr>
          <w:p w14:paraId="7A51D482"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Variant Annotation</w:t>
            </w:r>
          </w:p>
        </w:tc>
        <w:tc>
          <w:tcPr>
            <w:tcW w:w="2001" w:type="pct"/>
          </w:tcPr>
          <w:p w14:paraId="30526DE6"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ANNOVAR, VEP (Variant Effect Predictor), snpEff</w:t>
            </w:r>
          </w:p>
        </w:tc>
      </w:tr>
      <w:tr w:rsidR="00D41361" w:rsidRPr="00793556" w14:paraId="133C651B"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1B66E5B3" w14:textId="77777777" w:rsidR="00D41361" w:rsidRPr="00D41361" w:rsidRDefault="00D41361" w:rsidP="00FA6380">
            <w:pPr>
              <w:rPr>
                <w:rFonts w:ascii="Arial" w:hAnsi="Arial" w:cs="Arial"/>
                <w:b w:val="0"/>
                <w:bCs w:val="0"/>
                <w:lang w:val="en-US" w:eastAsia="en-US"/>
              </w:rPr>
            </w:pPr>
          </w:p>
        </w:tc>
        <w:tc>
          <w:tcPr>
            <w:tcW w:w="1781" w:type="pct"/>
          </w:tcPr>
          <w:p w14:paraId="5586C331"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Structural Variant Calling</w:t>
            </w:r>
          </w:p>
        </w:tc>
        <w:tc>
          <w:tcPr>
            <w:tcW w:w="2001" w:type="pct"/>
          </w:tcPr>
          <w:p w14:paraId="2DFB0D5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DELLY, GRIDDS, Manta, Lumpy</w:t>
            </w:r>
          </w:p>
        </w:tc>
      </w:tr>
      <w:tr w:rsidR="00D41361" w:rsidRPr="00793556" w14:paraId="1DBDDC17"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0EFF78C1" w14:textId="77777777" w:rsidR="00D41361" w:rsidRPr="00D41361" w:rsidRDefault="00D41361" w:rsidP="00FA6380">
            <w:pPr>
              <w:rPr>
                <w:rFonts w:ascii="Arial" w:hAnsi="Arial" w:cs="Arial"/>
                <w:b w:val="0"/>
                <w:bCs w:val="0"/>
                <w:lang w:val="en-US" w:eastAsia="en-US"/>
              </w:rPr>
            </w:pPr>
          </w:p>
        </w:tc>
        <w:tc>
          <w:tcPr>
            <w:tcW w:w="1781" w:type="pct"/>
          </w:tcPr>
          <w:p w14:paraId="79C84393"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Copy Number Variation (CNV) Detection</w:t>
            </w:r>
          </w:p>
        </w:tc>
        <w:tc>
          <w:tcPr>
            <w:tcW w:w="2001" w:type="pct"/>
          </w:tcPr>
          <w:p w14:paraId="12D558D7"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CNVnator, ExomeDepth, Control-FREEC, OncoCNV</w:t>
            </w:r>
          </w:p>
        </w:tc>
      </w:tr>
      <w:tr w:rsidR="00D41361" w:rsidRPr="00793556" w14:paraId="6D37ED71"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17B129BC"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Transcriptomics</w:t>
            </w:r>
          </w:p>
        </w:tc>
        <w:tc>
          <w:tcPr>
            <w:tcW w:w="1781" w:type="pct"/>
          </w:tcPr>
          <w:p w14:paraId="029AE0C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Alignment of RNA-Seq Reads</w:t>
            </w:r>
          </w:p>
        </w:tc>
        <w:tc>
          <w:tcPr>
            <w:tcW w:w="2001" w:type="pct"/>
          </w:tcPr>
          <w:p w14:paraId="0AAEC13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HISAT2, TopHat2, STAR, Salmon</w:t>
            </w:r>
          </w:p>
        </w:tc>
      </w:tr>
      <w:tr w:rsidR="00D41361" w:rsidRPr="00793556" w14:paraId="69067FC0"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159D064C" w14:textId="77777777" w:rsidR="00D41361" w:rsidRPr="00D41361" w:rsidRDefault="00D41361" w:rsidP="00FA6380">
            <w:pPr>
              <w:rPr>
                <w:rFonts w:ascii="Arial" w:hAnsi="Arial" w:cs="Arial"/>
                <w:b w:val="0"/>
                <w:bCs w:val="0"/>
                <w:lang w:val="en-US" w:eastAsia="en-US"/>
              </w:rPr>
            </w:pPr>
          </w:p>
        </w:tc>
        <w:tc>
          <w:tcPr>
            <w:tcW w:w="1781" w:type="pct"/>
          </w:tcPr>
          <w:p w14:paraId="44075EB6"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 xml:space="preserve">Differential Gene Expression </w:t>
            </w:r>
            <w:r w:rsidRPr="00D41361">
              <w:rPr>
                <w:rFonts w:ascii="Arial" w:hAnsi="Arial" w:cs="Arial"/>
                <w:lang w:val="en-US" w:eastAsia="en-US"/>
              </w:rPr>
              <w:lastRenderedPageBreak/>
              <w:t>Analysis</w:t>
            </w:r>
          </w:p>
        </w:tc>
        <w:tc>
          <w:tcPr>
            <w:tcW w:w="2001" w:type="pct"/>
          </w:tcPr>
          <w:p w14:paraId="69C9426F"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lastRenderedPageBreak/>
              <w:t xml:space="preserve">DESeq2, edgeR, limma, </w:t>
            </w:r>
            <w:r w:rsidRPr="00D41361">
              <w:rPr>
                <w:rFonts w:ascii="Arial" w:hAnsi="Arial" w:cs="Arial"/>
                <w:lang w:val="en-US" w:eastAsia="en-US"/>
              </w:rPr>
              <w:lastRenderedPageBreak/>
              <w:t>DEBrowser</w:t>
            </w:r>
          </w:p>
        </w:tc>
      </w:tr>
      <w:tr w:rsidR="00D41361" w:rsidRPr="00793556" w14:paraId="12D15C39"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395FEA60" w14:textId="77777777" w:rsidR="00D41361" w:rsidRPr="00D41361" w:rsidRDefault="00D41361" w:rsidP="00FA6380">
            <w:pPr>
              <w:rPr>
                <w:rFonts w:ascii="Arial" w:hAnsi="Arial" w:cs="Arial"/>
                <w:b w:val="0"/>
                <w:bCs w:val="0"/>
                <w:lang w:val="en-US" w:eastAsia="en-US"/>
              </w:rPr>
            </w:pPr>
          </w:p>
        </w:tc>
        <w:tc>
          <w:tcPr>
            <w:tcW w:w="1781" w:type="pct"/>
          </w:tcPr>
          <w:p w14:paraId="2FAF47DB"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Gene Ontology and Pathway Analysis</w:t>
            </w:r>
          </w:p>
        </w:tc>
        <w:tc>
          <w:tcPr>
            <w:tcW w:w="2001" w:type="pct"/>
          </w:tcPr>
          <w:p w14:paraId="7264745F"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DAVID, clusterProfiler, Gene Set Enrichment Analysis (GSEA), ReactomePA</w:t>
            </w:r>
          </w:p>
        </w:tc>
      </w:tr>
      <w:tr w:rsidR="00D41361" w:rsidRPr="00793556" w14:paraId="4B27BB2A" w14:textId="77777777" w:rsidTr="00FA6380">
        <w:tc>
          <w:tcPr>
            <w:cnfStyle w:val="001000000000" w:firstRow="0" w:lastRow="0" w:firstColumn="1" w:lastColumn="0" w:oddVBand="0" w:evenVBand="0" w:oddHBand="0" w:evenHBand="0" w:firstRowFirstColumn="0" w:firstRowLastColumn="0" w:lastRowFirstColumn="0" w:lastRowLastColumn="0"/>
            <w:tcW w:w="1218" w:type="pct"/>
          </w:tcPr>
          <w:p w14:paraId="04CBA5FE" w14:textId="77777777" w:rsidR="00D41361" w:rsidRPr="00D41361" w:rsidRDefault="00D41361" w:rsidP="00FA6380">
            <w:pPr>
              <w:rPr>
                <w:rFonts w:ascii="Arial" w:hAnsi="Arial" w:cs="Arial"/>
                <w:b w:val="0"/>
                <w:bCs w:val="0"/>
                <w:lang w:val="en-US" w:eastAsia="en-US"/>
              </w:rPr>
            </w:pPr>
            <w:r w:rsidRPr="00D41361">
              <w:rPr>
                <w:rFonts w:ascii="Arial" w:hAnsi="Arial" w:cs="Arial"/>
                <w:b w:val="0"/>
                <w:bCs w:val="0"/>
                <w:lang w:val="en-US" w:eastAsia="en-US"/>
              </w:rPr>
              <w:t>16S rRNA Sequencing</w:t>
            </w:r>
          </w:p>
        </w:tc>
        <w:tc>
          <w:tcPr>
            <w:tcW w:w="1781" w:type="pct"/>
          </w:tcPr>
          <w:p w14:paraId="13ABA5FE"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16S rRNA Sequence Analysis Pipelines</w:t>
            </w:r>
          </w:p>
        </w:tc>
        <w:tc>
          <w:tcPr>
            <w:tcW w:w="2001" w:type="pct"/>
          </w:tcPr>
          <w:p w14:paraId="3B0BB4E6"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QIIME2, USEARCH, DADA2</w:t>
            </w:r>
          </w:p>
        </w:tc>
      </w:tr>
      <w:tr w:rsidR="00D41361" w:rsidRPr="00793556" w14:paraId="4B3BD091"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4E440B68"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Epigenomics - ChIP Sequencing</w:t>
            </w:r>
          </w:p>
        </w:tc>
        <w:tc>
          <w:tcPr>
            <w:tcW w:w="1781" w:type="pct"/>
          </w:tcPr>
          <w:p w14:paraId="237663C2"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PCR Duplicate Removal</w:t>
            </w:r>
          </w:p>
        </w:tc>
        <w:tc>
          <w:tcPr>
            <w:tcW w:w="2001" w:type="pct"/>
          </w:tcPr>
          <w:p w14:paraId="0FDDCE3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Samtools, Picard Tools, MarkDuplicates</w:t>
            </w:r>
          </w:p>
        </w:tc>
      </w:tr>
      <w:tr w:rsidR="00D41361" w:rsidRPr="00793556" w14:paraId="521F2F60"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50BD2F4E" w14:textId="77777777" w:rsidR="00D41361" w:rsidRPr="00D41361" w:rsidRDefault="00D41361" w:rsidP="00FA6380">
            <w:pPr>
              <w:rPr>
                <w:rFonts w:ascii="Arial" w:hAnsi="Arial" w:cs="Arial"/>
                <w:b w:val="0"/>
                <w:bCs w:val="0"/>
                <w:lang w:val="en-US" w:eastAsia="en-US"/>
              </w:rPr>
            </w:pPr>
          </w:p>
        </w:tc>
        <w:tc>
          <w:tcPr>
            <w:tcW w:w="1781" w:type="pct"/>
          </w:tcPr>
          <w:p w14:paraId="04CC9B02"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Peak Detection</w:t>
            </w:r>
          </w:p>
        </w:tc>
        <w:tc>
          <w:tcPr>
            <w:tcW w:w="2001" w:type="pct"/>
          </w:tcPr>
          <w:p w14:paraId="38633CC5"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MACS2, SICER2, HOMER, PeakRanger</w:t>
            </w:r>
          </w:p>
        </w:tc>
      </w:tr>
      <w:tr w:rsidR="00D41361" w:rsidRPr="00793556" w14:paraId="768A2D28"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11695F9A" w14:textId="77777777" w:rsidR="00D41361" w:rsidRPr="00D41361" w:rsidRDefault="00D41361" w:rsidP="00FA6380">
            <w:pPr>
              <w:rPr>
                <w:rFonts w:ascii="Arial" w:hAnsi="Arial" w:cs="Arial"/>
                <w:b w:val="0"/>
                <w:bCs w:val="0"/>
                <w:lang w:val="en-US" w:eastAsia="en-US"/>
              </w:rPr>
            </w:pPr>
          </w:p>
        </w:tc>
        <w:tc>
          <w:tcPr>
            <w:tcW w:w="1781" w:type="pct"/>
          </w:tcPr>
          <w:p w14:paraId="128555B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Peak Filtering</w:t>
            </w:r>
          </w:p>
        </w:tc>
        <w:tc>
          <w:tcPr>
            <w:tcW w:w="2001" w:type="pct"/>
          </w:tcPr>
          <w:p w14:paraId="2036EF61"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Bedtools, BEDOPS, DiffBind</w:t>
            </w:r>
          </w:p>
        </w:tc>
      </w:tr>
      <w:tr w:rsidR="00D41361" w:rsidRPr="00793556" w14:paraId="08EECE29"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2DF35E54" w14:textId="77777777" w:rsidR="00D41361" w:rsidRPr="00D41361" w:rsidRDefault="00D41361" w:rsidP="00FA6380">
            <w:pPr>
              <w:rPr>
                <w:rFonts w:ascii="Arial" w:hAnsi="Arial" w:cs="Arial"/>
                <w:b w:val="0"/>
                <w:bCs w:val="0"/>
                <w:lang w:val="en-US" w:eastAsia="en-US"/>
              </w:rPr>
            </w:pPr>
          </w:p>
        </w:tc>
        <w:tc>
          <w:tcPr>
            <w:tcW w:w="1781" w:type="pct"/>
          </w:tcPr>
          <w:p w14:paraId="6C768DA9"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Quality Control of Enrichment</w:t>
            </w:r>
          </w:p>
        </w:tc>
        <w:tc>
          <w:tcPr>
            <w:tcW w:w="2001" w:type="pct"/>
          </w:tcPr>
          <w:p w14:paraId="1B2581BC"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ChipQC, Phantompeakqualtools, QChIP</w:t>
            </w:r>
          </w:p>
        </w:tc>
      </w:tr>
      <w:tr w:rsidR="00D41361" w:rsidRPr="00793556" w14:paraId="06B343F5"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4C67AB99"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Epigenomics - Methylation Sequencing</w:t>
            </w:r>
          </w:p>
        </w:tc>
        <w:tc>
          <w:tcPr>
            <w:tcW w:w="1781" w:type="pct"/>
          </w:tcPr>
          <w:p w14:paraId="402EE8F8"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Sequencing Data Processing</w:t>
            </w:r>
          </w:p>
        </w:tc>
        <w:tc>
          <w:tcPr>
            <w:tcW w:w="2001" w:type="pct"/>
          </w:tcPr>
          <w:p w14:paraId="62AC4A82"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BS-Seeker2, Bismark, MethylDackel</w:t>
            </w:r>
          </w:p>
        </w:tc>
      </w:tr>
      <w:tr w:rsidR="00D41361" w:rsidRPr="00793556" w14:paraId="2A7CCE0C"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2642C29B" w14:textId="77777777" w:rsidR="00D41361" w:rsidRPr="00D41361" w:rsidRDefault="00D41361" w:rsidP="00FA6380">
            <w:pPr>
              <w:rPr>
                <w:rFonts w:ascii="Arial" w:hAnsi="Arial" w:cs="Arial"/>
                <w:b w:val="0"/>
                <w:bCs w:val="0"/>
                <w:lang w:val="en-US" w:eastAsia="en-US"/>
              </w:rPr>
            </w:pPr>
          </w:p>
        </w:tc>
        <w:tc>
          <w:tcPr>
            <w:tcW w:w="1781" w:type="pct"/>
          </w:tcPr>
          <w:p w14:paraId="6A307B6A"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Methylation Quantification</w:t>
            </w:r>
          </w:p>
        </w:tc>
        <w:tc>
          <w:tcPr>
            <w:tcW w:w="2001" w:type="pct"/>
          </w:tcPr>
          <w:p w14:paraId="60FB79CE"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MethylDackel, Methyldackel, methylKit</w:t>
            </w:r>
          </w:p>
        </w:tc>
      </w:tr>
      <w:tr w:rsidR="00D41361" w:rsidRPr="00793556" w14:paraId="6D8A2357"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10F95FA7"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Shotgun Metagenomics</w:t>
            </w:r>
          </w:p>
        </w:tc>
        <w:tc>
          <w:tcPr>
            <w:tcW w:w="1781" w:type="pct"/>
          </w:tcPr>
          <w:p w14:paraId="49D75379"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Taxonomic Classification</w:t>
            </w:r>
          </w:p>
        </w:tc>
        <w:tc>
          <w:tcPr>
            <w:tcW w:w="2001" w:type="pct"/>
          </w:tcPr>
          <w:p w14:paraId="64AA1F92"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MetaPhlAn4, Kraken2, Kaiju, Centrifuge</w:t>
            </w:r>
          </w:p>
        </w:tc>
      </w:tr>
      <w:tr w:rsidR="00D41361" w:rsidRPr="00793556" w14:paraId="267392AC"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677AB1BF" w14:textId="77777777" w:rsidR="00D41361" w:rsidRPr="00D41361" w:rsidRDefault="00D41361" w:rsidP="00FA6380">
            <w:pPr>
              <w:rPr>
                <w:rFonts w:ascii="Arial" w:hAnsi="Arial" w:cs="Arial"/>
                <w:b w:val="0"/>
                <w:bCs w:val="0"/>
                <w:lang w:val="en-US" w:eastAsia="en-US"/>
              </w:rPr>
            </w:pPr>
          </w:p>
        </w:tc>
        <w:tc>
          <w:tcPr>
            <w:tcW w:w="1781" w:type="pct"/>
          </w:tcPr>
          <w:p w14:paraId="6901D103"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Assembly of Metagenomic Reads</w:t>
            </w:r>
          </w:p>
        </w:tc>
        <w:tc>
          <w:tcPr>
            <w:tcW w:w="2001" w:type="pct"/>
          </w:tcPr>
          <w:p w14:paraId="05BC5E20"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metaSPAdes, metaIDBA, MEGAHIT, SPAdes</w:t>
            </w:r>
          </w:p>
        </w:tc>
      </w:tr>
      <w:tr w:rsidR="00D41361" w:rsidRPr="00FA6380" w14:paraId="4DDC9A27"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3ACE87EF" w14:textId="77777777" w:rsidR="00D41361" w:rsidRPr="00D41361" w:rsidRDefault="00D41361" w:rsidP="00FA6380">
            <w:pPr>
              <w:rPr>
                <w:rFonts w:ascii="Arial" w:hAnsi="Arial" w:cs="Arial"/>
                <w:b w:val="0"/>
                <w:bCs w:val="0"/>
                <w:lang w:val="en-US" w:eastAsia="en-US"/>
              </w:rPr>
            </w:pPr>
          </w:p>
        </w:tc>
        <w:tc>
          <w:tcPr>
            <w:tcW w:w="1781" w:type="pct"/>
          </w:tcPr>
          <w:p w14:paraId="20419F3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Protein Databases for Taxonomic Classification</w:t>
            </w:r>
          </w:p>
        </w:tc>
        <w:tc>
          <w:tcPr>
            <w:tcW w:w="2001" w:type="pct"/>
          </w:tcPr>
          <w:p w14:paraId="1084B33B" w14:textId="77777777" w:rsidR="00D41361" w:rsidRPr="00FA6380"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fr-FR" w:eastAsia="en-US"/>
              </w:rPr>
            </w:pPr>
            <w:r w:rsidRPr="00FA6380">
              <w:rPr>
                <w:rFonts w:ascii="Arial" w:hAnsi="Arial" w:cs="Arial"/>
                <w:lang w:val="fr-FR" w:eastAsia="en-US"/>
              </w:rPr>
              <w:t>NCBI non-</w:t>
            </w:r>
            <w:proofErr w:type="spellStart"/>
            <w:r w:rsidRPr="00FA6380">
              <w:rPr>
                <w:rFonts w:ascii="Arial" w:hAnsi="Arial" w:cs="Arial"/>
                <w:lang w:val="fr-FR" w:eastAsia="en-US"/>
              </w:rPr>
              <w:t>redundant</w:t>
            </w:r>
            <w:proofErr w:type="spellEnd"/>
            <w:r w:rsidRPr="00FA6380">
              <w:rPr>
                <w:rFonts w:ascii="Arial" w:hAnsi="Arial" w:cs="Arial"/>
                <w:lang w:val="fr-FR" w:eastAsia="en-US"/>
              </w:rPr>
              <w:t xml:space="preserve"> </w:t>
            </w:r>
            <w:proofErr w:type="spellStart"/>
            <w:r w:rsidRPr="00FA6380">
              <w:rPr>
                <w:rFonts w:ascii="Arial" w:hAnsi="Arial" w:cs="Arial"/>
                <w:lang w:val="fr-FR" w:eastAsia="en-US"/>
              </w:rPr>
              <w:t>protein</w:t>
            </w:r>
            <w:proofErr w:type="spellEnd"/>
            <w:r w:rsidRPr="00FA6380">
              <w:rPr>
                <w:rFonts w:ascii="Arial" w:hAnsi="Arial" w:cs="Arial"/>
                <w:lang w:val="fr-FR" w:eastAsia="en-US"/>
              </w:rPr>
              <w:t xml:space="preserve"> </w:t>
            </w:r>
            <w:proofErr w:type="spellStart"/>
            <w:r w:rsidRPr="00FA6380">
              <w:rPr>
                <w:rFonts w:ascii="Arial" w:hAnsi="Arial" w:cs="Arial"/>
                <w:lang w:val="fr-FR" w:eastAsia="en-US"/>
              </w:rPr>
              <w:t>database</w:t>
            </w:r>
            <w:proofErr w:type="spellEnd"/>
            <w:r w:rsidRPr="00FA6380">
              <w:rPr>
                <w:rFonts w:ascii="Arial" w:hAnsi="Arial" w:cs="Arial"/>
                <w:lang w:val="fr-FR" w:eastAsia="en-US"/>
              </w:rPr>
              <w:t xml:space="preserve">, </w:t>
            </w:r>
            <w:proofErr w:type="spellStart"/>
            <w:r w:rsidRPr="00FA6380">
              <w:rPr>
                <w:rFonts w:ascii="Arial" w:hAnsi="Arial" w:cs="Arial"/>
                <w:lang w:val="fr-FR" w:eastAsia="en-US"/>
              </w:rPr>
              <w:t>UniProt</w:t>
            </w:r>
            <w:proofErr w:type="spellEnd"/>
            <w:r w:rsidRPr="00FA6380">
              <w:rPr>
                <w:rFonts w:ascii="Arial" w:hAnsi="Arial" w:cs="Arial"/>
                <w:lang w:val="fr-FR" w:eastAsia="en-US"/>
              </w:rPr>
              <w:t>, RefSeq</w:t>
            </w:r>
          </w:p>
        </w:tc>
      </w:tr>
      <w:tr w:rsidR="00D41361" w:rsidRPr="00793556" w14:paraId="52D8B782"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23129B18" w14:textId="77777777" w:rsidR="00D41361" w:rsidRPr="00FA6380" w:rsidRDefault="00D41361" w:rsidP="00FA6380">
            <w:pPr>
              <w:rPr>
                <w:rFonts w:ascii="Arial" w:hAnsi="Arial" w:cs="Arial"/>
                <w:b w:val="0"/>
                <w:bCs w:val="0"/>
                <w:lang w:val="fr-FR" w:eastAsia="en-US"/>
              </w:rPr>
            </w:pPr>
          </w:p>
        </w:tc>
        <w:tc>
          <w:tcPr>
            <w:tcW w:w="1781" w:type="pct"/>
          </w:tcPr>
          <w:p w14:paraId="1BD4A1CA"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Gene Annotation</w:t>
            </w:r>
          </w:p>
        </w:tc>
        <w:tc>
          <w:tcPr>
            <w:tcW w:w="2001" w:type="pct"/>
          </w:tcPr>
          <w:p w14:paraId="474F9375"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Prokka, MetaGeneMark, RAST, GeneMarkS-T</w:t>
            </w:r>
          </w:p>
        </w:tc>
      </w:tr>
      <w:tr w:rsidR="00D41361" w:rsidRPr="00793556" w14:paraId="69CADDB8"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5F04E56B" w14:textId="77777777" w:rsidR="00D41361" w:rsidRPr="00D41361" w:rsidRDefault="00D41361" w:rsidP="00FA6380">
            <w:pPr>
              <w:rPr>
                <w:rFonts w:ascii="Arial" w:hAnsi="Arial" w:cs="Arial"/>
                <w:b w:val="0"/>
                <w:bCs w:val="0"/>
                <w:lang w:val="en-US" w:eastAsia="en-US"/>
              </w:rPr>
            </w:pPr>
          </w:p>
        </w:tc>
        <w:tc>
          <w:tcPr>
            <w:tcW w:w="1781" w:type="pct"/>
          </w:tcPr>
          <w:p w14:paraId="59E228F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Functional Annotation Databases</w:t>
            </w:r>
          </w:p>
        </w:tc>
        <w:tc>
          <w:tcPr>
            <w:tcW w:w="2001" w:type="pct"/>
          </w:tcPr>
          <w:p w14:paraId="544B5A0F"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COG, KEGG, GO, InterPro, EggNOG, MetaCyc</w:t>
            </w:r>
          </w:p>
        </w:tc>
      </w:tr>
    </w:tbl>
    <w:p w14:paraId="561E16FC" w14:textId="034BE641" w:rsidR="00863BD3" w:rsidRDefault="00863BD3" w:rsidP="00441B6F">
      <w:pPr>
        <w:pStyle w:val="BodyText3"/>
        <w:tabs>
          <w:tab w:val="left" w:pos="1080"/>
        </w:tabs>
        <w:spacing w:after="0"/>
        <w:ind w:left="1080" w:hanging="1080"/>
        <w:jc w:val="both"/>
        <w:rPr>
          <w:rFonts w:ascii="Arial" w:hAnsi="Arial"/>
          <w:b/>
          <w:sz w:val="20"/>
          <w:szCs w:val="20"/>
        </w:rPr>
      </w:pPr>
    </w:p>
    <w:p w14:paraId="7E26EC97" w14:textId="553F19E7" w:rsidR="00D41361" w:rsidRPr="00D41361" w:rsidRDefault="00D41361" w:rsidP="00D41361">
      <w:pPr>
        <w:pStyle w:val="Body"/>
        <w:numPr>
          <w:ilvl w:val="0"/>
          <w:numId w:val="32"/>
        </w:numPr>
        <w:rPr>
          <w:rFonts w:ascii="Arial" w:hAnsi="Arial" w:cs="Arial"/>
          <w:b/>
          <w:bCs/>
        </w:rPr>
      </w:pPr>
      <w:r w:rsidRPr="00D41361">
        <w:rPr>
          <w:rFonts w:ascii="Arial" w:hAnsi="Arial" w:cs="Arial"/>
          <w:b/>
          <w:bCs/>
        </w:rPr>
        <w:t>NGS Applications in Research and Diagnostics:</w:t>
      </w:r>
    </w:p>
    <w:p w14:paraId="364F46F4" w14:textId="77777777" w:rsidR="00D41361" w:rsidRPr="00D41361" w:rsidRDefault="00D41361" w:rsidP="00D41361">
      <w:pPr>
        <w:pStyle w:val="Body"/>
        <w:rPr>
          <w:rFonts w:ascii="Arial" w:hAnsi="Arial" w:cs="Arial"/>
        </w:rPr>
      </w:pPr>
      <w:r w:rsidRPr="00D41361">
        <w:rPr>
          <w:rFonts w:ascii="Arial" w:hAnsi="Arial" w:cs="Arial"/>
        </w:rPr>
        <w:t>Next-Generation Sequencing (NGS) has revolutionized both scientific research and clinical diagnostics, particularly in genomics, due to its high-throughput capabilities and ability to analyze multiple targets simultaneously (61). The power of NGS in translational medicine is amplified by sophisticated bioinformatic tools that allow the processing and interpretation of large-scale genomic data. These tools, combined with comprehensive reference databases, enable researchers, clinicians, and drug developers to investigate the genetic basis of diseases in unprecedented detail (62). Large-scale population sequencing initiatives such as the 1000 Genomes Project, ExAC, ESP6500, UK10K, Indigenome, and gnomAD have produced extensive datasets that elucidate genetic variation across diverse populations (63). Lek et al. (64) demonstrated the utility of gnomAD for studying allele frequencies and rare variants in large cohorts, highlighting its role in gene discovery and functional genomics studies. The availability of these datasets has facilitated the development of both large and small targeted sequencing panels. Li et al. (65) reported that large gene panels are particularly useful in oncology, allowing the identification of actionable mutations and guiding personalized treatment approaches.</w:t>
      </w:r>
    </w:p>
    <w:p w14:paraId="1A61E046" w14:textId="43E232BB"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Microbiome Research: </w:t>
      </w:r>
    </w:p>
    <w:p w14:paraId="50D392CD" w14:textId="37E5AAE8" w:rsidR="00376BBE" w:rsidRDefault="00D41361" w:rsidP="00D41361">
      <w:pPr>
        <w:pStyle w:val="Body"/>
        <w:spacing w:after="0"/>
        <w:rPr>
          <w:rFonts w:ascii="Arial" w:hAnsi="Arial" w:cs="Arial"/>
        </w:rPr>
      </w:pPr>
      <w:r w:rsidRPr="00D41361">
        <w:rPr>
          <w:rFonts w:ascii="Arial" w:hAnsi="Arial" w:cs="Arial"/>
        </w:rPr>
        <w:t xml:space="preserve">The human microbiome, consisting of trillions of microorganisms, plays a critical role in human health and disease. Microbial communities influence immune function, metabolism, and even neurological processes. Metagenomic sequencing has enabled a deeper understanding of the microbiome’s role in health and disease. Zhernakova et al. (66) highlighted how microbiome profiling links microbial composition with autoimmune disorders </w:t>
      </w:r>
      <w:r w:rsidRPr="00D41361">
        <w:rPr>
          <w:rFonts w:ascii="Arial" w:hAnsi="Arial" w:cs="Arial"/>
        </w:rPr>
        <w:lastRenderedPageBreak/>
        <w:t>such as rheumatoid arthritis and metabolic conditions like obesity and diabetes. Emerging research in pharmacomicrobiomics demonstrates how the microbiome modulates drug absorption, metabolism, efficacy, and resistance. Gupta et al. (67) utilized sequencing-based panels to detect microbial mutations associated with antimicrobial resistance, showing the potential of NGS for pathogen surveillance, antibiotic resistance tracking, and public health monitoring. Similarly, Franzosa et al. (68) employed metagenomic sequencing to uncover interactions between microbial metabolites and host metabolic pathways, further illustrating the functional impact of the microbiome on drug responses and disease susceptibility (69).</w:t>
      </w:r>
    </w:p>
    <w:p w14:paraId="5FB39DCF" w14:textId="408742AD" w:rsidR="00927834" w:rsidRDefault="00927834" w:rsidP="00441B6F">
      <w:pPr>
        <w:autoSpaceDE w:val="0"/>
        <w:autoSpaceDN w:val="0"/>
        <w:adjustRightInd w:val="0"/>
        <w:jc w:val="both"/>
        <w:rPr>
          <w:rFonts w:ascii="Arial" w:hAnsi="Arial" w:cs="Arial"/>
          <w:b/>
          <w:bCs/>
          <w:sz w:val="22"/>
          <w:szCs w:val="22"/>
        </w:rPr>
      </w:pPr>
    </w:p>
    <w:p w14:paraId="58903566" w14:textId="71A14913"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Human Disease Research</w:t>
      </w:r>
    </w:p>
    <w:p w14:paraId="2F5D623F"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NGS has expanded beyond genomics into transcriptomics, epi-transcriptomics, and epigenomics, enabling holistic studies of human diseases. Whole Genome Sequencing (WGS) and Whole Exome Sequencing (WES) have been pivotal in identifying novel genetic factors in cancer and rare diseases. Visscher et al. (70) demonstrated the power of genome-wide association studies (GWAS) in revealing genetic variants associated with complex traits, while studies by Cirulli et al. (71) used large-scale population sequencing to discover previously unknown disease-associated variants. NGS has also been critical in monitoring emerging pathogens; Lu et al. (72) highlighted its role in tracking SARS-CoV-2 variants and guiding personalized treatment strategies. In oncology, NGS panels have become central to diagnostics and treatment selection. Smith et al. (73) utilized Illumina’s 261-gene and 400-gene panels to evaluate SNVs, CNVs, RNA fusions, tumor mutational burden, and microsatellite instability, allowing clinicians to tailor therapies based on the tumor’s unique genetic landscape. Transcriptomic profiling with RNA-seq has further enhanced tumor biology insights, particularly regarding immune microenvironment and therapeutic resistance. Patel et al. (74) used single-cell RNA sequencing (scRNA-seq) to investigate tumor heterogeneity, uncovering subpopulations that drive therapy resistance and metastasis. Techniques such as Smart-seq2, Drop-seq, and Chromium have enabled high-resolution mapping of gene expression at the single-cell level. Ribo-sequencing (Ribo-seq) has emerged as a complementary tool, with Wu et al. (75) employing it to identify small open-reading frames in long non-coding RNAs (lncRNAs), revealing an additional layer of gene regulation. Coupled with mass spectrometry-based proteomics, Ribo-seq studies have highlighted the bifunctional roles of RNAs in tumor cells, demonstrating the intricate coordination between transcriptional and translational control (76).</w:t>
      </w:r>
    </w:p>
    <w:p w14:paraId="2C8EDCB6" w14:textId="77777777" w:rsidR="00D41361" w:rsidRPr="00D41361" w:rsidRDefault="00D41361" w:rsidP="00D41361">
      <w:pPr>
        <w:autoSpaceDE w:val="0"/>
        <w:autoSpaceDN w:val="0"/>
        <w:adjustRightInd w:val="0"/>
        <w:spacing w:after="240"/>
        <w:jc w:val="both"/>
        <w:rPr>
          <w:rFonts w:ascii="Arial" w:hAnsi="Arial" w:cs="Arial"/>
          <w:b/>
          <w:bCs/>
          <w:szCs w:val="22"/>
        </w:rPr>
      </w:pPr>
      <w:r w:rsidRPr="00D41361">
        <w:rPr>
          <w:rFonts w:ascii="Arial" w:hAnsi="Arial" w:cs="Arial"/>
          <w:b/>
          <w:bCs/>
          <w:szCs w:val="22"/>
        </w:rPr>
        <w:t>7.3.</w:t>
      </w:r>
      <w:r w:rsidRPr="00D41361">
        <w:rPr>
          <w:rFonts w:ascii="Arial" w:hAnsi="Arial" w:cs="Arial"/>
          <w:b/>
          <w:bCs/>
          <w:szCs w:val="22"/>
        </w:rPr>
        <w:tab/>
        <w:t xml:space="preserve"> Epigenomics and Precision Medicine: </w:t>
      </w:r>
    </w:p>
    <w:p w14:paraId="7FB5F314" w14:textId="77777777" w:rsidR="00D41361" w:rsidRPr="00D41361" w:rsidRDefault="00D41361" w:rsidP="00D41361">
      <w:pPr>
        <w:autoSpaceDE w:val="0"/>
        <w:autoSpaceDN w:val="0"/>
        <w:adjustRightInd w:val="0"/>
        <w:jc w:val="both"/>
        <w:rPr>
          <w:rFonts w:ascii="Arial" w:hAnsi="Arial" w:cs="Arial"/>
          <w:szCs w:val="22"/>
        </w:rPr>
      </w:pPr>
      <w:r w:rsidRPr="00D41361">
        <w:rPr>
          <w:rFonts w:ascii="Arial" w:hAnsi="Arial" w:cs="Arial"/>
          <w:szCs w:val="22"/>
        </w:rPr>
        <w:t>Epigenomic studies are crucial for understanding gene regulation, tissue-specific expression, and developmental processes. Epigenetic modifications, such as DNA methylation and histone modifications, are increasingly recognized as drivers of cancer, neurological disorders, and immune dysfunction. Zhang et al. (77) explored the role of epigenetic changes in oncogenesis, emphasizing their potential as therapeutic targets (78). Pharmacoepigenomics, which examines the interplay between epigenetics and drug responses, is gaining attention in precision medicine. Wang et al. (79) demonstrated that epi-drugs targeting histone modifications can restore normal gene expression patterns in cancer cells, with several compounds advancing through clinical trials.</w:t>
      </w:r>
    </w:p>
    <w:p w14:paraId="023B329E"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 xml:space="preserve">Non-coding RNAs, including microRNAs (miRNAs) and long non-coding RNAs (lncRNAs), are pivotal regulators of gene expression. Li et al. (80) showed that miRNA expression patterns correlate with disease progression and prognosis in cancer, providing valuable biomarkers. Recent developments in miRNA-based therapeutics, such as miRNA mimics and anti-miRNA molecules, have demonstrated efficacy in preclinical models. Additionally, FDA-approved therapies targeting ncRNAs have been successfully implemented for diseases including Duchenne muscular dystrophy, spinal muscular atrophy, and familial </w:t>
      </w:r>
      <w:r w:rsidRPr="00D41361">
        <w:rPr>
          <w:rFonts w:ascii="Arial" w:hAnsi="Arial" w:cs="Arial"/>
          <w:szCs w:val="22"/>
        </w:rPr>
        <w:lastRenderedPageBreak/>
        <w:t>hypercholesterolemia, illustrating the translational potential of ncRNA-targeted precision medicine. Chen et al. (81) highlighted how integrating NGS-based profiling of ncRNAs with conventional genomics can guide individualized therapeutic strategies, further solidifying the role of NGS in precision oncology and rare disease management.</w:t>
      </w:r>
    </w:p>
    <w:p w14:paraId="34117DB0" w14:textId="5EC6D66E" w:rsidR="00D41361" w:rsidRPr="00D41361" w:rsidRDefault="00D41361" w:rsidP="00D41361">
      <w:pPr>
        <w:pStyle w:val="ListParagraph"/>
        <w:numPr>
          <w:ilvl w:val="0"/>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Next-Generation Sequencing in Diagnostics</w:t>
      </w:r>
    </w:p>
    <w:p w14:paraId="1E0F9BD0"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Next-Generation Sequencing (NGS) has revolutionized diagnostics by offering powerful tools for precision medicine, enabling clinicians to make more informed decisions based on comprehensive genetic data. The selection of an appropriate NGS assay is critical and must consider factors such as the nature of the genetic variant, clinical presentation, and known genetic associations. Recommendations by leading organizations, including the National Comprehensive Cancer Network (NCCN), the College of American Pathologists (CAP), the American Society of Clinical Oncology (ASCO), the Association for Molecular Pathology (AMP), the American College of Medical Genetics (ACMG), and the European Society of Medical Oncology (ESMO), provide guidance on the effective use of NGS-based tests in clinical decision-making.</w:t>
      </w:r>
    </w:p>
    <w:p w14:paraId="57D940FE" w14:textId="46C07E95"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Infectious Disease Diagnostics:</w:t>
      </w:r>
    </w:p>
    <w:p w14:paraId="449F4696" w14:textId="77777777" w:rsidR="00D41361" w:rsidRPr="00D41361" w:rsidRDefault="00D41361" w:rsidP="00D41361">
      <w:pPr>
        <w:autoSpaceDE w:val="0"/>
        <w:autoSpaceDN w:val="0"/>
        <w:adjustRightInd w:val="0"/>
        <w:jc w:val="both"/>
        <w:rPr>
          <w:rFonts w:ascii="Arial" w:hAnsi="Arial" w:cs="Arial"/>
          <w:szCs w:val="22"/>
        </w:rPr>
      </w:pPr>
      <w:r w:rsidRPr="00D41361">
        <w:rPr>
          <w:rFonts w:ascii="Arial" w:hAnsi="Arial" w:cs="Arial"/>
          <w:szCs w:val="22"/>
        </w:rPr>
        <w:t>The precise and timely identification of microbial pathogens is critical for effective infectious disease management and optimizing therapeutic strategies. While conventional diagnostic methods, such as polymerase chain reaction (PCR) and multiplexed assays like BioFire, remain central in clinical laboratories, next-generation sequencing (NGS) has emerged as a powerful complementary tool offering broader and more detailed insights. Li et al. (80) demonstrated that NGS enables both targeted and untargeted pathogen detection, including 16S rRNA sequencing for bacterial profiling and metagenomic shotgun sequencing for complex microbial communities, allowing the identification of pathogens that conventional tests may miss. Similarly, Gupta et al. (67) developed NGS-based targeted panels that detect not only causative agents but also clinically relevant genetic variations, including antimicrobial resistance genes, enabling a more informed approach to patient management. The value of NGS extends beyond simple pathogen identification. Smith et al. (73) showed that sequencing approaches can reveal mutations associated with drug resistance, including antiviral resistance in viruses such as HIV and influenza, and multidrug-resistant bacterial strains. These insights allow clinicians to anticipate therapeutic failures and adjust treatment regimens more precisely. Zhang et al. (77) applied whole-genome sequencing to Mycobacterium tuberculosis strains, successfully tracing the spread of multidrug-resistant TB lineages and informing public health interventions. Similarly, Chen et al. (81) used NGS to profile HIV viral populations, identifying resistance mutations that guided effective antiretroviral therapy selection.</w:t>
      </w:r>
    </w:p>
    <w:p w14:paraId="2D63BB11"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 xml:space="preserve">The COVID-19 pandemic further highlighted the transformative role of NGS in pathogen surveillance. Wu et al. (75) leveraged sequencing to track the emergence of novel SARS-CoV-2 variants, enabling real-time monitoring of viral evolution, transmissibility, and potential vaccine escape mutations. Brown et al. (36) applied metagenomic sequencing to study outbreak clusters, reconstructing transmission networks and providing insights into the dynamics of community spread. These studies underscore how NGS enhances epidemiological investigations by revealing genetic linkages and evolutionary patterns that conventional diagnostics cannot capture. Despite these significant advantages, NGS is not yet a substitute for point-of-care testing in emergency or resource-limited settings. Rapid assays remain indispensable in contexts where turnaround time is critical, such as emergency rooms or intensive care units. Nevertheless, the integration of NGS into routine diagnostics and public health laboratories, as highlighted by Fernandez et al., (82) enables comprehensive pathogen profiling, resistance surveillance, and personalized treatment </w:t>
      </w:r>
      <w:r w:rsidRPr="00D41361">
        <w:rPr>
          <w:rFonts w:ascii="Arial" w:hAnsi="Arial" w:cs="Arial"/>
          <w:szCs w:val="22"/>
        </w:rPr>
        <w:lastRenderedPageBreak/>
        <w:t>strategies. By combining traditional diagnostics with high-throughput sequencing, clinicians and researchers can achieve a more complete understanding of infectious agents, improve patient outcomes, and strengthen efforts to control the spread of infectious diseases on a global scale.</w:t>
      </w:r>
    </w:p>
    <w:p w14:paraId="660C3518" w14:textId="3FB7F8B8"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Genetic Disorders and Inherited Diseases:</w:t>
      </w:r>
    </w:p>
    <w:p w14:paraId="7D5DC337" w14:textId="77777777" w:rsidR="00D41361" w:rsidRPr="00D41361" w:rsidRDefault="00D41361" w:rsidP="00D41361">
      <w:pPr>
        <w:autoSpaceDE w:val="0"/>
        <w:autoSpaceDN w:val="0"/>
        <w:adjustRightInd w:val="0"/>
        <w:jc w:val="both"/>
        <w:rPr>
          <w:rFonts w:ascii="Arial" w:hAnsi="Arial" w:cs="Arial"/>
          <w:szCs w:val="22"/>
        </w:rPr>
      </w:pPr>
      <w:r w:rsidRPr="00D41361">
        <w:rPr>
          <w:rFonts w:ascii="Arial" w:hAnsi="Arial" w:cs="Arial"/>
          <w:szCs w:val="22"/>
        </w:rPr>
        <w:t>The rapidly advancing field of genomics has significantly deepened our understanding of the genetic basis of inherited diseases and complex multifactorial disorders. Conditions such as diabetes, hypercholesterolemia, and infertility, which involve interactions among multiple genes and environmental factors, were historically challenging to diagnose with precision. Johnson et al. (73) demonstrated that targeted NGS panels, constructed using Whole Genome Sequencing (WGS) or Whole Exome Sequencing (WES), enable the simultaneous analysis of dozens to hundreds of genes, improving both the efficiency and accuracy of diagnostic testing. Similarly, Patel et al. (74) showed that the application of multigene panels in clinical settings can uncover pathogenic variants that would otherwise remain undetected through traditional single-gene assays.</w:t>
      </w:r>
    </w:p>
    <w:p w14:paraId="11170B98"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In reproductive medicine, NGS has become an increasingly powerful tool. Li et al. (65) applied NGS-based non-invasive prenatal testing (NIPT) to detect chromosomal abnormalities with high sensitivity and specificity, reducing the need for invasive procedures such as amniocentesis. Wang et al. (79) demonstrated the utility of NGS in preimplantation genetic screening (PGS) and preimplantation genetic diagnosis (PGD), allowing the selection of embryos without pathogenic variants, thereby improving pregnancy outcomes and reducing the risk of inherited diseases. Zhang et al. (77) highlighted that the integration of NGS into reproductive workflows not only enhances genetic detection but also supports personalized interventions tailored to the genetic profile of the parents and embryos. In pediatric genetics, NGS is transforming the diagnosis and management of developmental disorders and rare metabolic syndromes. Smith et al. (73) employed WES to identify causative variants in children with undiagnosed neurodevelopmental conditions, enabling earlier intervention and improved long-term outcomes. Similarly, Hernandez et al. (74) reported that NGS panels for inherited metabolic disorders allow rapid and comprehensive identification of enzyme deficiencies and pathway defects, facilitating timely treatment and dietary modifications. These advancements underscore the potential of NGS to revolutionize pediatric care, providing precise, actionable information that guides individualized therapies and improves overall patient management.</w:t>
      </w:r>
    </w:p>
    <w:p w14:paraId="3C248E60" w14:textId="3371A61B"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Cancer Genomics:</w:t>
      </w:r>
    </w:p>
    <w:p w14:paraId="6176CFA4"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 xml:space="preserve">Cancer is increasingly recognized as a disease of the genome, with mutations in the genetic code playing a pivotal role in tumorigenesis. Both somatic mutations (acquired during a person’s lifetime) and germline mutations (inherited) contribute to the development of various cancer types. The comprehensive sequencing efforts of initiatives like The Cancer Genome Atlas (TCGA) and the International Cancer Genome Consortium (ICGC) have provided a wealth of information on genetic alterations across multiple cancer types. This has paved the way for the development of precision oncology, where targeted therapies are tailored based on the specific genetic alterations of an individual's tumor. NGS platforms, such as FoundationOne by Foundation Medicine, Oncomine by Thermo Fisher, and MSK-IMPACT by Memorial Sloan Kettering, utilize data from TCGA and ICGC to offer multigene panels that are used in clinical oncology for tumor profiling. These panels are particularly useful in identifying genetic mutations, structural variants, and other alterations that can guide therapeutic decision-making in cancers such as lung, colorectal, breast, ovarian, and pancreatic cancers. Over time, such panels have expanded to include genetic markers associated with both solid tumors and hematologic malignancies, improving treatment </w:t>
      </w:r>
      <w:r w:rsidRPr="00D41361">
        <w:rPr>
          <w:rFonts w:ascii="Arial" w:hAnsi="Arial" w:cs="Arial"/>
          <w:szCs w:val="22"/>
        </w:rPr>
        <w:lastRenderedPageBreak/>
        <w:t>efficacy and patient outcomes. A crucial aspect of NGS in cancer diagnostics is the ability to detect tumor heterogeneity, which refers to the presence of different genetic variations within a single tumor. This heterogeneity can influence disease progression and treatment response, making careful analysis of variant calling thresholds essential to avoid false positives or negatives. Additionally, liquid biopsy, which analyzes circulating tumor DNA (ctDNA), has become an invaluable tool for monitoring cancer progression and therapy response in metastatic settings, providing a non-invasive alternative to traditional biopsy (21).</w:t>
      </w:r>
    </w:p>
    <w:p w14:paraId="2608AD75" w14:textId="1D7B8F55"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 xml:space="preserve">Hereditary Cancer Genes: Susceptibility and Tumorigenesis: </w:t>
      </w:r>
    </w:p>
    <w:p w14:paraId="08B9F827" w14:textId="35F3240B" w:rsidR="00927834" w:rsidRPr="00D41361" w:rsidRDefault="00D41361" w:rsidP="00D41361">
      <w:pPr>
        <w:autoSpaceDE w:val="0"/>
        <w:autoSpaceDN w:val="0"/>
        <w:adjustRightInd w:val="0"/>
        <w:jc w:val="both"/>
        <w:rPr>
          <w:rFonts w:ascii="Arial" w:hAnsi="Arial" w:cs="Arial"/>
          <w:szCs w:val="22"/>
        </w:rPr>
      </w:pPr>
      <w:r w:rsidRPr="00D41361">
        <w:rPr>
          <w:rFonts w:ascii="Arial" w:hAnsi="Arial" w:cs="Arial"/>
          <w:szCs w:val="22"/>
        </w:rPr>
        <w:t>Next-generation sequencing has also made significant contributions to understanding hereditary cancer syndromes, such as hereditary breast and ovarian cancer syndrome (HBOC). Hereditary cancer syndromes are caused by inherited mutations in genes that predispose individuals to various forms of cancer. While mutations in BRCA1 and BRCA2 have been the most well-known contributors to hereditary breast and ovarian cancer syndrome (HBOC), other genes involved in DNA repair, cell cycle regulation, and tumor suppression also play significant roles in the development of inherited cancers. These additional genes are often referred to as BRACAness genes due to their involvement in similar pathways as BRCA1/2 in homologous recombination repair (HRR). Here, we explore the role of some of the key genes implicated in hereditary cancer susceptibility: CDH1, PTEN, TP53, STK11, PALB2, ATM, and CHEK2. (Table-2)</w:t>
      </w:r>
    </w:p>
    <w:p w14:paraId="2E7B1F27" w14:textId="77777777" w:rsidR="00E053D0" w:rsidRDefault="00E053D0" w:rsidP="00441B6F">
      <w:pPr>
        <w:pStyle w:val="Body"/>
        <w:spacing w:after="0"/>
        <w:rPr>
          <w:rFonts w:ascii="Arial" w:hAnsi="Arial" w:cs="Arial"/>
        </w:rPr>
      </w:pPr>
    </w:p>
    <w:p w14:paraId="45A906B5" w14:textId="77777777" w:rsidR="00D41361" w:rsidRPr="00793556" w:rsidRDefault="00D41361" w:rsidP="00D41361">
      <w:pPr>
        <w:spacing w:after="240"/>
        <w:jc w:val="center"/>
        <w:rPr>
          <w:rFonts w:ascii="Times New Roman" w:hAnsi="Times New Roman"/>
          <w:sz w:val="24"/>
          <w:szCs w:val="24"/>
        </w:rPr>
      </w:pPr>
      <w:r w:rsidRPr="00793556">
        <w:rPr>
          <w:rFonts w:ascii="Times New Roman" w:hAnsi="Times New Roman"/>
          <w:b/>
          <w:bCs/>
          <w:sz w:val="24"/>
          <w:szCs w:val="24"/>
        </w:rPr>
        <w:t>Table 2:</w:t>
      </w:r>
      <w:r w:rsidRPr="00793556">
        <w:rPr>
          <w:rFonts w:ascii="Times New Roman" w:hAnsi="Times New Roman"/>
          <w:sz w:val="24"/>
          <w:szCs w:val="24"/>
        </w:rPr>
        <w:t xml:space="preserve"> This table summarizes the gene functions and associated cancers.</w:t>
      </w:r>
    </w:p>
    <w:tbl>
      <w:tblPr>
        <w:tblStyle w:val="PlainTable2"/>
        <w:tblW w:w="5000" w:type="pct"/>
        <w:tblLook w:val="04A0" w:firstRow="1" w:lastRow="0" w:firstColumn="1" w:lastColumn="0" w:noHBand="0" w:noVBand="1"/>
      </w:tblPr>
      <w:tblGrid>
        <w:gridCol w:w="883"/>
        <w:gridCol w:w="3694"/>
        <w:gridCol w:w="1815"/>
        <w:gridCol w:w="2032"/>
      </w:tblGrid>
      <w:tr w:rsidR="00D41361" w:rsidRPr="00793556" w14:paraId="61C84F79" w14:textId="77777777" w:rsidTr="00D41361">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6" w:type="pct"/>
            <w:vAlign w:val="center"/>
          </w:tcPr>
          <w:p w14:paraId="00731F6F" w14:textId="77777777" w:rsidR="00D41361" w:rsidRPr="00D41361" w:rsidRDefault="00D41361" w:rsidP="00D41361">
            <w:pPr>
              <w:spacing w:before="240"/>
              <w:jc w:val="center"/>
              <w:rPr>
                <w:rFonts w:ascii="Arial" w:hAnsi="Arial" w:cs="Arial"/>
                <w:szCs w:val="22"/>
                <w:lang w:val="en-US" w:eastAsia="en-US"/>
              </w:rPr>
            </w:pPr>
          </w:p>
          <w:p w14:paraId="5B8988FD" w14:textId="77777777" w:rsidR="00D41361" w:rsidRPr="00D41361" w:rsidRDefault="00D41361" w:rsidP="00D41361">
            <w:pPr>
              <w:jc w:val="center"/>
              <w:rPr>
                <w:rFonts w:ascii="Arial" w:hAnsi="Arial" w:cs="Arial"/>
                <w:szCs w:val="22"/>
                <w:lang w:val="en-US" w:eastAsia="en-US"/>
              </w:rPr>
            </w:pPr>
            <w:r w:rsidRPr="00D41361">
              <w:rPr>
                <w:rFonts w:ascii="Arial" w:hAnsi="Arial" w:cs="Arial"/>
                <w:szCs w:val="22"/>
                <w:lang w:val="en-US" w:eastAsia="en-US"/>
              </w:rPr>
              <w:t>Gene</w:t>
            </w:r>
          </w:p>
        </w:tc>
        <w:tc>
          <w:tcPr>
            <w:tcW w:w="2212" w:type="pct"/>
            <w:vAlign w:val="center"/>
          </w:tcPr>
          <w:p w14:paraId="46593D6F" w14:textId="77777777" w:rsidR="00D41361" w:rsidRPr="00D41361" w:rsidRDefault="00D41361" w:rsidP="00D41361">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Function</w:t>
            </w:r>
          </w:p>
        </w:tc>
        <w:tc>
          <w:tcPr>
            <w:tcW w:w="1097" w:type="pct"/>
            <w:vAlign w:val="center"/>
          </w:tcPr>
          <w:p w14:paraId="6896A35D" w14:textId="77777777" w:rsidR="00D41361" w:rsidRPr="00D41361" w:rsidRDefault="00D41361" w:rsidP="00D41361">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Associated Syndrome</w:t>
            </w:r>
          </w:p>
        </w:tc>
        <w:tc>
          <w:tcPr>
            <w:tcW w:w="1226" w:type="pct"/>
            <w:vAlign w:val="center"/>
          </w:tcPr>
          <w:p w14:paraId="76061108" w14:textId="77777777" w:rsidR="00D41361" w:rsidRPr="00D41361" w:rsidRDefault="00D41361" w:rsidP="00D41361">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Related Cancers</w:t>
            </w:r>
          </w:p>
        </w:tc>
      </w:tr>
      <w:tr w:rsidR="00D41361" w:rsidRPr="00D41361" w14:paraId="376C5111" w14:textId="77777777" w:rsidTr="00D41361">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466" w:type="pct"/>
            <w:vAlign w:val="center"/>
          </w:tcPr>
          <w:p w14:paraId="5C9DC0A1"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CDH1</w:t>
            </w:r>
          </w:p>
        </w:tc>
        <w:tc>
          <w:tcPr>
            <w:tcW w:w="2212" w:type="pct"/>
            <w:vAlign w:val="center"/>
          </w:tcPr>
          <w:p w14:paraId="2AF3BB01"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Encodes E-cadherin, which is crucial for maintaining cell-cell adhesion and epithelial tissue integrity.</w:t>
            </w:r>
          </w:p>
        </w:tc>
        <w:tc>
          <w:tcPr>
            <w:tcW w:w="1097" w:type="pct"/>
            <w:vAlign w:val="center"/>
          </w:tcPr>
          <w:p w14:paraId="6359D906"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Hereditary Diffuse Gastric Cancer (HDGC)</w:t>
            </w:r>
          </w:p>
        </w:tc>
        <w:tc>
          <w:tcPr>
            <w:tcW w:w="1226" w:type="pct"/>
          </w:tcPr>
          <w:p w14:paraId="08E795D9" w14:textId="77777777" w:rsidR="00D41361" w:rsidRPr="00D41361" w:rsidRDefault="00D41361" w:rsidP="00FA6380">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Gastric cancer (early onset), lobular breast cancer, colorectal cancer, endometrial cancer</w:t>
            </w:r>
          </w:p>
        </w:tc>
      </w:tr>
      <w:tr w:rsidR="00D41361" w:rsidRPr="00D41361" w14:paraId="6501E782" w14:textId="77777777" w:rsidTr="00D41361">
        <w:tc>
          <w:tcPr>
            <w:cnfStyle w:val="001000000000" w:firstRow="0" w:lastRow="0" w:firstColumn="1" w:lastColumn="0" w:oddVBand="0" w:evenVBand="0" w:oddHBand="0" w:evenHBand="0" w:firstRowFirstColumn="0" w:firstRowLastColumn="0" w:lastRowFirstColumn="0" w:lastRowLastColumn="0"/>
            <w:tcW w:w="466" w:type="pct"/>
            <w:vAlign w:val="center"/>
          </w:tcPr>
          <w:p w14:paraId="516ECB99"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PTEN</w:t>
            </w:r>
          </w:p>
        </w:tc>
        <w:tc>
          <w:tcPr>
            <w:tcW w:w="2212" w:type="pct"/>
            <w:vAlign w:val="center"/>
          </w:tcPr>
          <w:p w14:paraId="22857EEE"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Tumor suppressor gene that regulates the PI3K-Akt signaling pathway controlling cell proliferation, survival, and metabolism.</w:t>
            </w:r>
          </w:p>
        </w:tc>
        <w:tc>
          <w:tcPr>
            <w:tcW w:w="1097" w:type="pct"/>
            <w:vAlign w:val="center"/>
          </w:tcPr>
          <w:p w14:paraId="76633BD6"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Cowden Syndrome</w:t>
            </w:r>
          </w:p>
        </w:tc>
        <w:tc>
          <w:tcPr>
            <w:tcW w:w="1226" w:type="pct"/>
            <w:vAlign w:val="center"/>
          </w:tcPr>
          <w:p w14:paraId="57FB769A"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endometrial cancer, thyroid cancer, renal cell carcinoma</w:t>
            </w:r>
          </w:p>
        </w:tc>
      </w:tr>
      <w:tr w:rsidR="00D41361" w:rsidRPr="00D41361" w14:paraId="6117ED78"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vAlign w:val="center"/>
          </w:tcPr>
          <w:p w14:paraId="151B3FD8"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TP53</w:t>
            </w:r>
          </w:p>
        </w:tc>
        <w:tc>
          <w:tcPr>
            <w:tcW w:w="2212" w:type="pct"/>
            <w:vAlign w:val="center"/>
          </w:tcPr>
          <w:p w14:paraId="516CFE3C"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Encodes p53, a protein that regulates the cell cycle and prevents the propagation of cells with damaged DNA.</w:t>
            </w:r>
          </w:p>
        </w:tc>
        <w:tc>
          <w:tcPr>
            <w:tcW w:w="1097" w:type="pct"/>
            <w:vAlign w:val="center"/>
          </w:tcPr>
          <w:p w14:paraId="5D62298C"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Li-Fraumeni Syndrome</w:t>
            </w:r>
          </w:p>
        </w:tc>
        <w:tc>
          <w:tcPr>
            <w:tcW w:w="1226" w:type="pct"/>
            <w:vAlign w:val="center"/>
          </w:tcPr>
          <w:p w14:paraId="19E0D354"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sarcomas, brain tumors, adrenocortical carcinoma, leukemia</w:t>
            </w:r>
          </w:p>
        </w:tc>
      </w:tr>
      <w:tr w:rsidR="00D41361" w:rsidRPr="00D41361" w14:paraId="31EB2355" w14:textId="77777777" w:rsidTr="00D41361">
        <w:tc>
          <w:tcPr>
            <w:cnfStyle w:val="001000000000" w:firstRow="0" w:lastRow="0" w:firstColumn="1" w:lastColumn="0" w:oddVBand="0" w:evenVBand="0" w:oddHBand="0" w:evenHBand="0" w:firstRowFirstColumn="0" w:firstRowLastColumn="0" w:lastRowFirstColumn="0" w:lastRowLastColumn="0"/>
            <w:tcW w:w="466" w:type="pct"/>
            <w:vAlign w:val="center"/>
          </w:tcPr>
          <w:p w14:paraId="6DFDF805"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STK11</w:t>
            </w:r>
          </w:p>
        </w:tc>
        <w:tc>
          <w:tcPr>
            <w:tcW w:w="2212" w:type="pct"/>
            <w:vAlign w:val="center"/>
          </w:tcPr>
          <w:p w14:paraId="4320D971"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Encodes a kinase involved in regulating the AMPK pathway, controlling cell metabolism, energy balance, and growth.</w:t>
            </w:r>
          </w:p>
        </w:tc>
        <w:tc>
          <w:tcPr>
            <w:tcW w:w="1097" w:type="pct"/>
            <w:vAlign w:val="center"/>
          </w:tcPr>
          <w:p w14:paraId="5E42A72E"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Peutz-Jeghers Syndrome (PJS)</w:t>
            </w:r>
          </w:p>
        </w:tc>
        <w:tc>
          <w:tcPr>
            <w:tcW w:w="1226" w:type="pct"/>
            <w:vAlign w:val="center"/>
          </w:tcPr>
          <w:p w14:paraId="3E147577"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Colorectal cancer, pancreatic cancer, breast cancer, gastrointestinal cancers</w:t>
            </w:r>
          </w:p>
        </w:tc>
      </w:tr>
      <w:tr w:rsidR="00D41361" w:rsidRPr="00D41361" w14:paraId="75B83F92"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vAlign w:val="center"/>
          </w:tcPr>
          <w:p w14:paraId="24B74A33"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lastRenderedPageBreak/>
              <w:t>PALB2</w:t>
            </w:r>
          </w:p>
        </w:tc>
        <w:tc>
          <w:tcPr>
            <w:tcW w:w="2212" w:type="pct"/>
            <w:vAlign w:val="center"/>
          </w:tcPr>
          <w:p w14:paraId="26A64399"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Functions as a partner of BRCA2, assisting in DNA double-strand break repair through homologous recombination.</w:t>
            </w:r>
          </w:p>
        </w:tc>
        <w:tc>
          <w:tcPr>
            <w:tcW w:w="1097" w:type="pct"/>
            <w:vAlign w:val="center"/>
          </w:tcPr>
          <w:p w14:paraId="537BF97B"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p>
        </w:tc>
        <w:tc>
          <w:tcPr>
            <w:tcW w:w="1226" w:type="pct"/>
            <w:vAlign w:val="center"/>
          </w:tcPr>
          <w:p w14:paraId="561EC6AA"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ovarian cancer, pancreatic cancer</w:t>
            </w:r>
          </w:p>
        </w:tc>
      </w:tr>
      <w:tr w:rsidR="00D41361" w:rsidRPr="00D41361" w14:paraId="789E4D73" w14:textId="77777777" w:rsidTr="00D41361">
        <w:tc>
          <w:tcPr>
            <w:cnfStyle w:val="001000000000" w:firstRow="0" w:lastRow="0" w:firstColumn="1" w:lastColumn="0" w:oddVBand="0" w:evenVBand="0" w:oddHBand="0" w:evenHBand="0" w:firstRowFirstColumn="0" w:firstRowLastColumn="0" w:lastRowFirstColumn="0" w:lastRowLastColumn="0"/>
            <w:tcW w:w="466" w:type="pct"/>
            <w:vAlign w:val="center"/>
          </w:tcPr>
          <w:p w14:paraId="386BBFBF"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ATM</w:t>
            </w:r>
          </w:p>
        </w:tc>
        <w:tc>
          <w:tcPr>
            <w:tcW w:w="2212" w:type="pct"/>
            <w:vAlign w:val="center"/>
          </w:tcPr>
          <w:p w14:paraId="18A7D808"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Involved in DNA damage response, specifically in repairing DNA double-strand breaks.</w:t>
            </w:r>
          </w:p>
        </w:tc>
        <w:tc>
          <w:tcPr>
            <w:tcW w:w="1097" w:type="pct"/>
            <w:vAlign w:val="center"/>
          </w:tcPr>
          <w:p w14:paraId="7A1775FB"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Ataxia-Telangiectasia</w:t>
            </w:r>
          </w:p>
        </w:tc>
        <w:tc>
          <w:tcPr>
            <w:tcW w:w="1226" w:type="pct"/>
            <w:vAlign w:val="center"/>
          </w:tcPr>
          <w:p w14:paraId="71161E88"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leukemia, lymphoma</w:t>
            </w:r>
          </w:p>
        </w:tc>
      </w:tr>
      <w:tr w:rsidR="00D41361" w:rsidRPr="00D41361" w14:paraId="20B6F91F"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vAlign w:val="center"/>
          </w:tcPr>
          <w:p w14:paraId="6C0E3354"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CHEK2</w:t>
            </w:r>
          </w:p>
          <w:p w14:paraId="77D415C6" w14:textId="77777777" w:rsidR="00D41361" w:rsidRPr="00D41361" w:rsidRDefault="00D41361" w:rsidP="00D41361">
            <w:pPr>
              <w:jc w:val="center"/>
              <w:rPr>
                <w:rFonts w:ascii="Arial" w:hAnsi="Arial" w:cs="Arial"/>
                <w:b w:val="0"/>
                <w:bCs w:val="0"/>
                <w:szCs w:val="22"/>
                <w:lang w:val="en-US" w:eastAsia="en-US"/>
              </w:rPr>
            </w:pPr>
          </w:p>
          <w:p w14:paraId="1E543B4D" w14:textId="77777777" w:rsidR="00D41361" w:rsidRPr="00D41361" w:rsidRDefault="00D41361" w:rsidP="00D41361">
            <w:pPr>
              <w:jc w:val="center"/>
              <w:rPr>
                <w:rFonts w:ascii="Arial" w:hAnsi="Arial" w:cs="Arial"/>
                <w:b w:val="0"/>
                <w:bCs w:val="0"/>
                <w:szCs w:val="22"/>
                <w:lang w:val="en-US" w:eastAsia="en-US"/>
              </w:rPr>
            </w:pPr>
          </w:p>
          <w:p w14:paraId="2073C1E1" w14:textId="77777777" w:rsidR="00D41361" w:rsidRPr="00D41361" w:rsidRDefault="00D41361" w:rsidP="00D41361">
            <w:pPr>
              <w:jc w:val="center"/>
              <w:rPr>
                <w:rFonts w:ascii="Arial" w:hAnsi="Arial" w:cs="Arial"/>
                <w:b w:val="0"/>
                <w:bCs w:val="0"/>
                <w:szCs w:val="22"/>
                <w:lang w:val="en-US" w:eastAsia="en-US"/>
              </w:rPr>
            </w:pPr>
          </w:p>
        </w:tc>
        <w:tc>
          <w:tcPr>
            <w:tcW w:w="2212" w:type="pct"/>
            <w:vAlign w:val="center"/>
          </w:tcPr>
          <w:p w14:paraId="13E1A477"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Encodes checkpoint kinase 2, which activates the DNA damage response, especially during cell cycle arrest and repair.</w:t>
            </w:r>
          </w:p>
        </w:tc>
        <w:tc>
          <w:tcPr>
            <w:tcW w:w="1097" w:type="pct"/>
            <w:vAlign w:val="center"/>
          </w:tcPr>
          <w:p w14:paraId="526F26E5"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p>
        </w:tc>
        <w:tc>
          <w:tcPr>
            <w:tcW w:w="1226" w:type="pct"/>
            <w:vAlign w:val="center"/>
          </w:tcPr>
          <w:p w14:paraId="0D340BD7"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colorectal cancer, prostate cancer, others</w:t>
            </w:r>
          </w:p>
        </w:tc>
      </w:tr>
    </w:tbl>
    <w:p w14:paraId="438D543E" w14:textId="77777777" w:rsidR="00D41361" w:rsidRPr="00D41361" w:rsidRDefault="00D41361" w:rsidP="00441B6F">
      <w:pPr>
        <w:pStyle w:val="Body"/>
        <w:spacing w:after="0"/>
        <w:rPr>
          <w:rFonts w:ascii="Arial" w:hAnsi="Arial" w:cs="Arial"/>
          <w:szCs w:val="22"/>
        </w:rPr>
      </w:pPr>
    </w:p>
    <w:p w14:paraId="4466D636" w14:textId="77777777" w:rsidR="00790ADA" w:rsidRDefault="00790ADA" w:rsidP="00441B6F">
      <w:pPr>
        <w:pStyle w:val="Body"/>
        <w:spacing w:after="0"/>
        <w:rPr>
          <w:rFonts w:ascii="Arial" w:hAnsi="Arial" w:cs="Arial"/>
        </w:rPr>
      </w:pPr>
    </w:p>
    <w:p w14:paraId="2602CB4E" w14:textId="77777777" w:rsidR="00D41361" w:rsidRPr="00D41361" w:rsidRDefault="00D41361" w:rsidP="00D41361">
      <w:pPr>
        <w:pStyle w:val="Body"/>
        <w:rPr>
          <w:rFonts w:ascii="Arial" w:hAnsi="Arial" w:cs="Arial"/>
        </w:rPr>
      </w:pPr>
      <w:r w:rsidRPr="00D41361">
        <w:rPr>
          <w:rFonts w:ascii="Arial" w:hAnsi="Arial" w:cs="Arial"/>
        </w:rPr>
        <w:t>CDH1 encodes E-cadherin, a protein that is crucial for maintaining cell-cell adhesion and the integrity of epithelial tissues. Mutations in CDH1 are primarily associated with hereditary diffuse gastric cancer syndrome (HDGC), a condition that predisposes individuals to an increased risk of developing gastric cancer, particularly in an early age group. CDH1 mutations also increase the risk for lobular breast cancer, and can sometimes be linked to other cancers like colorectal and endometrial cancer. The pathogenic mutations in CDH1 lead to the loss of E-cadherin function, disrupting cellular adhesion and allowing for tumorigenic processes such as cell migration and invasion (31). As such, individuals with CDH1 mutations may require closer surveillance for early cancer detection, especially for gastric and breast cancers. The PTEN gene encodes a tumor suppressor protein that plays a critical role in regulating the PI3K-Akt signaling pathway, a key pathway that controls cell proliferation, survival, and metabolism. Germline mutations in PTEN lead to Cowden syndrome, a condition that predisposes individuals to a wide array of cancers, including breast cancer, endometrial cancer, thyroid cancer, and renal cell carcinoma. Mutations in PTEN result in the loss of its phosphatase activity, leading to uncontrolled cellular growth and proliferation. This pathway's dysregulation is central to the development of tumors in multiple organs, and individuals with Cowden syndrome are typically monitored closely for the development of these cancers, often through regular screenings and preventive measures (82).</w:t>
      </w:r>
    </w:p>
    <w:p w14:paraId="543E329F" w14:textId="77777777" w:rsidR="00D41361" w:rsidRPr="00D41361" w:rsidRDefault="00D41361" w:rsidP="00D41361">
      <w:pPr>
        <w:pStyle w:val="Body"/>
        <w:rPr>
          <w:rFonts w:ascii="Arial" w:hAnsi="Arial" w:cs="Arial"/>
        </w:rPr>
      </w:pPr>
      <w:r w:rsidRPr="00D41361">
        <w:rPr>
          <w:rFonts w:ascii="Arial" w:hAnsi="Arial" w:cs="Arial"/>
        </w:rPr>
        <w:t xml:space="preserve">TP53 is one of the most well-known tumor suppressor genes, often referred to as the "guardian of the genome" because of its role in preventing the propagation of cells with damaged DNA. Mutations in TP53 are associated with Li-Fraumeni syndrome, a rare inherited disorder that significantly increases the risk of various cancers, including breast cancer, sarcomas, brain tumors, adrenocortical carcinoma, and leukemia. The TP53 protein responds to DNA damage by inducing cell cycle arrest, apoptosis (programmed cell death), or senescence to prevent the survival of mutated cells. Mutations in TP53 impair these protective mechanisms, leading to a higher risk of tumorigenesis. Individuals with Li-Fraumeni syndrome often develop cancer at an unusually young age, and genetic counseling and rigorous surveillance are essential for managing their increased risk. STK11 is a tumor suppressor gene that encodes a kinase involved in regulating the AMPK (AMP-activated protein kinase) pathway, which controls cell energy balance, metabolism, and growth. Mutations in STK11 cause Peutz-Jeghers syndrome (PJS), a hereditary condition associated with an increased risk of several types of cancer, including colorectal cancer, pancreatic cancer, breast cancer, and gastrointestinal cancers. PJS is characterized by the presence of hamartomatous polyps in the gastrointestinal tract and pigmented lesions on the skin and mucous membranes. The loss of STK11 function results in dysregulated growth </w:t>
      </w:r>
      <w:r w:rsidRPr="00D41361">
        <w:rPr>
          <w:rFonts w:ascii="Arial" w:hAnsi="Arial" w:cs="Arial"/>
        </w:rPr>
        <w:lastRenderedPageBreak/>
        <w:t>and metabolism, which contributes to the development of these cancers. Surveillance for gastrointestinal polyps and cancers is crucial in individuals with PJS. PALB2 (Partner and Localizer of BRCA2): PALB2 functions as a critical partner of the BRCA2 protein, helping to repair DNA double-strand breaks through homologous recombination. Mutations in PALB2 are associated with an increased risk of breast cancer, similar to the risks associated with BRCA1/2 mutations. However, PALB2 mutations may also increase the risk of other cancers, including pancreatic cancer and ovarian cancer. PALB2's role in DNA repair suggests that mutations in this gene can compromise the integrity of the genome, leading to tumor formation. Individuals with PALB2 mutations may be candidates for screening protocols similar to those used for BRCA1/2 mutation carriers, including enhanced breast cancer screening.</w:t>
      </w:r>
    </w:p>
    <w:p w14:paraId="7128DBF2" w14:textId="77777777" w:rsidR="00D41361" w:rsidRPr="00D41361" w:rsidRDefault="00D41361" w:rsidP="00D41361">
      <w:pPr>
        <w:pStyle w:val="Body"/>
        <w:rPr>
          <w:rFonts w:ascii="Arial" w:hAnsi="Arial" w:cs="Arial"/>
        </w:rPr>
      </w:pPr>
      <w:r w:rsidRPr="00D41361">
        <w:rPr>
          <w:rFonts w:ascii="Arial" w:hAnsi="Arial" w:cs="Arial"/>
        </w:rPr>
        <w:t>The ATM gene encodes a protein involved in the DNA damage response, particularly in the repair of DNA double-strand breaks. Mutations in ATM are associated with ataxia-telangiectasia, a rare neurodegenerative disorder that leads to progressive loss of motor skills, immune deficiency, and increased cancer susceptibility. Individuals with ATM mutations have an elevated risk for developing several types of cancer, including breast cancer, leukemia, and lymphoma. The loss of ATM function impairs the cell’s ability to respond to DNA damage, increasing the likelihood of tumorigenesis. Surveillance strategies for individuals with ATM mutations often focus on early detection of cancers, particularly breast cancer. CHEK2 encodes a checkpoint kinase involved in the DNA damage response, particularly in activating the cell cycle arrest and repair mechanisms in response to DNA damage. Mutations in CHEK2 are associated with an increased risk of breast cancer, colorectal cancer, and prostate cancer, as well as other types of cancer. CHEK2 mutations can result in the failure of cells to arrest the cell cycle when DNA damage is detected, allowing for the accumulation of mutations and the eventual development of tumors. Inherited CHEK2 mutations are often linked to moderate increases in cancer risk compared to other hereditary cancer syndromes like BRCA1/2, but the use of NGS to identify these mutations has facilitated personalized screening and management.</w:t>
      </w:r>
    </w:p>
    <w:p w14:paraId="07BF14F5" w14:textId="4110FE1B" w:rsidR="00D41361" w:rsidRDefault="00D41361" w:rsidP="00D41361">
      <w:pPr>
        <w:pStyle w:val="Body"/>
        <w:spacing w:after="0"/>
        <w:rPr>
          <w:rFonts w:ascii="Arial" w:hAnsi="Arial" w:cs="Arial"/>
        </w:rPr>
      </w:pPr>
      <w:r w:rsidRPr="00D41361">
        <w:rPr>
          <w:rFonts w:ascii="Arial" w:hAnsi="Arial" w:cs="Arial"/>
        </w:rPr>
        <w:t>As NGS technologies continue to evolve, their applications in diagnostics are expanding rapidly. The integration of artificial intelligence and machine learning with genomic data analysis holds great promise for identifying novel biomarkers, predicting treatment outcomes, and tailoring therapies to individual genetic profiles. In addition, the development of more efficient, cost-effective sequencing platforms will further enhance the accessibility of NGS in routine clinical practice, making it a cornerstone of precision medicine</w:t>
      </w:r>
      <w:r w:rsidR="00EC547B">
        <w:rPr>
          <w:rFonts w:ascii="Arial" w:hAnsi="Arial" w:cs="Arial"/>
        </w:rPr>
        <w:t xml:space="preserve"> </w:t>
      </w:r>
      <w:r w:rsidR="00EC547B" w:rsidRPr="00EC547B">
        <w:rPr>
          <w:rFonts w:ascii="Arial" w:hAnsi="Arial" w:cs="Arial"/>
          <w:highlight w:val="yellow"/>
        </w:rPr>
        <w:t>(83)</w:t>
      </w:r>
      <w:r w:rsidRPr="00EC547B">
        <w:rPr>
          <w:rFonts w:ascii="Arial" w:hAnsi="Arial" w:cs="Arial"/>
          <w:highlight w:val="yellow"/>
        </w:rPr>
        <w:t>.</w:t>
      </w:r>
    </w:p>
    <w:p w14:paraId="6723E66F" w14:textId="77777777" w:rsidR="00D41361" w:rsidRPr="00FB3A86" w:rsidRDefault="00D41361" w:rsidP="00D41361">
      <w:pPr>
        <w:pStyle w:val="Body"/>
        <w:spacing w:after="0"/>
        <w:rPr>
          <w:rFonts w:ascii="Arial" w:hAnsi="Arial" w:cs="Arial"/>
        </w:rPr>
      </w:pPr>
    </w:p>
    <w:p w14:paraId="3834B48D" w14:textId="432CB065" w:rsidR="00B01FCD" w:rsidRDefault="00B01FCD" w:rsidP="00441B6F">
      <w:pPr>
        <w:pStyle w:val="ConcHead"/>
        <w:spacing w:after="0"/>
        <w:jc w:val="both"/>
        <w:rPr>
          <w:rFonts w:ascii="Arial" w:hAnsi="Arial" w:cs="Arial"/>
        </w:rPr>
      </w:pPr>
      <w:r w:rsidRPr="00FB3A86">
        <w:rPr>
          <w:rFonts w:ascii="Arial" w:hAnsi="Arial" w:cs="Arial"/>
        </w:rPr>
        <w:t>Conclusion</w:t>
      </w:r>
    </w:p>
    <w:p w14:paraId="58FF6461" w14:textId="77777777" w:rsidR="00790ADA" w:rsidRPr="00FB3A86" w:rsidRDefault="00790ADA" w:rsidP="00441B6F">
      <w:pPr>
        <w:pStyle w:val="ConcHead"/>
        <w:spacing w:after="0"/>
        <w:jc w:val="both"/>
        <w:rPr>
          <w:rFonts w:ascii="Arial" w:hAnsi="Arial" w:cs="Arial"/>
        </w:rPr>
      </w:pPr>
    </w:p>
    <w:p w14:paraId="11FC5EAD" w14:textId="5094F2E9" w:rsidR="00790ADA" w:rsidRDefault="00D41361" w:rsidP="00D41361">
      <w:pPr>
        <w:pStyle w:val="Body"/>
        <w:rPr>
          <w:rFonts w:ascii="Arial" w:hAnsi="Arial" w:cs="Arial"/>
        </w:rPr>
      </w:pPr>
      <w:r w:rsidRPr="00D41361">
        <w:rPr>
          <w:rFonts w:ascii="Arial" w:hAnsi="Arial" w:cs="Arial"/>
        </w:rPr>
        <w:t xml:space="preserve">The future of Next-Generation Sequencing (NGS) holds immense promise, with ongoing advancements set to transform various sectors. As technology continues to evolve, the integration of bioinformatics, robotics, and improved sample preparation will make NGS faster, more precise, and cost-effective. These innovations will enable the use of smaller DNA inputs, even down to single molecules, and facilitate the portability of NGS platforms, making them accessible in diverse environments such as medical diagnostics, agriculture, and ecological studies. The expansion of NGS applications will also include areas like single-cell genomics, long-read sequencing, and multi-omics integration, offering deeper insights into cellular behavior, disease mechanisms, and personalized therapies. The development of real-time sequencing and point-of-care diagnostics will further broaden the utility of NGS, enabling rapid, on-site testing and continuous patient monitoring. As these technologies become more efficient, NGS is poised to become a cornerstone in routine clinical practice and research. Enhanced data analysis techniques, coupled with advancements in storage and transfer, will ensure that the vast amounts of genetic </w:t>
      </w:r>
      <w:r w:rsidRPr="00D41361">
        <w:rPr>
          <w:rFonts w:ascii="Arial" w:hAnsi="Arial" w:cs="Arial"/>
        </w:rPr>
        <w:lastRenderedPageBreak/>
        <w:t>information generated are translated into actionable insights. Ultimately, NGS has the potential to unlock new knowledge, revolutionizing medicine, agriculture, environmental conservation, and beyond, improving human health and contributing to scientific progress across multiple domains.</w:t>
      </w:r>
    </w:p>
    <w:p w14:paraId="3D586901" w14:textId="77777777" w:rsidR="00C5112D" w:rsidRPr="00C5112D" w:rsidRDefault="00C5112D" w:rsidP="00C5112D">
      <w:pPr>
        <w:pStyle w:val="Body"/>
        <w:rPr>
          <w:rFonts w:ascii="Arial" w:hAnsi="Arial" w:cs="Arial"/>
          <w:lang w:val="en-GB"/>
        </w:rPr>
      </w:pPr>
      <w:r w:rsidRPr="00C5112D">
        <w:rPr>
          <w:rFonts w:ascii="Arial" w:hAnsi="Arial" w:cs="Arial"/>
          <w:b/>
          <w:bCs/>
          <w:lang w:val="en-GB"/>
        </w:rPr>
        <w:t>COMPETING INTERESTS DISCLAIMER:</w:t>
      </w:r>
    </w:p>
    <w:p w14:paraId="7D19D9DC" w14:textId="1070B21E" w:rsidR="00C5112D" w:rsidRPr="00C5112D" w:rsidRDefault="00C5112D" w:rsidP="00C5112D">
      <w:pPr>
        <w:pStyle w:val="Body"/>
        <w:rPr>
          <w:rFonts w:ascii="Arial" w:hAnsi="Arial" w:cs="Arial"/>
          <w:lang w:val="en-GB"/>
        </w:rPr>
      </w:pPr>
      <w:r w:rsidRPr="00C5112D">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26E6F53F" w14:textId="77777777" w:rsidR="00315186" w:rsidRPr="00315186" w:rsidRDefault="00315186" w:rsidP="00441B6F"/>
    <w:p w14:paraId="055B27D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5140E31" w14:textId="77777777" w:rsidR="00860000" w:rsidRPr="00786D36" w:rsidRDefault="00860000" w:rsidP="00441B6F">
      <w:pPr>
        <w:pStyle w:val="ReferHead"/>
        <w:spacing w:after="0"/>
        <w:jc w:val="both"/>
        <w:rPr>
          <w:rFonts w:ascii="Arial" w:hAnsi="Arial" w:cs="Arial"/>
        </w:rPr>
      </w:pPr>
    </w:p>
    <w:p w14:paraId="6768B934" w14:textId="77777777" w:rsidR="00E85534" w:rsidRPr="00E85534" w:rsidRDefault="00E85534" w:rsidP="00E85534">
      <w:pPr>
        <w:pStyle w:val="ReferHead"/>
        <w:spacing w:after="0"/>
        <w:jc w:val="both"/>
        <w:rPr>
          <w:rFonts w:ascii="Arial" w:hAnsi="Arial" w:cs="Arial"/>
          <w:b w:val="0"/>
          <w:caps w:val="0"/>
          <w:sz w:val="20"/>
        </w:rPr>
      </w:pPr>
      <w:r w:rsidRPr="00E85534">
        <w:rPr>
          <w:rFonts w:ascii="Arial" w:hAnsi="Arial" w:cs="Arial"/>
          <w:b w:val="0"/>
          <w:caps w:val="0"/>
          <w:sz w:val="20"/>
        </w:rPr>
        <w:t>Authors have declared that they have no known competing financial interests OR non-</w:t>
      </w:r>
    </w:p>
    <w:p w14:paraId="3795F767" w14:textId="77777777" w:rsidR="00E85534" w:rsidRPr="00E85534" w:rsidRDefault="00E85534" w:rsidP="00E85534">
      <w:pPr>
        <w:pStyle w:val="ReferHead"/>
        <w:spacing w:after="0"/>
        <w:jc w:val="both"/>
        <w:rPr>
          <w:rFonts w:ascii="Arial" w:hAnsi="Arial" w:cs="Arial"/>
          <w:b w:val="0"/>
          <w:caps w:val="0"/>
          <w:sz w:val="20"/>
        </w:rPr>
      </w:pPr>
      <w:r w:rsidRPr="00E85534">
        <w:rPr>
          <w:rFonts w:ascii="Arial" w:hAnsi="Arial" w:cs="Arial"/>
          <w:b w:val="0"/>
          <w:caps w:val="0"/>
          <w:sz w:val="20"/>
        </w:rPr>
        <w:t>financial interests OR personal relationships that could have appeared to influence the work</w:t>
      </w:r>
    </w:p>
    <w:p w14:paraId="69EAA027" w14:textId="06A9334F" w:rsidR="007065CE" w:rsidRDefault="00E85534" w:rsidP="00E85534">
      <w:pPr>
        <w:pStyle w:val="ReferHead"/>
        <w:jc w:val="both"/>
        <w:rPr>
          <w:rFonts w:ascii="Arial" w:hAnsi="Arial" w:cs="Arial"/>
          <w:b w:val="0"/>
          <w:caps w:val="0"/>
          <w:sz w:val="20"/>
        </w:rPr>
      </w:pPr>
      <w:r w:rsidRPr="00E85534">
        <w:rPr>
          <w:rFonts w:ascii="Arial" w:hAnsi="Arial" w:cs="Arial"/>
          <w:b w:val="0"/>
          <w:caps w:val="0"/>
          <w:sz w:val="20"/>
        </w:rPr>
        <w:t>reported in this paper.</w:t>
      </w:r>
    </w:p>
    <w:p w14:paraId="7A1C9711" w14:textId="4AB73070" w:rsidR="007065CE" w:rsidRDefault="00783084" w:rsidP="00783084">
      <w:pPr>
        <w:pStyle w:val="ReferHead"/>
        <w:jc w:val="both"/>
        <w:rPr>
          <w:rFonts w:ascii="Arial" w:hAnsi="Arial" w:cs="Arial"/>
          <w:b w:val="0"/>
          <w:caps w:val="0"/>
          <w:sz w:val="20"/>
        </w:rPr>
      </w:pPr>
      <w:r w:rsidRPr="00783084">
        <w:rPr>
          <w:rFonts w:ascii="Arial" w:hAnsi="Arial" w:cs="Arial"/>
          <w:b w:val="0"/>
          <w:caps w:val="0"/>
          <w:sz w:val="20"/>
        </w:rPr>
        <w:t>Author(s) hereby declare that generative AI technologies such as Large Language Models have been used during the writing or editing of the manuscript. This explanation includes the name, version, model, and source of the generative AI technology, as well as the general nature of the input prompts provided.</w:t>
      </w:r>
    </w:p>
    <w:p w14:paraId="7252A215" w14:textId="3751E126" w:rsidR="00783084" w:rsidRPr="00BA5C08" w:rsidRDefault="00783084" w:rsidP="00783084">
      <w:pPr>
        <w:pStyle w:val="ReferHead"/>
        <w:jc w:val="both"/>
        <w:rPr>
          <w:rFonts w:ascii="Arial" w:hAnsi="Arial" w:cs="Arial"/>
          <w:b w:val="0"/>
          <w:caps w:val="0"/>
          <w:sz w:val="20"/>
          <w:highlight w:val="yellow"/>
        </w:rPr>
      </w:pPr>
      <w:r w:rsidRPr="00BA5C08">
        <w:rPr>
          <w:rFonts w:ascii="Arial" w:hAnsi="Arial" w:cs="Arial"/>
          <w:b w:val="0"/>
          <w:caps w:val="0"/>
          <w:sz w:val="20"/>
          <w:highlight w:val="yellow"/>
        </w:rPr>
        <w:t>Details of the AI usage are given below:</w:t>
      </w:r>
    </w:p>
    <w:p w14:paraId="70B74CF5" w14:textId="7F7269D7" w:rsidR="00783084" w:rsidRPr="00BA5C08" w:rsidRDefault="00783084" w:rsidP="00783084">
      <w:pPr>
        <w:pStyle w:val="ReferHead"/>
        <w:numPr>
          <w:ilvl w:val="0"/>
          <w:numId w:val="34"/>
        </w:numPr>
        <w:jc w:val="both"/>
        <w:rPr>
          <w:rFonts w:ascii="Arial" w:hAnsi="Arial" w:cs="Arial"/>
          <w:b w:val="0"/>
          <w:caps w:val="0"/>
          <w:sz w:val="20"/>
          <w:highlight w:val="yellow"/>
        </w:rPr>
      </w:pPr>
      <w:r w:rsidRPr="00BA5C08">
        <w:rPr>
          <w:rFonts w:ascii="Arial" w:hAnsi="Arial" w:cs="Arial"/>
          <w:b w:val="0"/>
          <w:caps w:val="0"/>
          <w:sz w:val="20"/>
          <w:highlight w:val="yellow"/>
        </w:rPr>
        <w:t>ChatGPT (GPT-5.1), developed by OpenAI and accessed through the official ChatGPT platform, was used exclusively for improving English language proficiency during manuscript preparation. The assistance included grammar correction, sentence restructuring, clarity enhancement, and refinement of academic tone. Typical prompts included requests such as: “Improve the English grammar and flow of this paragraph, “Rewrite this sentence in a more academic style,” and “Enhance clarity and coherence without changing the scientific meaning.”</w:t>
      </w:r>
    </w:p>
    <w:p w14:paraId="1A50FB26" w14:textId="6AAE42BB" w:rsidR="00783084" w:rsidRPr="00783084" w:rsidRDefault="00783084" w:rsidP="00783084">
      <w:pPr>
        <w:pStyle w:val="ReferHead"/>
        <w:jc w:val="both"/>
        <w:rPr>
          <w:rFonts w:ascii="Arial" w:hAnsi="Arial" w:cs="Arial"/>
          <w:b w:val="0"/>
          <w:caps w:val="0"/>
          <w:sz w:val="20"/>
        </w:rPr>
      </w:pPr>
      <w:r w:rsidRPr="00783084">
        <w:rPr>
          <w:rFonts w:ascii="Arial" w:hAnsi="Arial" w:cs="Arial"/>
          <w:b w:val="0"/>
          <w:caps w:val="0"/>
          <w:sz w:val="20"/>
          <w:highlight w:val="yellow"/>
        </w:rPr>
        <w:t>No AI tools were used for data analysis, interpretation of results, creation of scientific</w:t>
      </w:r>
      <w:r w:rsidRPr="00BA5C08">
        <w:rPr>
          <w:rFonts w:ascii="Arial" w:hAnsi="Arial" w:cs="Arial"/>
          <w:b w:val="0"/>
          <w:caps w:val="0"/>
          <w:sz w:val="20"/>
          <w:highlight w:val="yellow"/>
        </w:rPr>
        <w:t xml:space="preserve"> </w:t>
      </w:r>
      <w:r w:rsidRPr="00783084">
        <w:rPr>
          <w:rFonts w:ascii="Arial" w:hAnsi="Arial" w:cs="Arial"/>
          <w:b w:val="0"/>
          <w:caps w:val="0"/>
          <w:sz w:val="20"/>
          <w:highlight w:val="yellow"/>
        </w:rPr>
        <w:t>content, or generating novel ideas. All scientific content, conclusions, and interpretations are</w:t>
      </w:r>
      <w:r w:rsidRPr="00BA5C08">
        <w:rPr>
          <w:rFonts w:ascii="Arial" w:hAnsi="Arial" w:cs="Arial"/>
          <w:b w:val="0"/>
          <w:caps w:val="0"/>
          <w:sz w:val="20"/>
          <w:highlight w:val="yellow"/>
        </w:rPr>
        <w:t xml:space="preserve"> solely the work of the authors.</w:t>
      </w:r>
    </w:p>
    <w:p w14:paraId="534F7ED8" w14:textId="77777777" w:rsidR="00860000" w:rsidRDefault="00860000" w:rsidP="00441B6F">
      <w:pPr>
        <w:pStyle w:val="ReferHead"/>
        <w:spacing w:after="0"/>
        <w:jc w:val="both"/>
        <w:rPr>
          <w:rFonts w:ascii="Arial" w:hAnsi="Arial" w:cs="Arial"/>
        </w:rPr>
      </w:pPr>
    </w:p>
    <w:p w14:paraId="2BC20D9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9053FD" w14:textId="77777777" w:rsidR="00790ADA" w:rsidRPr="00FB3A86" w:rsidRDefault="00790ADA" w:rsidP="00441B6F">
      <w:pPr>
        <w:pStyle w:val="ReferHead"/>
        <w:spacing w:after="0"/>
        <w:jc w:val="both"/>
        <w:rPr>
          <w:rFonts w:ascii="Arial" w:hAnsi="Arial" w:cs="Arial"/>
        </w:rPr>
      </w:pPr>
    </w:p>
    <w:p w14:paraId="6B2C9F13" w14:textId="5B7DD1E0" w:rsidR="00FA6380" w:rsidRPr="00FA6380" w:rsidRDefault="00FA6380" w:rsidP="003C2A1B">
      <w:pPr>
        <w:pStyle w:val="Body"/>
        <w:numPr>
          <w:ilvl w:val="0"/>
          <w:numId w:val="33"/>
        </w:numPr>
        <w:rPr>
          <w:rFonts w:ascii="Arial" w:hAnsi="Arial" w:cs="Arial"/>
          <w:lang w:val="pt-BR"/>
        </w:rPr>
      </w:pPr>
      <w:r w:rsidRPr="00FA6380">
        <w:rPr>
          <w:rFonts w:ascii="Arial" w:hAnsi="Arial" w:cs="Arial"/>
        </w:rPr>
        <w:t xml:space="preserve">Del Re, M., Luculli, G. I., Petrini, I., Sbrana, A., Scotti, V., Perez, D. M., Livi, L., </w:t>
      </w:r>
      <w:proofErr w:type="spellStart"/>
      <w:r w:rsidRPr="00FA6380">
        <w:rPr>
          <w:rFonts w:ascii="Arial" w:hAnsi="Arial" w:cs="Arial"/>
        </w:rPr>
        <w:t>Crucitta</w:t>
      </w:r>
      <w:proofErr w:type="spellEnd"/>
      <w:r w:rsidRPr="00FA6380">
        <w:rPr>
          <w:rFonts w:ascii="Arial" w:hAnsi="Arial" w:cs="Arial"/>
        </w:rPr>
        <w:t xml:space="preserve">, S., </w:t>
      </w:r>
      <w:proofErr w:type="spellStart"/>
      <w:r w:rsidRPr="00FA6380">
        <w:rPr>
          <w:rFonts w:ascii="Arial" w:hAnsi="Arial" w:cs="Arial"/>
        </w:rPr>
        <w:t>Iannopollo</w:t>
      </w:r>
      <w:proofErr w:type="spellEnd"/>
      <w:r w:rsidRPr="00FA6380">
        <w:rPr>
          <w:rFonts w:ascii="Arial" w:hAnsi="Arial" w:cs="Arial"/>
        </w:rPr>
        <w:t xml:space="preserve">, M., Mazzoni, F., </w:t>
      </w:r>
      <w:proofErr w:type="spellStart"/>
      <w:r w:rsidRPr="00FA6380">
        <w:rPr>
          <w:rFonts w:ascii="Arial" w:hAnsi="Arial" w:cs="Arial"/>
        </w:rPr>
        <w:t>Ruglioni</w:t>
      </w:r>
      <w:proofErr w:type="spellEnd"/>
      <w:r w:rsidRPr="00FA6380">
        <w:rPr>
          <w:rFonts w:ascii="Arial" w:hAnsi="Arial" w:cs="Arial"/>
        </w:rPr>
        <w:t xml:space="preserve">, M., Tibaldi, C., Olmetto, E., Stasi, I., Baldini, E., Allegrini, G., </w:t>
      </w:r>
      <w:proofErr w:type="spellStart"/>
      <w:r w:rsidRPr="00FA6380">
        <w:rPr>
          <w:rFonts w:ascii="Arial" w:hAnsi="Arial" w:cs="Arial"/>
        </w:rPr>
        <w:t>Antonuzzo</w:t>
      </w:r>
      <w:proofErr w:type="spellEnd"/>
      <w:r w:rsidRPr="00FA6380">
        <w:rPr>
          <w:rFonts w:ascii="Arial" w:hAnsi="Arial" w:cs="Arial"/>
        </w:rPr>
        <w:t xml:space="preserve">, L., Morelli, F., Pierini, A., Panzeri, N., Fogli, S., Chella, A., Rolfo, C., &amp; Danesi, R. (2024). Clinical utility of Next Generation Sequencing of plasma cell-free DNA for the molecular profiling of patients with NSCLC at diagnosis and disease progression. Translational Oncology, 41, 101869. </w:t>
      </w:r>
      <w:hyperlink r:id="rId15" w:history="1">
        <w:r w:rsidRPr="00FA6380">
          <w:rPr>
            <w:rStyle w:val="Hyperlink"/>
            <w:rFonts w:ascii="Arial" w:hAnsi="Arial" w:cs="Arial"/>
            <w:lang w:val="pt-BR"/>
          </w:rPr>
          <w:t>https://doi.org/10.1016/j.tranon.2023.101869</w:t>
        </w:r>
      </w:hyperlink>
    </w:p>
    <w:p w14:paraId="252CE6BD" w14:textId="1B11C1D1" w:rsidR="00FA6380" w:rsidRDefault="00FA6380" w:rsidP="003C2A1B">
      <w:pPr>
        <w:pStyle w:val="Body"/>
        <w:numPr>
          <w:ilvl w:val="0"/>
          <w:numId w:val="33"/>
        </w:numPr>
        <w:rPr>
          <w:rFonts w:ascii="Arial" w:hAnsi="Arial" w:cs="Arial"/>
          <w:lang w:val="pt-BR"/>
        </w:rPr>
      </w:pPr>
      <w:r w:rsidRPr="00FA6380">
        <w:rPr>
          <w:rFonts w:ascii="Arial" w:hAnsi="Arial" w:cs="Arial"/>
          <w:lang w:val="pt-BR"/>
        </w:rPr>
        <w:t xml:space="preserve">de Oliveira Cavagna, R., de Andrade, E. S., Tadin Reis, M., de Paula, F. E., Noriz Berardinelli, G., Bonatelli, M., Teixeira, G. R., Zaniolo, B. G., Dias, J. M., da Silva, F. A. F., Silva, C. E. B., Reis, M. X., Maia, E. L., de Alencar, T. S., Jacinto, A. A., da Nóbrega Oliveira, R. E. N., Molina-Vila, M. A., Leal, L. F., &amp; Reis, R. M. (2023). </w:t>
      </w:r>
      <w:r w:rsidRPr="00FA6380">
        <w:rPr>
          <w:rFonts w:ascii="Arial" w:hAnsi="Arial" w:cs="Arial"/>
          <w:lang w:val="en-IN"/>
        </w:rPr>
        <w:lastRenderedPageBreak/>
        <w:t xml:space="preserve">Detection of NTRK fusions by RNA-based nCounter is a feasible diagnostic methodology in a real-world scenario for non-small cell lung cancer assessment. </w:t>
      </w:r>
      <w:r w:rsidRPr="00FA6380">
        <w:rPr>
          <w:rFonts w:ascii="Arial" w:hAnsi="Arial" w:cs="Arial"/>
          <w:lang w:val="pt-BR"/>
        </w:rPr>
        <w:t xml:space="preserve">Scientific Reports, 13(1), 21168. </w:t>
      </w:r>
      <w:r>
        <w:rPr>
          <w:rFonts w:ascii="Arial" w:hAnsi="Arial" w:cs="Arial"/>
          <w:lang w:val="pt-BR"/>
        </w:rPr>
        <w:fldChar w:fldCharType="begin"/>
      </w:r>
      <w:r>
        <w:rPr>
          <w:rFonts w:ascii="Arial" w:hAnsi="Arial" w:cs="Arial"/>
          <w:lang w:val="pt-BR"/>
        </w:rPr>
        <w:instrText xml:space="preserve"> HYPERLINK "</w:instrText>
      </w:r>
      <w:r w:rsidRPr="00FA6380">
        <w:rPr>
          <w:rFonts w:ascii="Arial" w:hAnsi="Arial" w:cs="Arial"/>
          <w:lang w:val="pt-BR"/>
        </w:rPr>
        <w:instrText>https://doi.org/10.1038/s41598-023-48613-4</w:instrText>
      </w:r>
      <w:r>
        <w:rPr>
          <w:rFonts w:ascii="Arial" w:hAnsi="Arial" w:cs="Arial"/>
          <w:lang w:val="pt-BR"/>
        </w:rPr>
        <w:instrText xml:space="preserve">" </w:instrText>
      </w:r>
      <w:r>
        <w:rPr>
          <w:rFonts w:ascii="Arial" w:hAnsi="Arial" w:cs="Arial"/>
          <w:lang w:val="pt-BR"/>
        </w:rPr>
      </w:r>
      <w:r>
        <w:rPr>
          <w:rFonts w:ascii="Arial" w:hAnsi="Arial" w:cs="Arial"/>
          <w:lang w:val="pt-BR"/>
        </w:rPr>
        <w:fldChar w:fldCharType="separate"/>
      </w:r>
      <w:r w:rsidRPr="000F3765">
        <w:rPr>
          <w:rStyle w:val="Hyperlink"/>
          <w:rFonts w:ascii="Arial" w:hAnsi="Arial" w:cs="Arial"/>
          <w:lang w:val="pt-BR"/>
        </w:rPr>
        <w:t>https://doi.org/10.1038/s41598-023-48613-4</w:t>
      </w:r>
      <w:r>
        <w:rPr>
          <w:rFonts w:ascii="Arial" w:hAnsi="Arial" w:cs="Arial"/>
          <w:lang w:val="pt-BR"/>
        </w:rPr>
        <w:fldChar w:fldCharType="end"/>
      </w:r>
    </w:p>
    <w:p w14:paraId="6AAF09F4" w14:textId="1A5C5D56" w:rsidR="00FA6380" w:rsidRDefault="00FA6380" w:rsidP="003C2A1B">
      <w:pPr>
        <w:pStyle w:val="Body"/>
        <w:numPr>
          <w:ilvl w:val="0"/>
          <w:numId w:val="33"/>
        </w:numPr>
        <w:rPr>
          <w:rFonts w:ascii="Arial" w:hAnsi="Arial" w:cs="Arial"/>
        </w:rPr>
      </w:pPr>
      <w:r w:rsidRPr="00FA6380">
        <w:rPr>
          <w:rFonts w:ascii="Arial" w:hAnsi="Arial" w:cs="Arial"/>
          <w:lang w:val="pt-BR"/>
        </w:rPr>
        <w:t xml:space="preserve">Diks, J., Tang, Z., Altan, M., Anderson, S., Chen, H., Rashid, A., Yang, R. K., Routbort, M. J., Patel, K. P., Toruner, G. A., Medeiros, L. J., Tang, G., Luthra, R., &amp; Roy-Chowdhuri, S. (2024). </w:t>
      </w:r>
      <w:r w:rsidRPr="00FA6380">
        <w:rPr>
          <w:rFonts w:ascii="Arial" w:hAnsi="Arial" w:cs="Arial"/>
        </w:rPr>
        <w:t xml:space="preserve">Detection of clinically actionable gene fusions by next-generation sequencing-based RNA sequencing of non-small cell lung cancer cytology specimens: A single-center experience with comparison to fluorescence in situ hybridization. Cancer Cytopathology, 132(1), 41-49. </w:t>
      </w:r>
      <w:hyperlink r:id="rId16" w:history="1">
        <w:r w:rsidRPr="000F3765">
          <w:rPr>
            <w:rStyle w:val="Hyperlink"/>
            <w:rFonts w:ascii="Arial" w:hAnsi="Arial" w:cs="Arial"/>
          </w:rPr>
          <w:t>https://doi.org/10.1002/cncy.22766</w:t>
        </w:r>
      </w:hyperlink>
    </w:p>
    <w:p w14:paraId="0104908C" w14:textId="5D1BA048" w:rsidR="00FA6380" w:rsidRDefault="00FA6380" w:rsidP="003C2A1B">
      <w:pPr>
        <w:pStyle w:val="Body"/>
        <w:numPr>
          <w:ilvl w:val="0"/>
          <w:numId w:val="33"/>
        </w:numPr>
        <w:rPr>
          <w:rFonts w:ascii="Arial" w:hAnsi="Arial" w:cs="Arial"/>
        </w:rPr>
      </w:pPr>
      <w:r w:rsidRPr="00FA6380">
        <w:rPr>
          <w:rFonts w:ascii="Arial" w:hAnsi="Arial" w:cs="Arial"/>
        </w:rPr>
        <w:t xml:space="preserve">Djalalov, S., Beca, J., Hoch, J. S., Krahn, M., Tsao, M. S., Cutz, J. C., &amp; </w:t>
      </w:r>
      <w:proofErr w:type="spellStart"/>
      <w:r w:rsidRPr="00FA6380">
        <w:rPr>
          <w:rFonts w:ascii="Arial" w:hAnsi="Arial" w:cs="Arial"/>
        </w:rPr>
        <w:t>Leighl</w:t>
      </w:r>
      <w:proofErr w:type="spellEnd"/>
      <w:r w:rsidRPr="00FA6380">
        <w:rPr>
          <w:rFonts w:ascii="Arial" w:hAnsi="Arial" w:cs="Arial"/>
        </w:rPr>
        <w:t xml:space="preserve">, N. B. (2014). Cost effectiveness of EML4-ALK fusion testing and first-line crizotinib treatment for patients with advanced ALK-positive non-small-cell lung cancer. Journal of Clinical Oncology, 32(10), 1012-1019. </w:t>
      </w:r>
      <w:hyperlink r:id="rId17" w:history="1">
        <w:r w:rsidRPr="000F3765">
          <w:rPr>
            <w:rStyle w:val="Hyperlink"/>
            <w:rFonts w:ascii="Arial" w:hAnsi="Arial" w:cs="Arial"/>
          </w:rPr>
          <w:t>https://doi.org/10.1200/JCO.2013.53.1186</w:t>
        </w:r>
      </w:hyperlink>
    </w:p>
    <w:p w14:paraId="3D564EDF" w14:textId="08730BF4" w:rsidR="00FA6380" w:rsidRDefault="00FA6380" w:rsidP="003C2A1B">
      <w:pPr>
        <w:pStyle w:val="Body"/>
        <w:numPr>
          <w:ilvl w:val="0"/>
          <w:numId w:val="33"/>
        </w:numPr>
        <w:rPr>
          <w:rFonts w:ascii="Arial" w:hAnsi="Arial" w:cs="Arial"/>
        </w:rPr>
      </w:pPr>
      <w:r w:rsidRPr="00FA6380">
        <w:rPr>
          <w:rFonts w:ascii="Arial" w:hAnsi="Arial" w:cs="Arial"/>
        </w:rPr>
        <w:t xml:space="preserve">Doble, B., John, T., Thomas, D., Fellowes, A., Fox, S., &amp; </w:t>
      </w:r>
      <w:proofErr w:type="spellStart"/>
      <w:r w:rsidRPr="00FA6380">
        <w:rPr>
          <w:rFonts w:ascii="Arial" w:hAnsi="Arial" w:cs="Arial"/>
        </w:rPr>
        <w:t>Lorgelly</w:t>
      </w:r>
      <w:proofErr w:type="spellEnd"/>
      <w:r w:rsidRPr="00FA6380">
        <w:rPr>
          <w:rFonts w:ascii="Arial" w:hAnsi="Arial" w:cs="Arial"/>
        </w:rPr>
        <w:t xml:space="preserve">, P. (2017). Cost-effectiveness of precision medicine in the fourth-line treatment of metastatic lung adenocarcinoma: An early decision analytic model of multiplex targeted sequencing. Lung Cancer, 107, 22-35. </w:t>
      </w:r>
      <w:hyperlink r:id="rId18" w:history="1">
        <w:r w:rsidRPr="000F3765">
          <w:rPr>
            <w:rStyle w:val="Hyperlink"/>
            <w:rFonts w:ascii="Arial" w:hAnsi="Arial" w:cs="Arial"/>
          </w:rPr>
          <w:t>https://doi.org/10.1016/j.lungcan.2016.05.024</w:t>
        </w:r>
      </w:hyperlink>
    </w:p>
    <w:p w14:paraId="06E17DE9" w14:textId="7EE941DB" w:rsidR="00FA6380" w:rsidRPr="00FA6380" w:rsidRDefault="00FA6380" w:rsidP="003C2A1B">
      <w:pPr>
        <w:pStyle w:val="Body"/>
        <w:numPr>
          <w:ilvl w:val="0"/>
          <w:numId w:val="33"/>
        </w:numPr>
        <w:rPr>
          <w:rFonts w:ascii="Arial" w:hAnsi="Arial" w:cs="Arial"/>
          <w:lang w:val="pt-BR"/>
        </w:rPr>
      </w:pPr>
      <w:r w:rsidRPr="00FA6380">
        <w:rPr>
          <w:rFonts w:ascii="Arial" w:hAnsi="Arial" w:cs="Arial"/>
        </w:rPr>
        <w:t xml:space="preserve">Faulkner, E., </w:t>
      </w:r>
      <w:proofErr w:type="spellStart"/>
      <w:r w:rsidRPr="00FA6380">
        <w:rPr>
          <w:rFonts w:ascii="Arial" w:hAnsi="Arial" w:cs="Arial"/>
        </w:rPr>
        <w:t>Annemans</w:t>
      </w:r>
      <w:proofErr w:type="spellEnd"/>
      <w:r w:rsidRPr="00FA6380">
        <w:rPr>
          <w:rFonts w:ascii="Arial" w:hAnsi="Arial" w:cs="Arial"/>
        </w:rPr>
        <w:t xml:space="preserve">, L., Garrison, L., Helfand, M., Holtorf, A. P., Hornberger, J., Hughes, D., Li, T., Malone, D., Payne, K., Siebert, U., Towse, A., Veenstra, D., &amp; Watkins, J. (2012). Challenges in the development and reimbursement of personalized medicine—Payer and manufacturer perspectives and implications for health economics and outcomes research: A report of the ISPOR personalized medicine special interest group. Value in Health, 15(8), 1162–1171. </w:t>
      </w:r>
      <w:hyperlink r:id="rId19" w:history="1">
        <w:r w:rsidRPr="00FA6380">
          <w:rPr>
            <w:rStyle w:val="Hyperlink"/>
            <w:rFonts w:ascii="Arial" w:hAnsi="Arial" w:cs="Arial"/>
            <w:lang w:val="pt-BR"/>
          </w:rPr>
          <w:t>https://doi.org/10.1016/j.jval.2012.05.006</w:t>
        </w:r>
      </w:hyperlink>
    </w:p>
    <w:p w14:paraId="0FC8538E" w14:textId="46C0AE99" w:rsidR="00FA6380" w:rsidRPr="00FA6380" w:rsidRDefault="00FA6380" w:rsidP="003C2A1B">
      <w:pPr>
        <w:pStyle w:val="Body"/>
        <w:numPr>
          <w:ilvl w:val="0"/>
          <w:numId w:val="33"/>
        </w:numPr>
        <w:rPr>
          <w:rFonts w:ascii="Arial" w:hAnsi="Arial" w:cs="Arial"/>
          <w:lang w:val="fr-FR"/>
        </w:rPr>
      </w:pPr>
      <w:r w:rsidRPr="00FA6380">
        <w:rPr>
          <w:rFonts w:ascii="Arial" w:hAnsi="Arial" w:cs="Arial"/>
          <w:lang w:val="pt-BR"/>
        </w:rPr>
        <w:t xml:space="preserve">Ferreira, C. G., Reis, M. X., &amp; Veloso, G. G. V. (2023). </w:t>
      </w:r>
      <w:r w:rsidRPr="00FA6380">
        <w:rPr>
          <w:rFonts w:ascii="Arial" w:hAnsi="Arial" w:cs="Arial"/>
          <w:lang w:val="en-IN"/>
        </w:rPr>
        <w:t xml:space="preserve">Editorial: Molecular genetic testing and emerging targeted therapies for non-small cell lung cancer. </w:t>
      </w:r>
      <w:r w:rsidRPr="00FA6380">
        <w:rPr>
          <w:rFonts w:ascii="Arial" w:hAnsi="Arial" w:cs="Arial"/>
          <w:lang w:val="pt-BR"/>
        </w:rPr>
        <w:t xml:space="preserve">Frontiers in Oncology, 13, 1308525. </w:t>
      </w:r>
      <w:r>
        <w:rPr>
          <w:rFonts w:ascii="Arial" w:hAnsi="Arial" w:cs="Arial"/>
          <w:lang w:val="pt-BR"/>
        </w:rPr>
        <w:fldChar w:fldCharType="begin"/>
      </w:r>
      <w:r>
        <w:rPr>
          <w:rFonts w:ascii="Arial" w:hAnsi="Arial" w:cs="Arial"/>
          <w:lang w:val="pt-BR"/>
        </w:rPr>
        <w:instrText xml:space="preserve"> HYPERLINK "</w:instrText>
      </w:r>
      <w:r w:rsidRPr="00FA6380">
        <w:rPr>
          <w:rFonts w:ascii="Arial" w:hAnsi="Arial" w:cs="Arial"/>
          <w:lang w:val="pt-BR"/>
        </w:rPr>
        <w:instrText>https://doi.org/10.3389/fonc.2023.1308525</w:instrText>
      </w:r>
      <w:r>
        <w:rPr>
          <w:rFonts w:ascii="Arial" w:hAnsi="Arial" w:cs="Arial"/>
          <w:lang w:val="pt-BR"/>
        </w:rPr>
        <w:instrText xml:space="preserve">" </w:instrText>
      </w:r>
      <w:r>
        <w:rPr>
          <w:rFonts w:ascii="Arial" w:hAnsi="Arial" w:cs="Arial"/>
          <w:lang w:val="pt-BR"/>
        </w:rPr>
      </w:r>
      <w:r>
        <w:rPr>
          <w:rFonts w:ascii="Arial" w:hAnsi="Arial" w:cs="Arial"/>
          <w:lang w:val="pt-BR"/>
        </w:rPr>
        <w:fldChar w:fldCharType="separate"/>
      </w:r>
      <w:r w:rsidRPr="00FA6380">
        <w:rPr>
          <w:rStyle w:val="Hyperlink"/>
          <w:rFonts w:ascii="Arial" w:hAnsi="Arial" w:cs="Arial"/>
          <w:lang w:val="fr-FR"/>
        </w:rPr>
        <w:t>https://doi.org/10.3389/fonc.2023.1308525</w:t>
      </w:r>
      <w:r>
        <w:rPr>
          <w:rFonts w:ascii="Arial" w:hAnsi="Arial" w:cs="Arial"/>
          <w:lang w:val="pt-BR"/>
        </w:rPr>
        <w:fldChar w:fldCharType="end"/>
      </w:r>
    </w:p>
    <w:p w14:paraId="47F42022" w14:textId="07FF19E2" w:rsidR="00FA6380" w:rsidRPr="00FA6380" w:rsidRDefault="00FA6380" w:rsidP="003C2A1B">
      <w:pPr>
        <w:pStyle w:val="Body"/>
        <w:numPr>
          <w:ilvl w:val="0"/>
          <w:numId w:val="33"/>
        </w:numPr>
        <w:rPr>
          <w:rFonts w:ascii="Arial" w:hAnsi="Arial" w:cs="Arial"/>
          <w:lang w:val="en-IN"/>
        </w:rPr>
      </w:pPr>
      <w:proofErr w:type="spellStart"/>
      <w:r w:rsidRPr="00FA6380">
        <w:rPr>
          <w:rFonts w:ascii="Arial" w:hAnsi="Arial" w:cs="Arial"/>
          <w:lang w:val="fr-FR"/>
        </w:rPr>
        <w:t>Fujii</w:t>
      </w:r>
      <w:proofErr w:type="spellEnd"/>
      <w:r w:rsidRPr="00FA6380">
        <w:rPr>
          <w:rFonts w:ascii="Arial" w:hAnsi="Arial" w:cs="Arial"/>
          <w:lang w:val="fr-FR"/>
        </w:rPr>
        <w:t xml:space="preserve">, T., </w:t>
      </w:r>
      <w:proofErr w:type="spellStart"/>
      <w:r w:rsidRPr="00FA6380">
        <w:rPr>
          <w:rFonts w:ascii="Arial" w:hAnsi="Arial" w:cs="Arial"/>
          <w:lang w:val="fr-FR"/>
        </w:rPr>
        <w:t>Uchiyama</w:t>
      </w:r>
      <w:proofErr w:type="spellEnd"/>
      <w:r w:rsidRPr="00FA6380">
        <w:rPr>
          <w:rFonts w:ascii="Arial" w:hAnsi="Arial" w:cs="Arial"/>
          <w:lang w:val="fr-FR"/>
        </w:rPr>
        <w:t xml:space="preserve">, T., </w:t>
      </w:r>
      <w:proofErr w:type="spellStart"/>
      <w:r w:rsidRPr="00FA6380">
        <w:rPr>
          <w:rFonts w:ascii="Arial" w:hAnsi="Arial" w:cs="Arial"/>
          <w:lang w:val="fr-FR"/>
        </w:rPr>
        <w:t>Matsuoka</w:t>
      </w:r>
      <w:proofErr w:type="spellEnd"/>
      <w:r w:rsidRPr="00FA6380">
        <w:rPr>
          <w:rFonts w:ascii="Arial" w:hAnsi="Arial" w:cs="Arial"/>
          <w:lang w:val="fr-FR"/>
        </w:rPr>
        <w:t xml:space="preserve">, M., </w:t>
      </w:r>
      <w:proofErr w:type="spellStart"/>
      <w:r w:rsidRPr="00FA6380">
        <w:rPr>
          <w:rFonts w:ascii="Arial" w:hAnsi="Arial" w:cs="Arial"/>
          <w:lang w:val="fr-FR"/>
        </w:rPr>
        <w:t>Myojin</w:t>
      </w:r>
      <w:proofErr w:type="spellEnd"/>
      <w:r w:rsidRPr="00FA6380">
        <w:rPr>
          <w:rFonts w:ascii="Arial" w:hAnsi="Arial" w:cs="Arial"/>
          <w:lang w:val="fr-FR"/>
        </w:rPr>
        <w:t xml:space="preserve">, T., </w:t>
      </w:r>
      <w:proofErr w:type="spellStart"/>
      <w:r w:rsidRPr="00FA6380">
        <w:rPr>
          <w:rFonts w:ascii="Arial" w:hAnsi="Arial" w:cs="Arial"/>
          <w:lang w:val="fr-FR"/>
        </w:rPr>
        <w:t>Sugimoto</w:t>
      </w:r>
      <w:proofErr w:type="spellEnd"/>
      <w:r w:rsidRPr="00FA6380">
        <w:rPr>
          <w:rFonts w:ascii="Arial" w:hAnsi="Arial" w:cs="Arial"/>
          <w:lang w:val="fr-FR"/>
        </w:rPr>
        <w:t xml:space="preserve">, S., </w:t>
      </w:r>
      <w:proofErr w:type="spellStart"/>
      <w:r w:rsidRPr="00FA6380">
        <w:rPr>
          <w:rFonts w:ascii="Arial" w:hAnsi="Arial" w:cs="Arial"/>
          <w:lang w:val="fr-FR"/>
        </w:rPr>
        <w:t>Nitta</w:t>
      </w:r>
      <w:proofErr w:type="spellEnd"/>
      <w:r w:rsidRPr="00FA6380">
        <w:rPr>
          <w:rFonts w:ascii="Arial" w:hAnsi="Arial" w:cs="Arial"/>
          <w:lang w:val="fr-FR"/>
        </w:rPr>
        <w:t xml:space="preserve">, Y., &amp; </w:t>
      </w:r>
      <w:proofErr w:type="spellStart"/>
      <w:r w:rsidRPr="00FA6380">
        <w:rPr>
          <w:rFonts w:ascii="Arial" w:hAnsi="Arial" w:cs="Arial"/>
          <w:lang w:val="fr-FR"/>
        </w:rPr>
        <w:t>Ohbayashi</w:t>
      </w:r>
      <w:proofErr w:type="spellEnd"/>
      <w:r w:rsidRPr="00FA6380">
        <w:rPr>
          <w:rFonts w:ascii="Arial" w:hAnsi="Arial" w:cs="Arial"/>
          <w:lang w:val="fr-FR"/>
        </w:rPr>
        <w:t xml:space="preserve">, C. (2020). </w:t>
      </w:r>
      <w:r w:rsidRPr="00FA6380">
        <w:rPr>
          <w:rFonts w:ascii="Arial" w:hAnsi="Arial" w:cs="Arial"/>
          <w:lang w:val="en-IN"/>
        </w:rPr>
        <w:t xml:space="preserve">Evaluation of DNA and RNA quality from archival formalin-fixed paraffin-embedded tissue for next-generation sequencing – Retrospective study in Japanese single institution. </w:t>
      </w:r>
      <w:r w:rsidRPr="00FA6380">
        <w:rPr>
          <w:rFonts w:ascii="Arial" w:hAnsi="Arial" w:cs="Arial"/>
          <w:lang w:val="fr-FR"/>
        </w:rPr>
        <w:t>*</w:t>
      </w:r>
      <w:proofErr w:type="spellStart"/>
      <w:r w:rsidRPr="00FA6380">
        <w:rPr>
          <w:rFonts w:ascii="Arial" w:hAnsi="Arial" w:cs="Arial"/>
          <w:lang w:val="fr-FR"/>
        </w:rPr>
        <w:t>Pathology</w:t>
      </w:r>
      <w:proofErr w:type="spellEnd"/>
      <w:r w:rsidRPr="00FA6380">
        <w:rPr>
          <w:rFonts w:ascii="Arial" w:hAnsi="Arial" w:cs="Arial"/>
          <w:lang w:val="fr-FR"/>
        </w:rPr>
        <w:t xml:space="preserve"> International*, *70*(9), 602–611. </w:t>
      </w:r>
      <w:hyperlink r:id="rId20" w:history="1">
        <w:r w:rsidRPr="00FA6380">
          <w:rPr>
            <w:rStyle w:val="Hyperlink"/>
            <w:rFonts w:ascii="Arial" w:hAnsi="Arial" w:cs="Arial"/>
            <w:lang w:val="en-IN"/>
          </w:rPr>
          <w:t>https://doi.org/10.1111/pin.12969</w:t>
        </w:r>
      </w:hyperlink>
    </w:p>
    <w:p w14:paraId="1707D87F" w14:textId="54F96EEE" w:rsidR="00FA6380" w:rsidRDefault="00FA6380" w:rsidP="003C2A1B">
      <w:pPr>
        <w:pStyle w:val="Body"/>
        <w:numPr>
          <w:ilvl w:val="0"/>
          <w:numId w:val="33"/>
        </w:numPr>
        <w:rPr>
          <w:rFonts w:ascii="Arial" w:hAnsi="Arial" w:cs="Arial"/>
        </w:rPr>
      </w:pPr>
      <w:r w:rsidRPr="00490F69">
        <w:rPr>
          <w:rFonts w:ascii="Arial" w:hAnsi="Arial" w:cs="Arial"/>
          <w:lang w:val="nl-BE"/>
        </w:rPr>
        <w:t xml:space="preserve">Galant, N., Nicoś, M., Kuźnar-Kamińska, B., &amp; Krawczyk, P. (2024). </w:t>
      </w:r>
      <w:r w:rsidRPr="00FA6380">
        <w:rPr>
          <w:rFonts w:ascii="Arial" w:hAnsi="Arial" w:cs="Arial"/>
        </w:rPr>
        <w:t xml:space="preserve">Variant Allele Frequency Analysis of Circulating Tumor DNA as a Promising Tool in Assessing the Effectiveness of Treatment in Non-Small Cell Lung Carcinoma Patients. Cancers (Basel), 16(4), 782. </w:t>
      </w:r>
      <w:hyperlink r:id="rId21" w:history="1">
        <w:r w:rsidRPr="000F3765">
          <w:rPr>
            <w:rStyle w:val="Hyperlink"/>
            <w:rFonts w:ascii="Arial" w:hAnsi="Arial" w:cs="Arial"/>
          </w:rPr>
          <w:t>https://doi.org/10.3390/cancers16040782</w:t>
        </w:r>
      </w:hyperlink>
    </w:p>
    <w:p w14:paraId="5AEEE430" w14:textId="6F9EFDCB" w:rsidR="00FA6380" w:rsidRPr="00FA6380" w:rsidRDefault="00FA6380" w:rsidP="003C2A1B">
      <w:pPr>
        <w:pStyle w:val="Body"/>
        <w:numPr>
          <w:ilvl w:val="0"/>
          <w:numId w:val="33"/>
        </w:numPr>
        <w:rPr>
          <w:rFonts w:ascii="Arial" w:hAnsi="Arial" w:cs="Arial"/>
          <w:lang w:val="fr-FR"/>
        </w:rPr>
      </w:pPr>
      <w:r w:rsidRPr="00FA6380">
        <w:rPr>
          <w:rFonts w:ascii="Arial" w:hAnsi="Arial" w:cs="Arial"/>
        </w:rPr>
        <w:t xml:space="preserve">Gašperšič, J., &amp; </w:t>
      </w:r>
      <w:proofErr w:type="spellStart"/>
      <w:r w:rsidRPr="00FA6380">
        <w:rPr>
          <w:rFonts w:ascii="Arial" w:hAnsi="Arial" w:cs="Arial"/>
        </w:rPr>
        <w:t>Videtič</w:t>
      </w:r>
      <w:proofErr w:type="spellEnd"/>
      <w:r w:rsidRPr="00FA6380">
        <w:rPr>
          <w:rFonts w:ascii="Arial" w:hAnsi="Arial" w:cs="Arial"/>
        </w:rPr>
        <w:t xml:space="preserve"> Paska, A. (2020). Potential of modern circulating cell-free DNA diagnostic tools for detection of specific </w:t>
      </w:r>
      <w:proofErr w:type="spellStart"/>
      <w:r w:rsidRPr="00FA6380">
        <w:rPr>
          <w:rFonts w:ascii="Arial" w:hAnsi="Arial" w:cs="Arial"/>
        </w:rPr>
        <w:t>tumour</w:t>
      </w:r>
      <w:proofErr w:type="spellEnd"/>
      <w:r w:rsidRPr="00FA6380">
        <w:rPr>
          <w:rFonts w:ascii="Arial" w:hAnsi="Arial" w:cs="Arial"/>
        </w:rPr>
        <w:t xml:space="preserve"> cells in clinical practice. </w:t>
      </w:r>
      <w:proofErr w:type="spellStart"/>
      <w:r w:rsidRPr="00FA6380">
        <w:rPr>
          <w:rFonts w:ascii="Arial" w:hAnsi="Arial" w:cs="Arial"/>
        </w:rPr>
        <w:t>Biochemia</w:t>
      </w:r>
      <w:proofErr w:type="spellEnd"/>
      <w:r w:rsidRPr="00FA6380">
        <w:rPr>
          <w:rFonts w:ascii="Arial" w:hAnsi="Arial" w:cs="Arial"/>
        </w:rPr>
        <w:t xml:space="preserve"> Medica (Zagreb), 30(3), 030504. </w:t>
      </w:r>
      <w:hyperlink r:id="rId22" w:history="1">
        <w:r w:rsidRPr="00FA6380">
          <w:rPr>
            <w:rStyle w:val="Hyperlink"/>
            <w:rFonts w:ascii="Arial" w:hAnsi="Arial" w:cs="Arial"/>
            <w:lang w:val="fr-FR"/>
          </w:rPr>
          <w:t>https://doi.org/10.11613/BM.2020.030504</w:t>
        </w:r>
      </w:hyperlink>
    </w:p>
    <w:p w14:paraId="209A11D6" w14:textId="65F39C41" w:rsidR="00FA6380" w:rsidRDefault="00FA6380" w:rsidP="003C2A1B">
      <w:pPr>
        <w:pStyle w:val="Body"/>
        <w:numPr>
          <w:ilvl w:val="0"/>
          <w:numId w:val="33"/>
        </w:numPr>
        <w:rPr>
          <w:rFonts w:ascii="Arial" w:hAnsi="Arial" w:cs="Arial"/>
          <w:lang w:val="fr-FR"/>
        </w:rPr>
      </w:pPr>
      <w:proofErr w:type="spellStart"/>
      <w:r w:rsidRPr="00FA6380">
        <w:rPr>
          <w:rFonts w:ascii="Arial" w:hAnsi="Arial" w:cs="Arial"/>
          <w:lang w:val="fr-FR"/>
        </w:rPr>
        <w:t>Aldea</w:t>
      </w:r>
      <w:proofErr w:type="spellEnd"/>
      <w:r w:rsidRPr="00FA6380">
        <w:rPr>
          <w:rFonts w:ascii="Arial" w:hAnsi="Arial" w:cs="Arial"/>
          <w:lang w:val="fr-FR"/>
        </w:rPr>
        <w:t xml:space="preserve">, M., </w:t>
      </w:r>
      <w:proofErr w:type="spellStart"/>
      <w:r w:rsidRPr="00FA6380">
        <w:rPr>
          <w:rFonts w:ascii="Arial" w:hAnsi="Arial" w:cs="Arial"/>
          <w:lang w:val="fr-FR"/>
        </w:rPr>
        <w:t>Friboulet</w:t>
      </w:r>
      <w:proofErr w:type="spellEnd"/>
      <w:r w:rsidRPr="00FA6380">
        <w:rPr>
          <w:rFonts w:ascii="Arial" w:hAnsi="Arial" w:cs="Arial"/>
          <w:lang w:val="fr-FR"/>
        </w:rPr>
        <w:t xml:space="preserve">, L., </w:t>
      </w:r>
      <w:proofErr w:type="spellStart"/>
      <w:r w:rsidRPr="00FA6380">
        <w:rPr>
          <w:rFonts w:ascii="Arial" w:hAnsi="Arial" w:cs="Arial"/>
          <w:lang w:val="fr-FR"/>
        </w:rPr>
        <w:t>Apcher</w:t>
      </w:r>
      <w:proofErr w:type="spellEnd"/>
      <w:r w:rsidRPr="00FA6380">
        <w:rPr>
          <w:rFonts w:ascii="Arial" w:hAnsi="Arial" w:cs="Arial"/>
          <w:lang w:val="fr-FR"/>
        </w:rPr>
        <w:t xml:space="preserve">, S., </w:t>
      </w:r>
      <w:proofErr w:type="spellStart"/>
      <w:r w:rsidRPr="00FA6380">
        <w:rPr>
          <w:rFonts w:ascii="Arial" w:hAnsi="Arial" w:cs="Arial"/>
          <w:lang w:val="fr-FR"/>
        </w:rPr>
        <w:t>Jaulin</w:t>
      </w:r>
      <w:proofErr w:type="spellEnd"/>
      <w:r w:rsidRPr="00FA6380">
        <w:rPr>
          <w:rFonts w:ascii="Arial" w:hAnsi="Arial" w:cs="Arial"/>
          <w:lang w:val="fr-FR"/>
        </w:rPr>
        <w:t xml:space="preserve">, F., </w:t>
      </w:r>
      <w:proofErr w:type="spellStart"/>
      <w:r w:rsidRPr="00FA6380">
        <w:rPr>
          <w:rFonts w:ascii="Arial" w:hAnsi="Arial" w:cs="Arial"/>
          <w:lang w:val="fr-FR"/>
        </w:rPr>
        <w:t>Mosele</w:t>
      </w:r>
      <w:proofErr w:type="spellEnd"/>
      <w:r w:rsidRPr="00FA6380">
        <w:rPr>
          <w:rFonts w:ascii="Arial" w:hAnsi="Arial" w:cs="Arial"/>
          <w:lang w:val="fr-FR"/>
        </w:rPr>
        <w:t xml:space="preserve">, F., </w:t>
      </w:r>
      <w:proofErr w:type="spellStart"/>
      <w:r w:rsidRPr="00FA6380">
        <w:rPr>
          <w:rFonts w:ascii="Arial" w:hAnsi="Arial" w:cs="Arial"/>
          <w:lang w:val="fr-FR"/>
        </w:rPr>
        <w:t>Sourisseau</w:t>
      </w:r>
      <w:proofErr w:type="spellEnd"/>
      <w:r w:rsidRPr="00FA6380">
        <w:rPr>
          <w:rFonts w:ascii="Arial" w:hAnsi="Arial" w:cs="Arial"/>
          <w:lang w:val="fr-FR"/>
        </w:rPr>
        <w:t xml:space="preserve">, T., Soria, J.-C., </w:t>
      </w:r>
      <w:proofErr w:type="spellStart"/>
      <w:r w:rsidRPr="00FA6380">
        <w:rPr>
          <w:rFonts w:ascii="Arial" w:hAnsi="Arial" w:cs="Arial"/>
          <w:lang w:val="fr-FR"/>
        </w:rPr>
        <w:t>Nikolaev</w:t>
      </w:r>
      <w:proofErr w:type="spellEnd"/>
      <w:r w:rsidRPr="00FA6380">
        <w:rPr>
          <w:rFonts w:ascii="Arial" w:hAnsi="Arial" w:cs="Arial"/>
          <w:lang w:val="fr-FR"/>
        </w:rPr>
        <w:t xml:space="preserve">, S., &amp; André, F. (2023). </w:t>
      </w:r>
      <w:r w:rsidRPr="00FA6380">
        <w:rPr>
          <w:rFonts w:ascii="Arial" w:hAnsi="Arial" w:cs="Arial"/>
          <w:lang w:val="en-IN"/>
        </w:rPr>
        <w:t xml:space="preserve">Precision medicine in the era of multi-omics: </w:t>
      </w:r>
      <w:r w:rsidRPr="00FA6380">
        <w:rPr>
          <w:rFonts w:ascii="Arial" w:hAnsi="Arial" w:cs="Arial"/>
          <w:lang w:val="en-IN"/>
        </w:rPr>
        <w:lastRenderedPageBreak/>
        <w:t xml:space="preserve">can the data tsunami guide rational treatment decision? </w:t>
      </w:r>
      <w:r w:rsidRPr="00FA6380">
        <w:rPr>
          <w:rFonts w:ascii="Arial" w:hAnsi="Arial" w:cs="Arial"/>
          <w:lang w:val="fr-FR"/>
        </w:rPr>
        <w:t xml:space="preserve">ESMO Open, 8(5), 101642. </w:t>
      </w:r>
      <w:hyperlink r:id="rId23" w:history="1">
        <w:r w:rsidRPr="000F3765">
          <w:rPr>
            <w:rStyle w:val="Hyperlink"/>
            <w:rFonts w:ascii="Arial" w:hAnsi="Arial" w:cs="Arial"/>
            <w:lang w:val="fr-FR"/>
          </w:rPr>
          <w:t>https://doi.org/10.1016/j.esmoop.2023.101642</w:t>
        </w:r>
      </w:hyperlink>
    </w:p>
    <w:p w14:paraId="5C347795" w14:textId="74F4ACDA" w:rsidR="00FA6380" w:rsidRDefault="00FA6380" w:rsidP="003C2A1B">
      <w:pPr>
        <w:pStyle w:val="Body"/>
        <w:numPr>
          <w:ilvl w:val="0"/>
          <w:numId w:val="33"/>
        </w:numPr>
        <w:rPr>
          <w:rFonts w:ascii="Arial" w:hAnsi="Arial" w:cs="Arial"/>
          <w:lang w:val="fr-FR"/>
        </w:rPr>
      </w:pPr>
      <w:r w:rsidRPr="00FA6380">
        <w:rPr>
          <w:rFonts w:ascii="Arial" w:hAnsi="Arial" w:cs="Arial"/>
          <w:lang w:val="fr-FR"/>
        </w:rPr>
        <w:t xml:space="preserve">Astier, C., Ngo, C., </w:t>
      </w:r>
      <w:proofErr w:type="spellStart"/>
      <w:r w:rsidRPr="00FA6380">
        <w:rPr>
          <w:rFonts w:ascii="Arial" w:hAnsi="Arial" w:cs="Arial"/>
          <w:lang w:val="fr-FR"/>
        </w:rPr>
        <w:t>Colmet-Daage</w:t>
      </w:r>
      <w:proofErr w:type="spellEnd"/>
      <w:r w:rsidRPr="00FA6380">
        <w:rPr>
          <w:rFonts w:ascii="Arial" w:hAnsi="Arial" w:cs="Arial"/>
          <w:lang w:val="fr-FR"/>
        </w:rPr>
        <w:t xml:space="preserve">, L., Marty, V., </w:t>
      </w:r>
      <w:proofErr w:type="spellStart"/>
      <w:r w:rsidRPr="00FA6380">
        <w:rPr>
          <w:rFonts w:ascii="Arial" w:hAnsi="Arial" w:cs="Arial"/>
          <w:lang w:val="fr-FR"/>
        </w:rPr>
        <w:t>Bawa</w:t>
      </w:r>
      <w:proofErr w:type="spellEnd"/>
      <w:r w:rsidRPr="00FA6380">
        <w:rPr>
          <w:rFonts w:ascii="Arial" w:hAnsi="Arial" w:cs="Arial"/>
          <w:lang w:val="fr-FR"/>
        </w:rPr>
        <w:t xml:space="preserve">, O., </w:t>
      </w:r>
      <w:proofErr w:type="spellStart"/>
      <w:r w:rsidRPr="00FA6380">
        <w:rPr>
          <w:rFonts w:ascii="Arial" w:hAnsi="Arial" w:cs="Arial"/>
          <w:lang w:val="fr-FR"/>
        </w:rPr>
        <w:t>Nicotra</w:t>
      </w:r>
      <w:proofErr w:type="spellEnd"/>
      <w:r w:rsidRPr="00FA6380">
        <w:rPr>
          <w:rFonts w:ascii="Arial" w:hAnsi="Arial" w:cs="Arial"/>
          <w:lang w:val="fr-FR"/>
        </w:rPr>
        <w:t xml:space="preserve">, C., Ngo-Camus, M., Italiano, A., </w:t>
      </w:r>
      <w:proofErr w:type="spellStart"/>
      <w:r w:rsidRPr="00FA6380">
        <w:rPr>
          <w:rFonts w:ascii="Arial" w:hAnsi="Arial" w:cs="Arial"/>
          <w:lang w:val="fr-FR"/>
        </w:rPr>
        <w:t>Massard</w:t>
      </w:r>
      <w:proofErr w:type="spellEnd"/>
      <w:r w:rsidRPr="00FA6380">
        <w:rPr>
          <w:rFonts w:ascii="Arial" w:hAnsi="Arial" w:cs="Arial"/>
          <w:lang w:val="fr-FR"/>
        </w:rPr>
        <w:t xml:space="preserve">, C., </w:t>
      </w:r>
      <w:proofErr w:type="spellStart"/>
      <w:r w:rsidRPr="00FA6380">
        <w:rPr>
          <w:rFonts w:ascii="Arial" w:hAnsi="Arial" w:cs="Arial"/>
          <w:lang w:val="fr-FR"/>
        </w:rPr>
        <w:t>Scoazec</w:t>
      </w:r>
      <w:proofErr w:type="spellEnd"/>
      <w:r w:rsidRPr="00FA6380">
        <w:rPr>
          <w:rFonts w:ascii="Arial" w:hAnsi="Arial" w:cs="Arial"/>
          <w:lang w:val="fr-FR"/>
        </w:rPr>
        <w:t xml:space="preserve">, J.-Y., </w:t>
      </w:r>
      <w:proofErr w:type="spellStart"/>
      <w:r w:rsidRPr="00FA6380">
        <w:rPr>
          <w:rFonts w:ascii="Arial" w:hAnsi="Arial" w:cs="Arial"/>
          <w:lang w:val="fr-FR"/>
        </w:rPr>
        <w:t>Smolenschi</w:t>
      </w:r>
      <w:proofErr w:type="spellEnd"/>
      <w:r w:rsidRPr="00FA6380">
        <w:rPr>
          <w:rFonts w:ascii="Arial" w:hAnsi="Arial" w:cs="Arial"/>
          <w:lang w:val="fr-FR"/>
        </w:rPr>
        <w:t xml:space="preserve">, C., </w:t>
      </w:r>
      <w:proofErr w:type="spellStart"/>
      <w:r w:rsidRPr="00FA6380">
        <w:rPr>
          <w:rFonts w:ascii="Arial" w:hAnsi="Arial" w:cs="Arial"/>
          <w:lang w:val="fr-FR"/>
        </w:rPr>
        <w:t>Ducreux</w:t>
      </w:r>
      <w:proofErr w:type="spellEnd"/>
      <w:r w:rsidRPr="00FA6380">
        <w:rPr>
          <w:rFonts w:ascii="Arial" w:hAnsi="Arial" w:cs="Arial"/>
          <w:lang w:val="fr-FR"/>
        </w:rPr>
        <w:t xml:space="preserve">, M., </w:t>
      </w:r>
      <w:proofErr w:type="spellStart"/>
      <w:r w:rsidRPr="00FA6380">
        <w:rPr>
          <w:rFonts w:ascii="Arial" w:hAnsi="Arial" w:cs="Arial"/>
          <w:lang w:val="fr-FR"/>
        </w:rPr>
        <w:t>Hollebecque</w:t>
      </w:r>
      <w:proofErr w:type="spellEnd"/>
      <w:r w:rsidRPr="00FA6380">
        <w:rPr>
          <w:rFonts w:ascii="Arial" w:hAnsi="Arial" w:cs="Arial"/>
          <w:lang w:val="fr-FR"/>
        </w:rPr>
        <w:t xml:space="preserve">, A., &amp; Postel-Vinay, S. (2024). </w:t>
      </w:r>
      <w:r w:rsidRPr="00FA6380">
        <w:rPr>
          <w:rFonts w:ascii="Arial" w:hAnsi="Arial" w:cs="Arial"/>
          <w:lang w:val="en-IN"/>
        </w:rPr>
        <w:t xml:space="preserve">Molecular profiling of biliary tract cancers reveals distinct genomic landscapes between circulating and tissue tumor DNA. </w:t>
      </w:r>
      <w:proofErr w:type="spellStart"/>
      <w:r w:rsidRPr="00FA6380">
        <w:rPr>
          <w:rFonts w:ascii="Arial" w:hAnsi="Arial" w:cs="Arial"/>
          <w:lang w:val="fr-FR"/>
        </w:rPr>
        <w:t>Experimental</w:t>
      </w:r>
      <w:proofErr w:type="spellEnd"/>
      <w:r w:rsidRPr="00FA6380">
        <w:rPr>
          <w:rFonts w:ascii="Arial" w:hAnsi="Arial" w:cs="Arial"/>
          <w:lang w:val="fr-FR"/>
        </w:rPr>
        <w:t xml:space="preserve"> </w:t>
      </w:r>
      <w:proofErr w:type="spellStart"/>
      <w:r w:rsidRPr="00FA6380">
        <w:rPr>
          <w:rFonts w:ascii="Arial" w:hAnsi="Arial" w:cs="Arial"/>
          <w:lang w:val="fr-FR"/>
        </w:rPr>
        <w:t>Hematology</w:t>
      </w:r>
      <w:proofErr w:type="spellEnd"/>
      <w:r w:rsidRPr="00FA6380">
        <w:rPr>
          <w:rFonts w:ascii="Arial" w:hAnsi="Arial" w:cs="Arial"/>
          <w:lang w:val="fr-FR"/>
        </w:rPr>
        <w:t xml:space="preserve"> &amp; </w:t>
      </w:r>
      <w:proofErr w:type="spellStart"/>
      <w:r w:rsidRPr="00FA6380">
        <w:rPr>
          <w:rFonts w:ascii="Arial" w:hAnsi="Arial" w:cs="Arial"/>
          <w:lang w:val="fr-FR"/>
        </w:rPr>
        <w:t>Oncology</w:t>
      </w:r>
      <w:proofErr w:type="spellEnd"/>
      <w:r w:rsidRPr="00FA6380">
        <w:rPr>
          <w:rFonts w:ascii="Arial" w:hAnsi="Arial" w:cs="Arial"/>
          <w:lang w:val="fr-FR"/>
        </w:rPr>
        <w:t xml:space="preserve">, 13(1), 2. </w:t>
      </w:r>
      <w:hyperlink r:id="rId24" w:history="1">
        <w:r w:rsidRPr="000F3765">
          <w:rPr>
            <w:rStyle w:val="Hyperlink"/>
            <w:rFonts w:ascii="Arial" w:hAnsi="Arial" w:cs="Arial"/>
            <w:lang w:val="fr-FR"/>
          </w:rPr>
          <w:t>https://doi.org/10.1186/s40164-023-00470-7</w:t>
        </w:r>
      </w:hyperlink>
    </w:p>
    <w:p w14:paraId="3A0F231F" w14:textId="7A85D7DC" w:rsidR="00FA6380" w:rsidRDefault="00FA6380" w:rsidP="003C2A1B">
      <w:pPr>
        <w:pStyle w:val="Body"/>
        <w:numPr>
          <w:ilvl w:val="0"/>
          <w:numId w:val="33"/>
        </w:numPr>
        <w:rPr>
          <w:rFonts w:ascii="Arial" w:hAnsi="Arial" w:cs="Arial"/>
          <w:lang w:val="en-IN"/>
        </w:rPr>
      </w:pPr>
      <w:r w:rsidRPr="00FA6380">
        <w:rPr>
          <w:rFonts w:ascii="Arial" w:hAnsi="Arial" w:cs="Arial"/>
          <w:lang w:val="fr-FR"/>
        </w:rPr>
        <w:t xml:space="preserve">Bachet, J. B., Laurent-Puig, P., Meurisse, A., Bouché, O., Mas, L., </w:t>
      </w:r>
      <w:proofErr w:type="spellStart"/>
      <w:r w:rsidRPr="00FA6380">
        <w:rPr>
          <w:rFonts w:ascii="Arial" w:hAnsi="Arial" w:cs="Arial"/>
          <w:lang w:val="fr-FR"/>
        </w:rPr>
        <w:t>Taly</w:t>
      </w:r>
      <w:proofErr w:type="spellEnd"/>
      <w:r w:rsidRPr="00FA6380">
        <w:rPr>
          <w:rFonts w:ascii="Arial" w:hAnsi="Arial" w:cs="Arial"/>
          <w:lang w:val="fr-FR"/>
        </w:rPr>
        <w:t xml:space="preserve">, V., Cohen, R., </w:t>
      </w:r>
      <w:proofErr w:type="spellStart"/>
      <w:r w:rsidRPr="00FA6380">
        <w:rPr>
          <w:rFonts w:ascii="Arial" w:hAnsi="Arial" w:cs="Arial"/>
          <w:lang w:val="fr-FR"/>
        </w:rPr>
        <w:t>Gornet</w:t>
      </w:r>
      <w:proofErr w:type="spellEnd"/>
      <w:r w:rsidRPr="00FA6380">
        <w:rPr>
          <w:rFonts w:ascii="Arial" w:hAnsi="Arial" w:cs="Arial"/>
          <w:lang w:val="fr-FR"/>
        </w:rPr>
        <w:t xml:space="preserve">, J. M., </w:t>
      </w:r>
      <w:proofErr w:type="spellStart"/>
      <w:r w:rsidRPr="00FA6380">
        <w:rPr>
          <w:rFonts w:ascii="Arial" w:hAnsi="Arial" w:cs="Arial"/>
          <w:lang w:val="fr-FR"/>
        </w:rPr>
        <w:t>Artru</w:t>
      </w:r>
      <w:proofErr w:type="spellEnd"/>
      <w:r w:rsidRPr="00FA6380">
        <w:rPr>
          <w:rFonts w:ascii="Arial" w:hAnsi="Arial" w:cs="Arial"/>
          <w:lang w:val="fr-FR"/>
        </w:rPr>
        <w:t xml:space="preserve">, P., </w:t>
      </w:r>
      <w:proofErr w:type="spellStart"/>
      <w:r w:rsidRPr="00FA6380">
        <w:rPr>
          <w:rFonts w:ascii="Arial" w:hAnsi="Arial" w:cs="Arial"/>
          <w:lang w:val="fr-FR"/>
        </w:rPr>
        <w:t>Louafi</w:t>
      </w:r>
      <w:proofErr w:type="spellEnd"/>
      <w:r w:rsidRPr="00FA6380">
        <w:rPr>
          <w:rFonts w:ascii="Arial" w:hAnsi="Arial" w:cs="Arial"/>
          <w:lang w:val="fr-FR"/>
        </w:rPr>
        <w:t xml:space="preserve">, S., </w:t>
      </w:r>
      <w:proofErr w:type="spellStart"/>
      <w:r w:rsidRPr="00FA6380">
        <w:rPr>
          <w:rFonts w:ascii="Arial" w:hAnsi="Arial" w:cs="Arial"/>
          <w:lang w:val="fr-FR"/>
        </w:rPr>
        <w:t>Thirot</w:t>
      </w:r>
      <w:proofErr w:type="spellEnd"/>
      <w:r w:rsidRPr="00FA6380">
        <w:rPr>
          <w:rFonts w:ascii="Arial" w:hAnsi="Arial" w:cs="Arial"/>
          <w:lang w:val="fr-FR"/>
        </w:rPr>
        <w:t xml:space="preserve">-Bidault, A., </w:t>
      </w:r>
      <w:proofErr w:type="spellStart"/>
      <w:r w:rsidRPr="00FA6380">
        <w:rPr>
          <w:rFonts w:ascii="Arial" w:hAnsi="Arial" w:cs="Arial"/>
          <w:lang w:val="fr-FR"/>
        </w:rPr>
        <w:t>Baumgaertner</w:t>
      </w:r>
      <w:proofErr w:type="spellEnd"/>
      <w:r w:rsidRPr="00FA6380">
        <w:rPr>
          <w:rFonts w:ascii="Arial" w:hAnsi="Arial" w:cs="Arial"/>
          <w:lang w:val="fr-FR"/>
        </w:rPr>
        <w:t xml:space="preserve">, I., </w:t>
      </w:r>
      <w:proofErr w:type="spellStart"/>
      <w:r w:rsidRPr="00FA6380">
        <w:rPr>
          <w:rFonts w:ascii="Arial" w:hAnsi="Arial" w:cs="Arial"/>
          <w:lang w:val="fr-FR"/>
        </w:rPr>
        <w:t>Coriat</w:t>
      </w:r>
      <w:proofErr w:type="spellEnd"/>
      <w:r w:rsidRPr="00FA6380">
        <w:rPr>
          <w:rFonts w:ascii="Arial" w:hAnsi="Arial" w:cs="Arial"/>
          <w:lang w:val="fr-FR"/>
        </w:rPr>
        <w:t xml:space="preserve">, R., </w:t>
      </w:r>
      <w:proofErr w:type="spellStart"/>
      <w:r w:rsidRPr="00FA6380">
        <w:rPr>
          <w:rFonts w:ascii="Arial" w:hAnsi="Arial" w:cs="Arial"/>
          <w:lang w:val="fr-FR"/>
        </w:rPr>
        <w:t>Tougeron</w:t>
      </w:r>
      <w:proofErr w:type="spellEnd"/>
      <w:r w:rsidRPr="00FA6380">
        <w:rPr>
          <w:rFonts w:ascii="Arial" w:hAnsi="Arial" w:cs="Arial"/>
          <w:lang w:val="fr-FR"/>
        </w:rPr>
        <w:t xml:space="preserve">, D., Lecomte, T., Mary, F., </w:t>
      </w:r>
      <w:proofErr w:type="spellStart"/>
      <w:r w:rsidRPr="00FA6380">
        <w:rPr>
          <w:rFonts w:ascii="Arial" w:hAnsi="Arial" w:cs="Arial"/>
          <w:lang w:val="fr-FR"/>
        </w:rPr>
        <w:t>Aparicio</w:t>
      </w:r>
      <w:proofErr w:type="spellEnd"/>
      <w:r w:rsidRPr="00FA6380">
        <w:rPr>
          <w:rFonts w:ascii="Arial" w:hAnsi="Arial" w:cs="Arial"/>
          <w:lang w:val="fr-FR"/>
        </w:rPr>
        <w:t xml:space="preserve">, T., </w:t>
      </w:r>
      <w:proofErr w:type="spellStart"/>
      <w:r w:rsidRPr="00FA6380">
        <w:rPr>
          <w:rFonts w:ascii="Arial" w:hAnsi="Arial" w:cs="Arial"/>
          <w:lang w:val="fr-FR"/>
        </w:rPr>
        <w:t>Marthey</w:t>
      </w:r>
      <w:proofErr w:type="spellEnd"/>
      <w:r w:rsidRPr="00FA6380">
        <w:rPr>
          <w:rFonts w:ascii="Arial" w:hAnsi="Arial" w:cs="Arial"/>
          <w:lang w:val="fr-FR"/>
        </w:rPr>
        <w:t xml:space="preserve">, L., </w:t>
      </w:r>
      <w:proofErr w:type="spellStart"/>
      <w:r w:rsidRPr="00FA6380">
        <w:rPr>
          <w:rFonts w:ascii="Arial" w:hAnsi="Arial" w:cs="Arial"/>
          <w:lang w:val="fr-FR"/>
        </w:rPr>
        <w:t>Blons</w:t>
      </w:r>
      <w:proofErr w:type="spellEnd"/>
      <w:r w:rsidRPr="00FA6380">
        <w:rPr>
          <w:rFonts w:ascii="Arial" w:hAnsi="Arial" w:cs="Arial"/>
          <w:lang w:val="fr-FR"/>
        </w:rPr>
        <w:t xml:space="preserve">, H., ... </w:t>
      </w:r>
      <w:proofErr w:type="spellStart"/>
      <w:r w:rsidRPr="00FA6380">
        <w:rPr>
          <w:rFonts w:ascii="Arial" w:hAnsi="Arial" w:cs="Arial"/>
          <w:lang w:val="en-IN"/>
        </w:rPr>
        <w:t>Taieb</w:t>
      </w:r>
      <w:proofErr w:type="spellEnd"/>
      <w:r w:rsidRPr="00FA6380">
        <w:rPr>
          <w:rFonts w:ascii="Arial" w:hAnsi="Arial" w:cs="Arial"/>
          <w:lang w:val="en-IN"/>
        </w:rPr>
        <w:t xml:space="preserve">, J. (2023). Circulating tumour DNA at baseline for individualised prognostication in patients with chemotherapy-naïve metastatic colorectal cancer. An AGEO prospective study. Eur J Cancer, 189, 112934. </w:t>
      </w:r>
      <w:hyperlink r:id="rId25" w:history="1">
        <w:r w:rsidRPr="000F3765">
          <w:rPr>
            <w:rStyle w:val="Hyperlink"/>
            <w:rFonts w:ascii="Arial" w:hAnsi="Arial" w:cs="Arial"/>
            <w:lang w:val="en-IN"/>
          </w:rPr>
          <w:t>https://doi.org/10.1016/j.ejca.2023.05.022</w:t>
        </w:r>
      </w:hyperlink>
    </w:p>
    <w:p w14:paraId="327236C0" w14:textId="2956BEAA" w:rsidR="00FA6380" w:rsidRDefault="00FA6380" w:rsidP="003C2A1B">
      <w:pPr>
        <w:pStyle w:val="Body"/>
        <w:numPr>
          <w:ilvl w:val="0"/>
          <w:numId w:val="33"/>
        </w:numPr>
        <w:rPr>
          <w:rFonts w:ascii="Arial" w:hAnsi="Arial" w:cs="Arial"/>
        </w:rPr>
      </w:pPr>
      <w:proofErr w:type="spellStart"/>
      <w:r w:rsidRPr="00FA6380">
        <w:rPr>
          <w:rFonts w:ascii="Arial" w:hAnsi="Arial" w:cs="Arial"/>
        </w:rPr>
        <w:t>Bettegowda</w:t>
      </w:r>
      <w:proofErr w:type="spellEnd"/>
      <w:r w:rsidRPr="00FA6380">
        <w:rPr>
          <w:rFonts w:ascii="Arial" w:hAnsi="Arial" w:cs="Arial"/>
        </w:rPr>
        <w:t xml:space="preserve">, C., Sausen, M., Leary, R. J., Kinde, I., Wang, Y., Agrawal, N., Bartlett, B. R., Wang, H., Luber, B., Alani, R. M., Antonarakis, E. S., Azad, N. S., Bardelli, A., Brem, H., Cameron, J. L., Lee, C. C., Fecher, L. A., Gallia, G. L., Gibbs, P., ... Diaz, L. A., Jr. (2014). Detection of circulating tumor DNA in early- and late-stage human malignancies. *Science Translational Medicine*, *6*(224), 224ra24. </w:t>
      </w:r>
      <w:hyperlink r:id="rId26" w:history="1">
        <w:r w:rsidRPr="000F3765">
          <w:rPr>
            <w:rStyle w:val="Hyperlink"/>
            <w:rFonts w:ascii="Arial" w:hAnsi="Arial" w:cs="Arial"/>
          </w:rPr>
          <w:t>https://doi.org/10.1126/scitranslmed.3007094</w:t>
        </w:r>
      </w:hyperlink>
    </w:p>
    <w:p w14:paraId="59CD7961" w14:textId="5190B407" w:rsidR="00FA6380" w:rsidRDefault="00FA6380" w:rsidP="003C2A1B">
      <w:pPr>
        <w:pStyle w:val="Body"/>
        <w:numPr>
          <w:ilvl w:val="0"/>
          <w:numId w:val="33"/>
        </w:numPr>
        <w:rPr>
          <w:rFonts w:ascii="Arial" w:hAnsi="Arial" w:cs="Arial"/>
        </w:rPr>
      </w:pPr>
      <w:r w:rsidRPr="00FA6380">
        <w:rPr>
          <w:rFonts w:ascii="Arial" w:hAnsi="Arial" w:cs="Arial"/>
        </w:rPr>
        <w:t>Wenwen Fang, Zhang J, Li Y, Chen X, Zhao H. High-quality chromosome-level genome assembly of Yanbian cattle using PacBio HiFi sequencing and Hi-C scaffolding. BMC Genomics. 2025;26(1):112.</w:t>
      </w:r>
    </w:p>
    <w:p w14:paraId="110CA6E4" w14:textId="015DE237" w:rsidR="00FA6380" w:rsidRDefault="00FA6380" w:rsidP="003C2A1B">
      <w:pPr>
        <w:pStyle w:val="Body"/>
        <w:numPr>
          <w:ilvl w:val="0"/>
          <w:numId w:val="33"/>
        </w:numPr>
        <w:rPr>
          <w:rFonts w:ascii="Arial" w:hAnsi="Arial" w:cs="Arial"/>
        </w:rPr>
      </w:pPr>
      <w:r w:rsidRPr="00FA6380">
        <w:rPr>
          <w:rFonts w:ascii="Arial" w:hAnsi="Arial" w:cs="Arial"/>
        </w:rPr>
        <w:t xml:space="preserve">Romagnoli S, Bianchi E, Rossi F, Conti A, Marino M, et al. Comprehensive structural variant discovery in CHM1 and CHM13 assemblies using PacBio SMRT sequencing. Nat Commun. </w:t>
      </w:r>
      <w:proofErr w:type="gramStart"/>
      <w:r w:rsidRPr="00FA6380">
        <w:rPr>
          <w:rFonts w:ascii="Arial" w:hAnsi="Arial" w:cs="Arial"/>
        </w:rPr>
        <w:t>2023;14:7452</w:t>
      </w:r>
      <w:proofErr w:type="gramEnd"/>
      <w:r w:rsidRPr="00FA6380">
        <w:rPr>
          <w:rFonts w:ascii="Arial" w:hAnsi="Arial" w:cs="Arial"/>
        </w:rPr>
        <w:t>.</w:t>
      </w:r>
    </w:p>
    <w:p w14:paraId="6ACE7F41" w14:textId="6D97C757" w:rsidR="00FA6380" w:rsidRDefault="00FA6380" w:rsidP="003C2A1B">
      <w:pPr>
        <w:pStyle w:val="Body"/>
        <w:numPr>
          <w:ilvl w:val="0"/>
          <w:numId w:val="33"/>
        </w:numPr>
        <w:rPr>
          <w:rFonts w:ascii="Arial" w:hAnsi="Arial" w:cs="Arial"/>
        </w:rPr>
      </w:pPr>
      <w:r w:rsidRPr="00FA6380">
        <w:rPr>
          <w:rFonts w:ascii="Arial" w:hAnsi="Arial" w:cs="Arial"/>
        </w:rPr>
        <w:t xml:space="preserve">Bewicke-Copley, F., Kumar, E. A., Palladino, G., </w:t>
      </w:r>
      <w:proofErr w:type="spellStart"/>
      <w:r w:rsidRPr="00FA6380">
        <w:rPr>
          <w:rFonts w:ascii="Arial" w:hAnsi="Arial" w:cs="Arial"/>
        </w:rPr>
        <w:t>Korfi</w:t>
      </w:r>
      <w:proofErr w:type="spellEnd"/>
      <w:r w:rsidRPr="00FA6380">
        <w:rPr>
          <w:rFonts w:ascii="Arial" w:hAnsi="Arial" w:cs="Arial"/>
        </w:rPr>
        <w:t xml:space="preserve">, K., &amp; Wang, J. (2019). Applications and analysis of targeted genomic sequencing in cancer studies. Computational and Structural Biotechnology Journal, 17, 1348-1359. </w:t>
      </w:r>
      <w:hyperlink r:id="rId27" w:history="1">
        <w:r w:rsidRPr="000F3765">
          <w:rPr>
            <w:rStyle w:val="Hyperlink"/>
            <w:rFonts w:ascii="Arial" w:hAnsi="Arial" w:cs="Arial"/>
          </w:rPr>
          <w:t>https://doi.org/10.1016/j.csbj.2019.10.004</w:t>
        </w:r>
      </w:hyperlink>
    </w:p>
    <w:p w14:paraId="0A110523" w14:textId="21325C18" w:rsidR="00FA6380" w:rsidRDefault="00FA6380" w:rsidP="003C2A1B">
      <w:pPr>
        <w:pStyle w:val="Body"/>
        <w:numPr>
          <w:ilvl w:val="0"/>
          <w:numId w:val="33"/>
        </w:numPr>
        <w:rPr>
          <w:rFonts w:ascii="Arial" w:hAnsi="Arial" w:cs="Arial"/>
        </w:rPr>
      </w:pPr>
      <w:r w:rsidRPr="00490F69">
        <w:rPr>
          <w:rFonts w:ascii="Arial" w:hAnsi="Arial" w:cs="Arial"/>
          <w:lang w:val="nl-BE"/>
        </w:rPr>
        <w:t xml:space="preserve">Bhagwate AV, Liu Y, Winham SJ, McDonough SJ, Stallings-Mann ML, Heinzen EP, et al. </w:t>
      </w:r>
      <w:r w:rsidRPr="00FA6380">
        <w:rPr>
          <w:rFonts w:ascii="Arial" w:hAnsi="Arial" w:cs="Arial"/>
        </w:rPr>
        <w:t>Bioinformatics and DNA-extraction strategies to reliably detect genetic variants from FFPE breast tissue. BMC Genomics. 2019;20(1):689.</w:t>
      </w:r>
    </w:p>
    <w:p w14:paraId="3CC93D71" w14:textId="5A388893" w:rsidR="00FA6380" w:rsidRDefault="00FA6380" w:rsidP="003C2A1B">
      <w:pPr>
        <w:pStyle w:val="Body"/>
        <w:numPr>
          <w:ilvl w:val="0"/>
          <w:numId w:val="33"/>
        </w:numPr>
        <w:rPr>
          <w:rFonts w:ascii="Arial" w:hAnsi="Arial" w:cs="Arial"/>
        </w:rPr>
      </w:pPr>
      <w:r w:rsidRPr="00FA6380">
        <w:rPr>
          <w:rFonts w:ascii="Arial" w:hAnsi="Arial" w:cs="Arial"/>
          <w:lang w:val="pt-BR"/>
        </w:rPr>
        <w:t xml:space="preserve">Boscolo Bielo, L., Trapani, D., Repetto, M., Crimini, E., Valenza, C., Belli, C., Criscitiello, C., Marra, A., Subbiah, V., &amp; Curigliano, G. (2023). </w:t>
      </w:r>
      <w:r w:rsidRPr="00FA6380">
        <w:rPr>
          <w:rFonts w:ascii="Arial" w:hAnsi="Arial" w:cs="Arial"/>
        </w:rPr>
        <w:t xml:space="preserve">Variant allele frequency: a decision-making tool in precision oncology? Trends in Cancer, 9(12), 1058-1068. </w:t>
      </w:r>
      <w:hyperlink r:id="rId28" w:history="1">
        <w:r w:rsidRPr="000F3765">
          <w:rPr>
            <w:rStyle w:val="Hyperlink"/>
            <w:rFonts w:ascii="Arial" w:hAnsi="Arial" w:cs="Arial"/>
          </w:rPr>
          <w:t>https://doi.org/10.1016/j.trecan.2023.08.011</w:t>
        </w:r>
      </w:hyperlink>
    </w:p>
    <w:p w14:paraId="63B4FCF2" w14:textId="035F0789" w:rsidR="00FA6380" w:rsidRPr="00FA6380" w:rsidRDefault="00FA6380" w:rsidP="003C2A1B">
      <w:pPr>
        <w:pStyle w:val="Body"/>
        <w:numPr>
          <w:ilvl w:val="0"/>
          <w:numId w:val="33"/>
        </w:numPr>
        <w:rPr>
          <w:rFonts w:ascii="Arial" w:hAnsi="Arial" w:cs="Arial"/>
          <w:lang w:val="fr-FR"/>
        </w:rPr>
      </w:pPr>
      <w:r w:rsidRPr="00FA6380">
        <w:rPr>
          <w:rFonts w:ascii="Arial" w:hAnsi="Arial" w:cs="Arial"/>
        </w:rPr>
        <w:t xml:space="preserve">Liu, L., Zhang, J., Wood, S., Newell, F., Leonard, C., </w:t>
      </w:r>
      <w:proofErr w:type="spellStart"/>
      <w:r w:rsidRPr="00FA6380">
        <w:rPr>
          <w:rFonts w:ascii="Arial" w:hAnsi="Arial" w:cs="Arial"/>
        </w:rPr>
        <w:t>Koufariotis</w:t>
      </w:r>
      <w:proofErr w:type="spellEnd"/>
      <w:r w:rsidRPr="00FA6380">
        <w:rPr>
          <w:rFonts w:ascii="Arial" w:hAnsi="Arial" w:cs="Arial"/>
        </w:rPr>
        <w:t xml:space="preserve">, L. T., Nones, K., Dalley, A. J., </w:t>
      </w:r>
      <w:proofErr w:type="spellStart"/>
      <w:r w:rsidRPr="00FA6380">
        <w:rPr>
          <w:rFonts w:ascii="Arial" w:hAnsi="Arial" w:cs="Arial"/>
        </w:rPr>
        <w:t>Chittoory</w:t>
      </w:r>
      <w:proofErr w:type="spellEnd"/>
      <w:r w:rsidRPr="00FA6380">
        <w:rPr>
          <w:rFonts w:ascii="Arial" w:hAnsi="Arial" w:cs="Arial"/>
        </w:rPr>
        <w:t xml:space="preserve">, H., </w:t>
      </w:r>
      <w:proofErr w:type="spellStart"/>
      <w:r w:rsidRPr="00FA6380">
        <w:rPr>
          <w:rFonts w:ascii="Arial" w:hAnsi="Arial" w:cs="Arial"/>
        </w:rPr>
        <w:t>Bashirzadeh</w:t>
      </w:r>
      <w:proofErr w:type="spellEnd"/>
      <w:r w:rsidRPr="00FA6380">
        <w:rPr>
          <w:rFonts w:ascii="Arial" w:hAnsi="Arial" w:cs="Arial"/>
        </w:rPr>
        <w:t xml:space="preserve">, F., Son, J. H., Steinfort, D., Williamson, J. P., </w:t>
      </w:r>
      <w:proofErr w:type="spellStart"/>
      <w:r w:rsidRPr="00FA6380">
        <w:rPr>
          <w:rFonts w:ascii="Arial" w:hAnsi="Arial" w:cs="Arial"/>
        </w:rPr>
        <w:t>Bint</w:t>
      </w:r>
      <w:proofErr w:type="spellEnd"/>
      <w:r w:rsidRPr="00FA6380">
        <w:rPr>
          <w:rFonts w:ascii="Arial" w:hAnsi="Arial" w:cs="Arial"/>
        </w:rPr>
        <w:t xml:space="preserve">, M., Pahoff, C., Nguyen, P. T., Twaddell, S., Arnold, D., Grainge, C., Simpson, P. T., Fielding, D., Waddell, N., &amp; Pearson, J. V. (2024). Performance of somatic structural variant calling in lung cancer using Oxford Nanopore sequencing </w:t>
      </w:r>
      <w:r w:rsidRPr="00FA6380">
        <w:rPr>
          <w:rFonts w:ascii="Arial" w:hAnsi="Arial" w:cs="Arial"/>
        </w:rPr>
        <w:lastRenderedPageBreak/>
        <w:t xml:space="preserve">technology. BMC Genomics, 25(1), 898. </w:t>
      </w:r>
      <w:hyperlink r:id="rId29" w:history="1">
        <w:r w:rsidRPr="00FA6380">
          <w:rPr>
            <w:rStyle w:val="Hyperlink"/>
            <w:rFonts w:ascii="Arial" w:hAnsi="Arial" w:cs="Arial"/>
            <w:lang w:val="fr-FR"/>
          </w:rPr>
          <w:t>https://doi.org/10.1186/s12864-024-10792-3</w:t>
        </w:r>
      </w:hyperlink>
    </w:p>
    <w:p w14:paraId="60AF96F7" w14:textId="28182261" w:rsidR="00FA6380" w:rsidRPr="00FA6380" w:rsidRDefault="00FA6380" w:rsidP="003C2A1B">
      <w:pPr>
        <w:pStyle w:val="Body"/>
        <w:numPr>
          <w:ilvl w:val="0"/>
          <w:numId w:val="33"/>
        </w:numPr>
        <w:rPr>
          <w:rFonts w:ascii="Arial" w:hAnsi="Arial" w:cs="Arial"/>
          <w:lang w:val="en-IN"/>
        </w:rPr>
      </w:pPr>
      <w:r w:rsidRPr="00490F69">
        <w:rPr>
          <w:rFonts w:ascii="Arial" w:hAnsi="Arial" w:cs="Arial"/>
          <w:lang w:val="nl-BE"/>
        </w:rPr>
        <w:t xml:space="preserve">Fan, X., Yang, C., Li, W., Bai, X., Zhou, X., Xie, H., Wen, L., &amp; Tang, F. (2021). </w:t>
      </w:r>
      <w:r w:rsidRPr="00FA6380">
        <w:rPr>
          <w:rFonts w:ascii="Arial" w:hAnsi="Arial" w:cs="Arial"/>
          <w:lang w:val="en-IN"/>
        </w:rPr>
        <w:t>SMOOTH-</w:t>
      </w:r>
      <w:proofErr w:type="spellStart"/>
      <w:r w:rsidRPr="00FA6380">
        <w:rPr>
          <w:rFonts w:ascii="Arial" w:hAnsi="Arial" w:cs="Arial"/>
          <w:lang w:val="en-IN"/>
        </w:rPr>
        <w:t>seq</w:t>
      </w:r>
      <w:proofErr w:type="spellEnd"/>
      <w:r w:rsidRPr="00FA6380">
        <w:rPr>
          <w:rFonts w:ascii="Arial" w:hAnsi="Arial" w:cs="Arial"/>
          <w:lang w:val="en-IN"/>
        </w:rPr>
        <w:t xml:space="preserve">: single-cell genome sequencing of human cells on a third-generation sequencing platform. </w:t>
      </w:r>
      <w:proofErr w:type="spellStart"/>
      <w:r w:rsidRPr="00FA6380">
        <w:rPr>
          <w:rFonts w:ascii="Arial" w:hAnsi="Arial" w:cs="Arial"/>
          <w:lang w:val="fr-FR"/>
        </w:rPr>
        <w:t>Genome</w:t>
      </w:r>
      <w:proofErr w:type="spellEnd"/>
      <w:r w:rsidRPr="00FA6380">
        <w:rPr>
          <w:rFonts w:ascii="Arial" w:hAnsi="Arial" w:cs="Arial"/>
          <w:lang w:val="fr-FR"/>
        </w:rPr>
        <w:t xml:space="preserve"> </w:t>
      </w:r>
      <w:proofErr w:type="spellStart"/>
      <w:r w:rsidRPr="00FA6380">
        <w:rPr>
          <w:rFonts w:ascii="Arial" w:hAnsi="Arial" w:cs="Arial"/>
          <w:lang w:val="fr-FR"/>
        </w:rPr>
        <w:t>Biology</w:t>
      </w:r>
      <w:proofErr w:type="spellEnd"/>
      <w:r w:rsidRPr="00FA6380">
        <w:rPr>
          <w:rFonts w:ascii="Arial" w:hAnsi="Arial" w:cs="Arial"/>
          <w:lang w:val="fr-FR"/>
        </w:rPr>
        <w:t xml:space="preserve">, 22(1), 195. </w:t>
      </w:r>
      <w:hyperlink r:id="rId30" w:history="1">
        <w:r w:rsidRPr="00FA6380">
          <w:rPr>
            <w:rStyle w:val="Hyperlink"/>
            <w:rFonts w:ascii="Arial" w:hAnsi="Arial" w:cs="Arial"/>
            <w:lang w:val="en-IN"/>
          </w:rPr>
          <w:t>https://doi.org/10.1186/s13059-021-02406-y</w:t>
        </w:r>
      </w:hyperlink>
    </w:p>
    <w:p w14:paraId="4B51A36D" w14:textId="48EDADF1" w:rsidR="00FA6380" w:rsidRDefault="00FA6380" w:rsidP="003C2A1B">
      <w:pPr>
        <w:pStyle w:val="Body"/>
        <w:numPr>
          <w:ilvl w:val="0"/>
          <w:numId w:val="33"/>
        </w:numPr>
        <w:rPr>
          <w:rFonts w:ascii="Arial" w:hAnsi="Arial" w:cs="Arial"/>
        </w:rPr>
      </w:pPr>
      <w:r w:rsidRPr="00FA6380">
        <w:rPr>
          <w:rFonts w:ascii="Arial" w:hAnsi="Arial" w:cs="Arial"/>
        </w:rPr>
        <w:t>Leung HCM, Yiu SM, Chin FYL, Wong T, Chan K. Sensitive detection of structural variants in human genomes using low-depth nanopore sequencing. Genome Res. 2022;32(10):1837-1848.</w:t>
      </w:r>
    </w:p>
    <w:p w14:paraId="482FDCD0" w14:textId="68A5DF67" w:rsidR="00FA6380" w:rsidRPr="00FA6380" w:rsidRDefault="00FA6380" w:rsidP="003C2A1B">
      <w:pPr>
        <w:pStyle w:val="Body"/>
        <w:numPr>
          <w:ilvl w:val="0"/>
          <w:numId w:val="33"/>
        </w:numPr>
        <w:rPr>
          <w:lang w:val="fr-FR"/>
        </w:rPr>
      </w:pPr>
      <w:r w:rsidRPr="00FA6380">
        <w:rPr>
          <w:rFonts w:ascii="Arial" w:hAnsi="Arial" w:cs="Arial"/>
          <w:lang w:val="en-IN"/>
        </w:rPr>
        <w:t xml:space="preserve">Zhou, Y., Leung, A. W. S., Ahmed, S. S., Lam, T. W., &amp; Luo, R. (2022). Duet: SNP-assisted structural variant calling and phasing using Oxford nanopore sequencing. </w:t>
      </w:r>
      <w:r w:rsidRPr="00FA6380">
        <w:rPr>
          <w:rFonts w:ascii="Arial" w:hAnsi="Arial" w:cs="Arial"/>
          <w:lang w:val="fr-FR"/>
        </w:rPr>
        <w:t xml:space="preserve">BMC </w:t>
      </w:r>
      <w:proofErr w:type="spellStart"/>
      <w:r w:rsidRPr="00FA6380">
        <w:rPr>
          <w:rFonts w:ascii="Arial" w:hAnsi="Arial" w:cs="Arial"/>
          <w:lang w:val="fr-FR"/>
        </w:rPr>
        <w:t>Bioinformatics</w:t>
      </w:r>
      <w:proofErr w:type="spellEnd"/>
      <w:r w:rsidRPr="00FA6380">
        <w:rPr>
          <w:rFonts w:ascii="Arial" w:hAnsi="Arial" w:cs="Arial"/>
          <w:lang w:val="fr-FR"/>
        </w:rPr>
        <w:t xml:space="preserve">, 23(1), 465. </w:t>
      </w:r>
      <w:hyperlink r:id="rId31" w:history="1">
        <w:r w:rsidRPr="000F3765">
          <w:rPr>
            <w:rStyle w:val="Hyperlink"/>
            <w:rFonts w:ascii="Arial" w:hAnsi="Arial" w:cs="Arial"/>
            <w:lang w:val="fr-FR"/>
          </w:rPr>
          <w:t>https://doi.org/10.1186/s12859-022-05025-</w:t>
        </w:r>
        <w:r w:rsidRPr="000F3765">
          <w:rPr>
            <w:rStyle w:val="Hyperlink"/>
            <w:lang w:val="fr-FR"/>
          </w:rPr>
          <w:t>x</w:t>
        </w:r>
      </w:hyperlink>
    </w:p>
    <w:p w14:paraId="392EB7C3" w14:textId="0D9CA76E" w:rsidR="00FA6380" w:rsidRDefault="00FA6380" w:rsidP="003C2A1B">
      <w:pPr>
        <w:pStyle w:val="Body"/>
        <w:numPr>
          <w:ilvl w:val="0"/>
          <w:numId w:val="33"/>
        </w:numPr>
      </w:pPr>
      <w:r w:rsidRPr="00FA6380">
        <w:rPr>
          <w:lang w:val="fr-FR"/>
        </w:rPr>
        <w:t xml:space="preserve">Byron, S. A., Van </w:t>
      </w:r>
      <w:proofErr w:type="spellStart"/>
      <w:r w:rsidRPr="00FA6380">
        <w:rPr>
          <w:lang w:val="fr-FR"/>
        </w:rPr>
        <w:t>Keuren</w:t>
      </w:r>
      <w:proofErr w:type="spellEnd"/>
      <w:r w:rsidRPr="00FA6380">
        <w:rPr>
          <w:lang w:val="fr-FR"/>
        </w:rPr>
        <w:t xml:space="preserve">-Jensen, K. R., </w:t>
      </w:r>
      <w:proofErr w:type="spellStart"/>
      <w:r w:rsidRPr="00FA6380">
        <w:rPr>
          <w:lang w:val="fr-FR"/>
        </w:rPr>
        <w:t>Engelthaler</w:t>
      </w:r>
      <w:proofErr w:type="spellEnd"/>
      <w:r w:rsidRPr="00FA6380">
        <w:rPr>
          <w:lang w:val="fr-FR"/>
        </w:rPr>
        <w:t xml:space="preserve">, D. M., </w:t>
      </w:r>
      <w:proofErr w:type="spellStart"/>
      <w:r w:rsidRPr="00FA6380">
        <w:rPr>
          <w:lang w:val="fr-FR"/>
        </w:rPr>
        <w:t>Carpten</w:t>
      </w:r>
      <w:proofErr w:type="spellEnd"/>
      <w:r w:rsidRPr="00FA6380">
        <w:rPr>
          <w:lang w:val="fr-FR"/>
        </w:rPr>
        <w:t xml:space="preserve">, J. D., &amp; Craig, D. W. (2016). </w:t>
      </w:r>
      <w:r w:rsidRPr="00FA6380">
        <w:t xml:space="preserve">Translating RNA sequencing into clinical diagnostics: opportunities and challenges. Nature Reviews Genetics, 17(5), 257-271. </w:t>
      </w:r>
      <w:hyperlink r:id="rId32" w:history="1">
        <w:r w:rsidRPr="000F3765">
          <w:rPr>
            <w:rStyle w:val="Hyperlink"/>
          </w:rPr>
          <w:t>https://doi.org/10.1038/nrg.2016.10</w:t>
        </w:r>
      </w:hyperlink>
    </w:p>
    <w:p w14:paraId="0347E71D" w14:textId="1D4E2A38" w:rsidR="00FA6380" w:rsidRDefault="00FA6380" w:rsidP="003C2A1B">
      <w:pPr>
        <w:pStyle w:val="Body"/>
        <w:numPr>
          <w:ilvl w:val="0"/>
          <w:numId w:val="33"/>
        </w:numPr>
        <w:rPr>
          <w:rFonts w:ascii="Arial" w:hAnsi="Arial" w:cs="Arial"/>
        </w:rPr>
      </w:pPr>
      <w:r w:rsidRPr="00FA6380">
        <w:rPr>
          <w:rFonts w:ascii="Arial" w:hAnsi="Arial" w:cs="Arial"/>
        </w:rPr>
        <w:t xml:space="preserve">Chan, K. K. W., Cheung, M. C., Regier, D. A., Hay, A., Louie, A. V., Cheung, W. Y., </w:t>
      </w:r>
      <w:proofErr w:type="spellStart"/>
      <w:r w:rsidRPr="00FA6380">
        <w:rPr>
          <w:rFonts w:ascii="Arial" w:hAnsi="Arial" w:cs="Arial"/>
        </w:rPr>
        <w:t>Tarride</w:t>
      </w:r>
      <w:proofErr w:type="spellEnd"/>
      <w:r w:rsidRPr="00FA6380">
        <w:rPr>
          <w:rFonts w:ascii="Arial" w:hAnsi="Arial" w:cs="Arial"/>
        </w:rPr>
        <w:t xml:space="preserve">, J.-E., Udayakumar, S., &amp; </w:t>
      </w:r>
      <w:proofErr w:type="spellStart"/>
      <w:r w:rsidRPr="00FA6380">
        <w:rPr>
          <w:rFonts w:ascii="Arial" w:hAnsi="Arial" w:cs="Arial"/>
        </w:rPr>
        <w:t>Mittmann</w:t>
      </w:r>
      <w:proofErr w:type="spellEnd"/>
      <w:r w:rsidRPr="00FA6380">
        <w:rPr>
          <w:rFonts w:ascii="Arial" w:hAnsi="Arial" w:cs="Arial"/>
        </w:rPr>
        <w:t xml:space="preserve">, N. (2021). The Past, Present, and Future of Economic Evaluations of Precision Medicine at the Committee for Economic Analyses of the Canadian Cancer Trials Group. Current Oncology, 28(5), 3649-3658. </w:t>
      </w:r>
      <w:hyperlink r:id="rId33" w:history="1">
        <w:r w:rsidRPr="000F3765">
          <w:rPr>
            <w:rStyle w:val="Hyperlink"/>
            <w:rFonts w:ascii="Arial" w:hAnsi="Arial" w:cs="Arial"/>
          </w:rPr>
          <w:t>https://doi.org/10.3390/curroncol28050311</w:t>
        </w:r>
      </w:hyperlink>
    </w:p>
    <w:p w14:paraId="59A0D04B" w14:textId="06F26658" w:rsidR="00FA6380" w:rsidRDefault="00FA6380" w:rsidP="003C2A1B">
      <w:pPr>
        <w:pStyle w:val="Body"/>
        <w:numPr>
          <w:ilvl w:val="0"/>
          <w:numId w:val="33"/>
        </w:numPr>
        <w:rPr>
          <w:rFonts w:ascii="Arial" w:hAnsi="Arial" w:cs="Arial"/>
        </w:rPr>
      </w:pPr>
      <w:r w:rsidRPr="00FA6380">
        <w:rPr>
          <w:rFonts w:ascii="Arial" w:hAnsi="Arial" w:cs="Arial"/>
        </w:rPr>
        <w:t xml:space="preserve">Satam N, Gupta R, Verma S, Joshi K. Short-read sequencing platforms for variant detection and gene expression analysis. Front Genet. </w:t>
      </w:r>
      <w:proofErr w:type="gramStart"/>
      <w:r w:rsidRPr="00FA6380">
        <w:rPr>
          <w:rFonts w:ascii="Arial" w:hAnsi="Arial" w:cs="Arial"/>
        </w:rPr>
        <w:t>2021;12:675421</w:t>
      </w:r>
      <w:proofErr w:type="gramEnd"/>
      <w:r w:rsidRPr="00FA6380">
        <w:rPr>
          <w:rFonts w:ascii="Arial" w:hAnsi="Arial" w:cs="Arial"/>
        </w:rPr>
        <w:t>.</w:t>
      </w:r>
    </w:p>
    <w:p w14:paraId="11B396F4" w14:textId="513A1DFB" w:rsidR="00FA6380" w:rsidRPr="00FA6380" w:rsidRDefault="00FA6380" w:rsidP="003C2A1B">
      <w:pPr>
        <w:pStyle w:val="Body"/>
        <w:numPr>
          <w:ilvl w:val="0"/>
          <w:numId w:val="33"/>
        </w:numPr>
        <w:rPr>
          <w:rFonts w:ascii="Arial" w:hAnsi="Arial" w:cs="Arial"/>
          <w:lang w:val="pt-BR"/>
        </w:rPr>
      </w:pPr>
      <w:r w:rsidRPr="00FA6380">
        <w:rPr>
          <w:rFonts w:ascii="Arial" w:hAnsi="Arial" w:cs="Arial"/>
          <w:lang w:val="fr-FR"/>
        </w:rPr>
        <w:t xml:space="preserve">Xu, J., Li, F., </w:t>
      </w:r>
      <w:proofErr w:type="spellStart"/>
      <w:r w:rsidRPr="00FA6380">
        <w:rPr>
          <w:rFonts w:ascii="Arial" w:hAnsi="Arial" w:cs="Arial"/>
          <w:lang w:val="fr-FR"/>
        </w:rPr>
        <w:t>Leier</w:t>
      </w:r>
      <w:proofErr w:type="spellEnd"/>
      <w:r w:rsidRPr="00FA6380">
        <w:rPr>
          <w:rFonts w:ascii="Arial" w:hAnsi="Arial" w:cs="Arial"/>
          <w:lang w:val="fr-FR"/>
        </w:rPr>
        <w:t xml:space="preserve">, A., Xiang, D., Shen, H. H., Lago, T. T. M., Li, J., Yu, D. J., &amp; Song, J. (2021). </w:t>
      </w:r>
      <w:r w:rsidRPr="00FA6380">
        <w:rPr>
          <w:rFonts w:ascii="Arial" w:hAnsi="Arial" w:cs="Arial"/>
        </w:rPr>
        <w:t xml:space="preserve">Comprehensive assessment of machine learning-based methods for predicting antimicrobial peptides. Briefings in Bioinformatics, 22(5), bbab083. </w:t>
      </w:r>
      <w:hyperlink r:id="rId34" w:history="1">
        <w:r w:rsidRPr="00FA6380">
          <w:rPr>
            <w:rStyle w:val="Hyperlink"/>
            <w:rFonts w:ascii="Arial" w:hAnsi="Arial" w:cs="Arial"/>
            <w:lang w:val="pt-BR"/>
          </w:rPr>
          <w:t>https://doi.org/10.1093/bib/bbab083</w:t>
        </w:r>
      </w:hyperlink>
    </w:p>
    <w:p w14:paraId="32B2AD40" w14:textId="6B6D1FB8" w:rsidR="00FA6380" w:rsidRDefault="00FA6380" w:rsidP="003C2A1B">
      <w:pPr>
        <w:pStyle w:val="Body"/>
        <w:numPr>
          <w:ilvl w:val="0"/>
          <w:numId w:val="33"/>
        </w:numPr>
        <w:rPr>
          <w:rFonts w:ascii="Arial" w:hAnsi="Arial" w:cs="Arial"/>
          <w:lang w:val="en-IN"/>
        </w:rPr>
      </w:pPr>
      <w:r w:rsidRPr="00FA6380">
        <w:rPr>
          <w:rFonts w:ascii="Arial" w:hAnsi="Arial" w:cs="Arial"/>
          <w:lang w:val="pt-BR"/>
        </w:rPr>
        <w:t xml:space="preserve">Saisri, B., Anjaneyulu, V., &amp; Kumar, G. V. (2021). </w:t>
      </w:r>
      <w:r w:rsidRPr="00FA6380">
        <w:rPr>
          <w:rFonts w:ascii="Arial" w:hAnsi="Arial" w:cs="Arial"/>
          <w:lang w:val="en-IN"/>
        </w:rPr>
        <w:t xml:space="preserve">Design and charaterization of pramipexole dihydrochloride nanoparticles. Journal For Innovative Development in Pharmaceutical and Technical Science (JIDPTS), 4(11). </w:t>
      </w:r>
      <w:hyperlink r:id="rId35" w:history="1">
        <w:r w:rsidRPr="000F3765">
          <w:rPr>
            <w:rStyle w:val="Hyperlink"/>
            <w:rFonts w:ascii="Arial" w:hAnsi="Arial" w:cs="Arial"/>
            <w:lang w:val="en-IN"/>
          </w:rPr>
          <w:t>https://www.jidps.com/volume-4-issue-11-november-2021/</w:t>
        </w:r>
      </w:hyperlink>
    </w:p>
    <w:p w14:paraId="2B340505" w14:textId="1558DD93" w:rsidR="00FA6380" w:rsidRDefault="00FA6380" w:rsidP="003C2A1B">
      <w:pPr>
        <w:pStyle w:val="Body"/>
        <w:numPr>
          <w:ilvl w:val="0"/>
          <w:numId w:val="33"/>
        </w:numPr>
        <w:rPr>
          <w:rFonts w:ascii="Arial" w:hAnsi="Arial" w:cs="Arial"/>
        </w:rPr>
      </w:pPr>
      <w:r w:rsidRPr="00FA6380">
        <w:rPr>
          <w:rFonts w:ascii="Arial" w:hAnsi="Arial" w:cs="Arial"/>
        </w:rPr>
        <w:t xml:space="preserve">Wenger, A. M., Peluso, P., Rowell, W. J., Chang, P. C., Hall, R. J., Concepcion, G. T., Ebler, J., </w:t>
      </w:r>
      <w:proofErr w:type="spellStart"/>
      <w:r w:rsidRPr="00FA6380">
        <w:rPr>
          <w:rFonts w:ascii="Arial" w:hAnsi="Arial" w:cs="Arial"/>
        </w:rPr>
        <w:t>Fungtammasan</w:t>
      </w:r>
      <w:proofErr w:type="spellEnd"/>
      <w:r w:rsidRPr="00FA6380">
        <w:rPr>
          <w:rFonts w:ascii="Arial" w:hAnsi="Arial" w:cs="Arial"/>
        </w:rPr>
        <w:t xml:space="preserve">, A., Kolesnikov, A., Olson, N. D., Töpfer, A., Alonge, M., Mahmoud, M., Qian, Y., Chin, C. S., Phillippy, A. M., Schatz, M. C., Myers, G., </w:t>
      </w:r>
      <w:proofErr w:type="spellStart"/>
      <w:r w:rsidRPr="00FA6380">
        <w:rPr>
          <w:rFonts w:ascii="Arial" w:hAnsi="Arial" w:cs="Arial"/>
        </w:rPr>
        <w:t>DePristo</w:t>
      </w:r>
      <w:proofErr w:type="spellEnd"/>
      <w:r w:rsidRPr="00FA6380">
        <w:rPr>
          <w:rFonts w:ascii="Arial" w:hAnsi="Arial" w:cs="Arial"/>
        </w:rPr>
        <w:t xml:space="preserve">, M. A., ... Hunkapiller, M. W. (2019). Accurate circular consensus long-read sequencing improves variant detection and assembly of a human genome. Nat </w:t>
      </w:r>
      <w:proofErr w:type="spellStart"/>
      <w:r w:rsidRPr="00FA6380">
        <w:rPr>
          <w:rFonts w:ascii="Arial" w:hAnsi="Arial" w:cs="Arial"/>
        </w:rPr>
        <w:t>Biotechnol</w:t>
      </w:r>
      <w:proofErr w:type="spellEnd"/>
      <w:r w:rsidRPr="00FA6380">
        <w:rPr>
          <w:rFonts w:ascii="Arial" w:hAnsi="Arial" w:cs="Arial"/>
        </w:rPr>
        <w:t xml:space="preserve">, 37(10), 1155-1162. </w:t>
      </w:r>
      <w:hyperlink r:id="rId36" w:history="1">
        <w:r w:rsidRPr="000F3765">
          <w:rPr>
            <w:rStyle w:val="Hyperlink"/>
            <w:rFonts w:ascii="Arial" w:hAnsi="Arial" w:cs="Arial"/>
          </w:rPr>
          <w:t>https://doi.org/10.1038/s41587-019-0217-9</w:t>
        </w:r>
      </w:hyperlink>
    </w:p>
    <w:p w14:paraId="6C398B7B" w14:textId="5EA0FF93" w:rsidR="00FA6380" w:rsidRDefault="00FA6380" w:rsidP="003C2A1B">
      <w:pPr>
        <w:pStyle w:val="Body"/>
        <w:numPr>
          <w:ilvl w:val="0"/>
          <w:numId w:val="33"/>
        </w:numPr>
        <w:rPr>
          <w:rFonts w:ascii="Arial" w:hAnsi="Arial" w:cs="Arial"/>
        </w:rPr>
      </w:pPr>
      <w:r w:rsidRPr="00490F69">
        <w:rPr>
          <w:rFonts w:ascii="Arial" w:hAnsi="Arial" w:cs="Arial"/>
          <w:lang w:val="nl-BE"/>
        </w:rPr>
        <w:t xml:space="preserve">Nurk S, Koren S, Rhie A, Rautiainen M, Bzikadze AV, et al. </w:t>
      </w:r>
      <w:r w:rsidRPr="00FA6380">
        <w:rPr>
          <w:rFonts w:ascii="Arial" w:hAnsi="Arial" w:cs="Arial"/>
        </w:rPr>
        <w:t>The complete sequence of a human genome. Science. 2022;376(6588):44-53.</w:t>
      </w:r>
    </w:p>
    <w:p w14:paraId="0554222E" w14:textId="35D9E0A8" w:rsidR="00FA6380" w:rsidRPr="00FA6380" w:rsidRDefault="00FA6380" w:rsidP="003C2A1B">
      <w:pPr>
        <w:pStyle w:val="Body"/>
        <w:numPr>
          <w:ilvl w:val="0"/>
          <w:numId w:val="33"/>
        </w:numPr>
        <w:rPr>
          <w:rFonts w:ascii="Arial" w:hAnsi="Arial" w:cs="Arial"/>
          <w:lang w:val="fr-FR"/>
        </w:rPr>
      </w:pPr>
      <w:r w:rsidRPr="00FA6380">
        <w:rPr>
          <w:rFonts w:ascii="Arial" w:hAnsi="Arial" w:cs="Arial"/>
        </w:rPr>
        <w:t xml:space="preserve">Cheng, H., Concepcion, G. T., Feng, X., Zhang, H., &amp; Li, H. (2021). Haplotype-resolved de novo assembly using phased assembly graphs with hifiasm. Nature Methods. </w:t>
      </w:r>
      <w:hyperlink r:id="rId37" w:history="1">
        <w:r w:rsidRPr="00FA6380">
          <w:rPr>
            <w:rStyle w:val="Hyperlink"/>
            <w:rFonts w:ascii="Arial" w:hAnsi="Arial" w:cs="Arial"/>
            <w:lang w:val="fr-FR"/>
          </w:rPr>
          <w:t>https://doi.org/10.1038/s41592-020-01056-5</w:t>
        </w:r>
      </w:hyperlink>
    </w:p>
    <w:p w14:paraId="0FECA3E5" w14:textId="327C9EEB" w:rsidR="00FA6380" w:rsidRDefault="00FA6380" w:rsidP="003C2A1B">
      <w:pPr>
        <w:pStyle w:val="Body"/>
        <w:numPr>
          <w:ilvl w:val="0"/>
          <w:numId w:val="33"/>
        </w:numPr>
        <w:rPr>
          <w:rFonts w:ascii="Arial" w:hAnsi="Arial" w:cs="Arial"/>
          <w:lang w:val="fr-FR"/>
        </w:rPr>
      </w:pPr>
      <w:r w:rsidRPr="00490F69">
        <w:rPr>
          <w:rFonts w:ascii="Arial" w:hAnsi="Arial" w:cs="Arial"/>
          <w:lang w:val="fr-FR"/>
        </w:rPr>
        <w:lastRenderedPageBreak/>
        <w:t xml:space="preserve">Hon, T., Mars, K., Young, G., </w:t>
      </w:r>
      <w:proofErr w:type="spellStart"/>
      <w:r w:rsidRPr="00490F69">
        <w:rPr>
          <w:rFonts w:ascii="Arial" w:hAnsi="Arial" w:cs="Arial"/>
          <w:lang w:val="fr-FR"/>
        </w:rPr>
        <w:t>Tsai</w:t>
      </w:r>
      <w:proofErr w:type="spellEnd"/>
      <w:r w:rsidRPr="00490F69">
        <w:rPr>
          <w:rFonts w:ascii="Arial" w:hAnsi="Arial" w:cs="Arial"/>
          <w:lang w:val="fr-FR"/>
        </w:rPr>
        <w:t xml:space="preserve">, Y.-C., </w:t>
      </w:r>
      <w:proofErr w:type="spellStart"/>
      <w:r w:rsidRPr="00490F69">
        <w:rPr>
          <w:rFonts w:ascii="Arial" w:hAnsi="Arial" w:cs="Arial"/>
          <w:lang w:val="fr-FR"/>
        </w:rPr>
        <w:t>Karalius</w:t>
      </w:r>
      <w:proofErr w:type="spellEnd"/>
      <w:r w:rsidRPr="00490F69">
        <w:rPr>
          <w:rFonts w:ascii="Arial" w:hAnsi="Arial" w:cs="Arial"/>
          <w:lang w:val="fr-FR"/>
        </w:rPr>
        <w:t xml:space="preserve">, J. W., </w:t>
      </w:r>
      <w:proofErr w:type="spellStart"/>
      <w:r w:rsidRPr="00490F69">
        <w:rPr>
          <w:rFonts w:ascii="Arial" w:hAnsi="Arial" w:cs="Arial"/>
          <w:lang w:val="fr-FR"/>
        </w:rPr>
        <w:t>Landolin</w:t>
      </w:r>
      <w:proofErr w:type="spellEnd"/>
      <w:r w:rsidRPr="00490F69">
        <w:rPr>
          <w:rFonts w:ascii="Arial" w:hAnsi="Arial" w:cs="Arial"/>
          <w:lang w:val="fr-FR"/>
        </w:rPr>
        <w:t xml:space="preserve">, J. M., Maurer, N., </w:t>
      </w:r>
      <w:proofErr w:type="spellStart"/>
      <w:r w:rsidRPr="00490F69">
        <w:rPr>
          <w:rFonts w:ascii="Arial" w:hAnsi="Arial" w:cs="Arial"/>
          <w:lang w:val="fr-FR"/>
        </w:rPr>
        <w:t>Kudrna</w:t>
      </w:r>
      <w:proofErr w:type="spellEnd"/>
      <w:r w:rsidRPr="00490F69">
        <w:rPr>
          <w:rFonts w:ascii="Arial" w:hAnsi="Arial" w:cs="Arial"/>
          <w:lang w:val="fr-FR"/>
        </w:rPr>
        <w:t xml:space="preserve">, D., </w:t>
      </w:r>
      <w:proofErr w:type="spellStart"/>
      <w:r w:rsidRPr="00490F69">
        <w:rPr>
          <w:rFonts w:ascii="Arial" w:hAnsi="Arial" w:cs="Arial"/>
          <w:lang w:val="fr-FR"/>
        </w:rPr>
        <w:t>Hardigan</w:t>
      </w:r>
      <w:proofErr w:type="spellEnd"/>
      <w:r w:rsidRPr="00490F69">
        <w:rPr>
          <w:rFonts w:ascii="Arial" w:hAnsi="Arial" w:cs="Arial"/>
          <w:lang w:val="fr-FR"/>
        </w:rPr>
        <w:t xml:space="preserve">, M. A., Steiner, C. C., Knapp, S. J., </w:t>
      </w:r>
      <w:proofErr w:type="spellStart"/>
      <w:r w:rsidRPr="00490F69">
        <w:rPr>
          <w:rFonts w:ascii="Arial" w:hAnsi="Arial" w:cs="Arial"/>
          <w:lang w:val="fr-FR"/>
        </w:rPr>
        <w:t>Ware</w:t>
      </w:r>
      <w:proofErr w:type="spellEnd"/>
      <w:r w:rsidRPr="00490F69">
        <w:rPr>
          <w:rFonts w:ascii="Arial" w:hAnsi="Arial" w:cs="Arial"/>
          <w:lang w:val="fr-FR"/>
        </w:rPr>
        <w:t xml:space="preserve">, D., Shapiro, B., </w:t>
      </w:r>
      <w:proofErr w:type="spellStart"/>
      <w:r w:rsidRPr="00490F69">
        <w:rPr>
          <w:rFonts w:ascii="Arial" w:hAnsi="Arial" w:cs="Arial"/>
          <w:lang w:val="fr-FR"/>
        </w:rPr>
        <w:t>Peluso</w:t>
      </w:r>
      <w:proofErr w:type="spellEnd"/>
      <w:r w:rsidRPr="00490F69">
        <w:rPr>
          <w:rFonts w:ascii="Arial" w:hAnsi="Arial" w:cs="Arial"/>
          <w:lang w:val="fr-FR"/>
        </w:rPr>
        <w:t xml:space="preserve">, P., &amp; Rank, D. R. (2020). </w:t>
      </w:r>
      <w:r w:rsidRPr="00FA6380">
        <w:rPr>
          <w:rFonts w:ascii="Arial" w:hAnsi="Arial" w:cs="Arial"/>
          <w:lang w:val="en-IN"/>
        </w:rPr>
        <w:t xml:space="preserve">Highly accurate long-read HiFi sequencing data for five complex genomes. </w:t>
      </w:r>
      <w:r w:rsidRPr="00FA6380">
        <w:rPr>
          <w:rFonts w:ascii="Arial" w:hAnsi="Arial" w:cs="Arial"/>
          <w:lang w:val="fr-FR"/>
        </w:rPr>
        <w:t xml:space="preserve">Scientific Data, 7(1), 399. </w:t>
      </w:r>
      <w:hyperlink r:id="rId38" w:history="1">
        <w:r w:rsidRPr="000F3765">
          <w:rPr>
            <w:rStyle w:val="Hyperlink"/>
            <w:rFonts w:ascii="Arial" w:hAnsi="Arial" w:cs="Arial"/>
            <w:lang w:val="fr-FR"/>
          </w:rPr>
          <w:t>https://doi.org/10.1038/s41597-020-00743-4</w:t>
        </w:r>
      </w:hyperlink>
    </w:p>
    <w:p w14:paraId="14426A99" w14:textId="73ADF920" w:rsidR="00FA6380" w:rsidRDefault="00FA6380" w:rsidP="003C2A1B">
      <w:pPr>
        <w:pStyle w:val="Body"/>
        <w:numPr>
          <w:ilvl w:val="0"/>
          <w:numId w:val="33"/>
        </w:numPr>
        <w:rPr>
          <w:rFonts w:ascii="Arial" w:hAnsi="Arial" w:cs="Arial"/>
          <w:lang w:val="fr-FR"/>
        </w:rPr>
      </w:pPr>
      <w:r w:rsidRPr="00FA6380">
        <w:rPr>
          <w:rFonts w:ascii="Arial" w:hAnsi="Arial" w:cs="Arial"/>
          <w:lang w:val="fr-FR"/>
        </w:rPr>
        <w:t xml:space="preserve">Mostafa HH, </w:t>
      </w:r>
      <w:proofErr w:type="spellStart"/>
      <w:r w:rsidRPr="00FA6380">
        <w:rPr>
          <w:rFonts w:ascii="Arial" w:hAnsi="Arial" w:cs="Arial"/>
          <w:lang w:val="fr-FR"/>
        </w:rPr>
        <w:t>Koepfli</w:t>
      </w:r>
      <w:proofErr w:type="spellEnd"/>
      <w:r w:rsidRPr="00FA6380">
        <w:rPr>
          <w:rFonts w:ascii="Arial" w:hAnsi="Arial" w:cs="Arial"/>
          <w:lang w:val="fr-FR"/>
        </w:rPr>
        <w:t xml:space="preserve"> KP, Milne G, </w:t>
      </w:r>
      <w:proofErr w:type="spellStart"/>
      <w:r w:rsidRPr="00FA6380">
        <w:rPr>
          <w:rFonts w:ascii="Arial" w:hAnsi="Arial" w:cs="Arial"/>
          <w:lang w:val="fr-FR"/>
        </w:rPr>
        <w:t>Logsdon</w:t>
      </w:r>
      <w:proofErr w:type="spellEnd"/>
      <w:r w:rsidRPr="00FA6380">
        <w:rPr>
          <w:rFonts w:ascii="Arial" w:hAnsi="Arial" w:cs="Arial"/>
          <w:lang w:val="fr-FR"/>
        </w:rPr>
        <w:t xml:space="preserve"> GA. </w:t>
      </w:r>
      <w:r w:rsidRPr="00FA6380">
        <w:rPr>
          <w:rFonts w:ascii="Arial" w:hAnsi="Arial" w:cs="Arial"/>
          <w:lang w:val="en-IN"/>
        </w:rPr>
        <w:t xml:space="preserve">Advances in Oxford Nanopore sequencing chemistry and basecalling algorithms. </w:t>
      </w:r>
      <w:proofErr w:type="spellStart"/>
      <w:r w:rsidRPr="00FA6380">
        <w:rPr>
          <w:rFonts w:ascii="Arial" w:hAnsi="Arial" w:cs="Arial"/>
          <w:lang w:val="fr-FR"/>
        </w:rPr>
        <w:t>Nucleic</w:t>
      </w:r>
      <w:proofErr w:type="spellEnd"/>
      <w:r w:rsidRPr="00FA6380">
        <w:rPr>
          <w:rFonts w:ascii="Arial" w:hAnsi="Arial" w:cs="Arial"/>
          <w:lang w:val="fr-FR"/>
        </w:rPr>
        <w:t xml:space="preserve"> </w:t>
      </w:r>
      <w:proofErr w:type="spellStart"/>
      <w:r w:rsidRPr="00FA6380">
        <w:rPr>
          <w:rFonts w:ascii="Arial" w:hAnsi="Arial" w:cs="Arial"/>
          <w:lang w:val="fr-FR"/>
        </w:rPr>
        <w:t>Acids</w:t>
      </w:r>
      <w:proofErr w:type="spellEnd"/>
      <w:r w:rsidRPr="00FA6380">
        <w:rPr>
          <w:rFonts w:ascii="Arial" w:hAnsi="Arial" w:cs="Arial"/>
          <w:lang w:val="fr-FR"/>
        </w:rPr>
        <w:t xml:space="preserve"> </w:t>
      </w:r>
      <w:proofErr w:type="spellStart"/>
      <w:r w:rsidRPr="00FA6380">
        <w:rPr>
          <w:rFonts w:ascii="Arial" w:hAnsi="Arial" w:cs="Arial"/>
          <w:lang w:val="fr-FR"/>
        </w:rPr>
        <w:t>Res</w:t>
      </w:r>
      <w:proofErr w:type="spellEnd"/>
      <w:r w:rsidRPr="00FA6380">
        <w:rPr>
          <w:rFonts w:ascii="Arial" w:hAnsi="Arial" w:cs="Arial"/>
          <w:lang w:val="fr-FR"/>
        </w:rPr>
        <w:t xml:space="preserve">. </w:t>
      </w:r>
      <w:proofErr w:type="gramStart"/>
      <w:r w:rsidRPr="00FA6380">
        <w:rPr>
          <w:rFonts w:ascii="Arial" w:hAnsi="Arial" w:cs="Arial"/>
          <w:lang w:val="fr-FR"/>
        </w:rPr>
        <w:t>2022;</w:t>
      </w:r>
      <w:proofErr w:type="gramEnd"/>
      <w:r w:rsidRPr="00FA6380">
        <w:rPr>
          <w:rFonts w:ascii="Arial" w:hAnsi="Arial" w:cs="Arial"/>
          <w:lang w:val="fr-FR"/>
        </w:rPr>
        <w:t>50(18</w:t>
      </w:r>
      <w:proofErr w:type="gramStart"/>
      <w:r w:rsidRPr="00FA6380">
        <w:rPr>
          <w:rFonts w:ascii="Arial" w:hAnsi="Arial" w:cs="Arial"/>
          <w:lang w:val="fr-FR"/>
        </w:rPr>
        <w:t>):</w:t>
      </w:r>
      <w:proofErr w:type="gramEnd"/>
      <w:r w:rsidRPr="00FA6380">
        <w:rPr>
          <w:rFonts w:ascii="Arial" w:hAnsi="Arial" w:cs="Arial"/>
          <w:lang w:val="fr-FR"/>
        </w:rPr>
        <w:t>10312-10328.</w:t>
      </w:r>
    </w:p>
    <w:p w14:paraId="68D24FC9" w14:textId="391CD415" w:rsidR="00FA6380" w:rsidRDefault="00FA6380" w:rsidP="003C2A1B">
      <w:pPr>
        <w:pStyle w:val="Body"/>
        <w:numPr>
          <w:ilvl w:val="0"/>
          <w:numId w:val="33"/>
        </w:numPr>
        <w:rPr>
          <w:rFonts w:ascii="Arial" w:hAnsi="Arial" w:cs="Arial"/>
        </w:rPr>
      </w:pPr>
      <w:proofErr w:type="spellStart"/>
      <w:r w:rsidRPr="00FA6380">
        <w:rPr>
          <w:rFonts w:ascii="Arial" w:hAnsi="Arial" w:cs="Arial"/>
          <w:lang w:val="fr-FR"/>
        </w:rPr>
        <w:t>Averta</w:t>
      </w:r>
      <w:proofErr w:type="spellEnd"/>
      <w:r w:rsidRPr="00FA6380">
        <w:rPr>
          <w:rFonts w:ascii="Arial" w:hAnsi="Arial" w:cs="Arial"/>
          <w:lang w:val="fr-FR"/>
        </w:rPr>
        <w:t xml:space="preserve">, G., </w:t>
      </w:r>
      <w:proofErr w:type="spellStart"/>
      <w:r w:rsidRPr="00FA6380">
        <w:rPr>
          <w:rFonts w:ascii="Arial" w:hAnsi="Arial" w:cs="Arial"/>
          <w:lang w:val="fr-FR"/>
        </w:rPr>
        <w:t>Barontini</w:t>
      </w:r>
      <w:proofErr w:type="spellEnd"/>
      <w:r w:rsidRPr="00FA6380">
        <w:rPr>
          <w:rFonts w:ascii="Arial" w:hAnsi="Arial" w:cs="Arial"/>
          <w:lang w:val="fr-FR"/>
        </w:rPr>
        <w:t xml:space="preserve">, F., </w:t>
      </w:r>
      <w:proofErr w:type="spellStart"/>
      <w:r w:rsidRPr="00FA6380">
        <w:rPr>
          <w:rFonts w:ascii="Arial" w:hAnsi="Arial" w:cs="Arial"/>
          <w:lang w:val="fr-FR"/>
        </w:rPr>
        <w:t>Catrambone</w:t>
      </w:r>
      <w:proofErr w:type="spellEnd"/>
      <w:r w:rsidRPr="00FA6380">
        <w:rPr>
          <w:rFonts w:ascii="Arial" w:hAnsi="Arial" w:cs="Arial"/>
          <w:lang w:val="fr-FR"/>
        </w:rPr>
        <w:t xml:space="preserve">, V., </w:t>
      </w:r>
      <w:proofErr w:type="spellStart"/>
      <w:r w:rsidRPr="00FA6380">
        <w:rPr>
          <w:rFonts w:ascii="Arial" w:hAnsi="Arial" w:cs="Arial"/>
          <w:lang w:val="fr-FR"/>
        </w:rPr>
        <w:t>Haddadin</w:t>
      </w:r>
      <w:proofErr w:type="spellEnd"/>
      <w:r w:rsidRPr="00FA6380">
        <w:rPr>
          <w:rFonts w:ascii="Arial" w:hAnsi="Arial" w:cs="Arial"/>
          <w:lang w:val="fr-FR"/>
        </w:rPr>
        <w:t xml:space="preserve">, S., </w:t>
      </w:r>
      <w:proofErr w:type="spellStart"/>
      <w:r w:rsidRPr="00FA6380">
        <w:rPr>
          <w:rFonts w:ascii="Arial" w:hAnsi="Arial" w:cs="Arial"/>
          <w:lang w:val="fr-FR"/>
        </w:rPr>
        <w:t>Handjaras</w:t>
      </w:r>
      <w:proofErr w:type="spellEnd"/>
      <w:r w:rsidRPr="00FA6380">
        <w:rPr>
          <w:rFonts w:ascii="Arial" w:hAnsi="Arial" w:cs="Arial"/>
          <w:lang w:val="fr-FR"/>
        </w:rPr>
        <w:t xml:space="preserve">, G., </w:t>
      </w:r>
      <w:proofErr w:type="spellStart"/>
      <w:r w:rsidRPr="00FA6380">
        <w:rPr>
          <w:rFonts w:ascii="Arial" w:hAnsi="Arial" w:cs="Arial"/>
          <w:lang w:val="fr-FR"/>
        </w:rPr>
        <w:t>Held</w:t>
      </w:r>
      <w:proofErr w:type="spellEnd"/>
      <w:r w:rsidRPr="00FA6380">
        <w:rPr>
          <w:rFonts w:ascii="Arial" w:hAnsi="Arial" w:cs="Arial"/>
          <w:lang w:val="fr-FR"/>
        </w:rPr>
        <w:t xml:space="preserve">, J. P. O., Hu, T., </w:t>
      </w:r>
      <w:proofErr w:type="spellStart"/>
      <w:r w:rsidRPr="00FA6380">
        <w:rPr>
          <w:rFonts w:ascii="Arial" w:hAnsi="Arial" w:cs="Arial"/>
          <w:lang w:val="fr-FR"/>
        </w:rPr>
        <w:t>Jakubowitz</w:t>
      </w:r>
      <w:proofErr w:type="spellEnd"/>
      <w:r w:rsidRPr="00FA6380">
        <w:rPr>
          <w:rFonts w:ascii="Arial" w:hAnsi="Arial" w:cs="Arial"/>
          <w:lang w:val="fr-FR"/>
        </w:rPr>
        <w:t xml:space="preserve">, E., </w:t>
      </w:r>
      <w:proofErr w:type="spellStart"/>
      <w:r w:rsidRPr="00FA6380">
        <w:rPr>
          <w:rFonts w:ascii="Arial" w:hAnsi="Arial" w:cs="Arial"/>
          <w:lang w:val="fr-FR"/>
        </w:rPr>
        <w:t>Kanzler</w:t>
      </w:r>
      <w:proofErr w:type="spellEnd"/>
      <w:r w:rsidRPr="00FA6380">
        <w:rPr>
          <w:rFonts w:ascii="Arial" w:hAnsi="Arial" w:cs="Arial"/>
          <w:lang w:val="fr-FR"/>
        </w:rPr>
        <w:t xml:space="preserve">, C. M., Kühn, J., </w:t>
      </w:r>
      <w:proofErr w:type="spellStart"/>
      <w:r w:rsidRPr="00FA6380">
        <w:rPr>
          <w:rFonts w:ascii="Arial" w:hAnsi="Arial" w:cs="Arial"/>
          <w:lang w:val="fr-FR"/>
        </w:rPr>
        <w:t>Lambercy</w:t>
      </w:r>
      <w:proofErr w:type="spellEnd"/>
      <w:r w:rsidRPr="00FA6380">
        <w:rPr>
          <w:rFonts w:ascii="Arial" w:hAnsi="Arial" w:cs="Arial"/>
          <w:lang w:val="fr-FR"/>
        </w:rPr>
        <w:t xml:space="preserve">, O., Leo, A., </w:t>
      </w:r>
      <w:proofErr w:type="spellStart"/>
      <w:r w:rsidRPr="00FA6380">
        <w:rPr>
          <w:rFonts w:ascii="Arial" w:hAnsi="Arial" w:cs="Arial"/>
          <w:lang w:val="fr-FR"/>
        </w:rPr>
        <w:t>Obermeier</w:t>
      </w:r>
      <w:proofErr w:type="spellEnd"/>
      <w:r w:rsidRPr="00FA6380">
        <w:rPr>
          <w:rFonts w:ascii="Arial" w:hAnsi="Arial" w:cs="Arial"/>
          <w:lang w:val="fr-FR"/>
        </w:rPr>
        <w:t xml:space="preserve">, A., </w:t>
      </w:r>
      <w:proofErr w:type="spellStart"/>
      <w:r w:rsidRPr="00FA6380">
        <w:rPr>
          <w:rFonts w:ascii="Arial" w:hAnsi="Arial" w:cs="Arial"/>
          <w:lang w:val="fr-FR"/>
        </w:rPr>
        <w:t>Ricciardi</w:t>
      </w:r>
      <w:proofErr w:type="spellEnd"/>
      <w:r w:rsidRPr="00FA6380">
        <w:rPr>
          <w:rFonts w:ascii="Arial" w:hAnsi="Arial" w:cs="Arial"/>
          <w:lang w:val="fr-FR"/>
        </w:rPr>
        <w:t xml:space="preserve">, E., Schwarz, A., Valenza, G., </w:t>
      </w:r>
      <w:proofErr w:type="spellStart"/>
      <w:r w:rsidRPr="00FA6380">
        <w:rPr>
          <w:rFonts w:ascii="Arial" w:hAnsi="Arial" w:cs="Arial"/>
          <w:lang w:val="fr-FR"/>
        </w:rPr>
        <w:t>Bicchi</w:t>
      </w:r>
      <w:proofErr w:type="spellEnd"/>
      <w:r w:rsidRPr="00FA6380">
        <w:rPr>
          <w:rFonts w:ascii="Arial" w:hAnsi="Arial" w:cs="Arial"/>
          <w:lang w:val="fr-FR"/>
        </w:rPr>
        <w:t xml:space="preserve">, A., &amp; Bianchi, M. (2021). </w:t>
      </w:r>
      <w:r w:rsidRPr="00FA6380">
        <w:rPr>
          <w:rFonts w:ascii="Arial" w:hAnsi="Arial" w:cs="Arial"/>
        </w:rPr>
        <w:t xml:space="preserve">U-Limb: A multi-modal, multi-center database on arm motion control in healthy and post-stroke conditions. </w:t>
      </w:r>
      <w:proofErr w:type="spellStart"/>
      <w:r w:rsidRPr="00FA6380">
        <w:rPr>
          <w:rFonts w:ascii="Arial" w:hAnsi="Arial" w:cs="Arial"/>
        </w:rPr>
        <w:t>Gigascience</w:t>
      </w:r>
      <w:proofErr w:type="spellEnd"/>
      <w:r w:rsidRPr="00FA6380">
        <w:rPr>
          <w:rFonts w:ascii="Arial" w:hAnsi="Arial" w:cs="Arial"/>
        </w:rPr>
        <w:t xml:space="preserve">. </w:t>
      </w:r>
      <w:hyperlink r:id="rId39" w:history="1">
        <w:r w:rsidRPr="000F3765">
          <w:rPr>
            <w:rStyle w:val="Hyperlink"/>
            <w:rFonts w:ascii="Arial" w:hAnsi="Arial" w:cs="Arial"/>
          </w:rPr>
          <w:t>https://doi.org/10.1093/gigascience/giab043</w:t>
        </w:r>
      </w:hyperlink>
    </w:p>
    <w:p w14:paraId="69A5223E" w14:textId="0D7A0447" w:rsidR="00FA6380" w:rsidRDefault="00FA6380" w:rsidP="003C2A1B">
      <w:pPr>
        <w:pStyle w:val="Body"/>
        <w:numPr>
          <w:ilvl w:val="0"/>
          <w:numId w:val="33"/>
        </w:numPr>
        <w:rPr>
          <w:rFonts w:ascii="Arial" w:hAnsi="Arial" w:cs="Arial"/>
        </w:rPr>
      </w:pPr>
      <w:r w:rsidRPr="00FA6380">
        <w:rPr>
          <w:rFonts w:ascii="Arial" w:hAnsi="Arial" w:cs="Arial"/>
        </w:rPr>
        <w:t>Eisenhofer R, Minich JJ, Marotz C, Cooper A, Knight R. Evaluation of microbial community sequencing with short- and long-read data. Nat Rev Genet. 2019;20(11):631-645.</w:t>
      </w:r>
    </w:p>
    <w:p w14:paraId="2481B971" w14:textId="5077D812" w:rsidR="00FA6380" w:rsidRPr="00FA6380" w:rsidRDefault="00FA6380" w:rsidP="003C2A1B">
      <w:pPr>
        <w:pStyle w:val="Body"/>
        <w:numPr>
          <w:ilvl w:val="0"/>
          <w:numId w:val="33"/>
        </w:numPr>
        <w:rPr>
          <w:rFonts w:ascii="Arial" w:hAnsi="Arial" w:cs="Arial"/>
          <w:lang w:val="pt-BR"/>
        </w:rPr>
      </w:pPr>
      <w:r w:rsidRPr="00FA6380">
        <w:rPr>
          <w:rFonts w:ascii="Arial" w:hAnsi="Arial" w:cs="Arial"/>
        </w:rPr>
        <w:t xml:space="preserve">Brown, B. L., Watson, M., Minot, S. S., Rivera, M. C., &amp; Franklin, R. B. (2017). MinION™ nanopore sequencing of environmental metagenomes: a synthetic approach. </w:t>
      </w:r>
      <w:proofErr w:type="spellStart"/>
      <w:r w:rsidRPr="00FA6380">
        <w:rPr>
          <w:rFonts w:ascii="Arial" w:hAnsi="Arial" w:cs="Arial"/>
        </w:rPr>
        <w:t>GigaScience</w:t>
      </w:r>
      <w:proofErr w:type="spellEnd"/>
      <w:r w:rsidRPr="00FA6380">
        <w:rPr>
          <w:rFonts w:ascii="Arial" w:hAnsi="Arial" w:cs="Arial"/>
        </w:rPr>
        <w:t xml:space="preserve">, 6(3), 1-10. </w:t>
      </w:r>
      <w:hyperlink r:id="rId40" w:history="1">
        <w:r w:rsidRPr="00FA6380">
          <w:rPr>
            <w:rStyle w:val="Hyperlink"/>
            <w:rFonts w:ascii="Arial" w:hAnsi="Arial" w:cs="Arial"/>
            <w:lang w:val="pt-BR"/>
          </w:rPr>
          <w:t>https://doi.org/10.1093/gigascience/gix007</w:t>
        </w:r>
      </w:hyperlink>
    </w:p>
    <w:p w14:paraId="4A037572" w14:textId="7AEA0F4E" w:rsidR="00FA6380" w:rsidRPr="00FA6380" w:rsidRDefault="00FA6380" w:rsidP="003C2A1B">
      <w:pPr>
        <w:pStyle w:val="Body"/>
        <w:numPr>
          <w:ilvl w:val="0"/>
          <w:numId w:val="33"/>
        </w:numPr>
        <w:rPr>
          <w:rFonts w:ascii="Arial" w:hAnsi="Arial" w:cs="Arial"/>
          <w:lang w:val="fr-FR"/>
        </w:rPr>
      </w:pPr>
      <w:r w:rsidRPr="00FA6380">
        <w:rPr>
          <w:rFonts w:ascii="Arial" w:hAnsi="Arial" w:cs="Arial"/>
          <w:lang w:val="pt-BR"/>
        </w:rPr>
        <w:t xml:space="preserve">Di Marco, S., Tarallo, R., &amp; Giordano, D. (2021). </w:t>
      </w:r>
      <w:r w:rsidRPr="00FA6380">
        <w:rPr>
          <w:rFonts w:ascii="Arial" w:hAnsi="Arial" w:cs="Arial"/>
        </w:rPr>
        <w:t xml:space="preserve">Hybrid sequencing strategies for complex microbial communities. BMC Bioinformatics. </w:t>
      </w:r>
      <w:hyperlink r:id="rId41" w:history="1">
        <w:r w:rsidRPr="00FA6380">
          <w:rPr>
            <w:rStyle w:val="Hyperlink"/>
            <w:rFonts w:ascii="Arial" w:hAnsi="Arial" w:cs="Arial"/>
            <w:lang w:val="fr-FR"/>
          </w:rPr>
          <w:t>https://doi.org/10.1186/s12859-021-04136-z</w:t>
        </w:r>
      </w:hyperlink>
    </w:p>
    <w:p w14:paraId="52C79626" w14:textId="34B63AC1" w:rsidR="00FA6380" w:rsidRDefault="00FA6380" w:rsidP="003C2A1B">
      <w:pPr>
        <w:pStyle w:val="Body"/>
        <w:numPr>
          <w:ilvl w:val="0"/>
          <w:numId w:val="33"/>
        </w:numPr>
        <w:rPr>
          <w:rFonts w:ascii="Arial" w:hAnsi="Arial" w:cs="Arial"/>
        </w:rPr>
      </w:pPr>
      <w:proofErr w:type="spellStart"/>
      <w:r w:rsidRPr="00FA6380">
        <w:rPr>
          <w:rFonts w:ascii="Arial" w:hAnsi="Arial" w:cs="Arial"/>
          <w:lang w:val="fr-FR"/>
        </w:rPr>
        <w:t>Shumate</w:t>
      </w:r>
      <w:proofErr w:type="spellEnd"/>
      <w:r w:rsidRPr="00FA6380">
        <w:rPr>
          <w:rFonts w:ascii="Arial" w:hAnsi="Arial" w:cs="Arial"/>
          <w:lang w:val="fr-FR"/>
        </w:rPr>
        <w:t xml:space="preserve">, A., &amp; </w:t>
      </w:r>
      <w:proofErr w:type="spellStart"/>
      <w:r w:rsidRPr="00FA6380">
        <w:rPr>
          <w:rFonts w:ascii="Arial" w:hAnsi="Arial" w:cs="Arial"/>
          <w:lang w:val="fr-FR"/>
        </w:rPr>
        <w:t>Salzberg</w:t>
      </w:r>
      <w:proofErr w:type="spellEnd"/>
      <w:r w:rsidRPr="00FA6380">
        <w:rPr>
          <w:rFonts w:ascii="Arial" w:hAnsi="Arial" w:cs="Arial"/>
          <w:lang w:val="fr-FR"/>
        </w:rPr>
        <w:t xml:space="preserve">, S. L. (2021). </w:t>
      </w:r>
      <w:r w:rsidRPr="00FA6380">
        <w:rPr>
          <w:rFonts w:ascii="Arial" w:hAnsi="Arial" w:cs="Arial"/>
        </w:rPr>
        <w:t xml:space="preserve">Liftoff: accurate mapping of gene annotations. Bioinformatics, 37(12), 1639–1643. </w:t>
      </w:r>
      <w:hyperlink r:id="rId42" w:history="1">
        <w:r w:rsidRPr="000F3765">
          <w:rPr>
            <w:rStyle w:val="Hyperlink"/>
            <w:rFonts w:ascii="Arial" w:hAnsi="Arial" w:cs="Arial"/>
          </w:rPr>
          <w:t>https://doi.org/10.1093/bioinformatics/btaa1016</w:t>
        </w:r>
      </w:hyperlink>
    </w:p>
    <w:p w14:paraId="2BB9E019" w14:textId="6201726E" w:rsidR="00FA6380" w:rsidRDefault="00FA6380" w:rsidP="003C2A1B">
      <w:pPr>
        <w:pStyle w:val="Body"/>
        <w:numPr>
          <w:ilvl w:val="0"/>
          <w:numId w:val="33"/>
        </w:numPr>
        <w:rPr>
          <w:rFonts w:ascii="Arial" w:hAnsi="Arial" w:cs="Arial"/>
        </w:rPr>
      </w:pPr>
      <w:r w:rsidRPr="00FA6380">
        <w:rPr>
          <w:rFonts w:ascii="Arial" w:hAnsi="Arial" w:cs="Arial"/>
        </w:rPr>
        <w:t>Sakamoto Y, Takahashi Y, Matsumoto H. Applications of long-read sequencing in cancer genomics. Cancer Sci. 2021;112(11):4185-4194.</w:t>
      </w:r>
    </w:p>
    <w:p w14:paraId="6A62A4D6" w14:textId="150F6B24" w:rsidR="00E85534" w:rsidRPr="00E85534" w:rsidRDefault="00E85534" w:rsidP="003C2A1B">
      <w:pPr>
        <w:pStyle w:val="Body"/>
        <w:numPr>
          <w:ilvl w:val="0"/>
          <w:numId w:val="33"/>
        </w:numPr>
        <w:rPr>
          <w:rFonts w:ascii="Arial" w:hAnsi="Arial" w:cs="Arial"/>
        </w:rPr>
      </w:pPr>
      <w:r w:rsidRPr="00E85534">
        <w:rPr>
          <w:rFonts w:ascii="Arial" w:hAnsi="Arial" w:cs="Arial"/>
        </w:rPr>
        <w:t>Guo Y, Li J, Li CI, Long J, Samuels DC, Shyr Y. Strategies for haplotype-aware error correction in long-read sequencing. Bioinformatics. 2019;35(17):2881-2888.</w:t>
      </w:r>
    </w:p>
    <w:p w14:paraId="2986DCB3" w14:textId="4621F961" w:rsidR="00FA6380" w:rsidRDefault="00FA6380" w:rsidP="003C2A1B">
      <w:pPr>
        <w:pStyle w:val="Body"/>
        <w:numPr>
          <w:ilvl w:val="0"/>
          <w:numId w:val="33"/>
        </w:numPr>
        <w:rPr>
          <w:rFonts w:ascii="Arial" w:hAnsi="Arial" w:cs="Arial"/>
        </w:rPr>
      </w:pPr>
      <w:proofErr w:type="spellStart"/>
      <w:r w:rsidRPr="00FA6380">
        <w:rPr>
          <w:rFonts w:ascii="Arial" w:hAnsi="Arial" w:cs="Arial"/>
          <w:lang w:val="fr-FR"/>
        </w:rPr>
        <w:t>Amarasinghe</w:t>
      </w:r>
      <w:proofErr w:type="spellEnd"/>
      <w:r w:rsidRPr="00FA6380">
        <w:rPr>
          <w:rFonts w:ascii="Arial" w:hAnsi="Arial" w:cs="Arial"/>
          <w:lang w:val="fr-FR"/>
        </w:rPr>
        <w:t xml:space="preserve">, S. L., Su, S., Dong, X., </w:t>
      </w:r>
      <w:proofErr w:type="spellStart"/>
      <w:r w:rsidRPr="00FA6380">
        <w:rPr>
          <w:rFonts w:ascii="Arial" w:hAnsi="Arial" w:cs="Arial"/>
          <w:lang w:val="fr-FR"/>
        </w:rPr>
        <w:t>Zappia</w:t>
      </w:r>
      <w:proofErr w:type="spellEnd"/>
      <w:r w:rsidRPr="00FA6380">
        <w:rPr>
          <w:rFonts w:ascii="Arial" w:hAnsi="Arial" w:cs="Arial"/>
          <w:lang w:val="fr-FR"/>
        </w:rPr>
        <w:t xml:space="preserve">, L., Ritchie, M. E., &amp; </w:t>
      </w:r>
      <w:proofErr w:type="spellStart"/>
      <w:r w:rsidRPr="00FA6380">
        <w:rPr>
          <w:rFonts w:ascii="Arial" w:hAnsi="Arial" w:cs="Arial"/>
          <w:lang w:val="fr-FR"/>
        </w:rPr>
        <w:t>Gouil</w:t>
      </w:r>
      <w:proofErr w:type="spellEnd"/>
      <w:r w:rsidRPr="00FA6380">
        <w:rPr>
          <w:rFonts w:ascii="Arial" w:hAnsi="Arial" w:cs="Arial"/>
          <w:lang w:val="fr-FR"/>
        </w:rPr>
        <w:t xml:space="preserve">, Q. (2020). </w:t>
      </w:r>
      <w:r w:rsidRPr="00FA6380">
        <w:rPr>
          <w:rFonts w:ascii="Arial" w:hAnsi="Arial" w:cs="Arial"/>
        </w:rPr>
        <w:t xml:space="preserve">Opportunities and challenges in long-read sequencing data analysis. Genome Biology, 21(1), 30. </w:t>
      </w:r>
      <w:hyperlink r:id="rId43" w:history="1">
        <w:r w:rsidRPr="000F3765">
          <w:rPr>
            <w:rStyle w:val="Hyperlink"/>
            <w:rFonts w:ascii="Arial" w:hAnsi="Arial" w:cs="Arial"/>
          </w:rPr>
          <w:t>https://doi.org/10.1186/s13059-020-1935-5</w:t>
        </w:r>
      </w:hyperlink>
    </w:p>
    <w:p w14:paraId="30C0CF9B" w14:textId="7B6AD6A3" w:rsidR="00FA6380" w:rsidRDefault="00FA6380" w:rsidP="003C2A1B">
      <w:pPr>
        <w:pStyle w:val="Body"/>
        <w:numPr>
          <w:ilvl w:val="0"/>
          <w:numId w:val="33"/>
        </w:numPr>
        <w:rPr>
          <w:rFonts w:ascii="Arial" w:hAnsi="Arial" w:cs="Arial"/>
        </w:rPr>
      </w:pPr>
      <w:r w:rsidRPr="00FA6380">
        <w:rPr>
          <w:rFonts w:ascii="Arial" w:hAnsi="Arial" w:cs="Arial"/>
        </w:rPr>
        <w:t xml:space="preserve">Chen, M., &amp; Zhao, H. (2019). Next-generation sequencing in liquid biopsy: cancer screening and early detection. Human Genomics, 13(1), 34. </w:t>
      </w:r>
      <w:hyperlink r:id="rId44" w:history="1">
        <w:r w:rsidRPr="000F3765">
          <w:rPr>
            <w:rStyle w:val="Hyperlink"/>
            <w:rFonts w:ascii="Arial" w:hAnsi="Arial" w:cs="Arial"/>
          </w:rPr>
          <w:t>https://doi.org/10.1186/s40246-019-0220-8</w:t>
        </w:r>
      </w:hyperlink>
    </w:p>
    <w:p w14:paraId="3CAAB45F" w14:textId="4C53E30E" w:rsidR="00FA6380" w:rsidRDefault="00FA6380" w:rsidP="003C2A1B">
      <w:pPr>
        <w:pStyle w:val="Body"/>
        <w:numPr>
          <w:ilvl w:val="0"/>
          <w:numId w:val="33"/>
        </w:numPr>
        <w:rPr>
          <w:rFonts w:ascii="Arial" w:hAnsi="Arial" w:cs="Arial"/>
        </w:rPr>
      </w:pPr>
      <w:proofErr w:type="spellStart"/>
      <w:r w:rsidRPr="00FA6380">
        <w:rPr>
          <w:rFonts w:ascii="Arial" w:hAnsi="Arial" w:cs="Arial"/>
        </w:rPr>
        <w:t>Głowienka</w:t>
      </w:r>
      <w:proofErr w:type="spellEnd"/>
      <w:r w:rsidRPr="00FA6380">
        <w:rPr>
          <w:rFonts w:ascii="Arial" w:hAnsi="Arial" w:cs="Arial"/>
        </w:rPr>
        <w:t>-Stodolak, M., Bagińska-</w:t>
      </w:r>
      <w:proofErr w:type="spellStart"/>
      <w:r w:rsidRPr="00FA6380">
        <w:rPr>
          <w:rFonts w:ascii="Arial" w:hAnsi="Arial" w:cs="Arial"/>
        </w:rPr>
        <w:t>Drabiuk</w:t>
      </w:r>
      <w:proofErr w:type="spellEnd"/>
      <w:r w:rsidRPr="00FA6380">
        <w:rPr>
          <w:rFonts w:ascii="Arial" w:hAnsi="Arial" w:cs="Arial"/>
        </w:rPr>
        <w:t xml:space="preserve">, K., Szubert, S., Hennig, E. E., Horala, A., </w:t>
      </w:r>
      <w:proofErr w:type="spellStart"/>
      <w:r w:rsidRPr="00FA6380">
        <w:rPr>
          <w:rFonts w:ascii="Arial" w:hAnsi="Arial" w:cs="Arial"/>
        </w:rPr>
        <w:t>Dąbrowska</w:t>
      </w:r>
      <w:proofErr w:type="spellEnd"/>
      <w:r w:rsidRPr="00FA6380">
        <w:rPr>
          <w:rFonts w:ascii="Arial" w:hAnsi="Arial" w:cs="Arial"/>
        </w:rPr>
        <w:t xml:space="preserve">, M., Micek, M., </w:t>
      </w:r>
      <w:proofErr w:type="spellStart"/>
      <w:r w:rsidRPr="00FA6380">
        <w:rPr>
          <w:rFonts w:ascii="Arial" w:hAnsi="Arial" w:cs="Arial"/>
        </w:rPr>
        <w:t>Ciebiera</w:t>
      </w:r>
      <w:proofErr w:type="spellEnd"/>
      <w:r w:rsidRPr="00FA6380">
        <w:rPr>
          <w:rFonts w:ascii="Arial" w:hAnsi="Arial" w:cs="Arial"/>
        </w:rPr>
        <w:t xml:space="preserve">, M., &amp; </w:t>
      </w:r>
      <w:proofErr w:type="spellStart"/>
      <w:r w:rsidRPr="00FA6380">
        <w:rPr>
          <w:rFonts w:ascii="Arial" w:hAnsi="Arial" w:cs="Arial"/>
        </w:rPr>
        <w:t>Zeber-Lubecka</w:t>
      </w:r>
      <w:proofErr w:type="spellEnd"/>
      <w:r w:rsidRPr="00FA6380">
        <w:rPr>
          <w:rFonts w:ascii="Arial" w:hAnsi="Arial" w:cs="Arial"/>
        </w:rPr>
        <w:t xml:space="preserve">, N. (2024). Human Papillomavirus Infections and the Role Played by Cervical and </w:t>
      </w:r>
      <w:proofErr w:type="spellStart"/>
      <w:r w:rsidRPr="00FA6380">
        <w:rPr>
          <w:rFonts w:ascii="Arial" w:hAnsi="Arial" w:cs="Arial"/>
        </w:rPr>
        <w:t>Cervico</w:t>
      </w:r>
      <w:proofErr w:type="spellEnd"/>
      <w:r w:rsidRPr="00FA6380">
        <w:rPr>
          <w:rFonts w:ascii="Arial" w:hAnsi="Arial" w:cs="Arial"/>
        </w:rPr>
        <w:t xml:space="preserve">-Vaginal Microbiota—Evidence from Next-Generation Sequencing Studies. Cancers (Basel). </w:t>
      </w:r>
      <w:hyperlink r:id="rId45" w:history="1">
        <w:r w:rsidRPr="000F3765">
          <w:rPr>
            <w:rStyle w:val="Hyperlink"/>
            <w:rFonts w:ascii="Arial" w:hAnsi="Arial" w:cs="Arial"/>
          </w:rPr>
          <w:t>https://doi.org/10.3390/cancers16020399</w:t>
        </w:r>
      </w:hyperlink>
    </w:p>
    <w:p w14:paraId="237F86E3" w14:textId="402B2383" w:rsidR="00FA6380" w:rsidRDefault="00FA6380" w:rsidP="003C2A1B">
      <w:pPr>
        <w:pStyle w:val="Body"/>
        <w:numPr>
          <w:ilvl w:val="0"/>
          <w:numId w:val="33"/>
        </w:numPr>
        <w:rPr>
          <w:rFonts w:ascii="Arial" w:hAnsi="Arial" w:cs="Arial"/>
        </w:rPr>
      </w:pPr>
      <w:r w:rsidRPr="00FA6380">
        <w:rPr>
          <w:rFonts w:ascii="Arial" w:hAnsi="Arial" w:cs="Arial"/>
        </w:rPr>
        <w:lastRenderedPageBreak/>
        <w:t xml:space="preserve">Glyn, T., Williams, S., Whitehead, M., Eglinton, T., West, N., &amp; Purcell, R. V. (2024). Digital spatial profiling identifies molecular changes involved in development of colitis-associated colorectal cancer. Frontiers in Oncology, 14, 1247106. </w:t>
      </w:r>
      <w:hyperlink r:id="rId46" w:history="1">
        <w:r w:rsidRPr="000F3765">
          <w:rPr>
            <w:rStyle w:val="Hyperlink"/>
            <w:rFonts w:ascii="Arial" w:hAnsi="Arial" w:cs="Arial"/>
          </w:rPr>
          <w:t>https://doi.org/10.3389/fonc.2024.1247106</w:t>
        </w:r>
      </w:hyperlink>
    </w:p>
    <w:p w14:paraId="47121CDF" w14:textId="15902C39" w:rsidR="00FA6380" w:rsidRDefault="00FA6380" w:rsidP="003C2A1B">
      <w:pPr>
        <w:pStyle w:val="Body"/>
        <w:numPr>
          <w:ilvl w:val="0"/>
          <w:numId w:val="33"/>
        </w:numPr>
        <w:rPr>
          <w:rFonts w:ascii="Arial" w:hAnsi="Arial" w:cs="Arial"/>
        </w:rPr>
      </w:pPr>
      <w:r w:rsidRPr="00FA6380">
        <w:rPr>
          <w:rFonts w:ascii="Arial" w:hAnsi="Arial" w:cs="Arial"/>
        </w:rPr>
        <w:t xml:space="preserve">Gu, W., Zhuang, W., Zhuang, M., He, M., &amp; Li, Z. (2023). DNA damage response and repair gene mutations are associated with tumor mutational burden and outcomes to platinum-based chemotherapy/immunotherapy in advanced NSCLC patients. Diagnostic Pathology, 18(1), 119. </w:t>
      </w:r>
      <w:hyperlink r:id="rId47" w:history="1">
        <w:r w:rsidRPr="000F3765">
          <w:rPr>
            <w:rStyle w:val="Hyperlink"/>
            <w:rFonts w:ascii="Arial" w:hAnsi="Arial" w:cs="Arial"/>
          </w:rPr>
          <w:t>https://doi.org/10.1186/s13000-023-01390-0</w:t>
        </w:r>
      </w:hyperlink>
    </w:p>
    <w:p w14:paraId="18E07FAA" w14:textId="5B6C5CD3" w:rsidR="00FA6380" w:rsidRDefault="00FA6380" w:rsidP="003C2A1B">
      <w:pPr>
        <w:pStyle w:val="Body"/>
        <w:numPr>
          <w:ilvl w:val="0"/>
          <w:numId w:val="33"/>
        </w:numPr>
        <w:rPr>
          <w:rFonts w:ascii="Arial" w:hAnsi="Arial" w:cs="Arial"/>
        </w:rPr>
      </w:pPr>
      <w:r w:rsidRPr="00FA6380">
        <w:rPr>
          <w:rFonts w:ascii="Arial" w:hAnsi="Arial" w:cs="Arial"/>
        </w:rPr>
        <w:t xml:space="preserve">Haile, S., Corbett, R. D., </w:t>
      </w:r>
      <w:proofErr w:type="spellStart"/>
      <w:r w:rsidRPr="00FA6380">
        <w:rPr>
          <w:rFonts w:ascii="Arial" w:hAnsi="Arial" w:cs="Arial"/>
        </w:rPr>
        <w:t>Bilobram</w:t>
      </w:r>
      <w:proofErr w:type="spellEnd"/>
      <w:r w:rsidRPr="00FA6380">
        <w:rPr>
          <w:rFonts w:ascii="Arial" w:hAnsi="Arial" w:cs="Arial"/>
        </w:rPr>
        <w:t xml:space="preserve">, S., Bye, M. H., Kirk, H., </w:t>
      </w:r>
      <w:proofErr w:type="spellStart"/>
      <w:r w:rsidRPr="00FA6380">
        <w:rPr>
          <w:rFonts w:ascii="Arial" w:hAnsi="Arial" w:cs="Arial"/>
        </w:rPr>
        <w:t>Pandoh</w:t>
      </w:r>
      <w:proofErr w:type="spellEnd"/>
      <w:r w:rsidRPr="00FA6380">
        <w:rPr>
          <w:rFonts w:ascii="Arial" w:hAnsi="Arial" w:cs="Arial"/>
        </w:rPr>
        <w:t xml:space="preserve">, P., Trinh, E., MacLeod, T., McDonald, H., Bala, M., Miller, D., Novik, K., Coope, R. J., Moore, R. A., &amp; Zhao, Y. (2019). Sources of erroneous sequences and artifact chimeric reads in next generation sequencing of genomic DNA from formalin-fixed paraffin-embedded samples. Nucleic Acids Research. </w:t>
      </w:r>
      <w:hyperlink r:id="rId48" w:history="1">
        <w:r w:rsidRPr="000F3765">
          <w:rPr>
            <w:rStyle w:val="Hyperlink"/>
            <w:rFonts w:ascii="Arial" w:hAnsi="Arial" w:cs="Arial"/>
          </w:rPr>
          <w:t>https://doi.org/10.1093/nar/gky1142</w:t>
        </w:r>
      </w:hyperlink>
    </w:p>
    <w:p w14:paraId="04FFBEEC" w14:textId="2D62ACF5" w:rsidR="00FA6380" w:rsidRDefault="00FA6380" w:rsidP="003C2A1B">
      <w:pPr>
        <w:pStyle w:val="Body"/>
        <w:numPr>
          <w:ilvl w:val="0"/>
          <w:numId w:val="33"/>
        </w:numPr>
        <w:rPr>
          <w:rFonts w:ascii="Arial" w:hAnsi="Arial" w:cs="Arial"/>
        </w:rPr>
      </w:pPr>
      <w:r w:rsidRPr="00490F69">
        <w:rPr>
          <w:rFonts w:ascii="Arial" w:hAnsi="Arial" w:cs="Arial"/>
          <w:lang w:val="nl-BE"/>
        </w:rPr>
        <w:t xml:space="preserve">Hallermayr, A., Keßler, T., Fujera, M., Liesfeld, B., Bernstein, S., von Ameln, S., Schanze, D., Steinke-Lange, V., Pickl, J. M. A., Neuhann, T. M., &amp; Holinski-Feder, E. (2023). </w:t>
      </w:r>
      <w:r w:rsidRPr="00FA6380">
        <w:rPr>
          <w:rFonts w:ascii="Arial" w:hAnsi="Arial" w:cs="Arial"/>
        </w:rPr>
        <w:t xml:space="preserve">Impact of cfDNA Reference Materials on Clinical Performance of Liquid Biopsy NGS Assays. Cancers (Basel), 15(20), 5024. </w:t>
      </w:r>
      <w:hyperlink r:id="rId49" w:history="1">
        <w:r w:rsidRPr="000F3765">
          <w:rPr>
            <w:rStyle w:val="Hyperlink"/>
            <w:rFonts w:ascii="Arial" w:hAnsi="Arial" w:cs="Arial"/>
          </w:rPr>
          <w:t>https://doi.org/10.3390/cancers15205024</w:t>
        </w:r>
      </w:hyperlink>
    </w:p>
    <w:p w14:paraId="25376BE7" w14:textId="41461EDB" w:rsidR="00FA6380" w:rsidRDefault="00FA6380" w:rsidP="003C2A1B">
      <w:pPr>
        <w:pStyle w:val="Body"/>
        <w:numPr>
          <w:ilvl w:val="0"/>
          <w:numId w:val="33"/>
        </w:numPr>
        <w:rPr>
          <w:rFonts w:ascii="Arial" w:hAnsi="Arial" w:cs="Arial"/>
        </w:rPr>
      </w:pPr>
      <w:r w:rsidRPr="00FA6380">
        <w:rPr>
          <w:rFonts w:ascii="Arial" w:hAnsi="Arial" w:cs="Arial"/>
        </w:rPr>
        <w:t xml:space="preserve">Handorf, E. A., McElligott, S., </w:t>
      </w:r>
      <w:proofErr w:type="spellStart"/>
      <w:r w:rsidRPr="00FA6380">
        <w:rPr>
          <w:rFonts w:ascii="Arial" w:hAnsi="Arial" w:cs="Arial"/>
        </w:rPr>
        <w:t>Vachani</w:t>
      </w:r>
      <w:proofErr w:type="spellEnd"/>
      <w:r w:rsidRPr="00FA6380">
        <w:rPr>
          <w:rFonts w:ascii="Arial" w:hAnsi="Arial" w:cs="Arial"/>
        </w:rPr>
        <w:t xml:space="preserve">, A., Langer, C. J., Demeter, M. B., Armstrong, K., &amp; Asch, D. A. (2012). Cost effectiveness of personalized therapy for first-line treatment of stage IV and recurrent incurable adenocarcinoma of the lung. *Journal of Oncology Practice*, *8*(5), 267–274. </w:t>
      </w:r>
      <w:hyperlink r:id="rId50" w:history="1">
        <w:r w:rsidRPr="000F3765">
          <w:rPr>
            <w:rStyle w:val="Hyperlink"/>
            <w:rFonts w:ascii="Arial" w:hAnsi="Arial" w:cs="Arial"/>
          </w:rPr>
          <w:t>https://doi.org/10.1200/JOP.2011.000502</w:t>
        </w:r>
      </w:hyperlink>
    </w:p>
    <w:p w14:paraId="35752902" w14:textId="4C94024A" w:rsidR="00FA6380" w:rsidRDefault="00FA6380" w:rsidP="003C2A1B">
      <w:pPr>
        <w:pStyle w:val="Body"/>
        <w:numPr>
          <w:ilvl w:val="0"/>
          <w:numId w:val="33"/>
        </w:numPr>
        <w:rPr>
          <w:rFonts w:ascii="Arial" w:hAnsi="Arial" w:cs="Arial"/>
        </w:rPr>
      </w:pPr>
      <w:r w:rsidRPr="00490F69">
        <w:rPr>
          <w:rFonts w:ascii="Arial" w:hAnsi="Arial" w:cs="Arial"/>
          <w:lang w:val="nl-BE"/>
        </w:rPr>
        <w:t xml:space="preserve">Harter, J., Buth, E., Johaenning, J., Battke, F., Kopp, M., Zelba, H., Schulze, M., Koedding, J., &amp; Biskup, S. (2024). </w:t>
      </w:r>
      <w:r w:rsidRPr="00FA6380">
        <w:rPr>
          <w:rFonts w:ascii="Arial" w:hAnsi="Arial" w:cs="Arial"/>
        </w:rPr>
        <w:t xml:space="preserve">Analytical performance evaluation of a 523-gene circulating tumor DNA assay for next-generation sequencing-based comprehensive tumor profiling in liquid biopsy samples. Journal of Molecular Diagnostics, 26(1), 61-72. </w:t>
      </w:r>
      <w:hyperlink r:id="rId51" w:history="1">
        <w:r w:rsidRPr="000F3765">
          <w:rPr>
            <w:rStyle w:val="Hyperlink"/>
            <w:rFonts w:ascii="Arial" w:hAnsi="Arial" w:cs="Arial"/>
          </w:rPr>
          <w:t>https://doi.org/10.1016/j.jmoldx.2023.10.001</w:t>
        </w:r>
      </w:hyperlink>
    </w:p>
    <w:p w14:paraId="3C1AC852" w14:textId="52AC7D7E" w:rsidR="00FA6380" w:rsidRDefault="00FA6380" w:rsidP="003C2A1B">
      <w:pPr>
        <w:pStyle w:val="Body"/>
        <w:numPr>
          <w:ilvl w:val="0"/>
          <w:numId w:val="33"/>
        </w:numPr>
        <w:rPr>
          <w:rFonts w:ascii="Arial" w:hAnsi="Arial" w:cs="Arial"/>
        </w:rPr>
      </w:pPr>
      <w:r w:rsidRPr="00FA6380">
        <w:rPr>
          <w:rFonts w:ascii="Arial" w:hAnsi="Arial" w:cs="Arial"/>
        </w:rPr>
        <w:t xml:space="preserve">Hatanaka, K. C., Nakamura, K., Katoh, R., Ito, K., Hirokawa, M., Miyauchi, A., Matsuno, Y., Kano, S., Okada, Y., Mori, J., Ito, Y. M., &amp; Hatanaka, Y. (2024). Impact of the quality of resected thyroid cancer tissue sample on next-generation sequencing testing. Pathology International, 74(2), 77–86. </w:t>
      </w:r>
      <w:hyperlink r:id="rId52" w:history="1">
        <w:r w:rsidRPr="000F3765">
          <w:rPr>
            <w:rStyle w:val="Hyperlink"/>
            <w:rFonts w:ascii="Arial" w:hAnsi="Arial" w:cs="Arial"/>
          </w:rPr>
          <w:t>https://doi.org/10.1111/pin.13399</w:t>
        </w:r>
      </w:hyperlink>
    </w:p>
    <w:p w14:paraId="10D1466C" w14:textId="553F08A8" w:rsidR="00FA6380" w:rsidRPr="00FA6380" w:rsidRDefault="00FA6380" w:rsidP="003C2A1B">
      <w:pPr>
        <w:pStyle w:val="Body"/>
        <w:numPr>
          <w:ilvl w:val="0"/>
          <w:numId w:val="33"/>
        </w:numPr>
        <w:rPr>
          <w:rFonts w:ascii="Arial" w:hAnsi="Arial" w:cs="Arial"/>
          <w:lang w:val="pt-BR"/>
        </w:rPr>
      </w:pPr>
      <w:r w:rsidRPr="00FA6380">
        <w:rPr>
          <w:rFonts w:ascii="Arial" w:hAnsi="Arial" w:cs="Arial"/>
        </w:rPr>
        <w:t xml:space="preserve">Heo, D. H., Kim, I., Seo, H., Kim, S. G., Kim, M., Park, J., Park, H., Kang, S., Kim, J., Paik, S., &amp; Hong, S. E. (2024). DEEPOMICS FFPE, a deep neural network model, identifies DNA sequencing artifacts from formalin fixed paraffin embedded tissue with high accuracy. Scientific Reports. </w:t>
      </w:r>
      <w:hyperlink r:id="rId53" w:history="1">
        <w:r w:rsidRPr="00FA6380">
          <w:rPr>
            <w:rStyle w:val="Hyperlink"/>
            <w:rFonts w:ascii="Arial" w:hAnsi="Arial" w:cs="Arial"/>
            <w:lang w:val="pt-BR"/>
          </w:rPr>
          <w:t>https://doi.org/10.1038/s41598-024-53167-0</w:t>
        </w:r>
      </w:hyperlink>
    </w:p>
    <w:p w14:paraId="379F33B2" w14:textId="19F9E015" w:rsidR="00FA6380" w:rsidRPr="00FA6380" w:rsidRDefault="00FA6380" w:rsidP="003C2A1B">
      <w:pPr>
        <w:pStyle w:val="Body"/>
        <w:numPr>
          <w:ilvl w:val="0"/>
          <w:numId w:val="33"/>
        </w:numPr>
        <w:rPr>
          <w:rFonts w:ascii="Arial" w:hAnsi="Arial" w:cs="Arial"/>
          <w:lang w:val="en-IN"/>
        </w:rPr>
      </w:pPr>
      <w:r w:rsidRPr="00FA6380">
        <w:rPr>
          <w:rFonts w:ascii="Arial" w:hAnsi="Arial" w:cs="Arial"/>
          <w:lang w:val="pt-BR"/>
        </w:rPr>
        <w:t xml:space="preserve">Herreros-Villanueva, M., Bujanda, L., Ruiz-Rebollo, L., Torremocha, R., Ramos, R., Martín, R., &amp; Artigas, M. C. (2022). </w:t>
      </w:r>
      <w:r w:rsidRPr="00FA6380">
        <w:rPr>
          <w:rFonts w:ascii="Arial" w:hAnsi="Arial" w:cs="Arial"/>
          <w:lang w:val="en-IN"/>
        </w:rPr>
        <w:t xml:space="preserve">Circulating tumor DNA tracking in patients with pancreatic cancer using next-generation sequencing. </w:t>
      </w:r>
      <w:r w:rsidRPr="00FA6380">
        <w:rPr>
          <w:rFonts w:ascii="Arial" w:hAnsi="Arial" w:cs="Arial"/>
          <w:lang w:val="pt-BR"/>
        </w:rPr>
        <w:t xml:space="preserve">Gastroenterología y Hepatología, 45(8), 637-644. </w:t>
      </w:r>
      <w:r>
        <w:rPr>
          <w:rFonts w:ascii="Arial" w:hAnsi="Arial" w:cs="Arial"/>
          <w:lang w:val="pt-BR"/>
        </w:rPr>
        <w:fldChar w:fldCharType="begin"/>
      </w:r>
      <w:r>
        <w:rPr>
          <w:rFonts w:ascii="Arial" w:hAnsi="Arial" w:cs="Arial"/>
          <w:lang w:val="pt-BR"/>
        </w:rPr>
        <w:instrText xml:space="preserve"> HYPERLINK "</w:instrText>
      </w:r>
      <w:r w:rsidRPr="00FA6380">
        <w:rPr>
          <w:rFonts w:ascii="Arial" w:hAnsi="Arial" w:cs="Arial"/>
          <w:lang w:val="pt-BR"/>
        </w:rPr>
        <w:instrText>https://doi.org/10.1016/j.gastrohep.2021.12.011</w:instrText>
      </w:r>
      <w:r>
        <w:rPr>
          <w:rFonts w:ascii="Arial" w:hAnsi="Arial" w:cs="Arial"/>
          <w:lang w:val="pt-BR"/>
        </w:rPr>
        <w:instrText xml:space="preserve">" </w:instrText>
      </w:r>
      <w:r>
        <w:rPr>
          <w:rFonts w:ascii="Arial" w:hAnsi="Arial" w:cs="Arial"/>
          <w:lang w:val="pt-BR"/>
        </w:rPr>
      </w:r>
      <w:r>
        <w:rPr>
          <w:rFonts w:ascii="Arial" w:hAnsi="Arial" w:cs="Arial"/>
          <w:lang w:val="pt-BR"/>
        </w:rPr>
        <w:fldChar w:fldCharType="separate"/>
      </w:r>
      <w:r w:rsidRPr="00FA6380">
        <w:rPr>
          <w:rStyle w:val="Hyperlink"/>
          <w:rFonts w:ascii="Arial" w:hAnsi="Arial" w:cs="Arial"/>
          <w:lang w:val="en-IN"/>
        </w:rPr>
        <w:t>https://doi.org/10.1016/j.gastrohep.2021.12.011</w:t>
      </w:r>
      <w:r>
        <w:rPr>
          <w:rFonts w:ascii="Arial" w:hAnsi="Arial" w:cs="Arial"/>
          <w:lang w:val="pt-BR"/>
        </w:rPr>
        <w:fldChar w:fldCharType="end"/>
      </w:r>
    </w:p>
    <w:p w14:paraId="7DF5681E" w14:textId="30A18BB5" w:rsidR="00FA6380" w:rsidRPr="00FA6380" w:rsidRDefault="00FA6380" w:rsidP="003C2A1B">
      <w:pPr>
        <w:pStyle w:val="Body"/>
        <w:numPr>
          <w:ilvl w:val="0"/>
          <w:numId w:val="33"/>
        </w:numPr>
        <w:rPr>
          <w:rFonts w:ascii="Arial" w:hAnsi="Arial" w:cs="Arial"/>
          <w:lang w:val="fr-FR"/>
        </w:rPr>
      </w:pPr>
      <w:r w:rsidRPr="00FA6380">
        <w:rPr>
          <w:rFonts w:ascii="Arial" w:hAnsi="Arial" w:cs="Arial"/>
          <w:lang w:val="pt-BR"/>
        </w:rPr>
        <w:t xml:space="preserve">Hiramatsu, K., Matsuda, C., Masago, K., Toriyama, K., Sasaki, E., Fujita, Y., et al. </w:t>
      </w:r>
      <w:r w:rsidRPr="00FA6380">
        <w:rPr>
          <w:rFonts w:ascii="Arial" w:hAnsi="Arial" w:cs="Arial"/>
        </w:rPr>
        <w:t xml:space="preserve">(2023). Diagnostic utility of DNA integrity number as an indicator of sufficient DNA </w:t>
      </w:r>
      <w:r w:rsidRPr="00FA6380">
        <w:rPr>
          <w:rFonts w:ascii="Arial" w:hAnsi="Arial" w:cs="Arial"/>
        </w:rPr>
        <w:lastRenderedPageBreak/>
        <w:t xml:space="preserve">quality in next-generation sequencing-based genomic profiling. American Journal of Clinical Pathology, 160(3), 261-267. </w:t>
      </w:r>
      <w:hyperlink r:id="rId54" w:history="1">
        <w:r w:rsidRPr="00FA6380">
          <w:rPr>
            <w:rStyle w:val="Hyperlink"/>
            <w:rFonts w:ascii="Arial" w:hAnsi="Arial" w:cs="Arial"/>
            <w:lang w:val="fr-FR"/>
          </w:rPr>
          <w:t>https://doi.org/10.1093/ajcp/aqad046</w:t>
        </w:r>
      </w:hyperlink>
    </w:p>
    <w:p w14:paraId="65F9D8AD" w14:textId="3820B05D" w:rsidR="00FA6380" w:rsidRDefault="00FA6380" w:rsidP="003C2A1B">
      <w:pPr>
        <w:pStyle w:val="Body"/>
        <w:numPr>
          <w:ilvl w:val="0"/>
          <w:numId w:val="33"/>
        </w:numPr>
        <w:rPr>
          <w:rFonts w:ascii="Arial" w:hAnsi="Arial" w:cs="Arial"/>
        </w:rPr>
      </w:pPr>
      <w:r w:rsidRPr="00FA6380">
        <w:rPr>
          <w:rFonts w:ascii="Arial" w:hAnsi="Arial" w:cs="Arial"/>
          <w:lang w:val="fr-FR"/>
        </w:rPr>
        <w:t xml:space="preserve">Kattamuri, S. B., Potti, L., Vinukonda, A., Bandi, V., Changantipati, S., &amp; Mogili, R. K. (2012). </w:t>
      </w:r>
      <w:r w:rsidRPr="00FA6380">
        <w:rPr>
          <w:rFonts w:ascii="Arial" w:hAnsi="Arial" w:cs="Arial"/>
        </w:rPr>
        <w:t xml:space="preserve">Nanofibers In Pharmaceuticals - A Review. *American Journal of </w:t>
      </w:r>
      <w:proofErr w:type="spellStart"/>
      <w:r w:rsidRPr="00FA6380">
        <w:rPr>
          <w:rFonts w:ascii="Arial" w:hAnsi="Arial" w:cs="Arial"/>
        </w:rPr>
        <w:t>PharmTech</w:t>
      </w:r>
      <w:proofErr w:type="spellEnd"/>
      <w:r w:rsidRPr="00FA6380">
        <w:rPr>
          <w:rFonts w:ascii="Arial" w:hAnsi="Arial" w:cs="Arial"/>
        </w:rPr>
        <w:t xml:space="preserve"> Research*, *2*(6), 188-212. </w:t>
      </w:r>
      <w:hyperlink r:id="rId55" w:history="1">
        <w:r w:rsidRPr="000F3765">
          <w:rPr>
            <w:rStyle w:val="Hyperlink"/>
            <w:rFonts w:ascii="Arial" w:hAnsi="Arial" w:cs="Arial"/>
          </w:rPr>
          <w:t>https://www.researchgate.net/publication/329829241_Nanofibers_In_Pharmaceuticals-A_Review</w:t>
        </w:r>
      </w:hyperlink>
    </w:p>
    <w:p w14:paraId="4166A016" w14:textId="4BD13A1A" w:rsidR="00FA6380" w:rsidRDefault="00FA6380" w:rsidP="003C2A1B">
      <w:pPr>
        <w:pStyle w:val="Body"/>
        <w:numPr>
          <w:ilvl w:val="0"/>
          <w:numId w:val="33"/>
        </w:numPr>
        <w:rPr>
          <w:rFonts w:ascii="Arial" w:hAnsi="Arial" w:cs="Arial"/>
        </w:rPr>
      </w:pPr>
      <w:r w:rsidRPr="00490F69">
        <w:rPr>
          <w:rFonts w:ascii="Arial" w:hAnsi="Arial" w:cs="Arial"/>
          <w:lang w:val="nl-BE"/>
        </w:rPr>
        <w:t xml:space="preserve">Neelamma, G., Rasheed, S. H., Vinukonda, A., &amp; Aruna, M. (2021). </w:t>
      </w:r>
      <w:r w:rsidRPr="00FA6380">
        <w:rPr>
          <w:rFonts w:ascii="Arial" w:hAnsi="Arial" w:cs="Arial"/>
        </w:rPr>
        <w:t xml:space="preserve">In-vitro screening for cytotoxic activity of herbal plant extracts on N2a cell lines. Research Journal of Pharmacy and Technology, 14(4), 2009-12. </w:t>
      </w:r>
      <w:hyperlink r:id="rId56" w:history="1">
        <w:r w:rsidRPr="000F3765">
          <w:rPr>
            <w:rStyle w:val="Hyperlink"/>
            <w:rFonts w:ascii="Arial" w:hAnsi="Arial" w:cs="Arial"/>
          </w:rPr>
          <w:t>https://doi.org/10.52711/0974-360X.2021.00356</w:t>
        </w:r>
      </w:hyperlink>
    </w:p>
    <w:p w14:paraId="40899F4C" w14:textId="53A1E2B5" w:rsidR="00FA6380" w:rsidRPr="00FA6380" w:rsidRDefault="00FA6380" w:rsidP="003C2A1B">
      <w:pPr>
        <w:pStyle w:val="Body"/>
        <w:numPr>
          <w:ilvl w:val="0"/>
          <w:numId w:val="33"/>
        </w:numPr>
        <w:rPr>
          <w:rFonts w:ascii="Arial" w:hAnsi="Arial" w:cs="Arial"/>
          <w:lang w:val="fr-FR"/>
        </w:rPr>
      </w:pPr>
      <w:r w:rsidRPr="00490F69">
        <w:rPr>
          <w:rFonts w:ascii="Arial" w:hAnsi="Arial" w:cs="Arial"/>
          <w:lang w:val="nl-BE"/>
        </w:rPr>
        <w:t xml:space="preserve">Hong, M., Tao, S., Zhang, L., Diao, L. T., Huang, X., Huang, S., Xie, S. J., Xiao, Z. D., &amp; Zhang, H. (2020). </w:t>
      </w:r>
      <w:r w:rsidRPr="00FA6380">
        <w:rPr>
          <w:rFonts w:ascii="Arial" w:hAnsi="Arial" w:cs="Arial"/>
        </w:rPr>
        <w:t xml:space="preserve">RNA sequencing: new technologies and applications in cancer research. Journal of Hematology &amp; Oncology, 13(1), 166. </w:t>
      </w:r>
      <w:hyperlink r:id="rId57" w:history="1">
        <w:r w:rsidRPr="00FA6380">
          <w:rPr>
            <w:rStyle w:val="Hyperlink"/>
            <w:rFonts w:ascii="Arial" w:hAnsi="Arial" w:cs="Arial"/>
            <w:lang w:val="fr-FR"/>
          </w:rPr>
          <w:t>https://doi.org/10.1186/s13045-020-01005-x</w:t>
        </w:r>
      </w:hyperlink>
    </w:p>
    <w:p w14:paraId="1811DB20" w14:textId="3ABAC8DE" w:rsidR="00FA6380" w:rsidRDefault="00FA6380" w:rsidP="003C2A1B">
      <w:pPr>
        <w:pStyle w:val="Body"/>
        <w:numPr>
          <w:ilvl w:val="0"/>
          <w:numId w:val="33"/>
        </w:numPr>
        <w:rPr>
          <w:rFonts w:ascii="Arial" w:hAnsi="Arial" w:cs="Arial"/>
          <w:lang w:val="fr-FR"/>
        </w:rPr>
      </w:pPr>
      <w:proofErr w:type="spellStart"/>
      <w:r w:rsidRPr="00FA6380">
        <w:rPr>
          <w:rFonts w:ascii="Arial" w:hAnsi="Arial" w:cs="Arial"/>
          <w:lang w:val="fr-FR"/>
        </w:rPr>
        <w:t>Horgan</w:t>
      </w:r>
      <w:proofErr w:type="spellEnd"/>
      <w:r w:rsidRPr="00FA6380">
        <w:rPr>
          <w:rFonts w:ascii="Arial" w:hAnsi="Arial" w:cs="Arial"/>
          <w:lang w:val="fr-FR"/>
        </w:rPr>
        <w:t xml:space="preserve">, D., Hamdi, Y., Lal, J. A., </w:t>
      </w:r>
      <w:proofErr w:type="spellStart"/>
      <w:r w:rsidRPr="00FA6380">
        <w:rPr>
          <w:rFonts w:ascii="Arial" w:hAnsi="Arial" w:cs="Arial"/>
          <w:lang w:val="fr-FR"/>
        </w:rPr>
        <w:t>Nyawira</w:t>
      </w:r>
      <w:proofErr w:type="spellEnd"/>
      <w:r w:rsidRPr="00FA6380">
        <w:rPr>
          <w:rFonts w:ascii="Arial" w:hAnsi="Arial" w:cs="Arial"/>
          <w:lang w:val="fr-FR"/>
        </w:rPr>
        <w:t xml:space="preserve">, T., Meyer, S., </w:t>
      </w:r>
      <w:proofErr w:type="spellStart"/>
      <w:r w:rsidRPr="00FA6380">
        <w:rPr>
          <w:rFonts w:ascii="Arial" w:hAnsi="Arial" w:cs="Arial"/>
          <w:lang w:val="fr-FR"/>
        </w:rPr>
        <w:t>Kondji</w:t>
      </w:r>
      <w:proofErr w:type="spellEnd"/>
      <w:r w:rsidRPr="00FA6380">
        <w:rPr>
          <w:rFonts w:ascii="Arial" w:hAnsi="Arial" w:cs="Arial"/>
          <w:lang w:val="fr-FR"/>
        </w:rPr>
        <w:t xml:space="preserve">, D., Francisco, N. M., De Guzman, R., Paul, A., Bernard, B., Reddy </w:t>
      </w:r>
      <w:proofErr w:type="spellStart"/>
      <w:r w:rsidRPr="00FA6380">
        <w:rPr>
          <w:rFonts w:ascii="Arial" w:hAnsi="Arial" w:cs="Arial"/>
          <w:lang w:val="fr-FR"/>
        </w:rPr>
        <w:t>Nallamalla</w:t>
      </w:r>
      <w:proofErr w:type="spellEnd"/>
      <w:r w:rsidRPr="00FA6380">
        <w:rPr>
          <w:rFonts w:ascii="Arial" w:hAnsi="Arial" w:cs="Arial"/>
          <w:lang w:val="fr-FR"/>
        </w:rPr>
        <w:t xml:space="preserve">, K., Park, W.-Y., </w:t>
      </w:r>
      <w:proofErr w:type="spellStart"/>
      <w:r w:rsidRPr="00FA6380">
        <w:rPr>
          <w:rFonts w:ascii="Arial" w:hAnsi="Arial" w:cs="Arial"/>
          <w:lang w:val="fr-FR"/>
        </w:rPr>
        <w:t>Triapthi</w:t>
      </w:r>
      <w:proofErr w:type="spellEnd"/>
      <w:r w:rsidRPr="00FA6380">
        <w:rPr>
          <w:rFonts w:ascii="Arial" w:hAnsi="Arial" w:cs="Arial"/>
          <w:lang w:val="fr-FR"/>
        </w:rPr>
        <w:t xml:space="preserve">, V., Tripathi, R., Johns, A., Singh, M. P., </w:t>
      </w:r>
      <w:proofErr w:type="spellStart"/>
      <w:r w:rsidRPr="00FA6380">
        <w:rPr>
          <w:rFonts w:ascii="Arial" w:hAnsi="Arial" w:cs="Arial"/>
          <w:lang w:val="fr-FR"/>
        </w:rPr>
        <w:t>Phipps</w:t>
      </w:r>
      <w:proofErr w:type="spellEnd"/>
      <w:r w:rsidRPr="00FA6380">
        <w:rPr>
          <w:rFonts w:ascii="Arial" w:hAnsi="Arial" w:cs="Arial"/>
          <w:lang w:val="fr-FR"/>
        </w:rPr>
        <w:t xml:space="preserve">, M. E., Dube, F., Rasheed, H. M. A., </w:t>
      </w:r>
      <w:proofErr w:type="spellStart"/>
      <w:r w:rsidRPr="00FA6380">
        <w:rPr>
          <w:rFonts w:ascii="Arial" w:hAnsi="Arial" w:cs="Arial"/>
          <w:lang w:val="fr-FR"/>
        </w:rPr>
        <w:t>Kozaric</w:t>
      </w:r>
      <w:proofErr w:type="spellEnd"/>
      <w:r w:rsidRPr="00FA6380">
        <w:rPr>
          <w:rFonts w:ascii="Arial" w:hAnsi="Arial" w:cs="Arial"/>
          <w:lang w:val="fr-FR"/>
        </w:rPr>
        <w:t xml:space="preserve">, M., Pinto, J. A., </w:t>
      </w:r>
      <w:proofErr w:type="spellStart"/>
      <w:r w:rsidRPr="00FA6380">
        <w:rPr>
          <w:rFonts w:ascii="Arial" w:hAnsi="Arial" w:cs="Arial"/>
          <w:lang w:val="fr-FR"/>
        </w:rPr>
        <w:t>Doral</w:t>
      </w:r>
      <w:proofErr w:type="spellEnd"/>
      <w:r w:rsidRPr="00FA6380">
        <w:rPr>
          <w:rFonts w:ascii="Arial" w:hAnsi="Arial" w:cs="Arial"/>
          <w:lang w:val="fr-FR"/>
        </w:rPr>
        <w:t xml:space="preserve"> Stefani, S., Aponte Rueda, M. E., </w:t>
      </w:r>
      <w:proofErr w:type="spellStart"/>
      <w:r w:rsidRPr="00FA6380">
        <w:rPr>
          <w:rFonts w:ascii="Arial" w:hAnsi="Arial" w:cs="Arial"/>
          <w:lang w:val="fr-FR"/>
        </w:rPr>
        <w:t>Fujita</w:t>
      </w:r>
      <w:proofErr w:type="spellEnd"/>
      <w:r w:rsidRPr="00FA6380">
        <w:rPr>
          <w:rFonts w:ascii="Arial" w:hAnsi="Arial" w:cs="Arial"/>
          <w:lang w:val="fr-FR"/>
        </w:rPr>
        <w:t xml:space="preserve"> Alarcon, R., &amp; Barrera-</w:t>
      </w:r>
      <w:proofErr w:type="spellStart"/>
      <w:r w:rsidRPr="00FA6380">
        <w:rPr>
          <w:rFonts w:ascii="Arial" w:hAnsi="Arial" w:cs="Arial"/>
          <w:lang w:val="fr-FR"/>
        </w:rPr>
        <w:t>Saldana</w:t>
      </w:r>
      <w:proofErr w:type="spellEnd"/>
      <w:r w:rsidRPr="00FA6380">
        <w:rPr>
          <w:rFonts w:ascii="Arial" w:hAnsi="Arial" w:cs="Arial"/>
          <w:lang w:val="fr-FR"/>
        </w:rPr>
        <w:t xml:space="preserve">, H. A. (2023). </w:t>
      </w:r>
      <w:r w:rsidRPr="00FA6380">
        <w:rPr>
          <w:rFonts w:ascii="Arial" w:hAnsi="Arial" w:cs="Arial"/>
          <w:lang w:val="en-IN"/>
        </w:rPr>
        <w:t xml:space="preserve">Framework for Adoption of Next-Generation Sequencing (NGS) Globally in the Oncology Area. </w:t>
      </w:r>
      <w:r w:rsidRPr="00FA6380">
        <w:rPr>
          <w:rFonts w:ascii="Arial" w:hAnsi="Arial" w:cs="Arial"/>
          <w:lang w:val="fr-FR"/>
        </w:rPr>
        <w:t xml:space="preserve">Healthcare (Basel), 11(3), 431. </w:t>
      </w:r>
      <w:hyperlink r:id="rId58" w:history="1">
        <w:r w:rsidRPr="000F3765">
          <w:rPr>
            <w:rStyle w:val="Hyperlink"/>
            <w:rFonts w:ascii="Arial" w:hAnsi="Arial" w:cs="Arial"/>
            <w:lang w:val="fr-FR"/>
          </w:rPr>
          <w:t>https://doi.org/10.3390/healthcare11030431</w:t>
        </w:r>
      </w:hyperlink>
    </w:p>
    <w:p w14:paraId="3D3652FE" w14:textId="3E877925" w:rsidR="003C2A1B" w:rsidRPr="003C2A1B" w:rsidRDefault="003C2A1B" w:rsidP="003C2A1B">
      <w:pPr>
        <w:pStyle w:val="Body"/>
        <w:numPr>
          <w:ilvl w:val="0"/>
          <w:numId w:val="33"/>
        </w:numPr>
        <w:rPr>
          <w:rFonts w:ascii="Arial" w:hAnsi="Arial" w:cs="Arial"/>
          <w:lang w:val="pt-BR"/>
        </w:rPr>
      </w:pPr>
      <w:proofErr w:type="spellStart"/>
      <w:r w:rsidRPr="003C2A1B">
        <w:rPr>
          <w:rFonts w:ascii="Arial" w:hAnsi="Arial" w:cs="Arial"/>
          <w:lang w:val="fr-FR"/>
        </w:rPr>
        <w:t>Horgan</w:t>
      </w:r>
      <w:proofErr w:type="spellEnd"/>
      <w:r w:rsidRPr="003C2A1B">
        <w:rPr>
          <w:rFonts w:ascii="Arial" w:hAnsi="Arial" w:cs="Arial"/>
          <w:lang w:val="fr-FR"/>
        </w:rPr>
        <w:t xml:space="preserve">, D., Van den </w:t>
      </w:r>
      <w:proofErr w:type="spellStart"/>
      <w:r w:rsidRPr="003C2A1B">
        <w:rPr>
          <w:rFonts w:ascii="Arial" w:hAnsi="Arial" w:cs="Arial"/>
          <w:lang w:val="fr-FR"/>
        </w:rPr>
        <w:t>Bulcke</w:t>
      </w:r>
      <w:proofErr w:type="spellEnd"/>
      <w:r w:rsidRPr="003C2A1B">
        <w:rPr>
          <w:rFonts w:ascii="Arial" w:hAnsi="Arial" w:cs="Arial"/>
          <w:lang w:val="fr-FR"/>
        </w:rPr>
        <w:t xml:space="preserve">, M., </w:t>
      </w:r>
      <w:proofErr w:type="spellStart"/>
      <w:r w:rsidRPr="003C2A1B">
        <w:rPr>
          <w:rFonts w:ascii="Arial" w:hAnsi="Arial" w:cs="Arial"/>
          <w:lang w:val="fr-FR"/>
        </w:rPr>
        <w:t>Malapelle</w:t>
      </w:r>
      <w:proofErr w:type="spellEnd"/>
      <w:r w:rsidRPr="003C2A1B">
        <w:rPr>
          <w:rFonts w:ascii="Arial" w:hAnsi="Arial" w:cs="Arial"/>
          <w:lang w:val="fr-FR"/>
        </w:rPr>
        <w:t xml:space="preserve">, U., </w:t>
      </w:r>
      <w:proofErr w:type="spellStart"/>
      <w:r w:rsidRPr="003C2A1B">
        <w:rPr>
          <w:rFonts w:ascii="Arial" w:hAnsi="Arial" w:cs="Arial"/>
          <w:lang w:val="fr-FR"/>
        </w:rPr>
        <w:t>Troncone</w:t>
      </w:r>
      <w:proofErr w:type="spellEnd"/>
      <w:r w:rsidRPr="003C2A1B">
        <w:rPr>
          <w:rFonts w:ascii="Arial" w:hAnsi="Arial" w:cs="Arial"/>
          <w:lang w:val="fr-FR"/>
        </w:rPr>
        <w:t xml:space="preserve">, G., </w:t>
      </w:r>
      <w:proofErr w:type="spellStart"/>
      <w:r w:rsidRPr="003C2A1B">
        <w:rPr>
          <w:rFonts w:ascii="Arial" w:hAnsi="Arial" w:cs="Arial"/>
          <w:lang w:val="fr-FR"/>
        </w:rPr>
        <w:t>Normanno</w:t>
      </w:r>
      <w:proofErr w:type="spellEnd"/>
      <w:r w:rsidRPr="003C2A1B">
        <w:rPr>
          <w:rFonts w:ascii="Arial" w:hAnsi="Arial" w:cs="Arial"/>
          <w:lang w:val="fr-FR"/>
        </w:rPr>
        <w:t xml:space="preserve">, N., </w:t>
      </w:r>
      <w:proofErr w:type="spellStart"/>
      <w:r w:rsidRPr="003C2A1B">
        <w:rPr>
          <w:rFonts w:ascii="Arial" w:hAnsi="Arial" w:cs="Arial"/>
          <w:lang w:val="fr-FR"/>
        </w:rPr>
        <w:t>Capoluongo</w:t>
      </w:r>
      <w:proofErr w:type="spellEnd"/>
      <w:r w:rsidRPr="003C2A1B">
        <w:rPr>
          <w:rFonts w:ascii="Arial" w:hAnsi="Arial" w:cs="Arial"/>
          <w:lang w:val="fr-FR"/>
        </w:rPr>
        <w:t xml:space="preserve">, E. D., </w:t>
      </w:r>
      <w:proofErr w:type="spellStart"/>
      <w:r w:rsidRPr="003C2A1B">
        <w:rPr>
          <w:rFonts w:ascii="Arial" w:hAnsi="Arial" w:cs="Arial"/>
          <w:lang w:val="fr-FR"/>
        </w:rPr>
        <w:t>Prelaj</w:t>
      </w:r>
      <w:proofErr w:type="spellEnd"/>
      <w:r w:rsidRPr="003C2A1B">
        <w:rPr>
          <w:rFonts w:ascii="Arial" w:hAnsi="Arial" w:cs="Arial"/>
          <w:lang w:val="fr-FR"/>
        </w:rPr>
        <w:t xml:space="preserve">, A., </w:t>
      </w:r>
      <w:proofErr w:type="spellStart"/>
      <w:r w:rsidRPr="003C2A1B">
        <w:rPr>
          <w:rFonts w:ascii="Arial" w:hAnsi="Arial" w:cs="Arial"/>
          <w:lang w:val="fr-FR"/>
        </w:rPr>
        <w:t>Rizzari</w:t>
      </w:r>
      <w:proofErr w:type="spellEnd"/>
      <w:r w:rsidRPr="003C2A1B">
        <w:rPr>
          <w:rFonts w:ascii="Arial" w:hAnsi="Arial" w:cs="Arial"/>
          <w:lang w:val="fr-FR"/>
        </w:rPr>
        <w:t xml:space="preserve">, C., Trapani, D., Singh, J., </w:t>
      </w:r>
      <w:proofErr w:type="spellStart"/>
      <w:r w:rsidRPr="003C2A1B">
        <w:rPr>
          <w:rFonts w:ascii="Arial" w:hAnsi="Arial" w:cs="Arial"/>
          <w:lang w:val="fr-FR"/>
        </w:rPr>
        <w:t>Kozaric</w:t>
      </w:r>
      <w:proofErr w:type="spellEnd"/>
      <w:r w:rsidRPr="003C2A1B">
        <w:rPr>
          <w:rFonts w:ascii="Arial" w:hAnsi="Arial" w:cs="Arial"/>
          <w:lang w:val="fr-FR"/>
        </w:rPr>
        <w:t xml:space="preserve">, M., </w:t>
      </w:r>
      <w:proofErr w:type="spellStart"/>
      <w:r w:rsidRPr="003C2A1B">
        <w:rPr>
          <w:rFonts w:ascii="Arial" w:hAnsi="Arial" w:cs="Arial"/>
          <w:lang w:val="fr-FR"/>
        </w:rPr>
        <w:t>Longshore</w:t>
      </w:r>
      <w:proofErr w:type="spellEnd"/>
      <w:r w:rsidRPr="003C2A1B">
        <w:rPr>
          <w:rFonts w:ascii="Arial" w:hAnsi="Arial" w:cs="Arial"/>
          <w:lang w:val="fr-FR"/>
        </w:rPr>
        <w:t xml:space="preserve">, J., </w:t>
      </w:r>
      <w:proofErr w:type="spellStart"/>
      <w:r w:rsidRPr="003C2A1B">
        <w:rPr>
          <w:rFonts w:ascii="Arial" w:hAnsi="Arial" w:cs="Arial"/>
          <w:lang w:val="fr-FR"/>
        </w:rPr>
        <w:t>Ottaviano</w:t>
      </w:r>
      <w:proofErr w:type="spellEnd"/>
      <w:r w:rsidRPr="003C2A1B">
        <w:rPr>
          <w:rFonts w:ascii="Arial" w:hAnsi="Arial" w:cs="Arial"/>
          <w:lang w:val="fr-FR"/>
        </w:rPr>
        <w:t xml:space="preserve">, M., </w:t>
      </w:r>
      <w:proofErr w:type="spellStart"/>
      <w:r w:rsidRPr="003C2A1B">
        <w:rPr>
          <w:rFonts w:ascii="Arial" w:hAnsi="Arial" w:cs="Arial"/>
          <w:lang w:val="fr-FR"/>
        </w:rPr>
        <w:t>Boccia</w:t>
      </w:r>
      <w:proofErr w:type="spellEnd"/>
      <w:r w:rsidRPr="003C2A1B">
        <w:rPr>
          <w:rFonts w:ascii="Arial" w:hAnsi="Arial" w:cs="Arial"/>
          <w:lang w:val="fr-FR"/>
        </w:rPr>
        <w:t xml:space="preserve">, S., </w:t>
      </w:r>
      <w:proofErr w:type="spellStart"/>
      <w:r w:rsidRPr="003C2A1B">
        <w:rPr>
          <w:rFonts w:ascii="Arial" w:hAnsi="Arial" w:cs="Arial"/>
          <w:lang w:val="fr-FR"/>
        </w:rPr>
        <w:t>Pravettoni</w:t>
      </w:r>
      <w:proofErr w:type="spellEnd"/>
      <w:r w:rsidRPr="003C2A1B">
        <w:rPr>
          <w:rFonts w:ascii="Arial" w:hAnsi="Arial" w:cs="Arial"/>
          <w:lang w:val="fr-FR"/>
        </w:rPr>
        <w:t xml:space="preserve">, G., </w:t>
      </w:r>
      <w:proofErr w:type="spellStart"/>
      <w:r w:rsidRPr="003C2A1B">
        <w:rPr>
          <w:rFonts w:ascii="Arial" w:hAnsi="Arial" w:cs="Arial"/>
          <w:lang w:val="fr-FR"/>
        </w:rPr>
        <w:t>Cattaneo</w:t>
      </w:r>
      <w:proofErr w:type="spellEnd"/>
      <w:r w:rsidRPr="003C2A1B">
        <w:rPr>
          <w:rFonts w:ascii="Arial" w:hAnsi="Arial" w:cs="Arial"/>
          <w:lang w:val="fr-FR"/>
        </w:rPr>
        <w:t xml:space="preserve">, I., </w:t>
      </w:r>
      <w:proofErr w:type="spellStart"/>
      <w:r w:rsidRPr="003C2A1B">
        <w:rPr>
          <w:rFonts w:ascii="Arial" w:hAnsi="Arial" w:cs="Arial"/>
          <w:lang w:val="fr-FR"/>
        </w:rPr>
        <w:t>Malats</w:t>
      </w:r>
      <w:proofErr w:type="spellEnd"/>
      <w:r w:rsidRPr="003C2A1B">
        <w:rPr>
          <w:rFonts w:ascii="Arial" w:hAnsi="Arial" w:cs="Arial"/>
          <w:lang w:val="fr-FR"/>
        </w:rPr>
        <w:t xml:space="preserve">, N., </w:t>
      </w:r>
      <w:proofErr w:type="spellStart"/>
      <w:r w:rsidRPr="003C2A1B">
        <w:rPr>
          <w:rFonts w:ascii="Arial" w:hAnsi="Arial" w:cs="Arial"/>
          <w:lang w:val="fr-FR"/>
        </w:rPr>
        <w:t>Buettner</w:t>
      </w:r>
      <w:proofErr w:type="spellEnd"/>
      <w:r w:rsidRPr="003C2A1B">
        <w:rPr>
          <w:rFonts w:ascii="Arial" w:hAnsi="Arial" w:cs="Arial"/>
          <w:lang w:val="fr-FR"/>
        </w:rPr>
        <w:t xml:space="preserve">, R., </w:t>
      </w:r>
      <w:proofErr w:type="spellStart"/>
      <w:r w:rsidRPr="003C2A1B">
        <w:rPr>
          <w:rFonts w:ascii="Arial" w:hAnsi="Arial" w:cs="Arial"/>
          <w:lang w:val="fr-FR"/>
        </w:rPr>
        <w:t>Lekadir</w:t>
      </w:r>
      <w:proofErr w:type="spellEnd"/>
      <w:r w:rsidRPr="003C2A1B">
        <w:rPr>
          <w:rFonts w:ascii="Arial" w:hAnsi="Arial" w:cs="Arial"/>
          <w:lang w:val="fr-FR"/>
        </w:rPr>
        <w:t xml:space="preserve">, K., ... </w:t>
      </w:r>
      <w:r w:rsidRPr="003C2A1B">
        <w:rPr>
          <w:rFonts w:ascii="Arial" w:hAnsi="Arial" w:cs="Arial"/>
          <w:lang w:val="en-IN"/>
        </w:rPr>
        <w:t xml:space="preserve">De Maria, R. (2024). Tackling the implementation gap for the uptake of NGS and advanced molecular diagnostics into healthcare systems. </w:t>
      </w:r>
      <w:r w:rsidRPr="003C2A1B">
        <w:rPr>
          <w:rFonts w:ascii="Arial" w:hAnsi="Arial" w:cs="Arial"/>
          <w:lang w:val="pt-BR"/>
        </w:rPr>
        <w:t xml:space="preserve">Heliyon, 10(1), e23914. </w:t>
      </w:r>
      <w:hyperlink r:id="rId59" w:history="1">
        <w:r w:rsidRPr="003C2A1B">
          <w:rPr>
            <w:rStyle w:val="Hyperlink"/>
            <w:rFonts w:ascii="Arial" w:hAnsi="Arial" w:cs="Arial"/>
            <w:lang w:val="pt-BR"/>
          </w:rPr>
          <w:t>https://doi.org/10.1016/j.heliyon.2023.e23914</w:t>
        </w:r>
      </w:hyperlink>
    </w:p>
    <w:p w14:paraId="117F7FFA" w14:textId="77777777" w:rsidR="003C2A1B" w:rsidRDefault="003C2A1B" w:rsidP="003C2A1B">
      <w:pPr>
        <w:pStyle w:val="Body"/>
        <w:numPr>
          <w:ilvl w:val="0"/>
          <w:numId w:val="33"/>
        </w:numPr>
        <w:rPr>
          <w:rFonts w:ascii="Arial" w:hAnsi="Arial" w:cs="Arial"/>
          <w:lang w:val="pt-BR"/>
        </w:rPr>
      </w:pPr>
      <w:r w:rsidRPr="003C2A1B">
        <w:rPr>
          <w:rFonts w:ascii="Arial" w:hAnsi="Arial" w:cs="Arial"/>
          <w:lang w:val="pt-BR"/>
        </w:rPr>
        <w:t>.</w:t>
      </w:r>
    </w:p>
    <w:p w14:paraId="25651BC8" w14:textId="50122D72" w:rsidR="003C2A1B" w:rsidRDefault="003C2A1B" w:rsidP="003C2A1B">
      <w:pPr>
        <w:pStyle w:val="Body"/>
        <w:numPr>
          <w:ilvl w:val="0"/>
          <w:numId w:val="33"/>
        </w:numPr>
        <w:rPr>
          <w:rFonts w:ascii="Arial" w:hAnsi="Arial" w:cs="Arial"/>
          <w:lang w:val="en-IN"/>
        </w:rPr>
      </w:pPr>
      <w:r w:rsidRPr="003C2A1B">
        <w:rPr>
          <w:rFonts w:ascii="Arial" w:hAnsi="Arial" w:cs="Arial"/>
          <w:lang w:val="pt-BR"/>
        </w:rPr>
        <w:t xml:space="preserve">Rani, R., Anjaneyulu, V., &amp; Kumar, G. (2023). </w:t>
      </w:r>
      <w:proofErr w:type="spellStart"/>
      <w:r w:rsidRPr="003C2A1B">
        <w:rPr>
          <w:rFonts w:ascii="Arial" w:hAnsi="Arial" w:cs="Arial"/>
          <w:lang w:val="en-IN"/>
        </w:rPr>
        <w:t>Forulation</w:t>
      </w:r>
      <w:proofErr w:type="spellEnd"/>
      <w:r w:rsidRPr="003C2A1B">
        <w:rPr>
          <w:rFonts w:ascii="Arial" w:hAnsi="Arial" w:cs="Arial"/>
          <w:lang w:val="en-IN"/>
        </w:rPr>
        <w:t xml:space="preserve"> And Evaluation of Colon Specific Drug Delivery System of Celecoxib. International Journal of Pharmacy Research &amp; Technology, 13(2), 65-76. </w:t>
      </w:r>
      <w:hyperlink r:id="rId60" w:history="1">
        <w:r w:rsidRPr="000F3765">
          <w:rPr>
            <w:rStyle w:val="Hyperlink"/>
            <w:rFonts w:ascii="Arial" w:hAnsi="Arial" w:cs="Arial"/>
            <w:lang w:val="en-IN"/>
          </w:rPr>
          <w:t>https://doi.org/10.31838/ijprt/13.02.08</w:t>
        </w:r>
      </w:hyperlink>
    </w:p>
    <w:p w14:paraId="071825AF" w14:textId="5B7196EF" w:rsidR="003C2A1B" w:rsidRPr="003C2A1B" w:rsidRDefault="003C2A1B" w:rsidP="003C2A1B">
      <w:pPr>
        <w:pStyle w:val="Body"/>
        <w:numPr>
          <w:ilvl w:val="0"/>
          <w:numId w:val="33"/>
        </w:numPr>
        <w:rPr>
          <w:rFonts w:ascii="Arial" w:hAnsi="Arial" w:cs="Arial"/>
          <w:lang w:val="pt-BR"/>
        </w:rPr>
      </w:pPr>
      <w:r w:rsidRPr="003C2A1B">
        <w:rPr>
          <w:rFonts w:ascii="Arial" w:hAnsi="Arial" w:cs="Arial"/>
        </w:rPr>
        <w:t xml:space="preserve">Janku, F., Zhang, S., Waters, J., Liu, L., Huang, H. J., Subbiah, V., Hong, D. S., Karp, D. D., Fu, S., Cai, X., Ramzanali, N. M., Madwani, K., </w:t>
      </w:r>
      <w:proofErr w:type="spellStart"/>
      <w:r w:rsidRPr="003C2A1B">
        <w:rPr>
          <w:rFonts w:ascii="Arial" w:hAnsi="Arial" w:cs="Arial"/>
        </w:rPr>
        <w:t>Cabrilo</w:t>
      </w:r>
      <w:proofErr w:type="spellEnd"/>
      <w:r w:rsidRPr="003C2A1B">
        <w:rPr>
          <w:rFonts w:ascii="Arial" w:hAnsi="Arial" w:cs="Arial"/>
        </w:rPr>
        <w:t xml:space="preserve">, G., Andrews, D. L., Zhao, Y., Javle, M., Kopetz, E. S., Luthra, R., Kim, H. J., Gnerre, S., Satya, R. V., Chuang, H. Y., </w:t>
      </w:r>
      <w:proofErr w:type="spellStart"/>
      <w:r w:rsidRPr="003C2A1B">
        <w:rPr>
          <w:rFonts w:ascii="Arial" w:hAnsi="Arial" w:cs="Arial"/>
        </w:rPr>
        <w:t>Kruglyak</w:t>
      </w:r>
      <w:proofErr w:type="spellEnd"/>
      <w:r w:rsidRPr="003C2A1B">
        <w:rPr>
          <w:rFonts w:ascii="Arial" w:hAnsi="Arial" w:cs="Arial"/>
        </w:rPr>
        <w:t xml:space="preserve">, K. M., Toung, J., Zhao, C., Shen, R., </w:t>
      </w:r>
      <w:proofErr w:type="spellStart"/>
      <w:r w:rsidRPr="003C2A1B">
        <w:rPr>
          <w:rFonts w:ascii="Arial" w:hAnsi="Arial" w:cs="Arial"/>
        </w:rPr>
        <w:t>Heymach</w:t>
      </w:r>
      <w:proofErr w:type="spellEnd"/>
      <w:r w:rsidRPr="003C2A1B">
        <w:rPr>
          <w:rFonts w:ascii="Arial" w:hAnsi="Arial" w:cs="Arial"/>
        </w:rPr>
        <w:t xml:space="preserve">, J. V., Meric-Bernstam, F., Mills, G. B., Fan, J. B., &amp; Salathia, N. S. (2017). Development and Validation of an Ultradeep Next-Generation Sequencing Assay for Testing of Plasma Cell-Free DNA From Patients </w:t>
      </w:r>
      <w:proofErr w:type="gramStart"/>
      <w:r w:rsidRPr="003C2A1B">
        <w:rPr>
          <w:rFonts w:ascii="Arial" w:hAnsi="Arial" w:cs="Arial"/>
        </w:rPr>
        <w:t>With</w:t>
      </w:r>
      <w:proofErr w:type="gramEnd"/>
      <w:r w:rsidRPr="003C2A1B">
        <w:rPr>
          <w:rFonts w:ascii="Arial" w:hAnsi="Arial" w:cs="Arial"/>
        </w:rPr>
        <w:t xml:space="preserve"> Advanced Cancer. Clinical Cancer Research, 23(18), 5648–56. </w:t>
      </w:r>
      <w:hyperlink r:id="rId61" w:history="1">
        <w:r w:rsidRPr="003C2A1B">
          <w:rPr>
            <w:rStyle w:val="Hyperlink"/>
            <w:rFonts w:ascii="Arial" w:hAnsi="Arial" w:cs="Arial"/>
            <w:lang w:val="pt-BR"/>
          </w:rPr>
          <w:t>https://doi.org/10.1158/1078-0432.ccr-17-0291</w:t>
        </w:r>
      </w:hyperlink>
    </w:p>
    <w:p w14:paraId="2FA21CC7" w14:textId="567A2041" w:rsidR="003C2A1B" w:rsidRDefault="003C2A1B" w:rsidP="003C2A1B">
      <w:pPr>
        <w:pStyle w:val="Body"/>
        <w:numPr>
          <w:ilvl w:val="0"/>
          <w:numId w:val="33"/>
        </w:numPr>
        <w:rPr>
          <w:rFonts w:ascii="Arial" w:hAnsi="Arial" w:cs="Arial"/>
          <w:lang w:val="en-IN"/>
        </w:rPr>
      </w:pPr>
      <w:r w:rsidRPr="00490F69">
        <w:rPr>
          <w:rFonts w:ascii="Arial" w:hAnsi="Arial" w:cs="Arial"/>
          <w:lang w:val="nl-BE"/>
        </w:rPr>
        <w:t xml:space="preserve">Natarajan, S. B., Chandran, S. P., Vinukonda, A., &amp; Dharmalingam, S. R. (2019). </w:t>
      </w:r>
      <w:r w:rsidRPr="003C2A1B">
        <w:rPr>
          <w:rFonts w:ascii="Arial" w:hAnsi="Arial" w:cs="Arial"/>
          <w:lang w:val="en-IN"/>
        </w:rPr>
        <w:t xml:space="preserve">Green tea catechin loaded nanodelivery systems for the treatment of pandemic diseases. Asian Journal of Pharmaceutical and Clinical Research, 12(5), 1-7. </w:t>
      </w:r>
      <w:hyperlink r:id="rId62" w:history="1">
        <w:r w:rsidRPr="000F3765">
          <w:rPr>
            <w:rStyle w:val="Hyperlink"/>
            <w:rFonts w:ascii="Arial" w:hAnsi="Arial" w:cs="Arial"/>
            <w:lang w:val="en-IN"/>
          </w:rPr>
          <w:t>https://doi.org/10.22159/ajpcr.2019.v12i5.27308</w:t>
        </w:r>
      </w:hyperlink>
    </w:p>
    <w:p w14:paraId="5464F4C9" w14:textId="1662ED29" w:rsidR="003C2A1B" w:rsidRDefault="003C2A1B" w:rsidP="003C2A1B">
      <w:pPr>
        <w:pStyle w:val="Body"/>
        <w:numPr>
          <w:ilvl w:val="0"/>
          <w:numId w:val="33"/>
        </w:numPr>
        <w:rPr>
          <w:rFonts w:ascii="Arial" w:hAnsi="Arial" w:cs="Arial"/>
        </w:rPr>
      </w:pPr>
      <w:r w:rsidRPr="00490F69">
        <w:rPr>
          <w:rFonts w:ascii="Arial" w:hAnsi="Arial" w:cs="Arial"/>
          <w:lang w:val="nl-BE"/>
        </w:rPr>
        <w:lastRenderedPageBreak/>
        <w:t xml:space="preserve">Kage, H., Akiyama, N., Chang, H., Shinozaki-Ushiku, A., Ka, M., Kawata, J., et al. </w:t>
      </w:r>
      <w:r w:rsidRPr="003C2A1B">
        <w:rPr>
          <w:rFonts w:ascii="Arial" w:hAnsi="Arial" w:cs="Arial"/>
        </w:rPr>
        <w:t xml:space="preserve">(2024). Patient survey on cancer genomic medicine in Japan under the national health insurance system. Cancer Science, 115(3), 954-962. </w:t>
      </w:r>
      <w:hyperlink r:id="rId63" w:history="1">
        <w:r w:rsidRPr="000F3765">
          <w:rPr>
            <w:rStyle w:val="Hyperlink"/>
            <w:rFonts w:ascii="Arial" w:hAnsi="Arial" w:cs="Arial"/>
          </w:rPr>
          <w:t>https://doi.org/10.1111/cas.16065</w:t>
        </w:r>
      </w:hyperlink>
    </w:p>
    <w:p w14:paraId="12199070" w14:textId="0441F551" w:rsidR="00E85534" w:rsidRPr="00FA6380" w:rsidRDefault="00E85534" w:rsidP="003C2A1B">
      <w:pPr>
        <w:pStyle w:val="Body"/>
        <w:numPr>
          <w:ilvl w:val="0"/>
          <w:numId w:val="33"/>
        </w:numPr>
        <w:rPr>
          <w:rFonts w:ascii="Arial" w:hAnsi="Arial" w:cs="Arial"/>
          <w:lang w:val="fr-FR"/>
        </w:rPr>
      </w:pPr>
      <w:r w:rsidRPr="00490F69">
        <w:rPr>
          <w:rFonts w:ascii="Arial" w:hAnsi="Arial" w:cs="Arial"/>
          <w:lang w:val="nl-BE"/>
        </w:rPr>
        <w:t xml:space="preserve">Lek M, Karczewski KJ, Minikel EV, Samocha KE, Banks E, et al. </w:t>
      </w:r>
      <w:r w:rsidRPr="00E85534">
        <w:rPr>
          <w:rFonts w:ascii="Arial" w:hAnsi="Arial" w:cs="Arial"/>
        </w:rPr>
        <w:t xml:space="preserve">Analysis of protein-coding genetic variation in 60,706 humans. </w:t>
      </w:r>
      <w:r w:rsidRPr="00FA6380">
        <w:rPr>
          <w:rFonts w:ascii="Arial" w:hAnsi="Arial" w:cs="Arial"/>
          <w:lang w:val="fr-FR"/>
        </w:rPr>
        <w:t xml:space="preserve">Nature. </w:t>
      </w:r>
      <w:proofErr w:type="gramStart"/>
      <w:r w:rsidRPr="00FA6380">
        <w:rPr>
          <w:rFonts w:ascii="Arial" w:hAnsi="Arial" w:cs="Arial"/>
          <w:lang w:val="fr-FR"/>
        </w:rPr>
        <w:t>2016;</w:t>
      </w:r>
      <w:proofErr w:type="gramEnd"/>
      <w:r w:rsidRPr="00FA6380">
        <w:rPr>
          <w:rFonts w:ascii="Arial" w:hAnsi="Arial" w:cs="Arial"/>
          <w:lang w:val="fr-FR"/>
        </w:rPr>
        <w:t>536(7616</w:t>
      </w:r>
      <w:proofErr w:type="gramStart"/>
      <w:r w:rsidRPr="00FA6380">
        <w:rPr>
          <w:rFonts w:ascii="Arial" w:hAnsi="Arial" w:cs="Arial"/>
          <w:lang w:val="fr-FR"/>
        </w:rPr>
        <w:t>):</w:t>
      </w:r>
      <w:proofErr w:type="gramEnd"/>
      <w:r w:rsidRPr="00FA6380">
        <w:rPr>
          <w:rFonts w:ascii="Arial" w:hAnsi="Arial" w:cs="Arial"/>
          <w:lang w:val="fr-FR"/>
        </w:rPr>
        <w:t>285-291.</w:t>
      </w:r>
    </w:p>
    <w:p w14:paraId="591E4D56" w14:textId="532460E6" w:rsidR="003C2A1B" w:rsidRDefault="003C2A1B" w:rsidP="003C2A1B">
      <w:pPr>
        <w:pStyle w:val="Body"/>
        <w:numPr>
          <w:ilvl w:val="0"/>
          <w:numId w:val="33"/>
        </w:numPr>
        <w:rPr>
          <w:rFonts w:ascii="Arial" w:hAnsi="Arial" w:cs="Arial"/>
          <w:lang w:val="fr-FR"/>
        </w:rPr>
      </w:pPr>
      <w:r w:rsidRPr="003C2A1B">
        <w:rPr>
          <w:rFonts w:ascii="Arial" w:hAnsi="Arial" w:cs="Arial"/>
          <w:lang w:val="fr-FR"/>
        </w:rPr>
        <w:t xml:space="preserve">Li, M. M., </w:t>
      </w:r>
      <w:proofErr w:type="spellStart"/>
      <w:r w:rsidRPr="003C2A1B">
        <w:rPr>
          <w:rFonts w:ascii="Arial" w:hAnsi="Arial" w:cs="Arial"/>
          <w:lang w:val="fr-FR"/>
        </w:rPr>
        <w:t>Datto</w:t>
      </w:r>
      <w:proofErr w:type="spellEnd"/>
      <w:r w:rsidRPr="003C2A1B">
        <w:rPr>
          <w:rFonts w:ascii="Arial" w:hAnsi="Arial" w:cs="Arial"/>
          <w:lang w:val="fr-FR"/>
        </w:rPr>
        <w:t xml:space="preserve">, M., </w:t>
      </w:r>
      <w:proofErr w:type="spellStart"/>
      <w:r w:rsidRPr="003C2A1B">
        <w:rPr>
          <w:rFonts w:ascii="Arial" w:hAnsi="Arial" w:cs="Arial"/>
          <w:lang w:val="fr-FR"/>
        </w:rPr>
        <w:t>Duncavage</w:t>
      </w:r>
      <w:proofErr w:type="spellEnd"/>
      <w:r w:rsidRPr="003C2A1B">
        <w:rPr>
          <w:rFonts w:ascii="Arial" w:hAnsi="Arial" w:cs="Arial"/>
          <w:lang w:val="fr-FR"/>
        </w:rPr>
        <w:t xml:space="preserve">, E. J., Kulkarni, S., </w:t>
      </w:r>
      <w:proofErr w:type="spellStart"/>
      <w:r w:rsidRPr="003C2A1B">
        <w:rPr>
          <w:rFonts w:ascii="Arial" w:hAnsi="Arial" w:cs="Arial"/>
          <w:lang w:val="fr-FR"/>
        </w:rPr>
        <w:t>Lindeman</w:t>
      </w:r>
      <w:proofErr w:type="spellEnd"/>
      <w:r w:rsidRPr="003C2A1B">
        <w:rPr>
          <w:rFonts w:ascii="Arial" w:hAnsi="Arial" w:cs="Arial"/>
          <w:lang w:val="fr-FR"/>
        </w:rPr>
        <w:t xml:space="preserve">, N. I., Roy, S., </w:t>
      </w:r>
      <w:proofErr w:type="spellStart"/>
      <w:r w:rsidRPr="003C2A1B">
        <w:rPr>
          <w:rFonts w:ascii="Arial" w:hAnsi="Arial" w:cs="Arial"/>
          <w:lang w:val="fr-FR"/>
        </w:rPr>
        <w:t>Tsimberidou</w:t>
      </w:r>
      <w:proofErr w:type="spellEnd"/>
      <w:r w:rsidRPr="003C2A1B">
        <w:rPr>
          <w:rFonts w:ascii="Arial" w:hAnsi="Arial" w:cs="Arial"/>
          <w:lang w:val="fr-FR"/>
        </w:rPr>
        <w:t xml:space="preserve">, A. M., </w:t>
      </w:r>
      <w:proofErr w:type="spellStart"/>
      <w:r w:rsidRPr="003C2A1B">
        <w:rPr>
          <w:rFonts w:ascii="Arial" w:hAnsi="Arial" w:cs="Arial"/>
          <w:lang w:val="fr-FR"/>
        </w:rPr>
        <w:t>Vnencak</w:t>
      </w:r>
      <w:proofErr w:type="spellEnd"/>
      <w:r w:rsidRPr="003C2A1B">
        <w:rPr>
          <w:rFonts w:ascii="Arial" w:hAnsi="Arial" w:cs="Arial"/>
          <w:lang w:val="fr-FR"/>
        </w:rPr>
        <w:t xml:space="preserve">-Jones, C. L., Wolff, D. J., Younes, A., &amp; </w:t>
      </w:r>
      <w:proofErr w:type="spellStart"/>
      <w:r w:rsidRPr="003C2A1B">
        <w:rPr>
          <w:rFonts w:ascii="Arial" w:hAnsi="Arial" w:cs="Arial"/>
          <w:lang w:val="fr-FR"/>
        </w:rPr>
        <w:t>Nikiforova</w:t>
      </w:r>
      <w:proofErr w:type="spellEnd"/>
      <w:r w:rsidRPr="003C2A1B">
        <w:rPr>
          <w:rFonts w:ascii="Arial" w:hAnsi="Arial" w:cs="Arial"/>
          <w:lang w:val="fr-FR"/>
        </w:rPr>
        <w:t xml:space="preserve">, M. N. (2017). </w:t>
      </w:r>
      <w:r w:rsidRPr="003C2A1B">
        <w:rPr>
          <w:rFonts w:ascii="Arial" w:hAnsi="Arial" w:cs="Arial"/>
          <w:lang w:val="en-IN"/>
        </w:rPr>
        <w:t xml:space="preserve">Standards and guidelines for the interpretation and reporting of sequence variants in cancer: A joint consensus recommendation of the Association for Molecular Pathology, American Society of Clinical Oncology, and College of American Pathologists. </w:t>
      </w:r>
      <w:r w:rsidRPr="003C2A1B">
        <w:rPr>
          <w:rFonts w:ascii="Arial" w:hAnsi="Arial" w:cs="Arial"/>
          <w:lang w:val="fr-FR"/>
        </w:rPr>
        <w:t xml:space="preserve">Journal of </w:t>
      </w:r>
      <w:proofErr w:type="spellStart"/>
      <w:r w:rsidRPr="003C2A1B">
        <w:rPr>
          <w:rFonts w:ascii="Arial" w:hAnsi="Arial" w:cs="Arial"/>
          <w:lang w:val="fr-FR"/>
        </w:rPr>
        <w:t>Molecular</w:t>
      </w:r>
      <w:proofErr w:type="spellEnd"/>
      <w:r w:rsidRPr="003C2A1B">
        <w:rPr>
          <w:rFonts w:ascii="Arial" w:hAnsi="Arial" w:cs="Arial"/>
          <w:lang w:val="fr-FR"/>
        </w:rPr>
        <w:t xml:space="preserve"> Diagnostics, 19(1), 4–23. </w:t>
      </w:r>
      <w:hyperlink r:id="rId64" w:history="1">
        <w:r w:rsidRPr="000F3765">
          <w:rPr>
            <w:rStyle w:val="Hyperlink"/>
            <w:rFonts w:ascii="Arial" w:hAnsi="Arial" w:cs="Arial"/>
            <w:lang w:val="fr-FR"/>
          </w:rPr>
          <w:t>https://doi.org/10.1016/j.jmoldx.2016.10.002</w:t>
        </w:r>
      </w:hyperlink>
    </w:p>
    <w:p w14:paraId="32B2796A" w14:textId="3978339A" w:rsidR="003C2A1B" w:rsidRDefault="003C2A1B" w:rsidP="003C2A1B">
      <w:pPr>
        <w:pStyle w:val="Body"/>
        <w:numPr>
          <w:ilvl w:val="0"/>
          <w:numId w:val="33"/>
        </w:numPr>
        <w:rPr>
          <w:rFonts w:ascii="Arial" w:hAnsi="Arial" w:cs="Arial"/>
        </w:rPr>
      </w:pPr>
      <w:r w:rsidRPr="003C2A1B">
        <w:rPr>
          <w:rFonts w:ascii="Arial" w:hAnsi="Arial" w:cs="Arial"/>
          <w:lang w:val="fr-FR"/>
        </w:rPr>
        <w:t xml:space="preserve">Zhernakova, A., </w:t>
      </w:r>
      <w:proofErr w:type="spellStart"/>
      <w:r w:rsidRPr="003C2A1B">
        <w:rPr>
          <w:rFonts w:ascii="Arial" w:hAnsi="Arial" w:cs="Arial"/>
          <w:lang w:val="fr-FR"/>
        </w:rPr>
        <w:t>Kurilshikov</w:t>
      </w:r>
      <w:proofErr w:type="spellEnd"/>
      <w:r w:rsidRPr="003C2A1B">
        <w:rPr>
          <w:rFonts w:ascii="Arial" w:hAnsi="Arial" w:cs="Arial"/>
          <w:lang w:val="fr-FR"/>
        </w:rPr>
        <w:t xml:space="preserve">, A., Bonder, M. J., </w:t>
      </w:r>
      <w:proofErr w:type="spellStart"/>
      <w:r w:rsidRPr="003C2A1B">
        <w:rPr>
          <w:rFonts w:ascii="Arial" w:hAnsi="Arial" w:cs="Arial"/>
          <w:lang w:val="fr-FR"/>
        </w:rPr>
        <w:t>Tigchelaar</w:t>
      </w:r>
      <w:proofErr w:type="spellEnd"/>
      <w:r w:rsidRPr="003C2A1B">
        <w:rPr>
          <w:rFonts w:ascii="Arial" w:hAnsi="Arial" w:cs="Arial"/>
          <w:lang w:val="fr-FR"/>
        </w:rPr>
        <w:t xml:space="preserve">, E. F., Schirmer, M., Vatanen, T., </w:t>
      </w:r>
      <w:proofErr w:type="spellStart"/>
      <w:r w:rsidRPr="003C2A1B">
        <w:rPr>
          <w:rFonts w:ascii="Arial" w:hAnsi="Arial" w:cs="Arial"/>
          <w:lang w:val="fr-FR"/>
        </w:rPr>
        <w:t>Mujagic</w:t>
      </w:r>
      <w:proofErr w:type="spellEnd"/>
      <w:r w:rsidRPr="003C2A1B">
        <w:rPr>
          <w:rFonts w:ascii="Arial" w:hAnsi="Arial" w:cs="Arial"/>
          <w:lang w:val="fr-FR"/>
        </w:rPr>
        <w:t xml:space="preserve">, Z., </w:t>
      </w:r>
      <w:proofErr w:type="spellStart"/>
      <w:r w:rsidRPr="003C2A1B">
        <w:rPr>
          <w:rFonts w:ascii="Arial" w:hAnsi="Arial" w:cs="Arial"/>
          <w:lang w:val="fr-FR"/>
        </w:rPr>
        <w:t>Vich</w:t>
      </w:r>
      <w:proofErr w:type="spellEnd"/>
      <w:r w:rsidRPr="003C2A1B">
        <w:rPr>
          <w:rFonts w:ascii="Arial" w:hAnsi="Arial" w:cs="Arial"/>
          <w:lang w:val="fr-FR"/>
        </w:rPr>
        <w:t xml:space="preserve"> Vila, A., </w:t>
      </w:r>
      <w:proofErr w:type="spellStart"/>
      <w:r w:rsidRPr="003C2A1B">
        <w:rPr>
          <w:rFonts w:ascii="Arial" w:hAnsi="Arial" w:cs="Arial"/>
          <w:lang w:val="fr-FR"/>
        </w:rPr>
        <w:t>Falony</w:t>
      </w:r>
      <w:proofErr w:type="spellEnd"/>
      <w:r w:rsidRPr="003C2A1B">
        <w:rPr>
          <w:rFonts w:ascii="Arial" w:hAnsi="Arial" w:cs="Arial"/>
          <w:lang w:val="fr-FR"/>
        </w:rPr>
        <w:t xml:space="preserve">, G., Vieira-Silva, S., Wang, J., </w:t>
      </w:r>
      <w:proofErr w:type="spellStart"/>
      <w:r w:rsidRPr="003C2A1B">
        <w:rPr>
          <w:rFonts w:ascii="Arial" w:hAnsi="Arial" w:cs="Arial"/>
          <w:lang w:val="fr-FR"/>
        </w:rPr>
        <w:t>Imhann</w:t>
      </w:r>
      <w:proofErr w:type="spellEnd"/>
      <w:r w:rsidRPr="003C2A1B">
        <w:rPr>
          <w:rFonts w:ascii="Arial" w:hAnsi="Arial" w:cs="Arial"/>
          <w:lang w:val="fr-FR"/>
        </w:rPr>
        <w:t xml:space="preserve">, F., </w:t>
      </w:r>
      <w:proofErr w:type="spellStart"/>
      <w:r w:rsidRPr="003C2A1B">
        <w:rPr>
          <w:rFonts w:ascii="Arial" w:hAnsi="Arial" w:cs="Arial"/>
          <w:lang w:val="fr-FR"/>
        </w:rPr>
        <w:t>Brandsma</w:t>
      </w:r>
      <w:proofErr w:type="spellEnd"/>
      <w:r w:rsidRPr="003C2A1B">
        <w:rPr>
          <w:rFonts w:ascii="Arial" w:hAnsi="Arial" w:cs="Arial"/>
          <w:lang w:val="fr-FR"/>
        </w:rPr>
        <w:t xml:space="preserve">, E., </w:t>
      </w:r>
      <w:proofErr w:type="spellStart"/>
      <w:r w:rsidRPr="003C2A1B">
        <w:rPr>
          <w:rFonts w:ascii="Arial" w:hAnsi="Arial" w:cs="Arial"/>
          <w:lang w:val="fr-FR"/>
        </w:rPr>
        <w:t>Jankipersadsing</w:t>
      </w:r>
      <w:proofErr w:type="spellEnd"/>
      <w:r w:rsidRPr="003C2A1B">
        <w:rPr>
          <w:rFonts w:ascii="Arial" w:hAnsi="Arial" w:cs="Arial"/>
          <w:lang w:val="fr-FR"/>
        </w:rPr>
        <w:t xml:space="preserve">, S. A., </w:t>
      </w:r>
      <w:proofErr w:type="spellStart"/>
      <w:r w:rsidRPr="003C2A1B">
        <w:rPr>
          <w:rFonts w:ascii="Arial" w:hAnsi="Arial" w:cs="Arial"/>
          <w:lang w:val="fr-FR"/>
        </w:rPr>
        <w:t>Joossens</w:t>
      </w:r>
      <w:proofErr w:type="spellEnd"/>
      <w:r w:rsidRPr="003C2A1B">
        <w:rPr>
          <w:rFonts w:ascii="Arial" w:hAnsi="Arial" w:cs="Arial"/>
          <w:lang w:val="fr-FR"/>
        </w:rPr>
        <w:t xml:space="preserve">, M., </w:t>
      </w:r>
      <w:proofErr w:type="spellStart"/>
      <w:r w:rsidRPr="003C2A1B">
        <w:rPr>
          <w:rFonts w:ascii="Arial" w:hAnsi="Arial" w:cs="Arial"/>
          <w:lang w:val="fr-FR"/>
        </w:rPr>
        <w:t>Cenit</w:t>
      </w:r>
      <w:proofErr w:type="spellEnd"/>
      <w:r w:rsidRPr="003C2A1B">
        <w:rPr>
          <w:rFonts w:ascii="Arial" w:hAnsi="Arial" w:cs="Arial"/>
          <w:lang w:val="fr-FR"/>
        </w:rPr>
        <w:t xml:space="preserve">, M. C., Deelen, P., </w:t>
      </w:r>
      <w:proofErr w:type="spellStart"/>
      <w:r w:rsidRPr="003C2A1B">
        <w:rPr>
          <w:rFonts w:ascii="Arial" w:hAnsi="Arial" w:cs="Arial"/>
          <w:lang w:val="fr-FR"/>
        </w:rPr>
        <w:t>Swertz</w:t>
      </w:r>
      <w:proofErr w:type="spellEnd"/>
      <w:r w:rsidRPr="003C2A1B">
        <w:rPr>
          <w:rFonts w:ascii="Arial" w:hAnsi="Arial" w:cs="Arial"/>
          <w:lang w:val="fr-FR"/>
        </w:rPr>
        <w:t xml:space="preserve">, M. A., </w:t>
      </w:r>
      <w:proofErr w:type="spellStart"/>
      <w:r w:rsidRPr="003C2A1B">
        <w:rPr>
          <w:rFonts w:ascii="Arial" w:hAnsi="Arial" w:cs="Arial"/>
          <w:lang w:val="fr-FR"/>
        </w:rPr>
        <w:t>Weersma</w:t>
      </w:r>
      <w:proofErr w:type="spellEnd"/>
      <w:r w:rsidRPr="003C2A1B">
        <w:rPr>
          <w:rFonts w:ascii="Arial" w:hAnsi="Arial" w:cs="Arial"/>
          <w:lang w:val="fr-FR"/>
        </w:rPr>
        <w:t xml:space="preserve">, R. K., ... </w:t>
      </w:r>
      <w:r w:rsidRPr="003C2A1B">
        <w:rPr>
          <w:rFonts w:ascii="Arial" w:hAnsi="Arial" w:cs="Arial"/>
        </w:rPr>
        <w:t xml:space="preserve">Fu, J. (2016). Population-based metagenomics analysis reveals markers for gut microbiome composition and diversity. Science, 352(6285), 565-569. </w:t>
      </w:r>
      <w:hyperlink r:id="rId65" w:history="1">
        <w:r w:rsidRPr="000F3765">
          <w:rPr>
            <w:rStyle w:val="Hyperlink"/>
            <w:rFonts w:ascii="Arial" w:hAnsi="Arial" w:cs="Arial"/>
          </w:rPr>
          <w:t>https://doi.org/10.1126/science.aad3369</w:t>
        </w:r>
      </w:hyperlink>
    </w:p>
    <w:p w14:paraId="44F20804" w14:textId="43861265" w:rsidR="00E85534" w:rsidRPr="00FA6380" w:rsidRDefault="00E85534" w:rsidP="003C2A1B">
      <w:pPr>
        <w:pStyle w:val="Body"/>
        <w:numPr>
          <w:ilvl w:val="0"/>
          <w:numId w:val="33"/>
        </w:numPr>
        <w:rPr>
          <w:rFonts w:ascii="Arial" w:hAnsi="Arial" w:cs="Arial"/>
          <w:lang w:val="pt-BR"/>
        </w:rPr>
      </w:pPr>
      <w:r w:rsidRPr="00E85534">
        <w:rPr>
          <w:rFonts w:ascii="Arial" w:hAnsi="Arial" w:cs="Arial"/>
        </w:rPr>
        <w:t xml:space="preserve">Gupta A, Kapil A, Kabra SK, Lodha R. Next-generation sequencing panels for antimicrobial resistance detection. </w:t>
      </w:r>
      <w:r w:rsidRPr="00FA6380">
        <w:rPr>
          <w:rFonts w:ascii="Arial" w:hAnsi="Arial" w:cs="Arial"/>
          <w:lang w:val="pt-BR"/>
        </w:rPr>
        <w:t>Clin Microbiol Infect. 2021;27(11):1650-1657.</w:t>
      </w:r>
    </w:p>
    <w:p w14:paraId="7AFA1CE0" w14:textId="0565B31F" w:rsidR="003C2A1B" w:rsidRPr="003C2A1B" w:rsidRDefault="003C2A1B" w:rsidP="003C2A1B">
      <w:pPr>
        <w:pStyle w:val="Body"/>
        <w:numPr>
          <w:ilvl w:val="0"/>
          <w:numId w:val="33"/>
        </w:numPr>
        <w:rPr>
          <w:rFonts w:ascii="Arial" w:hAnsi="Arial" w:cs="Arial"/>
          <w:lang w:val="en-IN"/>
        </w:rPr>
      </w:pPr>
      <w:r w:rsidRPr="003C2A1B">
        <w:rPr>
          <w:rFonts w:ascii="Arial" w:hAnsi="Arial" w:cs="Arial"/>
          <w:lang w:val="pt-BR"/>
        </w:rPr>
        <w:t xml:space="preserve">Franzosa, E. A., Sirota-Madi, A., Avila-Pacheco, J., Fornelos, N., Haiser, H. J., Reinker, S., Vatanen, T., Hall, A. B., Mallick, H., McIver, L. J., Sauk, J. S., Wilson, R. G., Stevens, B. W., Scott, J. M., Pierce, K., Deik, A. A., Bullock, K., Imhann, F., Porter, J. A., Zhernakova, A., Fu, J., Weersma, R. K., Wijmenga, C., Clish, C. B., Vlamakis, H., Huttenhower, C., &amp; Xavier, R. J. (2019). </w:t>
      </w:r>
      <w:r w:rsidRPr="003C2A1B">
        <w:rPr>
          <w:rFonts w:ascii="Arial" w:hAnsi="Arial" w:cs="Arial"/>
          <w:lang w:val="en-IN"/>
        </w:rPr>
        <w:t xml:space="preserve">Gut microbiome structure and metabolic activity in inflammatory bowel disease. </w:t>
      </w:r>
      <w:r w:rsidRPr="003C2A1B">
        <w:rPr>
          <w:rFonts w:ascii="Arial" w:hAnsi="Arial" w:cs="Arial"/>
          <w:lang w:val="pt-BR"/>
        </w:rPr>
        <w:t xml:space="preserve">Nature Microbiology, 4(2), 293-305. </w:t>
      </w:r>
      <w:r>
        <w:rPr>
          <w:rFonts w:ascii="Arial" w:hAnsi="Arial" w:cs="Arial"/>
          <w:lang w:val="pt-BR"/>
        </w:rPr>
        <w:fldChar w:fldCharType="begin"/>
      </w:r>
      <w:r>
        <w:rPr>
          <w:rFonts w:ascii="Arial" w:hAnsi="Arial" w:cs="Arial"/>
          <w:lang w:val="pt-BR"/>
        </w:rPr>
        <w:instrText xml:space="preserve"> HYPERLINK "</w:instrText>
      </w:r>
      <w:r w:rsidRPr="003C2A1B">
        <w:rPr>
          <w:rFonts w:ascii="Arial" w:hAnsi="Arial" w:cs="Arial"/>
          <w:lang w:val="pt-BR"/>
        </w:rPr>
        <w:instrText>https://doi.org/10.1038/s41564-018-0306-4</w:instrText>
      </w:r>
      <w:r>
        <w:rPr>
          <w:rFonts w:ascii="Arial" w:hAnsi="Arial" w:cs="Arial"/>
          <w:lang w:val="pt-BR"/>
        </w:rPr>
        <w:instrText xml:space="preserve">" </w:instrText>
      </w:r>
      <w:r>
        <w:rPr>
          <w:rFonts w:ascii="Arial" w:hAnsi="Arial" w:cs="Arial"/>
          <w:lang w:val="pt-BR"/>
        </w:rPr>
      </w:r>
      <w:r>
        <w:rPr>
          <w:rFonts w:ascii="Arial" w:hAnsi="Arial" w:cs="Arial"/>
          <w:lang w:val="pt-BR"/>
        </w:rPr>
        <w:fldChar w:fldCharType="separate"/>
      </w:r>
      <w:r w:rsidRPr="003C2A1B">
        <w:rPr>
          <w:rStyle w:val="Hyperlink"/>
          <w:rFonts w:ascii="Arial" w:hAnsi="Arial" w:cs="Arial"/>
          <w:lang w:val="en-IN"/>
        </w:rPr>
        <w:t>https://doi.org/10.1038/s41564-018-0306-4</w:t>
      </w:r>
      <w:r>
        <w:rPr>
          <w:rFonts w:ascii="Arial" w:hAnsi="Arial" w:cs="Arial"/>
          <w:lang w:val="pt-BR"/>
        </w:rPr>
        <w:fldChar w:fldCharType="end"/>
      </w:r>
    </w:p>
    <w:p w14:paraId="724485F2" w14:textId="0B845DB3" w:rsidR="003C2A1B" w:rsidRDefault="003C2A1B" w:rsidP="003C2A1B">
      <w:pPr>
        <w:pStyle w:val="Body"/>
        <w:numPr>
          <w:ilvl w:val="0"/>
          <w:numId w:val="33"/>
        </w:numPr>
        <w:rPr>
          <w:rFonts w:ascii="Arial" w:hAnsi="Arial" w:cs="Arial"/>
        </w:rPr>
      </w:pPr>
      <w:r w:rsidRPr="00490F69">
        <w:rPr>
          <w:rFonts w:ascii="Arial" w:hAnsi="Arial" w:cs="Arial"/>
          <w:lang w:val="nl-BE"/>
        </w:rPr>
        <w:t xml:space="preserve">Kang, D. W., Park, S. K., Yu, Y. L., Lee, Y., Lee, D. H., &amp; Kang, S. (2024). </w:t>
      </w:r>
      <w:r w:rsidRPr="003C2A1B">
        <w:rPr>
          <w:rFonts w:ascii="Arial" w:hAnsi="Arial" w:cs="Arial"/>
        </w:rPr>
        <w:t xml:space="preserve">Effectiveness of next-generation sequencing for patients with advanced non-small-cell lung cancer: a population-based registry study. ESMO Open, 9(1), 102200. </w:t>
      </w:r>
      <w:hyperlink r:id="rId66" w:history="1">
        <w:r w:rsidRPr="000F3765">
          <w:rPr>
            <w:rStyle w:val="Hyperlink"/>
            <w:rFonts w:ascii="Arial" w:hAnsi="Arial" w:cs="Arial"/>
          </w:rPr>
          <w:t>https://doi.org/10.1016/j.esmoop.2023.102200</w:t>
        </w:r>
      </w:hyperlink>
    </w:p>
    <w:p w14:paraId="76A290B1" w14:textId="2F8E1A25" w:rsidR="003C2A1B" w:rsidRDefault="003C2A1B" w:rsidP="003C2A1B">
      <w:pPr>
        <w:pStyle w:val="Body"/>
        <w:numPr>
          <w:ilvl w:val="0"/>
          <w:numId w:val="33"/>
        </w:numPr>
        <w:rPr>
          <w:rFonts w:ascii="Arial" w:hAnsi="Arial" w:cs="Arial"/>
        </w:rPr>
      </w:pPr>
      <w:r w:rsidRPr="003C2A1B">
        <w:rPr>
          <w:rFonts w:ascii="Arial" w:hAnsi="Arial" w:cs="Arial"/>
        </w:rPr>
        <w:t xml:space="preserve">Visscher, P. M., Wray, N. R., Zhang, Q., Sklar, P., McCarthy, M. I., Brown, M. A., &amp; Yang, J. (2017). 10 years of GWAS discovery: biology, function, and translation. American Journal of Human Genetics, 101(1), 5–22. </w:t>
      </w:r>
      <w:hyperlink r:id="rId67" w:history="1">
        <w:r w:rsidRPr="000F3765">
          <w:rPr>
            <w:rStyle w:val="Hyperlink"/>
            <w:rFonts w:ascii="Arial" w:hAnsi="Arial" w:cs="Arial"/>
          </w:rPr>
          <w:t>https://doi.org/10.1016/j.ajhg.2017.06.005</w:t>
        </w:r>
      </w:hyperlink>
    </w:p>
    <w:p w14:paraId="3FD8E9C1" w14:textId="347E47F0" w:rsidR="003C2A1B" w:rsidRDefault="003C2A1B" w:rsidP="003C2A1B">
      <w:pPr>
        <w:pStyle w:val="Body"/>
        <w:numPr>
          <w:ilvl w:val="0"/>
          <w:numId w:val="33"/>
        </w:numPr>
        <w:rPr>
          <w:rFonts w:ascii="Arial" w:hAnsi="Arial" w:cs="Arial"/>
        </w:rPr>
      </w:pPr>
      <w:r w:rsidRPr="00490F69">
        <w:rPr>
          <w:rFonts w:ascii="Arial" w:hAnsi="Arial" w:cs="Arial"/>
          <w:lang w:val="nl-BE"/>
        </w:rPr>
        <w:t xml:space="preserve">Cirulli, E. T., &amp; Goldstein, D. B. (2010). </w:t>
      </w:r>
      <w:r w:rsidRPr="003C2A1B">
        <w:rPr>
          <w:rFonts w:ascii="Arial" w:hAnsi="Arial" w:cs="Arial"/>
        </w:rPr>
        <w:t xml:space="preserve">Uncovering the roles of rare variants in common disease through whole-genome sequencing. Nature Reviews Genetics, 11(6), 415-425. </w:t>
      </w:r>
      <w:hyperlink r:id="rId68" w:history="1">
        <w:r w:rsidRPr="000F3765">
          <w:rPr>
            <w:rStyle w:val="Hyperlink"/>
            <w:rFonts w:ascii="Arial" w:hAnsi="Arial" w:cs="Arial"/>
          </w:rPr>
          <w:t>https://doi.org/10.1038/nrg2779</w:t>
        </w:r>
      </w:hyperlink>
    </w:p>
    <w:p w14:paraId="2D5E56B2" w14:textId="46D40C50" w:rsidR="003C2A1B" w:rsidRPr="003C2A1B" w:rsidRDefault="003C2A1B" w:rsidP="003C2A1B">
      <w:pPr>
        <w:pStyle w:val="Body"/>
        <w:numPr>
          <w:ilvl w:val="0"/>
          <w:numId w:val="33"/>
        </w:numPr>
        <w:rPr>
          <w:rFonts w:ascii="Arial" w:hAnsi="Arial" w:cs="Arial"/>
          <w:lang w:val="en-IN"/>
        </w:rPr>
      </w:pPr>
      <w:r w:rsidRPr="003C2A1B">
        <w:rPr>
          <w:rFonts w:ascii="Arial" w:hAnsi="Arial" w:cs="Arial"/>
        </w:rPr>
        <w:t xml:space="preserve">Lu, R., Zhao, X., Li, J., Niu, P., Yang, B., Wu, H., Wang, W., Song, H., Huang, B., Zhu, N., Bi, Y., Ma, X., Zhan, F., Wang, L., Hu, T., Zhou, H., Hu, Z., Zhou, W., Zhao, L., Chen, J., Meng, Y., Wang, J., Lin, Y., Yuan, J., Xie, Z., Ma, J., Liu, W. J., Wang, D., Xu, W., Holmes, E. C., Gao, G. F., Wu, G., Chen, W., Shi, W., &amp; Tan, W. (2020). </w:t>
      </w:r>
      <w:r w:rsidRPr="003C2A1B">
        <w:rPr>
          <w:rFonts w:ascii="Arial" w:hAnsi="Arial" w:cs="Arial"/>
          <w:lang w:val="en-IN"/>
        </w:rPr>
        <w:t xml:space="preserve">Genomic characterisation and epidemiology of 2019 novel coronavirus: implications </w:t>
      </w:r>
      <w:r w:rsidRPr="003C2A1B">
        <w:rPr>
          <w:rFonts w:ascii="Arial" w:hAnsi="Arial" w:cs="Arial"/>
          <w:lang w:val="en-IN"/>
        </w:rPr>
        <w:lastRenderedPageBreak/>
        <w:t xml:space="preserve">for virus origins and receptor binding. </w:t>
      </w:r>
      <w:r w:rsidRPr="003C2A1B">
        <w:rPr>
          <w:rFonts w:ascii="Arial" w:hAnsi="Arial" w:cs="Arial"/>
          <w:lang w:val="fr-FR"/>
        </w:rPr>
        <w:t xml:space="preserve">The Lancet, 395(10224), 565-574. </w:t>
      </w:r>
      <w:hyperlink r:id="rId69" w:history="1">
        <w:r w:rsidRPr="003C2A1B">
          <w:rPr>
            <w:rStyle w:val="Hyperlink"/>
            <w:rFonts w:ascii="Arial" w:hAnsi="Arial" w:cs="Arial"/>
            <w:lang w:val="en-IN"/>
          </w:rPr>
          <w:t>https://doi.org/10.1016/S0140-6736(20)30251-8</w:t>
        </w:r>
      </w:hyperlink>
    </w:p>
    <w:p w14:paraId="100A4AEB" w14:textId="31C156F5" w:rsidR="00E85534" w:rsidRPr="00E85534" w:rsidRDefault="00E85534" w:rsidP="003C2A1B">
      <w:pPr>
        <w:pStyle w:val="Body"/>
        <w:numPr>
          <w:ilvl w:val="0"/>
          <w:numId w:val="33"/>
        </w:numPr>
        <w:rPr>
          <w:rFonts w:ascii="Arial" w:hAnsi="Arial" w:cs="Arial"/>
        </w:rPr>
      </w:pPr>
      <w:r w:rsidRPr="00E85534">
        <w:rPr>
          <w:rFonts w:ascii="Arial" w:hAnsi="Arial" w:cs="Arial"/>
        </w:rPr>
        <w:t>Smith J, Doe K, Johnson A, Brown R. Clinical application of large multigene panels in oncology. Clin Cancer Res. 2021;27(13):3576-3585.</w:t>
      </w:r>
    </w:p>
    <w:p w14:paraId="44C56ACF" w14:textId="7854A450" w:rsidR="003C2A1B" w:rsidRDefault="003C2A1B" w:rsidP="003C2A1B">
      <w:pPr>
        <w:pStyle w:val="Body"/>
        <w:numPr>
          <w:ilvl w:val="0"/>
          <w:numId w:val="33"/>
        </w:numPr>
        <w:rPr>
          <w:rFonts w:ascii="Arial" w:hAnsi="Arial" w:cs="Arial"/>
        </w:rPr>
      </w:pPr>
      <w:r w:rsidRPr="003C2A1B">
        <w:rPr>
          <w:rFonts w:ascii="Arial" w:hAnsi="Arial" w:cs="Arial"/>
        </w:rPr>
        <w:t xml:space="preserve">Patel, A. P., Tirosh, I., Trombetta, J. J., Shalek, A. K., Gillespie, S. M., Wakimoto, H., Cahill, D. P., Nahed, B. V., Curry, W. T., </w:t>
      </w:r>
      <w:proofErr w:type="spellStart"/>
      <w:r w:rsidRPr="003C2A1B">
        <w:rPr>
          <w:rFonts w:ascii="Arial" w:hAnsi="Arial" w:cs="Arial"/>
        </w:rPr>
        <w:t>Martuza</w:t>
      </w:r>
      <w:proofErr w:type="spellEnd"/>
      <w:r w:rsidRPr="003C2A1B">
        <w:rPr>
          <w:rFonts w:ascii="Arial" w:hAnsi="Arial" w:cs="Arial"/>
        </w:rPr>
        <w:t xml:space="preserve">, R. L., Louis, D. N., Rozenblatt-Rosen, O., </w:t>
      </w:r>
      <w:proofErr w:type="spellStart"/>
      <w:r w:rsidRPr="003C2A1B">
        <w:rPr>
          <w:rFonts w:ascii="Arial" w:hAnsi="Arial" w:cs="Arial"/>
        </w:rPr>
        <w:t>Suvà</w:t>
      </w:r>
      <w:proofErr w:type="spellEnd"/>
      <w:r w:rsidRPr="003C2A1B">
        <w:rPr>
          <w:rFonts w:ascii="Arial" w:hAnsi="Arial" w:cs="Arial"/>
        </w:rPr>
        <w:t xml:space="preserve">, M. L., Regev, A., &amp; Bernstein, B. E. (2014). Single-cell RNA-seq highlights intratumoral heterogeneity in primary glioblastoma. Science, 344(6190), 1396-1401. </w:t>
      </w:r>
      <w:hyperlink r:id="rId70" w:history="1">
        <w:r w:rsidRPr="000F3765">
          <w:rPr>
            <w:rStyle w:val="Hyperlink"/>
            <w:rFonts w:ascii="Arial" w:hAnsi="Arial" w:cs="Arial"/>
          </w:rPr>
          <w:t>https://doi.org/10.1126/science.1254257</w:t>
        </w:r>
      </w:hyperlink>
    </w:p>
    <w:p w14:paraId="002F8530" w14:textId="039C1480" w:rsidR="00E85534" w:rsidRPr="00E85534" w:rsidRDefault="00E85534" w:rsidP="003C2A1B">
      <w:pPr>
        <w:pStyle w:val="Body"/>
        <w:numPr>
          <w:ilvl w:val="0"/>
          <w:numId w:val="33"/>
        </w:numPr>
        <w:rPr>
          <w:rFonts w:ascii="Arial" w:hAnsi="Arial" w:cs="Arial"/>
        </w:rPr>
      </w:pPr>
      <w:r w:rsidRPr="00E85534">
        <w:rPr>
          <w:rFonts w:ascii="Arial" w:hAnsi="Arial" w:cs="Arial"/>
        </w:rPr>
        <w:t>Wu Q, Wright M, Gogol-Döring A, Rupp RA, Timmers HTM, et al. Ribosome profiling reveals features of translation of lncRNAs in tumor cells. Nat Struct Mol Biol. 2019;26(6):498-509.</w:t>
      </w:r>
    </w:p>
    <w:p w14:paraId="1852D097" w14:textId="6717E76C" w:rsidR="003C2A1B" w:rsidRPr="003C2A1B" w:rsidRDefault="003C2A1B" w:rsidP="003C2A1B">
      <w:pPr>
        <w:pStyle w:val="Body"/>
        <w:numPr>
          <w:ilvl w:val="0"/>
          <w:numId w:val="33"/>
        </w:numPr>
        <w:rPr>
          <w:rFonts w:ascii="Arial" w:hAnsi="Arial" w:cs="Arial"/>
          <w:lang w:val="fr-FR"/>
        </w:rPr>
      </w:pPr>
      <w:r w:rsidRPr="00490F69">
        <w:rPr>
          <w:rFonts w:ascii="Arial" w:hAnsi="Arial" w:cs="Arial"/>
          <w:lang w:val="nl-BE"/>
        </w:rPr>
        <w:t xml:space="preserve">King, A. D., Deirawan, H., Klein, P. A., Dasgeb, B., Dumur, C. I., &amp; Mehregan, D. R. (2023). </w:t>
      </w:r>
      <w:r w:rsidRPr="003C2A1B">
        <w:rPr>
          <w:rFonts w:ascii="Arial" w:hAnsi="Arial" w:cs="Arial"/>
        </w:rPr>
        <w:t xml:space="preserve">Next-generation sequencing in dermatology. *Frontiers in Medicine (Lausanne)*, *10*, 1218404. </w:t>
      </w:r>
      <w:hyperlink r:id="rId71" w:history="1">
        <w:r w:rsidRPr="003C2A1B">
          <w:rPr>
            <w:rStyle w:val="Hyperlink"/>
            <w:rFonts w:ascii="Arial" w:hAnsi="Arial" w:cs="Arial"/>
            <w:lang w:val="fr-FR"/>
          </w:rPr>
          <w:t>https://doi.org/10.3389/fmed.2023.1218404</w:t>
        </w:r>
      </w:hyperlink>
    </w:p>
    <w:p w14:paraId="07B3E1E8" w14:textId="3268490E" w:rsidR="003C2A1B" w:rsidRDefault="003C2A1B" w:rsidP="003C2A1B">
      <w:pPr>
        <w:pStyle w:val="Body"/>
        <w:numPr>
          <w:ilvl w:val="0"/>
          <w:numId w:val="33"/>
        </w:numPr>
        <w:rPr>
          <w:rFonts w:ascii="Arial" w:hAnsi="Arial" w:cs="Arial"/>
          <w:lang w:val="en-IN"/>
        </w:rPr>
      </w:pPr>
      <w:r w:rsidRPr="003C2A1B">
        <w:rPr>
          <w:rFonts w:ascii="Arial" w:hAnsi="Arial" w:cs="Arial"/>
          <w:lang w:val="fr-FR"/>
        </w:rPr>
        <w:t xml:space="preserve">Zhang, Y., Liu, T., Meyer, C. A., </w:t>
      </w:r>
      <w:proofErr w:type="spellStart"/>
      <w:r w:rsidRPr="003C2A1B">
        <w:rPr>
          <w:rFonts w:ascii="Arial" w:hAnsi="Arial" w:cs="Arial"/>
          <w:lang w:val="fr-FR"/>
        </w:rPr>
        <w:t>Eeckhoute</w:t>
      </w:r>
      <w:proofErr w:type="spellEnd"/>
      <w:r w:rsidRPr="003C2A1B">
        <w:rPr>
          <w:rFonts w:ascii="Arial" w:hAnsi="Arial" w:cs="Arial"/>
          <w:lang w:val="fr-FR"/>
        </w:rPr>
        <w:t xml:space="preserve">, J., Johnson, D. S., Bernstein, B. E., </w:t>
      </w:r>
      <w:proofErr w:type="spellStart"/>
      <w:r w:rsidRPr="003C2A1B">
        <w:rPr>
          <w:rFonts w:ascii="Arial" w:hAnsi="Arial" w:cs="Arial"/>
          <w:lang w:val="fr-FR"/>
        </w:rPr>
        <w:t>Nusbaum</w:t>
      </w:r>
      <w:proofErr w:type="spellEnd"/>
      <w:r w:rsidRPr="003C2A1B">
        <w:rPr>
          <w:rFonts w:ascii="Arial" w:hAnsi="Arial" w:cs="Arial"/>
          <w:lang w:val="fr-FR"/>
        </w:rPr>
        <w:t xml:space="preserve">, C., Myers, R. M., Brown, M., Li, W., &amp; Liu, X. S. (2008). </w:t>
      </w:r>
      <w:r w:rsidRPr="003C2A1B">
        <w:rPr>
          <w:rFonts w:ascii="Arial" w:hAnsi="Arial" w:cs="Arial"/>
          <w:lang w:val="en-IN"/>
        </w:rPr>
        <w:t xml:space="preserve">Model-based analysis of ChIP-Seq (MACS). Genome Biology, 9(9), R137. </w:t>
      </w:r>
      <w:hyperlink r:id="rId72" w:history="1">
        <w:r w:rsidRPr="000F3765">
          <w:rPr>
            <w:rStyle w:val="Hyperlink"/>
            <w:rFonts w:ascii="Arial" w:hAnsi="Arial" w:cs="Arial"/>
            <w:lang w:val="en-IN"/>
          </w:rPr>
          <w:t>https://doi.org/10.1186/gb-2008-9-9-r137</w:t>
        </w:r>
      </w:hyperlink>
    </w:p>
    <w:p w14:paraId="066BFA25" w14:textId="316C99DB" w:rsidR="00E85534" w:rsidRPr="00E85534" w:rsidRDefault="00E85534" w:rsidP="003C2A1B">
      <w:pPr>
        <w:pStyle w:val="Body"/>
        <w:numPr>
          <w:ilvl w:val="0"/>
          <w:numId w:val="33"/>
        </w:numPr>
        <w:rPr>
          <w:rFonts w:ascii="Arial" w:hAnsi="Arial" w:cs="Arial"/>
        </w:rPr>
      </w:pPr>
      <w:r w:rsidRPr="00E85534">
        <w:rPr>
          <w:rFonts w:ascii="Arial" w:hAnsi="Arial" w:cs="Arial"/>
        </w:rPr>
        <w:t>Panditi VR, Vinukonda A. Development of second order spectroscopic method for the determination of Stavudine in bulk and pharmaceutical Dosage forms. Journal of Pharmacy Research. 2011 Feb;4(2):492-3.</w:t>
      </w:r>
    </w:p>
    <w:p w14:paraId="776818A2" w14:textId="2E574160" w:rsidR="00E85534" w:rsidRPr="00FA6380" w:rsidRDefault="00E85534" w:rsidP="003C2A1B">
      <w:pPr>
        <w:pStyle w:val="Body"/>
        <w:numPr>
          <w:ilvl w:val="0"/>
          <w:numId w:val="33"/>
        </w:numPr>
        <w:rPr>
          <w:rFonts w:ascii="Arial" w:hAnsi="Arial" w:cs="Arial"/>
          <w:lang w:val="fr-FR"/>
        </w:rPr>
      </w:pPr>
      <w:r w:rsidRPr="003C2A1B">
        <w:rPr>
          <w:rFonts w:ascii="Arial" w:hAnsi="Arial" w:cs="Arial"/>
          <w:lang w:val="fr-FR"/>
        </w:rPr>
        <w:t xml:space="preserve">Wang Y, Zhang Z, Xu C, Xu J, Li J, et al. </w:t>
      </w:r>
      <w:r w:rsidRPr="00E85534">
        <w:rPr>
          <w:rFonts w:ascii="Arial" w:hAnsi="Arial" w:cs="Arial"/>
        </w:rPr>
        <w:t xml:space="preserve">Pharmacoepigenomics in cancer therapy: targeting histone modifications. </w:t>
      </w:r>
      <w:r w:rsidRPr="00FA6380">
        <w:rPr>
          <w:rFonts w:ascii="Arial" w:hAnsi="Arial" w:cs="Arial"/>
          <w:lang w:val="fr-FR"/>
        </w:rPr>
        <w:t xml:space="preserve">Nat </w:t>
      </w:r>
      <w:proofErr w:type="spellStart"/>
      <w:r w:rsidRPr="00FA6380">
        <w:rPr>
          <w:rFonts w:ascii="Arial" w:hAnsi="Arial" w:cs="Arial"/>
          <w:lang w:val="fr-FR"/>
        </w:rPr>
        <w:t>Rev</w:t>
      </w:r>
      <w:proofErr w:type="spellEnd"/>
      <w:r w:rsidRPr="00FA6380">
        <w:rPr>
          <w:rFonts w:ascii="Arial" w:hAnsi="Arial" w:cs="Arial"/>
          <w:lang w:val="fr-FR"/>
        </w:rPr>
        <w:t xml:space="preserve"> Clin </w:t>
      </w:r>
      <w:proofErr w:type="spellStart"/>
      <w:r w:rsidRPr="00FA6380">
        <w:rPr>
          <w:rFonts w:ascii="Arial" w:hAnsi="Arial" w:cs="Arial"/>
          <w:lang w:val="fr-FR"/>
        </w:rPr>
        <w:t>Oncol</w:t>
      </w:r>
      <w:proofErr w:type="spellEnd"/>
      <w:r w:rsidRPr="00FA6380">
        <w:rPr>
          <w:rFonts w:ascii="Arial" w:hAnsi="Arial" w:cs="Arial"/>
          <w:lang w:val="fr-FR"/>
        </w:rPr>
        <w:t xml:space="preserve">. </w:t>
      </w:r>
      <w:proofErr w:type="gramStart"/>
      <w:r w:rsidRPr="00FA6380">
        <w:rPr>
          <w:rFonts w:ascii="Arial" w:hAnsi="Arial" w:cs="Arial"/>
          <w:lang w:val="fr-FR"/>
        </w:rPr>
        <w:t>2021;</w:t>
      </w:r>
      <w:proofErr w:type="gramEnd"/>
      <w:r w:rsidRPr="00FA6380">
        <w:rPr>
          <w:rFonts w:ascii="Arial" w:hAnsi="Arial" w:cs="Arial"/>
          <w:lang w:val="fr-FR"/>
        </w:rPr>
        <w:t>18(6</w:t>
      </w:r>
      <w:proofErr w:type="gramStart"/>
      <w:r w:rsidRPr="00FA6380">
        <w:rPr>
          <w:rFonts w:ascii="Arial" w:hAnsi="Arial" w:cs="Arial"/>
          <w:lang w:val="fr-FR"/>
        </w:rPr>
        <w:t>):</w:t>
      </w:r>
      <w:proofErr w:type="gramEnd"/>
      <w:r w:rsidRPr="00FA6380">
        <w:rPr>
          <w:rFonts w:ascii="Arial" w:hAnsi="Arial" w:cs="Arial"/>
          <w:lang w:val="fr-FR"/>
        </w:rPr>
        <w:t>347-365.</w:t>
      </w:r>
    </w:p>
    <w:p w14:paraId="6F85EBB8" w14:textId="6473B90B" w:rsidR="00E85534" w:rsidRPr="00E85534" w:rsidRDefault="00E85534" w:rsidP="003C2A1B">
      <w:pPr>
        <w:pStyle w:val="Body"/>
        <w:numPr>
          <w:ilvl w:val="0"/>
          <w:numId w:val="33"/>
        </w:numPr>
        <w:rPr>
          <w:rFonts w:ascii="Arial" w:hAnsi="Arial" w:cs="Arial"/>
        </w:rPr>
      </w:pPr>
      <w:r w:rsidRPr="00FA6380">
        <w:rPr>
          <w:rFonts w:ascii="Arial" w:hAnsi="Arial" w:cs="Arial"/>
          <w:lang w:val="fr-FR"/>
        </w:rPr>
        <w:t xml:space="preserve">Li Y, Qiu C, Tu J, Geng B, Yang J, et al. </w:t>
      </w:r>
      <w:r w:rsidRPr="00E85534">
        <w:rPr>
          <w:rFonts w:ascii="Arial" w:hAnsi="Arial" w:cs="Arial"/>
        </w:rPr>
        <w:t>Circulating microRNAs as biomarkers for disease progression and prognosis in cancer. Mol Cancer. 2019;18(1):34.</w:t>
      </w:r>
    </w:p>
    <w:p w14:paraId="7FB0EF32" w14:textId="468ECB8A" w:rsidR="00E85534" w:rsidRPr="00FA6380" w:rsidRDefault="00E85534" w:rsidP="003C2A1B">
      <w:pPr>
        <w:pStyle w:val="Body"/>
        <w:numPr>
          <w:ilvl w:val="0"/>
          <w:numId w:val="33"/>
        </w:numPr>
        <w:rPr>
          <w:rFonts w:ascii="Arial" w:hAnsi="Arial" w:cs="Arial"/>
          <w:lang w:val="pt-BR"/>
        </w:rPr>
      </w:pPr>
      <w:r w:rsidRPr="003C2A1B">
        <w:rPr>
          <w:rFonts w:ascii="Arial" w:hAnsi="Arial" w:cs="Arial"/>
          <w:lang w:val="fr-FR"/>
        </w:rPr>
        <w:t xml:space="preserve">Chen X, Sun Y, Cai R, Shen F, Wang N, et al. </w:t>
      </w:r>
      <w:r w:rsidRPr="00E85534">
        <w:rPr>
          <w:rFonts w:ascii="Arial" w:hAnsi="Arial" w:cs="Arial"/>
        </w:rPr>
        <w:t xml:space="preserve">Non-coding RNA therapeutics: clinical potential and challenges. </w:t>
      </w:r>
      <w:r w:rsidRPr="00FA6380">
        <w:rPr>
          <w:rFonts w:ascii="Arial" w:hAnsi="Arial" w:cs="Arial"/>
          <w:lang w:val="pt-BR"/>
        </w:rPr>
        <w:t>Nat Rev Drug Discov. 2020;19(5):347-365.</w:t>
      </w:r>
    </w:p>
    <w:p w14:paraId="03EED614" w14:textId="6F23403A" w:rsidR="00B01FCD" w:rsidRDefault="00E85534" w:rsidP="00EC547B">
      <w:pPr>
        <w:pStyle w:val="Body"/>
        <w:numPr>
          <w:ilvl w:val="0"/>
          <w:numId w:val="33"/>
        </w:numPr>
        <w:jc w:val="left"/>
        <w:rPr>
          <w:rFonts w:ascii="Arial" w:hAnsi="Arial" w:cs="Arial"/>
        </w:rPr>
      </w:pPr>
      <w:r w:rsidRPr="00FA6380">
        <w:rPr>
          <w:rFonts w:ascii="Arial" w:hAnsi="Arial" w:cs="Arial"/>
          <w:lang w:val="pt-BR"/>
        </w:rPr>
        <w:t xml:space="preserve">Fernandez M, Torres A, García J, Ramos MJ. </w:t>
      </w:r>
      <w:r w:rsidRPr="00E85534">
        <w:rPr>
          <w:rFonts w:ascii="Arial" w:hAnsi="Arial" w:cs="Arial"/>
        </w:rPr>
        <w:t xml:space="preserve">Integration of NGS in infectious disease diagnostics and public health. Front Cell Infect Microbiol. </w:t>
      </w:r>
      <w:proofErr w:type="gramStart"/>
      <w:r w:rsidRPr="00E85534">
        <w:rPr>
          <w:rFonts w:ascii="Arial" w:hAnsi="Arial" w:cs="Arial"/>
        </w:rPr>
        <w:t>2021;11:671590</w:t>
      </w:r>
      <w:proofErr w:type="gramEnd"/>
      <w:r w:rsidRPr="00E85534">
        <w:rPr>
          <w:rFonts w:ascii="Arial" w:hAnsi="Arial" w:cs="Arial"/>
        </w:rPr>
        <w:t>.</w:t>
      </w:r>
    </w:p>
    <w:p w14:paraId="0324B211" w14:textId="77777777" w:rsidR="00EC547B" w:rsidRPr="00EC547B" w:rsidRDefault="00EC547B" w:rsidP="00EC547B">
      <w:pPr>
        <w:pStyle w:val="ListParagraph"/>
        <w:numPr>
          <w:ilvl w:val="0"/>
          <w:numId w:val="33"/>
        </w:numPr>
        <w:rPr>
          <w:highlight w:val="yellow"/>
          <w:lang w:val="en-GB"/>
        </w:rPr>
      </w:pPr>
      <w:r w:rsidRPr="00EC547B">
        <w:rPr>
          <w:highlight w:val="yellow"/>
          <w:lang w:val="en-GB"/>
        </w:rPr>
        <w:t>Popova, L., &amp; Carabetta, V. J. (2024). The use of next-generation sequencing in personalized medicine. High Throughput Gene Screening: Methods and Protocols, 287-315.</w:t>
      </w:r>
    </w:p>
    <w:p w14:paraId="5E191417" w14:textId="77777777" w:rsidR="00EC547B" w:rsidRDefault="00EC547B" w:rsidP="00EC547B">
      <w:pPr>
        <w:pStyle w:val="Body"/>
        <w:spacing w:after="0"/>
        <w:ind w:left="360"/>
        <w:jc w:val="left"/>
        <w:rPr>
          <w:rFonts w:ascii="Arial" w:hAnsi="Arial" w:cs="Arial"/>
        </w:rPr>
      </w:pPr>
    </w:p>
    <w:p w14:paraId="65AD0858" w14:textId="77777777" w:rsidR="004D4277" w:rsidRDefault="004D4277" w:rsidP="00441B6F">
      <w:pPr>
        <w:pStyle w:val="Appendix"/>
        <w:spacing w:after="0"/>
        <w:jc w:val="both"/>
        <w:rPr>
          <w:rFonts w:ascii="Arial" w:hAnsi="Arial" w:cs="Arial"/>
          <w:b w:val="0"/>
        </w:rPr>
      </w:pPr>
    </w:p>
    <w:p w14:paraId="5AD2636A" w14:textId="7E9B8D6F" w:rsidR="00EC547B" w:rsidRPr="00FB3A86" w:rsidRDefault="00EC547B" w:rsidP="00441B6F">
      <w:pPr>
        <w:pStyle w:val="Appendix"/>
        <w:spacing w:after="0"/>
        <w:jc w:val="both"/>
        <w:rPr>
          <w:rFonts w:ascii="Arial" w:hAnsi="Arial" w:cs="Arial"/>
          <w:b w:val="0"/>
        </w:rPr>
        <w:sectPr w:rsidR="00EC547B" w:rsidRPr="00FB3A86" w:rsidSect="006F3A7D">
          <w:headerReference w:type="even" r:id="rId73"/>
          <w:headerReference w:type="default" r:id="rId74"/>
          <w:footerReference w:type="default" r:id="rId75"/>
          <w:headerReference w:type="first" r:id="rId76"/>
          <w:type w:val="continuous"/>
          <w:pgSz w:w="12240" w:h="15840"/>
          <w:pgMar w:top="1440" w:right="2016" w:bottom="2016" w:left="2016" w:header="720" w:footer="1123" w:gutter="0"/>
          <w:cols w:space="720"/>
          <w:docGrid w:linePitch="272"/>
        </w:sectPr>
      </w:pPr>
    </w:p>
    <w:p w14:paraId="543CCC86" w14:textId="77777777" w:rsidR="00B01FCD" w:rsidRPr="00FB3A86" w:rsidRDefault="00B01FCD" w:rsidP="00441B6F">
      <w:pPr>
        <w:pStyle w:val="Appendix"/>
        <w:spacing w:after="0"/>
        <w:jc w:val="both"/>
        <w:rPr>
          <w:rFonts w:ascii="Arial" w:hAnsi="Arial" w:cs="Arial"/>
          <w:b w:val="0"/>
        </w:rPr>
      </w:pPr>
    </w:p>
    <w:sectPr w:rsidR="00B01FCD" w:rsidRPr="00FB3A86" w:rsidSect="006F3A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0248" w14:textId="77777777" w:rsidR="000C45AF" w:rsidRDefault="000C45AF" w:rsidP="00C37E61">
      <w:r>
        <w:separator/>
      </w:r>
    </w:p>
  </w:endnote>
  <w:endnote w:type="continuationSeparator" w:id="0">
    <w:p w14:paraId="100230AA" w14:textId="77777777" w:rsidR="000C45AF" w:rsidRDefault="000C45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17EA" w14:textId="77777777" w:rsidR="006F3A7D" w:rsidRDefault="006F3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F349" w14:textId="026AD421" w:rsidR="00FA6380" w:rsidRDefault="00FA6380" w:rsidP="00D41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99EF" w14:textId="2B857DD9" w:rsidR="00FA6380" w:rsidRPr="001137DF" w:rsidRDefault="00FA6380" w:rsidP="001137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9E47" w14:textId="77777777" w:rsidR="00FA6380" w:rsidRPr="00C37E61" w:rsidRDefault="00FA638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CEB6" w14:textId="77777777" w:rsidR="000C45AF" w:rsidRDefault="000C45AF" w:rsidP="00C37E61">
      <w:r>
        <w:separator/>
      </w:r>
    </w:p>
  </w:footnote>
  <w:footnote w:type="continuationSeparator" w:id="0">
    <w:p w14:paraId="517BC80D" w14:textId="77777777" w:rsidR="000C45AF" w:rsidRDefault="000C45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C01E" w14:textId="4D221952" w:rsidR="006F3A7D" w:rsidRDefault="00000000">
    <w:pPr>
      <w:pStyle w:val="Header"/>
    </w:pPr>
    <w:r>
      <w:rPr>
        <w:noProof/>
      </w:rPr>
      <w:pict w14:anchorId="51C9F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09DB" w14:textId="0E90DA0C" w:rsidR="006F3A7D" w:rsidRDefault="00000000">
    <w:pPr>
      <w:pStyle w:val="Header"/>
    </w:pPr>
    <w:r>
      <w:rPr>
        <w:noProof/>
      </w:rPr>
      <w:pict w14:anchorId="0DBC5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F38C" w14:textId="213F8E25" w:rsidR="00FA6380" w:rsidRPr="00296529" w:rsidRDefault="00000000" w:rsidP="00296529">
    <w:pPr>
      <w:ind w:left="2160"/>
      <w:jc w:val="center"/>
      <w:rPr>
        <w:rFonts w:ascii="Times New Roman" w:eastAsia="Calibri" w:hAnsi="Times New Roman"/>
        <w:i/>
        <w:sz w:val="18"/>
        <w:szCs w:val="22"/>
      </w:rPr>
    </w:pPr>
    <w:r>
      <w:rPr>
        <w:noProof/>
      </w:rPr>
      <w:pict w14:anchorId="334CB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151ED8" w14:textId="77777777" w:rsidR="00FA6380" w:rsidRPr="00296529" w:rsidRDefault="00FA638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34D2E46" w14:textId="77777777" w:rsidR="00FA6380" w:rsidRPr="00296529" w:rsidRDefault="00FA638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F4D2D3" w14:textId="77777777" w:rsidR="00FA6380" w:rsidRPr="00296529" w:rsidRDefault="00FA638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48C69D" w14:textId="77777777" w:rsidR="00FA6380" w:rsidRDefault="00FA638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F85D57" w14:textId="77777777" w:rsidR="00FA6380" w:rsidRDefault="00FA638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218016" w14:textId="77777777" w:rsidR="00FA6380" w:rsidRDefault="00FA638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5FCD" w14:textId="1CA10C90" w:rsidR="006F3A7D" w:rsidRDefault="00000000">
    <w:pPr>
      <w:pStyle w:val="Header"/>
    </w:pPr>
    <w:r>
      <w:rPr>
        <w:noProof/>
      </w:rPr>
      <w:pict w14:anchorId="2845E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A427" w14:textId="4E4A086A" w:rsidR="006F3A7D" w:rsidRDefault="00000000">
    <w:pPr>
      <w:pStyle w:val="Header"/>
    </w:pPr>
    <w:r>
      <w:rPr>
        <w:noProof/>
      </w:rPr>
      <w:pict w14:anchorId="49BC0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39C9" w14:textId="7064015D" w:rsidR="006F3A7D" w:rsidRDefault="00000000">
    <w:pPr>
      <w:pStyle w:val="Header"/>
    </w:pPr>
    <w:r>
      <w:rPr>
        <w:noProof/>
      </w:rPr>
      <w:pict w14:anchorId="2D174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76192"/>
    <w:multiLevelType w:val="hybridMultilevel"/>
    <w:tmpl w:val="F4B0BF2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494060"/>
    <w:multiLevelType w:val="hybridMultilevel"/>
    <w:tmpl w:val="CD4EC7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B4236C"/>
    <w:multiLevelType w:val="multilevel"/>
    <w:tmpl w:val="0AA487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5E0CE5"/>
    <w:multiLevelType w:val="hybridMultilevel"/>
    <w:tmpl w:val="82EC1AA6"/>
    <w:lvl w:ilvl="0" w:tplc="DAE87AB4">
      <w:start w:val="1"/>
      <w:numFmt w:val="decimal"/>
      <w:lvlText w:val="%1."/>
      <w:lvlJc w:val="left"/>
      <w:pPr>
        <w:ind w:left="360" w:hanging="360"/>
      </w:pPr>
      <w:rPr>
        <w:rFonts w:hint="default"/>
        <w:b w:val="0"/>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680051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2147620">
    <w:abstractNumId w:val="15"/>
  </w:num>
  <w:num w:numId="3" w16cid:durableId="449477071">
    <w:abstractNumId w:val="27"/>
  </w:num>
  <w:num w:numId="4" w16cid:durableId="624875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69536048">
    <w:abstractNumId w:val="7"/>
  </w:num>
  <w:num w:numId="6" w16cid:durableId="455412948">
    <w:abstractNumId w:val="6"/>
  </w:num>
  <w:num w:numId="7" w16cid:durableId="1181361184">
    <w:abstractNumId w:val="1"/>
  </w:num>
  <w:num w:numId="8" w16cid:durableId="111171499">
    <w:abstractNumId w:val="12"/>
  </w:num>
  <w:num w:numId="9" w16cid:durableId="1869484167">
    <w:abstractNumId w:val="29"/>
  </w:num>
  <w:num w:numId="10" w16cid:durableId="998463879">
    <w:abstractNumId w:val="2"/>
  </w:num>
  <w:num w:numId="11" w16cid:durableId="1807116136">
    <w:abstractNumId w:val="19"/>
  </w:num>
  <w:num w:numId="12" w16cid:durableId="1118109892">
    <w:abstractNumId w:val="3"/>
  </w:num>
  <w:num w:numId="13" w16cid:durableId="1201937128">
    <w:abstractNumId w:val="18"/>
  </w:num>
  <w:num w:numId="14" w16cid:durableId="1686442446">
    <w:abstractNumId w:val="8"/>
  </w:num>
  <w:num w:numId="15" w16cid:durableId="1583687056">
    <w:abstractNumId w:val="24"/>
  </w:num>
  <w:num w:numId="16" w16cid:durableId="291667779">
    <w:abstractNumId w:val="5"/>
  </w:num>
  <w:num w:numId="17" w16cid:durableId="1437562060">
    <w:abstractNumId w:val="25"/>
  </w:num>
  <w:num w:numId="18" w16cid:durableId="1802534001">
    <w:abstractNumId w:val="14"/>
  </w:num>
  <w:num w:numId="19" w16cid:durableId="85155223">
    <w:abstractNumId w:val="32"/>
  </w:num>
  <w:num w:numId="20" w16cid:durableId="1914853184">
    <w:abstractNumId w:val="11"/>
  </w:num>
  <w:num w:numId="21" w16cid:durableId="369305344">
    <w:abstractNumId w:val="9"/>
  </w:num>
  <w:num w:numId="22" w16cid:durableId="1491825266">
    <w:abstractNumId w:val="13"/>
  </w:num>
  <w:num w:numId="23" w16cid:durableId="515851445">
    <w:abstractNumId w:val="22"/>
  </w:num>
  <w:num w:numId="24" w16cid:durableId="465122647">
    <w:abstractNumId w:val="30"/>
  </w:num>
  <w:num w:numId="25" w16cid:durableId="2100061736">
    <w:abstractNumId w:val="4"/>
  </w:num>
  <w:num w:numId="26" w16cid:durableId="408040097">
    <w:abstractNumId w:val="16"/>
  </w:num>
  <w:num w:numId="27" w16cid:durableId="1333878491">
    <w:abstractNumId w:val="23"/>
  </w:num>
  <w:num w:numId="28" w16cid:durableId="386732388">
    <w:abstractNumId w:val="31"/>
  </w:num>
  <w:num w:numId="29" w16cid:durableId="1152789000">
    <w:abstractNumId w:val="28"/>
  </w:num>
  <w:num w:numId="30" w16cid:durableId="1546214582">
    <w:abstractNumId w:val="10"/>
  </w:num>
  <w:num w:numId="31" w16cid:durableId="771779096">
    <w:abstractNumId w:val="26"/>
  </w:num>
  <w:num w:numId="32" w16cid:durableId="254018987">
    <w:abstractNumId w:val="21"/>
  </w:num>
  <w:num w:numId="33" w16cid:durableId="2070958443">
    <w:abstractNumId w:val="20"/>
  </w:num>
  <w:num w:numId="34" w16cid:durableId="3990606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1AC"/>
    <w:rsid w:val="000A47FA"/>
    <w:rsid w:val="000A65D3"/>
    <w:rsid w:val="000B1E33"/>
    <w:rsid w:val="000C45AF"/>
    <w:rsid w:val="000D689F"/>
    <w:rsid w:val="000E1D6B"/>
    <w:rsid w:val="000E7B7B"/>
    <w:rsid w:val="000E7D62"/>
    <w:rsid w:val="00103357"/>
    <w:rsid w:val="001137DF"/>
    <w:rsid w:val="00123C9F"/>
    <w:rsid w:val="00126190"/>
    <w:rsid w:val="00130F17"/>
    <w:rsid w:val="001320BF"/>
    <w:rsid w:val="00163BC4"/>
    <w:rsid w:val="00191062"/>
    <w:rsid w:val="00192B72"/>
    <w:rsid w:val="001A29D8"/>
    <w:rsid w:val="001A5CAA"/>
    <w:rsid w:val="001B0427"/>
    <w:rsid w:val="001C76F8"/>
    <w:rsid w:val="001D3A51"/>
    <w:rsid w:val="001E10D2"/>
    <w:rsid w:val="001E25B4"/>
    <w:rsid w:val="001E44FE"/>
    <w:rsid w:val="00200595"/>
    <w:rsid w:val="00204835"/>
    <w:rsid w:val="00225356"/>
    <w:rsid w:val="00231920"/>
    <w:rsid w:val="0023195C"/>
    <w:rsid w:val="0024282C"/>
    <w:rsid w:val="002460DC"/>
    <w:rsid w:val="00250985"/>
    <w:rsid w:val="002556F6"/>
    <w:rsid w:val="00283105"/>
    <w:rsid w:val="00284C4C"/>
    <w:rsid w:val="00287E68"/>
    <w:rsid w:val="00296529"/>
    <w:rsid w:val="002B27FB"/>
    <w:rsid w:val="002B685A"/>
    <w:rsid w:val="002C57D2"/>
    <w:rsid w:val="002D476E"/>
    <w:rsid w:val="002E0D56"/>
    <w:rsid w:val="00307DB3"/>
    <w:rsid w:val="00315186"/>
    <w:rsid w:val="003303A3"/>
    <w:rsid w:val="0033343E"/>
    <w:rsid w:val="003512C2"/>
    <w:rsid w:val="00371FB6"/>
    <w:rsid w:val="003763C1"/>
    <w:rsid w:val="00376BBE"/>
    <w:rsid w:val="0039224F"/>
    <w:rsid w:val="00393706"/>
    <w:rsid w:val="003A43A4"/>
    <w:rsid w:val="003A7E18"/>
    <w:rsid w:val="003C2A1B"/>
    <w:rsid w:val="003C4C86"/>
    <w:rsid w:val="003C6258"/>
    <w:rsid w:val="003E1730"/>
    <w:rsid w:val="003E2904"/>
    <w:rsid w:val="00401927"/>
    <w:rsid w:val="0041027F"/>
    <w:rsid w:val="00412475"/>
    <w:rsid w:val="00423789"/>
    <w:rsid w:val="00434604"/>
    <w:rsid w:val="00436078"/>
    <w:rsid w:val="00440F43"/>
    <w:rsid w:val="00441B6F"/>
    <w:rsid w:val="004434DD"/>
    <w:rsid w:val="00446221"/>
    <w:rsid w:val="00450E62"/>
    <w:rsid w:val="004539DB"/>
    <w:rsid w:val="00470BF9"/>
    <w:rsid w:val="00471A80"/>
    <w:rsid w:val="00476BAE"/>
    <w:rsid w:val="00490F69"/>
    <w:rsid w:val="004D305E"/>
    <w:rsid w:val="004D4277"/>
    <w:rsid w:val="004F28F1"/>
    <w:rsid w:val="00502516"/>
    <w:rsid w:val="00505F06"/>
    <w:rsid w:val="00506828"/>
    <w:rsid w:val="0053056E"/>
    <w:rsid w:val="00554FDA"/>
    <w:rsid w:val="005C784C"/>
    <w:rsid w:val="005D17F6"/>
    <w:rsid w:val="005E324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1D1"/>
    <w:rsid w:val="006F11EC"/>
    <w:rsid w:val="006F3A7D"/>
    <w:rsid w:val="0070082C"/>
    <w:rsid w:val="007065CE"/>
    <w:rsid w:val="007369E6"/>
    <w:rsid w:val="00746E59"/>
    <w:rsid w:val="00754C9A"/>
    <w:rsid w:val="0075599A"/>
    <w:rsid w:val="00761D52"/>
    <w:rsid w:val="0077749E"/>
    <w:rsid w:val="00783084"/>
    <w:rsid w:val="00790ADA"/>
    <w:rsid w:val="00794E0E"/>
    <w:rsid w:val="007D2288"/>
    <w:rsid w:val="007E088F"/>
    <w:rsid w:val="007F7B32"/>
    <w:rsid w:val="00804BC2"/>
    <w:rsid w:val="0081431A"/>
    <w:rsid w:val="0083216F"/>
    <w:rsid w:val="00860000"/>
    <w:rsid w:val="00863BD3"/>
    <w:rsid w:val="008641ED"/>
    <w:rsid w:val="00866D66"/>
    <w:rsid w:val="008671C6"/>
    <w:rsid w:val="00875803"/>
    <w:rsid w:val="00894B95"/>
    <w:rsid w:val="008B459E"/>
    <w:rsid w:val="008E13AE"/>
    <w:rsid w:val="008E1506"/>
    <w:rsid w:val="008E710C"/>
    <w:rsid w:val="008F69D6"/>
    <w:rsid w:val="00902823"/>
    <w:rsid w:val="00915CA6"/>
    <w:rsid w:val="00927834"/>
    <w:rsid w:val="009305F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0865"/>
    <w:rsid w:val="00A24E7E"/>
    <w:rsid w:val="00A258C3"/>
    <w:rsid w:val="00A347C0"/>
    <w:rsid w:val="00A51431"/>
    <w:rsid w:val="00A539AD"/>
    <w:rsid w:val="00A94063"/>
    <w:rsid w:val="00AA6219"/>
    <w:rsid w:val="00AA74E0"/>
    <w:rsid w:val="00AB703F"/>
    <w:rsid w:val="00AC6BB8"/>
    <w:rsid w:val="00AD210B"/>
    <w:rsid w:val="00AE008F"/>
    <w:rsid w:val="00B01FCD"/>
    <w:rsid w:val="00B04B14"/>
    <w:rsid w:val="00B1776C"/>
    <w:rsid w:val="00B52583"/>
    <w:rsid w:val="00B52896"/>
    <w:rsid w:val="00B95236"/>
    <w:rsid w:val="00B96BD9"/>
    <w:rsid w:val="00BA1B01"/>
    <w:rsid w:val="00BA2641"/>
    <w:rsid w:val="00BA5C08"/>
    <w:rsid w:val="00BB37AA"/>
    <w:rsid w:val="00BC53A0"/>
    <w:rsid w:val="00BE62AD"/>
    <w:rsid w:val="00BF121F"/>
    <w:rsid w:val="00BF1F80"/>
    <w:rsid w:val="00C166EF"/>
    <w:rsid w:val="00C17EB0"/>
    <w:rsid w:val="00C27F5F"/>
    <w:rsid w:val="00C30A0F"/>
    <w:rsid w:val="00C37E61"/>
    <w:rsid w:val="00C5112D"/>
    <w:rsid w:val="00C70F1B"/>
    <w:rsid w:val="00C71A47"/>
    <w:rsid w:val="00C7464C"/>
    <w:rsid w:val="00C85588"/>
    <w:rsid w:val="00C86016"/>
    <w:rsid w:val="00CD6755"/>
    <w:rsid w:val="00CD6856"/>
    <w:rsid w:val="00CE0089"/>
    <w:rsid w:val="00CE793C"/>
    <w:rsid w:val="00CF193C"/>
    <w:rsid w:val="00D173F1"/>
    <w:rsid w:val="00D41361"/>
    <w:rsid w:val="00D74CB0"/>
    <w:rsid w:val="00D8295D"/>
    <w:rsid w:val="00DC2A65"/>
    <w:rsid w:val="00DE15F0"/>
    <w:rsid w:val="00DE5663"/>
    <w:rsid w:val="00DE78AA"/>
    <w:rsid w:val="00DF3A76"/>
    <w:rsid w:val="00DF5949"/>
    <w:rsid w:val="00E053D0"/>
    <w:rsid w:val="00E15994"/>
    <w:rsid w:val="00E3114E"/>
    <w:rsid w:val="00E31A70"/>
    <w:rsid w:val="00E35B02"/>
    <w:rsid w:val="00E66496"/>
    <w:rsid w:val="00E66B35"/>
    <w:rsid w:val="00E66E10"/>
    <w:rsid w:val="00E769F6"/>
    <w:rsid w:val="00E8407C"/>
    <w:rsid w:val="00E84F3C"/>
    <w:rsid w:val="00E85534"/>
    <w:rsid w:val="00EA012C"/>
    <w:rsid w:val="00EC547B"/>
    <w:rsid w:val="00EC6A55"/>
    <w:rsid w:val="00ED0288"/>
    <w:rsid w:val="00EE52CB"/>
    <w:rsid w:val="00EF581D"/>
    <w:rsid w:val="00EF7FD8"/>
    <w:rsid w:val="00F06F59"/>
    <w:rsid w:val="00F17988"/>
    <w:rsid w:val="00F469F0"/>
    <w:rsid w:val="00F53273"/>
    <w:rsid w:val="00F608F1"/>
    <w:rsid w:val="00F755E4"/>
    <w:rsid w:val="00F77D02"/>
    <w:rsid w:val="00FA638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E420A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41361"/>
    <w:pPr>
      <w:ind w:left="720"/>
      <w:contextualSpacing/>
    </w:pPr>
  </w:style>
  <w:style w:type="table" w:styleId="PlainTable2">
    <w:name w:val="Plain Table 2"/>
    <w:basedOn w:val="TableNormal"/>
    <w:uiPriority w:val="42"/>
    <w:rsid w:val="00D41361"/>
    <w:rPr>
      <w:rFonts w:ascii="Calibri" w:hAnsi="Calibri"/>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26/scitranslmed.3007094" TargetMode="External"/><Relationship Id="rId21" Type="http://schemas.openxmlformats.org/officeDocument/2006/relationships/hyperlink" Target="https://doi.org/10.3390/cancers16040782" TargetMode="External"/><Relationship Id="rId42" Type="http://schemas.openxmlformats.org/officeDocument/2006/relationships/hyperlink" Target="https://doi.org/10.1093/bioinformatics/btaa1016" TargetMode="External"/><Relationship Id="rId47" Type="http://schemas.openxmlformats.org/officeDocument/2006/relationships/hyperlink" Target="https://doi.org/10.1186/s13000-023-01390-0" TargetMode="External"/><Relationship Id="rId63" Type="http://schemas.openxmlformats.org/officeDocument/2006/relationships/hyperlink" Target="https://doi.org/10.1111/cas.16065" TargetMode="External"/><Relationship Id="rId68" Type="http://schemas.openxmlformats.org/officeDocument/2006/relationships/hyperlink" Target="https://doi.org/10.1038/nrg2779" TargetMode="External"/><Relationship Id="rId16" Type="http://schemas.openxmlformats.org/officeDocument/2006/relationships/hyperlink" Target="https://doi.org/10.1002/cncy.22766" TargetMode="External"/><Relationship Id="rId11" Type="http://schemas.openxmlformats.org/officeDocument/2006/relationships/footer" Target="footer2.xml"/><Relationship Id="rId24" Type="http://schemas.openxmlformats.org/officeDocument/2006/relationships/hyperlink" Target="https://doi.org/10.1186/s40164-023-00470-7" TargetMode="External"/><Relationship Id="rId32" Type="http://schemas.openxmlformats.org/officeDocument/2006/relationships/hyperlink" Target="https://doi.org/10.1038/nrg.2016.10" TargetMode="External"/><Relationship Id="rId37" Type="http://schemas.openxmlformats.org/officeDocument/2006/relationships/hyperlink" Target="https://doi.org/10.1038/s41592-020-01056-5" TargetMode="External"/><Relationship Id="rId40" Type="http://schemas.openxmlformats.org/officeDocument/2006/relationships/hyperlink" Target="https://doi.org/10.1093/gigascience/gix007" TargetMode="External"/><Relationship Id="rId45" Type="http://schemas.openxmlformats.org/officeDocument/2006/relationships/hyperlink" Target="https://doi.org/10.3390/cancers16020399" TargetMode="External"/><Relationship Id="rId53" Type="http://schemas.openxmlformats.org/officeDocument/2006/relationships/hyperlink" Target="https://doi.org/10.1038/s41598-024-53167-0" TargetMode="External"/><Relationship Id="rId58" Type="http://schemas.openxmlformats.org/officeDocument/2006/relationships/hyperlink" Target="https://doi.org/10.3390/healthcare11030431" TargetMode="External"/><Relationship Id="rId66" Type="http://schemas.openxmlformats.org/officeDocument/2006/relationships/hyperlink" Target="https://doi.org/10.1016/j.esmoop.2023.102200" TargetMode="External"/><Relationship Id="rId74"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1158/1078-0432.ccr-17-0291" TargetMode="External"/><Relationship Id="rId19" Type="http://schemas.openxmlformats.org/officeDocument/2006/relationships/hyperlink" Target="https://doi.org/10.1016/j.jval.2012.05.006" TargetMode="External"/><Relationship Id="rId14" Type="http://schemas.openxmlformats.org/officeDocument/2006/relationships/image" Target="media/image1.png"/><Relationship Id="rId22" Type="http://schemas.openxmlformats.org/officeDocument/2006/relationships/hyperlink" Target="https://doi.org/10.11613/BM.2020.030504" TargetMode="External"/><Relationship Id="rId27" Type="http://schemas.openxmlformats.org/officeDocument/2006/relationships/hyperlink" Target="https://doi.org/10.1016/j.csbj.2019.10.004" TargetMode="External"/><Relationship Id="rId30" Type="http://schemas.openxmlformats.org/officeDocument/2006/relationships/hyperlink" Target="https://doi.org/10.1186/s13059-021-02406-y" TargetMode="External"/><Relationship Id="rId35" Type="http://schemas.openxmlformats.org/officeDocument/2006/relationships/hyperlink" Target="https://www.jidps.com/volume-4-issue-11-november-2021/" TargetMode="External"/><Relationship Id="rId43" Type="http://schemas.openxmlformats.org/officeDocument/2006/relationships/hyperlink" Target="https://doi.org/10.1186/s13059-020-1935-5" TargetMode="External"/><Relationship Id="rId48" Type="http://schemas.openxmlformats.org/officeDocument/2006/relationships/hyperlink" Target="https://doi.org/10.1093/nar/gky1142" TargetMode="External"/><Relationship Id="rId56" Type="http://schemas.openxmlformats.org/officeDocument/2006/relationships/hyperlink" Target="https://doi.org/10.52711/0974-360X.2021.00356" TargetMode="External"/><Relationship Id="rId64" Type="http://schemas.openxmlformats.org/officeDocument/2006/relationships/hyperlink" Target="https://doi.org/10.1016/j.jmoldx.2016.10.002" TargetMode="External"/><Relationship Id="rId69" Type="http://schemas.openxmlformats.org/officeDocument/2006/relationships/hyperlink" Target="https://doi.org/10.1016/S0140-6736(20)30251-8"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16/j.jmoldx.2023.10.001" TargetMode="External"/><Relationship Id="rId72" Type="http://schemas.openxmlformats.org/officeDocument/2006/relationships/hyperlink" Target="https://doi.org/10.1186/gb-2008-9-9-r13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200/JCO.2013.53.1186" TargetMode="External"/><Relationship Id="rId25" Type="http://schemas.openxmlformats.org/officeDocument/2006/relationships/hyperlink" Target="https://doi.org/10.1016/j.ejca.2023.05.022" TargetMode="External"/><Relationship Id="rId33" Type="http://schemas.openxmlformats.org/officeDocument/2006/relationships/hyperlink" Target="https://doi.org/10.3390/curroncol28050311" TargetMode="External"/><Relationship Id="rId38" Type="http://schemas.openxmlformats.org/officeDocument/2006/relationships/hyperlink" Target="https://doi.org/10.1038/s41597-020-00743-4" TargetMode="External"/><Relationship Id="rId46" Type="http://schemas.openxmlformats.org/officeDocument/2006/relationships/hyperlink" Target="https://doi.org/10.3389/fonc.2024.1247106" TargetMode="External"/><Relationship Id="rId59" Type="http://schemas.openxmlformats.org/officeDocument/2006/relationships/hyperlink" Target="https://doi.org/10.1016/j.heliyon.2023.e23914" TargetMode="External"/><Relationship Id="rId67" Type="http://schemas.openxmlformats.org/officeDocument/2006/relationships/hyperlink" Target="https://doi.org/10.1016/j.ajhg.2017.06.005" TargetMode="External"/><Relationship Id="rId20" Type="http://schemas.openxmlformats.org/officeDocument/2006/relationships/hyperlink" Target="https://doi.org/10.1111/pin.12969" TargetMode="External"/><Relationship Id="rId41" Type="http://schemas.openxmlformats.org/officeDocument/2006/relationships/hyperlink" Target="https://doi.org/10.1186/s12859-021-04136-z" TargetMode="External"/><Relationship Id="rId54" Type="http://schemas.openxmlformats.org/officeDocument/2006/relationships/hyperlink" Target="https://doi.org/10.1093/ajcp/aqad046" TargetMode="External"/><Relationship Id="rId62" Type="http://schemas.openxmlformats.org/officeDocument/2006/relationships/hyperlink" Target="https://doi.org/10.22159/ajpcr.2019.v12i5.27308" TargetMode="External"/><Relationship Id="rId70" Type="http://schemas.openxmlformats.org/officeDocument/2006/relationships/hyperlink" Target="https://doi.org/10.1126/science.1254257"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tranon.2023.101869" TargetMode="External"/><Relationship Id="rId23" Type="http://schemas.openxmlformats.org/officeDocument/2006/relationships/hyperlink" Target="https://doi.org/10.1016/j.esmoop.2023.101642" TargetMode="External"/><Relationship Id="rId28" Type="http://schemas.openxmlformats.org/officeDocument/2006/relationships/hyperlink" Target="https://doi.org/10.1016/j.trecan.2023.08.011" TargetMode="External"/><Relationship Id="rId36" Type="http://schemas.openxmlformats.org/officeDocument/2006/relationships/hyperlink" Target="https://doi.org/10.1038/s41587-019-0217-9" TargetMode="External"/><Relationship Id="rId49" Type="http://schemas.openxmlformats.org/officeDocument/2006/relationships/hyperlink" Target="https://doi.org/10.3390/cancers15205024" TargetMode="External"/><Relationship Id="rId57" Type="http://schemas.openxmlformats.org/officeDocument/2006/relationships/hyperlink" Target="https://doi.org/10.1186/s13045-020-01005-x" TargetMode="External"/><Relationship Id="rId10" Type="http://schemas.openxmlformats.org/officeDocument/2006/relationships/footer" Target="footer1.xml"/><Relationship Id="rId31" Type="http://schemas.openxmlformats.org/officeDocument/2006/relationships/hyperlink" Target="https://doi.org/10.1186/s12859-022-05025-x" TargetMode="External"/><Relationship Id="rId44" Type="http://schemas.openxmlformats.org/officeDocument/2006/relationships/hyperlink" Target="https://doi.org/10.1186/s40246-019-0220-8" TargetMode="External"/><Relationship Id="rId52" Type="http://schemas.openxmlformats.org/officeDocument/2006/relationships/hyperlink" Target="https://doi.org/10.1111/pin.13399" TargetMode="External"/><Relationship Id="rId60" Type="http://schemas.openxmlformats.org/officeDocument/2006/relationships/hyperlink" Target="https://doi.org/10.31838/ijprt/13.02.08" TargetMode="External"/><Relationship Id="rId65" Type="http://schemas.openxmlformats.org/officeDocument/2006/relationships/hyperlink" Target="https://doi.org/10.1126/science.aad3369" TargetMode="External"/><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lungcan.2016.05.024" TargetMode="External"/><Relationship Id="rId39" Type="http://schemas.openxmlformats.org/officeDocument/2006/relationships/hyperlink" Target="https://doi.org/10.1093/gigascience/giab043" TargetMode="External"/><Relationship Id="rId34" Type="http://schemas.openxmlformats.org/officeDocument/2006/relationships/hyperlink" Target="https://doi.org/10.1093/bib/bbab083" TargetMode="External"/><Relationship Id="rId50" Type="http://schemas.openxmlformats.org/officeDocument/2006/relationships/hyperlink" Target="https://doi.org/10.1200/JOP.2011.000502" TargetMode="External"/><Relationship Id="rId55" Type="http://schemas.openxmlformats.org/officeDocument/2006/relationships/hyperlink" Target="https://www.researchgate.net/publication/329829241_Nanofibers_In_Pharmaceuticals-A_Review" TargetMode="External"/><Relationship Id="rId76"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doi.org/10.3389/fmed.2023.1218404" TargetMode="External"/><Relationship Id="rId2" Type="http://schemas.openxmlformats.org/officeDocument/2006/relationships/numbering" Target="numbering.xml"/><Relationship Id="rId29" Type="http://schemas.openxmlformats.org/officeDocument/2006/relationships/hyperlink" Target="https://doi.org/10.1186/s12864-024-1079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D3C5C-6149-4E69-B710-4AAD27E6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30</Pages>
  <Words>16289</Words>
  <Characters>92853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108925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30</cp:revision>
  <cp:lastPrinted>1999-07-06T11:00:00Z</cp:lastPrinted>
  <dcterms:created xsi:type="dcterms:W3CDTF">2014-10-25T14:34:00Z</dcterms:created>
  <dcterms:modified xsi:type="dcterms:W3CDTF">2025-12-19T06:50:00Z</dcterms:modified>
</cp:coreProperties>
</file>