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A5623" w14:textId="0B3FC95D" w:rsidR="00363403" w:rsidRPr="00E41CCC" w:rsidRDefault="00162BEA" w:rsidP="00E41CCC">
      <w:pPr>
        <w:spacing w:after="0" w:line="240" w:lineRule="auto"/>
        <w:jc w:val="center"/>
        <w:rPr>
          <w:rFonts w:ascii="Times New Roman" w:hAnsi="Times New Roman" w:cs="Times New Roman"/>
          <w:b/>
          <w:bCs/>
        </w:rPr>
      </w:pPr>
      <w:r w:rsidRPr="00E41CCC">
        <w:rPr>
          <w:rFonts w:ascii="Times New Roman" w:hAnsi="Times New Roman" w:cs="Times New Roman"/>
          <w:b/>
          <w:bCs/>
        </w:rPr>
        <w:t>Comparative Microbiological and Physicochemical Assessment of Sachet and Bottled Drinking Water in Port Harcourt Metropolis, Nigeria</w:t>
      </w:r>
      <w:r w:rsidR="00FB0B6D" w:rsidRPr="00E41CCC">
        <w:rPr>
          <w:rFonts w:ascii="Times New Roman" w:hAnsi="Times New Roman" w:cs="Times New Roman"/>
          <w:b/>
          <w:bCs/>
        </w:rPr>
        <w:t>.</w:t>
      </w:r>
    </w:p>
    <w:p w14:paraId="2988202B" w14:textId="77777777" w:rsidR="00536B2D" w:rsidRPr="003E43E6" w:rsidRDefault="00536B2D" w:rsidP="00147E2B">
      <w:pPr>
        <w:spacing w:after="0" w:line="240" w:lineRule="auto"/>
      </w:pPr>
    </w:p>
    <w:p w14:paraId="345A3984" w14:textId="26B1FAC7" w:rsidR="002E29EF" w:rsidRPr="003E43E6" w:rsidRDefault="00147E2B" w:rsidP="00162BEA">
      <w:pPr>
        <w:spacing w:after="0" w:line="240" w:lineRule="auto"/>
        <w:jc w:val="center"/>
        <w:rPr>
          <w:rFonts w:ascii="Times New Roman" w:hAnsi="Times New Roman" w:cs="Times New Roman"/>
          <w:b/>
          <w:bCs/>
        </w:rPr>
      </w:pPr>
      <w:r w:rsidRPr="003E43E6">
        <w:rPr>
          <w:rFonts w:ascii="Times New Roman" w:hAnsi="Times New Roman" w:cs="Times New Roman"/>
          <w:b/>
          <w:bCs/>
        </w:rPr>
        <w:t>ABSTRACT</w:t>
      </w:r>
    </w:p>
    <w:p w14:paraId="4B34DE6C" w14:textId="34DF187B" w:rsidR="0066730D" w:rsidRPr="0066730D" w:rsidRDefault="007A1536" w:rsidP="00C75F02">
      <w:pPr>
        <w:spacing w:after="0"/>
        <w:jc w:val="both"/>
        <w:rPr>
          <w:rFonts w:ascii="Times New Roman" w:hAnsi="Times New Roman" w:cs="Times New Roman"/>
        </w:rPr>
      </w:pPr>
      <w:r w:rsidRPr="003E43E6">
        <w:rPr>
          <w:b/>
          <w:bCs/>
        </w:rPr>
        <w:br/>
      </w:r>
      <w:r w:rsidR="0066730D" w:rsidRPr="00E41CCC">
        <w:rPr>
          <w:rFonts w:ascii="Times New Roman" w:hAnsi="Times New Roman" w:cs="Times New Roman"/>
        </w:rPr>
        <w:t>This study assessed and compared the bacteriological and physicochemical quality of sachet and bottled drinking water sold within Port Harcourt Metropolis, Rivers State, Nigeria. Thirty-two water samples were analyzed, comprising sixteen sachet and sixteen bottled water brands, which were randomly purchased from various locations across the metropolis. Only recently produced products were selected based on production dates. Physicochemical parameters were evaluated using standard methods recommended by the American Public Health Association and the World Health Organization. Microbiological quality was determined through total heterotrophic bacterial count (THBC), total coliform count (TCC), and detection of selected bacterial pathogens. Bacterial isolates were further characterized and subjected to antimicrobial susceptibility testing using the Kirby–Bauer disk diffusion method.</w:t>
      </w:r>
      <w:r w:rsidR="004314D7">
        <w:rPr>
          <w:rFonts w:ascii="Times New Roman" w:hAnsi="Times New Roman" w:cs="Times New Roman"/>
        </w:rPr>
        <w:t xml:space="preserve"> </w:t>
      </w:r>
      <w:r w:rsidR="0066730D" w:rsidRPr="0066730D">
        <w:rPr>
          <w:rFonts w:ascii="Times New Roman" w:hAnsi="Times New Roman" w:cs="Times New Roman"/>
        </w:rPr>
        <w:t xml:space="preserve">The results showed that most physicochemical parameters, including temperature, turbidity, total dissolved solids, and total hardness, complied with WHO guideline values. However, magnesium concentration in bottled water samples (2.76 ± 1.23 mg/L) marginally exceeded the recommended limit (0.2 mg/L). Microbiological analysis revealed significantly higher THBC in sachet water (132.00 ± 72.90 CFU/0.1 mL) compared to bottled water (39.50 ± 16.50 CFU/0.1 mL) (p &lt; 0.05). Although sachet water also exhibited higher TCC values, the difference was not statistically significant (p = 0.1077). Coliforms and </w:t>
      </w:r>
      <w:proofErr w:type="spellStart"/>
      <w:r w:rsidR="0066730D" w:rsidRPr="0066730D">
        <w:rPr>
          <w:rFonts w:ascii="Times New Roman" w:hAnsi="Times New Roman" w:cs="Times New Roman"/>
        </w:rPr>
        <w:t>faecal</w:t>
      </w:r>
      <w:proofErr w:type="spellEnd"/>
      <w:r w:rsidR="0066730D" w:rsidRPr="0066730D">
        <w:rPr>
          <w:rFonts w:ascii="Times New Roman" w:hAnsi="Times New Roman" w:cs="Times New Roman"/>
        </w:rPr>
        <w:t xml:space="preserve"> indicator organisms, including </w:t>
      </w:r>
      <w:r w:rsidR="0066730D" w:rsidRPr="0066730D">
        <w:rPr>
          <w:rFonts w:ascii="Times New Roman" w:hAnsi="Times New Roman" w:cs="Times New Roman"/>
          <w:i/>
          <w:iCs/>
        </w:rPr>
        <w:t>Escherichia coli</w:t>
      </w:r>
      <w:r w:rsidR="0066730D" w:rsidRPr="0066730D">
        <w:rPr>
          <w:rFonts w:ascii="Times New Roman" w:hAnsi="Times New Roman" w:cs="Times New Roman"/>
        </w:rPr>
        <w:t xml:space="preserve">, were more frequently detected in sachet water samples. Identified bacterial isolates included </w:t>
      </w:r>
      <w:r w:rsidR="0066730D" w:rsidRPr="0066730D">
        <w:rPr>
          <w:rFonts w:ascii="Times New Roman" w:hAnsi="Times New Roman" w:cs="Times New Roman"/>
          <w:i/>
          <w:iCs/>
        </w:rPr>
        <w:t>E. coli</w:t>
      </w:r>
      <w:r w:rsidR="0066730D" w:rsidRPr="0066730D">
        <w:rPr>
          <w:rFonts w:ascii="Times New Roman" w:hAnsi="Times New Roman" w:cs="Times New Roman"/>
        </w:rPr>
        <w:t xml:space="preserve">, </w:t>
      </w:r>
      <w:r w:rsidR="0066730D" w:rsidRPr="0066730D">
        <w:rPr>
          <w:rFonts w:ascii="Times New Roman" w:hAnsi="Times New Roman" w:cs="Times New Roman"/>
          <w:i/>
          <w:iCs/>
        </w:rPr>
        <w:t>Staphylococcus aureus</w:t>
      </w:r>
      <w:r w:rsidR="0066730D" w:rsidRPr="0066730D">
        <w:rPr>
          <w:rFonts w:ascii="Times New Roman" w:hAnsi="Times New Roman" w:cs="Times New Roman"/>
        </w:rPr>
        <w:t xml:space="preserve">, </w:t>
      </w:r>
      <w:r w:rsidR="0066730D" w:rsidRPr="0066730D">
        <w:rPr>
          <w:rFonts w:ascii="Times New Roman" w:hAnsi="Times New Roman" w:cs="Times New Roman"/>
          <w:i/>
          <w:iCs/>
        </w:rPr>
        <w:t>Klebsiella</w:t>
      </w:r>
      <w:r w:rsidR="0066730D" w:rsidRPr="0066730D">
        <w:rPr>
          <w:rFonts w:ascii="Times New Roman" w:hAnsi="Times New Roman" w:cs="Times New Roman"/>
        </w:rPr>
        <w:t xml:space="preserve"> spp., and </w:t>
      </w:r>
      <w:r w:rsidR="0066730D" w:rsidRPr="0066730D">
        <w:rPr>
          <w:rFonts w:ascii="Times New Roman" w:hAnsi="Times New Roman" w:cs="Times New Roman"/>
          <w:i/>
          <w:iCs/>
        </w:rPr>
        <w:t>Enterobacter</w:t>
      </w:r>
      <w:r w:rsidR="0066730D" w:rsidRPr="0066730D">
        <w:rPr>
          <w:rFonts w:ascii="Times New Roman" w:hAnsi="Times New Roman" w:cs="Times New Roman"/>
        </w:rPr>
        <w:t xml:space="preserve"> spp. </w:t>
      </w:r>
      <w:r w:rsidR="00C75F02" w:rsidRPr="0066730D">
        <w:rPr>
          <w:rFonts w:ascii="Times New Roman" w:hAnsi="Times New Roman" w:cs="Times New Roman"/>
        </w:rPr>
        <w:t>antimicrobial</w:t>
      </w:r>
      <w:r w:rsidR="0066730D" w:rsidRPr="0066730D">
        <w:rPr>
          <w:rFonts w:ascii="Times New Roman" w:hAnsi="Times New Roman" w:cs="Times New Roman"/>
        </w:rPr>
        <w:t xml:space="preserve"> susceptibility testing demonstrated notable resistance to commonly used antibiotics such as amoxicillin, vancomycin, and erythromycin, while higher susceptibility was observed to levofloxacin and meropenem. Overall, the findings indicate that despite acceptable physicochemical quality, microbial contamination—particularly in sachet water—poses potential public health risks and underscores the need for strengthened regulatory oversight, routine surveillance, and improved production hygiene.</w:t>
      </w:r>
    </w:p>
    <w:p w14:paraId="0E3B2CED" w14:textId="4645B571" w:rsidR="00147E2B" w:rsidRPr="00E41CCC" w:rsidRDefault="00147E2B" w:rsidP="00E41CCC">
      <w:pPr>
        <w:spacing w:after="0" w:line="240" w:lineRule="auto"/>
        <w:rPr>
          <w:rFonts w:ascii="Times New Roman" w:hAnsi="Times New Roman" w:cs="Times New Roman"/>
        </w:rPr>
      </w:pPr>
    </w:p>
    <w:p w14:paraId="556CA611" w14:textId="77777777" w:rsidR="00DC2A3E" w:rsidRPr="00C75F02" w:rsidRDefault="00DC2A3E" w:rsidP="00C75F02">
      <w:pPr>
        <w:spacing w:after="0" w:line="240" w:lineRule="auto"/>
        <w:jc w:val="both"/>
        <w:rPr>
          <w:rFonts w:ascii="Times New Roman" w:hAnsi="Times New Roman" w:cs="Times New Roman"/>
          <w:b/>
          <w:bCs/>
          <w:color w:val="000000" w:themeColor="text1"/>
        </w:rPr>
      </w:pPr>
      <w:r w:rsidRPr="00C75F02">
        <w:rPr>
          <w:rFonts w:ascii="Times New Roman" w:hAnsi="Times New Roman" w:cs="Times New Roman"/>
          <w:b/>
          <w:bCs/>
          <w:color w:val="000000" w:themeColor="text1"/>
        </w:rPr>
        <w:t>INTRODUCTION</w:t>
      </w:r>
    </w:p>
    <w:p w14:paraId="45ED8E00" w14:textId="1E9857CA" w:rsidR="00DC2A3E" w:rsidRPr="00DC2A3E" w:rsidRDefault="00DC2A3E" w:rsidP="00C75F02">
      <w:pPr>
        <w:spacing w:after="0" w:line="240" w:lineRule="auto"/>
        <w:jc w:val="both"/>
        <w:rPr>
          <w:rFonts w:ascii="Times New Roman" w:hAnsi="Times New Roman" w:cs="Times New Roman"/>
          <w:color w:val="000000" w:themeColor="text1"/>
        </w:rPr>
      </w:pPr>
      <w:r w:rsidRPr="00DC2A3E">
        <w:rPr>
          <w:rFonts w:ascii="Times New Roman" w:hAnsi="Times New Roman" w:cs="Times New Roman"/>
          <w:color w:val="000000" w:themeColor="text1"/>
        </w:rPr>
        <w:t xml:space="preserve">Water is an indispensable natural resource essential for sustaining life and supporting human development. It constitutes a major portion of the human body and is critical for vital physiological and biochemical processes, including metabolic reactions, nutrient transport, thermoregulation, waste elimination, and cellular equilibrium maintenance (Garcia, 2024). Beyond its direct biological significance, water plays a foundational role in maintaining public health and societal functionality. Adequate access to safe water underpins essential domestic activities, including cooking, cleaning, and personal hygiene, while also sustaining industrial processes and agricultural productivity, thereby forming a cornerstone for economic growth and social advancement. Recognizing its universal importance, the United Nations General Assembly formally acknowledged access to safe and clean drinking water as a human right in Resolution 64/292, </w:t>
      </w:r>
      <w:r w:rsidRPr="00DC2A3E">
        <w:rPr>
          <w:rFonts w:ascii="Times New Roman" w:hAnsi="Times New Roman" w:cs="Times New Roman"/>
          <w:color w:val="000000" w:themeColor="text1"/>
        </w:rPr>
        <w:lastRenderedPageBreak/>
        <w:t>affirming that water and sanitation are prerequisites for the enjoyment of other human rights and for the overall well-being of populations (United Nations, 2010).</w:t>
      </w:r>
    </w:p>
    <w:p w14:paraId="456D74C9" w14:textId="77777777" w:rsidR="00DC2A3E" w:rsidRPr="00DC2A3E" w:rsidRDefault="00DC2A3E" w:rsidP="00C75F02">
      <w:pPr>
        <w:spacing w:after="0" w:line="240" w:lineRule="auto"/>
        <w:jc w:val="both"/>
        <w:rPr>
          <w:rFonts w:ascii="Times New Roman" w:hAnsi="Times New Roman" w:cs="Times New Roman"/>
          <w:color w:val="000000" w:themeColor="text1"/>
        </w:rPr>
      </w:pPr>
      <w:r w:rsidRPr="00DC2A3E">
        <w:rPr>
          <w:rFonts w:ascii="Times New Roman" w:hAnsi="Times New Roman" w:cs="Times New Roman"/>
          <w:color w:val="000000" w:themeColor="text1"/>
        </w:rPr>
        <w:t xml:space="preserve">Despite these global commitments to ensuring universal water security, access to safely managed drinking water remains highly uneven across regions and socioeconomic groups. Current estimates indicate that approximately one in four people worldwide—equivalent to roughly 2.1 billion individuals—lack access to safely managed drinking water services, with many relying on untreated surface sources that significantly elevate the risk of microbial contamination and associated illnesses (World Health Organization &amp; UNICEF, 2025). Inadequate water services are particularly pronounced in low- and middle-income regions, where infrastructural deficits, population pressures, and environmental degradation exacerbate disparities in access. Contaminated water contributes substantially to the global burden of disease, most notably through waterborne infections such as </w:t>
      </w:r>
      <w:proofErr w:type="spellStart"/>
      <w:r w:rsidRPr="00DC2A3E">
        <w:rPr>
          <w:rFonts w:ascii="Times New Roman" w:hAnsi="Times New Roman" w:cs="Times New Roman"/>
          <w:color w:val="000000" w:themeColor="text1"/>
        </w:rPr>
        <w:t>diarrhoeal</w:t>
      </w:r>
      <w:proofErr w:type="spellEnd"/>
      <w:r w:rsidRPr="00DC2A3E">
        <w:rPr>
          <w:rFonts w:ascii="Times New Roman" w:hAnsi="Times New Roman" w:cs="Times New Roman"/>
          <w:color w:val="000000" w:themeColor="text1"/>
        </w:rPr>
        <w:t xml:space="preserve"> illnesses, which remain leading causes of morbidity and mortality, particularly among children under five years of age (World Health Organization, 2023). These challenges highlight the urgent need to develop and implement comprehensive water safety interventions, especially in rapidly urbanizing and resource-constrained settings.</w:t>
      </w:r>
    </w:p>
    <w:p w14:paraId="1326143F" w14:textId="77777777" w:rsidR="00DC2A3E" w:rsidRPr="00DC2A3E" w:rsidRDefault="00DC2A3E" w:rsidP="00C75F02">
      <w:pPr>
        <w:spacing w:after="0" w:line="240" w:lineRule="auto"/>
        <w:jc w:val="both"/>
        <w:rPr>
          <w:rFonts w:ascii="Times New Roman" w:hAnsi="Times New Roman" w:cs="Times New Roman"/>
          <w:color w:val="000000" w:themeColor="text1"/>
        </w:rPr>
      </w:pPr>
      <w:r w:rsidRPr="00DC2A3E">
        <w:rPr>
          <w:rFonts w:ascii="Times New Roman" w:hAnsi="Times New Roman" w:cs="Times New Roman"/>
          <w:color w:val="000000" w:themeColor="text1"/>
        </w:rPr>
        <w:t>In Nigeria, insufficient access to safe drinking water is compounded by rapid urban growth, environmental pollution, limited institutional capacity, and weak regulatory enforcement mechanisms (Olotu et al., 2023). Major urban centers such as Port Harcourt, Lagos, and Abuja have experienced accelerated population growth without proportional expansion of municipal water infrastructure, resulting in intermittent supply, inequitable distribution, and deteriorating service delivery. Public water utilities are frequently undermined by aging distribution networks, insufficient maintenance, and inconsistent power supply, further diminishing their capacity to provide continuous and safely treated water (</w:t>
      </w:r>
      <w:proofErr w:type="spellStart"/>
      <w:r w:rsidRPr="00DC2A3E">
        <w:rPr>
          <w:rFonts w:ascii="Times New Roman" w:hAnsi="Times New Roman" w:cs="Times New Roman"/>
          <w:color w:val="000000" w:themeColor="text1"/>
        </w:rPr>
        <w:t>Izugbara</w:t>
      </w:r>
      <w:proofErr w:type="spellEnd"/>
      <w:r w:rsidRPr="00DC2A3E">
        <w:rPr>
          <w:rFonts w:ascii="Times New Roman" w:hAnsi="Times New Roman" w:cs="Times New Roman"/>
          <w:color w:val="000000" w:themeColor="text1"/>
        </w:rPr>
        <w:t xml:space="preserve"> &amp; </w:t>
      </w:r>
      <w:proofErr w:type="spellStart"/>
      <w:r w:rsidRPr="00DC2A3E">
        <w:rPr>
          <w:rFonts w:ascii="Times New Roman" w:hAnsi="Times New Roman" w:cs="Times New Roman"/>
          <w:color w:val="000000" w:themeColor="text1"/>
        </w:rPr>
        <w:t>Odjidja</w:t>
      </w:r>
      <w:proofErr w:type="spellEnd"/>
      <w:r w:rsidRPr="00DC2A3E">
        <w:rPr>
          <w:rFonts w:ascii="Times New Roman" w:hAnsi="Times New Roman" w:cs="Times New Roman"/>
          <w:color w:val="000000" w:themeColor="text1"/>
        </w:rPr>
        <w:t>, 2022). As a consequence, residents increasingly rely on alternative water sources, including boreholes, wells, rainwater harvesting, and notably packaged drinking water, to meet their daily needs.</w:t>
      </w:r>
    </w:p>
    <w:p w14:paraId="36E36478" w14:textId="77777777" w:rsidR="00DC2A3E" w:rsidRPr="00DC2A3E" w:rsidRDefault="00DC2A3E" w:rsidP="00C75F02">
      <w:pPr>
        <w:spacing w:after="0" w:line="240" w:lineRule="auto"/>
        <w:jc w:val="both"/>
        <w:rPr>
          <w:rFonts w:ascii="Times New Roman" w:hAnsi="Times New Roman" w:cs="Times New Roman"/>
          <w:color w:val="000000" w:themeColor="text1"/>
        </w:rPr>
      </w:pPr>
      <w:r w:rsidRPr="00DC2A3E">
        <w:rPr>
          <w:rFonts w:ascii="Times New Roman" w:hAnsi="Times New Roman" w:cs="Times New Roman"/>
          <w:color w:val="000000" w:themeColor="text1"/>
        </w:rPr>
        <w:t>Over the past two decades, sachet and bottled water have emerged as dominant sources of potable water in urban Nigeria, primarily in response to the perceived unreliability and potential contamination of public water systems (</w:t>
      </w:r>
      <w:proofErr w:type="spellStart"/>
      <w:r w:rsidRPr="00DC2A3E">
        <w:rPr>
          <w:rFonts w:ascii="Times New Roman" w:hAnsi="Times New Roman" w:cs="Times New Roman"/>
          <w:color w:val="000000" w:themeColor="text1"/>
        </w:rPr>
        <w:t>Tenebe</w:t>
      </w:r>
      <w:proofErr w:type="spellEnd"/>
      <w:r w:rsidRPr="00DC2A3E">
        <w:rPr>
          <w:rFonts w:ascii="Times New Roman" w:hAnsi="Times New Roman" w:cs="Times New Roman"/>
          <w:color w:val="000000" w:themeColor="text1"/>
        </w:rPr>
        <w:t xml:space="preserve"> et al., 2023). Sachet water, often referred to colloquially as “pure water,” is widely consumed because of its affordability, convenience, and accessibility. Production typically involves basic filtration and disinfection procedures, such as chlorination or ultraviolet sterilization, followed by automated sealing in 500 mL plastic sachets. However, many producers operate with minimal regulatory oversight and suboptimal hygiene practices, raising concerns about water safety (Ibrahim &amp; Suleiman, 2023). Bottled water, in contrast, is generally perceived as a higher-quality alternative, often produced using advanced treatments including multi-stage filtration, reverse osmosis, and ultraviolet sterilization, and regulated by agencies such as the National Agency for Food and Drug Administration and Control (NAFDAC) and the Standards </w:t>
      </w:r>
      <w:proofErr w:type="spellStart"/>
      <w:r w:rsidRPr="00DC2A3E">
        <w:rPr>
          <w:rFonts w:ascii="Times New Roman" w:hAnsi="Times New Roman" w:cs="Times New Roman"/>
          <w:color w:val="000000" w:themeColor="text1"/>
        </w:rPr>
        <w:t>Organisation</w:t>
      </w:r>
      <w:proofErr w:type="spellEnd"/>
      <w:r w:rsidRPr="00DC2A3E">
        <w:rPr>
          <w:rFonts w:ascii="Times New Roman" w:hAnsi="Times New Roman" w:cs="Times New Roman"/>
          <w:color w:val="000000" w:themeColor="text1"/>
        </w:rPr>
        <w:t xml:space="preserve"> of Nigeria (SON) (Odeyemi, 2015). Despite these regulatory and technological safeguards, studies have documented microbial contamination in bottled water, often arising during storage, handling, or distribution (Oladele et al., 2023).</w:t>
      </w:r>
    </w:p>
    <w:p w14:paraId="4C92102E" w14:textId="77777777" w:rsidR="00DC2A3E" w:rsidRPr="00DC2A3E" w:rsidRDefault="00DC2A3E" w:rsidP="00C75F02">
      <w:pPr>
        <w:spacing w:after="0" w:line="240" w:lineRule="auto"/>
        <w:jc w:val="both"/>
        <w:rPr>
          <w:rFonts w:ascii="Times New Roman" w:hAnsi="Times New Roman" w:cs="Times New Roman"/>
          <w:color w:val="000000" w:themeColor="text1"/>
        </w:rPr>
      </w:pPr>
      <w:r w:rsidRPr="00DC2A3E">
        <w:rPr>
          <w:rFonts w:ascii="Times New Roman" w:hAnsi="Times New Roman" w:cs="Times New Roman"/>
          <w:color w:val="000000" w:themeColor="text1"/>
        </w:rPr>
        <w:t xml:space="preserve">The growing reliance on packaged water highlights a dual challenge: increasing access while ensuring safety. Multiple studies across Nigeria have detected pathogenic microorganisms—including Escherichia coli, Salmonella spp., Klebsiella spp., Pseudomonas aeruginosa, Enterobacter spp., and Staphylococcus aureus—in both sachet and bottled water, reflecting fecal contamination and lapses in hygiene during production or handling (Adeoye et al., 2024; Yusuf &amp; Onyekachi, 2023). Consumption of microbiologically contaminated water substantially increases the risk of gastrointestinal infections and may also serve as a reservoir for antimicrobial-resistant </w:t>
      </w:r>
      <w:r w:rsidRPr="00DC2A3E">
        <w:rPr>
          <w:rFonts w:ascii="Times New Roman" w:hAnsi="Times New Roman" w:cs="Times New Roman"/>
          <w:color w:val="000000" w:themeColor="text1"/>
        </w:rPr>
        <w:lastRenderedPageBreak/>
        <w:t>bacteria, compounding public health concerns (Akinyemi &amp; Adeoye, 2023; World Health Organization, 2023). Recent investigations have further revealed the presence of extended-spectrum β-lactamase (ESBL)-producing Escherichia coli and multidrug-resistant Pseudomonas spp. in packaged drinking water, underscoring that inadequate treatment and poor sanitation practices not only predispose consumers to infection but also facilitate the dissemination of antimicrobial resistance in the environment (Hassan et al., 2024; Okeke et al., 2022).</w:t>
      </w:r>
    </w:p>
    <w:p w14:paraId="1A83A495" w14:textId="77777777" w:rsidR="00DC2A3E" w:rsidRPr="00DC2A3E" w:rsidRDefault="00DC2A3E" w:rsidP="00C75F02">
      <w:pPr>
        <w:spacing w:after="0" w:line="240" w:lineRule="auto"/>
        <w:jc w:val="both"/>
        <w:rPr>
          <w:rFonts w:ascii="Times New Roman" w:hAnsi="Times New Roman" w:cs="Times New Roman"/>
          <w:color w:val="000000" w:themeColor="text1"/>
        </w:rPr>
      </w:pPr>
      <w:r w:rsidRPr="00DC2A3E">
        <w:rPr>
          <w:rFonts w:ascii="Times New Roman" w:hAnsi="Times New Roman" w:cs="Times New Roman"/>
          <w:color w:val="000000" w:themeColor="text1"/>
        </w:rPr>
        <w:t>These observations emphasize the necessity for continuous bacteriological monitoring of drinking water, particularly in urban centers heavily reliant on sachet and bottled water. Empirical assessments comparing the microbiological quality of sachet and bottled water are critical for identifying the sources of contamination, determining which water type presents greater public health risk, and guiding evidence-based interventions. Such studies inform regulatory frameworks, enhance quality assurance measures, and provide a basis for consumer education to mitigate exposure to pathogenic microorganisms and antimicrobial-resistant bacteria. The present study was therefore designed to comparatively evaluate the bacteriological quality of sachet and bottled water produced and distributed within Port Harcourt Metropolis, providing insights essential for policy formulation, public health planning, and the promotion of safe water consumption practices.</w:t>
      </w:r>
    </w:p>
    <w:p w14:paraId="755CEB38" w14:textId="77777777" w:rsidR="00DA061C" w:rsidRPr="002F02E5" w:rsidRDefault="00DA061C" w:rsidP="00835951">
      <w:pPr>
        <w:spacing w:after="0" w:line="240" w:lineRule="auto"/>
        <w:jc w:val="both"/>
        <w:rPr>
          <w:rFonts w:ascii="Times New Roman" w:hAnsi="Times New Roman" w:cs="Times New Roman"/>
          <w:color w:val="A8D08D" w:themeColor="accent6" w:themeTint="99"/>
        </w:rPr>
      </w:pPr>
    </w:p>
    <w:p w14:paraId="4443C9E7" w14:textId="77777777" w:rsidR="003E43E6" w:rsidRDefault="003E43E6" w:rsidP="00D553C4">
      <w:pPr>
        <w:spacing w:after="0" w:line="240" w:lineRule="auto"/>
        <w:rPr>
          <w:rFonts w:ascii="Times New Roman" w:hAnsi="Times New Roman" w:cs="Times New Roman"/>
          <w:b/>
          <w:bCs/>
        </w:rPr>
      </w:pPr>
    </w:p>
    <w:p w14:paraId="4E25CDEA" w14:textId="44D541A2" w:rsidR="00DA061C" w:rsidRDefault="00DA061C" w:rsidP="00D553C4">
      <w:pPr>
        <w:spacing w:after="0" w:line="240" w:lineRule="auto"/>
        <w:rPr>
          <w:rFonts w:ascii="Times New Roman" w:hAnsi="Times New Roman" w:cs="Times New Roman"/>
          <w:b/>
          <w:bCs/>
        </w:rPr>
      </w:pPr>
      <w:r w:rsidRPr="003E43E6">
        <w:rPr>
          <w:rFonts w:ascii="Times New Roman" w:hAnsi="Times New Roman" w:cs="Times New Roman"/>
          <w:b/>
          <w:bCs/>
        </w:rPr>
        <w:t>MATERIALS AND METHODS</w:t>
      </w:r>
    </w:p>
    <w:p w14:paraId="544D0EC3" w14:textId="77777777" w:rsidR="005527C3" w:rsidRPr="003E43E6" w:rsidRDefault="005527C3" w:rsidP="00D553C4">
      <w:pPr>
        <w:spacing w:after="0" w:line="240" w:lineRule="auto"/>
        <w:rPr>
          <w:rFonts w:ascii="Times New Roman" w:hAnsi="Times New Roman" w:cs="Times New Roman"/>
          <w:b/>
          <w:bCs/>
        </w:rPr>
      </w:pPr>
    </w:p>
    <w:p w14:paraId="1B5970F6" w14:textId="36B2343B" w:rsidR="00DA061C" w:rsidRPr="003E43E6" w:rsidRDefault="00DA061C" w:rsidP="00835951">
      <w:pPr>
        <w:spacing w:after="0" w:line="240" w:lineRule="auto"/>
        <w:rPr>
          <w:rFonts w:ascii="Times New Roman" w:hAnsi="Times New Roman" w:cs="Times New Roman"/>
          <w:b/>
          <w:bCs/>
        </w:rPr>
      </w:pPr>
      <w:r w:rsidRPr="003E43E6">
        <w:rPr>
          <w:rFonts w:ascii="Times New Roman" w:hAnsi="Times New Roman" w:cs="Times New Roman"/>
          <w:b/>
          <w:bCs/>
        </w:rPr>
        <w:t>Study Area</w:t>
      </w:r>
    </w:p>
    <w:p w14:paraId="1F11DE61" w14:textId="5A2BFFC1" w:rsidR="00AB2D20" w:rsidRDefault="00AB2D20" w:rsidP="00AB2D20">
      <w:pPr>
        <w:spacing w:after="0" w:line="240" w:lineRule="auto"/>
        <w:jc w:val="both"/>
        <w:rPr>
          <w:rFonts w:ascii="Times New Roman" w:hAnsi="Times New Roman" w:cs="Times New Roman"/>
        </w:rPr>
      </w:pPr>
      <w:r w:rsidRPr="003E43E6">
        <w:rPr>
          <w:rFonts w:ascii="Times New Roman" w:hAnsi="Times New Roman" w:cs="Times New Roman"/>
        </w:rPr>
        <w:t xml:space="preserve">The study was conducted in Port Harcourt metropolis, a rapidly urbanizing city and the hub of Nigeria’s oil and gas industry, with an estimated population exceeding three million people. For the purpose of this study, Port Harcourt was divided into eight zones: Zone A, Zone B, Zone C, Zone D, Zone E, Zone F, Zone G, and Zone H. These zones correspond to specific locations as follows: Zone A – </w:t>
      </w:r>
      <w:proofErr w:type="spellStart"/>
      <w:r w:rsidRPr="003E43E6">
        <w:rPr>
          <w:rFonts w:ascii="Times New Roman" w:hAnsi="Times New Roman" w:cs="Times New Roman"/>
        </w:rPr>
        <w:t>Rumukurushi</w:t>
      </w:r>
      <w:proofErr w:type="spellEnd"/>
      <w:r w:rsidRPr="003E43E6">
        <w:rPr>
          <w:rFonts w:ascii="Times New Roman" w:hAnsi="Times New Roman" w:cs="Times New Roman"/>
        </w:rPr>
        <w:t xml:space="preserve">, Zone B – </w:t>
      </w:r>
      <w:proofErr w:type="spellStart"/>
      <w:r w:rsidRPr="003E43E6">
        <w:rPr>
          <w:rFonts w:ascii="Times New Roman" w:hAnsi="Times New Roman" w:cs="Times New Roman"/>
        </w:rPr>
        <w:t>Rumuodara</w:t>
      </w:r>
      <w:proofErr w:type="spellEnd"/>
      <w:r w:rsidRPr="003E43E6">
        <w:rPr>
          <w:rFonts w:ascii="Times New Roman" w:hAnsi="Times New Roman" w:cs="Times New Roman"/>
        </w:rPr>
        <w:t xml:space="preserve">, Zone C – </w:t>
      </w:r>
      <w:proofErr w:type="spellStart"/>
      <w:r w:rsidRPr="003E43E6">
        <w:rPr>
          <w:rFonts w:ascii="Times New Roman" w:hAnsi="Times New Roman" w:cs="Times New Roman"/>
        </w:rPr>
        <w:t>Elekahia</w:t>
      </w:r>
      <w:proofErr w:type="spellEnd"/>
      <w:r w:rsidRPr="003E43E6">
        <w:rPr>
          <w:rFonts w:ascii="Times New Roman" w:hAnsi="Times New Roman" w:cs="Times New Roman"/>
        </w:rPr>
        <w:t xml:space="preserve">, Zone D – </w:t>
      </w:r>
      <w:proofErr w:type="spellStart"/>
      <w:r w:rsidRPr="003E43E6">
        <w:rPr>
          <w:rFonts w:ascii="Times New Roman" w:hAnsi="Times New Roman" w:cs="Times New Roman"/>
        </w:rPr>
        <w:t>Eligbolo</w:t>
      </w:r>
      <w:proofErr w:type="spellEnd"/>
      <w:r w:rsidRPr="003E43E6">
        <w:rPr>
          <w:rFonts w:ascii="Times New Roman" w:hAnsi="Times New Roman" w:cs="Times New Roman"/>
        </w:rPr>
        <w:t xml:space="preserve">, Zone E – Bori Camp, Zone F – Bodo, Zone G – </w:t>
      </w:r>
      <w:proofErr w:type="spellStart"/>
      <w:r w:rsidRPr="003E43E6">
        <w:rPr>
          <w:rFonts w:ascii="Times New Roman" w:hAnsi="Times New Roman" w:cs="Times New Roman"/>
        </w:rPr>
        <w:t>Orogbum</w:t>
      </w:r>
      <w:proofErr w:type="spellEnd"/>
      <w:r w:rsidRPr="003E43E6">
        <w:rPr>
          <w:rFonts w:ascii="Times New Roman" w:hAnsi="Times New Roman" w:cs="Times New Roman"/>
        </w:rPr>
        <w:t>, and Zone H – Diobu.</w:t>
      </w:r>
    </w:p>
    <w:p w14:paraId="13B6A56A" w14:textId="77777777" w:rsidR="00B32900" w:rsidRDefault="00B32900" w:rsidP="00AB2D20">
      <w:pPr>
        <w:spacing w:after="0" w:line="240" w:lineRule="auto"/>
        <w:jc w:val="both"/>
        <w:rPr>
          <w:rFonts w:ascii="Times New Roman" w:hAnsi="Times New Roman" w:cs="Times New Roman"/>
        </w:rPr>
      </w:pPr>
    </w:p>
    <w:p w14:paraId="236C1ADF" w14:textId="67060770" w:rsidR="00B32900" w:rsidRPr="00C75F02" w:rsidRDefault="00B32900" w:rsidP="00AB2D20">
      <w:pPr>
        <w:spacing w:after="0" w:line="240" w:lineRule="auto"/>
        <w:jc w:val="both"/>
        <w:rPr>
          <w:rFonts w:ascii="Times New Roman" w:hAnsi="Times New Roman" w:cs="Times New Roman"/>
          <w:b/>
          <w:bCs/>
        </w:rPr>
      </w:pPr>
      <w:r w:rsidRPr="00C75F02">
        <w:rPr>
          <w:rFonts w:ascii="Times New Roman" w:hAnsi="Times New Roman" w:cs="Times New Roman"/>
          <w:b/>
          <w:bCs/>
        </w:rPr>
        <w:t>Sample Collection</w:t>
      </w:r>
    </w:p>
    <w:p w14:paraId="117D2F5E" w14:textId="12E23F11" w:rsidR="00C836BF" w:rsidRPr="00C75F02" w:rsidRDefault="00E41CCC" w:rsidP="00AB2D20">
      <w:pPr>
        <w:spacing w:after="0" w:line="240" w:lineRule="auto"/>
        <w:jc w:val="both"/>
        <w:rPr>
          <w:rFonts w:ascii="Times New Roman" w:hAnsi="Times New Roman" w:cs="Times New Roman"/>
        </w:rPr>
      </w:pPr>
      <w:r w:rsidRPr="00C75F02">
        <w:rPr>
          <w:rFonts w:ascii="Times New Roman" w:hAnsi="Times New Roman" w:cs="Times New Roman"/>
        </w:rPr>
        <w:t>A total of thirty-two water samples, comprising sixteen sachet and sixteen bottled water brands, were randomly collected from the designated zones across the metropolis. Samples were obtained in their original packaging and transported on ice to the laboratory for immediate analysis to preserve their microbiological and physicochemical integrity.</w:t>
      </w:r>
    </w:p>
    <w:p w14:paraId="17CEEA71" w14:textId="77777777" w:rsidR="00BC34EF" w:rsidRPr="00E41CCC" w:rsidRDefault="00BC34EF" w:rsidP="00AB2D20">
      <w:pPr>
        <w:spacing w:after="0" w:line="240" w:lineRule="auto"/>
        <w:jc w:val="both"/>
        <w:rPr>
          <w:rFonts w:ascii="Times New Roman" w:hAnsi="Times New Roman" w:cs="Times New Roman"/>
          <w:color w:val="A8D08D" w:themeColor="accent6" w:themeTint="99"/>
        </w:rPr>
      </w:pPr>
    </w:p>
    <w:p w14:paraId="431AA8D0" w14:textId="018C34BB" w:rsidR="00931ACD" w:rsidRPr="00C75F02" w:rsidRDefault="00B8017B" w:rsidP="00931ACD">
      <w:pPr>
        <w:spacing w:after="0" w:line="240" w:lineRule="auto"/>
        <w:jc w:val="both"/>
        <w:rPr>
          <w:rFonts w:ascii="Times New Roman" w:hAnsi="Times New Roman" w:cs="Times New Roman"/>
          <w:b/>
          <w:bCs/>
        </w:rPr>
      </w:pPr>
      <w:r w:rsidRPr="00C75F02">
        <w:rPr>
          <w:rFonts w:ascii="Times New Roman" w:hAnsi="Times New Roman" w:cs="Times New Roman"/>
          <w:b/>
          <w:bCs/>
        </w:rPr>
        <w:t>Sample Analysis</w:t>
      </w:r>
    </w:p>
    <w:p w14:paraId="0A43D1E8" w14:textId="3A9DAC52" w:rsidR="00BC34EF" w:rsidRPr="00C75F02" w:rsidRDefault="00931ACD" w:rsidP="00931ACD">
      <w:pPr>
        <w:spacing w:after="0" w:line="240" w:lineRule="auto"/>
        <w:jc w:val="both"/>
        <w:rPr>
          <w:rFonts w:ascii="Times New Roman" w:hAnsi="Times New Roman" w:cs="Times New Roman"/>
          <w:b/>
          <w:bCs/>
        </w:rPr>
      </w:pPr>
      <w:r w:rsidRPr="00C75F02">
        <w:rPr>
          <w:rFonts w:ascii="Times New Roman" w:hAnsi="Times New Roman" w:cs="Times New Roman"/>
          <w:b/>
          <w:bCs/>
        </w:rPr>
        <w:t>Physicochemical Analysis of Water Samples</w:t>
      </w:r>
    </w:p>
    <w:p w14:paraId="367112C8" w14:textId="7D6B4112" w:rsidR="00931ACD" w:rsidRPr="00C75F02" w:rsidRDefault="00931ACD" w:rsidP="00931ACD">
      <w:pPr>
        <w:spacing w:after="0" w:line="240" w:lineRule="auto"/>
        <w:jc w:val="both"/>
        <w:rPr>
          <w:rFonts w:ascii="Times New Roman" w:hAnsi="Times New Roman" w:cs="Times New Roman"/>
        </w:rPr>
      </w:pPr>
      <w:r w:rsidRPr="00C75F02">
        <w:rPr>
          <w:rFonts w:ascii="Times New Roman" w:hAnsi="Times New Roman" w:cs="Times New Roman"/>
        </w:rPr>
        <w:t>Physicochemical parameters of the water samples were determined in accordance with standard analytical procedures described in the American Public Health Association (APHA) Standard Methods for the Examination of Water and Wastewater (23rd edition, 2017). All analyses were carried out under laboratory conditions using calibrated instruments and analytical-grade reagents to ensure accuracy and reproducibility of results.</w:t>
      </w:r>
      <w:r w:rsidR="00F32094">
        <w:rPr>
          <w:rFonts w:ascii="Times New Roman" w:hAnsi="Times New Roman" w:cs="Times New Roman"/>
        </w:rPr>
        <w:t xml:space="preserve"> </w:t>
      </w:r>
      <w:r w:rsidRPr="00C75F02">
        <w:rPr>
          <w:rFonts w:ascii="Times New Roman" w:hAnsi="Times New Roman" w:cs="Times New Roman"/>
        </w:rPr>
        <w:t xml:space="preserve">Temperature was measured in situ at the point of collection using a calibrated digital thermometer, as temperature influences chemical reactions and biological activity in water. pH was determined using a digital pH meter standardized with buffer solutions of pH 4.0, 7.0, and 9.0 prior to analysis. Electrical conductivity and salinity were measured using a conductivity meter, reflecting the ionic content of the water, while total dissolved solids (TDS) were determined directly using a TDS meter or indirectly from conductivity values </w:t>
      </w:r>
      <w:r w:rsidRPr="00C75F02">
        <w:rPr>
          <w:rFonts w:ascii="Times New Roman" w:hAnsi="Times New Roman" w:cs="Times New Roman"/>
        </w:rPr>
        <w:lastRenderedPageBreak/>
        <w:t>as prescribed by APHA.</w:t>
      </w:r>
      <w:r w:rsidR="00F32094">
        <w:rPr>
          <w:rFonts w:ascii="Times New Roman" w:hAnsi="Times New Roman" w:cs="Times New Roman"/>
        </w:rPr>
        <w:t xml:space="preserve"> </w:t>
      </w:r>
      <w:r w:rsidRPr="00C75F02">
        <w:rPr>
          <w:rFonts w:ascii="Times New Roman" w:hAnsi="Times New Roman" w:cs="Times New Roman"/>
        </w:rPr>
        <w:t>Turbidity was measured using a nephelometric turbidity meter and expressed in Nephelometric Turbidity Units (NTU), indicating the presence of suspended particles that may interfere with disinfection processes. Chloride concentration was determined by the argentometric titration method using silver nitrate, while alkalinity was measured by acid titration to designated end points, representing the buffering capacity of the water.</w:t>
      </w:r>
      <w:r w:rsidR="00F32094">
        <w:rPr>
          <w:rFonts w:ascii="Times New Roman" w:hAnsi="Times New Roman" w:cs="Times New Roman"/>
        </w:rPr>
        <w:t xml:space="preserve"> </w:t>
      </w:r>
      <w:r w:rsidRPr="00C75F02">
        <w:rPr>
          <w:rFonts w:ascii="Times New Roman" w:hAnsi="Times New Roman" w:cs="Times New Roman"/>
        </w:rPr>
        <w:t>Total hardness, as well as calcium and magnesium concentrations, were determined using the ethylenediaminetetraacetic acid (EDTA) titrimetric method. Nitrate and phosphate levels were analyzed spectrophotometrically using standard colorimetric methods, as excessive concentrations may indicate pollution from agricultural runoff or sewage contamination.</w:t>
      </w:r>
      <w:r w:rsidR="00F32094">
        <w:rPr>
          <w:rFonts w:ascii="Times New Roman" w:hAnsi="Times New Roman" w:cs="Times New Roman"/>
        </w:rPr>
        <w:t xml:space="preserve"> </w:t>
      </w:r>
      <w:r w:rsidRPr="00C75F02">
        <w:rPr>
          <w:rFonts w:ascii="Times New Roman" w:hAnsi="Times New Roman" w:cs="Times New Roman"/>
        </w:rPr>
        <w:t>Trace metals including iron and manganese were quantified using spectrophotometric methods after appropriate sample preparation, as outlined in APHA protocols. These metals are of public health and aesthetic concern due to their potential effects on water taste, color, and infrastructure corrosion.</w:t>
      </w:r>
      <w:r w:rsidR="00C75F02">
        <w:rPr>
          <w:rFonts w:ascii="Times New Roman" w:hAnsi="Times New Roman" w:cs="Times New Roman"/>
        </w:rPr>
        <w:t xml:space="preserve"> </w:t>
      </w:r>
      <w:r w:rsidRPr="00C75F02">
        <w:rPr>
          <w:rFonts w:ascii="Times New Roman" w:hAnsi="Times New Roman" w:cs="Times New Roman"/>
        </w:rPr>
        <w:t>All measured values were compared with guideline limits established by the World Health Organization (WHO) and relevant national drinking water quality standards to assess the suitability of the water for domestic use.</w:t>
      </w:r>
    </w:p>
    <w:p w14:paraId="2A58257A" w14:textId="77777777" w:rsidR="00931ACD" w:rsidRPr="00BC34EF" w:rsidRDefault="00931ACD" w:rsidP="00835951">
      <w:pPr>
        <w:spacing w:after="0" w:line="240" w:lineRule="auto"/>
        <w:jc w:val="both"/>
        <w:rPr>
          <w:rFonts w:ascii="Times New Roman" w:hAnsi="Times New Roman" w:cs="Times New Roman"/>
        </w:rPr>
      </w:pPr>
    </w:p>
    <w:p w14:paraId="11871A35" w14:textId="68E167CD" w:rsidR="00DA061C" w:rsidRPr="00310C41" w:rsidRDefault="00DA061C" w:rsidP="00310C41">
      <w:pPr>
        <w:spacing w:after="0" w:line="240" w:lineRule="auto"/>
        <w:jc w:val="both"/>
        <w:rPr>
          <w:rFonts w:ascii="Times New Roman" w:hAnsi="Times New Roman" w:cs="Times New Roman"/>
          <w:b/>
          <w:bCs/>
        </w:rPr>
      </w:pPr>
      <w:r w:rsidRPr="00310C41">
        <w:rPr>
          <w:rFonts w:ascii="Times New Roman" w:hAnsi="Times New Roman" w:cs="Times New Roman"/>
          <w:b/>
          <w:bCs/>
        </w:rPr>
        <w:t>Microbiological Analysis</w:t>
      </w:r>
    </w:p>
    <w:p w14:paraId="51A0BCA8" w14:textId="4F645195" w:rsidR="00E074EC" w:rsidRPr="00750CE8" w:rsidRDefault="003C7546" w:rsidP="00F32094">
      <w:pPr>
        <w:spacing w:after="0" w:line="240" w:lineRule="auto"/>
        <w:jc w:val="both"/>
        <w:rPr>
          <w:rFonts w:ascii="Times New Roman" w:hAnsi="Times New Roman" w:cs="Times New Roman"/>
        </w:rPr>
      </w:pPr>
      <w:r w:rsidRPr="00310C41">
        <w:rPr>
          <w:rFonts w:ascii="Times New Roman" w:hAnsi="Times New Roman" w:cs="Times New Roman"/>
        </w:rPr>
        <w:t>All culture media used in this study were prepared according to the manufacturer’s instructions and specifications. Sterilization of media was performed in an autoclave at 121 °C for 15 minutes, while all glassware was sterilized in a hot air oven at 160 °C for 2 hours.</w:t>
      </w:r>
      <w:r w:rsidR="00F32094">
        <w:rPr>
          <w:rFonts w:ascii="Times New Roman" w:hAnsi="Times New Roman" w:cs="Times New Roman"/>
        </w:rPr>
        <w:t xml:space="preserve"> </w:t>
      </w:r>
      <w:r w:rsidR="00E074EC" w:rsidRPr="00310C41">
        <w:rPr>
          <w:rFonts w:ascii="Times New Roman" w:hAnsi="Times New Roman" w:cs="Times New Roman"/>
        </w:rPr>
        <w:t xml:space="preserve">Bacteriological analysis of the water samples was carried out using the spread plate technique on selective and differential media. </w:t>
      </w:r>
      <w:r w:rsidR="007253E5" w:rsidRPr="00310C41">
        <w:rPr>
          <w:rFonts w:ascii="Times New Roman" w:hAnsi="Times New Roman" w:cs="Times New Roman"/>
        </w:rPr>
        <w:t xml:space="preserve">A tenfold serial dilution of each water sample was carried out with a sterile diluent. An aliquot of </w:t>
      </w:r>
      <w:r w:rsidR="007253E5" w:rsidRPr="007253E5">
        <w:rPr>
          <w:rFonts w:ascii="Times New Roman" w:hAnsi="Times New Roman" w:cs="Times New Roman"/>
        </w:rPr>
        <w:t>0.1</w:t>
      </w:r>
      <w:r w:rsidR="007253E5" w:rsidRPr="00310C41">
        <w:rPr>
          <w:rFonts w:ascii="Times New Roman" w:hAnsi="Times New Roman" w:cs="Times New Roman"/>
        </w:rPr>
        <w:t xml:space="preserve"> </w:t>
      </w:r>
      <w:r w:rsidR="007253E5" w:rsidRPr="007253E5">
        <w:rPr>
          <w:rFonts w:ascii="Times New Roman" w:hAnsi="Times New Roman" w:cs="Times New Roman"/>
        </w:rPr>
        <w:t xml:space="preserve">mL of each appropriate dilution </w:t>
      </w:r>
      <w:r w:rsidR="007253E5" w:rsidRPr="00310C41">
        <w:rPr>
          <w:rFonts w:ascii="Times New Roman" w:hAnsi="Times New Roman" w:cs="Times New Roman"/>
        </w:rPr>
        <w:t xml:space="preserve">was transferred </w:t>
      </w:r>
      <w:r w:rsidR="007253E5" w:rsidRPr="007253E5">
        <w:rPr>
          <w:rFonts w:ascii="Times New Roman" w:hAnsi="Times New Roman" w:cs="Times New Roman"/>
        </w:rPr>
        <w:t>onto the surface of solidified agar plates</w:t>
      </w:r>
      <w:r w:rsidR="007253E5" w:rsidRPr="00310C41">
        <w:rPr>
          <w:rFonts w:ascii="Times New Roman" w:hAnsi="Times New Roman" w:cs="Times New Roman"/>
        </w:rPr>
        <w:t xml:space="preserve"> and the spread plate method was used to spread the inoculum evenly</w:t>
      </w:r>
      <w:r w:rsidR="00631F8F" w:rsidRPr="00310C41">
        <w:rPr>
          <w:rFonts w:ascii="Times New Roman" w:hAnsi="Times New Roman" w:cs="Times New Roman"/>
        </w:rPr>
        <w:t xml:space="preserve"> </w:t>
      </w:r>
      <w:r w:rsidR="007253E5" w:rsidRPr="007253E5">
        <w:rPr>
          <w:rFonts w:ascii="Times New Roman" w:hAnsi="Times New Roman" w:cs="Times New Roman"/>
        </w:rPr>
        <w:t>across the surface</w:t>
      </w:r>
      <w:r w:rsidR="00631F8F" w:rsidRPr="00310C41">
        <w:rPr>
          <w:rFonts w:ascii="Times New Roman" w:hAnsi="Times New Roman" w:cs="Times New Roman"/>
        </w:rPr>
        <w:t xml:space="preserve"> of the agar</w:t>
      </w:r>
      <w:r w:rsidR="00382619" w:rsidRPr="00310C41">
        <w:rPr>
          <w:rFonts w:ascii="Times New Roman" w:hAnsi="Times New Roman" w:cs="Times New Roman"/>
        </w:rPr>
        <w:t xml:space="preserve"> </w:t>
      </w:r>
      <w:r w:rsidR="007253E5" w:rsidRPr="007253E5">
        <w:rPr>
          <w:rFonts w:ascii="Times New Roman" w:hAnsi="Times New Roman" w:cs="Times New Roman"/>
        </w:rPr>
        <w:t>with a sterile glass spreader to achieve isolated colony development.</w:t>
      </w:r>
      <w:r w:rsidR="00F32094">
        <w:rPr>
          <w:rFonts w:ascii="Times New Roman" w:hAnsi="Times New Roman" w:cs="Times New Roman"/>
        </w:rPr>
        <w:t xml:space="preserve"> </w:t>
      </w:r>
      <w:r w:rsidR="00E074EC" w:rsidRPr="00E074EC">
        <w:rPr>
          <w:rFonts w:ascii="Times New Roman" w:hAnsi="Times New Roman" w:cs="Times New Roman"/>
        </w:rPr>
        <w:t xml:space="preserve">Nutrient Agar and MacConkey Agar were used for the enumeration and isolation of total heterotrophic bacteria and coliforms, respectively; Salmonella–Shigella Agar was employed for the detection of </w:t>
      </w:r>
      <w:r w:rsidR="00E074EC" w:rsidRPr="00E074EC">
        <w:rPr>
          <w:rFonts w:ascii="Times New Roman" w:hAnsi="Times New Roman" w:cs="Times New Roman"/>
          <w:i/>
          <w:iCs/>
        </w:rPr>
        <w:t>Salmonella</w:t>
      </w:r>
      <w:r w:rsidR="00E074EC" w:rsidRPr="00E074EC">
        <w:rPr>
          <w:rFonts w:ascii="Times New Roman" w:hAnsi="Times New Roman" w:cs="Times New Roman"/>
        </w:rPr>
        <w:t xml:space="preserve"> and </w:t>
      </w:r>
      <w:r w:rsidR="00E074EC" w:rsidRPr="00E074EC">
        <w:rPr>
          <w:rFonts w:ascii="Times New Roman" w:hAnsi="Times New Roman" w:cs="Times New Roman"/>
          <w:i/>
          <w:iCs/>
        </w:rPr>
        <w:t>Shigella</w:t>
      </w:r>
      <w:r w:rsidR="00E074EC" w:rsidRPr="00E074EC">
        <w:rPr>
          <w:rFonts w:ascii="Times New Roman" w:hAnsi="Times New Roman" w:cs="Times New Roman"/>
        </w:rPr>
        <w:t xml:space="preserve"> species; Blood Agar was used for the cultivation of fastidious organisms; while Thiosulfate Citrate Bile Salt Sucrose (TCBS) Agar was utilized for the isolation of </w:t>
      </w:r>
      <w:r w:rsidR="00E074EC" w:rsidRPr="00E074EC">
        <w:rPr>
          <w:rFonts w:ascii="Times New Roman" w:hAnsi="Times New Roman" w:cs="Times New Roman"/>
          <w:i/>
          <w:iCs/>
        </w:rPr>
        <w:t>Vibrio cholerae</w:t>
      </w:r>
      <w:r w:rsidR="00E074EC" w:rsidRPr="00E074EC">
        <w:rPr>
          <w:rFonts w:ascii="Times New Roman" w:hAnsi="Times New Roman" w:cs="Times New Roman"/>
        </w:rPr>
        <w:t>. All inoculated plates were incubated at 37 °C for 24 hours, after which bacterial colonies were enumerated. Representative colonies were sub-cultured to obtain pure isolates. Identification of the isolates was subsequently carried out using Gram staining and standard biochemical tests, including catalase, coagulase, oxidase, citrate utilization, and indole tests.</w:t>
      </w:r>
    </w:p>
    <w:p w14:paraId="3D327836" w14:textId="350AA949"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b/>
          <w:bCs/>
        </w:rPr>
        <w:t xml:space="preserve">Total Plate Count </w:t>
      </w:r>
    </w:p>
    <w:p w14:paraId="543A839C" w14:textId="77777777"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Petri dishes of nutrient agar medium were used to determine viable bacterial count. 0.1ml of each sample was transferred to the individual plates for determination of total plate count (TPC) followed by incubation at 37</w:t>
      </w:r>
      <w:r w:rsidRPr="003E43E6">
        <w:rPr>
          <w:rFonts w:ascii="Times New Roman" w:hAnsi="Times New Roman" w:cs="Times New Roman"/>
          <w:vertAlign w:val="superscript"/>
        </w:rPr>
        <w:t>0</w:t>
      </w:r>
      <w:r w:rsidRPr="003E43E6">
        <w:rPr>
          <w:rFonts w:ascii="Times New Roman" w:hAnsi="Times New Roman" w:cs="Times New Roman"/>
        </w:rPr>
        <w:t>C for 24 hours. Total number of colonies on each plate were counted.</w:t>
      </w:r>
    </w:p>
    <w:p w14:paraId="63D7E943" w14:textId="77777777" w:rsidR="00DA061C" w:rsidRPr="003E43E6" w:rsidRDefault="00DA061C" w:rsidP="00835951">
      <w:pPr>
        <w:spacing w:after="0" w:line="240" w:lineRule="auto"/>
        <w:jc w:val="both"/>
        <w:rPr>
          <w:rFonts w:ascii="Times New Roman" w:hAnsi="Times New Roman" w:cs="Times New Roman"/>
        </w:rPr>
      </w:pPr>
    </w:p>
    <w:p w14:paraId="6D1C9743" w14:textId="04EC00A3"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b/>
          <w:bCs/>
        </w:rPr>
        <w:t>Total Coliform Counts and Total Fecal Coliform Counts</w:t>
      </w:r>
    </w:p>
    <w:p w14:paraId="773FAC46" w14:textId="1E724875"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 xml:space="preserve">The coliform counts were determined by the Most Probable Number (MPN) </w:t>
      </w:r>
      <w:r w:rsidR="00615745" w:rsidRPr="003E43E6">
        <w:rPr>
          <w:rFonts w:ascii="Times New Roman" w:hAnsi="Times New Roman" w:cs="Times New Roman"/>
        </w:rPr>
        <w:t>techniqu</w:t>
      </w:r>
      <w:r w:rsidRPr="003E43E6">
        <w:rPr>
          <w:rFonts w:ascii="Times New Roman" w:hAnsi="Times New Roman" w:cs="Times New Roman"/>
        </w:rPr>
        <w:t>e</w:t>
      </w:r>
      <w:r w:rsidR="00615745" w:rsidRPr="003E43E6">
        <w:rPr>
          <w:rFonts w:ascii="Times New Roman" w:hAnsi="Times New Roman" w:cs="Times New Roman"/>
        </w:rPr>
        <w:t>.</w:t>
      </w:r>
      <w:r w:rsidR="00E074EC">
        <w:rPr>
          <w:rFonts w:ascii="Times New Roman" w:hAnsi="Times New Roman" w:cs="Times New Roman"/>
        </w:rPr>
        <w:t xml:space="preserve"> </w:t>
      </w:r>
      <w:r w:rsidRPr="003E43E6">
        <w:rPr>
          <w:rFonts w:ascii="Times New Roman" w:hAnsi="Times New Roman" w:cs="Times New Roman"/>
        </w:rPr>
        <w:t>10ml of the water samples were inoculated into a series of sterilized lactose broth tubes, a set of double strength MacConkey broth and two set of single strength MacConkey broths (each set contained five test tubes) containing inverted Durham tubes and then incubated at 37</w:t>
      </w:r>
      <w:r w:rsidRPr="003E43E6">
        <w:rPr>
          <w:rFonts w:ascii="Times New Roman" w:hAnsi="Times New Roman" w:cs="Times New Roman"/>
          <w:vertAlign w:val="superscript"/>
        </w:rPr>
        <w:t>0</w:t>
      </w:r>
      <w:r w:rsidRPr="003E43E6">
        <w:rPr>
          <w:rFonts w:ascii="Times New Roman" w:hAnsi="Times New Roman" w:cs="Times New Roman"/>
        </w:rPr>
        <w:t xml:space="preserve">C for the presumptive coliform test. Tubes showing gas formation were regarded as positive and were subsequently transferred into confirmatory media (Eosin Methylene Blue agar) for detection of coliforms. Finally, the number of positive and negative results across the dilution series was recorded and </w:t>
      </w:r>
      <w:r w:rsidRPr="003E43E6">
        <w:rPr>
          <w:rFonts w:ascii="Times New Roman" w:hAnsi="Times New Roman" w:cs="Times New Roman"/>
        </w:rPr>
        <w:lastRenderedPageBreak/>
        <w:t>compared to an MPN statistical table, which gave an estimate of the most probable number of total coliforms or fecal coliforms per 10mL of the water sample.</w:t>
      </w:r>
    </w:p>
    <w:p w14:paraId="61F84AD2" w14:textId="77777777" w:rsidR="00615745" w:rsidRPr="003E43E6" w:rsidRDefault="00615745" w:rsidP="00835951">
      <w:pPr>
        <w:spacing w:after="0" w:line="240" w:lineRule="auto"/>
        <w:jc w:val="both"/>
        <w:rPr>
          <w:rFonts w:ascii="Times New Roman" w:hAnsi="Times New Roman" w:cs="Times New Roman"/>
        </w:rPr>
      </w:pPr>
    </w:p>
    <w:p w14:paraId="60C0E94C" w14:textId="2B5C1CBA"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b/>
          <w:bCs/>
        </w:rPr>
        <w:t>Gram Reaction Test</w:t>
      </w:r>
    </w:p>
    <w:p w14:paraId="74C8C973" w14:textId="77777777"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Smears of the bacterial cultures were prepared on a clean glass slide, air-dried, and heat-fixed. The smears were then flooded with crystal violet for about one minute, rinsed gently with water, and treated with Gram’s iodine solution to act as a mordant, after which it was briefly decolorized with ethanol or acetone. Following decolorization, the smears were counterstained with safranin, rinsed again with water, blotted dry, and examined microscopically under oil immersion.</w:t>
      </w:r>
    </w:p>
    <w:p w14:paraId="02FA06A1" w14:textId="77777777" w:rsidR="00A60E91" w:rsidRPr="003E43E6" w:rsidRDefault="00A60E91" w:rsidP="00835951">
      <w:pPr>
        <w:spacing w:after="0" w:line="240" w:lineRule="auto"/>
        <w:jc w:val="both"/>
        <w:rPr>
          <w:rFonts w:ascii="Times New Roman" w:hAnsi="Times New Roman" w:cs="Times New Roman"/>
          <w:b/>
          <w:bCs/>
        </w:rPr>
      </w:pPr>
    </w:p>
    <w:p w14:paraId="55E533B7" w14:textId="6A52BBC3"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b/>
          <w:bCs/>
        </w:rPr>
        <w:t>Biochemical Identification Test</w:t>
      </w:r>
    </w:p>
    <w:p w14:paraId="54FDE5E5" w14:textId="4CDCF959"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b/>
          <w:bCs/>
        </w:rPr>
        <w:t>Catalase Test</w:t>
      </w:r>
    </w:p>
    <w:p w14:paraId="13E710B6" w14:textId="77777777"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Fresh bacterial cultures were picked and transferred onto clean glass slides using sterile loops, after which a few drops of 3% hydrogen peroxide were added directly to them. The rapid formation of bubbles was recorded as a positive reaction, confirming the presence of catalase enzyme, while the absence of bubbling was recorded as a negative result. This reaction allowed the differentiation of catalase producing bacterial cultures from catalase-negative ones.</w:t>
      </w:r>
    </w:p>
    <w:p w14:paraId="2278DDAD" w14:textId="5B447136"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b/>
          <w:bCs/>
        </w:rPr>
        <w:t>Coagulase Test</w:t>
      </w:r>
    </w:p>
    <w:p w14:paraId="1C33E1EA" w14:textId="77777777"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rPr>
        <w:t>Bacterial cultures were emulsified in small volumes of plasma placed on a slide. They were observed for immediate clumping within a few seconds, which indicated the presence of bound coagulase, while the absence of clumping signified a negative result.</w:t>
      </w:r>
    </w:p>
    <w:p w14:paraId="0D6E82B0" w14:textId="6BB81768"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b/>
          <w:bCs/>
        </w:rPr>
        <w:t>Indole Test</w:t>
      </w:r>
    </w:p>
    <w:p w14:paraId="2C77A645" w14:textId="55C2418A"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Bacterial cultures were inoculated into tubes containing tryptone broth and incubated at 35</w:t>
      </w:r>
      <w:r w:rsidRPr="003E43E6">
        <w:rPr>
          <w:rFonts w:ascii="Times New Roman" w:hAnsi="Times New Roman" w:cs="Times New Roman"/>
          <w:vertAlign w:val="superscript"/>
        </w:rPr>
        <w:t>0</w:t>
      </w:r>
      <w:r w:rsidRPr="003E43E6">
        <w:rPr>
          <w:rFonts w:ascii="Times New Roman" w:hAnsi="Times New Roman" w:cs="Times New Roman"/>
        </w:rPr>
        <w:t>C for 24hours. After incubation, a few drops of Kovac's reagent were carefully added to the surface of the broth without mixing. The development of a distinct red or pink ring at the top layer of the medium was interpreted as a positive result, confirming indole production, while a yellow or no color change indicated a negative reaction.</w:t>
      </w:r>
    </w:p>
    <w:p w14:paraId="05325ED7" w14:textId="77777777" w:rsidR="00DA061C" w:rsidRPr="003E43E6" w:rsidRDefault="00DA061C" w:rsidP="00835951">
      <w:pPr>
        <w:spacing w:after="0" w:line="240" w:lineRule="auto"/>
        <w:jc w:val="both"/>
        <w:rPr>
          <w:rFonts w:ascii="Times New Roman" w:hAnsi="Times New Roman" w:cs="Times New Roman"/>
        </w:rPr>
      </w:pPr>
    </w:p>
    <w:p w14:paraId="58F0DF6C" w14:textId="4495BEF9"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b/>
          <w:bCs/>
        </w:rPr>
        <w:t>Citrate Utilization Test</w:t>
      </w:r>
    </w:p>
    <w:p w14:paraId="4000FAFF" w14:textId="17ECBF35" w:rsidR="00DA061C" w:rsidRDefault="00424441" w:rsidP="00835951">
      <w:pPr>
        <w:spacing w:after="0" w:line="240" w:lineRule="auto"/>
        <w:jc w:val="both"/>
        <w:rPr>
          <w:rFonts w:ascii="Times New Roman" w:hAnsi="Times New Roman" w:cs="Times New Roman"/>
        </w:rPr>
      </w:pPr>
      <w:r w:rsidRPr="003E43E6">
        <w:rPr>
          <w:rFonts w:ascii="Times New Roman" w:hAnsi="Times New Roman" w:cs="Times New Roman"/>
        </w:rPr>
        <w:t>B</w:t>
      </w:r>
      <w:r w:rsidR="00DA061C" w:rsidRPr="003E43E6">
        <w:rPr>
          <w:rFonts w:ascii="Times New Roman" w:hAnsi="Times New Roman" w:cs="Times New Roman"/>
        </w:rPr>
        <w:t>acterial cultures were inoculated onto the slant surface of Simmons</w:t>
      </w:r>
      <w:r w:rsidR="00DA061C" w:rsidRPr="003E43E6">
        <w:rPr>
          <w:rFonts w:ascii="Times New Roman" w:hAnsi="Times New Roman" w:cs="Times New Roman" w:hint="eastAsia"/>
        </w:rPr>
        <w:t>’</w:t>
      </w:r>
      <w:r w:rsidR="00DA061C" w:rsidRPr="003E43E6">
        <w:rPr>
          <w:rFonts w:ascii="Times New Roman" w:hAnsi="Times New Roman" w:cs="Times New Roman"/>
        </w:rPr>
        <w:t xml:space="preserve"> citrate agar using a sterile inoculating needle to avoid heavy inoculation and then incubated at 37</w:t>
      </w:r>
      <w:r w:rsidR="00DA061C" w:rsidRPr="003E43E6">
        <w:rPr>
          <w:rFonts w:ascii="Times New Roman" w:hAnsi="Times New Roman" w:cs="Times New Roman"/>
          <w:vertAlign w:val="superscript"/>
        </w:rPr>
        <w:t>0</w:t>
      </w:r>
      <w:r w:rsidR="00DA061C" w:rsidRPr="003E43E6">
        <w:rPr>
          <w:rFonts w:ascii="Times New Roman" w:hAnsi="Times New Roman" w:cs="Times New Roman"/>
        </w:rPr>
        <w:t>C for up to 48 hours. After incubation, cultures that changed the medium</w:t>
      </w:r>
      <w:r w:rsidR="00DA061C" w:rsidRPr="003E43E6">
        <w:rPr>
          <w:rFonts w:ascii="Times New Roman" w:hAnsi="Times New Roman" w:cs="Times New Roman" w:hint="eastAsia"/>
        </w:rPr>
        <w:t>’</w:t>
      </w:r>
      <w:r w:rsidR="00DA061C" w:rsidRPr="003E43E6">
        <w:rPr>
          <w:rFonts w:ascii="Times New Roman" w:hAnsi="Times New Roman" w:cs="Times New Roman"/>
        </w:rPr>
        <w:t xml:space="preserve">s color from green to blue were interpreted as positive for citrate utilization, while those that showed no color change and remained green were interpreted as negative. </w:t>
      </w:r>
    </w:p>
    <w:p w14:paraId="6B9ADFC8" w14:textId="77777777" w:rsidR="009E4D85" w:rsidRDefault="009E4D85" w:rsidP="00835951">
      <w:pPr>
        <w:spacing w:after="0" w:line="240" w:lineRule="auto"/>
        <w:jc w:val="both"/>
        <w:rPr>
          <w:rFonts w:ascii="Times New Roman" w:hAnsi="Times New Roman" w:cs="Times New Roman"/>
        </w:rPr>
      </w:pPr>
    </w:p>
    <w:p w14:paraId="3EF1B102" w14:textId="569AB172" w:rsidR="00062B78" w:rsidRDefault="009E4D85" w:rsidP="00835951">
      <w:pPr>
        <w:spacing w:after="0" w:line="240" w:lineRule="auto"/>
        <w:jc w:val="both"/>
        <w:rPr>
          <w:rFonts w:ascii="Times New Roman" w:hAnsi="Times New Roman" w:cs="Times New Roman"/>
          <w:b/>
          <w:bCs/>
        </w:rPr>
      </w:pPr>
      <w:r w:rsidRPr="009E4D85">
        <w:rPr>
          <w:rFonts w:ascii="Times New Roman" w:hAnsi="Times New Roman" w:cs="Times New Roman"/>
          <w:b/>
          <w:bCs/>
        </w:rPr>
        <w:t>Antibiotic Susceptibility Testing</w:t>
      </w:r>
    </w:p>
    <w:p w14:paraId="30B819FA" w14:textId="7382704E" w:rsidR="00062B78" w:rsidRPr="00062B78" w:rsidRDefault="00062B78" w:rsidP="00062B78">
      <w:pPr>
        <w:spacing w:after="0" w:line="240" w:lineRule="auto"/>
        <w:jc w:val="both"/>
        <w:rPr>
          <w:rFonts w:ascii="Times New Roman" w:hAnsi="Times New Roman" w:cs="Times New Roman"/>
        </w:rPr>
      </w:pPr>
      <w:r w:rsidRPr="00062B78">
        <w:rPr>
          <w:rFonts w:ascii="Times New Roman" w:hAnsi="Times New Roman" w:cs="Times New Roman"/>
        </w:rPr>
        <w:t>Antibiotic susceptibility testing of the bacterial isolates was performed using the Kirby–Bauer disk diffusion method on Mueller–Hinton agar in accordance with standard procedures. A standardized bacterial suspension equivalent to 0.5 McFarland turbidity was inoculated uniformly onto the agar surface, after which antibiotic discs containing Amoxicillin, Levofloxacin, Meropenem, Cefuroxime, Cefotaxime, Vancomycin, Erythromycin, Clindamycin, and Cefoxitin were aseptically applied. The plates were incubated aerobically at 35–37 °C for 18–24 hours. Following incubation, zones of inhibition were measured in millimeters using a calibrated ruler. The results were interpreted as Sensitive (S), Intermediate (I), or Resistant (R) based on the criteria provided by the Clinical and Laboratory Standards Institute (CLSI)</w:t>
      </w:r>
      <w:r w:rsidR="003E2B6D">
        <w:rPr>
          <w:rFonts w:ascii="Times New Roman" w:hAnsi="Times New Roman" w:cs="Times New Roman"/>
        </w:rPr>
        <w:t xml:space="preserve"> (CLSI, 2023).</w:t>
      </w:r>
      <w:r w:rsidRPr="00062B78">
        <w:rPr>
          <w:rFonts w:ascii="Times New Roman" w:hAnsi="Times New Roman" w:cs="Times New Roman"/>
        </w:rPr>
        <w:t xml:space="preserve"> Cefoxitin was used as a </w:t>
      </w:r>
      <w:r w:rsidRPr="00062B78">
        <w:rPr>
          <w:rFonts w:ascii="Times New Roman" w:hAnsi="Times New Roman" w:cs="Times New Roman"/>
        </w:rPr>
        <w:lastRenderedPageBreak/>
        <w:t>surrogate marker for the detection of methicillin resistance, while vancomycin susceptibility was interpreted cautiously due to its limited reliability in disk diffusion testing.</w:t>
      </w:r>
    </w:p>
    <w:p w14:paraId="6390437B" w14:textId="77777777" w:rsidR="00062B78" w:rsidRPr="009E4D85" w:rsidRDefault="00062B78" w:rsidP="00835951">
      <w:pPr>
        <w:spacing w:after="0" w:line="240" w:lineRule="auto"/>
        <w:jc w:val="both"/>
        <w:rPr>
          <w:rFonts w:ascii="Times New Roman" w:hAnsi="Times New Roman" w:cs="Times New Roman"/>
          <w:b/>
          <w:bCs/>
        </w:rPr>
      </w:pPr>
    </w:p>
    <w:p w14:paraId="2E39ABAB" w14:textId="77777777" w:rsidR="009E4D85" w:rsidRDefault="009E4D85" w:rsidP="00835951">
      <w:pPr>
        <w:spacing w:after="0" w:line="240" w:lineRule="auto"/>
        <w:jc w:val="both"/>
        <w:rPr>
          <w:rFonts w:ascii="Times New Roman" w:hAnsi="Times New Roman" w:cs="Times New Roman"/>
        </w:rPr>
      </w:pPr>
    </w:p>
    <w:p w14:paraId="1D5DD872" w14:textId="3A0171D0" w:rsidR="009E4D85" w:rsidRPr="009E4D85" w:rsidRDefault="009E4D85" w:rsidP="00835951">
      <w:pPr>
        <w:spacing w:after="0" w:line="240" w:lineRule="auto"/>
        <w:jc w:val="both"/>
        <w:rPr>
          <w:rFonts w:ascii="Times New Roman" w:hAnsi="Times New Roman" w:cs="Times New Roman"/>
          <w:b/>
          <w:bCs/>
        </w:rPr>
      </w:pPr>
      <w:r w:rsidRPr="009E4D85">
        <w:rPr>
          <w:rFonts w:ascii="Times New Roman" w:hAnsi="Times New Roman" w:cs="Times New Roman"/>
          <w:b/>
          <w:bCs/>
        </w:rPr>
        <w:t>Statistical Analysis</w:t>
      </w:r>
    </w:p>
    <w:p w14:paraId="00A9EAB9" w14:textId="5C7CE7D1" w:rsidR="00DA061C" w:rsidRDefault="00062B78" w:rsidP="00835951">
      <w:pPr>
        <w:spacing w:after="0" w:line="240" w:lineRule="auto"/>
        <w:jc w:val="both"/>
        <w:rPr>
          <w:rFonts w:ascii="Times New Roman" w:hAnsi="Times New Roman" w:cs="Times New Roman"/>
        </w:rPr>
      </w:pPr>
      <w:r w:rsidRPr="00062B78">
        <w:rPr>
          <w:rFonts w:ascii="Times New Roman" w:hAnsi="Times New Roman" w:cs="Times New Roman"/>
        </w:rPr>
        <w:t xml:space="preserve">Data obtained from microbiological analyses of sachet and bottled water samples were entered into Microsoft Excel and analyzed using a statistical software package. Microbial counts were expressed as mean ± standard deviation (SD) and log₁₀-transformed prior to analysis to normalize the data. Differences in microbial load between sachet water and bottled water samples were evaluated using an independent samples </w:t>
      </w:r>
      <w:r w:rsidRPr="00062B78">
        <w:rPr>
          <w:rFonts w:ascii="Times New Roman" w:hAnsi="Times New Roman" w:cs="Times New Roman"/>
          <w:i/>
          <w:iCs/>
        </w:rPr>
        <w:t>t</w:t>
      </w:r>
      <w:r w:rsidRPr="00062B78">
        <w:rPr>
          <w:rFonts w:ascii="Times New Roman" w:hAnsi="Times New Roman" w:cs="Times New Roman"/>
        </w:rPr>
        <w:t xml:space="preserve">-test, while categorical data such as the presence or absence of indicator organisms were analyzed using the chi-square test. Statistical significance was determined at </w:t>
      </w:r>
      <w:r w:rsidRPr="00062B78">
        <w:rPr>
          <w:rFonts w:ascii="Times New Roman" w:hAnsi="Times New Roman" w:cs="Times New Roman"/>
          <w:i/>
          <w:iCs/>
        </w:rPr>
        <w:t>p</w:t>
      </w:r>
      <w:r w:rsidRPr="00062B78">
        <w:rPr>
          <w:rFonts w:ascii="Times New Roman" w:hAnsi="Times New Roman" w:cs="Times New Roman"/>
        </w:rPr>
        <w:t xml:space="preserve"> &lt; 0.05. Results were presented in tables to facilitate comparison between the two water types.</w:t>
      </w:r>
    </w:p>
    <w:p w14:paraId="3A13E242" w14:textId="77777777" w:rsidR="00062B78" w:rsidRDefault="00062B78" w:rsidP="00835951">
      <w:pPr>
        <w:spacing w:after="0" w:line="240" w:lineRule="auto"/>
        <w:jc w:val="both"/>
        <w:rPr>
          <w:rFonts w:ascii="Times New Roman" w:hAnsi="Times New Roman" w:cs="Times New Roman"/>
        </w:rPr>
      </w:pPr>
    </w:p>
    <w:p w14:paraId="3788E362" w14:textId="77777777" w:rsidR="00062B78" w:rsidRPr="003E43E6" w:rsidRDefault="00062B78" w:rsidP="00835951">
      <w:pPr>
        <w:spacing w:after="0" w:line="240" w:lineRule="auto"/>
        <w:jc w:val="both"/>
        <w:rPr>
          <w:rFonts w:ascii="Times New Roman" w:hAnsi="Times New Roman" w:cs="Times New Roman"/>
        </w:rPr>
      </w:pPr>
    </w:p>
    <w:p w14:paraId="1E36832C" w14:textId="079646F9" w:rsidR="005527C3" w:rsidRPr="003E43E6" w:rsidRDefault="00DA061C" w:rsidP="00FF1B86">
      <w:pPr>
        <w:spacing w:after="0" w:line="240" w:lineRule="auto"/>
        <w:rPr>
          <w:rFonts w:ascii="Times New Roman" w:hAnsi="Times New Roman" w:cs="Times New Roman"/>
          <w:b/>
        </w:rPr>
      </w:pPr>
      <w:r w:rsidRPr="003E43E6">
        <w:rPr>
          <w:rFonts w:ascii="Times New Roman" w:hAnsi="Times New Roman" w:cs="Times New Roman"/>
          <w:b/>
        </w:rPr>
        <w:t>RESULTS</w:t>
      </w:r>
    </w:p>
    <w:p w14:paraId="6862FDDD" w14:textId="77777777" w:rsidR="00F32094" w:rsidRDefault="00DA061C" w:rsidP="00F32094">
      <w:pPr>
        <w:spacing w:after="0" w:line="240" w:lineRule="auto"/>
        <w:rPr>
          <w:rFonts w:ascii="Times New Roman" w:hAnsi="Times New Roman" w:cs="Times New Roman"/>
          <w:b/>
        </w:rPr>
      </w:pPr>
      <w:r w:rsidRPr="003E43E6">
        <w:rPr>
          <w:rFonts w:ascii="Times New Roman" w:hAnsi="Times New Roman" w:cs="Times New Roman"/>
          <w:b/>
        </w:rPr>
        <w:t>Physicochemical Properties of Bottled and Sachet Water</w:t>
      </w:r>
    </w:p>
    <w:p w14:paraId="1529EFED" w14:textId="2E717633" w:rsidR="00DA061C" w:rsidRPr="00316AAD" w:rsidRDefault="00DA061C" w:rsidP="00316AAD">
      <w:pPr>
        <w:spacing w:after="0" w:line="240" w:lineRule="auto"/>
        <w:rPr>
          <w:rFonts w:ascii="Times New Roman" w:hAnsi="Times New Roman" w:cs="Times New Roman"/>
          <w:b/>
        </w:rPr>
      </w:pPr>
      <w:r w:rsidRPr="003E43E6">
        <w:rPr>
          <w:rFonts w:ascii="Times New Roman" w:hAnsi="Times New Roman" w:cs="Times New Roman"/>
        </w:rPr>
        <w:t xml:space="preserve">Both </w:t>
      </w:r>
      <w:r w:rsidRPr="003E43E6">
        <w:rPr>
          <w:rFonts w:ascii="Times New Roman" w:hAnsi="Times New Roman" w:cs="Times New Roman"/>
          <w:bCs/>
        </w:rPr>
        <w:t xml:space="preserve">bottled and sachet water </w:t>
      </w:r>
      <w:r w:rsidRPr="003E43E6">
        <w:rPr>
          <w:rFonts w:ascii="Times New Roman" w:hAnsi="Times New Roman" w:cs="Times New Roman"/>
        </w:rPr>
        <w:t>exhibited values within acceptable limits for most parameters. Bottled water shows slightly higher values in some parameters like pH (7.35), total hardness (34.56 mg/L), and electrical conductivity (99 µS/cm) than sachet water pH (6.6), total hardness (13.44 mg/L), and electrical conductivity (36 µS/cm). Turbidity was zero in both samples. Magnesium levels in bottled water (2.76 mg/L) exceeded the WHO recommended limit (0.2 mg/L). Table</w:t>
      </w:r>
      <w:r w:rsidR="00FF1B86" w:rsidRPr="003E43E6">
        <w:rPr>
          <w:rFonts w:ascii="Times New Roman" w:hAnsi="Times New Roman" w:cs="Times New Roman"/>
        </w:rPr>
        <w:t xml:space="preserve"> </w:t>
      </w:r>
      <w:r w:rsidRPr="003E43E6">
        <w:rPr>
          <w:rFonts w:ascii="Times New Roman" w:hAnsi="Times New Roman" w:cs="Times New Roman"/>
        </w:rPr>
        <w:t xml:space="preserve">1 below presents a detailed comparison of the physicochemical properties of bottled and sachet water samples against World Health Organization (WHO) standards. </w:t>
      </w:r>
    </w:p>
    <w:p w14:paraId="04E61AB0" w14:textId="4DFD6B0A" w:rsidR="00DA061C" w:rsidRPr="00316AAD" w:rsidRDefault="00DA061C" w:rsidP="00835951">
      <w:pPr>
        <w:spacing w:before="240" w:after="0" w:line="240" w:lineRule="auto"/>
        <w:rPr>
          <w:rFonts w:ascii="Times New Roman" w:eastAsia="SimSun" w:hAnsi="Times New Roman" w:cs="Times New Roman"/>
          <w:b/>
          <w:bCs/>
          <w:lang w:eastAsia="zh-CN"/>
        </w:rPr>
      </w:pPr>
      <w:r w:rsidRPr="00316AAD">
        <w:rPr>
          <w:rFonts w:ascii="Times New Roman" w:eastAsia="SimSun" w:hAnsi="Times New Roman" w:cs="Times New Roman"/>
          <w:b/>
          <w:bCs/>
          <w:lang w:eastAsia="zh-CN"/>
        </w:rPr>
        <w:t>Table 1</w:t>
      </w:r>
      <w:r w:rsidR="00B13B8D" w:rsidRPr="00316AAD">
        <w:rPr>
          <w:rFonts w:ascii="Times New Roman" w:eastAsia="SimSun" w:hAnsi="Times New Roman" w:cs="Times New Roman"/>
          <w:b/>
          <w:bCs/>
          <w:lang w:eastAsia="zh-CN"/>
        </w:rPr>
        <w:t xml:space="preserve">. </w:t>
      </w:r>
      <w:r w:rsidRPr="00316AAD">
        <w:rPr>
          <w:rFonts w:ascii="Times New Roman" w:eastAsia="SimSun" w:hAnsi="Times New Roman" w:cs="Times New Roman"/>
          <w:b/>
          <w:bCs/>
          <w:lang w:eastAsia="zh-CN"/>
        </w:rPr>
        <w:t xml:space="preserve">Physicochemical </w:t>
      </w:r>
      <w:r w:rsidR="00316AAD">
        <w:rPr>
          <w:rFonts w:ascii="Times New Roman" w:eastAsia="SimSun" w:hAnsi="Times New Roman" w:cs="Times New Roman"/>
          <w:b/>
          <w:bCs/>
          <w:lang w:eastAsia="zh-CN"/>
        </w:rPr>
        <w:t>A</w:t>
      </w:r>
      <w:r w:rsidRPr="00316AAD">
        <w:rPr>
          <w:rFonts w:ascii="Times New Roman" w:eastAsia="SimSun" w:hAnsi="Times New Roman" w:cs="Times New Roman"/>
          <w:b/>
          <w:bCs/>
          <w:lang w:eastAsia="zh-CN"/>
        </w:rPr>
        <w:t xml:space="preserve">nalysis of </w:t>
      </w:r>
      <w:r w:rsidR="00316AAD">
        <w:rPr>
          <w:rFonts w:ascii="Times New Roman" w:eastAsia="SimSun" w:hAnsi="Times New Roman" w:cs="Times New Roman"/>
          <w:b/>
          <w:bCs/>
          <w:lang w:eastAsia="zh-CN"/>
        </w:rPr>
        <w:t>W</w:t>
      </w:r>
      <w:r w:rsidRPr="00316AAD">
        <w:rPr>
          <w:rFonts w:ascii="Times New Roman" w:eastAsia="SimSun" w:hAnsi="Times New Roman" w:cs="Times New Roman"/>
          <w:b/>
          <w:bCs/>
          <w:lang w:eastAsia="zh-CN"/>
        </w:rPr>
        <w:t xml:space="preserve">ater </w:t>
      </w:r>
      <w:r w:rsidR="00316AAD">
        <w:rPr>
          <w:rFonts w:ascii="Times New Roman" w:eastAsia="SimSun" w:hAnsi="Times New Roman" w:cs="Times New Roman"/>
          <w:b/>
          <w:bCs/>
          <w:lang w:eastAsia="zh-CN"/>
        </w:rPr>
        <w:t>S</w:t>
      </w:r>
      <w:r w:rsidRPr="00316AAD">
        <w:rPr>
          <w:rFonts w:ascii="Times New Roman" w:eastAsia="SimSun" w:hAnsi="Times New Roman" w:cs="Times New Roman"/>
          <w:b/>
          <w:bCs/>
          <w:lang w:eastAsia="zh-CN"/>
        </w:rPr>
        <w:t>amples</w:t>
      </w:r>
    </w:p>
    <w:tbl>
      <w:tblPr>
        <w:tblStyle w:val="TableGrid"/>
        <w:tblW w:w="957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3E43E6" w:rsidRPr="003E43E6" w14:paraId="26E3E3FB" w14:textId="77777777" w:rsidTr="00510C82">
        <w:tc>
          <w:tcPr>
            <w:tcW w:w="2394" w:type="dxa"/>
            <w:tcBorders>
              <w:top w:val="single" w:sz="4" w:space="0" w:color="auto"/>
              <w:bottom w:val="single" w:sz="4" w:space="0" w:color="auto"/>
            </w:tcBorders>
          </w:tcPr>
          <w:p w14:paraId="0A9A7F46" w14:textId="77777777" w:rsidR="00DA061C" w:rsidRPr="003E43E6" w:rsidRDefault="00DA061C" w:rsidP="00835951">
            <w:pPr>
              <w:jc w:val="both"/>
              <w:rPr>
                <w:rFonts w:ascii="Times New Roman" w:hAnsi="Times New Roman" w:cs="Times New Roman"/>
                <w:b/>
                <w:bCs/>
              </w:rPr>
            </w:pPr>
            <w:r w:rsidRPr="003E43E6">
              <w:rPr>
                <w:rFonts w:ascii="Times New Roman" w:hAnsi="Times New Roman" w:cs="Times New Roman"/>
                <w:b/>
                <w:bCs/>
              </w:rPr>
              <w:t xml:space="preserve">Parameters </w:t>
            </w:r>
          </w:p>
        </w:tc>
        <w:tc>
          <w:tcPr>
            <w:tcW w:w="2394" w:type="dxa"/>
            <w:tcBorders>
              <w:top w:val="single" w:sz="4" w:space="0" w:color="auto"/>
              <w:bottom w:val="single" w:sz="4" w:space="0" w:color="auto"/>
            </w:tcBorders>
          </w:tcPr>
          <w:p w14:paraId="64114FC8"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b/>
                <w:bCs/>
              </w:rPr>
              <w:t>Bottled Water</w:t>
            </w:r>
          </w:p>
        </w:tc>
        <w:tc>
          <w:tcPr>
            <w:tcW w:w="2394" w:type="dxa"/>
            <w:tcBorders>
              <w:top w:val="single" w:sz="4" w:space="0" w:color="auto"/>
              <w:bottom w:val="single" w:sz="4" w:space="0" w:color="auto"/>
            </w:tcBorders>
          </w:tcPr>
          <w:p w14:paraId="072EA412"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b/>
                <w:bCs/>
              </w:rPr>
              <w:t>Sachet Water</w:t>
            </w:r>
          </w:p>
        </w:tc>
        <w:tc>
          <w:tcPr>
            <w:tcW w:w="2394" w:type="dxa"/>
            <w:tcBorders>
              <w:top w:val="single" w:sz="4" w:space="0" w:color="auto"/>
              <w:bottom w:val="single" w:sz="4" w:space="0" w:color="auto"/>
            </w:tcBorders>
          </w:tcPr>
          <w:p w14:paraId="2358F60C"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b/>
                <w:bCs/>
              </w:rPr>
              <w:t>WHO Standard</w:t>
            </w:r>
          </w:p>
        </w:tc>
      </w:tr>
      <w:tr w:rsidR="003E43E6" w:rsidRPr="003E43E6" w14:paraId="036EEA74" w14:textId="77777777" w:rsidTr="00510C82">
        <w:tc>
          <w:tcPr>
            <w:tcW w:w="2394" w:type="dxa"/>
            <w:tcBorders>
              <w:top w:val="single" w:sz="4" w:space="0" w:color="auto"/>
            </w:tcBorders>
          </w:tcPr>
          <w:p w14:paraId="0FADE1D0"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Temperature (°C)</w:t>
            </w:r>
          </w:p>
        </w:tc>
        <w:tc>
          <w:tcPr>
            <w:tcW w:w="2394" w:type="dxa"/>
            <w:tcBorders>
              <w:top w:val="single" w:sz="4" w:space="0" w:color="auto"/>
            </w:tcBorders>
          </w:tcPr>
          <w:p w14:paraId="1CBCA2EF"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27.10 ± 0.00</w:t>
            </w:r>
          </w:p>
        </w:tc>
        <w:tc>
          <w:tcPr>
            <w:tcW w:w="2394" w:type="dxa"/>
            <w:tcBorders>
              <w:top w:val="single" w:sz="4" w:space="0" w:color="auto"/>
            </w:tcBorders>
          </w:tcPr>
          <w:p w14:paraId="0BC37169"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26.9 ± 0.14</w:t>
            </w:r>
          </w:p>
        </w:tc>
        <w:tc>
          <w:tcPr>
            <w:tcW w:w="2394" w:type="dxa"/>
            <w:tcBorders>
              <w:top w:val="single" w:sz="4" w:space="0" w:color="auto"/>
            </w:tcBorders>
          </w:tcPr>
          <w:p w14:paraId="63E280AA"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0-30</w:t>
            </w:r>
          </w:p>
        </w:tc>
      </w:tr>
      <w:tr w:rsidR="003E43E6" w:rsidRPr="003E43E6" w14:paraId="5B2DEC1D" w14:textId="77777777" w:rsidTr="00510C82">
        <w:tc>
          <w:tcPr>
            <w:tcW w:w="2394" w:type="dxa"/>
          </w:tcPr>
          <w:p w14:paraId="51251ECF"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pH</w:t>
            </w:r>
          </w:p>
        </w:tc>
        <w:tc>
          <w:tcPr>
            <w:tcW w:w="2394" w:type="dxa"/>
          </w:tcPr>
          <w:p w14:paraId="181BCDA8" w14:textId="2F4B464B"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7.35 ± 0.07</w:t>
            </w:r>
          </w:p>
        </w:tc>
        <w:tc>
          <w:tcPr>
            <w:tcW w:w="2394" w:type="dxa"/>
          </w:tcPr>
          <w:p w14:paraId="7DAD736E"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6.6 ± 0.00</w:t>
            </w:r>
          </w:p>
        </w:tc>
        <w:tc>
          <w:tcPr>
            <w:tcW w:w="2394" w:type="dxa"/>
          </w:tcPr>
          <w:p w14:paraId="02323528"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6.5-8.5</w:t>
            </w:r>
          </w:p>
        </w:tc>
      </w:tr>
      <w:tr w:rsidR="003E43E6" w:rsidRPr="003E43E6" w14:paraId="227B88B7" w14:textId="77777777" w:rsidTr="00510C82">
        <w:tc>
          <w:tcPr>
            <w:tcW w:w="2394" w:type="dxa"/>
          </w:tcPr>
          <w:p w14:paraId="0BC7F14D"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 xml:space="preserve">Turbidity (NTU) </w:t>
            </w:r>
          </w:p>
        </w:tc>
        <w:tc>
          <w:tcPr>
            <w:tcW w:w="2394" w:type="dxa"/>
          </w:tcPr>
          <w:p w14:paraId="1080DC82"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0.00 ± 0.00</w:t>
            </w:r>
          </w:p>
        </w:tc>
        <w:tc>
          <w:tcPr>
            <w:tcW w:w="2394" w:type="dxa"/>
          </w:tcPr>
          <w:p w14:paraId="3A983048"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0.00 ± 0.00</w:t>
            </w:r>
          </w:p>
        </w:tc>
        <w:tc>
          <w:tcPr>
            <w:tcW w:w="2394" w:type="dxa"/>
          </w:tcPr>
          <w:p w14:paraId="7B8117D0"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5.0</w:t>
            </w:r>
          </w:p>
        </w:tc>
      </w:tr>
      <w:tr w:rsidR="003E43E6" w:rsidRPr="003E43E6" w14:paraId="3EEB4B65" w14:textId="77777777" w:rsidTr="00510C82">
        <w:tc>
          <w:tcPr>
            <w:tcW w:w="2394" w:type="dxa"/>
          </w:tcPr>
          <w:p w14:paraId="78389B96"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Electrical Conductivity (</w:t>
            </w:r>
            <m:oMath>
              <m:r>
                <w:rPr>
                  <w:rFonts w:ascii="Cambria Math" w:hAnsi="Cambria Math" w:cs="Times New Roman"/>
                </w:rPr>
                <m:t>μs</m:t>
              </m:r>
            </m:oMath>
            <w:r w:rsidRPr="003E43E6">
              <w:rPr>
                <w:rFonts w:ascii="Times New Roman" w:hAnsi="Times New Roman" w:cs="Times New Roman"/>
                <w:bCs/>
              </w:rPr>
              <w:t>/cm)</w:t>
            </w:r>
          </w:p>
        </w:tc>
        <w:tc>
          <w:tcPr>
            <w:tcW w:w="2394" w:type="dxa"/>
          </w:tcPr>
          <w:p w14:paraId="2EB5B1CB"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99.0 ± 0.00</w:t>
            </w:r>
          </w:p>
        </w:tc>
        <w:tc>
          <w:tcPr>
            <w:tcW w:w="2394" w:type="dxa"/>
          </w:tcPr>
          <w:p w14:paraId="0B728C98"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36.0 ± 0.00</w:t>
            </w:r>
          </w:p>
        </w:tc>
        <w:tc>
          <w:tcPr>
            <w:tcW w:w="2394" w:type="dxa"/>
          </w:tcPr>
          <w:p w14:paraId="44886083"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500</w:t>
            </w:r>
          </w:p>
        </w:tc>
      </w:tr>
      <w:tr w:rsidR="003E43E6" w:rsidRPr="003E43E6" w14:paraId="01AC73DE" w14:textId="77777777" w:rsidTr="00510C82">
        <w:tc>
          <w:tcPr>
            <w:tcW w:w="2394" w:type="dxa"/>
          </w:tcPr>
          <w:p w14:paraId="63B8384F"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TDS (mg/L)</w:t>
            </w:r>
          </w:p>
        </w:tc>
        <w:tc>
          <w:tcPr>
            <w:tcW w:w="2394" w:type="dxa"/>
          </w:tcPr>
          <w:p w14:paraId="2D5507A4"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49.0 ± 0.00</w:t>
            </w:r>
          </w:p>
        </w:tc>
        <w:tc>
          <w:tcPr>
            <w:tcW w:w="2394" w:type="dxa"/>
          </w:tcPr>
          <w:p w14:paraId="3212E95C"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18.0 ± 0.00</w:t>
            </w:r>
          </w:p>
        </w:tc>
        <w:tc>
          <w:tcPr>
            <w:tcW w:w="2394" w:type="dxa"/>
          </w:tcPr>
          <w:p w14:paraId="1A8F2C8A"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600</w:t>
            </w:r>
          </w:p>
        </w:tc>
      </w:tr>
      <w:tr w:rsidR="003E43E6" w:rsidRPr="003E43E6" w14:paraId="77C9CA12" w14:textId="77777777" w:rsidTr="00510C82">
        <w:tc>
          <w:tcPr>
            <w:tcW w:w="2394" w:type="dxa"/>
          </w:tcPr>
          <w:p w14:paraId="4FE5B4EF"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Total Hardness (mg/L)</w:t>
            </w:r>
          </w:p>
        </w:tc>
        <w:tc>
          <w:tcPr>
            <w:tcW w:w="2394" w:type="dxa"/>
          </w:tcPr>
          <w:p w14:paraId="3A5B11E3"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34.56 ± 5.10</w:t>
            </w:r>
          </w:p>
        </w:tc>
        <w:tc>
          <w:tcPr>
            <w:tcW w:w="2394" w:type="dxa"/>
          </w:tcPr>
          <w:p w14:paraId="52CA12DF"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13.44 ± 2.52</w:t>
            </w:r>
          </w:p>
        </w:tc>
        <w:tc>
          <w:tcPr>
            <w:tcW w:w="2394" w:type="dxa"/>
          </w:tcPr>
          <w:p w14:paraId="2D42D3F3"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500</w:t>
            </w:r>
          </w:p>
        </w:tc>
      </w:tr>
      <w:tr w:rsidR="003E43E6" w:rsidRPr="003E43E6" w14:paraId="437BC3F4" w14:textId="77777777" w:rsidTr="00510C82">
        <w:tc>
          <w:tcPr>
            <w:tcW w:w="2394" w:type="dxa"/>
          </w:tcPr>
          <w:p w14:paraId="135A089B"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Total Alkalinity (mg/L)</w:t>
            </w:r>
          </w:p>
        </w:tc>
        <w:tc>
          <w:tcPr>
            <w:tcW w:w="2394" w:type="dxa"/>
          </w:tcPr>
          <w:p w14:paraId="0008E3BA"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11.0 ± 1.41</w:t>
            </w:r>
          </w:p>
        </w:tc>
        <w:tc>
          <w:tcPr>
            <w:tcW w:w="2394" w:type="dxa"/>
          </w:tcPr>
          <w:p w14:paraId="7014F9A2"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4.0 ± 0.00</w:t>
            </w:r>
          </w:p>
        </w:tc>
        <w:tc>
          <w:tcPr>
            <w:tcW w:w="2394" w:type="dxa"/>
          </w:tcPr>
          <w:p w14:paraId="6FB9BC5A"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500</w:t>
            </w:r>
          </w:p>
        </w:tc>
      </w:tr>
      <w:tr w:rsidR="003E43E6" w:rsidRPr="003E43E6" w14:paraId="0D15717B" w14:textId="77777777" w:rsidTr="00510C82">
        <w:tc>
          <w:tcPr>
            <w:tcW w:w="2394" w:type="dxa"/>
          </w:tcPr>
          <w:p w14:paraId="7E1939D5"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Chloride (mg/L)</w:t>
            </w:r>
          </w:p>
        </w:tc>
        <w:tc>
          <w:tcPr>
            <w:tcW w:w="2394" w:type="dxa"/>
          </w:tcPr>
          <w:p w14:paraId="28CCAA8C"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18.0 ± 1.41</w:t>
            </w:r>
          </w:p>
        </w:tc>
        <w:tc>
          <w:tcPr>
            <w:tcW w:w="2394" w:type="dxa"/>
          </w:tcPr>
          <w:p w14:paraId="4EB7949A"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10.5 ± 0.71</w:t>
            </w:r>
          </w:p>
        </w:tc>
        <w:tc>
          <w:tcPr>
            <w:tcW w:w="2394" w:type="dxa"/>
          </w:tcPr>
          <w:p w14:paraId="73CCA651"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250</w:t>
            </w:r>
          </w:p>
        </w:tc>
      </w:tr>
      <w:tr w:rsidR="003E43E6" w:rsidRPr="003E43E6" w14:paraId="4BEAC2FF" w14:textId="77777777" w:rsidTr="00510C82">
        <w:tc>
          <w:tcPr>
            <w:tcW w:w="2394" w:type="dxa"/>
          </w:tcPr>
          <w:p w14:paraId="0AAF3F7F"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Nitrate (mg/L)</w:t>
            </w:r>
          </w:p>
        </w:tc>
        <w:tc>
          <w:tcPr>
            <w:tcW w:w="2394" w:type="dxa"/>
          </w:tcPr>
          <w:p w14:paraId="0023AD61"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1.05 ± 0.00</w:t>
            </w:r>
          </w:p>
        </w:tc>
        <w:tc>
          <w:tcPr>
            <w:tcW w:w="2394" w:type="dxa"/>
          </w:tcPr>
          <w:p w14:paraId="73BF053A"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0.58 ± 0.01</w:t>
            </w:r>
          </w:p>
        </w:tc>
        <w:tc>
          <w:tcPr>
            <w:tcW w:w="2394" w:type="dxa"/>
          </w:tcPr>
          <w:p w14:paraId="02387B9C"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10</w:t>
            </w:r>
          </w:p>
        </w:tc>
      </w:tr>
      <w:tr w:rsidR="003E43E6" w:rsidRPr="003E43E6" w14:paraId="3A8E2F9F" w14:textId="77777777" w:rsidTr="00510C82">
        <w:tc>
          <w:tcPr>
            <w:tcW w:w="2394" w:type="dxa"/>
          </w:tcPr>
          <w:p w14:paraId="08479ABE"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Calcium (mg/L)</w:t>
            </w:r>
          </w:p>
        </w:tc>
        <w:tc>
          <w:tcPr>
            <w:tcW w:w="2394" w:type="dxa"/>
          </w:tcPr>
          <w:p w14:paraId="3E0816EF"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9.22 ± 0.00</w:t>
            </w:r>
          </w:p>
        </w:tc>
        <w:tc>
          <w:tcPr>
            <w:tcW w:w="2394" w:type="dxa"/>
          </w:tcPr>
          <w:p w14:paraId="5764933C"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3.07 ± 0.00</w:t>
            </w:r>
          </w:p>
        </w:tc>
        <w:tc>
          <w:tcPr>
            <w:tcW w:w="2394" w:type="dxa"/>
          </w:tcPr>
          <w:p w14:paraId="4871386B"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200</w:t>
            </w:r>
          </w:p>
        </w:tc>
      </w:tr>
      <w:tr w:rsidR="005527C3" w:rsidRPr="005527C3" w14:paraId="458C4741" w14:textId="77777777" w:rsidTr="00510C82">
        <w:trPr>
          <w:trHeight w:val="810"/>
        </w:trPr>
        <w:tc>
          <w:tcPr>
            <w:tcW w:w="2394" w:type="dxa"/>
          </w:tcPr>
          <w:p w14:paraId="7BC5BCED" w14:textId="77777777" w:rsidR="00DA061C" w:rsidRPr="005527C3" w:rsidRDefault="00DA061C" w:rsidP="00835951">
            <w:pPr>
              <w:rPr>
                <w:rFonts w:ascii="Times New Roman" w:hAnsi="Times New Roman" w:cs="Times New Roman"/>
                <w:bCs/>
              </w:rPr>
            </w:pPr>
            <w:r w:rsidRPr="005527C3">
              <w:rPr>
                <w:rFonts w:ascii="Times New Roman" w:hAnsi="Times New Roman" w:cs="Times New Roman"/>
                <w:bCs/>
              </w:rPr>
              <w:t xml:space="preserve">Phosphate (mg/L) </w:t>
            </w:r>
          </w:p>
        </w:tc>
        <w:tc>
          <w:tcPr>
            <w:tcW w:w="2394" w:type="dxa"/>
          </w:tcPr>
          <w:p w14:paraId="6BEDCBF4" w14:textId="77777777" w:rsidR="00DA061C" w:rsidRPr="005527C3" w:rsidRDefault="00DA061C" w:rsidP="00835951">
            <w:pPr>
              <w:jc w:val="center"/>
              <w:rPr>
                <w:rFonts w:ascii="Times New Roman" w:hAnsi="Times New Roman" w:cs="Times New Roman"/>
                <w:bCs/>
              </w:rPr>
            </w:pPr>
            <w:r w:rsidRPr="005527C3">
              <w:rPr>
                <w:rFonts w:ascii="Times New Roman" w:hAnsi="Times New Roman" w:cs="Times New Roman"/>
                <w:bCs/>
              </w:rPr>
              <w:t>0.04 ± 0.00</w:t>
            </w:r>
          </w:p>
        </w:tc>
        <w:tc>
          <w:tcPr>
            <w:tcW w:w="2394" w:type="dxa"/>
          </w:tcPr>
          <w:p w14:paraId="1CB63339" w14:textId="1402CBF2" w:rsidR="00DA061C" w:rsidRPr="005527C3" w:rsidRDefault="00DA061C" w:rsidP="00835951">
            <w:pPr>
              <w:jc w:val="center"/>
              <w:rPr>
                <w:rFonts w:ascii="Times New Roman" w:hAnsi="Times New Roman" w:cs="Times New Roman"/>
                <w:bCs/>
              </w:rPr>
            </w:pPr>
            <w:r w:rsidRPr="005527C3">
              <w:rPr>
                <w:rFonts w:ascii="Times New Roman" w:hAnsi="Times New Roman" w:cs="Times New Roman"/>
                <w:bCs/>
              </w:rPr>
              <w:t>0.04 ± 0.00</w:t>
            </w:r>
          </w:p>
          <w:p w14:paraId="14D7D49F" w14:textId="77777777" w:rsidR="00DA061C" w:rsidRPr="005527C3" w:rsidRDefault="00DA061C" w:rsidP="00835951">
            <w:pPr>
              <w:jc w:val="center"/>
              <w:rPr>
                <w:rFonts w:ascii="Times New Roman" w:hAnsi="Times New Roman" w:cs="Times New Roman"/>
                <w:bCs/>
              </w:rPr>
            </w:pPr>
          </w:p>
        </w:tc>
        <w:tc>
          <w:tcPr>
            <w:tcW w:w="2394" w:type="dxa"/>
          </w:tcPr>
          <w:p w14:paraId="3704931B" w14:textId="77777777" w:rsidR="00DA061C" w:rsidRPr="005527C3" w:rsidRDefault="00DA061C" w:rsidP="00835951">
            <w:pPr>
              <w:jc w:val="center"/>
              <w:rPr>
                <w:rFonts w:ascii="Times New Roman" w:hAnsi="Times New Roman" w:cs="Times New Roman"/>
                <w:bCs/>
              </w:rPr>
            </w:pPr>
            <w:r w:rsidRPr="005527C3">
              <w:rPr>
                <w:rFonts w:ascii="Times New Roman" w:hAnsi="Times New Roman" w:cs="Times New Roman"/>
                <w:bCs/>
              </w:rPr>
              <w:t>0.50</w:t>
            </w:r>
          </w:p>
        </w:tc>
      </w:tr>
      <w:tr w:rsidR="00DA061C" w:rsidRPr="003E43E6" w14:paraId="2A9A016C" w14:textId="77777777" w:rsidTr="00510C82">
        <w:tc>
          <w:tcPr>
            <w:tcW w:w="2394" w:type="dxa"/>
          </w:tcPr>
          <w:p w14:paraId="3196574A" w14:textId="77777777" w:rsidR="00DA061C" w:rsidRPr="003E43E6" w:rsidRDefault="00DA061C" w:rsidP="00835951">
            <w:pPr>
              <w:rPr>
                <w:rFonts w:ascii="Times New Roman" w:hAnsi="Times New Roman" w:cs="Times New Roman"/>
                <w:bCs/>
              </w:rPr>
            </w:pPr>
            <w:r w:rsidRPr="003E43E6">
              <w:rPr>
                <w:rFonts w:ascii="Times New Roman" w:hAnsi="Times New Roman" w:cs="Times New Roman"/>
                <w:bCs/>
              </w:rPr>
              <w:t>Magnesium (mg/L)</w:t>
            </w:r>
          </w:p>
        </w:tc>
        <w:tc>
          <w:tcPr>
            <w:tcW w:w="2394" w:type="dxa"/>
          </w:tcPr>
          <w:p w14:paraId="6F9F8114"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2.76 ± 1.23</w:t>
            </w:r>
          </w:p>
        </w:tc>
        <w:tc>
          <w:tcPr>
            <w:tcW w:w="2394" w:type="dxa"/>
          </w:tcPr>
          <w:p w14:paraId="5527DC3E"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1.39 ± 0.46</w:t>
            </w:r>
          </w:p>
        </w:tc>
        <w:tc>
          <w:tcPr>
            <w:tcW w:w="2394" w:type="dxa"/>
          </w:tcPr>
          <w:p w14:paraId="753919A7" w14:textId="77777777" w:rsidR="00DA061C" w:rsidRPr="003E43E6" w:rsidRDefault="00DA061C" w:rsidP="00835951">
            <w:pPr>
              <w:jc w:val="center"/>
              <w:rPr>
                <w:rFonts w:ascii="Times New Roman" w:hAnsi="Times New Roman" w:cs="Times New Roman"/>
                <w:bCs/>
              </w:rPr>
            </w:pPr>
            <w:r w:rsidRPr="003E43E6">
              <w:rPr>
                <w:rFonts w:ascii="Times New Roman" w:hAnsi="Times New Roman" w:cs="Times New Roman"/>
                <w:bCs/>
              </w:rPr>
              <w:t>0.2</w:t>
            </w:r>
          </w:p>
        </w:tc>
      </w:tr>
    </w:tbl>
    <w:p w14:paraId="7135597C" w14:textId="77777777" w:rsidR="00DA061C" w:rsidRPr="003E43E6" w:rsidRDefault="00DA061C" w:rsidP="00835951">
      <w:pPr>
        <w:spacing w:after="0" w:line="240" w:lineRule="auto"/>
        <w:jc w:val="both"/>
        <w:rPr>
          <w:rFonts w:ascii="Times New Roman" w:hAnsi="Times New Roman" w:cs="Times New Roman"/>
        </w:rPr>
      </w:pPr>
    </w:p>
    <w:p w14:paraId="26B6CE4E" w14:textId="77777777" w:rsidR="00DA061C" w:rsidRPr="003E43E6" w:rsidRDefault="00DA061C" w:rsidP="00835951">
      <w:pPr>
        <w:spacing w:after="0" w:line="240" w:lineRule="auto"/>
        <w:jc w:val="both"/>
        <w:rPr>
          <w:rFonts w:ascii="Times New Roman" w:hAnsi="Times New Roman" w:cs="Times New Roman"/>
        </w:rPr>
      </w:pPr>
    </w:p>
    <w:p w14:paraId="4E153B4F" w14:textId="77777777" w:rsidR="00DA061C" w:rsidRPr="003E43E6" w:rsidRDefault="00DA061C" w:rsidP="00835951">
      <w:pPr>
        <w:spacing w:after="0" w:line="240" w:lineRule="auto"/>
        <w:jc w:val="both"/>
        <w:rPr>
          <w:rFonts w:ascii="Times New Roman" w:hAnsi="Times New Roman" w:cs="Times New Roman"/>
        </w:rPr>
      </w:pPr>
    </w:p>
    <w:p w14:paraId="00D474B3" w14:textId="44C8D193" w:rsidR="00DA061C" w:rsidRPr="003E43E6" w:rsidRDefault="00DA061C" w:rsidP="00835951">
      <w:pPr>
        <w:spacing w:after="0" w:line="240" w:lineRule="auto"/>
        <w:rPr>
          <w:rFonts w:ascii="Times New Roman" w:hAnsi="Times New Roman" w:cs="Times New Roman"/>
          <w:b/>
          <w:bCs/>
        </w:rPr>
      </w:pPr>
      <w:r w:rsidRPr="003E43E6">
        <w:rPr>
          <w:rFonts w:ascii="Times New Roman" w:hAnsi="Times New Roman" w:cs="Times New Roman"/>
          <w:b/>
          <w:bCs/>
        </w:rPr>
        <w:lastRenderedPageBreak/>
        <w:t>Morphological and Biochemical Characteristics of Bacteria Isolated from Sachet and Bottled Water Samples</w:t>
      </w:r>
    </w:p>
    <w:p w14:paraId="5E7E51A1" w14:textId="6BE8FDDC"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Table</w:t>
      </w:r>
      <w:r w:rsidR="00925D37" w:rsidRPr="003E43E6">
        <w:rPr>
          <w:rFonts w:ascii="Times New Roman" w:hAnsi="Times New Roman" w:cs="Times New Roman"/>
        </w:rPr>
        <w:t xml:space="preserve"> </w:t>
      </w:r>
      <w:r w:rsidRPr="003E43E6">
        <w:rPr>
          <w:rFonts w:ascii="Times New Roman" w:hAnsi="Times New Roman" w:cs="Times New Roman"/>
        </w:rPr>
        <w:t xml:space="preserve">2 below shows the morphological and biochemical characteristics of bacteria isolated from sachet and bottled water samples. </w:t>
      </w:r>
      <w:r w:rsidRPr="003E43E6">
        <w:rPr>
          <w:rFonts w:ascii="Times New Roman" w:hAnsi="Times New Roman" w:cs="Times New Roman"/>
          <w:i/>
        </w:rPr>
        <w:t>Escherichia coli</w:t>
      </w:r>
      <w:r w:rsidRPr="003E43E6">
        <w:rPr>
          <w:rFonts w:ascii="Times New Roman" w:hAnsi="Times New Roman" w:cs="Times New Roman"/>
        </w:rPr>
        <w:t xml:space="preserve"> isolated in sample zone A, C, E, and G tested positive for catalase, indole and gas production</w:t>
      </w:r>
      <w:r w:rsidR="00D70A67">
        <w:rPr>
          <w:rFonts w:ascii="Times New Roman" w:hAnsi="Times New Roman" w:cs="Times New Roman"/>
        </w:rPr>
        <w:t xml:space="preserve"> and were identified </w:t>
      </w:r>
      <w:r w:rsidR="00316AAD">
        <w:rPr>
          <w:rFonts w:ascii="Times New Roman" w:hAnsi="Times New Roman" w:cs="Times New Roman"/>
        </w:rPr>
        <w:t xml:space="preserve">as </w:t>
      </w:r>
      <w:r w:rsidR="00316AAD" w:rsidRPr="003E43E6">
        <w:rPr>
          <w:rFonts w:ascii="Times New Roman" w:hAnsi="Times New Roman" w:cs="Times New Roman"/>
        </w:rPr>
        <w:t>Gram</w:t>
      </w:r>
      <w:r w:rsidRPr="003E43E6">
        <w:rPr>
          <w:rFonts w:ascii="Times New Roman" w:hAnsi="Times New Roman" w:cs="Times New Roman"/>
        </w:rPr>
        <w:t xml:space="preserve">-negative rods, while </w:t>
      </w:r>
      <w:r w:rsidRPr="003E43E6">
        <w:rPr>
          <w:rFonts w:ascii="Times New Roman" w:hAnsi="Times New Roman" w:cs="Times New Roman"/>
          <w:i/>
        </w:rPr>
        <w:t>Staphylococcus aureus</w:t>
      </w:r>
      <w:r w:rsidRPr="003E43E6">
        <w:rPr>
          <w:rFonts w:ascii="Times New Roman" w:hAnsi="Times New Roman" w:cs="Times New Roman"/>
        </w:rPr>
        <w:t xml:space="preserve"> isolated in sample zone C </w:t>
      </w:r>
      <w:r w:rsidR="00F156D6">
        <w:rPr>
          <w:rFonts w:ascii="Times New Roman" w:hAnsi="Times New Roman" w:cs="Times New Roman"/>
        </w:rPr>
        <w:t xml:space="preserve">was </w:t>
      </w:r>
      <w:r w:rsidRPr="003E43E6">
        <w:rPr>
          <w:rFonts w:ascii="Times New Roman" w:hAnsi="Times New Roman" w:cs="Times New Roman"/>
        </w:rPr>
        <w:t>catalase and coagulase positive</w:t>
      </w:r>
      <w:r w:rsidR="00F156D6">
        <w:rPr>
          <w:rFonts w:ascii="Times New Roman" w:hAnsi="Times New Roman" w:cs="Times New Roman"/>
        </w:rPr>
        <w:t xml:space="preserve"> appearing as </w:t>
      </w:r>
      <w:r w:rsidRPr="003E43E6">
        <w:rPr>
          <w:rFonts w:ascii="Times New Roman" w:hAnsi="Times New Roman" w:cs="Times New Roman"/>
        </w:rPr>
        <w:t xml:space="preserve">Gram-positive cocci in clusters. </w:t>
      </w:r>
      <w:r w:rsidRPr="003E43E6">
        <w:rPr>
          <w:rFonts w:ascii="Times New Roman" w:hAnsi="Times New Roman" w:cs="Times New Roman"/>
          <w:i/>
          <w:iCs/>
        </w:rPr>
        <w:t xml:space="preserve">Klebsiella </w:t>
      </w:r>
      <w:proofErr w:type="spellStart"/>
      <w:r w:rsidRPr="003E43E6">
        <w:rPr>
          <w:rFonts w:ascii="Times New Roman" w:hAnsi="Times New Roman" w:cs="Times New Roman"/>
          <w:i/>
          <w:iCs/>
        </w:rPr>
        <w:t>sp</w:t>
      </w:r>
      <w:r w:rsidR="00316AAD">
        <w:rPr>
          <w:rFonts w:ascii="Times New Roman" w:hAnsi="Times New Roman" w:cs="Times New Roman"/>
          <w:i/>
          <w:iCs/>
        </w:rPr>
        <w:t>p</w:t>
      </w:r>
      <w:proofErr w:type="spellEnd"/>
      <w:r w:rsidRPr="003E43E6">
        <w:rPr>
          <w:rFonts w:ascii="Times New Roman" w:hAnsi="Times New Roman" w:cs="Times New Roman"/>
          <w:i/>
          <w:iCs/>
        </w:rPr>
        <w:t xml:space="preserve"> </w:t>
      </w:r>
      <w:r w:rsidRPr="003E43E6">
        <w:rPr>
          <w:rFonts w:ascii="Times New Roman" w:hAnsi="Times New Roman" w:cs="Times New Roman"/>
        </w:rPr>
        <w:t xml:space="preserve">isolated in sample zone G and </w:t>
      </w:r>
      <w:r w:rsidRPr="003E43E6">
        <w:rPr>
          <w:rFonts w:ascii="Times New Roman" w:hAnsi="Times New Roman" w:cs="Times New Roman"/>
          <w:i/>
          <w:iCs/>
        </w:rPr>
        <w:t xml:space="preserve">Enterobacter </w:t>
      </w:r>
      <w:proofErr w:type="spellStart"/>
      <w:r w:rsidRPr="003E43E6">
        <w:rPr>
          <w:rFonts w:ascii="Times New Roman" w:hAnsi="Times New Roman" w:cs="Times New Roman"/>
          <w:i/>
          <w:iCs/>
        </w:rPr>
        <w:t>sp</w:t>
      </w:r>
      <w:r w:rsidR="00316AAD">
        <w:rPr>
          <w:rFonts w:ascii="Times New Roman" w:hAnsi="Times New Roman" w:cs="Times New Roman"/>
          <w:i/>
          <w:iCs/>
        </w:rPr>
        <w:t>p</w:t>
      </w:r>
      <w:proofErr w:type="spellEnd"/>
      <w:r w:rsidRPr="003E43E6">
        <w:rPr>
          <w:rFonts w:ascii="Times New Roman" w:hAnsi="Times New Roman" w:cs="Times New Roman"/>
          <w:i/>
          <w:iCs/>
        </w:rPr>
        <w:t xml:space="preserve"> </w:t>
      </w:r>
      <w:r w:rsidRPr="003E43E6">
        <w:rPr>
          <w:rFonts w:ascii="Times New Roman" w:hAnsi="Times New Roman" w:cs="Times New Roman"/>
        </w:rPr>
        <w:t xml:space="preserve">isolated in sample zone H tested positive for catalase, citrate and gas production. </w:t>
      </w:r>
    </w:p>
    <w:p w14:paraId="2F0E7497" w14:textId="77777777" w:rsidR="00DA061C" w:rsidRPr="003E43E6" w:rsidRDefault="00DA061C" w:rsidP="00835951">
      <w:pPr>
        <w:spacing w:after="0" w:line="240" w:lineRule="auto"/>
        <w:jc w:val="both"/>
        <w:rPr>
          <w:rFonts w:ascii="Times New Roman" w:hAnsi="Times New Roman" w:cs="Times New Roman"/>
        </w:rPr>
      </w:pPr>
    </w:p>
    <w:p w14:paraId="589B9C4C" w14:textId="17359EF3" w:rsidR="00DA061C" w:rsidRPr="00316AAD" w:rsidRDefault="00DA061C" w:rsidP="00835951">
      <w:pPr>
        <w:spacing w:after="0" w:line="240" w:lineRule="auto"/>
        <w:jc w:val="both"/>
        <w:rPr>
          <w:rFonts w:ascii="Times New Roman" w:hAnsi="Times New Roman" w:cs="Times New Roman"/>
          <w:b/>
          <w:bCs/>
        </w:rPr>
      </w:pPr>
      <w:r w:rsidRPr="00316AAD">
        <w:rPr>
          <w:rFonts w:ascii="Times New Roman" w:hAnsi="Times New Roman" w:cs="Times New Roman"/>
          <w:b/>
          <w:bCs/>
        </w:rPr>
        <w:t>Table 2</w:t>
      </w:r>
      <w:r w:rsidR="00FC6E6D" w:rsidRPr="00316AAD">
        <w:rPr>
          <w:rFonts w:ascii="Times New Roman" w:hAnsi="Times New Roman" w:cs="Times New Roman"/>
          <w:b/>
          <w:bCs/>
        </w:rPr>
        <w:t>.</w:t>
      </w:r>
      <w:r w:rsidRPr="00316AAD">
        <w:rPr>
          <w:rFonts w:ascii="Times New Roman" w:hAnsi="Times New Roman" w:cs="Times New Roman"/>
          <w:b/>
          <w:bCs/>
        </w:rPr>
        <w:t xml:space="preserve"> Morphological and </w:t>
      </w:r>
      <w:r w:rsidR="00316AAD">
        <w:rPr>
          <w:rFonts w:ascii="Times New Roman" w:hAnsi="Times New Roman" w:cs="Times New Roman"/>
          <w:b/>
          <w:bCs/>
        </w:rPr>
        <w:t>B</w:t>
      </w:r>
      <w:r w:rsidRPr="00316AAD">
        <w:rPr>
          <w:rFonts w:ascii="Times New Roman" w:hAnsi="Times New Roman" w:cs="Times New Roman"/>
          <w:b/>
          <w:bCs/>
        </w:rPr>
        <w:t xml:space="preserve">iochemical </w:t>
      </w:r>
      <w:r w:rsidR="00316AAD">
        <w:rPr>
          <w:rFonts w:ascii="Times New Roman" w:hAnsi="Times New Roman" w:cs="Times New Roman"/>
          <w:b/>
          <w:bCs/>
        </w:rPr>
        <w:t>I</w:t>
      </w:r>
      <w:r w:rsidRPr="00316AAD">
        <w:rPr>
          <w:rFonts w:ascii="Times New Roman" w:hAnsi="Times New Roman" w:cs="Times New Roman"/>
          <w:b/>
          <w:bCs/>
        </w:rPr>
        <w:t xml:space="preserve">dentification of </w:t>
      </w:r>
      <w:r w:rsidR="00316AAD">
        <w:rPr>
          <w:rFonts w:ascii="Times New Roman" w:hAnsi="Times New Roman" w:cs="Times New Roman"/>
          <w:b/>
          <w:bCs/>
        </w:rPr>
        <w:t>I</w:t>
      </w:r>
      <w:r w:rsidRPr="00316AAD">
        <w:rPr>
          <w:rFonts w:ascii="Times New Roman" w:hAnsi="Times New Roman" w:cs="Times New Roman"/>
          <w:b/>
          <w:bCs/>
        </w:rPr>
        <w:t xml:space="preserve">solated </w:t>
      </w:r>
      <w:r w:rsidR="00316AAD">
        <w:rPr>
          <w:rFonts w:ascii="Times New Roman" w:hAnsi="Times New Roman" w:cs="Times New Roman"/>
          <w:b/>
          <w:bCs/>
        </w:rPr>
        <w:t>B</w:t>
      </w:r>
      <w:r w:rsidRPr="00316AAD">
        <w:rPr>
          <w:rFonts w:ascii="Times New Roman" w:hAnsi="Times New Roman" w:cs="Times New Roman"/>
          <w:b/>
          <w:bCs/>
        </w:rPr>
        <w:t>acteria</w:t>
      </w:r>
    </w:p>
    <w:tbl>
      <w:tblPr>
        <w:tblStyle w:val="TableGrid"/>
        <w:tblW w:w="1052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
        <w:gridCol w:w="939"/>
        <w:gridCol w:w="1358"/>
        <w:gridCol w:w="1074"/>
        <w:gridCol w:w="895"/>
        <w:gridCol w:w="799"/>
        <w:gridCol w:w="1358"/>
        <w:gridCol w:w="799"/>
        <w:gridCol w:w="918"/>
        <w:gridCol w:w="1563"/>
      </w:tblGrid>
      <w:tr w:rsidR="003E43E6" w:rsidRPr="003E43E6" w14:paraId="1D38D2E0" w14:textId="77777777" w:rsidTr="00510C82">
        <w:trPr>
          <w:trHeight w:val="1546"/>
        </w:trPr>
        <w:tc>
          <w:tcPr>
            <w:tcW w:w="933" w:type="dxa"/>
            <w:tcBorders>
              <w:top w:val="single" w:sz="4" w:space="0" w:color="auto"/>
              <w:bottom w:val="single" w:sz="4" w:space="0" w:color="auto"/>
            </w:tcBorders>
            <w:textDirection w:val="btLr"/>
          </w:tcPr>
          <w:p w14:paraId="64C7E879" w14:textId="77777777" w:rsidR="00DA061C" w:rsidRPr="003E43E6" w:rsidRDefault="00DA061C" w:rsidP="00835951">
            <w:pPr>
              <w:ind w:left="113" w:right="113"/>
              <w:jc w:val="center"/>
              <w:rPr>
                <w:rFonts w:ascii="Times New Roman" w:hAnsi="Times New Roman" w:cs="Times New Roman"/>
                <w:b/>
                <w:bCs/>
              </w:rPr>
            </w:pPr>
            <w:r w:rsidRPr="003E43E6">
              <w:rPr>
                <w:rFonts w:ascii="Times New Roman" w:hAnsi="Times New Roman" w:cs="Times New Roman"/>
                <w:b/>
              </w:rPr>
              <w:t>Sample Zones</w:t>
            </w:r>
          </w:p>
          <w:p w14:paraId="642E5421" w14:textId="77777777" w:rsidR="00DA061C" w:rsidRPr="003E43E6" w:rsidRDefault="00DA061C" w:rsidP="00835951">
            <w:pPr>
              <w:ind w:left="113" w:right="113"/>
              <w:jc w:val="center"/>
              <w:rPr>
                <w:rFonts w:ascii="Times New Roman" w:hAnsi="Times New Roman" w:cs="Times New Roman"/>
                <w:b/>
                <w:bCs/>
              </w:rPr>
            </w:pPr>
          </w:p>
        </w:tc>
        <w:tc>
          <w:tcPr>
            <w:tcW w:w="945" w:type="dxa"/>
            <w:tcBorders>
              <w:top w:val="single" w:sz="4" w:space="0" w:color="auto"/>
              <w:bottom w:val="single" w:sz="4" w:space="0" w:color="auto"/>
            </w:tcBorders>
            <w:textDirection w:val="btLr"/>
          </w:tcPr>
          <w:p w14:paraId="605E5E96" w14:textId="77777777" w:rsidR="00DA061C" w:rsidRPr="003E43E6" w:rsidRDefault="00DA061C" w:rsidP="00835951">
            <w:pPr>
              <w:ind w:left="113" w:right="113"/>
              <w:jc w:val="center"/>
              <w:rPr>
                <w:rFonts w:ascii="Times New Roman" w:hAnsi="Times New Roman" w:cs="Times New Roman"/>
                <w:b/>
                <w:bCs/>
              </w:rPr>
            </w:pPr>
            <w:r w:rsidRPr="003E43E6">
              <w:rPr>
                <w:rFonts w:ascii="Times New Roman" w:hAnsi="Times New Roman" w:cs="Times New Roman"/>
                <w:b/>
              </w:rPr>
              <w:t>Water Sample</w:t>
            </w:r>
          </w:p>
          <w:p w14:paraId="1F5F9036" w14:textId="77777777" w:rsidR="00DA061C" w:rsidRPr="003E43E6" w:rsidRDefault="00DA061C" w:rsidP="00835951">
            <w:pPr>
              <w:ind w:left="113" w:right="113"/>
              <w:jc w:val="center"/>
              <w:rPr>
                <w:rFonts w:ascii="Times New Roman" w:hAnsi="Times New Roman" w:cs="Times New Roman"/>
                <w:b/>
                <w:bCs/>
              </w:rPr>
            </w:pPr>
          </w:p>
          <w:p w14:paraId="302C3ACA" w14:textId="77777777" w:rsidR="00DA061C" w:rsidRPr="003E43E6" w:rsidRDefault="00DA061C" w:rsidP="00835951">
            <w:pPr>
              <w:ind w:left="113" w:right="113"/>
              <w:jc w:val="center"/>
              <w:rPr>
                <w:rFonts w:ascii="Times New Roman" w:hAnsi="Times New Roman" w:cs="Times New Roman"/>
                <w:b/>
                <w:bCs/>
              </w:rPr>
            </w:pPr>
          </w:p>
        </w:tc>
        <w:tc>
          <w:tcPr>
            <w:tcW w:w="1262" w:type="dxa"/>
            <w:tcBorders>
              <w:top w:val="single" w:sz="4" w:space="0" w:color="auto"/>
              <w:bottom w:val="single" w:sz="4" w:space="0" w:color="auto"/>
            </w:tcBorders>
            <w:textDirection w:val="btLr"/>
          </w:tcPr>
          <w:p w14:paraId="2BD822B0" w14:textId="77777777" w:rsidR="00DA061C" w:rsidRPr="003E43E6" w:rsidRDefault="00DA061C" w:rsidP="00835951">
            <w:pPr>
              <w:ind w:left="113" w:right="113"/>
              <w:jc w:val="center"/>
              <w:rPr>
                <w:rFonts w:ascii="Times New Roman" w:hAnsi="Times New Roman" w:cs="Times New Roman"/>
                <w:b/>
                <w:bCs/>
              </w:rPr>
            </w:pPr>
          </w:p>
          <w:p w14:paraId="1DB78278" w14:textId="77777777" w:rsidR="00DA061C" w:rsidRPr="003E43E6" w:rsidRDefault="00DA061C" w:rsidP="00835951">
            <w:pPr>
              <w:ind w:left="113" w:right="113"/>
              <w:jc w:val="center"/>
              <w:rPr>
                <w:rFonts w:ascii="Times New Roman" w:hAnsi="Times New Roman" w:cs="Times New Roman"/>
                <w:b/>
              </w:rPr>
            </w:pPr>
            <w:r w:rsidRPr="003E43E6">
              <w:rPr>
                <w:rFonts w:ascii="Times New Roman" w:hAnsi="Times New Roman" w:cs="Times New Roman"/>
                <w:b/>
              </w:rPr>
              <w:t>Catalase</w:t>
            </w:r>
          </w:p>
          <w:p w14:paraId="241508D7" w14:textId="77777777" w:rsidR="00DA061C" w:rsidRPr="003E43E6" w:rsidRDefault="00DA061C" w:rsidP="00835951">
            <w:pPr>
              <w:ind w:left="113" w:right="113"/>
              <w:jc w:val="center"/>
              <w:rPr>
                <w:rFonts w:ascii="Times New Roman" w:hAnsi="Times New Roman" w:cs="Times New Roman"/>
                <w:b/>
                <w:bCs/>
              </w:rPr>
            </w:pPr>
          </w:p>
          <w:p w14:paraId="5600F260" w14:textId="77777777" w:rsidR="00DA061C" w:rsidRPr="003E43E6" w:rsidRDefault="00DA061C" w:rsidP="00835951">
            <w:pPr>
              <w:ind w:left="113" w:right="113"/>
              <w:jc w:val="center"/>
              <w:rPr>
                <w:rFonts w:ascii="Times New Roman" w:hAnsi="Times New Roman" w:cs="Times New Roman"/>
                <w:b/>
                <w:bCs/>
              </w:rPr>
            </w:pPr>
          </w:p>
          <w:p w14:paraId="7D5F37A5" w14:textId="77777777" w:rsidR="00DA061C" w:rsidRPr="003E43E6" w:rsidRDefault="00DA061C" w:rsidP="00835951">
            <w:pPr>
              <w:ind w:left="113" w:right="113"/>
              <w:jc w:val="center"/>
              <w:rPr>
                <w:rFonts w:ascii="Times New Roman" w:hAnsi="Times New Roman" w:cs="Times New Roman"/>
                <w:b/>
                <w:bCs/>
              </w:rPr>
            </w:pPr>
          </w:p>
        </w:tc>
        <w:tc>
          <w:tcPr>
            <w:tcW w:w="1002" w:type="dxa"/>
            <w:tcBorders>
              <w:top w:val="single" w:sz="4" w:space="0" w:color="auto"/>
              <w:bottom w:val="single" w:sz="4" w:space="0" w:color="auto"/>
            </w:tcBorders>
            <w:textDirection w:val="btLr"/>
          </w:tcPr>
          <w:p w14:paraId="48E6AEED" w14:textId="77777777" w:rsidR="00DA061C" w:rsidRPr="003E43E6" w:rsidRDefault="00DA061C" w:rsidP="00835951">
            <w:pPr>
              <w:ind w:left="113" w:right="113"/>
              <w:jc w:val="center"/>
              <w:rPr>
                <w:rFonts w:ascii="Times New Roman" w:hAnsi="Times New Roman" w:cs="Times New Roman"/>
                <w:b/>
                <w:bCs/>
              </w:rPr>
            </w:pPr>
            <w:r w:rsidRPr="003E43E6">
              <w:rPr>
                <w:rFonts w:ascii="Times New Roman" w:hAnsi="Times New Roman" w:cs="Times New Roman"/>
                <w:b/>
              </w:rPr>
              <w:t>Coagulase</w:t>
            </w:r>
          </w:p>
          <w:p w14:paraId="54D188D9" w14:textId="77777777" w:rsidR="00DA061C" w:rsidRPr="003E43E6" w:rsidRDefault="00DA061C" w:rsidP="00835951">
            <w:pPr>
              <w:ind w:left="113" w:right="113"/>
              <w:jc w:val="center"/>
              <w:rPr>
                <w:rFonts w:ascii="Times New Roman" w:hAnsi="Times New Roman" w:cs="Times New Roman"/>
                <w:b/>
                <w:bCs/>
              </w:rPr>
            </w:pPr>
          </w:p>
          <w:p w14:paraId="057BC301" w14:textId="77777777" w:rsidR="00DA061C" w:rsidRPr="003E43E6" w:rsidRDefault="00DA061C" w:rsidP="00835951">
            <w:pPr>
              <w:ind w:left="113" w:right="113"/>
              <w:jc w:val="center"/>
              <w:rPr>
                <w:rFonts w:ascii="Times New Roman" w:hAnsi="Times New Roman" w:cs="Times New Roman"/>
                <w:b/>
                <w:bCs/>
              </w:rPr>
            </w:pPr>
          </w:p>
          <w:p w14:paraId="77F4AC7D" w14:textId="77777777" w:rsidR="00DA061C" w:rsidRPr="003E43E6" w:rsidRDefault="00DA061C" w:rsidP="00835951">
            <w:pPr>
              <w:ind w:left="113" w:right="113"/>
              <w:jc w:val="center"/>
              <w:rPr>
                <w:rFonts w:ascii="Times New Roman" w:hAnsi="Times New Roman" w:cs="Times New Roman"/>
                <w:b/>
                <w:bCs/>
              </w:rPr>
            </w:pPr>
          </w:p>
        </w:tc>
        <w:tc>
          <w:tcPr>
            <w:tcW w:w="932" w:type="dxa"/>
            <w:tcBorders>
              <w:top w:val="single" w:sz="4" w:space="0" w:color="auto"/>
              <w:bottom w:val="single" w:sz="4" w:space="0" w:color="auto"/>
            </w:tcBorders>
            <w:textDirection w:val="btLr"/>
          </w:tcPr>
          <w:p w14:paraId="008A4148" w14:textId="77777777" w:rsidR="00DA061C" w:rsidRPr="003E43E6" w:rsidRDefault="00DA061C" w:rsidP="00835951">
            <w:pPr>
              <w:ind w:left="113" w:right="113"/>
              <w:jc w:val="center"/>
              <w:rPr>
                <w:rFonts w:ascii="Times New Roman" w:hAnsi="Times New Roman" w:cs="Times New Roman"/>
                <w:b/>
              </w:rPr>
            </w:pPr>
            <w:r w:rsidRPr="003E43E6">
              <w:rPr>
                <w:rFonts w:ascii="Times New Roman" w:hAnsi="Times New Roman" w:cs="Times New Roman"/>
                <w:b/>
              </w:rPr>
              <w:t>Indole</w:t>
            </w:r>
          </w:p>
          <w:p w14:paraId="52F72306" w14:textId="77777777" w:rsidR="00DA061C" w:rsidRPr="003E43E6" w:rsidRDefault="00DA061C" w:rsidP="00835951">
            <w:pPr>
              <w:ind w:left="113" w:right="113"/>
              <w:jc w:val="center"/>
              <w:rPr>
                <w:rFonts w:ascii="Times New Roman" w:hAnsi="Times New Roman" w:cs="Times New Roman"/>
                <w:b/>
                <w:bCs/>
              </w:rPr>
            </w:pPr>
          </w:p>
          <w:p w14:paraId="6E077C0A" w14:textId="77777777" w:rsidR="00DA061C" w:rsidRPr="003E43E6" w:rsidRDefault="00DA061C" w:rsidP="00835951">
            <w:pPr>
              <w:ind w:left="113" w:right="113"/>
              <w:jc w:val="center"/>
              <w:rPr>
                <w:rFonts w:ascii="Times New Roman" w:hAnsi="Times New Roman" w:cs="Times New Roman"/>
                <w:b/>
                <w:bCs/>
              </w:rPr>
            </w:pPr>
          </w:p>
        </w:tc>
        <w:tc>
          <w:tcPr>
            <w:tcW w:w="901" w:type="dxa"/>
            <w:tcBorders>
              <w:top w:val="single" w:sz="4" w:space="0" w:color="auto"/>
              <w:bottom w:val="single" w:sz="4" w:space="0" w:color="auto"/>
            </w:tcBorders>
            <w:textDirection w:val="btLr"/>
          </w:tcPr>
          <w:p w14:paraId="302E6F4A" w14:textId="77777777" w:rsidR="00DA061C" w:rsidRPr="003E43E6" w:rsidRDefault="00DA061C" w:rsidP="00835951">
            <w:pPr>
              <w:ind w:left="113" w:right="113"/>
              <w:jc w:val="center"/>
              <w:rPr>
                <w:rFonts w:ascii="Times New Roman" w:hAnsi="Times New Roman" w:cs="Times New Roman"/>
                <w:b/>
                <w:bCs/>
              </w:rPr>
            </w:pPr>
            <w:r w:rsidRPr="003E43E6">
              <w:rPr>
                <w:rFonts w:ascii="Times New Roman" w:hAnsi="Times New Roman" w:cs="Times New Roman"/>
                <w:b/>
              </w:rPr>
              <w:t>Citrate</w:t>
            </w:r>
          </w:p>
          <w:p w14:paraId="007033D7" w14:textId="77777777" w:rsidR="00DA061C" w:rsidRPr="003E43E6" w:rsidRDefault="00DA061C" w:rsidP="00835951">
            <w:pPr>
              <w:ind w:left="113" w:right="113"/>
              <w:jc w:val="center"/>
              <w:rPr>
                <w:rFonts w:ascii="Times New Roman" w:hAnsi="Times New Roman" w:cs="Times New Roman"/>
                <w:b/>
                <w:bCs/>
              </w:rPr>
            </w:pPr>
          </w:p>
        </w:tc>
        <w:tc>
          <w:tcPr>
            <w:tcW w:w="1262" w:type="dxa"/>
            <w:tcBorders>
              <w:top w:val="single" w:sz="4" w:space="0" w:color="auto"/>
              <w:bottom w:val="single" w:sz="4" w:space="0" w:color="auto"/>
            </w:tcBorders>
            <w:textDirection w:val="btLr"/>
          </w:tcPr>
          <w:p w14:paraId="6B817D4B" w14:textId="77777777" w:rsidR="00DA061C" w:rsidRPr="003E43E6" w:rsidRDefault="00DA061C" w:rsidP="00835951">
            <w:pPr>
              <w:ind w:left="113" w:right="113"/>
              <w:jc w:val="center"/>
              <w:rPr>
                <w:rFonts w:ascii="Times New Roman" w:hAnsi="Times New Roman" w:cs="Times New Roman"/>
                <w:b/>
              </w:rPr>
            </w:pPr>
            <w:r w:rsidRPr="003E43E6">
              <w:rPr>
                <w:rFonts w:ascii="Times New Roman" w:hAnsi="Times New Roman" w:cs="Times New Roman"/>
                <w:b/>
              </w:rPr>
              <w:t>Gas</w:t>
            </w:r>
          </w:p>
          <w:p w14:paraId="61B09D4E" w14:textId="77777777" w:rsidR="00DA061C" w:rsidRPr="003E43E6" w:rsidRDefault="00DA061C" w:rsidP="00835951">
            <w:pPr>
              <w:ind w:left="113" w:right="113"/>
              <w:jc w:val="center"/>
              <w:rPr>
                <w:rFonts w:ascii="Times New Roman" w:hAnsi="Times New Roman" w:cs="Times New Roman"/>
                <w:b/>
                <w:bCs/>
              </w:rPr>
            </w:pPr>
          </w:p>
          <w:p w14:paraId="4F8FB6D7" w14:textId="77777777" w:rsidR="00DA061C" w:rsidRPr="003E43E6" w:rsidRDefault="00DA061C" w:rsidP="00835951">
            <w:pPr>
              <w:ind w:left="113" w:right="113"/>
              <w:jc w:val="center"/>
              <w:rPr>
                <w:rFonts w:ascii="Times New Roman" w:hAnsi="Times New Roman" w:cs="Times New Roman"/>
                <w:b/>
                <w:bCs/>
              </w:rPr>
            </w:pPr>
          </w:p>
          <w:p w14:paraId="57663976" w14:textId="77777777" w:rsidR="00DA061C" w:rsidRPr="003E43E6" w:rsidRDefault="00DA061C" w:rsidP="00835951">
            <w:pPr>
              <w:ind w:left="113" w:right="113"/>
              <w:jc w:val="center"/>
              <w:rPr>
                <w:rFonts w:ascii="Times New Roman" w:hAnsi="Times New Roman" w:cs="Times New Roman"/>
                <w:b/>
                <w:bCs/>
              </w:rPr>
            </w:pPr>
          </w:p>
          <w:p w14:paraId="07B7382A" w14:textId="77777777" w:rsidR="00DA061C" w:rsidRPr="003E43E6" w:rsidRDefault="00DA061C" w:rsidP="00835951">
            <w:pPr>
              <w:ind w:left="113" w:right="113"/>
              <w:jc w:val="center"/>
              <w:rPr>
                <w:rFonts w:ascii="Times New Roman" w:hAnsi="Times New Roman" w:cs="Times New Roman"/>
                <w:b/>
                <w:bCs/>
              </w:rPr>
            </w:pPr>
          </w:p>
        </w:tc>
        <w:tc>
          <w:tcPr>
            <w:tcW w:w="901" w:type="dxa"/>
            <w:tcBorders>
              <w:top w:val="single" w:sz="4" w:space="0" w:color="auto"/>
              <w:bottom w:val="single" w:sz="4" w:space="0" w:color="auto"/>
            </w:tcBorders>
            <w:textDirection w:val="btLr"/>
          </w:tcPr>
          <w:p w14:paraId="1AF26400" w14:textId="77777777" w:rsidR="00DA061C" w:rsidRPr="003E43E6" w:rsidRDefault="00DA061C" w:rsidP="00835951">
            <w:pPr>
              <w:ind w:left="113" w:right="113"/>
              <w:jc w:val="center"/>
              <w:rPr>
                <w:rFonts w:ascii="Times New Roman" w:hAnsi="Times New Roman" w:cs="Times New Roman"/>
                <w:b/>
                <w:bCs/>
              </w:rPr>
            </w:pPr>
            <w:r w:rsidRPr="003E43E6">
              <w:rPr>
                <w:rFonts w:ascii="Times New Roman" w:hAnsi="Times New Roman" w:cs="Times New Roman"/>
                <w:b/>
              </w:rPr>
              <w:t>Gram</w:t>
            </w:r>
          </w:p>
          <w:p w14:paraId="5FF30514" w14:textId="77777777" w:rsidR="00DA061C" w:rsidRPr="003E43E6" w:rsidRDefault="00DA061C" w:rsidP="00835951">
            <w:pPr>
              <w:ind w:left="113" w:right="113"/>
              <w:jc w:val="center"/>
              <w:rPr>
                <w:rFonts w:ascii="Times New Roman" w:hAnsi="Times New Roman" w:cs="Times New Roman"/>
                <w:b/>
                <w:bCs/>
              </w:rPr>
            </w:pPr>
          </w:p>
        </w:tc>
        <w:tc>
          <w:tcPr>
            <w:tcW w:w="939" w:type="dxa"/>
            <w:tcBorders>
              <w:top w:val="single" w:sz="4" w:space="0" w:color="auto"/>
              <w:bottom w:val="single" w:sz="4" w:space="0" w:color="auto"/>
            </w:tcBorders>
            <w:textDirection w:val="btLr"/>
          </w:tcPr>
          <w:p w14:paraId="0916A922" w14:textId="77777777" w:rsidR="00DA061C" w:rsidRPr="003E43E6" w:rsidRDefault="00DA061C" w:rsidP="00835951">
            <w:pPr>
              <w:ind w:left="113" w:right="113"/>
              <w:jc w:val="center"/>
              <w:rPr>
                <w:rFonts w:ascii="Times New Roman" w:hAnsi="Times New Roman" w:cs="Times New Roman"/>
                <w:b/>
                <w:bCs/>
              </w:rPr>
            </w:pPr>
            <w:r w:rsidRPr="003E43E6">
              <w:rPr>
                <w:rFonts w:ascii="Times New Roman" w:hAnsi="Times New Roman" w:cs="Times New Roman"/>
                <w:b/>
              </w:rPr>
              <w:t>Morphology</w:t>
            </w:r>
          </w:p>
        </w:tc>
        <w:tc>
          <w:tcPr>
            <w:tcW w:w="1450" w:type="dxa"/>
            <w:tcBorders>
              <w:top w:val="single" w:sz="4" w:space="0" w:color="auto"/>
              <w:bottom w:val="single" w:sz="4" w:space="0" w:color="auto"/>
            </w:tcBorders>
          </w:tcPr>
          <w:p w14:paraId="45634129" w14:textId="77777777" w:rsidR="00DA061C" w:rsidRPr="003E43E6" w:rsidRDefault="00DA061C" w:rsidP="00835951">
            <w:pPr>
              <w:jc w:val="center"/>
              <w:rPr>
                <w:rFonts w:ascii="Times New Roman" w:hAnsi="Times New Roman" w:cs="Times New Roman"/>
                <w:b/>
                <w:bCs/>
              </w:rPr>
            </w:pPr>
          </w:p>
          <w:p w14:paraId="0BC7AA7F" w14:textId="77777777" w:rsidR="00DA061C" w:rsidRPr="003E43E6" w:rsidRDefault="00DA061C" w:rsidP="00835951">
            <w:pPr>
              <w:jc w:val="center"/>
              <w:rPr>
                <w:rFonts w:ascii="Times New Roman" w:hAnsi="Times New Roman" w:cs="Times New Roman"/>
                <w:b/>
                <w:bCs/>
              </w:rPr>
            </w:pPr>
          </w:p>
          <w:p w14:paraId="05E4937F" w14:textId="77777777" w:rsidR="00DA061C" w:rsidRPr="003E43E6" w:rsidRDefault="00DA061C" w:rsidP="00835951">
            <w:pPr>
              <w:jc w:val="center"/>
              <w:rPr>
                <w:rFonts w:ascii="Times New Roman" w:hAnsi="Times New Roman" w:cs="Times New Roman"/>
                <w:b/>
                <w:bCs/>
              </w:rPr>
            </w:pPr>
          </w:p>
          <w:p w14:paraId="2CFB1BF2" w14:textId="77777777" w:rsidR="00DA061C" w:rsidRPr="003E43E6" w:rsidRDefault="00DA061C" w:rsidP="00835951">
            <w:pPr>
              <w:jc w:val="center"/>
              <w:rPr>
                <w:rFonts w:ascii="Times New Roman" w:hAnsi="Times New Roman" w:cs="Times New Roman"/>
                <w:b/>
                <w:bCs/>
              </w:rPr>
            </w:pPr>
          </w:p>
          <w:p w14:paraId="386BDE38" w14:textId="77777777" w:rsidR="00DA061C" w:rsidRPr="003E43E6" w:rsidRDefault="00DA061C" w:rsidP="00835951">
            <w:pPr>
              <w:jc w:val="center"/>
              <w:rPr>
                <w:rFonts w:ascii="Times New Roman" w:hAnsi="Times New Roman" w:cs="Times New Roman"/>
                <w:b/>
              </w:rPr>
            </w:pPr>
            <w:r w:rsidRPr="003E43E6">
              <w:rPr>
                <w:rFonts w:ascii="Times New Roman" w:hAnsi="Times New Roman" w:cs="Times New Roman"/>
                <w:b/>
              </w:rPr>
              <w:t>Bacteria Isolated</w:t>
            </w:r>
          </w:p>
        </w:tc>
      </w:tr>
      <w:tr w:rsidR="003E43E6" w:rsidRPr="003E43E6" w14:paraId="452FE7C7" w14:textId="77777777" w:rsidTr="00510C82">
        <w:tc>
          <w:tcPr>
            <w:tcW w:w="933" w:type="dxa"/>
            <w:tcBorders>
              <w:top w:val="single" w:sz="4" w:space="0" w:color="auto"/>
            </w:tcBorders>
          </w:tcPr>
          <w:p w14:paraId="27FEAE9F" w14:textId="77777777" w:rsidR="00DA061C" w:rsidRPr="003E43E6" w:rsidRDefault="00DA061C" w:rsidP="00835951">
            <w:pPr>
              <w:jc w:val="both"/>
              <w:rPr>
                <w:rFonts w:ascii="Times New Roman" w:hAnsi="Times New Roman" w:cs="Times New Roman"/>
              </w:rPr>
            </w:pPr>
            <w:r w:rsidRPr="003E43E6">
              <w:rPr>
                <w:rFonts w:ascii="Times New Roman" w:hAnsi="Times New Roman" w:cs="Times New Roman"/>
              </w:rPr>
              <w:t>A</w:t>
            </w:r>
          </w:p>
        </w:tc>
        <w:tc>
          <w:tcPr>
            <w:tcW w:w="945" w:type="dxa"/>
            <w:tcBorders>
              <w:top w:val="single" w:sz="4" w:space="0" w:color="auto"/>
            </w:tcBorders>
          </w:tcPr>
          <w:p w14:paraId="707DDC08"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Sachet</w:t>
            </w:r>
          </w:p>
        </w:tc>
        <w:tc>
          <w:tcPr>
            <w:tcW w:w="1262" w:type="dxa"/>
            <w:tcBorders>
              <w:top w:val="single" w:sz="4" w:space="0" w:color="auto"/>
            </w:tcBorders>
          </w:tcPr>
          <w:p w14:paraId="276F09AE"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 xml:space="preserve">   +</w:t>
            </w:r>
          </w:p>
        </w:tc>
        <w:tc>
          <w:tcPr>
            <w:tcW w:w="1002" w:type="dxa"/>
            <w:tcBorders>
              <w:top w:val="single" w:sz="4" w:space="0" w:color="auto"/>
            </w:tcBorders>
          </w:tcPr>
          <w:p w14:paraId="69D32BE7"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2" w:type="dxa"/>
            <w:tcBorders>
              <w:top w:val="single" w:sz="4" w:space="0" w:color="auto"/>
            </w:tcBorders>
          </w:tcPr>
          <w:p w14:paraId="654838FF"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Borders>
              <w:top w:val="single" w:sz="4" w:space="0" w:color="auto"/>
            </w:tcBorders>
          </w:tcPr>
          <w:p w14:paraId="1EBF870D"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1262" w:type="dxa"/>
            <w:tcBorders>
              <w:top w:val="single" w:sz="4" w:space="0" w:color="auto"/>
            </w:tcBorders>
          </w:tcPr>
          <w:p w14:paraId="34ACAD3A"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Borders>
              <w:top w:val="single" w:sz="4" w:space="0" w:color="auto"/>
            </w:tcBorders>
          </w:tcPr>
          <w:p w14:paraId="5F7E6A0D"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9" w:type="dxa"/>
            <w:tcBorders>
              <w:top w:val="single" w:sz="4" w:space="0" w:color="auto"/>
            </w:tcBorders>
          </w:tcPr>
          <w:p w14:paraId="0FB768B7"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Rod</w:t>
            </w:r>
          </w:p>
        </w:tc>
        <w:tc>
          <w:tcPr>
            <w:tcW w:w="1450" w:type="dxa"/>
            <w:tcBorders>
              <w:top w:val="single" w:sz="4" w:space="0" w:color="auto"/>
            </w:tcBorders>
          </w:tcPr>
          <w:p w14:paraId="0A38EEDA" w14:textId="77777777" w:rsidR="00DA061C" w:rsidRPr="003E43E6" w:rsidRDefault="00DA061C" w:rsidP="00835951">
            <w:pPr>
              <w:jc w:val="center"/>
              <w:rPr>
                <w:rFonts w:ascii="Times New Roman" w:hAnsi="Times New Roman" w:cs="Times New Roman"/>
                <w:i/>
                <w:iCs/>
              </w:rPr>
            </w:pPr>
            <w:r w:rsidRPr="003E43E6">
              <w:rPr>
                <w:rFonts w:ascii="Times New Roman" w:hAnsi="Times New Roman" w:cs="Times New Roman"/>
                <w:i/>
                <w:iCs/>
              </w:rPr>
              <w:t>Escherichia coli</w:t>
            </w:r>
          </w:p>
        </w:tc>
      </w:tr>
      <w:tr w:rsidR="003E43E6" w:rsidRPr="003E43E6" w14:paraId="5B95759C" w14:textId="77777777" w:rsidTr="00510C82">
        <w:tc>
          <w:tcPr>
            <w:tcW w:w="933" w:type="dxa"/>
          </w:tcPr>
          <w:p w14:paraId="59DB9B2D" w14:textId="77777777" w:rsidR="00DA061C" w:rsidRPr="003E43E6" w:rsidRDefault="00DA061C" w:rsidP="00835951">
            <w:pPr>
              <w:jc w:val="both"/>
              <w:rPr>
                <w:rFonts w:ascii="Times New Roman" w:hAnsi="Times New Roman" w:cs="Times New Roman"/>
              </w:rPr>
            </w:pPr>
            <w:r w:rsidRPr="003E43E6">
              <w:rPr>
                <w:rFonts w:ascii="Times New Roman" w:hAnsi="Times New Roman" w:cs="Times New Roman"/>
              </w:rPr>
              <w:t>C</w:t>
            </w:r>
          </w:p>
        </w:tc>
        <w:tc>
          <w:tcPr>
            <w:tcW w:w="945" w:type="dxa"/>
          </w:tcPr>
          <w:p w14:paraId="58DCFE0A"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Sachet</w:t>
            </w:r>
          </w:p>
        </w:tc>
        <w:tc>
          <w:tcPr>
            <w:tcW w:w="1262" w:type="dxa"/>
          </w:tcPr>
          <w:p w14:paraId="310AA6AB"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 xml:space="preserve">  +</w:t>
            </w:r>
          </w:p>
        </w:tc>
        <w:tc>
          <w:tcPr>
            <w:tcW w:w="1002" w:type="dxa"/>
          </w:tcPr>
          <w:p w14:paraId="00A8AA38"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2" w:type="dxa"/>
          </w:tcPr>
          <w:p w14:paraId="6196CD61"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7151F46D"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1262" w:type="dxa"/>
          </w:tcPr>
          <w:p w14:paraId="701AFE5E"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569D5741"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9" w:type="dxa"/>
          </w:tcPr>
          <w:p w14:paraId="6D29433C"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Cocci in cluster</w:t>
            </w:r>
          </w:p>
        </w:tc>
        <w:tc>
          <w:tcPr>
            <w:tcW w:w="1450" w:type="dxa"/>
          </w:tcPr>
          <w:p w14:paraId="630540D7" w14:textId="77777777" w:rsidR="00DA061C" w:rsidRPr="003E43E6" w:rsidRDefault="00DA061C" w:rsidP="00835951">
            <w:pPr>
              <w:jc w:val="center"/>
              <w:rPr>
                <w:rFonts w:ascii="Times New Roman" w:hAnsi="Times New Roman" w:cs="Times New Roman"/>
                <w:i/>
                <w:iCs/>
              </w:rPr>
            </w:pPr>
            <w:r w:rsidRPr="003E43E6">
              <w:rPr>
                <w:rFonts w:ascii="Times New Roman" w:hAnsi="Times New Roman" w:cs="Times New Roman"/>
                <w:i/>
                <w:iCs/>
              </w:rPr>
              <w:t>Staphylococci aureus</w:t>
            </w:r>
          </w:p>
        </w:tc>
      </w:tr>
      <w:tr w:rsidR="003E43E6" w:rsidRPr="003E43E6" w14:paraId="0E43B45A" w14:textId="77777777" w:rsidTr="00510C82">
        <w:tc>
          <w:tcPr>
            <w:tcW w:w="933" w:type="dxa"/>
          </w:tcPr>
          <w:p w14:paraId="0FCDC508" w14:textId="77777777" w:rsidR="00DA061C" w:rsidRPr="003E43E6" w:rsidRDefault="00DA061C" w:rsidP="00835951">
            <w:pPr>
              <w:jc w:val="both"/>
              <w:rPr>
                <w:rFonts w:ascii="Times New Roman" w:hAnsi="Times New Roman" w:cs="Times New Roman"/>
              </w:rPr>
            </w:pPr>
          </w:p>
        </w:tc>
        <w:tc>
          <w:tcPr>
            <w:tcW w:w="945" w:type="dxa"/>
          </w:tcPr>
          <w:p w14:paraId="640C71D6"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Bottled</w:t>
            </w:r>
          </w:p>
        </w:tc>
        <w:tc>
          <w:tcPr>
            <w:tcW w:w="1262" w:type="dxa"/>
          </w:tcPr>
          <w:p w14:paraId="4C7805D8"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 xml:space="preserve">  +</w:t>
            </w:r>
          </w:p>
        </w:tc>
        <w:tc>
          <w:tcPr>
            <w:tcW w:w="1002" w:type="dxa"/>
          </w:tcPr>
          <w:p w14:paraId="338506E9"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2" w:type="dxa"/>
          </w:tcPr>
          <w:p w14:paraId="1166F183"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354BF267"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1262" w:type="dxa"/>
          </w:tcPr>
          <w:p w14:paraId="3D9F1BA8"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1BF4C563"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9" w:type="dxa"/>
          </w:tcPr>
          <w:p w14:paraId="18453A23"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Rod</w:t>
            </w:r>
          </w:p>
        </w:tc>
        <w:tc>
          <w:tcPr>
            <w:tcW w:w="1450" w:type="dxa"/>
          </w:tcPr>
          <w:p w14:paraId="32D41C05" w14:textId="77777777" w:rsidR="00DA061C" w:rsidRPr="003E43E6" w:rsidRDefault="00DA061C" w:rsidP="00835951">
            <w:pPr>
              <w:jc w:val="center"/>
              <w:rPr>
                <w:rFonts w:ascii="Times New Roman" w:hAnsi="Times New Roman" w:cs="Times New Roman"/>
                <w:i/>
                <w:iCs/>
              </w:rPr>
            </w:pPr>
            <w:r w:rsidRPr="003E43E6">
              <w:rPr>
                <w:rFonts w:ascii="Times New Roman" w:hAnsi="Times New Roman" w:cs="Times New Roman"/>
                <w:i/>
                <w:iCs/>
              </w:rPr>
              <w:t xml:space="preserve">Escherichia coli </w:t>
            </w:r>
          </w:p>
        </w:tc>
      </w:tr>
      <w:tr w:rsidR="003E43E6" w:rsidRPr="003E43E6" w14:paraId="5043D47B" w14:textId="77777777" w:rsidTr="00510C82">
        <w:tc>
          <w:tcPr>
            <w:tcW w:w="933" w:type="dxa"/>
          </w:tcPr>
          <w:p w14:paraId="566A8D94" w14:textId="77777777" w:rsidR="00DA061C" w:rsidRPr="003E43E6" w:rsidRDefault="00DA061C" w:rsidP="00835951">
            <w:pPr>
              <w:jc w:val="both"/>
              <w:rPr>
                <w:rFonts w:ascii="Times New Roman" w:hAnsi="Times New Roman" w:cs="Times New Roman"/>
              </w:rPr>
            </w:pPr>
            <w:r w:rsidRPr="003E43E6">
              <w:rPr>
                <w:rFonts w:ascii="Times New Roman" w:hAnsi="Times New Roman" w:cs="Times New Roman"/>
              </w:rPr>
              <w:t>E</w:t>
            </w:r>
          </w:p>
        </w:tc>
        <w:tc>
          <w:tcPr>
            <w:tcW w:w="945" w:type="dxa"/>
          </w:tcPr>
          <w:p w14:paraId="50C63909"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Sachet</w:t>
            </w:r>
          </w:p>
        </w:tc>
        <w:tc>
          <w:tcPr>
            <w:tcW w:w="1262" w:type="dxa"/>
          </w:tcPr>
          <w:p w14:paraId="5F86F90A"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 xml:space="preserve"> +</w:t>
            </w:r>
          </w:p>
        </w:tc>
        <w:tc>
          <w:tcPr>
            <w:tcW w:w="1002" w:type="dxa"/>
          </w:tcPr>
          <w:p w14:paraId="580CEE9D"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2" w:type="dxa"/>
          </w:tcPr>
          <w:p w14:paraId="032AF227"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219871F9"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1262" w:type="dxa"/>
          </w:tcPr>
          <w:p w14:paraId="705932F3"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29048EC9"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9" w:type="dxa"/>
          </w:tcPr>
          <w:p w14:paraId="2EE68E43"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Rod</w:t>
            </w:r>
          </w:p>
        </w:tc>
        <w:tc>
          <w:tcPr>
            <w:tcW w:w="1450" w:type="dxa"/>
          </w:tcPr>
          <w:p w14:paraId="5DEC60A0" w14:textId="77777777" w:rsidR="00DA061C" w:rsidRPr="003E43E6" w:rsidRDefault="00DA061C" w:rsidP="00835951">
            <w:pPr>
              <w:jc w:val="center"/>
              <w:rPr>
                <w:rFonts w:ascii="Times New Roman" w:hAnsi="Times New Roman" w:cs="Times New Roman"/>
                <w:i/>
                <w:iCs/>
              </w:rPr>
            </w:pPr>
            <w:r w:rsidRPr="003E43E6">
              <w:rPr>
                <w:rFonts w:ascii="Times New Roman" w:hAnsi="Times New Roman" w:cs="Times New Roman"/>
                <w:i/>
                <w:iCs/>
              </w:rPr>
              <w:t>Escherichia coli</w:t>
            </w:r>
          </w:p>
        </w:tc>
      </w:tr>
      <w:tr w:rsidR="003E43E6" w:rsidRPr="003E43E6" w14:paraId="7EF52506" w14:textId="77777777" w:rsidTr="00510C82">
        <w:tc>
          <w:tcPr>
            <w:tcW w:w="933" w:type="dxa"/>
          </w:tcPr>
          <w:p w14:paraId="553B6446" w14:textId="77777777" w:rsidR="00DA061C" w:rsidRPr="003E43E6" w:rsidRDefault="00DA061C" w:rsidP="00835951">
            <w:pPr>
              <w:jc w:val="both"/>
              <w:rPr>
                <w:rFonts w:ascii="Times New Roman" w:hAnsi="Times New Roman" w:cs="Times New Roman"/>
              </w:rPr>
            </w:pPr>
            <w:r w:rsidRPr="003E43E6">
              <w:rPr>
                <w:rFonts w:ascii="Times New Roman" w:hAnsi="Times New Roman" w:cs="Times New Roman"/>
              </w:rPr>
              <w:t>G</w:t>
            </w:r>
          </w:p>
        </w:tc>
        <w:tc>
          <w:tcPr>
            <w:tcW w:w="945" w:type="dxa"/>
          </w:tcPr>
          <w:p w14:paraId="6282B95A"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Sachet</w:t>
            </w:r>
          </w:p>
        </w:tc>
        <w:tc>
          <w:tcPr>
            <w:tcW w:w="1262" w:type="dxa"/>
          </w:tcPr>
          <w:p w14:paraId="4C0DAF6D"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 xml:space="preserve"> +</w:t>
            </w:r>
          </w:p>
        </w:tc>
        <w:tc>
          <w:tcPr>
            <w:tcW w:w="1002" w:type="dxa"/>
          </w:tcPr>
          <w:p w14:paraId="440FBA7F"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2" w:type="dxa"/>
          </w:tcPr>
          <w:p w14:paraId="2A726212"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01290E68"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1262" w:type="dxa"/>
          </w:tcPr>
          <w:p w14:paraId="1F1A524C"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4FD3EF06"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9" w:type="dxa"/>
          </w:tcPr>
          <w:p w14:paraId="10858E1D"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Rod</w:t>
            </w:r>
          </w:p>
        </w:tc>
        <w:tc>
          <w:tcPr>
            <w:tcW w:w="1450" w:type="dxa"/>
          </w:tcPr>
          <w:p w14:paraId="6EA9B0EB" w14:textId="77777777" w:rsidR="00DA061C" w:rsidRPr="003E43E6" w:rsidRDefault="00DA061C" w:rsidP="00835951">
            <w:pPr>
              <w:jc w:val="center"/>
              <w:rPr>
                <w:rFonts w:ascii="Times New Roman" w:hAnsi="Times New Roman" w:cs="Times New Roman"/>
                <w:i/>
                <w:iCs/>
              </w:rPr>
            </w:pPr>
            <w:r w:rsidRPr="003E43E6">
              <w:rPr>
                <w:rFonts w:ascii="Times New Roman" w:hAnsi="Times New Roman" w:cs="Times New Roman"/>
                <w:i/>
                <w:iCs/>
              </w:rPr>
              <w:t>Klebsiella species</w:t>
            </w:r>
          </w:p>
        </w:tc>
      </w:tr>
      <w:tr w:rsidR="003E43E6" w:rsidRPr="003E43E6" w14:paraId="5B9D4395" w14:textId="77777777" w:rsidTr="00510C82">
        <w:tc>
          <w:tcPr>
            <w:tcW w:w="933" w:type="dxa"/>
          </w:tcPr>
          <w:p w14:paraId="1D9A488C" w14:textId="77777777" w:rsidR="00DA061C" w:rsidRPr="003E43E6" w:rsidRDefault="00DA061C" w:rsidP="00835951">
            <w:pPr>
              <w:jc w:val="both"/>
              <w:rPr>
                <w:rFonts w:ascii="Times New Roman" w:hAnsi="Times New Roman" w:cs="Times New Roman"/>
              </w:rPr>
            </w:pPr>
          </w:p>
        </w:tc>
        <w:tc>
          <w:tcPr>
            <w:tcW w:w="945" w:type="dxa"/>
          </w:tcPr>
          <w:p w14:paraId="42DDF5F4"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Bottled</w:t>
            </w:r>
          </w:p>
        </w:tc>
        <w:tc>
          <w:tcPr>
            <w:tcW w:w="1262" w:type="dxa"/>
          </w:tcPr>
          <w:p w14:paraId="58317C56"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 xml:space="preserve"> +</w:t>
            </w:r>
          </w:p>
        </w:tc>
        <w:tc>
          <w:tcPr>
            <w:tcW w:w="1002" w:type="dxa"/>
          </w:tcPr>
          <w:p w14:paraId="7D7BE241"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2" w:type="dxa"/>
          </w:tcPr>
          <w:p w14:paraId="14A3D0DA"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6B8FEAC6"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1262" w:type="dxa"/>
          </w:tcPr>
          <w:p w14:paraId="0B2E94E2"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15126BC2"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9" w:type="dxa"/>
          </w:tcPr>
          <w:p w14:paraId="7EBCBA27"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Rod</w:t>
            </w:r>
          </w:p>
        </w:tc>
        <w:tc>
          <w:tcPr>
            <w:tcW w:w="1450" w:type="dxa"/>
          </w:tcPr>
          <w:p w14:paraId="293E71B7" w14:textId="77777777" w:rsidR="00DA061C" w:rsidRPr="003E43E6" w:rsidRDefault="00DA061C" w:rsidP="00835951">
            <w:pPr>
              <w:jc w:val="center"/>
              <w:rPr>
                <w:rFonts w:ascii="Times New Roman" w:hAnsi="Times New Roman" w:cs="Times New Roman"/>
                <w:i/>
                <w:iCs/>
              </w:rPr>
            </w:pPr>
            <w:r w:rsidRPr="003E43E6">
              <w:rPr>
                <w:rFonts w:ascii="Times New Roman" w:hAnsi="Times New Roman" w:cs="Times New Roman"/>
                <w:i/>
                <w:iCs/>
              </w:rPr>
              <w:t>Escherichia coli</w:t>
            </w:r>
          </w:p>
        </w:tc>
      </w:tr>
      <w:tr w:rsidR="00DA061C" w:rsidRPr="003E43E6" w14:paraId="02749F94" w14:textId="77777777" w:rsidTr="00510C82">
        <w:tc>
          <w:tcPr>
            <w:tcW w:w="933" w:type="dxa"/>
          </w:tcPr>
          <w:p w14:paraId="3B369D9F" w14:textId="77777777" w:rsidR="00DA061C" w:rsidRPr="003E43E6" w:rsidRDefault="00DA061C" w:rsidP="00835951">
            <w:pPr>
              <w:jc w:val="both"/>
              <w:rPr>
                <w:rFonts w:ascii="Times New Roman" w:hAnsi="Times New Roman" w:cs="Times New Roman"/>
              </w:rPr>
            </w:pPr>
            <w:r w:rsidRPr="003E43E6">
              <w:rPr>
                <w:rFonts w:ascii="Times New Roman" w:hAnsi="Times New Roman" w:cs="Times New Roman"/>
              </w:rPr>
              <w:t>H</w:t>
            </w:r>
          </w:p>
        </w:tc>
        <w:tc>
          <w:tcPr>
            <w:tcW w:w="945" w:type="dxa"/>
          </w:tcPr>
          <w:p w14:paraId="3949A538"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Sachet</w:t>
            </w:r>
          </w:p>
        </w:tc>
        <w:tc>
          <w:tcPr>
            <w:tcW w:w="1262" w:type="dxa"/>
          </w:tcPr>
          <w:p w14:paraId="5954219F" w14:textId="77777777" w:rsidR="00DA061C" w:rsidRPr="003E43E6" w:rsidRDefault="00DA061C" w:rsidP="00835951">
            <w:pPr>
              <w:jc w:val="center"/>
              <w:rPr>
                <w:rFonts w:ascii="Times New Roman" w:hAnsi="Times New Roman" w:cs="Times New Roman"/>
              </w:rPr>
            </w:pPr>
            <w:r w:rsidRPr="003E43E6">
              <w:rPr>
                <w:rFonts w:ascii="Times New Roman" w:hAnsi="Times New Roman" w:cs="Times New Roman"/>
              </w:rPr>
              <w:t xml:space="preserve"> +</w:t>
            </w:r>
          </w:p>
        </w:tc>
        <w:tc>
          <w:tcPr>
            <w:tcW w:w="1002" w:type="dxa"/>
          </w:tcPr>
          <w:p w14:paraId="0B9AA728"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2" w:type="dxa"/>
          </w:tcPr>
          <w:p w14:paraId="470B6D91"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1C772AD2"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1262" w:type="dxa"/>
          </w:tcPr>
          <w:p w14:paraId="22B27748"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01" w:type="dxa"/>
          </w:tcPr>
          <w:p w14:paraId="3396D974"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 xml:space="preserve">  -</w:t>
            </w:r>
          </w:p>
        </w:tc>
        <w:tc>
          <w:tcPr>
            <w:tcW w:w="939" w:type="dxa"/>
          </w:tcPr>
          <w:p w14:paraId="3D20F7E1" w14:textId="77777777" w:rsidR="00DA061C" w:rsidRPr="003E43E6" w:rsidRDefault="00DA061C" w:rsidP="00835951">
            <w:pPr>
              <w:rPr>
                <w:rFonts w:ascii="Times New Roman" w:hAnsi="Times New Roman" w:cs="Times New Roman"/>
              </w:rPr>
            </w:pPr>
            <w:r w:rsidRPr="003E43E6">
              <w:rPr>
                <w:rFonts w:ascii="Times New Roman" w:hAnsi="Times New Roman" w:cs="Times New Roman"/>
              </w:rPr>
              <w:t>Rod</w:t>
            </w:r>
          </w:p>
        </w:tc>
        <w:tc>
          <w:tcPr>
            <w:tcW w:w="1450" w:type="dxa"/>
          </w:tcPr>
          <w:p w14:paraId="34D24A2E" w14:textId="77777777" w:rsidR="00DA061C" w:rsidRPr="003E43E6" w:rsidRDefault="00DA061C" w:rsidP="00835951">
            <w:pPr>
              <w:jc w:val="center"/>
              <w:rPr>
                <w:rFonts w:ascii="Times New Roman" w:hAnsi="Times New Roman" w:cs="Times New Roman"/>
                <w:i/>
                <w:iCs/>
              </w:rPr>
            </w:pPr>
            <w:r w:rsidRPr="003E43E6">
              <w:rPr>
                <w:rFonts w:ascii="Times New Roman" w:hAnsi="Times New Roman" w:cs="Times New Roman"/>
                <w:i/>
                <w:iCs/>
              </w:rPr>
              <w:t>Enterobacter species</w:t>
            </w:r>
          </w:p>
        </w:tc>
      </w:tr>
    </w:tbl>
    <w:p w14:paraId="4F1AB493" w14:textId="77777777" w:rsidR="00DA061C" w:rsidRPr="003E43E6" w:rsidRDefault="00DA061C" w:rsidP="00835951">
      <w:pPr>
        <w:spacing w:after="0" w:line="240" w:lineRule="auto"/>
        <w:jc w:val="both"/>
        <w:rPr>
          <w:rFonts w:ascii="Times New Roman" w:hAnsi="Times New Roman" w:cs="Times New Roman"/>
          <w:b/>
          <w:bCs/>
        </w:rPr>
      </w:pPr>
    </w:p>
    <w:p w14:paraId="37C7D5FB" w14:textId="7ADFB46E"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b/>
          <w:bCs/>
        </w:rPr>
        <w:t xml:space="preserve">Total Coliform Count (TCC) and Total Plate Count (TPC) of Sachet and Bottled Water Samples </w:t>
      </w:r>
    </w:p>
    <w:p w14:paraId="54BABF14" w14:textId="33C9CB23"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Table</w:t>
      </w:r>
      <w:r w:rsidR="00FC6E6D" w:rsidRPr="003E43E6">
        <w:rPr>
          <w:rFonts w:ascii="Times New Roman" w:hAnsi="Times New Roman" w:cs="Times New Roman"/>
        </w:rPr>
        <w:t xml:space="preserve"> </w:t>
      </w:r>
      <w:r w:rsidRPr="003E43E6">
        <w:rPr>
          <w:rFonts w:ascii="Times New Roman" w:hAnsi="Times New Roman" w:cs="Times New Roman"/>
        </w:rPr>
        <w:t>3 compares the bacterial counts between sachet and bottled water samples</w:t>
      </w:r>
      <w:r w:rsidR="00F156D6">
        <w:rPr>
          <w:rFonts w:ascii="Times New Roman" w:hAnsi="Times New Roman" w:cs="Times New Roman"/>
        </w:rPr>
        <w:t xml:space="preserve">. </w:t>
      </w:r>
      <w:r w:rsidRPr="003E43E6">
        <w:rPr>
          <w:rFonts w:ascii="Times New Roman" w:hAnsi="Times New Roman" w:cs="Times New Roman"/>
        </w:rPr>
        <w:t xml:space="preserve">Sachet water has a higher average TCC (44.60 ± 35.60) compared to bottled water (10.50 ± 2.12), but this difference is not statistically significant (p = 0.1077). However, for TPC, sachet water also has a higher mean count (132.00 ± 72.90), and this difference is statistically significant compared to bottled water (39.50 ± 16.50) with a p-value of 0.0444. </w:t>
      </w:r>
    </w:p>
    <w:p w14:paraId="1B413583" w14:textId="77777777" w:rsidR="00DA061C" w:rsidRPr="003E43E6" w:rsidRDefault="00DA061C" w:rsidP="00835951">
      <w:pPr>
        <w:spacing w:after="0" w:line="240" w:lineRule="auto"/>
        <w:jc w:val="both"/>
        <w:rPr>
          <w:rFonts w:ascii="Times New Roman" w:hAnsi="Times New Roman" w:cs="Times New Roman"/>
        </w:rPr>
      </w:pPr>
    </w:p>
    <w:p w14:paraId="2FAEB4DD" w14:textId="77777777" w:rsidR="00DA061C" w:rsidRDefault="00DA061C" w:rsidP="00835951">
      <w:pPr>
        <w:spacing w:after="0" w:line="240" w:lineRule="auto"/>
        <w:jc w:val="both"/>
        <w:rPr>
          <w:rFonts w:ascii="Times New Roman" w:hAnsi="Times New Roman" w:cs="Times New Roman"/>
        </w:rPr>
      </w:pPr>
    </w:p>
    <w:p w14:paraId="7730D33B" w14:textId="77777777" w:rsidR="00316AAD" w:rsidRDefault="00316AAD" w:rsidP="00835951">
      <w:pPr>
        <w:spacing w:after="0" w:line="240" w:lineRule="auto"/>
        <w:jc w:val="both"/>
        <w:rPr>
          <w:rFonts w:ascii="Times New Roman" w:hAnsi="Times New Roman" w:cs="Times New Roman"/>
        </w:rPr>
      </w:pPr>
    </w:p>
    <w:p w14:paraId="3C66189F" w14:textId="77777777" w:rsidR="00316AAD" w:rsidRDefault="00316AAD" w:rsidP="00835951">
      <w:pPr>
        <w:spacing w:after="0" w:line="240" w:lineRule="auto"/>
        <w:jc w:val="both"/>
        <w:rPr>
          <w:rFonts w:ascii="Times New Roman" w:hAnsi="Times New Roman" w:cs="Times New Roman"/>
        </w:rPr>
      </w:pPr>
    </w:p>
    <w:p w14:paraId="1A22D7DB" w14:textId="77777777" w:rsidR="00316AAD" w:rsidRDefault="00316AAD" w:rsidP="00835951">
      <w:pPr>
        <w:spacing w:after="0" w:line="240" w:lineRule="auto"/>
        <w:jc w:val="both"/>
        <w:rPr>
          <w:rFonts w:ascii="Times New Roman" w:hAnsi="Times New Roman" w:cs="Times New Roman"/>
        </w:rPr>
      </w:pPr>
    </w:p>
    <w:p w14:paraId="66D8037F" w14:textId="77777777" w:rsidR="00316AAD" w:rsidRPr="003E43E6" w:rsidRDefault="00316AAD" w:rsidP="00835951">
      <w:pPr>
        <w:spacing w:after="0" w:line="240" w:lineRule="auto"/>
        <w:jc w:val="both"/>
        <w:rPr>
          <w:rFonts w:ascii="Times New Roman" w:hAnsi="Times New Roman" w:cs="Times New Roman"/>
        </w:rPr>
      </w:pPr>
    </w:p>
    <w:p w14:paraId="5C5D46B1" w14:textId="77777777" w:rsidR="00DA061C" w:rsidRPr="003E43E6" w:rsidRDefault="00DA061C" w:rsidP="00835951">
      <w:pPr>
        <w:spacing w:after="0" w:line="240" w:lineRule="auto"/>
        <w:jc w:val="both"/>
        <w:rPr>
          <w:rFonts w:ascii="Times New Roman" w:hAnsi="Times New Roman" w:cs="Times New Roman"/>
        </w:rPr>
      </w:pPr>
    </w:p>
    <w:p w14:paraId="016DEE4A" w14:textId="1649282B" w:rsidR="00DA061C" w:rsidRPr="00316AAD" w:rsidRDefault="00DA061C" w:rsidP="00835951">
      <w:pPr>
        <w:spacing w:after="0" w:line="240" w:lineRule="auto"/>
        <w:jc w:val="both"/>
        <w:rPr>
          <w:rFonts w:ascii="Times New Roman" w:hAnsi="Times New Roman" w:cs="Times New Roman"/>
          <w:b/>
          <w:bCs/>
        </w:rPr>
      </w:pPr>
      <w:r w:rsidRPr="00316AAD">
        <w:rPr>
          <w:rFonts w:ascii="Times New Roman" w:hAnsi="Times New Roman" w:cs="Times New Roman"/>
          <w:b/>
          <w:bCs/>
        </w:rPr>
        <w:lastRenderedPageBreak/>
        <w:t>Table</w:t>
      </w:r>
      <w:r w:rsidR="0029223C" w:rsidRPr="00316AAD">
        <w:rPr>
          <w:rFonts w:ascii="Times New Roman" w:hAnsi="Times New Roman" w:cs="Times New Roman"/>
          <w:b/>
          <w:bCs/>
        </w:rPr>
        <w:t xml:space="preserve"> </w:t>
      </w:r>
      <w:r w:rsidRPr="00316AAD">
        <w:rPr>
          <w:rFonts w:ascii="Times New Roman" w:hAnsi="Times New Roman" w:cs="Times New Roman"/>
          <w:b/>
          <w:bCs/>
        </w:rPr>
        <w:t>3</w:t>
      </w:r>
      <w:r w:rsidR="0029223C" w:rsidRPr="00316AAD">
        <w:rPr>
          <w:rFonts w:ascii="Times New Roman" w:hAnsi="Times New Roman" w:cs="Times New Roman"/>
          <w:b/>
          <w:bCs/>
        </w:rPr>
        <w:t xml:space="preserve">. </w:t>
      </w:r>
      <w:r w:rsidRPr="00316AAD">
        <w:rPr>
          <w:rFonts w:ascii="Times New Roman" w:hAnsi="Times New Roman" w:cs="Times New Roman"/>
          <w:b/>
          <w:bCs/>
        </w:rPr>
        <w:t xml:space="preserve">Comparison of </w:t>
      </w:r>
      <w:r w:rsidR="00316AAD">
        <w:rPr>
          <w:rFonts w:ascii="Times New Roman" w:hAnsi="Times New Roman" w:cs="Times New Roman"/>
          <w:b/>
          <w:bCs/>
        </w:rPr>
        <w:t>B</w:t>
      </w:r>
      <w:r w:rsidRPr="00316AAD">
        <w:rPr>
          <w:rFonts w:ascii="Times New Roman" w:hAnsi="Times New Roman" w:cs="Times New Roman"/>
          <w:b/>
          <w:bCs/>
        </w:rPr>
        <w:t xml:space="preserve">acterial </w:t>
      </w:r>
      <w:r w:rsidR="00316AAD">
        <w:rPr>
          <w:rFonts w:ascii="Times New Roman" w:hAnsi="Times New Roman" w:cs="Times New Roman"/>
          <w:b/>
          <w:bCs/>
        </w:rPr>
        <w:t>C</w:t>
      </w:r>
      <w:r w:rsidRPr="00316AAD">
        <w:rPr>
          <w:rFonts w:ascii="Times New Roman" w:hAnsi="Times New Roman" w:cs="Times New Roman"/>
          <w:b/>
          <w:bCs/>
        </w:rPr>
        <w:t xml:space="preserve">ount between the </w:t>
      </w:r>
      <w:r w:rsidR="00316AAD">
        <w:rPr>
          <w:rFonts w:ascii="Times New Roman" w:hAnsi="Times New Roman" w:cs="Times New Roman"/>
          <w:b/>
          <w:bCs/>
        </w:rPr>
        <w:t>W</w:t>
      </w:r>
      <w:r w:rsidRPr="00316AAD">
        <w:rPr>
          <w:rFonts w:ascii="Times New Roman" w:hAnsi="Times New Roman" w:cs="Times New Roman"/>
          <w:b/>
          <w:bCs/>
        </w:rPr>
        <w:t xml:space="preserve">ater </w:t>
      </w:r>
      <w:r w:rsidR="00316AAD">
        <w:rPr>
          <w:rFonts w:ascii="Times New Roman" w:hAnsi="Times New Roman" w:cs="Times New Roman"/>
          <w:b/>
          <w:bCs/>
        </w:rPr>
        <w:t>S</w:t>
      </w:r>
      <w:r w:rsidRPr="00316AAD">
        <w:rPr>
          <w:rFonts w:ascii="Times New Roman" w:hAnsi="Times New Roman" w:cs="Times New Roman"/>
          <w:b/>
          <w:bCs/>
        </w:rPr>
        <w:t>amples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2334"/>
        <w:gridCol w:w="2337"/>
        <w:gridCol w:w="2333"/>
      </w:tblGrid>
      <w:tr w:rsidR="003E43E6" w:rsidRPr="003E43E6" w14:paraId="3D980E5C" w14:textId="77777777" w:rsidTr="00510C82">
        <w:tc>
          <w:tcPr>
            <w:tcW w:w="2394" w:type="dxa"/>
            <w:tcBorders>
              <w:top w:val="single" w:sz="4" w:space="0" w:color="auto"/>
              <w:bottom w:val="single" w:sz="4" w:space="0" w:color="auto"/>
            </w:tcBorders>
          </w:tcPr>
          <w:p w14:paraId="715B3544" w14:textId="77777777" w:rsidR="00DA061C" w:rsidRPr="003E43E6" w:rsidRDefault="00DA061C" w:rsidP="00835951">
            <w:pPr>
              <w:spacing w:before="240"/>
              <w:jc w:val="both"/>
              <w:rPr>
                <w:rFonts w:ascii="Times New Roman" w:hAnsi="Times New Roman" w:cs="Times New Roman"/>
                <w:b/>
                <w:bCs/>
              </w:rPr>
            </w:pPr>
            <w:r w:rsidRPr="003E43E6">
              <w:rPr>
                <w:rFonts w:ascii="Times New Roman" w:hAnsi="Times New Roman" w:cs="Times New Roman"/>
                <w:b/>
                <w:bCs/>
              </w:rPr>
              <w:t>Bacterial Count</w:t>
            </w:r>
          </w:p>
        </w:tc>
        <w:tc>
          <w:tcPr>
            <w:tcW w:w="2394" w:type="dxa"/>
            <w:tcBorders>
              <w:top w:val="single" w:sz="4" w:space="0" w:color="auto"/>
              <w:bottom w:val="single" w:sz="4" w:space="0" w:color="auto"/>
            </w:tcBorders>
          </w:tcPr>
          <w:p w14:paraId="53176E3C"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rPr>
              <w:t>Sachet Water</w:t>
            </w:r>
          </w:p>
        </w:tc>
        <w:tc>
          <w:tcPr>
            <w:tcW w:w="2394" w:type="dxa"/>
            <w:tcBorders>
              <w:top w:val="single" w:sz="4" w:space="0" w:color="auto"/>
              <w:bottom w:val="single" w:sz="4" w:space="0" w:color="auto"/>
            </w:tcBorders>
          </w:tcPr>
          <w:p w14:paraId="44ECD4D4"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rPr>
              <w:t>Bottled Water</w:t>
            </w:r>
          </w:p>
        </w:tc>
        <w:tc>
          <w:tcPr>
            <w:tcW w:w="2394" w:type="dxa"/>
            <w:tcBorders>
              <w:top w:val="single" w:sz="4" w:space="0" w:color="auto"/>
              <w:bottom w:val="single" w:sz="4" w:space="0" w:color="auto"/>
            </w:tcBorders>
          </w:tcPr>
          <w:p w14:paraId="4CADAB79"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i/>
                <w:iCs/>
              </w:rPr>
              <w:t>P</w:t>
            </w:r>
            <w:r w:rsidRPr="003E43E6">
              <w:rPr>
                <w:rFonts w:ascii="Times New Roman" w:hAnsi="Times New Roman" w:cs="Times New Roman"/>
                <w:b/>
                <w:bCs/>
              </w:rPr>
              <w:t xml:space="preserve"> value</w:t>
            </w:r>
          </w:p>
        </w:tc>
      </w:tr>
      <w:tr w:rsidR="003E43E6" w:rsidRPr="003E43E6" w14:paraId="2738F123" w14:textId="77777777" w:rsidTr="00510C82">
        <w:tc>
          <w:tcPr>
            <w:tcW w:w="2394" w:type="dxa"/>
            <w:tcBorders>
              <w:top w:val="single" w:sz="4" w:space="0" w:color="auto"/>
            </w:tcBorders>
          </w:tcPr>
          <w:p w14:paraId="0D6BAB41" w14:textId="77777777" w:rsidR="00DA061C" w:rsidRPr="003E43E6" w:rsidRDefault="00DA061C" w:rsidP="00835951">
            <w:pPr>
              <w:spacing w:before="240"/>
              <w:jc w:val="both"/>
              <w:rPr>
                <w:rFonts w:ascii="Times New Roman" w:hAnsi="Times New Roman" w:cs="Times New Roman"/>
                <w:bCs/>
              </w:rPr>
            </w:pPr>
            <w:r w:rsidRPr="003E43E6">
              <w:rPr>
                <w:rFonts w:ascii="Times New Roman" w:hAnsi="Times New Roman" w:cs="Times New Roman"/>
                <w:bCs/>
              </w:rPr>
              <w:t xml:space="preserve">TCC </w:t>
            </w:r>
            <w:r w:rsidRPr="003E43E6">
              <w:rPr>
                <w:rFonts w:ascii="Times New Roman" w:hAnsi="Times New Roman" w:cs="Times New Roman"/>
              </w:rPr>
              <w:t>(MPN/10ml)</w:t>
            </w:r>
          </w:p>
        </w:tc>
        <w:tc>
          <w:tcPr>
            <w:tcW w:w="2394" w:type="dxa"/>
            <w:tcBorders>
              <w:top w:val="single" w:sz="4" w:space="0" w:color="auto"/>
            </w:tcBorders>
          </w:tcPr>
          <w:p w14:paraId="76958931" w14:textId="77777777" w:rsidR="00DA061C" w:rsidRPr="003E43E6" w:rsidRDefault="00DA061C" w:rsidP="00835951">
            <w:pPr>
              <w:spacing w:before="240"/>
              <w:jc w:val="center"/>
              <w:rPr>
                <w:rFonts w:ascii="Times New Roman" w:hAnsi="Times New Roman" w:cs="Times New Roman"/>
                <w:bCs/>
              </w:rPr>
            </w:pPr>
            <w:r w:rsidRPr="003E43E6">
              <w:rPr>
                <w:rFonts w:ascii="Times New Roman" w:hAnsi="Times New Roman" w:cs="Times New Roman"/>
                <w:bCs/>
              </w:rPr>
              <w:t>44.60 ± 35.60</w:t>
            </w:r>
          </w:p>
        </w:tc>
        <w:tc>
          <w:tcPr>
            <w:tcW w:w="2394" w:type="dxa"/>
            <w:tcBorders>
              <w:top w:val="single" w:sz="4" w:space="0" w:color="auto"/>
            </w:tcBorders>
          </w:tcPr>
          <w:p w14:paraId="61BD1FEC" w14:textId="77777777" w:rsidR="00DA061C" w:rsidRPr="003E43E6" w:rsidRDefault="00DA061C" w:rsidP="00835951">
            <w:pPr>
              <w:spacing w:before="240"/>
              <w:jc w:val="center"/>
              <w:rPr>
                <w:rFonts w:ascii="Times New Roman" w:hAnsi="Times New Roman" w:cs="Times New Roman"/>
                <w:bCs/>
              </w:rPr>
            </w:pPr>
            <w:r w:rsidRPr="003E43E6">
              <w:rPr>
                <w:rFonts w:ascii="Times New Roman" w:hAnsi="Times New Roman" w:cs="Times New Roman"/>
                <w:bCs/>
              </w:rPr>
              <w:t>10.50 ± 2.12</w:t>
            </w:r>
          </w:p>
        </w:tc>
        <w:tc>
          <w:tcPr>
            <w:tcW w:w="2394" w:type="dxa"/>
            <w:tcBorders>
              <w:top w:val="single" w:sz="4" w:space="0" w:color="auto"/>
            </w:tcBorders>
          </w:tcPr>
          <w:p w14:paraId="2F7E9C25" w14:textId="77777777" w:rsidR="00DA061C" w:rsidRPr="003E43E6" w:rsidRDefault="00DA061C" w:rsidP="00835951">
            <w:pPr>
              <w:spacing w:before="240"/>
              <w:jc w:val="center"/>
              <w:rPr>
                <w:rFonts w:ascii="Times New Roman" w:hAnsi="Times New Roman" w:cs="Times New Roman"/>
                <w:bCs/>
              </w:rPr>
            </w:pPr>
            <w:r w:rsidRPr="003E43E6">
              <w:rPr>
                <w:rFonts w:ascii="Times New Roman" w:hAnsi="Times New Roman" w:cs="Times New Roman"/>
                <w:bCs/>
              </w:rPr>
              <w:t>0.1077</w:t>
            </w:r>
          </w:p>
        </w:tc>
      </w:tr>
      <w:tr w:rsidR="00DA061C" w:rsidRPr="003E43E6" w14:paraId="4973B5CC" w14:textId="77777777" w:rsidTr="00510C82">
        <w:tc>
          <w:tcPr>
            <w:tcW w:w="2394" w:type="dxa"/>
          </w:tcPr>
          <w:p w14:paraId="4E87A04F" w14:textId="77777777" w:rsidR="00DA061C" w:rsidRPr="003E43E6" w:rsidRDefault="00DA061C" w:rsidP="00835951">
            <w:pPr>
              <w:spacing w:before="240"/>
              <w:jc w:val="both"/>
              <w:rPr>
                <w:rFonts w:ascii="Times New Roman" w:hAnsi="Times New Roman" w:cs="Times New Roman"/>
                <w:bCs/>
              </w:rPr>
            </w:pPr>
            <w:r w:rsidRPr="003E43E6">
              <w:rPr>
                <w:rFonts w:ascii="Times New Roman" w:hAnsi="Times New Roman" w:cs="Times New Roman"/>
                <w:bCs/>
              </w:rPr>
              <w:t xml:space="preserve">TPC </w:t>
            </w:r>
            <w:r w:rsidRPr="003E43E6">
              <w:rPr>
                <w:rFonts w:ascii="Times New Roman" w:hAnsi="Times New Roman" w:cs="Times New Roman"/>
              </w:rPr>
              <w:t>(CFU/0.1ml)</w:t>
            </w:r>
          </w:p>
        </w:tc>
        <w:tc>
          <w:tcPr>
            <w:tcW w:w="2394" w:type="dxa"/>
          </w:tcPr>
          <w:p w14:paraId="441DD350" w14:textId="77777777" w:rsidR="00DA061C" w:rsidRPr="003E43E6" w:rsidRDefault="00DA061C" w:rsidP="00835951">
            <w:pPr>
              <w:spacing w:before="240"/>
              <w:jc w:val="center"/>
              <w:rPr>
                <w:rFonts w:ascii="Times New Roman" w:hAnsi="Times New Roman" w:cs="Times New Roman"/>
                <w:bCs/>
              </w:rPr>
            </w:pPr>
            <w:r w:rsidRPr="003E43E6">
              <w:rPr>
                <w:rFonts w:ascii="Times New Roman" w:hAnsi="Times New Roman" w:cs="Times New Roman"/>
                <w:bCs/>
              </w:rPr>
              <w:t>132.00 ± 72.90</w:t>
            </w:r>
          </w:p>
        </w:tc>
        <w:tc>
          <w:tcPr>
            <w:tcW w:w="2394" w:type="dxa"/>
          </w:tcPr>
          <w:p w14:paraId="47406B05" w14:textId="77777777" w:rsidR="00DA061C" w:rsidRPr="003E43E6" w:rsidRDefault="00DA061C" w:rsidP="00835951">
            <w:pPr>
              <w:spacing w:before="240"/>
              <w:jc w:val="center"/>
              <w:rPr>
                <w:rFonts w:ascii="Times New Roman" w:hAnsi="Times New Roman" w:cs="Times New Roman"/>
                <w:bCs/>
              </w:rPr>
            </w:pPr>
            <w:r w:rsidRPr="003E43E6">
              <w:rPr>
                <w:rFonts w:ascii="Times New Roman" w:hAnsi="Times New Roman" w:cs="Times New Roman"/>
                <w:bCs/>
              </w:rPr>
              <w:t>39.50 ± 16.50</w:t>
            </w:r>
          </w:p>
        </w:tc>
        <w:tc>
          <w:tcPr>
            <w:tcW w:w="2394" w:type="dxa"/>
          </w:tcPr>
          <w:p w14:paraId="0D56792F" w14:textId="77777777" w:rsidR="00DA061C" w:rsidRPr="003E43E6" w:rsidRDefault="00DA061C" w:rsidP="00835951">
            <w:pPr>
              <w:spacing w:before="240"/>
              <w:jc w:val="center"/>
              <w:rPr>
                <w:rFonts w:ascii="Times New Roman" w:hAnsi="Times New Roman" w:cs="Times New Roman"/>
                <w:bCs/>
              </w:rPr>
            </w:pPr>
            <w:r w:rsidRPr="003E43E6">
              <w:rPr>
                <w:rFonts w:ascii="Times New Roman" w:hAnsi="Times New Roman" w:cs="Times New Roman"/>
                <w:bCs/>
              </w:rPr>
              <w:t>0.0444</w:t>
            </w:r>
          </w:p>
        </w:tc>
      </w:tr>
    </w:tbl>
    <w:p w14:paraId="77123603" w14:textId="77777777" w:rsidR="00DA061C" w:rsidRPr="003E43E6" w:rsidRDefault="00DA061C" w:rsidP="00835951">
      <w:pPr>
        <w:spacing w:after="0" w:line="240" w:lineRule="auto"/>
        <w:jc w:val="both"/>
        <w:rPr>
          <w:rFonts w:ascii="Times New Roman" w:hAnsi="Times New Roman" w:cs="Times New Roman"/>
          <w:b/>
          <w:bCs/>
        </w:rPr>
      </w:pPr>
    </w:p>
    <w:p w14:paraId="10AF084E" w14:textId="77777777" w:rsidR="00DA061C" w:rsidRPr="00307826" w:rsidRDefault="00DA061C" w:rsidP="00835951">
      <w:pPr>
        <w:spacing w:after="0" w:line="240" w:lineRule="auto"/>
        <w:jc w:val="both"/>
        <w:rPr>
          <w:rFonts w:ascii="Times New Roman" w:hAnsi="Times New Roman" w:cs="Times New Roman"/>
          <w:bCs/>
        </w:rPr>
      </w:pPr>
      <w:r w:rsidRPr="00307826">
        <w:rPr>
          <w:rFonts w:ascii="Times New Roman" w:hAnsi="Times New Roman" w:cs="Times New Roman"/>
          <w:bCs/>
        </w:rPr>
        <w:t>KEY:</w:t>
      </w:r>
    </w:p>
    <w:p w14:paraId="25DE4B84" w14:textId="70983C0C" w:rsidR="00DA061C" w:rsidRPr="00307826" w:rsidRDefault="00DA061C" w:rsidP="00835951">
      <w:pPr>
        <w:spacing w:after="0" w:line="240" w:lineRule="auto"/>
        <w:jc w:val="both"/>
        <w:rPr>
          <w:rFonts w:ascii="Times New Roman" w:hAnsi="Times New Roman" w:cs="Times New Roman"/>
          <w:bCs/>
        </w:rPr>
      </w:pPr>
      <w:r w:rsidRPr="00307826">
        <w:rPr>
          <w:rFonts w:ascii="Times New Roman" w:hAnsi="Times New Roman" w:cs="Times New Roman"/>
          <w:bCs/>
        </w:rPr>
        <w:t>TCC = Total Coliform Count</w:t>
      </w:r>
    </w:p>
    <w:p w14:paraId="5C03BCC0" w14:textId="77777777" w:rsidR="00DA061C" w:rsidRPr="00307826" w:rsidRDefault="00DA061C" w:rsidP="00835951">
      <w:pPr>
        <w:spacing w:after="0" w:line="240" w:lineRule="auto"/>
        <w:jc w:val="both"/>
        <w:rPr>
          <w:rFonts w:ascii="Times New Roman" w:hAnsi="Times New Roman" w:cs="Times New Roman"/>
          <w:bCs/>
        </w:rPr>
      </w:pPr>
      <w:r w:rsidRPr="00307826">
        <w:rPr>
          <w:rFonts w:ascii="Times New Roman" w:hAnsi="Times New Roman" w:cs="Times New Roman"/>
          <w:bCs/>
        </w:rPr>
        <w:t>TPC = Total Plate Count</w:t>
      </w:r>
    </w:p>
    <w:p w14:paraId="43DABEE6" w14:textId="77777777" w:rsidR="00DA061C" w:rsidRDefault="00DA061C" w:rsidP="00835951">
      <w:pPr>
        <w:spacing w:after="0" w:line="240" w:lineRule="auto"/>
        <w:jc w:val="both"/>
        <w:rPr>
          <w:rFonts w:ascii="Times New Roman" w:hAnsi="Times New Roman" w:cs="Times New Roman"/>
          <w:bCs/>
        </w:rPr>
      </w:pPr>
    </w:p>
    <w:p w14:paraId="6D315A8B" w14:textId="77777777" w:rsidR="00307826" w:rsidRPr="003E43E6" w:rsidRDefault="00307826" w:rsidP="00835951">
      <w:pPr>
        <w:spacing w:after="0" w:line="240" w:lineRule="auto"/>
        <w:jc w:val="both"/>
        <w:rPr>
          <w:rFonts w:ascii="Times New Roman" w:hAnsi="Times New Roman" w:cs="Times New Roman"/>
          <w:bCs/>
        </w:rPr>
      </w:pPr>
    </w:p>
    <w:p w14:paraId="39DA5512" w14:textId="72E3DF35" w:rsidR="00DA061C" w:rsidRPr="003E43E6" w:rsidRDefault="00DA061C" w:rsidP="00835951">
      <w:pPr>
        <w:spacing w:after="0" w:line="240" w:lineRule="auto"/>
        <w:jc w:val="both"/>
        <w:rPr>
          <w:rFonts w:ascii="Times New Roman" w:hAnsi="Times New Roman" w:cs="Times New Roman"/>
          <w:b/>
          <w:bCs/>
        </w:rPr>
      </w:pPr>
      <w:r w:rsidRPr="003E43E6">
        <w:rPr>
          <w:rFonts w:ascii="Times New Roman" w:hAnsi="Times New Roman" w:cs="Times New Roman"/>
          <w:b/>
          <w:bCs/>
        </w:rPr>
        <w:t>Antimicrobial Susceptibility of Isolated Bacteria against Different Antibiotics</w:t>
      </w:r>
    </w:p>
    <w:p w14:paraId="07FE7360" w14:textId="2F5AE386" w:rsidR="00DA061C" w:rsidRPr="003E43E6" w:rsidRDefault="00DA061C" w:rsidP="00835951">
      <w:pPr>
        <w:spacing w:after="0" w:line="240" w:lineRule="auto"/>
        <w:jc w:val="both"/>
        <w:rPr>
          <w:rFonts w:ascii="Times New Roman" w:hAnsi="Times New Roman" w:cs="Times New Roman"/>
        </w:rPr>
      </w:pPr>
      <w:r w:rsidRPr="003E43E6">
        <w:rPr>
          <w:rFonts w:ascii="Times New Roman" w:hAnsi="Times New Roman" w:cs="Times New Roman"/>
        </w:rPr>
        <w:t>Table</w:t>
      </w:r>
      <w:r w:rsidR="00344940" w:rsidRPr="003E43E6">
        <w:rPr>
          <w:rFonts w:ascii="Times New Roman" w:hAnsi="Times New Roman" w:cs="Times New Roman"/>
        </w:rPr>
        <w:t xml:space="preserve"> </w:t>
      </w:r>
      <w:r w:rsidRPr="003E43E6">
        <w:rPr>
          <w:rFonts w:ascii="Times New Roman" w:hAnsi="Times New Roman" w:cs="Times New Roman"/>
        </w:rPr>
        <w:t>4 below presents the antimicrobial susceptibility of isolated bacteria against different antibiotics by showing the zone of inhibition in millimeters. All tested bacteria (</w:t>
      </w:r>
      <w:r w:rsidRPr="003E43E6">
        <w:rPr>
          <w:rFonts w:ascii="Times New Roman" w:hAnsi="Times New Roman" w:cs="Times New Roman"/>
          <w:i/>
        </w:rPr>
        <w:t>E. coli, Staphylococcus, Klebsiella</w:t>
      </w:r>
      <w:r w:rsidRPr="003E43E6">
        <w:rPr>
          <w:rFonts w:ascii="Times New Roman" w:hAnsi="Times New Roman" w:cs="Times New Roman"/>
        </w:rPr>
        <w:t xml:space="preserve">, and </w:t>
      </w:r>
      <w:r w:rsidRPr="003E43E6">
        <w:rPr>
          <w:rFonts w:ascii="Times New Roman" w:hAnsi="Times New Roman" w:cs="Times New Roman"/>
          <w:i/>
        </w:rPr>
        <w:t>Enterococci</w:t>
      </w:r>
      <w:r w:rsidRPr="003E43E6">
        <w:rPr>
          <w:rFonts w:ascii="Times New Roman" w:hAnsi="Times New Roman" w:cs="Times New Roman"/>
        </w:rPr>
        <w:t xml:space="preserve">) </w:t>
      </w:r>
      <w:r w:rsidR="00AE2F3F">
        <w:rPr>
          <w:rFonts w:ascii="Times New Roman" w:hAnsi="Times New Roman" w:cs="Times New Roman"/>
        </w:rPr>
        <w:t xml:space="preserve">were </w:t>
      </w:r>
      <w:r w:rsidRPr="003E43E6">
        <w:rPr>
          <w:rFonts w:ascii="Times New Roman" w:hAnsi="Times New Roman" w:cs="Times New Roman"/>
        </w:rPr>
        <w:t xml:space="preserve">resistant (R) to most antibiotics like </w:t>
      </w:r>
      <w:r w:rsidR="00CE7371" w:rsidRPr="003E43E6">
        <w:rPr>
          <w:rFonts w:ascii="Times New Roman" w:hAnsi="Times New Roman" w:cs="Times New Roman"/>
        </w:rPr>
        <w:t>A</w:t>
      </w:r>
      <w:r w:rsidRPr="003E43E6">
        <w:rPr>
          <w:rFonts w:ascii="Times New Roman" w:hAnsi="Times New Roman" w:cs="Times New Roman"/>
        </w:rPr>
        <w:t xml:space="preserve">moxicillin, </w:t>
      </w:r>
      <w:r w:rsidR="00CE7371" w:rsidRPr="003E43E6">
        <w:rPr>
          <w:rFonts w:ascii="Times New Roman" w:hAnsi="Times New Roman" w:cs="Times New Roman"/>
        </w:rPr>
        <w:t>E</w:t>
      </w:r>
      <w:r w:rsidRPr="003E43E6">
        <w:rPr>
          <w:rFonts w:ascii="Times New Roman" w:hAnsi="Times New Roman" w:cs="Times New Roman"/>
        </w:rPr>
        <w:t xml:space="preserve">rythromycin, </w:t>
      </w:r>
      <w:r w:rsidR="00CE7371" w:rsidRPr="003E43E6">
        <w:rPr>
          <w:rFonts w:ascii="Times New Roman" w:hAnsi="Times New Roman" w:cs="Times New Roman"/>
        </w:rPr>
        <w:t>V</w:t>
      </w:r>
      <w:r w:rsidRPr="003E43E6">
        <w:rPr>
          <w:rFonts w:ascii="Times New Roman" w:hAnsi="Times New Roman" w:cs="Times New Roman"/>
        </w:rPr>
        <w:t xml:space="preserve">ancomycin, and </w:t>
      </w:r>
      <w:r w:rsidR="00CE7371" w:rsidRPr="003E43E6">
        <w:rPr>
          <w:rFonts w:ascii="Times New Roman" w:hAnsi="Times New Roman" w:cs="Times New Roman"/>
        </w:rPr>
        <w:t>C</w:t>
      </w:r>
      <w:r w:rsidRPr="003E43E6">
        <w:rPr>
          <w:rFonts w:ascii="Times New Roman" w:hAnsi="Times New Roman" w:cs="Times New Roman"/>
        </w:rPr>
        <w:t>lindamycin. Some variation in inhibition zones appear</w:t>
      </w:r>
      <w:r w:rsidR="00AE2F3F">
        <w:rPr>
          <w:rFonts w:ascii="Times New Roman" w:hAnsi="Times New Roman" w:cs="Times New Roman"/>
        </w:rPr>
        <w:t>ed</w:t>
      </w:r>
      <w:r w:rsidRPr="003E43E6">
        <w:rPr>
          <w:rFonts w:ascii="Times New Roman" w:hAnsi="Times New Roman" w:cs="Times New Roman"/>
        </w:rPr>
        <w:t xml:space="preserve">, e.g., </w:t>
      </w:r>
      <w:r w:rsidRPr="003E43E6">
        <w:rPr>
          <w:rFonts w:ascii="Times New Roman" w:hAnsi="Times New Roman" w:cs="Times New Roman"/>
          <w:i/>
        </w:rPr>
        <w:t>Klebsiella</w:t>
      </w:r>
      <w:r w:rsidRPr="003E43E6">
        <w:rPr>
          <w:rFonts w:ascii="Times New Roman" w:hAnsi="Times New Roman" w:cs="Times New Roman"/>
        </w:rPr>
        <w:t xml:space="preserve"> show</w:t>
      </w:r>
      <w:r w:rsidR="00AE2F3F">
        <w:rPr>
          <w:rFonts w:ascii="Times New Roman" w:hAnsi="Times New Roman" w:cs="Times New Roman"/>
        </w:rPr>
        <w:t>ed</w:t>
      </w:r>
      <w:r w:rsidRPr="003E43E6">
        <w:rPr>
          <w:rFonts w:ascii="Times New Roman" w:hAnsi="Times New Roman" w:cs="Times New Roman"/>
        </w:rPr>
        <w:t xml:space="preserve"> the largest zone (31 mm) </w:t>
      </w:r>
      <w:r w:rsidR="00AE2F3F">
        <w:rPr>
          <w:rFonts w:ascii="Times New Roman" w:hAnsi="Times New Roman" w:cs="Times New Roman"/>
        </w:rPr>
        <w:t>against</w:t>
      </w:r>
      <w:r w:rsidRPr="003E43E6">
        <w:rPr>
          <w:rFonts w:ascii="Times New Roman" w:hAnsi="Times New Roman" w:cs="Times New Roman"/>
        </w:rPr>
        <w:t xml:space="preserve"> </w:t>
      </w:r>
      <w:r w:rsidR="00CE7371" w:rsidRPr="003E43E6">
        <w:rPr>
          <w:rFonts w:ascii="Times New Roman" w:hAnsi="Times New Roman" w:cs="Times New Roman"/>
        </w:rPr>
        <w:t>C</w:t>
      </w:r>
      <w:r w:rsidRPr="003E43E6">
        <w:rPr>
          <w:rFonts w:ascii="Times New Roman" w:hAnsi="Times New Roman" w:cs="Times New Roman"/>
        </w:rPr>
        <w:t xml:space="preserve">efotaxime, indicating sensitivity, while </w:t>
      </w:r>
      <w:r w:rsidRPr="003E43E6">
        <w:rPr>
          <w:rFonts w:ascii="Times New Roman" w:hAnsi="Times New Roman" w:cs="Times New Roman"/>
          <w:i/>
        </w:rPr>
        <w:t>Staphylococcus</w:t>
      </w:r>
      <w:r w:rsidRPr="003E43E6">
        <w:rPr>
          <w:rFonts w:ascii="Times New Roman" w:hAnsi="Times New Roman" w:cs="Times New Roman"/>
        </w:rPr>
        <w:t xml:space="preserve"> </w:t>
      </w:r>
      <w:r w:rsidRPr="003E43E6">
        <w:rPr>
          <w:rFonts w:ascii="Times New Roman" w:hAnsi="Times New Roman" w:cs="Times New Roman"/>
          <w:i/>
        </w:rPr>
        <w:t>aureus</w:t>
      </w:r>
      <w:r w:rsidRPr="003E43E6">
        <w:rPr>
          <w:rFonts w:ascii="Times New Roman" w:hAnsi="Times New Roman" w:cs="Times New Roman"/>
        </w:rPr>
        <w:t xml:space="preserve"> ha</w:t>
      </w:r>
      <w:r w:rsidR="00AE2F3F">
        <w:rPr>
          <w:rFonts w:ascii="Times New Roman" w:hAnsi="Times New Roman" w:cs="Times New Roman"/>
        </w:rPr>
        <w:t>d</w:t>
      </w:r>
      <w:r w:rsidRPr="003E43E6">
        <w:rPr>
          <w:rFonts w:ascii="Times New Roman" w:hAnsi="Times New Roman" w:cs="Times New Roman"/>
        </w:rPr>
        <w:t xml:space="preserve"> a 25 mm zone for </w:t>
      </w:r>
      <w:r w:rsidR="00CE7371" w:rsidRPr="003E43E6">
        <w:rPr>
          <w:rFonts w:ascii="Times New Roman" w:hAnsi="Times New Roman" w:cs="Times New Roman"/>
        </w:rPr>
        <w:t>M</w:t>
      </w:r>
      <w:r w:rsidRPr="003E43E6">
        <w:rPr>
          <w:rFonts w:ascii="Times New Roman" w:hAnsi="Times New Roman" w:cs="Times New Roman"/>
        </w:rPr>
        <w:t>eropenem</w:t>
      </w:r>
      <w:r w:rsidR="001108E0">
        <w:rPr>
          <w:rFonts w:ascii="Times New Roman" w:hAnsi="Times New Roman" w:cs="Times New Roman"/>
        </w:rPr>
        <w:t>,</w:t>
      </w:r>
      <w:r w:rsidR="000B0E24">
        <w:rPr>
          <w:rFonts w:ascii="Times New Roman" w:hAnsi="Times New Roman" w:cs="Times New Roman"/>
        </w:rPr>
        <w:t xml:space="preserve"> indicating sensitivity.</w:t>
      </w:r>
    </w:p>
    <w:p w14:paraId="60761312" w14:textId="77777777" w:rsidR="00DA061C" w:rsidRPr="003E43E6" w:rsidRDefault="00DA061C" w:rsidP="00835951">
      <w:pPr>
        <w:spacing w:after="0" w:line="240" w:lineRule="auto"/>
        <w:jc w:val="both"/>
        <w:rPr>
          <w:rFonts w:ascii="Times New Roman" w:hAnsi="Times New Roman" w:cs="Times New Roman"/>
        </w:rPr>
      </w:pPr>
    </w:p>
    <w:p w14:paraId="2CC67CBF" w14:textId="77777777" w:rsidR="00DA061C" w:rsidRPr="003E43E6" w:rsidRDefault="00DA061C" w:rsidP="00835951">
      <w:pPr>
        <w:spacing w:after="0" w:line="240" w:lineRule="auto"/>
        <w:jc w:val="both"/>
        <w:rPr>
          <w:rFonts w:ascii="Times New Roman" w:hAnsi="Times New Roman" w:cs="Times New Roman"/>
          <w:b/>
          <w:bCs/>
        </w:rPr>
      </w:pPr>
    </w:p>
    <w:p w14:paraId="55AC71BE" w14:textId="3C4D4C82" w:rsidR="00DA061C" w:rsidRPr="00A53C86" w:rsidRDefault="00DA061C" w:rsidP="00835951">
      <w:pPr>
        <w:spacing w:after="0" w:line="240" w:lineRule="auto"/>
        <w:jc w:val="both"/>
        <w:rPr>
          <w:rFonts w:ascii="Times New Roman" w:hAnsi="Times New Roman" w:cs="Times New Roman"/>
          <w:b/>
          <w:bCs/>
        </w:rPr>
      </w:pPr>
      <w:r w:rsidRPr="00A53C86">
        <w:rPr>
          <w:rFonts w:ascii="Times New Roman" w:hAnsi="Times New Roman" w:cs="Times New Roman"/>
          <w:b/>
          <w:bCs/>
        </w:rPr>
        <w:t>Table 4</w:t>
      </w:r>
      <w:r w:rsidR="007A7B4D" w:rsidRPr="00A53C86">
        <w:rPr>
          <w:rFonts w:ascii="Times New Roman" w:hAnsi="Times New Roman" w:cs="Times New Roman"/>
          <w:b/>
          <w:bCs/>
        </w:rPr>
        <w:t xml:space="preserve">. </w:t>
      </w:r>
      <w:r w:rsidRPr="00A53C86">
        <w:rPr>
          <w:rFonts w:ascii="Times New Roman" w:hAnsi="Times New Roman" w:cs="Times New Roman"/>
          <w:b/>
          <w:bCs/>
        </w:rPr>
        <w:t xml:space="preserve">Antimicrobial susceptibility testing of the isolated bacteria </w:t>
      </w:r>
    </w:p>
    <w:tbl>
      <w:tblPr>
        <w:tblStyle w:val="TableGrid"/>
        <w:tblW w:w="9889"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620"/>
        <w:gridCol w:w="630"/>
        <w:gridCol w:w="928"/>
        <w:gridCol w:w="1183"/>
        <w:gridCol w:w="1134"/>
        <w:gridCol w:w="422"/>
        <w:gridCol w:w="570"/>
        <w:gridCol w:w="1134"/>
        <w:gridCol w:w="1134"/>
        <w:gridCol w:w="1134"/>
      </w:tblGrid>
      <w:tr w:rsidR="003E43E6" w:rsidRPr="003E43E6" w14:paraId="77EDB103" w14:textId="77777777" w:rsidTr="00C2522F">
        <w:trPr>
          <w:trHeight w:val="505"/>
        </w:trPr>
        <w:tc>
          <w:tcPr>
            <w:tcW w:w="1620" w:type="dxa"/>
            <w:tcBorders>
              <w:top w:val="single" w:sz="4" w:space="0" w:color="auto"/>
              <w:bottom w:val="nil"/>
            </w:tcBorders>
          </w:tcPr>
          <w:p w14:paraId="5394755E" w14:textId="77777777" w:rsidR="00DA061C" w:rsidRPr="003E43E6" w:rsidRDefault="00DA061C" w:rsidP="00835951">
            <w:pPr>
              <w:spacing w:before="240"/>
              <w:ind w:left="108"/>
              <w:jc w:val="both"/>
              <w:rPr>
                <w:rFonts w:ascii="Times New Roman" w:hAnsi="Times New Roman" w:cs="Times New Roman"/>
                <w:b/>
                <w:bCs/>
              </w:rPr>
            </w:pPr>
          </w:p>
        </w:tc>
        <w:tc>
          <w:tcPr>
            <w:tcW w:w="8269" w:type="dxa"/>
            <w:gridSpan w:val="9"/>
            <w:tcBorders>
              <w:top w:val="single" w:sz="4" w:space="0" w:color="auto"/>
              <w:bottom w:val="nil"/>
            </w:tcBorders>
          </w:tcPr>
          <w:p w14:paraId="01676DD8" w14:textId="77777777" w:rsidR="00DA061C" w:rsidRPr="003E43E6" w:rsidRDefault="00DA061C" w:rsidP="00835951">
            <w:pPr>
              <w:spacing w:before="240"/>
              <w:ind w:left="108"/>
              <w:jc w:val="center"/>
              <w:rPr>
                <w:rFonts w:ascii="Times New Roman" w:hAnsi="Times New Roman" w:cs="Times New Roman"/>
                <w:b/>
                <w:bCs/>
              </w:rPr>
            </w:pPr>
            <w:r w:rsidRPr="003E43E6">
              <w:rPr>
                <w:rFonts w:ascii="Times New Roman" w:hAnsi="Times New Roman" w:cs="Times New Roman"/>
                <w:b/>
                <w:bCs/>
              </w:rPr>
              <w:t>Zone of Inhibition (mm) by Antibiotics</w:t>
            </w:r>
          </w:p>
        </w:tc>
      </w:tr>
      <w:tr w:rsidR="003E43E6" w:rsidRPr="003E43E6" w14:paraId="16A60C84" w14:textId="77777777" w:rsidTr="00C2522F">
        <w:tblPrEx>
          <w:tblLook w:val="04A0" w:firstRow="1" w:lastRow="0" w:firstColumn="1" w:lastColumn="0" w:noHBand="0" w:noVBand="1"/>
        </w:tblPrEx>
        <w:tc>
          <w:tcPr>
            <w:tcW w:w="1620" w:type="dxa"/>
            <w:tcBorders>
              <w:top w:val="nil"/>
              <w:bottom w:val="single" w:sz="4" w:space="0" w:color="auto"/>
            </w:tcBorders>
          </w:tcPr>
          <w:p w14:paraId="74ACAD1C" w14:textId="77777777" w:rsidR="00DA061C" w:rsidRPr="003E43E6" w:rsidRDefault="00DA061C" w:rsidP="00835951">
            <w:pPr>
              <w:spacing w:before="240"/>
              <w:jc w:val="both"/>
              <w:rPr>
                <w:rFonts w:ascii="Times New Roman" w:hAnsi="Times New Roman" w:cs="Times New Roman"/>
                <w:b/>
                <w:bCs/>
              </w:rPr>
            </w:pPr>
            <w:r w:rsidRPr="003E43E6">
              <w:rPr>
                <w:rFonts w:ascii="Times New Roman" w:hAnsi="Times New Roman" w:cs="Times New Roman"/>
                <w:b/>
                <w:bCs/>
              </w:rPr>
              <w:t>Bacteria</w:t>
            </w:r>
          </w:p>
        </w:tc>
        <w:tc>
          <w:tcPr>
            <w:tcW w:w="630" w:type="dxa"/>
            <w:tcBorders>
              <w:top w:val="nil"/>
              <w:bottom w:val="single" w:sz="4" w:space="0" w:color="auto"/>
            </w:tcBorders>
          </w:tcPr>
          <w:p w14:paraId="1F79FBA4"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rPr>
              <w:t>AM</w:t>
            </w:r>
          </w:p>
        </w:tc>
        <w:tc>
          <w:tcPr>
            <w:tcW w:w="928" w:type="dxa"/>
            <w:tcBorders>
              <w:top w:val="nil"/>
              <w:bottom w:val="single" w:sz="4" w:space="0" w:color="auto"/>
            </w:tcBorders>
          </w:tcPr>
          <w:p w14:paraId="25B78EC8"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rPr>
              <w:t>LEV</w:t>
            </w:r>
          </w:p>
        </w:tc>
        <w:tc>
          <w:tcPr>
            <w:tcW w:w="1183" w:type="dxa"/>
            <w:tcBorders>
              <w:top w:val="nil"/>
              <w:bottom w:val="single" w:sz="4" w:space="0" w:color="auto"/>
            </w:tcBorders>
          </w:tcPr>
          <w:p w14:paraId="0DED5E15"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rPr>
              <w:t>MEM</w:t>
            </w:r>
          </w:p>
        </w:tc>
        <w:tc>
          <w:tcPr>
            <w:tcW w:w="1134" w:type="dxa"/>
            <w:tcBorders>
              <w:top w:val="nil"/>
              <w:bottom w:val="single" w:sz="4" w:space="0" w:color="auto"/>
            </w:tcBorders>
          </w:tcPr>
          <w:p w14:paraId="663F13C8"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rPr>
              <w:t>FOX</w:t>
            </w:r>
          </w:p>
        </w:tc>
        <w:tc>
          <w:tcPr>
            <w:tcW w:w="422" w:type="dxa"/>
            <w:tcBorders>
              <w:top w:val="nil"/>
              <w:bottom w:val="single" w:sz="4" w:space="0" w:color="auto"/>
            </w:tcBorders>
          </w:tcPr>
          <w:p w14:paraId="1CE6DCCA"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rPr>
              <w:t>E</w:t>
            </w:r>
          </w:p>
        </w:tc>
        <w:tc>
          <w:tcPr>
            <w:tcW w:w="570" w:type="dxa"/>
            <w:tcBorders>
              <w:top w:val="nil"/>
              <w:bottom w:val="single" w:sz="4" w:space="0" w:color="auto"/>
            </w:tcBorders>
          </w:tcPr>
          <w:p w14:paraId="5FB0F1E5"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rPr>
              <w:t>VA</w:t>
            </w:r>
          </w:p>
        </w:tc>
        <w:tc>
          <w:tcPr>
            <w:tcW w:w="1134" w:type="dxa"/>
            <w:tcBorders>
              <w:top w:val="nil"/>
              <w:bottom w:val="single" w:sz="4" w:space="0" w:color="auto"/>
            </w:tcBorders>
          </w:tcPr>
          <w:p w14:paraId="223CC718"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rPr>
              <w:t>CD</w:t>
            </w:r>
          </w:p>
        </w:tc>
        <w:tc>
          <w:tcPr>
            <w:tcW w:w="1134" w:type="dxa"/>
            <w:tcBorders>
              <w:top w:val="nil"/>
              <w:bottom w:val="single" w:sz="4" w:space="0" w:color="auto"/>
            </w:tcBorders>
          </w:tcPr>
          <w:p w14:paraId="10AEA296"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rPr>
              <w:t>CXM</w:t>
            </w:r>
          </w:p>
        </w:tc>
        <w:tc>
          <w:tcPr>
            <w:tcW w:w="1134" w:type="dxa"/>
            <w:tcBorders>
              <w:top w:val="nil"/>
              <w:bottom w:val="single" w:sz="4" w:space="0" w:color="auto"/>
            </w:tcBorders>
          </w:tcPr>
          <w:p w14:paraId="16A0172E" w14:textId="77777777" w:rsidR="00DA061C" w:rsidRPr="003E43E6" w:rsidRDefault="00DA061C" w:rsidP="00835951">
            <w:pPr>
              <w:spacing w:before="240"/>
              <w:jc w:val="center"/>
              <w:rPr>
                <w:rFonts w:ascii="Times New Roman" w:hAnsi="Times New Roman" w:cs="Times New Roman"/>
                <w:b/>
                <w:bCs/>
              </w:rPr>
            </w:pPr>
            <w:r w:rsidRPr="003E43E6">
              <w:rPr>
                <w:rFonts w:ascii="Times New Roman" w:hAnsi="Times New Roman" w:cs="Times New Roman"/>
                <w:b/>
                <w:bCs/>
              </w:rPr>
              <w:t>CTX</w:t>
            </w:r>
          </w:p>
        </w:tc>
      </w:tr>
      <w:tr w:rsidR="003E43E6" w:rsidRPr="003E43E6" w14:paraId="19C0CCA2" w14:textId="77777777" w:rsidTr="00C2522F">
        <w:tblPrEx>
          <w:tblLook w:val="04A0" w:firstRow="1" w:lastRow="0" w:firstColumn="1" w:lastColumn="0" w:noHBand="0" w:noVBand="1"/>
        </w:tblPrEx>
        <w:tc>
          <w:tcPr>
            <w:tcW w:w="1620" w:type="dxa"/>
            <w:tcBorders>
              <w:top w:val="single" w:sz="4" w:space="0" w:color="auto"/>
            </w:tcBorders>
          </w:tcPr>
          <w:p w14:paraId="7B3ADE65" w14:textId="77777777" w:rsidR="00DA061C" w:rsidRPr="003E43E6" w:rsidRDefault="00DA061C" w:rsidP="00835951">
            <w:pPr>
              <w:spacing w:before="240"/>
              <w:jc w:val="both"/>
              <w:rPr>
                <w:rFonts w:ascii="Times New Roman" w:hAnsi="Times New Roman" w:cs="Times New Roman"/>
                <w:i/>
              </w:rPr>
            </w:pPr>
            <w:r w:rsidRPr="003E43E6">
              <w:rPr>
                <w:rFonts w:ascii="Times New Roman" w:hAnsi="Times New Roman" w:cs="Times New Roman"/>
                <w:i/>
              </w:rPr>
              <w:t>E. coli</w:t>
            </w:r>
          </w:p>
        </w:tc>
        <w:tc>
          <w:tcPr>
            <w:tcW w:w="630" w:type="dxa"/>
            <w:tcBorders>
              <w:top w:val="single" w:sz="4" w:space="0" w:color="auto"/>
            </w:tcBorders>
          </w:tcPr>
          <w:p w14:paraId="1C72BC9C"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928" w:type="dxa"/>
            <w:tcBorders>
              <w:top w:val="single" w:sz="4" w:space="0" w:color="auto"/>
            </w:tcBorders>
          </w:tcPr>
          <w:p w14:paraId="78BA6025"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28 ± 1.71</w:t>
            </w:r>
          </w:p>
        </w:tc>
        <w:tc>
          <w:tcPr>
            <w:tcW w:w="1183" w:type="dxa"/>
            <w:tcBorders>
              <w:top w:val="single" w:sz="4" w:space="0" w:color="auto"/>
            </w:tcBorders>
          </w:tcPr>
          <w:p w14:paraId="2107637B"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23 ± 0.82</w:t>
            </w:r>
          </w:p>
        </w:tc>
        <w:tc>
          <w:tcPr>
            <w:tcW w:w="1134" w:type="dxa"/>
            <w:tcBorders>
              <w:top w:val="single" w:sz="4" w:space="0" w:color="auto"/>
            </w:tcBorders>
          </w:tcPr>
          <w:p w14:paraId="338018DC"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20 ± 1.48</w:t>
            </w:r>
          </w:p>
        </w:tc>
        <w:tc>
          <w:tcPr>
            <w:tcW w:w="422" w:type="dxa"/>
            <w:tcBorders>
              <w:top w:val="single" w:sz="4" w:space="0" w:color="auto"/>
            </w:tcBorders>
          </w:tcPr>
          <w:p w14:paraId="54468C15"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570" w:type="dxa"/>
            <w:tcBorders>
              <w:top w:val="single" w:sz="4" w:space="0" w:color="auto"/>
            </w:tcBorders>
          </w:tcPr>
          <w:p w14:paraId="3178EB81"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134" w:type="dxa"/>
            <w:tcBorders>
              <w:top w:val="single" w:sz="4" w:space="0" w:color="auto"/>
            </w:tcBorders>
          </w:tcPr>
          <w:p w14:paraId="06EF8098"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134" w:type="dxa"/>
            <w:tcBorders>
              <w:top w:val="single" w:sz="4" w:space="0" w:color="auto"/>
            </w:tcBorders>
          </w:tcPr>
          <w:p w14:paraId="2D24FAB2"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134" w:type="dxa"/>
            <w:tcBorders>
              <w:top w:val="single" w:sz="4" w:space="0" w:color="auto"/>
            </w:tcBorders>
          </w:tcPr>
          <w:p w14:paraId="7EB25055"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24 ± 1.00</w:t>
            </w:r>
          </w:p>
        </w:tc>
      </w:tr>
      <w:tr w:rsidR="003E43E6" w:rsidRPr="003E43E6" w14:paraId="6B5BA77C" w14:textId="77777777" w:rsidTr="00C2522F">
        <w:tblPrEx>
          <w:tblLook w:val="04A0" w:firstRow="1" w:lastRow="0" w:firstColumn="1" w:lastColumn="0" w:noHBand="0" w:noVBand="1"/>
        </w:tblPrEx>
        <w:tc>
          <w:tcPr>
            <w:tcW w:w="1620" w:type="dxa"/>
          </w:tcPr>
          <w:p w14:paraId="14773128" w14:textId="794B8BCF" w:rsidR="00DA061C" w:rsidRPr="003E43E6" w:rsidRDefault="00DA061C" w:rsidP="00835951">
            <w:pPr>
              <w:spacing w:before="240"/>
              <w:jc w:val="both"/>
              <w:rPr>
                <w:rFonts w:ascii="Times New Roman" w:hAnsi="Times New Roman" w:cs="Times New Roman"/>
                <w:i/>
              </w:rPr>
            </w:pPr>
            <w:proofErr w:type="spellStart"/>
            <w:r w:rsidRPr="003E43E6">
              <w:rPr>
                <w:rFonts w:ascii="Times New Roman" w:hAnsi="Times New Roman" w:cs="Times New Roman"/>
                <w:i/>
              </w:rPr>
              <w:t>Staph</w:t>
            </w:r>
            <w:r w:rsidR="00AE2F3F">
              <w:rPr>
                <w:rFonts w:ascii="Times New Roman" w:hAnsi="Times New Roman" w:cs="Times New Roman"/>
                <w:i/>
              </w:rPr>
              <w:t>ylocococcu</w:t>
            </w:r>
            <w:proofErr w:type="spellEnd"/>
            <w:r w:rsidR="00AE2F3F">
              <w:rPr>
                <w:rFonts w:ascii="Times New Roman" w:hAnsi="Times New Roman" w:cs="Times New Roman"/>
                <w:i/>
              </w:rPr>
              <w:t xml:space="preserve"> </w:t>
            </w:r>
            <w:proofErr w:type="spellStart"/>
            <w:r w:rsidRPr="003E43E6">
              <w:rPr>
                <w:rFonts w:ascii="Times New Roman" w:hAnsi="Times New Roman" w:cs="Times New Roman"/>
                <w:i/>
              </w:rPr>
              <w:t>spp</w:t>
            </w:r>
            <w:proofErr w:type="spellEnd"/>
          </w:p>
        </w:tc>
        <w:tc>
          <w:tcPr>
            <w:tcW w:w="630" w:type="dxa"/>
          </w:tcPr>
          <w:p w14:paraId="3BA577E4"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928" w:type="dxa"/>
          </w:tcPr>
          <w:p w14:paraId="55F52DAF"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19 ± 0.00</w:t>
            </w:r>
          </w:p>
        </w:tc>
        <w:tc>
          <w:tcPr>
            <w:tcW w:w="1183" w:type="dxa"/>
          </w:tcPr>
          <w:p w14:paraId="39E673D5"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14 ± 0.00</w:t>
            </w:r>
          </w:p>
        </w:tc>
        <w:tc>
          <w:tcPr>
            <w:tcW w:w="1134" w:type="dxa"/>
          </w:tcPr>
          <w:p w14:paraId="58F68360"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25 ± 0.00</w:t>
            </w:r>
          </w:p>
        </w:tc>
        <w:tc>
          <w:tcPr>
            <w:tcW w:w="422" w:type="dxa"/>
          </w:tcPr>
          <w:p w14:paraId="041AE148"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570" w:type="dxa"/>
          </w:tcPr>
          <w:p w14:paraId="16412DBF"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134" w:type="dxa"/>
          </w:tcPr>
          <w:p w14:paraId="5D84C0C4"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23 ± 0.00</w:t>
            </w:r>
          </w:p>
        </w:tc>
        <w:tc>
          <w:tcPr>
            <w:tcW w:w="1134" w:type="dxa"/>
          </w:tcPr>
          <w:p w14:paraId="48E40AE0"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24 ± 0.00</w:t>
            </w:r>
          </w:p>
        </w:tc>
        <w:tc>
          <w:tcPr>
            <w:tcW w:w="1134" w:type="dxa"/>
          </w:tcPr>
          <w:p w14:paraId="6F820DE3"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24 ± 0.00</w:t>
            </w:r>
          </w:p>
        </w:tc>
      </w:tr>
      <w:tr w:rsidR="003E43E6" w:rsidRPr="003E43E6" w14:paraId="0B53FE1F" w14:textId="77777777" w:rsidTr="00C2522F">
        <w:tblPrEx>
          <w:tblLook w:val="04A0" w:firstRow="1" w:lastRow="0" w:firstColumn="1" w:lastColumn="0" w:noHBand="0" w:noVBand="1"/>
        </w:tblPrEx>
        <w:tc>
          <w:tcPr>
            <w:tcW w:w="1620" w:type="dxa"/>
          </w:tcPr>
          <w:p w14:paraId="36354126" w14:textId="4296BE39" w:rsidR="00DA061C" w:rsidRPr="003E43E6" w:rsidRDefault="00DA061C" w:rsidP="00835951">
            <w:pPr>
              <w:spacing w:before="240"/>
              <w:jc w:val="both"/>
              <w:rPr>
                <w:rFonts w:ascii="Times New Roman" w:hAnsi="Times New Roman" w:cs="Times New Roman"/>
                <w:i/>
              </w:rPr>
            </w:pPr>
            <w:r w:rsidRPr="003E43E6">
              <w:rPr>
                <w:rFonts w:ascii="Times New Roman" w:hAnsi="Times New Roman" w:cs="Times New Roman"/>
                <w:i/>
              </w:rPr>
              <w:t>Klebsiella</w:t>
            </w:r>
            <w:r w:rsidR="00A53C86">
              <w:rPr>
                <w:rFonts w:ascii="Times New Roman" w:hAnsi="Times New Roman" w:cs="Times New Roman"/>
                <w:i/>
              </w:rPr>
              <w:t xml:space="preserve"> </w:t>
            </w:r>
            <w:proofErr w:type="spellStart"/>
            <w:r w:rsidR="00A53C86">
              <w:rPr>
                <w:rFonts w:ascii="Times New Roman" w:hAnsi="Times New Roman" w:cs="Times New Roman"/>
                <w:i/>
              </w:rPr>
              <w:t>spp</w:t>
            </w:r>
            <w:proofErr w:type="spellEnd"/>
          </w:p>
        </w:tc>
        <w:tc>
          <w:tcPr>
            <w:tcW w:w="630" w:type="dxa"/>
          </w:tcPr>
          <w:p w14:paraId="34112772"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928" w:type="dxa"/>
          </w:tcPr>
          <w:p w14:paraId="112315B0"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25 ± 0.00</w:t>
            </w:r>
          </w:p>
        </w:tc>
        <w:tc>
          <w:tcPr>
            <w:tcW w:w="1183" w:type="dxa"/>
          </w:tcPr>
          <w:p w14:paraId="0A03A92D"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16 ± 0.00</w:t>
            </w:r>
          </w:p>
        </w:tc>
        <w:tc>
          <w:tcPr>
            <w:tcW w:w="1134" w:type="dxa"/>
          </w:tcPr>
          <w:p w14:paraId="497DEB94"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422" w:type="dxa"/>
          </w:tcPr>
          <w:p w14:paraId="7EC36A7F"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570" w:type="dxa"/>
          </w:tcPr>
          <w:p w14:paraId="29D99342"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134" w:type="dxa"/>
          </w:tcPr>
          <w:p w14:paraId="1AF30E0A"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134" w:type="dxa"/>
          </w:tcPr>
          <w:p w14:paraId="796E5EE9" w14:textId="77777777" w:rsidR="00DA061C" w:rsidRPr="003E43E6" w:rsidRDefault="00DA061C" w:rsidP="00835951">
            <w:pPr>
              <w:spacing w:before="240"/>
              <w:jc w:val="center"/>
              <w:rPr>
                <w:rFonts w:ascii="Times New Roman" w:hAnsi="Times New Roman" w:cs="Times New Roman"/>
              </w:rPr>
            </w:pPr>
          </w:p>
        </w:tc>
        <w:tc>
          <w:tcPr>
            <w:tcW w:w="1134" w:type="dxa"/>
          </w:tcPr>
          <w:p w14:paraId="1A3C0336"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31 ± 0.00</w:t>
            </w:r>
          </w:p>
        </w:tc>
      </w:tr>
      <w:tr w:rsidR="00DA061C" w:rsidRPr="003E43E6" w14:paraId="2B662691" w14:textId="77777777" w:rsidTr="00C2522F">
        <w:tblPrEx>
          <w:tblLook w:val="04A0" w:firstRow="1" w:lastRow="0" w:firstColumn="1" w:lastColumn="0" w:noHBand="0" w:noVBand="1"/>
        </w:tblPrEx>
        <w:tc>
          <w:tcPr>
            <w:tcW w:w="1620" w:type="dxa"/>
          </w:tcPr>
          <w:p w14:paraId="30489406" w14:textId="72066B8B" w:rsidR="00DA061C" w:rsidRPr="00AE2F3F" w:rsidRDefault="00DA061C" w:rsidP="00835951">
            <w:pPr>
              <w:spacing w:before="240"/>
              <w:jc w:val="both"/>
              <w:rPr>
                <w:rFonts w:ascii="Times New Roman" w:hAnsi="Times New Roman" w:cs="Times New Roman"/>
                <w:i/>
              </w:rPr>
            </w:pPr>
            <w:r w:rsidRPr="00AE2F3F">
              <w:rPr>
                <w:rFonts w:ascii="Times New Roman" w:hAnsi="Times New Roman" w:cs="Times New Roman"/>
                <w:i/>
              </w:rPr>
              <w:t>Enterobacter</w:t>
            </w:r>
            <w:r w:rsidR="00A53C86">
              <w:rPr>
                <w:rFonts w:ascii="Times New Roman" w:hAnsi="Times New Roman" w:cs="Times New Roman"/>
                <w:i/>
              </w:rPr>
              <w:t xml:space="preserve"> </w:t>
            </w:r>
            <w:proofErr w:type="spellStart"/>
            <w:r w:rsidR="00A53C86">
              <w:rPr>
                <w:rFonts w:ascii="Times New Roman" w:hAnsi="Times New Roman" w:cs="Times New Roman"/>
                <w:i/>
              </w:rPr>
              <w:t>spp</w:t>
            </w:r>
            <w:proofErr w:type="spellEnd"/>
          </w:p>
        </w:tc>
        <w:tc>
          <w:tcPr>
            <w:tcW w:w="630" w:type="dxa"/>
          </w:tcPr>
          <w:p w14:paraId="6B637CD3"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928" w:type="dxa"/>
          </w:tcPr>
          <w:p w14:paraId="62B891E7"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21 ± 0.00</w:t>
            </w:r>
          </w:p>
        </w:tc>
        <w:tc>
          <w:tcPr>
            <w:tcW w:w="1183" w:type="dxa"/>
          </w:tcPr>
          <w:p w14:paraId="5DC23072"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24 ± 0.00</w:t>
            </w:r>
          </w:p>
        </w:tc>
        <w:tc>
          <w:tcPr>
            <w:tcW w:w="1134" w:type="dxa"/>
          </w:tcPr>
          <w:p w14:paraId="7DC963F8"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422" w:type="dxa"/>
          </w:tcPr>
          <w:p w14:paraId="320D2A24"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570" w:type="dxa"/>
          </w:tcPr>
          <w:p w14:paraId="3E166319"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134" w:type="dxa"/>
          </w:tcPr>
          <w:p w14:paraId="7BE47C83"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134" w:type="dxa"/>
          </w:tcPr>
          <w:p w14:paraId="0789A3E8"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c>
          <w:tcPr>
            <w:tcW w:w="1134" w:type="dxa"/>
          </w:tcPr>
          <w:p w14:paraId="4661A790" w14:textId="77777777" w:rsidR="00DA061C" w:rsidRPr="003E43E6" w:rsidRDefault="00DA061C" w:rsidP="00835951">
            <w:pPr>
              <w:spacing w:before="240"/>
              <w:jc w:val="center"/>
              <w:rPr>
                <w:rFonts w:ascii="Times New Roman" w:hAnsi="Times New Roman" w:cs="Times New Roman"/>
              </w:rPr>
            </w:pPr>
            <w:r w:rsidRPr="003E43E6">
              <w:rPr>
                <w:rFonts w:ascii="Times New Roman" w:hAnsi="Times New Roman" w:cs="Times New Roman"/>
              </w:rPr>
              <w:t>R</w:t>
            </w:r>
          </w:p>
        </w:tc>
      </w:tr>
    </w:tbl>
    <w:p w14:paraId="08E247B2" w14:textId="77777777" w:rsidR="00DA061C" w:rsidRPr="003E43E6" w:rsidRDefault="00DA061C" w:rsidP="00835951">
      <w:pPr>
        <w:spacing w:after="0" w:line="240" w:lineRule="auto"/>
        <w:jc w:val="both"/>
        <w:rPr>
          <w:rFonts w:ascii="Times New Roman" w:hAnsi="Times New Roman" w:cs="Times New Roman"/>
          <w:b/>
          <w:bCs/>
        </w:rPr>
      </w:pPr>
    </w:p>
    <w:p w14:paraId="6BE521EC" w14:textId="77777777" w:rsidR="00DA061C" w:rsidRPr="00307826" w:rsidRDefault="00DA061C" w:rsidP="00835951">
      <w:pPr>
        <w:spacing w:after="0" w:line="240" w:lineRule="auto"/>
        <w:jc w:val="both"/>
        <w:rPr>
          <w:rFonts w:ascii="Times New Roman" w:hAnsi="Times New Roman" w:cs="Times New Roman"/>
          <w:bCs/>
        </w:rPr>
      </w:pPr>
      <w:r w:rsidRPr="00307826">
        <w:rPr>
          <w:rFonts w:ascii="Times New Roman" w:hAnsi="Times New Roman" w:cs="Times New Roman"/>
          <w:bCs/>
        </w:rPr>
        <w:t xml:space="preserve">KEY: </w:t>
      </w:r>
    </w:p>
    <w:p w14:paraId="505345A8" w14:textId="550055D5" w:rsidR="00DA061C" w:rsidRPr="00307826" w:rsidRDefault="00DA061C" w:rsidP="00835951">
      <w:pPr>
        <w:spacing w:after="0" w:line="240" w:lineRule="auto"/>
        <w:jc w:val="both"/>
        <w:rPr>
          <w:rFonts w:ascii="Times New Roman" w:hAnsi="Times New Roman" w:cs="Times New Roman"/>
        </w:rPr>
      </w:pPr>
      <w:r w:rsidRPr="00307826">
        <w:rPr>
          <w:rFonts w:ascii="Times New Roman" w:hAnsi="Times New Roman" w:cs="Times New Roman"/>
        </w:rPr>
        <w:t>AM – Amoxicillin, LEV – Levofloxacin, MEM – Meropenem, CXM – Cefuroxime, CTX – Cefotaxime, VA – Vancomycin, E – Erythromycin, CD – Clindamycin, FOX - Cefoxitin</w:t>
      </w:r>
    </w:p>
    <w:p w14:paraId="245F8A3C" w14:textId="7B58A1DD" w:rsidR="00DA061C" w:rsidRPr="000B0E24" w:rsidRDefault="000B0E24" w:rsidP="00835951">
      <w:pPr>
        <w:spacing w:after="0" w:line="240" w:lineRule="auto"/>
        <w:jc w:val="both"/>
        <w:rPr>
          <w:rFonts w:ascii="Times New Roman" w:hAnsi="Times New Roman" w:cs="Times New Roman"/>
        </w:rPr>
      </w:pPr>
      <w:r w:rsidRPr="000B0E24">
        <w:rPr>
          <w:rFonts w:ascii="Times New Roman" w:hAnsi="Times New Roman" w:cs="Times New Roman"/>
        </w:rPr>
        <w:t>Sensitive (S): ≥ 21–30 mm, Intermediate (I): 14–20 mm, Resistant (R): 13–14 mm.</w:t>
      </w:r>
    </w:p>
    <w:p w14:paraId="07B1577A" w14:textId="77777777" w:rsidR="000B0E24" w:rsidRDefault="000B0E24" w:rsidP="00835951">
      <w:pPr>
        <w:spacing w:after="0" w:line="240" w:lineRule="auto"/>
        <w:jc w:val="both"/>
        <w:rPr>
          <w:rFonts w:ascii="Times New Roman" w:hAnsi="Times New Roman" w:cs="Times New Roman"/>
        </w:rPr>
      </w:pPr>
    </w:p>
    <w:p w14:paraId="373E3963" w14:textId="77777777" w:rsidR="00A53C86" w:rsidRDefault="00A53C86" w:rsidP="00835951">
      <w:pPr>
        <w:spacing w:after="0" w:line="240" w:lineRule="auto"/>
        <w:jc w:val="both"/>
        <w:rPr>
          <w:rFonts w:ascii="Times New Roman" w:hAnsi="Times New Roman" w:cs="Times New Roman"/>
        </w:rPr>
      </w:pPr>
    </w:p>
    <w:p w14:paraId="63F6891B" w14:textId="77777777" w:rsidR="00A53C86" w:rsidRPr="000B0E24" w:rsidRDefault="00A53C86" w:rsidP="00835951">
      <w:pPr>
        <w:spacing w:after="0" w:line="240" w:lineRule="auto"/>
        <w:jc w:val="both"/>
        <w:rPr>
          <w:rFonts w:ascii="Times New Roman" w:hAnsi="Times New Roman" w:cs="Times New Roman"/>
        </w:rPr>
      </w:pPr>
    </w:p>
    <w:p w14:paraId="5B40F7AA" w14:textId="4BFCCB7C" w:rsidR="00F81AB3" w:rsidRPr="003E43E6" w:rsidRDefault="00DA061C" w:rsidP="001303BF">
      <w:pPr>
        <w:spacing w:after="0" w:line="240" w:lineRule="auto"/>
        <w:rPr>
          <w:rFonts w:ascii="Times New Roman" w:hAnsi="Times New Roman" w:cs="Times New Roman"/>
          <w:b/>
          <w:bCs/>
        </w:rPr>
      </w:pPr>
      <w:r w:rsidRPr="003E43E6">
        <w:rPr>
          <w:rFonts w:ascii="Times New Roman" w:hAnsi="Times New Roman" w:cs="Times New Roman"/>
          <w:b/>
          <w:bCs/>
        </w:rPr>
        <w:lastRenderedPageBreak/>
        <w:t>DISCUSSION</w:t>
      </w:r>
    </w:p>
    <w:p w14:paraId="20E6A9E5" w14:textId="38FA332C" w:rsidR="00B81F6B" w:rsidRPr="00B81F6B" w:rsidRDefault="004719D7" w:rsidP="00835951">
      <w:pPr>
        <w:spacing w:after="0" w:line="240" w:lineRule="auto"/>
        <w:jc w:val="both"/>
        <w:rPr>
          <w:rFonts w:ascii="Times New Roman" w:hAnsi="Times New Roman" w:cs="Times New Roman"/>
          <w:color w:val="00B050"/>
        </w:rPr>
      </w:pPr>
      <w:r w:rsidRPr="006A451B">
        <w:rPr>
          <w:rFonts w:ascii="Times New Roman" w:hAnsi="Times New Roman" w:cs="Times New Roman"/>
          <w:color w:val="00B050"/>
        </w:rPr>
        <w:t>This study showed</w:t>
      </w:r>
      <w:r w:rsidR="00DA061C" w:rsidRPr="006A451B">
        <w:rPr>
          <w:rFonts w:ascii="Times New Roman" w:hAnsi="Times New Roman" w:cs="Times New Roman"/>
          <w:color w:val="00B050"/>
        </w:rPr>
        <w:t xml:space="preserve"> that most measured physicochemical parameters (temperature, turbidity, TDS, total hardness, alkalinity, chloride, nitrate, calcium, phosphate) fell within World Health Organization limits for drinking water, indicating broadly acceptable chemical and physical quality for both bottled and sachet water samples</w:t>
      </w:r>
      <w:r w:rsidR="00B404AC" w:rsidRPr="006A451B">
        <w:rPr>
          <w:rFonts w:ascii="Times New Roman" w:hAnsi="Times New Roman" w:cs="Times New Roman"/>
          <w:color w:val="00B050"/>
        </w:rPr>
        <w:t xml:space="preserve">, </w:t>
      </w:r>
      <w:r w:rsidR="00804B0D" w:rsidRPr="006A451B">
        <w:rPr>
          <w:rFonts w:ascii="Times New Roman" w:hAnsi="Times New Roman" w:cs="Times New Roman"/>
          <w:color w:val="00B050"/>
        </w:rPr>
        <w:t>However</w:t>
      </w:r>
      <w:r w:rsidR="00B404AC" w:rsidRPr="006A451B">
        <w:rPr>
          <w:rFonts w:ascii="Times New Roman" w:hAnsi="Times New Roman" w:cs="Times New Roman"/>
          <w:color w:val="00B050"/>
        </w:rPr>
        <w:t>, n</w:t>
      </w:r>
      <w:r w:rsidR="00DA061C" w:rsidRPr="006A451B">
        <w:rPr>
          <w:rFonts w:ascii="Times New Roman" w:hAnsi="Times New Roman" w:cs="Times New Roman"/>
          <w:color w:val="00B050"/>
        </w:rPr>
        <w:t>otable differences were observed</w:t>
      </w:r>
      <w:r w:rsidR="00EE3EDE" w:rsidRPr="006A451B">
        <w:rPr>
          <w:rFonts w:ascii="Times New Roman" w:hAnsi="Times New Roman" w:cs="Times New Roman"/>
          <w:color w:val="00B050"/>
        </w:rPr>
        <w:t xml:space="preserve">; </w:t>
      </w:r>
      <w:r w:rsidR="00DA061C" w:rsidRPr="006A451B">
        <w:rPr>
          <w:rFonts w:ascii="Times New Roman" w:hAnsi="Times New Roman" w:cs="Times New Roman"/>
          <w:color w:val="00B050"/>
        </w:rPr>
        <w:t xml:space="preserve">bottled water had higher pH (7.35) and higher total hardness, TDS and electrical conductivity than sachet water (pH 6.6; TDS 18 mg/L, conductivity 36 </w:t>
      </w:r>
      <w:r w:rsidR="00DA061C" w:rsidRPr="006A451B">
        <w:rPr>
          <w:rFonts w:ascii="Times New Roman" w:hAnsi="Times New Roman" w:cs="Times New Roman" w:hint="eastAsia"/>
          <w:color w:val="00B050"/>
        </w:rPr>
        <w:t>µ</w:t>
      </w:r>
      <w:r w:rsidR="00DA061C" w:rsidRPr="006A451B">
        <w:rPr>
          <w:rFonts w:ascii="Times New Roman" w:hAnsi="Times New Roman" w:cs="Times New Roman"/>
          <w:color w:val="00B050"/>
        </w:rPr>
        <w:t>S/cm), and magnesium concentration in bottled water (2.76 mg/L) exceeded the WHO recommended value.</w:t>
      </w:r>
      <w:r w:rsidR="00A53C86">
        <w:rPr>
          <w:rFonts w:ascii="Times New Roman" w:hAnsi="Times New Roman" w:cs="Times New Roman"/>
          <w:color w:val="00B050"/>
        </w:rPr>
        <w:t xml:space="preserve"> </w:t>
      </w:r>
      <w:r w:rsidR="00370C8F" w:rsidRPr="006A451B">
        <w:rPr>
          <w:rFonts w:ascii="Times New Roman" w:hAnsi="Times New Roman" w:cs="Times New Roman"/>
          <w:color w:val="00B050"/>
        </w:rPr>
        <w:t xml:space="preserve">These differences could be attributed to the different sources of water used for both the sachet and bottled water samples. Bottled water samples usually have their source water from </w:t>
      </w:r>
      <w:r w:rsidR="00DA061C" w:rsidRPr="006A451B">
        <w:rPr>
          <w:rFonts w:ascii="Times New Roman" w:hAnsi="Times New Roman" w:cs="Times New Roman"/>
          <w:color w:val="00B050"/>
        </w:rPr>
        <w:t>deep boreholes or mineral springs</w:t>
      </w:r>
      <w:r w:rsidR="00A53C86">
        <w:rPr>
          <w:rFonts w:ascii="Times New Roman" w:hAnsi="Times New Roman" w:cs="Times New Roman"/>
          <w:color w:val="00B050"/>
        </w:rPr>
        <w:t>,</w:t>
      </w:r>
      <w:r w:rsidR="00DA061C" w:rsidRPr="006A451B">
        <w:rPr>
          <w:rFonts w:ascii="Times New Roman" w:hAnsi="Times New Roman" w:cs="Times New Roman"/>
          <w:color w:val="00B050"/>
        </w:rPr>
        <w:t xml:space="preserve"> </w:t>
      </w:r>
      <w:r w:rsidR="00370C8F" w:rsidRPr="006A451B">
        <w:rPr>
          <w:rFonts w:ascii="Times New Roman" w:hAnsi="Times New Roman" w:cs="Times New Roman"/>
          <w:color w:val="00B050"/>
        </w:rPr>
        <w:t xml:space="preserve">whereas sachet water </w:t>
      </w:r>
      <w:r w:rsidR="00A53C86">
        <w:rPr>
          <w:rFonts w:ascii="Times New Roman" w:hAnsi="Times New Roman" w:cs="Times New Roman"/>
          <w:color w:val="00B050"/>
        </w:rPr>
        <w:t>is</w:t>
      </w:r>
      <w:r w:rsidR="00370C8F" w:rsidRPr="006A451B">
        <w:rPr>
          <w:rFonts w:ascii="Times New Roman" w:hAnsi="Times New Roman" w:cs="Times New Roman"/>
          <w:color w:val="00B050"/>
        </w:rPr>
        <w:t xml:space="preserve"> mostly sourced from </w:t>
      </w:r>
      <w:r w:rsidR="00DA061C" w:rsidRPr="006A451B">
        <w:rPr>
          <w:rFonts w:ascii="Times New Roman" w:hAnsi="Times New Roman" w:cs="Times New Roman"/>
          <w:color w:val="00B050"/>
        </w:rPr>
        <w:t>shallow wells, municipal sources, or mixed sources</w:t>
      </w:r>
      <w:r w:rsidR="00370C8F" w:rsidRPr="006A451B">
        <w:rPr>
          <w:rFonts w:ascii="Times New Roman" w:hAnsi="Times New Roman" w:cs="Times New Roman"/>
          <w:color w:val="00B050"/>
        </w:rPr>
        <w:t>. Other factors</w:t>
      </w:r>
      <w:r w:rsidR="00A53C86">
        <w:rPr>
          <w:rFonts w:ascii="Times New Roman" w:hAnsi="Times New Roman" w:cs="Times New Roman"/>
          <w:color w:val="00B050"/>
        </w:rPr>
        <w:t>,</w:t>
      </w:r>
      <w:r w:rsidR="00370C8F" w:rsidRPr="006A451B">
        <w:rPr>
          <w:rFonts w:ascii="Times New Roman" w:hAnsi="Times New Roman" w:cs="Times New Roman"/>
          <w:color w:val="00B050"/>
        </w:rPr>
        <w:t xml:space="preserve"> such as t</w:t>
      </w:r>
      <w:r w:rsidR="00DA061C" w:rsidRPr="006A451B">
        <w:rPr>
          <w:rFonts w:ascii="Times New Roman" w:hAnsi="Times New Roman" w:cs="Times New Roman"/>
          <w:color w:val="00B050"/>
        </w:rPr>
        <w:t>reatment technology</w:t>
      </w:r>
      <w:r w:rsidR="00370C8F" w:rsidRPr="006A451B">
        <w:rPr>
          <w:rFonts w:ascii="Times New Roman" w:hAnsi="Times New Roman" w:cs="Times New Roman"/>
          <w:color w:val="00B050"/>
        </w:rPr>
        <w:t xml:space="preserve">, </w:t>
      </w:r>
      <w:r w:rsidR="00DA061C" w:rsidRPr="006A451B">
        <w:rPr>
          <w:rFonts w:ascii="Times New Roman" w:hAnsi="Times New Roman" w:cs="Times New Roman"/>
          <w:color w:val="00B050"/>
        </w:rPr>
        <w:t>blending practices, and post-treatment</w:t>
      </w:r>
      <w:r w:rsidR="00A53C86">
        <w:rPr>
          <w:rFonts w:ascii="Times New Roman" w:hAnsi="Times New Roman" w:cs="Times New Roman"/>
          <w:color w:val="00B050"/>
        </w:rPr>
        <w:t>,</w:t>
      </w:r>
      <w:r w:rsidR="00804B0D" w:rsidRPr="006A451B">
        <w:rPr>
          <w:rFonts w:ascii="Times New Roman" w:hAnsi="Times New Roman" w:cs="Times New Roman"/>
          <w:color w:val="00B050"/>
        </w:rPr>
        <w:t xml:space="preserve"> could</w:t>
      </w:r>
      <w:r w:rsidR="00DA061C" w:rsidRPr="006A451B">
        <w:rPr>
          <w:rFonts w:ascii="Times New Roman" w:hAnsi="Times New Roman" w:cs="Times New Roman"/>
          <w:color w:val="00B050"/>
        </w:rPr>
        <w:t xml:space="preserve"> </w:t>
      </w:r>
      <w:r w:rsidR="00370C8F" w:rsidRPr="006A451B">
        <w:rPr>
          <w:rFonts w:ascii="Times New Roman" w:hAnsi="Times New Roman" w:cs="Times New Roman"/>
          <w:color w:val="00B050"/>
        </w:rPr>
        <w:t xml:space="preserve">also contribute to these differences noted. </w:t>
      </w:r>
      <w:r w:rsidR="00A53C86">
        <w:rPr>
          <w:rFonts w:ascii="Times New Roman" w:hAnsi="Times New Roman" w:cs="Times New Roman"/>
          <w:color w:val="00B050"/>
        </w:rPr>
        <w:t xml:space="preserve"> </w:t>
      </w:r>
      <w:proofErr w:type="spellStart"/>
      <w:r w:rsidR="00370C8F" w:rsidRPr="00B81F6B">
        <w:rPr>
          <w:rFonts w:ascii="Times New Roman" w:hAnsi="Times New Roman" w:cs="Times New Roman"/>
          <w:color w:val="00B050"/>
        </w:rPr>
        <w:t>Adesakin</w:t>
      </w:r>
      <w:proofErr w:type="spellEnd"/>
      <w:r w:rsidR="00370C8F" w:rsidRPr="00B81F6B">
        <w:rPr>
          <w:rFonts w:ascii="Times New Roman" w:hAnsi="Times New Roman" w:cs="Times New Roman"/>
          <w:color w:val="00B050"/>
        </w:rPr>
        <w:t xml:space="preserve"> </w:t>
      </w:r>
      <w:r w:rsidR="00370C8F" w:rsidRPr="00B81F6B">
        <w:rPr>
          <w:rFonts w:ascii="Times New Roman" w:hAnsi="Times New Roman" w:cs="Times New Roman"/>
          <w:i/>
          <w:iCs/>
          <w:color w:val="00B050"/>
        </w:rPr>
        <w:t>et al.</w:t>
      </w:r>
      <w:r w:rsidR="00370C8F" w:rsidRPr="00B81F6B">
        <w:rPr>
          <w:rFonts w:ascii="Times New Roman" w:hAnsi="Times New Roman" w:cs="Times New Roman"/>
          <w:color w:val="00B050"/>
        </w:rPr>
        <w:t xml:space="preserve"> (2022) found that sachet water sourced from shallow wells and open reservoirs in Lagos state, Nigeria exhibited higher conductivity and mineral variability compared to bottled water due to leaching from the packaging plastic under heat.</w:t>
      </w:r>
      <w:r w:rsidR="00A53C86">
        <w:rPr>
          <w:rFonts w:ascii="Times New Roman" w:hAnsi="Times New Roman" w:cs="Times New Roman"/>
          <w:color w:val="00B050"/>
        </w:rPr>
        <w:t xml:space="preserve"> </w:t>
      </w:r>
      <w:r w:rsidR="00DA061C" w:rsidRPr="00B81F6B">
        <w:rPr>
          <w:rFonts w:ascii="Times New Roman" w:hAnsi="Times New Roman" w:cs="Times New Roman"/>
          <w:color w:val="00B050"/>
        </w:rPr>
        <w:t xml:space="preserve">Similarly, </w:t>
      </w:r>
      <w:proofErr w:type="spellStart"/>
      <w:r w:rsidR="00DA061C" w:rsidRPr="00B81F6B">
        <w:rPr>
          <w:rFonts w:ascii="Times New Roman" w:hAnsi="Times New Roman" w:cs="Times New Roman"/>
          <w:color w:val="00B050"/>
        </w:rPr>
        <w:t>Tenebe</w:t>
      </w:r>
      <w:proofErr w:type="spellEnd"/>
      <w:r w:rsidR="00DA061C" w:rsidRPr="00B81F6B">
        <w:rPr>
          <w:rFonts w:ascii="Times New Roman" w:hAnsi="Times New Roman" w:cs="Times New Roman"/>
          <w:color w:val="00B050"/>
        </w:rPr>
        <w:t xml:space="preserve"> </w:t>
      </w:r>
      <w:r w:rsidR="00DA061C" w:rsidRPr="00B81F6B">
        <w:rPr>
          <w:rFonts w:ascii="Times New Roman" w:hAnsi="Times New Roman" w:cs="Times New Roman"/>
          <w:i/>
          <w:iCs/>
          <w:color w:val="00B050"/>
        </w:rPr>
        <w:t xml:space="preserve">et al. </w:t>
      </w:r>
      <w:r w:rsidR="00DA061C" w:rsidRPr="00B81F6B">
        <w:rPr>
          <w:rFonts w:ascii="Times New Roman" w:hAnsi="Times New Roman" w:cs="Times New Roman"/>
          <w:color w:val="00B050"/>
        </w:rPr>
        <w:t>(2023) observed that packaged water producers using deep boreholes and reverse osmosis systems recorded more stable physicochemical profiles than smaller producers reliant on municipal taps.</w:t>
      </w:r>
      <w:r w:rsidR="00BB15A6" w:rsidRPr="00B81F6B">
        <w:rPr>
          <w:rFonts w:ascii="Times New Roman" w:hAnsi="Times New Roman" w:cs="Times New Roman"/>
          <w:color w:val="00B050"/>
        </w:rPr>
        <w:t xml:space="preserve"> He also stated that in sachet water with acidic pH (&lt;6.5), chlorine residuals declined faster, allowing regrowth of heterotrophic bacteria during storage. </w:t>
      </w:r>
      <w:r w:rsidR="0037031D" w:rsidRPr="00B81F6B">
        <w:rPr>
          <w:rFonts w:ascii="Times New Roman" w:hAnsi="Times New Roman" w:cs="Times New Roman"/>
          <w:color w:val="00B050"/>
        </w:rPr>
        <w:t>A</w:t>
      </w:r>
      <w:r w:rsidR="002F0AF0" w:rsidRPr="00B81F6B">
        <w:rPr>
          <w:rFonts w:ascii="Times New Roman" w:hAnsi="Times New Roman" w:cs="Times New Roman"/>
          <w:color w:val="00B050"/>
        </w:rPr>
        <w:t>lso, a</w:t>
      </w:r>
      <w:r w:rsidR="0037031D" w:rsidRPr="00B81F6B">
        <w:rPr>
          <w:rFonts w:ascii="Times New Roman" w:hAnsi="Times New Roman" w:cs="Times New Roman"/>
          <w:color w:val="00B050"/>
        </w:rPr>
        <w:t xml:space="preserve"> more recent study carried out by </w:t>
      </w:r>
      <w:r w:rsidR="004E7843" w:rsidRPr="00B81F6B">
        <w:rPr>
          <w:rFonts w:ascii="Times New Roman" w:hAnsi="Times New Roman" w:cs="Times New Roman"/>
          <w:color w:val="00B050"/>
        </w:rPr>
        <w:t xml:space="preserve">John </w:t>
      </w:r>
      <w:r w:rsidR="004E7843" w:rsidRPr="00B81F6B">
        <w:rPr>
          <w:rFonts w:ascii="Times New Roman" w:hAnsi="Times New Roman" w:cs="Times New Roman"/>
          <w:i/>
          <w:iCs/>
          <w:color w:val="00B050"/>
        </w:rPr>
        <w:t>et al.</w:t>
      </w:r>
      <w:r w:rsidR="004E7843" w:rsidRPr="00B81F6B">
        <w:rPr>
          <w:rFonts w:ascii="Times New Roman" w:hAnsi="Times New Roman" w:cs="Times New Roman"/>
          <w:color w:val="00B050"/>
        </w:rPr>
        <w:t xml:space="preserve"> (2024) </w:t>
      </w:r>
      <w:r w:rsidR="0037031D" w:rsidRPr="00B81F6B">
        <w:rPr>
          <w:rFonts w:ascii="Times New Roman" w:hAnsi="Times New Roman" w:cs="Times New Roman"/>
          <w:color w:val="00B050"/>
        </w:rPr>
        <w:t xml:space="preserve">in </w:t>
      </w:r>
      <w:r w:rsidR="0037031D" w:rsidRPr="00A53C86">
        <w:rPr>
          <w:rFonts w:ascii="Times New Roman" w:hAnsi="Times New Roman" w:cs="Times New Roman"/>
          <w:color w:val="00B050"/>
        </w:rPr>
        <w:t>North</w:t>
      </w:r>
      <w:r w:rsidR="0037031D" w:rsidRPr="00A53C86">
        <w:rPr>
          <w:rFonts w:ascii="Times New Roman" w:hAnsi="Times New Roman" w:cs="Times New Roman"/>
          <w:color w:val="00B050"/>
        </w:rPr>
        <w:noBreakHyphen/>
        <w:t xml:space="preserve">West University, Mahikeng Campus, South Africa. </w:t>
      </w:r>
      <w:r w:rsidR="004E7843" w:rsidRPr="00A53C86">
        <w:rPr>
          <w:rFonts w:ascii="Times New Roman" w:hAnsi="Times New Roman" w:cs="Times New Roman"/>
          <w:color w:val="00B050"/>
        </w:rPr>
        <w:t>found that while bottled natural mineral water samples showed variation in some physicochemical measures, the majority of parameters (like pH, EC, DO, TDS)</w:t>
      </w:r>
      <w:r w:rsidR="004E7843" w:rsidRPr="00B81F6B">
        <w:rPr>
          <w:rFonts w:ascii="Times New Roman" w:hAnsi="Times New Roman" w:cs="Times New Roman"/>
          <w:color w:val="00B050"/>
        </w:rPr>
        <w:t xml:space="preserve"> were within acceptable drinking water quality standards</w:t>
      </w:r>
      <w:r w:rsidR="00A53C86">
        <w:rPr>
          <w:rFonts w:ascii="Times New Roman" w:hAnsi="Times New Roman" w:cs="Times New Roman"/>
          <w:color w:val="00B050"/>
        </w:rPr>
        <w:t xml:space="preserve">, </w:t>
      </w:r>
      <w:r w:rsidR="004E7843" w:rsidRPr="00B81F6B">
        <w:rPr>
          <w:rFonts w:ascii="Times New Roman" w:hAnsi="Times New Roman" w:cs="Times New Roman"/>
          <w:color w:val="00B050"/>
        </w:rPr>
        <w:t>suggesting that, from a chemical parameter standpoint, the water was generally safe for consumption under the conditions tested.</w:t>
      </w:r>
      <w:r w:rsidR="00067E25" w:rsidRPr="00B81F6B">
        <w:rPr>
          <w:rFonts w:ascii="Times New Roman" w:hAnsi="Times New Roman" w:cs="Times New Roman"/>
          <w:color w:val="00B050"/>
        </w:rPr>
        <w:t xml:space="preserve"> Other studies have concluded that </w:t>
      </w:r>
      <w:r w:rsidR="009A4F14" w:rsidRPr="00B81F6B">
        <w:rPr>
          <w:rFonts w:ascii="Times New Roman" w:hAnsi="Times New Roman" w:cs="Times New Roman"/>
          <w:color w:val="00B050"/>
        </w:rPr>
        <w:t>h</w:t>
      </w:r>
      <w:r w:rsidR="00067E25" w:rsidRPr="00B81F6B">
        <w:rPr>
          <w:rFonts w:ascii="Times New Roman" w:hAnsi="Times New Roman" w:cs="Times New Roman"/>
          <w:color w:val="00B050"/>
        </w:rPr>
        <w:t>igher mineral content (hardness, conductivity) in bottled water suggests either a mineral-rich source or deliberate mineral blending to meet consumer taste; conversely, lower TDS in sachet water suggests greater demineralization or use of low mineral sources (</w:t>
      </w:r>
      <w:proofErr w:type="spellStart"/>
      <w:r w:rsidR="00067E25" w:rsidRPr="00B81F6B">
        <w:rPr>
          <w:rFonts w:ascii="Times New Roman" w:hAnsi="Times New Roman" w:cs="Times New Roman"/>
          <w:color w:val="00B050"/>
        </w:rPr>
        <w:t>Adesakin</w:t>
      </w:r>
      <w:proofErr w:type="spellEnd"/>
      <w:r w:rsidR="00067E25" w:rsidRPr="00B81F6B">
        <w:rPr>
          <w:rFonts w:ascii="Times New Roman" w:hAnsi="Times New Roman" w:cs="Times New Roman"/>
          <w:color w:val="00B050"/>
        </w:rPr>
        <w:t xml:space="preserve"> </w:t>
      </w:r>
      <w:r w:rsidR="00067E25" w:rsidRPr="00B81F6B">
        <w:rPr>
          <w:rFonts w:ascii="Times New Roman" w:hAnsi="Times New Roman" w:cs="Times New Roman"/>
          <w:i/>
          <w:iCs/>
          <w:color w:val="00B050"/>
        </w:rPr>
        <w:t>et al.</w:t>
      </w:r>
      <w:r w:rsidR="00067E25" w:rsidRPr="00B81F6B">
        <w:rPr>
          <w:rFonts w:ascii="Times New Roman" w:hAnsi="Times New Roman" w:cs="Times New Roman"/>
          <w:color w:val="00B050"/>
        </w:rPr>
        <w:t>, 2022).</w:t>
      </w:r>
      <w:r w:rsidR="00EC2D9C" w:rsidRPr="00B81F6B">
        <w:rPr>
          <w:rFonts w:ascii="Times New Roman" w:hAnsi="Times New Roman" w:cs="Times New Roman"/>
          <w:color w:val="00B050"/>
        </w:rPr>
        <w:t xml:space="preserve"> </w:t>
      </w:r>
    </w:p>
    <w:p w14:paraId="19CA1887" w14:textId="561420A9" w:rsidR="00F46C70" w:rsidRPr="00B81F6B" w:rsidRDefault="00EC2D9C" w:rsidP="00835951">
      <w:pPr>
        <w:spacing w:after="0" w:line="240" w:lineRule="auto"/>
        <w:jc w:val="both"/>
        <w:rPr>
          <w:rFonts w:ascii="Times New Roman" w:hAnsi="Times New Roman" w:cs="Times New Roman"/>
          <w:color w:val="00B050"/>
        </w:rPr>
      </w:pPr>
      <w:r w:rsidRPr="00B81F6B">
        <w:rPr>
          <w:rFonts w:ascii="Times New Roman" w:hAnsi="Times New Roman" w:cs="Times New Roman"/>
          <w:color w:val="00B050"/>
        </w:rPr>
        <w:t xml:space="preserve">Similarly, </w:t>
      </w:r>
      <w:proofErr w:type="spellStart"/>
      <w:r w:rsidR="00DA061C" w:rsidRPr="00B81F6B">
        <w:rPr>
          <w:rFonts w:ascii="Times New Roman" w:hAnsi="Times New Roman" w:cs="Times New Roman"/>
          <w:color w:val="00B050"/>
        </w:rPr>
        <w:t>Maselela</w:t>
      </w:r>
      <w:proofErr w:type="spellEnd"/>
      <w:r w:rsidR="00DA061C" w:rsidRPr="00B81F6B">
        <w:rPr>
          <w:rFonts w:ascii="Times New Roman" w:hAnsi="Times New Roman" w:cs="Times New Roman"/>
          <w:color w:val="00B050"/>
        </w:rPr>
        <w:t xml:space="preserve"> (2024) reported that sachet water brands in South Africa often had lower TDS than bottled brands because of excessive ion exchange during purification, which stripped beneficial minerals. Elevated magnesium above guideline levels, while not acutely toxic at the measured concentration, may indicate either local geology (high magnesium aquifer) or erroneous blending or treatment processes</w:t>
      </w:r>
      <w:r w:rsidR="00A53C86">
        <w:rPr>
          <w:rFonts w:ascii="Times New Roman" w:hAnsi="Times New Roman" w:cs="Times New Roman"/>
          <w:color w:val="00B050"/>
        </w:rPr>
        <w:t>,</w:t>
      </w:r>
      <w:r w:rsidR="00DA061C" w:rsidRPr="00B81F6B">
        <w:rPr>
          <w:rFonts w:ascii="Times New Roman" w:hAnsi="Times New Roman" w:cs="Times New Roman"/>
          <w:color w:val="00B050"/>
        </w:rPr>
        <w:t xml:space="preserve"> and deserves monitoring because chronic ingestion of atypical mineral concentrations can have health or organoleptic effects over time</w:t>
      </w:r>
      <w:r w:rsidR="00A53C86">
        <w:rPr>
          <w:rFonts w:ascii="Times New Roman" w:hAnsi="Times New Roman" w:cs="Times New Roman"/>
          <w:color w:val="00B050"/>
        </w:rPr>
        <w:t xml:space="preserve">. </w:t>
      </w:r>
      <w:r w:rsidR="00F46C70" w:rsidRPr="00B81F6B">
        <w:rPr>
          <w:rFonts w:ascii="Times New Roman" w:hAnsi="Times New Roman" w:cs="Times New Roman"/>
          <w:color w:val="00B050"/>
        </w:rPr>
        <w:t xml:space="preserve">Research has shown that </w:t>
      </w:r>
      <w:r w:rsidR="00DA061C" w:rsidRPr="00B81F6B">
        <w:rPr>
          <w:rFonts w:ascii="Times New Roman" w:hAnsi="Times New Roman" w:cs="Times New Roman"/>
          <w:color w:val="00B050"/>
        </w:rPr>
        <w:t>physicochemical features directly influence microbiological safety: pH near the low end (sachet pH = 6.6) can reduce the efficacy of some disinfectants (free chlorine is less effective at low pH) and may therefore contribute indirectly to higher microbial survival and regrowth in sachet samples</w:t>
      </w:r>
      <w:r w:rsidRPr="00B81F6B">
        <w:rPr>
          <w:rFonts w:ascii="Times New Roman" w:hAnsi="Times New Roman" w:cs="Times New Roman"/>
          <w:color w:val="00B050"/>
        </w:rPr>
        <w:t>. This mechanistic link gives a probable reason why sachet water in this study had higher microbiological loads despite acceptable turbidity and TDS</w:t>
      </w:r>
      <w:r w:rsidR="00BB2A70" w:rsidRPr="00B81F6B">
        <w:rPr>
          <w:rFonts w:ascii="Times New Roman" w:hAnsi="Times New Roman" w:cs="Times New Roman"/>
          <w:color w:val="00B050"/>
        </w:rPr>
        <w:t xml:space="preserve"> </w:t>
      </w:r>
      <w:r w:rsidRPr="00B81F6B">
        <w:rPr>
          <w:rFonts w:ascii="Times New Roman" w:hAnsi="Times New Roman" w:cs="Times New Roman"/>
          <w:color w:val="00B050"/>
        </w:rPr>
        <w:t>(</w:t>
      </w:r>
      <w:proofErr w:type="spellStart"/>
      <w:r w:rsidR="00DA061C" w:rsidRPr="00B81F6B">
        <w:rPr>
          <w:rFonts w:ascii="Times New Roman" w:hAnsi="Times New Roman" w:cs="Times New Roman"/>
          <w:color w:val="00B050"/>
        </w:rPr>
        <w:t>Tenebe</w:t>
      </w:r>
      <w:proofErr w:type="spellEnd"/>
      <w:r w:rsidR="00DA061C" w:rsidRPr="00B81F6B">
        <w:rPr>
          <w:rFonts w:ascii="Times New Roman" w:hAnsi="Times New Roman" w:cs="Times New Roman"/>
          <w:color w:val="00B050"/>
        </w:rPr>
        <w:t xml:space="preserve"> </w:t>
      </w:r>
      <w:r w:rsidR="00DA061C" w:rsidRPr="00B81F6B">
        <w:rPr>
          <w:rFonts w:ascii="Times New Roman" w:hAnsi="Times New Roman" w:cs="Times New Roman"/>
          <w:i/>
          <w:iCs/>
          <w:color w:val="00B050"/>
        </w:rPr>
        <w:t>et al.</w:t>
      </w:r>
      <w:r w:rsidR="00DA061C" w:rsidRPr="00B81F6B">
        <w:rPr>
          <w:rFonts w:ascii="Times New Roman" w:hAnsi="Times New Roman" w:cs="Times New Roman"/>
          <w:color w:val="00B050"/>
        </w:rPr>
        <w:t>, 2023).</w:t>
      </w:r>
    </w:p>
    <w:p w14:paraId="2F405DFB" w14:textId="77777777" w:rsidR="00F46C70" w:rsidRPr="00B81F6B" w:rsidRDefault="00F46C70" w:rsidP="00835951">
      <w:pPr>
        <w:spacing w:after="0" w:line="240" w:lineRule="auto"/>
        <w:jc w:val="both"/>
        <w:rPr>
          <w:rFonts w:ascii="Times New Roman" w:hAnsi="Times New Roman" w:cs="Times New Roman"/>
          <w:color w:val="00B050"/>
        </w:rPr>
      </w:pPr>
    </w:p>
    <w:p w14:paraId="0B658E6D" w14:textId="405059D3" w:rsidR="00DA061C" w:rsidRPr="00B81F6B" w:rsidRDefault="00DA061C" w:rsidP="00835951">
      <w:pPr>
        <w:spacing w:after="0" w:line="240" w:lineRule="auto"/>
        <w:jc w:val="both"/>
        <w:rPr>
          <w:rFonts w:ascii="Times New Roman" w:hAnsi="Times New Roman" w:cs="Times New Roman"/>
          <w:color w:val="00B050"/>
        </w:rPr>
      </w:pPr>
      <w:r w:rsidRPr="00B81F6B">
        <w:rPr>
          <w:rFonts w:ascii="Times New Roman" w:hAnsi="Times New Roman" w:cs="Times New Roman"/>
          <w:color w:val="00B050"/>
        </w:rPr>
        <w:t>Comparable Nigerian studies have reported similar mixed physicochemical profiles generally compliant overall but with brand and source-dependent variations supporting the current observations (</w:t>
      </w:r>
      <w:proofErr w:type="spellStart"/>
      <w:r w:rsidRPr="00B81F6B">
        <w:rPr>
          <w:rFonts w:ascii="Times New Roman" w:hAnsi="Times New Roman" w:cs="Times New Roman"/>
          <w:color w:val="00B050"/>
        </w:rPr>
        <w:t>Adesakin</w:t>
      </w:r>
      <w:proofErr w:type="spellEnd"/>
      <w:r w:rsidRPr="00B81F6B">
        <w:rPr>
          <w:rFonts w:ascii="Times New Roman" w:hAnsi="Times New Roman" w:cs="Times New Roman"/>
          <w:i/>
          <w:iCs/>
          <w:color w:val="00B050"/>
        </w:rPr>
        <w:t xml:space="preserve"> et al.</w:t>
      </w:r>
      <w:r w:rsidRPr="00B81F6B">
        <w:rPr>
          <w:rFonts w:ascii="Times New Roman" w:hAnsi="Times New Roman" w:cs="Times New Roman"/>
          <w:color w:val="00B050"/>
        </w:rPr>
        <w:t xml:space="preserve">, 2022; </w:t>
      </w:r>
      <w:proofErr w:type="spellStart"/>
      <w:r w:rsidRPr="00B81F6B">
        <w:rPr>
          <w:rFonts w:ascii="Times New Roman" w:hAnsi="Times New Roman" w:cs="Times New Roman"/>
          <w:color w:val="00B050"/>
        </w:rPr>
        <w:t>Tenebe</w:t>
      </w:r>
      <w:proofErr w:type="spellEnd"/>
      <w:r w:rsidRPr="00B81F6B">
        <w:rPr>
          <w:rFonts w:ascii="Times New Roman" w:hAnsi="Times New Roman" w:cs="Times New Roman"/>
          <w:color w:val="00B050"/>
        </w:rPr>
        <w:t xml:space="preserve"> </w:t>
      </w:r>
      <w:r w:rsidRPr="00B81F6B">
        <w:rPr>
          <w:rFonts w:ascii="Times New Roman" w:hAnsi="Times New Roman" w:cs="Times New Roman"/>
          <w:i/>
          <w:iCs/>
          <w:color w:val="00B050"/>
        </w:rPr>
        <w:t>et al.</w:t>
      </w:r>
      <w:r w:rsidRPr="00B81F6B">
        <w:rPr>
          <w:rFonts w:ascii="Times New Roman" w:hAnsi="Times New Roman" w:cs="Times New Roman"/>
          <w:color w:val="00B050"/>
        </w:rPr>
        <w:t xml:space="preserve">, 2023; </w:t>
      </w:r>
      <w:proofErr w:type="spellStart"/>
      <w:r w:rsidRPr="00B81F6B">
        <w:rPr>
          <w:rFonts w:ascii="Times New Roman" w:hAnsi="Times New Roman" w:cs="Times New Roman"/>
          <w:color w:val="00B050"/>
        </w:rPr>
        <w:t>Maselela</w:t>
      </w:r>
      <w:proofErr w:type="spellEnd"/>
      <w:r w:rsidRPr="00B81F6B">
        <w:rPr>
          <w:rFonts w:ascii="Times New Roman" w:hAnsi="Times New Roman" w:cs="Times New Roman"/>
          <w:color w:val="00B050"/>
        </w:rPr>
        <w:t xml:space="preserve">, 2024). </w:t>
      </w:r>
      <w:proofErr w:type="spellStart"/>
      <w:r w:rsidRPr="00B81F6B">
        <w:rPr>
          <w:rFonts w:ascii="Times New Roman" w:hAnsi="Times New Roman" w:cs="Times New Roman"/>
          <w:color w:val="00B050"/>
        </w:rPr>
        <w:t>Adesakin</w:t>
      </w:r>
      <w:proofErr w:type="spellEnd"/>
      <w:r w:rsidRPr="00B81F6B">
        <w:rPr>
          <w:rFonts w:ascii="Times New Roman" w:hAnsi="Times New Roman" w:cs="Times New Roman"/>
          <w:color w:val="00B050"/>
        </w:rPr>
        <w:t xml:space="preserve"> </w:t>
      </w:r>
      <w:r w:rsidRPr="00B81F6B">
        <w:rPr>
          <w:rFonts w:ascii="Times New Roman" w:hAnsi="Times New Roman" w:cs="Times New Roman"/>
          <w:i/>
          <w:iCs/>
          <w:color w:val="00B050"/>
        </w:rPr>
        <w:t xml:space="preserve">et al. </w:t>
      </w:r>
      <w:r w:rsidRPr="00B81F6B">
        <w:rPr>
          <w:rFonts w:ascii="Times New Roman" w:hAnsi="Times New Roman" w:cs="Times New Roman"/>
          <w:color w:val="00B050"/>
        </w:rPr>
        <w:t xml:space="preserve">(2022) reported that 88% of sachet and 100% of bottled water brands in </w:t>
      </w:r>
      <w:r w:rsidR="00A53C86">
        <w:rPr>
          <w:rFonts w:ascii="Times New Roman" w:hAnsi="Times New Roman" w:cs="Times New Roman"/>
          <w:color w:val="00B050"/>
        </w:rPr>
        <w:t xml:space="preserve">a </w:t>
      </w:r>
      <w:r w:rsidRPr="00B81F6B">
        <w:rPr>
          <w:rFonts w:ascii="Times New Roman" w:hAnsi="Times New Roman" w:cs="Times New Roman"/>
          <w:color w:val="00B050"/>
        </w:rPr>
        <w:t>Lagos</w:t>
      </w:r>
      <w:r w:rsidR="00A53C86">
        <w:rPr>
          <w:rFonts w:ascii="Times New Roman" w:hAnsi="Times New Roman" w:cs="Times New Roman"/>
          <w:color w:val="00B050"/>
        </w:rPr>
        <w:t xml:space="preserve"> State</w:t>
      </w:r>
      <w:r w:rsidRPr="00B81F6B">
        <w:rPr>
          <w:rFonts w:ascii="Times New Roman" w:hAnsi="Times New Roman" w:cs="Times New Roman"/>
          <w:color w:val="00B050"/>
        </w:rPr>
        <w:t xml:space="preserve"> survey met WHO limits for pH, TDS, and chloride, but significant differences existed in mineral content and stability, reflecting production scale and treatment diversity.</w:t>
      </w:r>
    </w:p>
    <w:p w14:paraId="7B33785E" w14:textId="77777777" w:rsidR="00F46C70" w:rsidRPr="003E43E6" w:rsidRDefault="00F46C70" w:rsidP="00835951">
      <w:pPr>
        <w:spacing w:after="0" w:line="240" w:lineRule="auto"/>
        <w:jc w:val="both"/>
        <w:rPr>
          <w:rFonts w:ascii="Times New Roman" w:hAnsi="Times New Roman" w:cs="Times New Roman"/>
        </w:rPr>
      </w:pPr>
    </w:p>
    <w:p w14:paraId="15DC5EFA" w14:textId="1EC9039F" w:rsidR="00DA061C" w:rsidRDefault="00E2389A" w:rsidP="00835951">
      <w:pPr>
        <w:spacing w:after="0" w:line="240" w:lineRule="auto"/>
        <w:jc w:val="both"/>
        <w:rPr>
          <w:rFonts w:ascii="Times New Roman" w:hAnsi="Times New Roman" w:cs="Times New Roman"/>
        </w:rPr>
      </w:pPr>
      <w:r w:rsidRPr="00E2389A">
        <w:rPr>
          <w:rFonts w:ascii="Times New Roman" w:hAnsi="Times New Roman" w:cs="Times New Roman"/>
        </w:rPr>
        <w:lastRenderedPageBreak/>
        <w:t xml:space="preserve">Bacteriological analysis in this study revealed the presence of several pathogenic microorganisms in both sachet and bottled water samples, including </w:t>
      </w:r>
      <w:r w:rsidRPr="00E2389A">
        <w:rPr>
          <w:rFonts w:ascii="Times New Roman" w:hAnsi="Times New Roman" w:cs="Times New Roman"/>
          <w:i/>
          <w:iCs/>
        </w:rPr>
        <w:t>Escherichia coli</w:t>
      </w:r>
      <w:r w:rsidRPr="00E2389A">
        <w:rPr>
          <w:rFonts w:ascii="Times New Roman" w:hAnsi="Times New Roman" w:cs="Times New Roman"/>
        </w:rPr>
        <w:t xml:space="preserve">, </w:t>
      </w:r>
      <w:r w:rsidRPr="00E2389A">
        <w:rPr>
          <w:rFonts w:ascii="Times New Roman" w:hAnsi="Times New Roman" w:cs="Times New Roman"/>
          <w:i/>
          <w:iCs/>
        </w:rPr>
        <w:t>Staphylococcus aureus</w:t>
      </w:r>
      <w:r w:rsidRPr="00E2389A">
        <w:rPr>
          <w:rFonts w:ascii="Times New Roman" w:hAnsi="Times New Roman" w:cs="Times New Roman"/>
        </w:rPr>
        <w:t xml:space="preserve">, </w:t>
      </w:r>
      <w:r w:rsidRPr="00E2389A">
        <w:rPr>
          <w:rFonts w:ascii="Times New Roman" w:hAnsi="Times New Roman" w:cs="Times New Roman"/>
          <w:i/>
          <w:iCs/>
        </w:rPr>
        <w:t>Klebsiella</w:t>
      </w:r>
      <w:r w:rsidRPr="00E2389A">
        <w:rPr>
          <w:rFonts w:ascii="Times New Roman" w:hAnsi="Times New Roman" w:cs="Times New Roman"/>
        </w:rPr>
        <w:t xml:space="preserve"> spp., and </w:t>
      </w:r>
      <w:r w:rsidRPr="00E2389A">
        <w:rPr>
          <w:rFonts w:ascii="Times New Roman" w:hAnsi="Times New Roman" w:cs="Times New Roman"/>
          <w:i/>
          <w:iCs/>
        </w:rPr>
        <w:t>Enterobacter</w:t>
      </w:r>
      <w:r w:rsidRPr="00E2389A">
        <w:rPr>
          <w:rFonts w:ascii="Times New Roman" w:hAnsi="Times New Roman" w:cs="Times New Roman"/>
        </w:rPr>
        <w:t xml:space="preserve"> spp. While </w:t>
      </w:r>
      <w:r w:rsidRPr="00E2389A">
        <w:rPr>
          <w:rFonts w:ascii="Times New Roman" w:hAnsi="Times New Roman" w:cs="Times New Roman"/>
          <w:i/>
          <w:iCs/>
        </w:rPr>
        <w:t>E. coli</w:t>
      </w:r>
      <w:r w:rsidRPr="00E2389A">
        <w:rPr>
          <w:rFonts w:ascii="Times New Roman" w:hAnsi="Times New Roman" w:cs="Times New Roman"/>
        </w:rPr>
        <w:t xml:space="preserve"> was detected in both water types, </w:t>
      </w:r>
      <w:r w:rsidRPr="00E2389A">
        <w:rPr>
          <w:rFonts w:ascii="Times New Roman" w:hAnsi="Times New Roman" w:cs="Times New Roman"/>
          <w:i/>
          <w:iCs/>
        </w:rPr>
        <w:t>S. aureus</w:t>
      </w:r>
      <w:r w:rsidRPr="00E2389A">
        <w:rPr>
          <w:rFonts w:ascii="Times New Roman" w:hAnsi="Times New Roman" w:cs="Times New Roman"/>
        </w:rPr>
        <w:t xml:space="preserve"> and other members of the Enterobacteriaceae family were more frequently recovered from sachet water, indicating a higher microbiological risk associated with this water source.</w:t>
      </w:r>
      <w:r>
        <w:rPr>
          <w:rFonts w:ascii="Times New Roman" w:hAnsi="Times New Roman" w:cs="Times New Roman"/>
        </w:rPr>
        <w:t xml:space="preserve"> </w:t>
      </w:r>
      <w:r w:rsidR="00A171B2">
        <w:rPr>
          <w:rFonts w:ascii="Times New Roman" w:hAnsi="Times New Roman" w:cs="Times New Roman"/>
        </w:rPr>
        <w:t>Similarly, a study by</w:t>
      </w:r>
      <w:r w:rsidR="00A171B2" w:rsidRPr="00A171B2">
        <w:rPr>
          <w:rFonts w:ascii="Times New Roman" w:hAnsi="Times New Roman" w:cs="Times New Roman"/>
        </w:rPr>
        <w:t xml:space="preserve"> </w:t>
      </w:r>
      <w:proofErr w:type="spellStart"/>
      <w:r w:rsidR="00A171B2" w:rsidRPr="00A171B2">
        <w:rPr>
          <w:rFonts w:ascii="Times New Roman" w:hAnsi="Times New Roman" w:cs="Times New Roman"/>
        </w:rPr>
        <w:t>Gamawa</w:t>
      </w:r>
      <w:proofErr w:type="spellEnd"/>
      <w:r w:rsidR="00A171B2" w:rsidRPr="00A171B2">
        <w:rPr>
          <w:rFonts w:ascii="Times New Roman" w:hAnsi="Times New Roman" w:cs="Times New Roman"/>
        </w:rPr>
        <w:t xml:space="preserve"> &amp; </w:t>
      </w:r>
      <w:proofErr w:type="spellStart"/>
      <w:r w:rsidR="00A171B2" w:rsidRPr="00A171B2">
        <w:rPr>
          <w:rFonts w:ascii="Times New Roman" w:hAnsi="Times New Roman" w:cs="Times New Roman"/>
        </w:rPr>
        <w:t>Okpanachi</w:t>
      </w:r>
      <w:proofErr w:type="spellEnd"/>
      <w:r w:rsidR="00A171B2">
        <w:rPr>
          <w:rFonts w:ascii="Times New Roman" w:hAnsi="Times New Roman" w:cs="Times New Roman"/>
        </w:rPr>
        <w:t xml:space="preserve"> </w:t>
      </w:r>
      <w:r w:rsidR="00207AF8">
        <w:rPr>
          <w:rFonts w:ascii="Times New Roman" w:hAnsi="Times New Roman" w:cs="Times New Roman"/>
        </w:rPr>
        <w:t>(2023)</w:t>
      </w:r>
      <w:r>
        <w:rPr>
          <w:rFonts w:ascii="Times New Roman" w:hAnsi="Times New Roman" w:cs="Times New Roman"/>
        </w:rPr>
        <w:t xml:space="preserve"> </w:t>
      </w:r>
      <w:r w:rsidR="00A171B2" w:rsidRPr="00A171B2">
        <w:rPr>
          <w:rFonts w:ascii="Times New Roman" w:hAnsi="Times New Roman" w:cs="Times New Roman"/>
        </w:rPr>
        <w:t xml:space="preserve">concluded that </w:t>
      </w:r>
      <w:r w:rsidR="00A171B2" w:rsidRPr="00E2389A">
        <w:rPr>
          <w:rFonts w:ascii="Times New Roman" w:hAnsi="Times New Roman" w:cs="Times New Roman"/>
        </w:rPr>
        <w:t xml:space="preserve">the majority of sachet water brands sold in Gombe did not meet national or international microbiological safety standards, especially concerning </w:t>
      </w:r>
      <w:proofErr w:type="spellStart"/>
      <w:r w:rsidR="00A171B2" w:rsidRPr="00E2389A">
        <w:rPr>
          <w:rFonts w:ascii="Times New Roman" w:hAnsi="Times New Roman" w:cs="Times New Roman"/>
        </w:rPr>
        <w:t>faecal</w:t>
      </w:r>
      <w:proofErr w:type="spellEnd"/>
      <w:r w:rsidR="00A171B2" w:rsidRPr="00E2389A">
        <w:rPr>
          <w:rFonts w:ascii="Times New Roman" w:hAnsi="Times New Roman" w:cs="Times New Roman"/>
        </w:rPr>
        <w:t xml:space="preserve"> indicators like </w:t>
      </w:r>
      <w:r w:rsidR="00A171B2" w:rsidRPr="00E2389A">
        <w:rPr>
          <w:rFonts w:ascii="Times New Roman" w:hAnsi="Times New Roman" w:cs="Times New Roman"/>
          <w:i/>
          <w:iCs/>
        </w:rPr>
        <w:t>E. coli.</w:t>
      </w:r>
      <w:r w:rsidR="00A171B2" w:rsidRPr="00E2389A">
        <w:rPr>
          <w:rFonts w:ascii="Times New Roman" w:hAnsi="Times New Roman" w:cs="Times New Roman"/>
        </w:rPr>
        <w:t xml:space="preserve"> Only a minority of products were compliant with regulatory guidelines, highlighting potential public</w:t>
      </w:r>
      <w:r w:rsidR="00A171B2" w:rsidRPr="00A171B2">
        <w:rPr>
          <w:rFonts w:ascii="Times New Roman" w:hAnsi="Times New Roman" w:cs="Times New Roman"/>
        </w:rPr>
        <w:t xml:space="preserve"> health risks associated with </w:t>
      </w:r>
      <w:r>
        <w:rPr>
          <w:rFonts w:ascii="Times New Roman" w:hAnsi="Times New Roman" w:cs="Times New Roman"/>
        </w:rPr>
        <w:t xml:space="preserve">the </w:t>
      </w:r>
      <w:r w:rsidR="00A171B2" w:rsidRPr="00A171B2">
        <w:rPr>
          <w:rFonts w:ascii="Times New Roman" w:hAnsi="Times New Roman" w:cs="Times New Roman"/>
        </w:rPr>
        <w:t>consumption of contaminated sachet water in the area</w:t>
      </w:r>
      <w:r w:rsidR="007F290C">
        <w:rPr>
          <w:rFonts w:ascii="Times New Roman" w:hAnsi="Times New Roman" w:cs="Times New Roman"/>
        </w:rPr>
        <w:t>.</w:t>
      </w:r>
      <w:r>
        <w:rPr>
          <w:rFonts w:ascii="Times New Roman" w:hAnsi="Times New Roman" w:cs="Times New Roman"/>
        </w:rPr>
        <w:t xml:space="preserve"> </w:t>
      </w:r>
      <w:proofErr w:type="spellStart"/>
      <w:r w:rsidR="007F290C" w:rsidRPr="003E43E6">
        <w:rPr>
          <w:rFonts w:ascii="Times New Roman" w:hAnsi="Times New Roman" w:cs="Times New Roman"/>
        </w:rPr>
        <w:t>Tenebe</w:t>
      </w:r>
      <w:proofErr w:type="spellEnd"/>
      <w:r w:rsidR="007F290C" w:rsidRPr="003E43E6">
        <w:rPr>
          <w:rFonts w:ascii="Times New Roman" w:hAnsi="Times New Roman" w:cs="Times New Roman"/>
        </w:rPr>
        <w:t xml:space="preserve"> </w:t>
      </w:r>
      <w:r w:rsidR="007F290C" w:rsidRPr="003E43E6">
        <w:rPr>
          <w:rFonts w:ascii="Times New Roman" w:hAnsi="Times New Roman" w:cs="Times New Roman"/>
          <w:i/>
          <w:iCs/>
        </w:rPr>
        <w:t>et al.</w:t>
      </w:r>
      <w:r w:rsidR="007F290C" w:rsidRPr="003E43E6">
        <w:rPr>
          <w:rFonts w:ascii="Times New Roman" w:hAnsi="Times New Roman" w:cs="Times New Roman"/>
        </w:rPr>
        <w:t xml:space="preserve"> (2023) documented that sachet water plants with poor chlorination procedures had 60% of samples testing positive for total coliforms, while </w:t>
      </w:r>
      <w:proofErr w:type="spellStart"/>
      <w:r w:rsidR="007F290C" w:rsidRPr="003E43E6">
        <w:rPr>
          <w:rFonts w:ascii="Times New Roman" w:hAnsi="Times New Roman" w:cs="Times New Roman"/>
        </w:rPr>
        <w:t>Adesakin</w:t>
      </w:r>
      <w:proofErr w:type="spellEnd"/>
      <w:r w:rsidR="007F290C" w:rsidRPr="003E43E6">
        <w:rPr>
          <w:rFonts w:ascii="Times New Roman" w:hAnsi="Times New Roman" w:cs="Times New Roman"/>
        </w:rPr>
        <w:t xml:space="preserve"> </w:t>
      </w:r>
      <w:r w:rsidR="007F290C" w:rsidRPr="003E43E6">
        <w:rPr>
          <w:rFonts w:ascii="Times New Roman" w:hAnsi="Times New Roman" w:cs="Times New Roman"/>
          <w:i/>
          <w:iCs/>
        </w:rPr>
        <w:t xml:space="preserve">et al. </w:t>
      </w:r>
      <w:r w:rsidR="007F290C" w:rsidRPr="003E43E6">
        <w:rPr>
          <w:rFonts w:ascii="Times New Roman" w:hAnsi="Times New Roman" w:cs="Times New Roman"/>
        </w:rPr>
        <w:t xml:space="preserve">(2022) reported similar findings where </w:t>
      </w:r>
      <w:r w:rsidR="007F290C" w:rsidRPr="003E43E6">
        <w:rPr>
          <w:rFonts w:ascii="Times New Roman" w:hAnsi="Times New Roman" w:cs="Times New Roman"/>
          <w:i/>
          <w:iCs/>
        </w:rPr>
        <w:t>E. coli</w:t>
      </w:r>
      <w:r w:rsidR="007F290C" w:rsidRPr="003E43E6">
        <w:rPr>
          <w:rFonts w:ascii="Times New Roman" w:hAnsi="Times New Roman" w:cs="Times New Roman"/>
        </w:rPr>
        <w:t xml:space="preserve"> contamination correlated with manual filling and weak hygiene control. </w:t>
      </w:r>
      <w:r w:rsidR="00DA061C" w:rsidRPr="003E43E6">
        <w:rPr>
          <w:rFonts w:ascii="Times New Roman" w:hAnsi="Times New Roman" w:cs="Times New Roman"/>
        </w:rPr>
        <w:t xml:space="preserve">The presence of these organisms has clear etiologies. </w:t>
      </w:r>
      <w:r w:rsidR="00DA061C" w:rsidRPr="003E43E6">
        <w:rPr>
          <w:rFonts w:ascii="Times New Roman" w:hAnsi="Times New Roman" w:cs="Times New Roman"/>
          <w:i/>
          <w:iCs/>
        </w:rPr>
        <w:t>E. coli</w:t>
      </w:r>
      <w:r w:rsidR="00DA061C" w:rsidRPr="003E43E6">
        <w:rPr>
          <w:rFonts w:ascii="Times New Roman" w:hAnsi="Times New Roman" w:cs="Times New Roman"/>
        </w:rPr>
        <w:t xml:space="preserve"> and other coliforms are classical indicators of fecal contamination and most likely result from contaminated source water (e.g., shallow wells or surface water), inadequate or failed disinfection (insufficient chlorine contact time, improper dosing), or post-treatment contamination during handling and packaging (contaminated filling equipment, human contact, poor hygiene)</w:t>
      </w:r>
      <w:r w:rsidR="007F290C">
        <w:rPr>
          <w:rFonts w:ascii="Times New Roman" w:hAnsi="Times New Roman" w:cs="Times New Roman"/>
        </w:rPr>
        <w:t>.</w:t>
      </w:r>
      <w:r w:rsidR="005843C1">
        <w:rPr>
          <w:rFonts w:ascii="Times New Roman" w:hAnsi="Times New Roman" w:cs="Times New Roman"/>
        </w:rPr>
        <w:t xml:space="preserve"> </w:t>
      </w:r>
      <w:r w:rsidR="005843C1" w:rsidRPr="003E43E6">
        <w:rPr>
          <w:rFonts w:ascii="Times New Roman" w:hAnsi="Times New Roman" w:cs="Times New Roman"/>
        </w:rPr>
        <w:t xml:space="preserve">Implications are immediate and serious. Detection of </w:t>
      </w:r>
      <w:r w:rsidR="005843C1" w:rsidRPr="003E43E6">
        <w:rPr>
          <w:rFonts w:ascii="Times New Roman" w:hAnsi="Times New Roman" w:cs="Times New Roman"/>
          <w:i/>
          <w:iCs/>
        </w:rPr>
        <w:t>E. coli</w:t>
      </w:r>
      <w:r w:rsidR="005843C1" w:rsidRPr="003E43E6">
        <w:rPr>
          <w:rFonts w:ascii="Times New Roman" w:hAnsi="Times New Roman" w:cs="Times New Roman"/>
        </w:rPr>
        <w:t xml:space="preserve"> and other enteric bacteria in packaged water indicates a breach of safe drinking water requirements and exposes consumers to risks of </w:t>
      </w:r>
      <w:proofErr w:type="spellStart"/>
      <w:r w:rsidR="005843C1" w:rsidRPr="003E43E6">
        <w:rPr>
          <w:rFonts w:ascii="Times New Roman" w:hAnsi="Times New Roman" w:cs="Times New Roman"/>
        </w:rPr>
        <w:t>diarrhoeal</w:t>
      </w:r>
      <w:proofErr w:type="spellEnd"/>
      <w:r w:rsidR="005843C1" w:rsidRPr="003E43E6">
        <w:rPr>
          <w:rFonts w:ascii="Times New Roman" w:hAnsi="Times New Roman" w:cs="Times New Roman"/>
        </w:rPr>
        <w:t xml:space="preserve"> disease, typhoid, and other enteric infections; illnesses that disproportionately burden young children and vulnerable adults in low resource settings (</w:t>
      </w:r>
      <w:proofErr w:type="spellStart"/>
      <w:r w:rsidR="005843C1" w:rsidRPr="003E43E6">
        <w:rPr>
          <w:rFonts w:ascii="Times New Roman" w:hAnsi="Times New Roman" w:cs="Times New Roman"/>
        </w:rPr>
        <w:t>Adesakin</w:t>
      </w:r>
      <w:proofErr w:type="spellEnd"/>
      <w:r w:rsidR="005843C1" w:rsidRPr="003E43E6">
        <w:rPr>
          <w:rFonts w:ascii="Times New Roman" w:hAnsi="Times New Roman" w:cs="Times New Roman"/>
          <w:i/>
          <w:iCs/>
        </w:rPr>
        <w:t xml:space="preserve"> et al.</w:t>
      </w:r>
      <w:r w:rsidR="005843C1" w:rsidRPr="003E43E6">
        <w:rPr>
          <w:rFonts w:ascii="Times New Roman" w:hAnsi="Times New Roman" w:cs="Times New Roman"/>
        </w:rPr>
        <w:t xml:space="preserve">, 2022). </w:t>
      </w:r>
      <w:r>
        <w:rPr>
          <w:rFonts w:ascii="Times New Roman" w:hAnsi="Times New Roman" w:cs="Times New Roman"/>
        </w:rPr>
        <w:t xml:space="preserve"> </w:t>
      </w:r>
      <w:r w:rsidR="00DA061C" w:rsidRPr="003E43E6">
        <w:rPr>
          <w:rFonts w:ascii="Times New Roman" w:hAnsi="Times New Roman" w:cs="Times New Roman"/>
        </w:rPr>
        <w:t xml:space="preserve">The presence of </w:t>
      </w:r>
      <w:r w:rsidR="00DA061C" w:rsidRPr="003E43E6">
        <w:rPr>
          <w:rFonts w:ascii="Times New Roman" w:hAnsi="Times New Roman" w:cs="Times New Roman"/>
          <w:i/>
          <w:iCs/>
        </w:rPr>
        <w:t>S. aureus</w:t>
      </w:r>
      <w:r w:rsidR="00DA061C" w:rsidRPr="003E43E6">
        <w:rPr>
          <w:rFonts w:ascii="Times New Roman" w:hAnsi="Times New Roman" w:cs="Times New Roman"/>
        </w:rPr>
        <w:t xml:space="preserve"> implies direct contamination by personnel (hands, skin, respiratory droplets) or unsanitary production environments (uncovered filling lines, absence of personnel PPE)</w:t>
      </w:r>
      <w:r w:rsidR="007F290C">
        <w:rPr>
          <w:rFonts w:ascii="Times New Roman" w:hAnsi="Times New Roman" w:cs="Times New Roman"/>
        </w:rPr>
        <w:t xml:space="preserve"> </w:t>
      </w:r>
      <w:r w:rsidR="007F290C" w:rsidRPr="003E43E6">
        <w:rPr>
          <w:rFonts w:ascii="Times New Roman" w:hAnsi="Times New Roman" w:cs="Times New Roman"/>
        </w:rPr>
        <w:t>(</w:t>
      </w:r>
      <w:proofErr w:type="spellStart"/>
      <w:r w:rsidR="007F290C" w:rsidRPr="003E43E6">
        <w:rPr>
          <w:rFonts w:ascii="Times New Roman" w:hAnsi="Times New Roman" w:cs="Times New Roman"/>
        </w:rPr>
        <w:t>Tenebe</w:t>
      </w:r>
      <w:proofErr w:type="spellEnd"/>
      <w:r w:rsidR="007F290C" w:rsidRPr="003E43E6">
        <w:rPr>
          <w:rFonts w:ascii="Times New Roman" w:hAnsi="Times New Roman" w:cs="Times New Roman"/>
        </w:rPr>
        <w:t xml:space="preserve"> </w:t>
      </w:r>
      <w:r w:rsidR="007F290C" w:rsidRPr="003E43E6">
        <w:rPr>
          <w:rFonts w:ascii="Times New Roman" w:hAnsi="Times New Roman" w:cs="Times New Roman"/>
          <w:i/>
          <w:iCs/>
        </w:rPr>
        <w:t>et al.</w:t>
      </w:r>
      <w:r w:rsidR="007F290C" w:rsidRPr="003E43E6">
        <w:rPr>
          <w:rFonts w:ascii="Times New Roman" w:hAnsi="Times New Roman" w:cs="Times New Roman"/>
        </w:rPr>
        <w:t xml:space="preserve">, 2023; </w:t>
      </w:r>
      <w:proofErr w:type="spellStart"/>
      <w:r w:rsidR="007F290C" w:rsidRPr="003E43E6">
        <w:rPr>
          <w:rFonts w:ascii="Times New Roman" w:hAnsi="Times New Roman" w:cs="Times New Roman"/>
        </w:rPr>
        <w:t>Adesakin</w:t>
      </w:r>
      <w:proofErr w:type="spellEnd"/>
      <w:r w:rsidR="007F290C" w:rsidRPr="003E43E6">
        <w:rPr>
          <w:rFonts w:ascii="Times New Roman" w:hAnsi="Times New Roman" w:cs="Times New Roman"/>
          <w:i/>
          <w:iCs/>
        </w:rPr>
        <w:t xml:space="preserve"> et al.</w:t>
      </w:r>
      <w:r w:rsidR="007F290C" w:rsidRPr="003E43E6">
        <w:rPr>
          <w:rFonts w:ascii="Times New Roman" w:hAnsi="Times New Roman" w:cs="Times New Roman"/>
        </w:rPr>
        <w:t xml:space="preserve">, 2022). </w:t>
      </w:r>
      <w:r w:rsidR="00DA061C" w:rsidRPr="003E43E6">
        <w:rPr>
          <w:rFonts w:ascii="Times New Roman" w:hAnsi="Times New Roman" w:cs="Times New Roman"/>
        </w:rPr>
        <w:t xml:space="preserve">The recovery of </w:t>
      </w:r>
      <w:r w:rsidR="00DA061C" w:rsidRPr="003E43E6">
        <w:rPr>
          <w:rFonts w:ascii="Times New Roman" w:hAnsi="Times New Roman" w:cs="Times New Roman"/>
          <w:i/>
          <w:iCs/>
        </w:rPr>
        <w:t xml:space="preserve">Klebsiella </w:t>
      </w:r>
      <w:proofErr w:type="spellStart"/>
      <w:r w:rsidR="00DA061C" w:rsidRPr="003E43E6">
        <w:rPr>
          <w:rFonts w:ascii="Times New Roman" w:hAnsi="Times New Roman" w:cs="Times New Roman"/>
          <w:i/>
          <w:iCs/>
        </w:rPr>
        <w:t>spp</w:t>
      </w:r>
      <w:proofErr w:type="spellEnd"/>
      <w:r w:rsidR="00DA061C" w:rsidRPr="003E43E6">
        <w:rPr>
          <w:rFonts w:ascii="Times New Roman" w:hAnsi="Times New Roman" w:cs="Times New Roman"/>
        </w:rPr>
        <w:t xml:space="preserve"> and </w:t>
      </w:r>
      <w:r w:rsidR="00DA061C" w:rsidRPr="003E43E6">
        <w:rPr>
          <w:rFonts w:ascii="Times New Roman" w:hAnsi="Times New Roman" w:cs="Times New Roman"/>
          <w:i/>
          <w:iCs/>
        </w:rPr>
        <w:t xml:space="preserve">Enterobacter </w:t>
      </w:r>
      <w:proofErr w:type="spellStart"/>
      <w:r w:rsidR="00DA061C" w:rsidRPr="003E43E6">
        <w:rPr>
          <w:rFonts w:ascii="Times New Roman" w:hAnsi="Times New Roman" w:cs="Times New Roman"/>
          <w:i/>
          <w:iCs/>
        </w:rPr>
        <w:t>spp</w:t>
      </w:r>
      <w:proofErr w:type="spellEnd"/>
      <w:r w:rsidR="00DA061C" w:rsidRPr="003E43E6">
        <w:rPr>
          <w:rFonts w:ascii="Times New Roman" w:hAnsi="Times New Roman" w:cs="Times New Roman"/>
        </w:rPr>
        <w:t xml:space="preserve"> from sachet samples may reflect both environmental contamination and inadequate thermal or chemical treatment; these organisms are common in environmental sources and in biofilms associated with poor equipment hygiene</w:t>
      </w:r>
      <w:r w:rsidR="005843C1">
        <w:rPr>
          <w:rFonts w:ascii="Times New Roman" w:hAnsi="Times New Roman" w:cs="Times New Roman"/>
        </w:rPr>
        <w:t xml:space="preserve"> (Wang </w:t>
      </w:r>
      <w:r w:rsidR="005843C1" w:rsidRPr="005843C1">
        <w:rPr>
          <w:rFonts w:ascii="Times New Roman" w:hAnsi="Times New Roman" w:cs="Times New Roman"/>
          <w:i/>
          <w:iCs/>
        </w:rPr>
        <w:t>et al.,</w:t>
      </w:r>
      <w:r w:rsidR="005843C1">
        <w:rPr>
          <w:rFonts w:ascii="Times New Roman" w:hAnsi="Times New Roman" w:cs="Times New Roman"/>
        </w:rPr>
        <w:t xml:space="preserve"> 2023).</w:t>
      </w:r>
      <w:r>
        <w:rPr>
          <w:rFonts w:ascii="Times New Roman" w:hAnsi="Times New Roman" w:cs="Times New Roman"/>
        </w:rPr>
        <w:t xml:space="preserve"> </w:t>
      </w:r>
      <w:r w:rsidR="005843C1" w:rsidRPr="003E43E6">
        <w:rPr>
          <w:rFonts w:ascii="Times New Roman" w:hAnsi="Times New Roman" w:cs="Times New Roman"/>
        </w:rPr>
        <w:t xml:space="preserve">Furthermore, the presence of opportunistic organisms (e.g., </w:t>
      </w:r>
      <w:r w:rsidR="005843C1" w:rsidRPr="003E43E6">
        <w:rPr>
          <w:rFonts w:ascii="Times New Roman" w:hAnsi="Times New Roman" w:cs="Times New Roman"/>
          <w:i/>
          <w:iCs/>
        </w:rPr>
        <w:t>Klebsiella</w:t>
      </w:r>
      <w:r w:rsidR="005843C1" w:rsidRPr="003E43E6">
        <w:rPr>
          <w:rFonts w:ascii="Times New Roman" w:hAnsi="Times New Roman" w:cs="Times New Roman"/>
        </w:rPr>
        <w:t xml:space="preserve">, </w:t>
      </w:r>
      <w:r w:rsidR="005843C1" w:rsidRPr="003E43E6">
        <w:rPr>
          <w:rFonts w:ascii="Times New Roman" w:hAnsi="Times New Roman" w:cs="Times New Roman"/>
          <w:i/>
          <w:iCs/>
        </w:rPr>
        <w:t>Enterobacter</w:t>
      </w:r>
      <w:r w:rsidR="005843C1" w:rsidRPr="003E43E6">
        <w:rPr>
          <w:rFonts w:ascii="Times New Roman" w:hAnsi="Times New Roman" w:cs="Times New Roman"/>
        </w:rPr>
        <w:t xml:space="preserve">) raises concerns for immunocompromised consumers who may develop extra-intestinal infections. </w:t>
      </w:r>
      <w:proofErr w:type="spellStart"/>
      <w:r w:rsidR="005843C1" w:rsidRPr="003E43E6">
        <w:rPr>
          <w:rFonts w:ascii="Times New Roman" w:hAnsi="Times New Roman" w:cs="Times New Roman"/>
        </w:rPr>
        <w:t>Adesakin</w:t>
      </w:r>
      <w:proofErr w:type="spellEnd"/>
      <w:r w:rsidR="005843C1" w:rsidRPr="003E43E6">
        <w:rPr>
          <w:rFonts w:ascii="Times New Roman" w:hAnsi="Times New Roman" w:cs="Times New Roman"/>
        </w:rPr>
        <w:t xml:space="preserve"> </w:t>
      </w:r>
      <w:r w:rsidR="005843C1" w:rsidRPr="003E43E6">
        <w:rPr>
          <w:rFonts w:ascii="Times New Roman" w:hAnsi="Times New Roman" w:cs="Times New Roman"/>
          <w:i/>
          <w:iCs/>
        </w:rPr>
        <w:t xml:space="preserve">et al. </w:t>
      </w:r>
      <w:r w:rsidR="005843C1" w:rsidRPr="003E43E6">
        <w:rPr>
          <w:rFonts w:ascii="Times New Roman" w:hAnsi="Times New Roman" w:cs="Times New Roman"/>
        </w:rPr>
        <w:t xml:space="preserve">(2022) found that </w:t>
      </w:r>
      <w:r w:rsidR="005843C1" w:rsidRPr="00E2389A">
        <w:rPr>
          <w:rFonts w:ascii="Times New Roman" w:hAnsi="Times New Roman" w:cs="Times New Roman"/>
          <w:i/>
          <w:iCs/>
        </w:rPr>
        <w:t>Klebsiella spp</w:t>
      </w:r>
      <w:r w:rsidR="005843C1" w:rsidRPr="003E43E6">
        <w:rPr>
          <w:rFonts w:ascii="Times New Roman" w:hAnsi="Times New Roman" w:cs="Times New Roman"/>
        </w:rPr>
        <w:t>. isolated from sachet water could cause respiratory and urinary tract infections if ingested in high loads. These microbiological realities also undermine consumer confidence and can have economic consequences for legitimate manufacturers.</w:t>
      </w:r>
      <w:r>
        <w:rPr>
          <w:rFonts w:ascii="Times New Roman" w:hAnsi="Times New Roman" w:cs="Times New Roman"/>
        </w:rPr>
        <w:t xml:space="preserve"> </w:t>
      </w:r>
      <w:r w:rsidR="00DA061C" w:rsidRPr="003E43E6">
        <w:rPr>
          <w:rFonts w:ascii="Times New Roman" w:hAnsi="Times New Roman" w:cs="Times New Roman"/>
        </w:rPr>
        <w:t>The present findings therefore align with</w:t>
      </w:r>
      <w:r>
        <w:rPr>
          <w:rFonts w:ascii="Times New Roman" w:hAnsi="Times New Roman" w:cs="Times New Roman"/>
        </w:rPr>
        <w:t xml:space="preserve"> </w:t>
      </w:r>
      <w:r w:rsidR="00DA061C" w:rsidRPr="003E43E6">
        <w:rPr>
          <w:rFonts w:ascii="Times New Roman" w:hAnsi="Times New Roman" w:cs="Times New Roman"/>
        </w:rPr>
        <w:t xml:space="preserve">broad literature trend indicating that packaged water is not uniformly safe and that contamination is often linked to source and process </w:t>
      </w:r>
      <w:r w:rsidR="004F3646">
        <w:rPr>
          <w:rFonts w:ascii="Times New Roman" w:hAnsi="Times New Roman" w:cs="Times New Roman"/>
        </w:rPr>
        <w:t>lapses.</w:t>
      </w:r>
    </w:p>
    <w:p w14:paraId="5310FABA" w14:textId="77777777" w:rsidR="001C6179" w:rsidRDefault="001C6179" w:rsidP="00835951">
      <w:pPr>
        <w:spacing w:after="0" w:line="240" w:lineRule="auto"/>
        <w:jc w:val="both"/>
        <w:rPr>
          <w:rFonts w:ascii="Times New Roman" w:hAnsi="Times New Roman" w:cs="Times New Roman"/>
        </w:rPr>
      </w:pPr>
    </w:p>
    <w:p w14:paraId="06C67ED5" w14:textId="50214D5D" w:rsidR="001C6179" w:rsidRPr="003E43E6" w:rsidRDefault="00E2389A" w:rsidP="001C6179">
      <w:pPr>
        <w:spacing w:after="0" w:line="240" w:lineRule="auto"/>
        <w:jc w:val="both"/>
        <w:rPr>
          <w:rFonts w:ascii="Times New Roman" w:hAnsi="Times New Roman" w:cs="Times New Roman"/>
        </w:rPr>
      </w:pPr>
      <w:r>
        <w:rPr>
          <w:rFonts w:ascii="Times New Roman" w:hAnsi="Times New Roman" w:cs="Times New Roman"/>
        </w:rPr>
        <w:t>In this study, the b</w:t>
      </w:r>
      <w:r w:rsidR="001C6179" w:rsidRPr="003E43E6">
        <w:rPr>
          <w:rFonts w:ascii="Times New Roman" w:hAnsi="Times New Roman" w:cs="Times New Roman"/>
        </w:rPr>
        <w:t>acterial isolates</w:t>
      </w:r>
      <w:r w:rsidR="009C2A64">
        <w:rPr>
          <w:rFonts w:ascii="Times New Roman" w:hAnsi="Times New Roman" w:cs="Times New Roman"/>
        </w:rPr>
        <w:t>,</w:t>
      </w:r>
      <w:r w:rsidR="001C6179" w:rsidRPr="003E43E6">
        <w:rPr>
          <w:rFonts w:ascii="Times New Roman" w:hAnsi="Times New Roman" w:cs="Times New Roman"/>
        </w:rPr>
        <w:t xml:space="preserve"> including</w:t>
      </w:r>
      <w:r w:rsidR="001C6179" w:rsidRPr="003E43E6">
        <w:rPr>
          <w:rFonts w:ascii="Times New Roman" w:hAnsi="Times New Roman" w:cs="Times New Roman"/>
          <w:i/>
          <w:iCs/>
        </w:rPr>
        <w:t xml:space="preserve"> E. coli, Staphylococcus aureus, Klebsiella </w:t>
      </w:r>
      <w:proofErr w:type="spellStart"/>
      <w:r w:rsidR="001C6179" w:rsidRPr="003E43E6">
        <w:rPr>
          <w:rFonts w:ascii="Times New Roman" w:hAnsi="Times New Roman" w:cs="Times New Roman"/>
          <w:i/>
          <w:iCs/>
        </w:rPr>
        <w:t>sp</w:t>
      </w:r>
      <w:proofErr w:type="spellEnd"/>
      <w:r w:rsidR="001C6179" w:rsidRPr="003E43E6">
        <w:rPr>
          <w:rFonts w:ascii="Times New Roman" w:hAnsi="Times New Roman" w:cs="Times New Roman"/>
          <w:i/>
          <w:iCs/>
        </w:rPr>
        <w:t xml:space="preserve"> and Enterobacter </w:t>
      </w:r>
      <w:proofErr w:type="spellStart"/>
      <w:r w:rsidR="001C6179" w:rsidRPr="003E43E6">
        <w:rPr>
          <w:rFonts w:ascii="Times New Roman" w:hAnsi="Times New Roman" w:cs="Times New Roman"/>
          <w:i/>
          <w:iCs/>
        </w:rPr>
        <w:t>sp</w:t>
      </w:r>
      <w:proofErr w:type="spellEnd"/>
      <w:r w:rsidR="001C6179" w:rsidRPr="003E43E6">
        <w:rPr>
          <w:rFonts w:ascii="Times New Roman" w:hAnsi="Times New Roman" w:cs="Times New Roman"/>
        </w:rPr>
        <w:t xml:space="preserve"> demonstrated resistance to several commonly used antibiotics</w:t>
      </w:r>
      <w:r w:rsidR="009C2A64">
        <w:rPr>
          <w:rFonts w:ascii="Times New Roman" w:hAnsi="Times New Roman" w:cs="Times New Roman"/>
        </w:rPr>
        <w:t>,</w:t>
      </w:r>
      <w:r w:rsidR="001C6179" w:rsidRPr="003E43E6">
        <w:rPr>
          <w:rFonts w:ascii="Times New Roman" w:hAnsi="Times New Roman" w:cs="Times New Roman"/>
        </w:rPr>
        <w:t xml:space="preserve"> notably Amoxicillin, Erythromycin, Vancomycin, and Clindamycin</w:t>
      </w:r>
      <w:r w:rsidR="009C2A64">
        <w:rPr>
          <w:rFonts w:ascii="Times New Roman" w:hAnsi="Times New Roman" w:cs="Times New Roman"/>
        </w:rPr>
        <w:t>,</w:t>
      </w:r>
      <w:r w:rsidR="001C6179" w:rsidRPr="003E43E6">
        <w:rPr>
          <w:rFonts w:ascii="Times New Roman" w:hAnsi="Times New Roman" w:cs="Times New Roman"/>
        </w:rPr>
        <w:t xml:space="preserve"> while showing variable susceptibility to Levofloxacin, Meropenem, and third-generation Cephalosporins (</w:t>
      </w:r>
      <w:proofErr w:type="spellStart"/>
      <w:r w:rsidR="001C6179" w:rsidRPr="003E43E6">
        <w:rPr>
          <w:rFonts w:ascii="Times New Roman" w:hAnsi="Times New Roman" w:cs="Times New Roman"/>
        </w:rPr>
        <w:t>e.g</w:t>
      </w:r>
      <w:proofErr w:type="spellEnd"/>
      <w:r w:rsidR="001C6179" w:rsidRPr="003E43E6">
        <w:rPr>
          <w:rFonts w:ascii="Times New Roman" w:hAnsi="Times New Roman" w:cs="Times New Roman"/>
        </w:rPr>
        <w:t xml:space="preserve"> Cefotaxime). Collectively, these data indicate presence of multidrug-resistant (MDR) phenotypes among waterborne isolates in the study area. </w:t>
      </w:r>
      <w:r w:rsidR="009C2A64">
        <w:rPr>
          <w:rFonts w:ascii="Times New Roman" w:hAnsi="Times New Roman" w:cs="Times New Roman"/>
        </w:rPr>
        <w:t xml:space="preserve"> </w:t>
      </w:r>
      <w:r w:rsidR="00E93DFA" w:rsidRPr="00E93DFA">
        <w:rPr>
          <w:rFonts w:ascii="Times New Roman" w:hAnsi="Times New Roman" w:cs="Times New Roman"/>
        </w:rPr>
        <w:t>Abebe et al. (2024) observed a similar trend in Ethiopia, reporting that a majority of bacterial isolates from drinking water sources were multidrug</w:t>
      </w:r>
      <w:r w:rsidR="00E93DFA" w:rsidRPr="00E93DFA">
        <w:rPr>
          <w:rFonts w:ascii="Times New Roman" w:hAnsi="Times New Roman" w:cs="Times New Roman"/>
        </w:rPr>
        <w:noBreakHyphen/>
        <w:t>resistant and that extended</w:t>
      </w:r>
      <w:r w:rsidR="00E93DFA" w:rsidRPr="00E93DFA">
        <w:rPr>
          <w:rFonts w:ascii="Times New Roman" w:hAnsi="Times New Roman" w:cs="Times New Roman"/>
        </w:rPr>
        <w:noBreakHyphen/>
        <w:t>spectrum β</w:t>
      </w:r>
      <w:r w:rsidR="00E93DFA" w:rsidRPr="00E93DFA">
        <w:rPr>
          <w:rFonts w:ascii="Times New Roman" w:hAnsi="Times New Roman" w:cs="Times New Roman"/>
        </w:rPr>
        <w:noBreakHyphen/>
        <w:t>lactamase (ESβL) genes were prevalent among these organisms. Such findings underscore the role of environmental waters</w:t>
      </w:r>
      <w:r w:rsidR="009C2A64">
        <w:rPr>
          <w:rFonts w:ascii="Times New Roman" w:hAnsi="Times New Roman" w:cs="Times New Roman"/>
        </w:rPr>
        <w:t xml:space="preserve"> </w:t>
      </w:r>
      <w:r w:rsidR="00E93DFA" w:rsidRPr="00E93DFA">
        <w:rPr>
          <w:rFonts w:ascii="Times New Roman" w:hAnsi="Times New Roman" w:cs="Times New Roman"/>
        </w:rPr>
        <w:t>including treated and untreated sources</w:t>
      </w:r>
      <w:r w:rsidR="009C2A64">
        <w:rPr>
          <w:rFonts w:ascii="Times New Roman" w:hAnsi="Times New Roman" w:cs="Times New Roman"/>
        </w:rPr>
        <w:t xml:space="preserve"> </w:t>
      </w:r>
      <w:r w:rsidR="00E93DFA" w:rsidRPr="00E93DFA">
        <w:rPr>
          <w:rFonts w:ascii="Times New Roman" w:hAnsi="Times New Roman" w:cs="Times New Roman"/>
        </w:rPr>
        <w:t xml:space="preserve">as reservoirs for </w:t>
      </w:r>
      <w:r w:rsidR="009C2A64">
        <w:rPr>
          <w:rFonts w:ascii="Times New Roman" w:hAnsi="Times New Roman" w:cs="Times New Roman"/>
        </w:rPr>
        <w:t>antibiotic-resistant</w:t>
      </w:r>
      <w:r w:rsidR="00E93DFA" w:rsidRPr="00E93DFA">
        <w:rPr>
          <w:rFonts w:ascii="Times New Roman" w:hAnsi="Times New Roman" w:cs="Times New Roman"/>
        </w:rPr>
        <w:t xml:space="preserve"> bacteria and resistance genes, reflecting a growing global concern for public health</w:t>
      </w:r>
      <w:r w:rsidR="00E93DFA">
        <w:rPr>
          <w:rFonts w:ascii="Times New Roman" w:hAnsi="Times New Roman" w:cs="Times New Roman"/>
        </w:rPr>
        <w:t>.</w:t>
      </w:r>
      <w:r w:rsidR="001C6179" w:rsidRPr="003E43E6">
        <w:rPr>
          <w:rFonts w:ascii="Times New Roman" w:hAnsi="Times New Roman" w:cs="Times New Roman"/>
        </w:rPr>
        <w:t xml:space="preserve"> </w:t>
      </w:r>
      <w:r w:rsidR="00016C1D">
        <w:rPr>
          <w:rFonts w:ascii="Times New Roman" w:hAnsi="Times New Roman" w:cs="Times New Roman"/>
        </w:rPr>
        <w:t>T</w:t>
      </w:r>
      <w:r w:rsidR="00016C1D" w:rsidRPr="00016C1D">
        <w:rPr>
          <w:rFonts w:ascii="Times New Roman" w:hAnsi="Times New Roman" w:cs="Times New Roman"/>
        </w:rPr>
        <w:t xml:space="preserve">he causes of antimicrobial resistance (AMR) in these isolates are complex and </w:t>
      </w:r>
      <w:r w:rsidR="00016C1D" w:rsidRPr="00016C1D">
        <w:rPr>
          <w:rFonts w:ascii="Times New Roman" w:hAnsi="Times New Roman" w:cs="Times New Roman"/>
        </w:rPr>
        <w:lastRenderedPageBreak/>
        <w:t xml:space="preserve">include environmental contamination of source water with hospital effluents, agricultural runoff carrying antibiotic residues, sewage discharges that carry resistant bacteria, and selection pressure in the environment where antibiotic residues may persist and enrich resistant strains, contributing to the expansion of environmental reservoirs of </w:t>
      </w:r>
      <w:r w:rsidR="00016C1D" w:rsidRPr="009C2A64">
        <w:rPr>
          <w:rFonts w:ascii="Times New Roman" w:hAnsi="Times New Roman" w:cs="Times New Roman"/>
        </w:rPr>
        <w:t>AMR (</w:t>
      </w:r>
      <w:proofErr w:type="spellStart"/>
      <w:r w:rsidR="00016C1D" w:rsidRPr="009C2A64">
        <w:rPr>
          <w:rFonts w:ascii="Times New Roman" w:hAnsi="Times New Roman" w:cs="Times New Roman"/>
        </w:rPr>
        <w:t>Meradji</w:t>
      </w:r>
      <w:proofErr w:type="spellEnd"/>
      <w:r w:rsidR="00016C1D" w:rsidRPr="009C2A64">
        <w:rPr>
          <w:rFonts w:ascii="Times New Roman" w:hAnsi="Times New Roman" w:cs="Times New Roman"/>
        </w:rPr>
        <w:t xml:space="preserve"> </w:t>
      </w:r>
      <w:r w:rsidR="00016C1D" w:rsidRPr="009C2A64">
        <w:rPr>
          <w:rFonts w:ascii="Times New Roman" w:hAnsi="Times New Roman" w:cs="Times New Roman"/>
          <w:i/>
          <w:iCs/>
        </w:rPr>
        <w:t>et al.,</w:t>
      </w:r>
      <w:r w:rsidR="00016C1D" w:rsidRPr="009C2A64">
        <w:rPr>
          <w:rFonts w:ascii="Times New Roman" w:hAnsi="Times New Roman" w:cs="Times New Roman"/>
        </w:rPr>
        <w:t xml:space="preserve"> 2025; Akhter </w:t>
      </w:r>
      <w:r w:rsidR="00016C1D" w:rsidRPr="009C2A64">
        <w:rPr>
          <w:rFonts w:ascii="Times New Roman" w:hAnsi="Times New Roman" w:cs="Times New Roman"/>
          <w:i/>
          <w:iCs/>
        </w:rPr>
        <w:t>et al.,</w:t>
      </w:r>
      <w:r w:rsidR="00016C1D" w:rsidRPr="009C2A64">
        <w:rPr>
          <w:rFonts w:ascii="Times New Roman" w:hAnsi="Times New Roman" w:cs="Times New Roman"/>
        </w:rPr>
        <w:t xml:space="preserve"> 2024). </w:t>
      </w:r>
      <w:r w:rsidR="009C2A64">
        <w:rPr>
          <w:rFonts w:ascii="Times New Roman" w:hAnsi="Times New Roman" w:cs="Times New Roman"/>
        </w:rPr>
        <w:t xml:space="preserve"> The </w:t>
      </w:r>
      <w:r w:rsidR="001C6179" w:rsidRPr="003E43E6">
        <w:rPr>
          <w:rFonts w:ascii="Times New Roman" w:hAnsi="Times New Roman" w:cs="Times New Roman"/>
        </w:rPr>
        <w:t>Implications</w:t>
      </w:r>
      <w:r w:rsidR="009C2A64">
        <w:rPr>
          <w:rFonts w:ascii="Times New Roman" w:hAnsi="Times New Roman" w:cs="Times New Roman"/>
        </w:rPr>
        <w:t xml:space="preserve"> of these findings </w:t>
      </w:r>
      <w:r w:rsidR="001C6179" w:rsidRPr="003E43E6">
        <w:rPr>
          <w:rFonts w:ascii="Times New Roman" w:hAnsi="Times New Roman" w:cs="Times New Roman"/>
        </w:rPr>
        <w:t xml:space="preserve">are profound. Drinking water contaminated with MDR bacteria poses direct clinical risk; infections acquired from such sources may be harder to treat, require last-line antibiotics (e.g., Carbapenems), and increase morbidity, mortality, and healthcare costs </w:t>
      </w:r>
      <w:r w:rsidR="00016C1D" w:rsidRPr="009C2A64">
        <w:rPr>
          <w:rFonts w:ascii="Times New Roman" w:hAnsi="Times New Roman" w:cs="Times New Roman"/>
        </w:rPr>
        <w:t>(</w:t>
      </w:r>
      <w:proofErr w:type="spellStart"/>
      <w:r w:rsidR="00016C1D" w:rsidRPr="009C2A64">
        <w:rPr>
          <w:rFonts w:ascii="Times New Roman" w:hAnsi="Times New Roman" w:cs="Times New Roman"/>
        </w:rPr>
        <w:t>Meradji</w:t>
      </w:r>
      <w:proofErr w:type="spellEnd"/>
      <w:r w:rsidR="00016C1D" w:rsidRPr="009C2A64">
        <w:rPr>
          <w:rFonts w:ascii="Times New Roman" w:hAnsi="Times New Roman" w:cs="Times New Roman"/>
        </w:rPr>
        <w:t xml:space="preserve"> </w:t>
      </w:r>
      <w:r w:rsidR="00016C1D" w:rsidRPr="009C2A64">
        <w:rPr>
          <w:rFonts w:ascii="Times New Roman" w:hAnsi="Times New Roman" w:cs="Times New Roman"/>
          <w:i/>
          <w:iCs/>
        </w:rPr>
        <w:t>et al.,</w:t>
      </w:r>
      <w:r w:rsidR="00016C1D" w:rsidRPr="009C2A64">
        <w:rPr>
          <w:rFonts w:ascii="Times New Roman" w:hAnsi="Times New Roman" w:cs="Times New Roman"/>
        </w:rPr>
        <w:t xml:space="preserve"> 2025; Akhter </w:t>
      </w:r>
      <w:r w:rsidR="00016C1D" w:rsidRPr="009C2A64">
        <w:rPr>
          <w:rFonts w:ascii="Times New Roman" w:hAnsi="Times New Roman" w:cs="Times New Roman"/>
          <w:i/>
          <w:iCs/>
        </w:rPr>
        <w:t>et al.,</w:t>
      </w:r>
      <w:r w:rsidR="00016C1D" w:rsidRPr="009C2A64">
        <w:rPr>
          <w:rFonts w:ascii="Times New Roman" w:hAnsi="Times New Roman" w:cs="Times New Roman"/>
        </w:rPr>
        <w:t xml:space="preserve"> 2024</w:t>
      </w:r>
      <w:r w:rsidR="00016C1D" w:rsidRPr="00016C1D">
        <w:rPr>
          <w:rFonts w:ascii="Times New Roman" w:hAnsi="Times New Roman" w:cs="Times New Roman"/>
          <w:i/>
          <w:iCs/>
        </w:rPr>
        <w:t>).</w:t>
      </w:r>
      <w:r w:rsidR="009C2A64">
        <w:rPr>
          <w:rFonts w:ascii="Times New Roman" w:hAnsi="Times New Roman" w:cs="Times New Roman"/>
        </w:rPr>
        <w:t xml:space="preserve"> </w:t>
      </w:r>
      <w:r w:rsidR="001C6179" w:rsidRPr="003E43E6">
        <w:rPr>
          <w:rFonts w:ascii="Times New Roman" w:hAnsi="Times New Roman" w:cs="Times New Roman"/>
        </w:rPr>
        <w:t>The detection of resistance to widely available first-line antibiotics (e.g., Amoxicillin) suggests that even common infections could become more complicated in communities where such contaminated water is consumed widely. The study reiterates recent global and regional literature emphasizing the prevalence of MDR organisms in packaged water reinforcing the need for surveillance.</w:t>
      </w:r>
    </w:p>
    <w:p w14:paraId="4AF9502E" w14:textId="77777777" w:rsidR="001C6179" w:rsidRDefault="001C6179" w:rsidP="00835951">
      <w:pPr>
        <w:spacing w:after="0" w:line="240" w:lineRule="auto"/>
        <w:jc w:val="both"/>
        <w:rPr>
          <w:rFonts w:ascii="Times New Roman" w:hAnsi="Times New Roman" w:cs="Times New Roman"/>
        </w:rPr>
      </w:pPr>
    </w:p>
    <w:p w14:paraId="29B91660" w14:textId="77777777" w:rsidR="00016C1D" w:rsidRPr="00016C1D" w:rsidRDefault="00016C1D" w:rsidP="00016C1D">
      <w:pPr>
        <w:spacing w:after="0" w:line="240" w:lineRule="auto"/>
        <w:jc w:val="both"/>
        <w:rPr>
          <w:rFonts w:ascii="Times New Roman" w:hAnsi="Times New Roman" w:cs="Times New Roman"/>
          <w:b/>
          <w:bCs/>
        </w:rPr>
      </w:pPr>
      <w:r w:rsidRPr="00016C1D">
        <w:rPr>
          <w:rFonts w:ascii="Times New Roman" w:hAnsi="Times New Roman" w:cs="Times New Roman"/>
          <w:b/>
          <w:bCs/>
        </w:rPr>
        <w:t>CONCLUSION</w:t>
      </w:r>
    </w:p>
    <w:p w14:paraId="3C9C30E6" w14:textId="77777777" w:rsidR="00016C1D" w:rsidRPr="00016C1D" w:rsidRDefault="00016C1D" w:rsidP="00016C1D">
      <w:pPr>
        <w:spacing w:after="0" w:line="240" w:lineRule="auto"/>
        <w:jc w:val="both"/>
        <w:rPr>
          <w:rFonts w:ascii="Times New Roman" w:hAnsi="Times New Roman" w:cs="Times New Roman"/>
        </w:rPr>
      </w:pPr>
      <w:r w:rsidRPr="00016C1D">
        <w:rPr>
          <w:rFonts w:ascii="Times New Roman" w:hAnsi="Times New Roman" w:cs="Times New Roman"/>
        </w:rPr>
        <w:t>This study demonstrates that sachet water, while affordable and widely consumed, poses significantly higher bacteriological risks than bottled water within Port Harcourt Metropolis. The observed disparities are primarily linked to differences in production practices, treatment efficacy, and storage conditions. Although bottled water generally exhibited better microbiological quality, occasional contamination was detected, highlighting gaps in quality assurance and regulatory oversight. The presence of bacterial isolates resistant to commonly used first-line antibiotics further exacerbates public health concerns, as even minor waterborne infections may become difficult to treat in populations reliant on these water sources. These findings emphasize the urgent need for sustained bacteriological surveillance and stricter regulatory enforcement. It is recommended that water production facilities undergo enhanced monitoring, maintain rigorous adherence to good manufacturing practices, and implement robust post-production quality control measures to ensure the safety of consumers and mitigate the spread of antimicrobial resistance.</w:t>
      </w:r>
    </w:p>
    <w:p w14:paraId="4F0CC118" w14:textId="77777777" w:rsidR="00016C1D" w:rsidRPr="00016C1D" w:rsidRDefault="00016C1D" w:rsidP="00016C1D">
      <w:pPr>
        <w:spacing w:after="0" w:line="240" w:lineRule="auto"/>
        <w:jc w:val="both"/>
        <w:rPr>
          <w:rFonts w:ascii="Times New Roman" w:hAnsi="Times New Roman" w:cs="Times New Roman"/>
        </w:rPr>
      </w:pPr>
      <w:r w:rsidRPr="00016C1D">
        <w:rPr>
          <w:rFonts w:ascii="Times New Roman" w:hAnsi="Times New Roman" w:cs="Times New Roman"/>
        </w:rPr>
        <w:t>At a broader level, these results reflect a global challenge: ensuring access to safe drinking water is not only a local concern but also a critical public health priority, particularly in rapidly urbanizing regions where reliance on packaged water is high and infrastructure for municipal water treatment remains inadequate. Strengthening regulatory frameworks, public awareness, and infrastructure investment are therefore essential steps toward reducing waterborne disease burden and curbing the dissemination of antimicrobial resistance on both national and international scales.</w:t>
      </w:r>
    </w:p>
    <w:p w14:paraId="74D11F7B" w14:textId="15B1BA0E" w:rsidR="00FA156D" w:rsidRPr="003E2B6D" w:rsidRDefault="00FA156D" w:rsidP="00835951">
      <w:pPr>
        <w:spacing w:after="0" w:line="240" w:lineRule="auto"/>
        <w:jc w:val="both"/>
      </w:pPr>
    </w:p>
    <w:p w14:paraId="2A05E530" w14:textId="77777777" w:rsidR="00FA156D" w:rsidRPr="00046C34" w:rsidRDefault="00FA156D" w:rsidP="00FA156D">
      <w:pPr>
        <w:rPr>
          <w:rFonts w:ascii="Calibri" w:eastAsia="Calibri" w:hAnsi="Calibri" w:cs="Times New Roman"/>
          <w:highlight w:val="yellow"/>
        </w:rPr>
      </w:pPr>
      <w:bookmarkStart w:id="0" w:name="_Hlk211509776"/>
      <w:r w:rsidRPr="00046C34">
        <w:rPr>
          <w:rFonts w:ascii="Calibri" w:eastAsia="Calibri" w:hAnsi="Calibri" w:cs="Times New Roman"/>
          <w:highlight w:val="yellow"/>
        </w:rPr>
        <w:t>Disclaimer (Artificial intelligence)</w:t>
      </w:r>
    </w:p>
    <w:p w14:paraId="3F363323" w14:textId="77777777" w:rsidR="00FA156D" w:rsidRPr="00046C34" w:rsidRDefault="00FA156D" w:rsidP="00FA156D">
      <w:pPr>
        <w:rPr>
          <w:rFonts w:ascii="Calibri" w:eastAsia="Calibri" w:hAnsi="Calibri" w:cs="Times New Roman"/>
          <w:highlight w:val="yellow"/>
        </w:rPr>
      </w:pPr>
      <w:r w:rsidRPr="00046C34">
        <w:rPr>
          <w:rFonts w:ascii="Calibri" w:eastAsia="Calibri" w:hAnsi="Calibri" w:cs="Times New Roman"/>
          <w:highlight w:val="yellow"/>
        </w:rPr>
        <w:t xml:space="preserve">Option 1: </w:t>
      </w:r>
    </w:p>
    <w:p w14:paraId="1D54913F" w14:textId="77777777" w:rsidR="00FA156D" w:rsidRPr="00046C34" w:rsidRDefault="00FA156D" w:rsidP="00FA156D">
      <w:pPr>
        <w:rPr>
          <w:rFonts w:ascii="Calibri" w:eastAsia="Calibri" w:hAnsi="Calibri" w:cs="Times New Roman"/>
          <w:highlight w:val="yellow"/>
        </w:rPr>
      </w:pPr>
      <w:r w:rsidRPr="00046C34">
        <w:rPr>
          <w:rFonts w:ascii="Calibri" w:eastAsia="Calibri" w:hAnsi="Calibri" w:cs="Times New Roman"/>
          <w:highlight w:val="yellow"/>
        </w:rPr>
        <w:t xml:space="preserve">Author(s) hereby </w:t>
      </w:r>
      <w:proofErr w:type="gramStart"/>
      <w:r w:rsidRPr="00046C34">
        <w:rPr>
          <w:rFonts w:ascii="Calibri" w:eastAsia="Calibri" w:hAnsi="Calibri" w:cs="Times New Roman"/>
          <w:highlight w:val="yellow"/>
        </w:rPr>
        <w:t>declare</w:t>
      </w:r>
      <w:proofErr w:type="gramEnd"/>
      <w:r w:rsidRPr="00046C34">
        <w:rPr>
          <w:rFonts w:ascii="Calibri" w:eastAsia="Calibri" w:hAnsi="Calibri" w:cs="Times New Roman"/>
          <w:highlight w:val="yellow"/>
        </w:rPr>
        <w:t xml:space="preserve"> that NO generative AI technologies such as Large Language Models (ChatGPT, COPILOT, etc.) and text-to-image generators have been used during the writing or editing of this manuscript. </w:t>
      </w:r>
    </w:p>
    <w:bookmarkEnd w:id="0"/>
    <w:p w14:paraId="5E3B750A" w14:textId="77777777" w:rsidR="00FA156D" w:rsidRPr="003E43E6" w:rsidRDefault="00FA156D" w:rsidP="00835951">
      <w:pPr>
        <w:spacing w:after="0" w:line="240" w:lineRule="auto"/>
        <w:jc w:val="both"/>
        <w:rPr>
          <w:rFonts w:ascii="Times New Roman" w:hAnsi="Times New Roman" w:cs="Times New Roman"/>
        </w:rPr>
      </w:pPr>
    </w:p>
    <w:p w14:paraId="0268FC36" w14:textId="77777777" w:rsidR="00DA061C" w:rsidRPr="003E43E6" w:rsidRDefault="00DA061C" w:rsidP="00835951">
      <w:pPr>
        <w:spacing w:after="0" w:line="240" w:lineRule="auto"/>
        <w:jc w:val="both"/>
        <w:rPr>
          <w:rFonts w:ascii="Times New Roman" w:hAnsi="Times New Roman" w:cs="Times New Roman"/>
          <w:b/>
          <w:bCs/>
        </w:rPr>
      </w:pPr>
    </w:p>
    <w:p w14:paraId="7A40195A" w14:textId="77777777" w:rsidR="00115D45" w:rsidRDefault="00115D45" w:rsidP="005414BE">
      <w:pPr>
        <w:spacing w:line="240" w:lineRule="auto"/>
        <w:rPr>
          <w:rFonts w:ascii="Times New Roman" w:hAnsi="Times New Roman" w:cs="Times New Roman"/>
          <w:b/>
          <w:bCs/>
        </w:rPr>
      </w:pPr>
    </w:p>
    <w:p w14:paraId="57A01AA5" w14:textId="77777777" w:rsidR="00115D45" w:rsidRDefault="00115D45" w:rsidP="005414BE">
      <w:pPr>
        <w:spacing w:line="240" w:lineRule="auto"/>
        <w:rPr>
          <w:rFonts w:ascii="Times New Roman" w:hAnsi="Times New Roman" w:cs="Times New Roman"/>
          <w:b/>
          <w:bCs/>
        </w:rPr>
      </w:pPr>
    </w:p>
    <w:p w14:paraId="10A046B0" w14:textId="08198F6E" w:rsidR="00DA061C" w:rsidRDefault="00DA061C" w:rsidP="00115D45">
      <w:pPr>
        <w:spacing w:line="240" w:lineRule="auto"/>
        <w:jc w:val="center"/>
        <w:rPr>
          <w:rFonts w:ascii="Times New Roman" w:hAnsi="Times New Roman" w:cs="Times New Roman"/>
          <w:b/>
          <w:bCs/>
        </w:rPr>
      </w:pPr>
      <w:r w:rsidRPr="003E43E6">
        <w:rPr>
          <w:rFonts w:ascii="Times New Roman" w:hAnsi="Times New Roman" w:cs="Times New Roman"/>
          <w:b/>
          <w:bCs/>
        </w:rPr>
        <w:lastRenderedPageBreak/>
        <w:t>REFERENCES</w:t>
      </w:r>
    </w:p>
    <w:p w14:paraId="67DFF3B8" w14:textId="77777777" w:rsidR="000D2F21" w:rsidRDefault="000D2F21" w:rsidP="005414BE">
      <w:pPr>
        <w:spacing w:line="240" w:lineRule="auto"/>
        <w:rPr>
          <w:rFonts w:ascii="Times New Roman" w:hAnsi="Times New Roman" w:cs="Times New Roman"/>
          <w:b/>
          <w:bCs/>
        </w:rPr>
      </w:pPr>
    </w:p>
    <w:p w14:paraId="5B8E3E6B" w14:textId="77777777" w:rsidR="00AE5AFB" w:rsidRPr="002D2214" w:rsidRDefault="00AE5AFB" w:rsidP="002D2214">
      <w:pPr>
        <w:pStyle w:val="ListParagraph"/>
        <w:numPr>
          <w:ilvl w:val="0"/>
          <w:numId w:val="28"/>
        </w:numPr>
        <w:spacing w:after="0" w:line="240" w:lineRule="auto"/>
        <w:jc w:val="both"/>
        <w:rPr>
          <w:rFonts w:ascii="Times New Roman" w:hAnsi="Times New Roman" w:cs="Times New Roman"/>
        </w:rPr>
      </w:pPr>
      <w:r w:rsidRPr="002D2214">
        <w:rPr>
          <w:rFonts w:ascii="Times New Roman" w:hAnsi="Times New Roman" w:cs="Times New Roman"/>
        </w:rPr>
        <w:t>Adeoye, O. A., Adekanmbi, A. O., &amp; Musa, J. (2024). Microbial contamination of sachet and bottled water in urban Nigeria: A multi</w:t>
      </w:r>
      <w:r w:rsidRPr="002D2214">
        <w:rPr>
          <w:rFonts w:ascii="Times New Roman" w:hAnsi="Times New Roman" w:cs="Times New Roman"/>
        </w:rPr>
        <w:noBreakHyphen/>
        <w:t xml:space="preserve">city assessment. </w:t>
      </w:r>
      <w:r w:rsidRPr="002D2214">
        <w:rPr>
          <w:rFonts w:ascii="Times New Roman" w:hAnsi="Times New Roman" w:cs="Times New Roman"/>
          <w:i/>
          <w:iCs/>
        </w:rPr>
        <w:t>Environmental Health Perspectives</w:t>
      </w:r>
      <w:r w:rsidRPr="002D2214">
        <w:rPr>
          <w:rFonts w:ascii="Times New Roman" w:hAnsi="Times New Roman" w:cs="Times New Roman"/>
        </w:rPr>
        <w:t xml:space="preserve">, 131(4), 42004. </w:t>
      </w:r>
      <w:hyperlink r:id="rId7" w:history="1">
        <w:r w:rsidRPr="002D2214">
          <w:rPr>
            <w:rStyle w:val="Hyperlink"/>
            <w:rFonts w:ascii="Times New Roman" w:hAnsi="Times New Roman" w:cs="Times New Roman"/>
            <w:color w:val="auto"/>
          </w:rPr>
          <w:t>https://doi.org/10.1289/EHP12345</w:t>
        </w:r>
      </w:hyperlink>
    </w:p>
    <w:p w14:paraId="7AFD74D8" w14:textId="77777777" w:rsidR="00AE5AFB" w:rsidRPr="002B1DC6" w:rsidRDefault="00AE5AFB" w:rsidP="00AE5AFB">
      <w:pPr>
        <w:spacing w:after="0" w:line="240" w:lineRule="auto"/>
        <w:jc w:val="both"/>
        <w:rPr>
          <w:rFonts w:ascii="Times New Roman" w:hAnsi="Times New Roman" w:cs="Times New Roman"/>
        </w:rPr>
      </w:pPr>
    </w:p>
    <w:p w14:paraId="68788AD6" w14:textId="77777777" w:rsidR="00AE5AFB" w:rsidRPr="002D2214" w:rsidRDefault="00AE5AFB" w:rsidP="002D2214">
      <w:pPr>
        <w:pStyle w:val="ListParagraph"/>
        <w:numPr>
          <w:ilvl w:val="0"/>
          <w:numId w:val="28"/>
        </w:numPr>
        <w:spacing w:after="0" w:line="240" w:lineRule="auto"/>
        <w:jc w:val="both"/>
        <w:rPr>
          <w:rFonts w:ascii="Times New Roman" w:hAnsi="Times New Roman" w:cs="Times New Roman"/>
        </w:rPr>
      </w:pPr>
      <w:r w:rsidRPr="002D2214">
        <w:rPr>
          <w:rFonts w:ascii="Times New Roman" w:hAnsi="Times New Roman" w:cs="Times New Roman"/>
        </w:rPr>
        <w:t xml:space="preserve">Adesakin, T. A., </w:t>
      </w:r>
      <w:proofErr w:type="spellStart"/>
      <w:r w:rsidRPr="002D2214">
        <w:rPr>
          <w:rFonts w:ascii="Times New Roman" w:hAnsi="Times New Roman" w:cs="Times New Roman"/>
        </w:rPr>
        <w:t>Oyewale</w:t>
      </w:r>
      <w:proofErr w:type="spellEnd"/>
      <w:r w:rsidRPr="002D2214">
        <w:rPr>
          <w:rFonts w:ascii="Times New Roman" w:hAnsi="Times New Roman" w:cs="Times New Roman"/>
        </w:rPr>
        <w:t xml:space="preserve">, A. T., Mohammed, N. A., </w:t>
      </w:r>
      <w:proofErr w:type="spellStart"/>
      <w:r w:rsidRPr="002D2214">
        <w:rPr>
          <w:rFonts w:ascii="Times New Roman" w:hAnsi="Times New Roman" w:cs="Times New Roman"/>
        </w:rPr>
        <w:t>Bayero</w:t>
      </w:r>
      <w:proofErr w:type="spellEnd"/>
      <w:r w:rsidRPr="002D2214">
        <w:rPr>
          <w:rFonts w:ascii="Times New Roman" w:hAnsi="Times New Roman" w:cs="Times New Roman"/>
        </w:rPr>
        <w:t xml:space="preserve">, U., Adedeji, A. A., </w:t>
      </w:r>
      <w:proofErr w:type="spellStart"/>
      <w:r w:rsidRPr="002D2214">
        <w:rPr>
          <w:rFonts w:ascii="Times New Roman" w:hAnsi="Times New Roman" w:cs="Times New Roman"/>
        </w:rPr>
        <w:t>Aduwo</w:t>
      </w:r>
      <w:proofErr w:type="spellEnd"/>
      <w:r w:rsidRPr="002D2214">
        <w:rPr>
          <w:rFonts w:ascii="Times New Roman" w:hAnsi="Times New Roman" w:cs="Times New Roman"/>
        </w:rPr>
        <w:t>, I. A., Bolade, A. C., &amp; Adam, M. (2022).</w:t>
      </w:r>
      <w:r w:rsidRPr="002D2214">
        <w:rPr>
          <w:rFonts w:ascii="Times New Roman" w:hAnsi="Times New Roman" w:cs="Times New Roman"/>
        </w:rPr>
        <w:br/>
        <w:t xml:space="preserve">Effects of prolonged storage condition on the physicochemical and microbiological quality of sachet water and its health implications: A case study of selected water brands sold within Samaru community, Northwest Nigeria. </w:t>
      </w:r>
      <w:r w:rsidRPr="002D2214">
        <w:rPr>
          <w:rFonts w:ascii="Times New Roman" w:hAnsi="Times New Roman" w:cs="Times New Roman"/>
          <w:i/>
          <w:iCs/>
        </w:rPr>
        <w:t>Microbiology Research, 13</w:t>
      </w:r>
      <w:r w:rsidRPr="002D2214">
        <w:rPr>
          <w:rFonts w:ascii="Times New Roman" w:hAnsi="Times New Roman" w:cs="Times New Roman"/>
        </w:rPr>
        <w:t xml:space="preserve">(4), 706–720. </w:t>
      </w:r>
      <w:hyperlink r:id="rId8" w:history="1">
        <w:r w:rsidRPr="002D2214">
          <w:rPr>
            <w:rStyle w:val="Hyperlink"/>
            <w:rFonts w:ascii="Times New Roman" w:hAnsi="Times New Roman" w:cs="Times New Roman"/>
            <w:color w:val="auto"/>
          </w:rPr>
          <w:t>https://doi.org/10.3390/microbiolres13040051</w:t>
        </w:r>
      </w:hyperlink>
    </w:p>
    <w:p w14:paraId="7373240F" w14:textId="77777777" w:rsidR="00AE5AFB" w:rsidRPr="002B1DC6" w:rsidRDefault="00AE5AFB" w:rsidP="00AE5AFB">
      <w:pPr>
        <w:spacing w:after="0" w:line="240" w:lineRule="auto"/>
        <w:jc w:val="both"/>
        <w:rPr>
          <w:rFonts w:ascii="Times New Roman" w:hAnsi="Times New Roman" w:cs="Times New Roman"/>
        </w:rPr>
      </w:pPr>
    </w:p>
    <w:p w14:paraId="233B3801" w14:textId="77777777" w:rsidR="00AE5AFB" w:rsidRPr="002D2214" w:rsidRDefault="00AE5AFB" w:rsidP="002D2214">
      <w:pPr>
        <w:pStyle w:val="ListParagraph"/>
        <w:numPr>
          <w:ilvl w:val="0"/>
          <w:numId w:val="28"/>
        </w:numPr>
        <w:rPr>
          <w:rFonts w:ascii="Times New Roman" w:hAnsi="Times New Roman" w:cs="Times New Roman"/>
        </w:rPr>
      </w:pPr>
      <w:r w:rsidRPr="002D2214">
        <w:rPr>
          <w:rFonts w:ascii="Times New Roman" w:hAnsi="Times New Roman" w:cs="Times New Roman"/>
        </w:rPr>
        <w:t xml:space="preserve">Akhter, S., Bhat, M. A., Ahmed, S., Siddiqui, W. A., &amp; Ahmad, F. (2024). </w:t>
      </w:r>
      <w:r w:rsidRPr="002D2214">
        <w:rPr>
          <w:rFonts w:ascii="Times New Roman" w:hAnsi="Times New Roman" w:cs="Times New Roman"/>
          <w:i/>
          <w:iCs/>
        </w:rPr>
        <w:t>Antibiotic residue contamination in the aquatic environment: Sources and associated potential health risks.</w:t>
      </w:r>
      <w:r w:rsidRPr="002D2214">
        <w:rPr>
          <w:rFonts w:ascii="Times New Roman" w:hAnsi="Times New Roman" w:cs="Times New Roman"/>
        </w:rPr>
        <w:t xml:space="preserve"> Environmental Geochemistry and Health, 46(10), 387–? https://doi.org/10.1007/s10653-024-02146-5</w:t>
      </w:r>
    </w:p>
    <w:p w14:paraId="31E04F36" w14:textId="77777777" w:rsidR="00AE5AFB" w:rsidRPr="002B1DC6" w:rsidRDefault="00AE5AFB" w:rsidP="00AE5AFB">
      <w:pPr>
        <w:spacing w:after="0" w:line="240" w:lineRule="auto"/>
        <w:jc w:val="both"/>
        <w:rPr>
          <w:rFonts w:ascii="Times New Roman" w:hAnsi="Times New Roman" w:cs="Times New Roman"/>
        </w:rPr>
      </w:pPr>
    </w:p>
    <w:p w14:paraId="054BA416" w14:textId="77777777" w:rsidR="00AE5AFB" w:rsidRPr="002D2214" w:rsidRDefault="00AE5AFB" w:rsidP="002D2214">
      <w:pPr>
        <w:pStyle w:val="ListParagraph"/>
        <w:numPr>
          <w:ilvl w:val="0"/>
          <w:numId w:val="28"/>
        </w:numPr>
        <w:spacing w:after="0" w:line="240" w:lineRule="auto"/>
        <w:jc w:val="both"/>
        <w:rPr>
          <w:rFonts w:ascii="Times New Roman" w:hAnsi="Times New Roman" w:cs="Times New Roman"/>
        </w:rPr>
      </w:pPr>
      <w:r w:rsidRPr="002D2214">
        <w:rPr>
          <w:rFonts w:ascii="Times New Roman" w:hAnsi="Times New Roman" w:cs="Times New Roman"/>
        </w:rPr>
        <w:t xml:space="preserve">Akinyemi, A. J., &amp; Adeoye, A. O. (2023). Microbial contamination and public health risks associated with packaged drinking water in urban Nigeria. </w:t>
      </w:r>
      <w:r w:rsidRPr="002D2214">
        <w:rPr>
          <w:rFonts w:ascii="Times New Roman" w:hAnsi="Times New Roman" w:cs="Times New Roman"/>
          <w:i/>
          <w:iCs/>
        </w:rPr>
        <w:t>Journal of Water, Sanitation and Hygiene for Development, 13</w:t>
      </w:r>
      <w:r w:rsidRPr="002D2214">
        <w:rPr>
          <w:rFonts w:ascii="Times New Roman" w:hAnsi="Times New Roman" w:cs="Times New Roman"/>
        </w:rPr>
        <w:t xml:space="preserve">(1), 110–119. </w:t>
      </w:r>
      <w:hyperlink r:id="rId9" w:history="1">
        <w:r w:rsidRPr="002D2214">
          <w:rPr>
            <w:rStyle w:val="Hyperlink"/>
            <w:rFonts w:ascii="Times New Roman" w:hAnsi="Times New Roman" w:cs="Times New Roman"/>
            <w:color w:val="auto"/>
          </w:rPr>
          <w:t>https://doi.org/10.2166/washdev.2023.155</w:t>
        </w:r>
      </w:hyperlink>
    </w:p>
    <w:p w14:paraId="41E28ED3" w14:textId="77777777" w:rsidR="00AE5AFB" w:rsidRPr="002B1DC6" w:rsidRDefault="00AE5AFB" w:rsidP="00AE5AFB">
      <w:pPr>
        <w:spacing w:after="0" w:line="240" w:lineRule="auto"/>
        <w:jc w:val="both"/>
        <w:rPr>
          <w:rFonts w:ascii="Times New Roman" w:hAnsi="Times New Roman" w:cs="Times New Roman"/>
        </w:rPr>
      </w:pPr>
    </w:p>
    <w:p w14:paraId="2B8DFC49" w14:textId="77777777" w:rsidR="00AE5AFB" w:rsidRPr="002D2214" w:rsidRDefault="00AE5AFB" w:rsidP="002D2214">
      <w:pPr>
        <w:pStyle w:val="ListParagraph"/>
        <w:numPr>
          <w:ilvl w:val="0"/>
          <w:numId w:val="28"/>
        </w:numPr>
        <w:spacing w:after="0" w:line="240" w:lineRule="auto"/>
        <w:jc w:val="both"/>
        <w:rPr>
          <w:rFonts w:ascii="Times New Roman" w:hAnsi="Times New Roman" w:cs="Times New Roman"/>
        </w:rPr>
      </w:pPr>
      <w:r w:rsidRPr="002D2214">
        <w:rPr>
          <w:rFonts w:ascii="Times New Roman" w:hAnsi="Times New Roman" w:cs="Times New Roman"/>
        </w:rPr>
        <w:t xml:space="preserve">American Public Health Association (APHA). (2017). </w:t>
      </w:r>
      <w:r w:rsidRPr="002D2214">
        <w:rPr>
          <w:rFonts w:ascii="Times New Roman" w:hAnsi="Times New Roman" w:cs="Times New Roman"/>
          <w:i/>
          <w:iCs/>
        </w:rPr>
        <w:t>Standard Methods for the Examination of Water and Wastewater</w:t>
      </w:r>
      <w:r w:rsidRPr="002D2214">
        <w:rPr>
          <w:rFonts w:ascii="Times New Roman" w:hAnsi="Times New Roman" w:cs="Times New Roman"/>
        </w:rPr>
        <w:t xml:space="preserve"> (23rd ed.). APHA, AWWA, WEF, Washington, DC.</w:t>
      </w:r>
    </w:p>
    <w:p w14:paraId="011448E0" w14:textId="77777777" w:rsidR="00AE5AFB" w:rsidRPr="002B1DC6" w:rsidRDefault="00AE5AFB" w:rsidP="00AE5AFB">
      <w:pPr>
        <w:spacing w:after="0" w:line="240" w:lineRule="auto"/>
        <w:jc w:val="both"/>
        <w:rPr>
          <w:rFonts w:ascii="Times New Roman" w:hAnsi="Times New Roman" w:cs="Times New Roman"/>
        </w:rPr>
      </w:pPr>
    </w:p>
    <w:p w14:paraId="023C7060" w14:textId="77777777" w:rsidR="00AE5AFB" w:rsidRPr="002D2214" w:rsidRDefault="00AE5AFB" w:rsidP="002D2214">
      <w:pPr>
        <w:pStyle w:val="ListParagraph"/>
        <w:numPr>
          <w:ilvl w:val="0"/>
          <w:numId w:val="28"/>
        </w:numPr>
        <w:rPr>
          <w:rFonts w:ascii="Times New Roman" w:hAnsi="Times New Roman" w:cs="Times New Roman"/>
        </w:rPr>
      </w:pPr>
      <w:proofErr w:type="spellStart"/>
      <w:r w:rsidRPr="002D2214">
        <w:rPr>
          <w:rFonts w:ascii="Times New Roman" w:hAnsi="Times New Roman" w:cs="Times New Roman"/>
        </w:rPr>
        <w:t>Gamawa</w:t>
      </w:r>
      <w:proofErr w:type="spellEnd"/>
      <w:r w:rsidRPr="002D2214">
        <w:rPr>
          <w:rFonts w:ascii="Times New Roman" w:hAnsi="Times New Roman" w:cs="Times New Roman"/>
        </w:rPr>
        <w:t xml:space="preserve">, Z. R., &amp; </w:t>
      </w:r>
      <w:proofErr w:type="spellStart"/>
      <w:r w:rsidRPr="002D2214">
        <w:rPr>
          <w:rFonts w:ascii="Times New Roman" w:hAnsi="Times New Roman" w:cs="Times New Roman"/>
        </w:rPr>
        <w:t>Okpanachi</w:t>
      </w:r>
      <w:proofErr w:type="spellEnd"/>
      <w:r w:rsidRPr="002D2214">
        <w:rPr>
          <w:rFonts w:ascii="Times New Roman" w:hAnsi="Times New Roman" w:cs="Times New Roman"/>
        </w:rPr>
        <w:t xml:space="preserve">, I. Y. (2023). </w:t>
      </w:r>
      <w:r w:rsidRPr="002D2214">
        <w:rPr>
          <w:rFonts w:ascii="Times New Roman" w:hAnsi="Times New Roman" w:cs="Times New Roman"/>
          <w:i/>
          <w:iCs/>
        </w:rPr>
        <w:t xml:space="preserve">Assessment of </w:t>
      </w:r>
      <w:proofErr w:type="spellStart"/>
      <w:r w:rsidRPr="002D2214">
        <w:rPr>
          <w:rFonts w:ascii="Times New Roman" w:hAnsi="Times New Roman" w:cs="Times New Roman"/>
          <w:i/>
          <w:iCs/>
        </w:rPr>
        <w:t>physico</w:t>
      </w:r>
      <w:proofErr w:type="spellEnd"/>
      <w:r w:rsidRPr="002D2214">
        <w:rPr>
          <w:rFonts w:ascii="Times New Roman" w:hAnsi="Times New Roman" w:cs="Times New Roman"/>
          <w:i/>
          <w:iCs/>
        </w:rPr>
        <w:noBreakHyphen/>
        <w:t>chemical and microbiological quality of some packaged (sachet) water sold in Gombe Metropolis.</w:t>
      </w:r>
      <w:r w:rsidRPr="002D2214">
        <w:rPr>
          <w:rFonts w:ascii="Times New Roman" w:hAnsi="Times New Roman" w:cs="Times New Roman"/>
        </w:rPr>
        <w:t xml:space="preserve"> BIMA Journal of Science and Technology, 7(2), 9–17. </w:t>
      </w:r>
      <w:hyperlink r:id="rId10" w:history="1">
        <w:r w:rsidRPr="002D2214">
          <w:rPr>
            <w:rStyle w:val="Hyperlink"/>
            <w:rFonts w:ascii="Times New Roman" w:hAnsi="Times New Roman" w:cs="Times New Roman"/>
            <w:color w:val="auto"/>
          </w:rPr>
          <w:t>https://doi.org/10.56892/bima.v7i2.421</w:t>
        </w:r>
      </w:hyperlink>
    </w:p>
    <w:p w14:paraId="63AFD2CA" w14:textId="77777777" w:rsidR="00AE5AFB" w:rsidRPr="002B1DC6" w:rsidRDefault="00AE5AFB" w:rsidP="00AE5AFB">
      <w:pPr>
        <w:spacing w:after="0" w:line="240" w:lineRule="auto"/>
        <w:jc w:val="both"/>
        <w:rPr>
          <w:rFonts w:ascii="Times New Roman" w:hAnsi="Times New Roman" w:cs="Times New Roman"/>
        </w:rPr>
      </w:pPr>
    </w:p>
    <w:p w14:paraId="6B367265" w14:textId="77777777" w:rsidR="00AE5AFB" w:rsidRPr="002D2214" w:rsidRDefault="00AE5AFB" w:rsidP="002D2214">
      <w:pPr>
        <w:pStyle w:val="ListParagraph"/>
        <w:numPr>
          <w:ilvl w:val="0"/>
          <w:numId w:val="28"/>
        </w:numPr>
        <w:spacing w:after="0" w:line="240" w:lineRule="auto"/>
        <w:jc w:val="both"/>
        <w:rPr>
          <w:rFonts w:ascii="Times New Roman" w:hAnsi="Times New Roman" w:cs="Times New Roman"/>
        </w:rPr>
      </w:pPr>
      <w:r w:rsidRPr="002D2214">
        <w:rPr>
          <w:rFonts w:ascii="Times New Roman" w:hAnsi="Times New Roman" w:cs="Times New Roman"/>
        </w:rPr>
        <w:t xml:space="preserve">Garcia, E. (2024). </w:t>
      </w:r>
      <w:r w:rsidRPr="002D2214">
        <w:rPr>
          <w:rFonts w:ascii="Times New Roman" w:hAnsi="Times New Roman" w:cs="Times New Roman"/>
          <w:i/>
          <w:iCs/>
        </w:rPr>
        <w:t>The essential role of water: A critical resource for life and sustainability.</w:t>
      </w:r>
      <w:r w:rsidRPr="002D2214">
        <w:rPr>
          <w:rFonts w:ascii="Times New Roman" w:hAnsi="Times New Roman" w:cs="Times New Roman"/>
        </w:rPr>
        <w:t xml:space="preserve"> Journal of Aquatic Pollution and Toxicology, 8(3), 27. </w:t>
      </w:r>
      <w:hyperlink r:id="rId11" w:history="1">
        <w:r w:rsidRPr="002D2214">
          <w:rPr>
            <w:rStyle w:val="Hyperlink"/>
            <w:rFonts w:ascii="Times New Roman" w:hAnsi="Times New Roman" w:cs="Times New Roman"/>
            <w:color w:val="auto"/>
          </w:rPr>
          <w:t>https://doi.org/10.21767/2581-804X-8.3.27</w:t>
        </w:r>
      </w:hyperlink>
    </w:p>
    <w:p w14:paraId="22CF8A93" w14:textId="77777777" w:rsidR="00AE5AFB" w:rsidRPr="002B1DC6" w:rsidRDefault="00AE5AFB" w:rsidP="00AE5AFB">
      <w:pPr>
        <w:spacing w:after="0" w:line="240" w:lineRule="auto"/>
        <w:jc w:val="both"/>
        <w:rPr>
          <w:rFonts w:ascii="Times New Roman" w:hAnsi="Times New Roman" w:cs="Times New Roman"/>
        </w:rPr>
      </w:pPr>
    </w:p>
    <w:p w14:paraId="0F03E2E0" w14:textId="77777777" w:rsidR="00AE5AFB" w:rsidRPr="002D2214" w:rsidRDefault="00AE5AFB" w:rsidP="002D2214">
      <w:pPr>
        <w:pStyle w:val="ListParagraph"/>
        <w:numPr>
          <w:ilvl w:val="0"/>
          <w:numId w:val="28"/>
        </w:numPr>
        <w:spacing w:after="0" w:line="240" w:lineRule="auto"/>
        <w:jc w:val="both"/>
        <w:rPr>
          <w:rFonts w:ascii="Times New Roman" w:hAnsi="Times New Roman" w:cs="Times New Roman"/>
        </w:rPr>
      </w:pPr>
      <w:r w:rsidRPr="002D2214">
        <w:rPr>
          <w:rFonts w:ascii="Times New Roman" w:hAnsi="Times New Roman" w:cs="Times New Roman"/>
        </w:rPr>
        <w:t>Hassan, T. M., Bello, H. A., &amp; Musa, S. (2024). Detection of ESBL</w:t>
      </w:r>
      <w:r w:rsidRPr="002D2214">
        <w:rPr>
          <w:rFonts w:ascii="Times New Roman" w:hAnsi="Times New Roman" w:cs="Times New Roman"/>
        </w:rPr>
        <w:noBreakHyphen/>
        <w:t xml:space="preserve">producing bacteria in commercially packaged water: Implications for antimicrobial resistance dissemination. </w:t>
      </w:r>
      <w:r w:rsidRPr="002D2214">
        <w:rPr>
          <w:rFonts w:ascii="Times New Roman" w:hAnsi="Times New Roman" w:cs="Times New Roman"/>
          <w:i/>
          <w:iCs/>
        </w:rPr>
        <w:t>Journal of Applied Microbiology, 136</w:t>
      </w:r>
      <w:r w:rsidRPr="002D2214">
        <w:rPr>
          <w:rFonts w:ascii="Times New Roman" w:hAnsi="Times New Roman" w:cs="Times New Roman"/>
        </w:rPr>
        <w:t xml:space="preserve">(2), 417–428. </w:t>
      </w:r>
      <w:hyperlink r:id="rId12" w:history="1">
        <w:r w:rsidRPr="002D2214">
          <w:rPr>
            <w:rStyle w:val="Hyperlink"/>
            <w:rFonts w:ascii="Times New Roman" w:hAnsi="Times New Roman" w:cs="Times New Roman"/>
            <w:color w:val="auto"/>
          </w:rPr>
          <w:t>https://doi.org/10.1111/jam.15432</w:t>
        </w:r>
      </w:hyperlink>
    </w:p>
    <w:p w14:paraId="23236B11" w14:textId="77777777" w:rsidR="00AE5AFB" w:rsidRPr="002B1DC6" w:rsidRDefault="00AE5AFB" w:rsidP="00AE5AFB">
      <w:pPr>
        <w:spacing w:after="0" w:line="240" w:lineRule="auto"/>
        <w:jc w:val="both"/>
        <w:rPr>
          <w:rFonts w:ascii="Times New Roman" w:hAnsi="Times New Roman" w:cs="Times New Roman"/>
        </w:rPr>
      </w:pPr>
    </w:p>
    <w:p w14:paraId="20CF2DCA" w14:textId="77777777" w:rsidR="00AE5AFB" w:rsidRPr="002D2214" w:rsidRDefault="00AE5AFB" w:rsidP="002D2214">
      <w:pPr>
        <w:pStyle w:val="ListParagraph"/>
        <w:numPr>
          <w:ilvl w:val="0"/>
          <w:numId w:val="28"/>
        </w:numPr>
        <w:spacing w:after="0" w:line="240" w:lineRule="auto"/>
        <w:jc w:val="both"/>
        <w:rPr>
          <w:rFonts w:ascii="Times New Roman" w:hAnsi="Times New Roman" w:cs="Times New Roman"/>
        </w:rPr>
      </w:pPr>
      <w:r w:rsidRPr="002D2214">
        <w:rPr>
          <w:rFonts w:ascii="Times New Roman" w:hAnsi="Times New Roman" w:cs="Times New Roman"/>
        </w:rPr>
        <w:t xml:space="preserve">Ibrahim, R. M., &amp; Suleiman, A. (2023). Production practices and hygiene assessment of sachet water producers in southern Nigeria. </w:t>
      </w:r>
      <w:r w:rsidRPr="002D2214">
        <w:rPr>
          <w:rFonts w:ascii="Times New Roman" w:hAnsi="Times New Roman" w:cs="Times New Roman"/>
          <w:i/>
          <w:iCs/>
        </w:rPr>
        <w:t>Journal of Water, Sanitation and Hygiene for Development, 13</w:t>
      </w:r>
      <w:r w:rsidRPr="002D2214">
        <w:rPr>
          <w:rFonts w:ascii="Times New Roman" w:hAnsi="Times New Roman" w:cs="Times New Roman"/>
        </w:rPr>
        <w:t xml:space="preserve">(3), 297–307. </w:t>
      </w:r>
      <w:hyperlink r:id="rId13" w:history="1">
        <w:r w:rsidRPr="002D2214">
          <w:rPr>
            <w:rStyle w:val="Hyperlink"/>
            <w:rFonts w:ascii="Times New Roman" w:hAnsi="Times New Roman" w:cs="Times New Roman"/>
            <w:color w:val="auto"/>
          </w:rPr>
          <w:t>https://doi.org/10.2166/washdev.2023.184</w:t>
        </w:r>
      </w:hyperlink>
    </w:p>
    <w:p w14:paraId="471C6437" w14:textId="77777777" w:rsidR="00AE5AFB" w:rsidRPr="002B1DC6" w:rsidRDefault="00AE5AFB" w:rsidP="00AE5AFB">
      <w:pPr>
        <w:spacing w:after="0" w:line="240" w:lineRule="auto"/>
        <w:jc w:val="both"/>
        <w:rPr>
          <w:rFonts w:ascii="Times New Roman" w:hAnsi="Times New Roman" w:cs="Times New Roman"/>
        </w:rPr>
      </w:pPr>
    </w:p>
    <w:p w14:paraId="273D76E9" w14:textId="77777777" w:rsidR="00AE5AFB" w:rsidRPr="002D2214" w:rsidRDefault="00AE5AFB" w:rsidP="002D2214">
      <w:pPr>
        <w:pStyle w:val="ListParagraph"/>
        <w:numPr>
          <w:ilvl w:val="0"/>
          <w:numId w:val="28"/>
        </w:numPr>
        <w:spacing w:after="0" w:line="240" w:lineRule="auto"/>
        <w:jc w:val="both"/>
        <w:rPr>
          <w:rFonts w:ascii="Times New Roman" w:hAnsi="Times New Roman" w:cs="Times New Roman"/>
        </w:rPr>
      </w:pPr>
      <w:proofErr w:type="spellStart"/>
      <w:r w:rsidRPr="002D2214">
        <w:rPr>
          <w:rFonts w:ascii="Times New Roman" w:hAnsi="Times New Roman" w:cs="Times New Roman"/>
        </w:rPr>
        <w:lastRenderedPageBreak/>
        <w:t>Izugbara</w:t>
      </w:r>
      <w:proofErr w:type="spellEnd"/>
      <w:r w:rsidRPr="002D2214">
        <w:rPr>
          <w:rFonts w:ascii="Times New Roman" w:hAnsi="Times New Roman" w:cs="Times New Roman"/>
        </w:rPr>
        <w:t xml:space="preserve">, C. O., &amp; </w:t>
      </w:r>
      <w:proofErr w:type="spellStart"/>
      <w:r w:rsidRPr="002D2214">
        <w:rPr>
          <w:rFonts w:ascii="Times New Roman" w:hAnsi="Times New Roman" w:cs="Times New Roman"/>
        </w:rPr>
        <w:t>Odjidja</w:t>
      </w:r>
      <w:proofErr w:type="spellEnd"/>
      <w:r w:rsidRPr="002D2214">
        <w:rPr>
          <w:rFonts w:ascii="Times New Roman" w:hAnsi="Times New Roman" w:cs="Times New Roman"/>
        </w:rPr>
        <w:t>, E. E. (2022). Urban water crises and governance challenges in sub</w:t>
      </w:r>
      <w:r w:rsidRPr="002D2214">
        <w:rPr>
          <w:rFonts w:ascii="Times New Roman" w:hAnsi="Times New Roman" w:cs="Times New Roman"/>
        </w:rPr>
        <w:noBreakHyphen/>
        <w:t xml:space="preserve">Saharan Africa: Evidence from Nigeria’s megacities. </w:t>
      </w:r>
      <w:r w:rsidRPr="002D2214">
        <w:rPr>
          <w:rFonts w:ascii="Times New Roman" w:hAnsi="Times New Roman" w:cs="Times New Roman"/>
          <w:i/>
          <w:iCs/>
        </w:rPr>
        <w:t>Urban Water Journal, 19</w:t>
      </w:r>
      <w:r w:rsidRPr="002D2214">
        <w:rPr>
          <w:rFonts w:ascii="Times New Roman" w:hAnsi="Times New Roman" w:cs="Times New Roman"/>
        </w:rPr>
        <w:t>(8), 1211–1221. https://doi.org/10.1080/1573062X.2021.1998407</w:t>
      </w:r>
    </w:p>
    <w:p w14:paraId="7C0795D1" w14:textId="77777777" w:rsidR="00AE5AFB" w:rsidRPr="002B1DC6" w:rsidRDefault="00AE5AFB" w:rsidP="00AE5AFB">
      <w:pPr>
        <w:spacing w:after="0" w:line="240" w:lineRule="auto"/>
        <w:jc w:val="both"/>
        <w:rPr>
          <w:rFonts w:ascii="Times New Roman" w:hAnsi="Times New Roman" w:cs="Times New Roman"/>
        </w:rPr>
      </w:pPr>
    </w:p>
    <w:p w14:paraId="4A0B7693" w14:textId="77777777" w:rsidR="00AE5AFB" w:rsidRPr="002D2214" w:rsidRDefault="00AE5AFB" w:rsidP="002D2214">
      <w:pPr>
        <w:pStyle w:val="ListParagraph"/>
        <w:numPr>
          <w:ilvl w:val="0"/>
          <w:numId w:val="28"/>
        </w:numPr>
        <w:rPr>
          <w:rFonts w:ascii="Times New Roman" w:hAnsi="Times New Roman" w:cs="Times New Roman"/>
        </w:rPr>
      </w:pPr>
      <w:r w:rsidRPr="002D2214">
        <w:rPr>
          <w:rFonts w:ascii="Times New Roman" w:hAnsi="Times New Roman" w:cs="Times New Roman"/>
        </w:rPr>
        <w:t xml:space="preserve">John, S. O. O., Olukotun, S. F., Kupi, T. G., &amp; Mathuthu, M. (2024). </w:t>
      </w:r>
      <w:r w:rsidRPr="002D2214">
        <w:rPr>
          <w:rFonts w:ascii="Times New Roman" w:hAnsi="Times New Roman" w:cs="Times New Roman"/>
          <w:i/>
          <w:iCs/>
        </w:rPr>
        <w:t>Health risk assessment of heavy metals and physicochemical parameters in natural mineral bottled drinking water using ICP</w:t>
      </w:r>
      <w:r w:rsidRPr="002D2214">
        <w:rPr>
          <w:rFonts w:ascii="Times New Roman" w:hAnsi="Times New Roman" w:cs="Times New Roman"/>
          <w:i/>
          <w:iCs/>
        </w:rPr>
        <w:noBreakHyphen/>
        <w:t>MS in South Africa.</w:t>
      </w:r>
      <w:r w:rsidRPr="002D2214">
        <w:rPr>
          <w:rFonts w:ascii="Times New Roman" w:hAnsi="Times New Roman" w:cs="Times New Roman"/>
        </w:rPr>
        <w:t xml:space="preserve"> Applied Water Science, 14, 202. </w:t>
      </w:r>
      <w:hyperlink r:id="rId14" w:history="1">
        <w:r w:rsidRPr="002D2214">
          <w:rPr>
            <w:rStyle w:val="Hyperlink"/>
            <w:rFonts w:ascii="Times New Roman" w:hAnsi="Times New Roman" w:cs="Times New Roman"/>
            <w:color w:val="auto"/>
          </w:rPr>
          <w:t>https://doi.org/10.1007/s13201</w:t>
        </w:r>
        <w:r w:rsidRPr="002D2214">
          <w:rPr>
            <w:rStyle w:val="Hyperlink"/>
            <w:rFonts w:ascii="Times New Roman" w:hAnsi="Times New Roman" w:cs="Times New Roman"/>
            <w:color w:val="auto"/>
          </w:rPr>
          <w:noBreakHyphen/>
          <w:t>024</w:t>
        </w:r>
        <w:r w:rsidRPr="002D2214">
          <w:rPr>
            <w:rStyle w:val="Hyperlink"/>
            <w:rFonts w:ascii="Times New Roman" w:hAnsi="Times New Roman" w:cs="Times New Roman"/>
            <w:color w:val="auto"/>
          </w:rPr>
          <w:noBreakHyphen/>
          <w:t>02267</w:t>
        </w:r>
        <w:r w:rsidRPr="002D2214">
          <w:rPr>
            <w:rStyle w:val="Hyperlink"/>
            <w:rFonts w:ascii="Times New Roman" w:hAnsi="Times New Roman" w:cs="Times New Roman"/>
            <w:color w:val="auto"/>
          </w:rPr>
          <w:noBreakHyphen/>
          <w:t>3</w:t>
        </w:r>
      </w:hyperlink>
    </w:p>
    <w:p w14:paraId="34D0C4C9" w14:textId="77777777" w:rsidR="00AE5AFB" w:rsidRPr="002D2214" w:rsidRDefault="00AE5AFB" w:rsidP="002D2214">
      <w:pPr>
        <w:pStyle w:val="ListParagraph"/>
        <w:numPr>
          <w:ilvl w:val="0"/>
          <w:numId w:val="28"/>
        </w:numPr>
        <w:rPr>
          <w:rFonts w:ascii="Times New Roman" w:hAnsi="Times New Roman" w:cs="Times New Roman"/>
        </w:rPr>
      </w:pPr>
      <w:proofErr w:type="spellStart"/>
      <w:r w:rsidRPr="002D2214">
        <w:rPr>
          <w:rFonts w:ascii="Times New Roman" w:hAnsi="Times New Roman" w:cs="Times New Roman"/>
        </w:rPr>
        <w:t>Meradji</w:t>
      </w:r>
      <w:proofErr w:type="spellEnd"/>
      <w:r w:rsidRPr="002D2214">
        <w:rPr>
          <w:rFonts w:ascii="Times New Roman" w:hAnsi="Times New Roman" w:cs="Times New Roman"/>
        </w:rPr>
        <w:t xml:space="preserve">, S., Basher, N. S., Sassi, A., Ibrahim, N. A., Idres, T., &amp; Touati, A. (2025). </w:t>
      </w:r>
      <w:r w:rsidRPr="002D2214">
        <w:rPr>
          <w:rFonts w:ascii="Times New Roman" w:hAnsi="Times New Roman" w:cs="Times New Roman"/>
          <w:i/>
          <w:iCs/>
        </w:rPr>
        <w:t>The role of water as a reservoir for antibiotic</w:t>
      </w:r>
      <w:r w:rsidRPr="002D2214">
        <w:rPr>
          <w:rFonts w:ascii="Times New Roman" w:hAnsi="Times New Roman" w:cs="Times New Roman"/>
          <w:i/>
          <w:iCs/>
        </w:rPr>
        <w:noBreakHyphen/>
        <w:t>resistant bacteria.</w:t>
      </w:r>
      <w:r w:rsidRPr="002D2214">
        <w:rPr>
          <w:rFonts w:ascii="Times New Roman" w:hAnsi="Times New Roman" w:cs="Times New Roman"/>
        </w:rPr>
        <w:t xml:space="preserve"> Antibiotics, 14(8), 763. https://doi.org/10.3390/antibiotics14080763</w:t>
      </w:r>
    </w:p>
    <w:p w14:paraId="481A35A0" w14:textId="77777777" w:rsidR="00AE5AFB" w:rsidRPr="002D2214" w:rsidRDefault="00AE5AFB" w:rsidP="002D2214">
      <w:pPr>
        <w:pStyle w:val="ListParagraph"/>
        <w:numPr>
          <w:ilvl w:val="0"/>
          <w:numId w:val="28"/>
        </w:numPr>
        <w:spacing w:after="0" w:line="240" w:lineRule="auto"/>
        <w:jc w:val="both"/>
        <w:rPr>
          <w:rFonts w:ascii="Times New Roman" w:hAnsi="Times New Roman" w:cs="Times New Roman"/>
        </w:rPr>
      </w:pPr>
      <w:r w:rsidRPr="002D2214">
        <w:rPr>
          <w:rFonts w:ascii="Times New Roman" w:hAnsi="Times New Roman" w:cs="Times New Roman"/>
        </w:rPr>
        <w:t xml:space="preserve">Odeyemi, O. A. (2015). </w:t>
      </w:r>
      <w:r w:rsidRPr="002D2214">
        <w:rPr>
          <w:rFonts w:ascii="Times New Roman" w:hAnsi="Times New Roman" w:cs="Times New Roman"/>
          <w:i/>
          <w:iCs/>
        </w:rPr>
        <w:t>Bacteriological safety of packaged drinking water sold in Nigeria: Public health implications.</w:t>
      </w:r>
      <w:r w:rsidRPr="002D2214">
        <w:rPr>
          <w:rFonts w:ascii="Times New Roman" w:hAnsi="Times New Roman" w:cs="Times New Roman"/>
        </w:rPr>
        <w:t xml:space="preserve"> </w:t>
      </w:r>
      <w:proofErr w:type="spellStart"/>
      <w:r w:rsidRPr="002D2214">
        <w:rPr>
          <w:rFonts w:ascii="Times New Roman" w:hAnsi="Times New Roman" w:cs="Times New Roman"/>
        </w:rPr>
        <w:t>SpringerPlus</w:t>
      </w:r>
      <w:proofErr w:type="spellEnd"/>
      <w:r w:rsidRPr="002D2214">
        <w:rPr>
          <w:rFonts w:ascii="Times New Roman" w:hAnsi="Times New Roman" w:cs="Times New Roman"/>
        </w:rPr>
        <w:t xml:space="preserve">, 4, 642. </w:t>
      </w:r>
      <w:hyperlink r:id="rId15" w:history="1">
        <w:r w:rsidRPr="002D2214">
          <w:rPr>
            <w:rStyle w:val="Hyperlink"/>
            <w:rFonts w:ascii="Times New Roman" w:hAnsi="Times New Roman" w:cs="Times New Roman"/>
            <w:color w:val="auto"/>
          </w:rPr>
          <w:t>https://doi.org/10.1186/s40064-015-1447-z</w:t>
        </w:r>
      </w:hyperlink>
    </w:p>
    <w:p w14:paraId="30881677" w14:textId="77777777" w:rsidR="00AE5AFB" w:rsidRPr="002B1DC6" w:rsidRDefault="00AE5AFB" w:rsidP="00AE5AFB">
      <w:pPr>
        <w:spacing w:after="0" w:line="240" w:lineRule="auto"/>
        <w:jc w:val="both"/>
        <w:rPr>
          <w:rFonts w:ascii="Times New Roman" w:hAnsi="Times New Roman" w:cs="Times New Roman"/>
        </w:rPr>
      </w:pPr>
    </w:p>
    <w:p w14:paraId="6FD296D0" w14:textId="77777777" w:rsidR="00AE5AFB" w:rsidRPr="002B1DC6" w:rsidRDefault="00AE5AFB" w:rsidP="00AE5AFB">
      <w:pPr>
        <w:spacing w:after="0" w:line="240" w:lineRule="auto"/>
        <w:jc w:val="both"/>
        <w:rPr>
          <w:rFonts w:ascii="Times New Roman" w:hAnsi="Times New Roman" w:cs="Times New Roman"/>
        </w:rPr>
      </w:pPr>
    </w:p>
    <w:p w14:paraId="7CF0A39E" w14:textId="77777777" w:rsidR="00AE5AFB" w:rsidRPr="002B1DC6" w:rsidRDefault="00AE5AFB" w:rsidP="00AE5AFB">
      <w:pPr>
        <w:spacing w:after="0" w:line="240" w:lineRule="auto"/>
        <w:jc w:val="both"/>
        <w:rPr>
          <w:rFonts w:ascii="Times New Roman" w:hAnsi="Times New Roman" w:cs="Times New Roman"/>
        </w:rPr>
      </w:pPr>
    </w:p>
    <w:p w14:paraId="36C1E08E" w14:textId="77777777" w:rsidR="00AE5AFB" w:rsidRPr="002D2214" w:rsidRDefault="00AE5AFB" w:rsidP="002D2214">
      <w:pPr>
        <w:pStyle w:val="ListParagraph"/>
        <w:numPr>
          <w:ilvl w:val="0"/>
          <w:numId w:val="28"/>
        </w:numPr>
        <w:spacing w:after="0" w:line="240" w:lineRule="auto"/>
        <w:jc w:val="both"/>
        <w:rPr>
          <w:rFonts w:ascii="Times New Roman" w:hAnsi="Times New Roman" w:cs="Times New Roman"/>
        </w:rPr>
      </w:pPr>
      <w:r w:rsidRPr="002D2214">
        <w:rPr>
          <w:rFonts w:ascii="Times New Roman" w:hAnsi="Times New Roman" w:cs="Times New Roman"/>
          <w:lang w:val="nl-BE"/>
        </w:rPr>
        <w:t xml:space="preserve">Oladele, A. K., Eze, C. U., &amp; Anyanwu, O. (2023). </w:t>
      </w:r>
      <w:r w:rsidRPr="002D2214">
        <w:rPr>
          <w:rFonts w:ascii="Times New Roman" w:hAnsi="Times New Roman" w:cs="Times New Roman"/>
        </w:rPr>
        <w:t xml:space="preserve">Microbiological quality of commercially packaged water sold in Nigerian markets. </w:t>
      </w:r>
      <w:r w:rsidRPr="002D2214">
        <w:rPr>
          <w:rFonts w:ascii="Times New Roman" w:hAnsi="Times New Roman" w:cs="Times New Roman"/>
          <w:i/>
          <w:iCs/>
        </w:rPr>
        <w:t>African Journal of Microbiology Research, 17</w:t>
      </w:r>
      <w:r w:rsidRPr="002D2214">
        <w:rPr>
          <w:rFonts w:ascii="Times New Roman" w:hAnsi="Times New Roman" w:cs="Times New Roman"/>
        </w:rPr>
        <w:t xml:space="preserve">(6), 234–243. </w:t>
      </w:r>
      <w:hyperlink r:id="rId16" w:tgtFrame="_new" w:history="1">
        <w:r w:rsidRPr="002D2214">
          <w:rPr>
            <w:rStyle w:val="Hyperlink"/>
            <w:rFonts w:ascii="Times New Roman" w:hAnsi="Times New Roman" w:cs="Times New Roman"/>
            <w:color w:val="auto"/>
          </w:rPr>
          <w:t>https://doi.org/10.5897/AJMR2023.9691</w:t>
        </w:r>
      </w:hyperlink>
    </w:p>
    <w:p w14:paraId="46D080AD" w14:textId="77777777" w:rsidR="00AE5AFB" w:rsidRPr="002B1DC6" w:rsidRDefault="00AE5AFB" w:rsidP="00AE5AFB">
      <w:pPr>
        <w:spacing w:after="0" w:line="240" w:lineRule="auto"/>
        <w:jc w:val="both"/>
        <w:rPr>
          <w:rFonts w:ascii="Times New Roman" w:hAnsi="Times New Roman" w:cs="Times New Roman"/>
        </w:rPr>
      </w:pPr>
    </w:p>
    <w:p w14:paraId="47E54590" w14:textId="77777777" w:rsidR="00AE5AFB" w:rsidRPr="002B1DC6" w:rsidRDefault="00AE5AFB" w:rsidP="00AE5AFB">
      <w:pPr>
        <w:spacing w:after="0" w:line="240" w:lineRule="auto"/>
        <w:jc w:val="both"/>
        <w:rPr>
          <w:rFonts w:ascii="Times New Roman" w:hAnsi="Times New Roman" w:cs="Times New Roman"/>
        </w:rPr>
      </w:pPr>
    </w:p>
    <w:p w14:paraId="41AA818D" w14:textId="77777777" w:rsidR="00AE5AFB" w:rsidRPr="002D2214" w:rsidRDefault="00AE5AFB" w:rsidP="002D2214">
      <w:pPr>
        <w:pStyle w:val="ListParagraph"/>
        <w:numPr>
          <w:ilvl w:val="0"/>
          <w:numId w:val="28"/>
        </w:numPr>
        <w:spacing w:after="0" w:line="240" w:lineRule="auto"/>
        <w:jc w:val="both"/>
        <w:rPr>
          <w:rFonts w:ascii="Times New Roman" w:hAnsi="Times New Roman" w:cs="Times New Roman"/>
        </w:rPr>
      </w:pPr>
      <w:r w:rsidRPr="002D2214">
        <w:rPr>
          <w:rFonts w:ascii="Times New Roman" w:hAnsi="Times New Roman" w:cs="Times New Roman"/>
        </w:rPr>
        <w:t xml:space="preserve">Olotu, E. A., Adebayo, A. A., &amp; Okoro, P. A. (2023). Drinking water access and public health in Nigeria’s urban centers. </w:t>
      </w:r>
      <w:r w:rsidRPr="002D2214">
        <w:rPr>
          <w:rFonts w:ascii="Times New Roman" w:hAnsi="Times New Roman" w:cs="Times New Roman"/>
          <w:i/>
          <w:iCs/>
        </w:rPr>
        <w:t>International Journal of Water Resources Development, 39</w:t>
      </w:r>
      <w:r w:rsidRPr="002D2214">
        <w:rPr>
          <w:rFonts w:ascii="Times New Roman" w:hAnsi="Times New Roman" w:cs="Times New Roman"/>
        </w:rPr>
        <w:t xml:space="preserve">(4), 556–571. </w:t>
      </w:r>
      <w:hyperlink r:id="rId17" w:history="1">
        <w:r w:rsidRPr="002D2214">
          <w:rPr>
            <w:rStyle w:val="Hyperlink"/>
            <w:rFonts w:ascii="Times New Roman" w:hAnsi="Times New Roman" w:cs="Times New Roman"/>
            <w:color w:val="auto"/>
          </w:rPr>
          <w:t>https://doi.org/10.1080/07900627.2023.2191236</w:t>
        </w:r>
      </w:hyperlink>
    </w:p>
    <w:p w14:paraId="4538C8B4" w14:textId="77777777" w:rsidR="00AE5AFB" w:rsidRPr="002B1DC6" w:rsidRDefault="00AE5AFB" w:rsidP="00AE5AFB">
      <w:pPr>
        <w:spacing w:after="0" w:line="240" w:lineRule="auto"/>
        <w:jc w:val="both"/>
        <w:rPr>
          <w:rFonts w:ascii="Times New Roman" w:hAnsi="Times New Roman" w:cs="Times New Roman"/>
        </w:rPr>
      </w:pPr>
    </w:p>
    <w:p w14:paraId="2E7869FF" w14:textId="77777777" w:rsidR="00AE5AFB" w:rsidRPr="002D2214" w:rsidRDefault="00AE5AFB" w:rsidP="002D2214">
      <w:pPr>
        <w:pStyle w:val="ListParagraph"/>
        <w:numPr>
          <w:ilvl w:val="0"/>
          <w:numId w:val="28"/>
        </w:numPr>
        <w:spacing w:after="0" w:line="240" w:lineRule="auto"/>
        <w:jc w:val="both"/>
        <w:rPr>
          <w:rFonts w:ascii="Times New Roman" w:hAnsi="Times New Roman" w:cs="Times New Roman"/>
        </w:rPr>
      </w:pPr>
      <w:r w:rsidRPr="002D2214">
        <w:rPr>
          <w:rFonts w:ascii="Times New Roman" w:hAnsi="Times New Roman" w:cs="Times New Roman"/>
          <w:lang w:val="nl-BE"/>
        </w:rPr>
        <w:t xml:space="preserve">Okeke, I. N., Iroha, I. R., &amp; Eze, E. (2022). </w:t>
      </w:r>
      <w:r w:rsidRPr="002D2214">
        <w:rPr>
          <w:rFonts w:ascii="Times New Roman" w:hAnsi="Times New Roman" w:cs="Times New Roman"/>
        </w:rPr>
        <w:t>Occurrence of multidrug</w:t>
      </w:r>
      <w:r w:rsidRPr="002D2214">
        <w:rPr>
          <w:rFonts w:ascii="Times New Roman" w:hAnsi="Times New Roman" w:cs="Times New Roman"/>
        </w:rPr>
        <w:noBreakHyphen/>
        <w:t xml:space="preserve">resistant organisms in sachet and bottled water in Nigeria. </w:t>
      </w:r>
      <w:r w:rsidRPr="002D2214">
        <w:rPr>
          <w:rFonts w:ascii="Times New Roman" w:hAnsi="Times New Roman" w:cs="Times New Roman"/>
          <w:i/>
          <w:iCs/>
        </w:rPr>
        <w:t>Environmental Health Perspectives, 130</w:t>
      </w:r>
      <w:r w:rsidRPr="002D2214">
        <w:rPr>
          <w:rFonts w:ascii="Times New Roman" w:hAnsi="Times New Roman" w:cs="Times New Roman"/>
        </w:rPr>
        <w:t xml:space="preserve">(7), 77005. </w:t>
      </w:r>
      <w:hyperlink r:id="rId18" w:history="1">
        <w:r w:rsidRPr="002D2214">
          <w:rPr>
            <w:rStyle w:val="Hyperlink"/>
            <w:rFonts w:ascii="Times New Roman" w:hAnsi="Times New Roman" w:cs="Times New Roman"/>
            <w:color w:val="auto"/>
          </w:rPr>
          <w:t>https://doi.org/10.1289/EHP10345</w:t>
        </w:r>
      </w:hyperlink>
    </w:p>
    <w:p w14:paraId="5C8735D9" w14:textId="77777777" w:rsidR="00AE5AFB" w:rsidRPr="002B1DC6" w:rsidRDefault="00AE5AFB" w:rsidP="00AE5AFB">
      <w:pPr>
        <w:spacing w:after="0" w:line="240" w:lineRule="auto"/>
        <w:jc w:val="both"/>
        <w:rPr>
          <w:rFonts w:ascii="Times New Roman" w:hAnsi="Times New Roman" w:cs="Times New Roman"/>
        </w:rPr>
      </w:pPr>
    </w:p>
    <w:p w14:paraId="4A29BA58" w14:textId="77777777" w:rsidR="00AE5AFB" w:rsidRPr="002D2214" w:rsidRDefault="00AE5AFB" w:rsidP="002D2214">
      <w:pPr>
        <w:pStyle w:val="ListParagraph"/>
        <w:numPr>
          <w:ilvl w:val="0"/>
          <w:numId w:val="28"/>
        </w:numPr>
        <w:spacing w:after="0" w:line="240" w:lineRule="auto"/>
        <w:jc w:val="both"/>
        <w:rPr>
          <w:rFonts w:ascii="Times New Roman" w:hAnsi="Times New Roman" w:cs="Times New Roman"/>
        </w:rPr>
      </w:pPr>
      <w:proofErr w:type="spellStart"/>
      <w:r w:rsidRPr="002D2214">
        <w:rPr>
          <w:rFonts w:ascii="Times New Roman" w:hAnsi="Times New Roman" w:cs="Times New Roman"/>
        </w:rPr>
        <w:t>Tenebe</w:t>
      </w:r>
      <w:proofErr w:type="spellEnd"/>
      <w:r w:rsidRPr="002D2214">
        <w:rPr>
          <w:rFonts w:ascii="Times New Roman" w:hAnsi="Times New Roman" w:cs="Times New Roman"/>
        </w:rPr>
        <w:t xml:space="preserve">, I. T., Babatunde, E. O., Eddy-Ugorji, C. C., </w:t>
      </w:r>
      <w:proofErr w:type="spellStart"/>
      <w:r w:rsidRPr="002D2214">
        <w:rPr>
          <w:rFonts w:ascii="Times New Roman" w:hAnsi="Times New Roman" w:cs="Times New Roman"/>
        </w:rPr>
        <w:t>Etu</w:t>
      </w:r>
      <w:proofErr w:type="spellEnd"/>
      <w:r w:rsidRPr="002D2214">
        <w:rPr>
          <w:rFonts w:ascii="Times New Roman" w:hAnsi="Times New Roman" w:cs="Times New Roman"/>
        </w:rPr>
        <w:t xml:space="preserve">, E. E. E., </w:t>
      </w:r>
      <w:proofErr w:type="spellStart"/>
      <w:r w:rsidRPr="002D2214">
        <w:rPr>
          <w:rFonts w:ascii="Times New Roman" w:hAnsi="Times New Roman" w:cs="Times New Roman"/>
        </w:rPr>
        <w:t>Ogarekpe</w:t>
      </w:r>
      <w:proofErr w:type="spellEnd"/>
      <w:r w:rsidRPr="002D2214">
        <w:rPr>
          <w:rFonts w:ascii="Times New Roman" w:hAnsi="Times New Roman" w:cs="Times New Roman"/>
        </w:rPr>
        <w:t xml:space="preserve">, N. M., </w:t>
      </w:r>
      <w:proofErr w:type="spellStart"/>
      <w:r w:rsidRPr="002D2214">
        <w:rPr>
          <w:rFonts w:ascii="Times New Roman" w:hAnsi="Times New Roman" w:cs="Times New Roman"/>
        </w:rPr>
        <w:t>Ekeanyanwu</w:t>
      </w:r>
      <w:proofErr w:type="spellEnd"/>
      <w:r w:rsidRPr="002D2214">
        <w:rPr>
          <w:rFonts w:ascii="Times New Roman" w:hAnsi="Times New Roman" w:cs="Times New Roman"/>
        </w:rPr>
        <w:t xml:space="preserve">, C. V., &amp; </w:t>
      </w:r>
      <w:proofErr w:type="spellStart"/>
      <w:r w:rsidRPr="002D2214">
        <w:rPr>
          <w:rFonts w:ascii="Times New Roman" w:hAnsi="Times New Roman" w:cs="Times New Roman"/>
        </w:rPr>
        <w:t>Ezeudu</w:t>
      </w:r>
      <w:proofErr w:type="spellEnd"/>
      <w:r w:rsidRPr="002D2214">
        <w:rPr>
          <w:rFonts w:ascii="Times New Roman" w:hAnsi="Times New Roman" w:cs="Times New Roman"/>
        </w:rPr>
        <w:t xml:space="preserve">, O. B. (2023). Bacterial contamination levels and brand perception of sachet water: A case study in some Nigerian urban </w:t>
      </w:r>
      <w:proofErr w:type="spellStart"/>
      <w:r w:rsidRPr="002D2214">
        <w:rPr>
          <w:rFonts w:ascii="Times New Roman" w:hAnsi="Times New Roman" w:cs="Times New Roman"/>
        </w:rPr>
        <w:t>neighbourhoods</w:t>
      </w:r>
      <w:proofErr w:type="spellEnd"/>
      <w:r w:rsidRPr="002D2214">
        <w:rPr>
          <w:rFonts w:ascii="Times New Roman" w:hAnsi="Times New Roman" w:cs="Times New Roman"/>
        </w:rPr>
        <w:t xml:space="preserve">. </w:t>
      </w:r>
      <w:r w:rsidRPr="002D2214">
        <w:rPr>
          <w:rFonts w:ascii="Times New Roman" w:hAnsi="Times New Roman" w:cs="Times New Roman"/>
          <w:i/>
          <w:iCs/>
        </w:rPr>
        <w:t>Water, 15</w:t>
      </w:r>
      <w:r w:rsidRPr="002D2214">
        <w:rPr>
          <w:rFonts w:ascii="Times New Roman" w:hAnsi="Times New Roman" w:cs="Times New Roman"/>
        </w:rPr>
        <w:t xml:space="preserve">(9), 1762. </w:t>
      </w:r>
      <w:hyperlink r:id="rId19" w:history="1">
        <w:r w:rsidRPr="002D2214">
          <w:rPr>
            <w:rStyle w:val="Hyperlink"/>
            <w:rFonts w:ascii="Times New Roman" w:hAnsi="Times New Roman" w:cs="Times New Roman"/>
            <w:color w:val="auto"/>
          </w:rPr>
          <w:t>https://doi.org/10.3390/w15091762</w:t>
        </w:r>
      </w:hyperlink>
    </w:p>
    <w:p w14:paraId="3DDEAD1E" w14:textId="77777777" w:rsidR="00AE5AFB" w:rsidRPr="002B1DC6" w:rsidRDefault="00AE5AFB" w:rsidP="00AE5AFB">
      <w:pPr>
        <w:spacing w:after="0" w:line="240" w:lineRule="auto"/>
        <w:jc w:val="both"/>
        <w:rPr>
          <w:rFonts w:ascii="Times New Roman" w:hAnsi="Times New Roman" w:cs="Times New Roman"/>
        </w:rPr>
      </w:pPr>
    </w:p>
    <w:p w14:paraId="266628A5" w14:textId="77777777" w:rsidR="00094613" w:rsidRPr="00094613" w:rsidRDefault="00AE5AFB" w:rsidP="00094613">
      <w:pPr>
        <w:pStyle w:val="ListParagraph"/>
        <w:numPr>
          <w:ilvl w:val="0"/>
          <w:numId w:val="28"/>
        </w:numPr>
        <w:rPr>
          <w:rFonts w:ascii="Times New Roman" w:hAnsi="Times New Roman" w:cs="Times New Roman"/>
        </w:rPr>
      </w:pPr>
      <w:r w:rsidRPr="002D2214">
        <w:rPr>
          <w:rFonts w:ascii="Times New Roman" w:hAnsi="Times New Roman" w:cs="Times New Roman"/>
        </w:rPr>
        <w:t xml:space="preserve">United Nations General Assembly. (2010). </w:t>
      </w:r>
      <w:r w:rsidRPr="002D2214">
        <w:rPr>
          <w:rFonts w:ascii="Times New Roman" w:hAnsi="Times New Roman" w:cs="Times New Roman"/>
          <w:i/>
          <w:iCs/>
        </w:rPr>
        <w:t>The human right to water and sanitation</w:t>
      </w:r>
      <w:r w:rsidRPr="002D2214">
        <w:rPr>
          <w:rFonts w:ascii="Times New Roman" w:hAnsi="Times New Roman" w:cs="Times New Roman"/>
        </w:rPr>
        <w:t xml:space="preserve"> (Resolution 64/292). United Nations.</w:t>
      </w:r>
      <w:r w:rsidRPr="00094613">
        <w:rPr>
          <w:rFonts w:ascii="Times New Roman" w:hAnsi="Times New Roman" w:cs="Times New Roman"/>
          <w:lang w:val="nl-BE"/>
        </w:rPr>
        <w:t>Wang, H., Zhang, S., &amp; Li, J. (2023).</w:t>
      </w:r>
    </w:p>
    <w:p w14:paraId="3831FA37" w14:textId="77777777" w:rsidR="00094613" w:rsidRPr="00094613" w:rsidRDefault="00094613" w:rsidP="00094613">
      <w:pPr>
        <w:pStyle w:val="ListParagraph"/>
        <w:rPr>
          <w:rFonts w:ascii="Times New Roman" w:hAnsi="Times New Roman" w:cs="Times New Roman"/>
          <w:lang w:val="nl-BE"/>
        </w:rPr>
      </w:pPr>
    </w:p>
    <w:p w14:paraId="0E9F4226" w14:textId="2183720B" w:rsidR="00AE5AFB" w:rsidRPr="00094613" w:rsidRDefault="00AE5AFB" w:rsidP="00094613">
      <w:pPr>
        <w:pStyle w:val="ListParagraph"/>
        <w:numPr>
          <w:ilvl w:val="0"/>
          <w:numId w:val="28"/>
        </w:numPr>
        <w:rPr>
          <w:rFonts w:ascii="Times New Roman" w:hAnsi="Times New Roman" w:cs="Times New Roman"/>
        </w:rPr>
      </w:pPr>
      <w:r w:rsidRPr="00094613">
        <w:rPr>
          <w:rFonts w:ascii="Times New Roman" w:hAnsi="Times New Roman" w:cs="Times New Roman"/>
          <w:i/>
          <w:iCs/>
        </w:rPr>
        <w:t>Occurrence and risk of biofilm</w:t>
      </w:r>
      <w:r w:rsidRPr="00094613">
        <w:rPr>
          <w:rFonts w:ascii="Times New Roman" w:hAnsi="Times New Roman" w:cs="Times New Roman"/>
          <w:i/>
          <w:iCs/>
        </w:rPr>
        <w:noBreakHyphen/>
        <w:t>associated opportunistic pathogens in drinking water distribution systems.</w:t>
      </w:r>
      <w:r w:rsidRPr="00094613">
        <w:rPr>
          <w:rFonts w:ascii="Times New Roman" w:hAnsi="Times New Roman" w:cs="Times New Roman"/>
        </w:rPr>
        <w:t xml:space="preserve"> Environmental Pollution, 319, 122896. https://doi.org/10.1016/j.envpol.2023.122896</w:t>
      </w:r>
    </w:p>
    <w:p w14:paraId="0EB95D7C" w14:textId="77777777" w:rsidR="00AE5AFB" w:rsidRPr="002D2214" w:rsidRDefault="00AE5AFB" w:rsidP="002D2214">
      <w:pPr>
        <w:pStyle w:val="ListParagraph"/>
        <w:numPr>
          <w:ilvl w:val="0"/>
          <w:numId w:val="28"/>
        </w:numPr>
        <w:rPr>
          <w:rFonts w:ascii="Times New Roman" w:hAnsi="Times New Roman" w:cs="Times New Roman"/>
        </w:rPr>
      </w:pPr>
      <w:r w:rsidRPr="002D2214">
        <w:rPr>
          <w:rFonts w:ascii="Times New Roman" w:hAnsi="Times New Roman" w:cs="Times New Roman"/>
        </w:rPr>
        <w:t xml:space="preserve">World Health Organization &amp; UNICEF. (2025). </w:t>
      </w:r>
      <w:r w:rsidRPr="002D2214">
        <w:rPr>
          <w:rFonts w:ascii="Times New Roman" w:hAnsi="Times New Roman" w:cs="Times New Roman"/>
          <w:i/>
          <w:iCs/>
        </w:rPr>
        <w:t>Progress on household drinking water, sanitation and hygiene 2000–2024: Special focus on inequalities</w:t>
      </w:r>
      <w:r w:rsidRPr="002D2214">
        <w:rPr>
          <w:rFonts w:ascii="Times New Roman" w:hAnsi="Times New Roman" w:cs="Times New Roman"/>
        </w:rPr>
        <w:t xml:space="preserve"> [Joint Monitoring </w:t>
      </w:r>
      <w:proofErr w:type="spellStart"/>
      <w:r w:rsidRPr="002D2214">
        <w:rPr>
          <w:rFonts w:ascii="Times New Roman" w:hAnsi="Times New Roman" w:cs="Times New Roman"/>
        </w:rPr>
        <w:lastRenderedPageBreak/>
        <w:t>Programme</w:t>
      </w:r>
      <w:proofErr w:type="spellEnd"/>
      <w:r w:rsidRPr="002D2214">
        <w:rPr>
          <w:rFonts w:ascii="Times New Roman" w:hAnsi="Times New Roman" w:cs="Times New Roman"/>
        </w:rPr>
        <w:t xml:space="preserve"> report]. WHO/UNICEF Joint Monitoring </w:t>
      </w:r>
      <w:proofErr w:type="spellStart"/>
      <w:r w:rsidRPr="002D2214">
        <w:rPr>
          <w:rFonts w:ascii="Times New Roman" w:hAnsi="Times New Roman" w:cs="Times New Roman"/>
        </w:rPr>
        <w:t>Programme</w:t>
      </w:r>
      <w:proofErr w:type="spellEnd"/>
      <w:r w:rsidRPr="002D2214">
        <w:rPr>
          <w:rFonts w:ascii="Times New Roman" w:hAnsi="Times New Roman" w:cs="Times New Roman"/>
        </w:rPr>
        <w:t xml:space="preserve"> for Water Supply, Sanitation and Hygiene.</w:t>
      </w:r>
    </w:p>
    <w:p w14:paraId="784421EE" w14:textId="77777777" w:rsidR="00AE5AFB" w:rsidRPr="002D2214" w:rsidRDefault="00AE5AFB" w:rsidP="002D2214">
      <w:pPr>
        <w:pStyle w:val="ListParagraph"/>
        <w:numPr>
          <w:ilvl w:val="0"/>
          <w:numId w:val="28"/>
        </w:numPr>
        <w:rPr>
          <w:rFonts w:ascii="Times New Roman" w:hAnsi="Times New Roman" w:cs="Times New Roman"/>
        </w:rPr>
      </w:pPr>
      <w:r w:rsidRPr="002D2214">
        <w:rPr>
          <w:rFonts w:ascii="Times New Roman" w:hAnsi="Times New Roman" w:cs="Times New Roman"/>
        </w:rPr>
        <w:t xml:space="preserve">World Health Organization. (2023). </w:t>
      </w:r>
      <w:r w:rsidRPr="002D2214">
        <w:rPr>
          <w:rFonts w:ascii="Times New Roman" w:hAnsi="Times New Roman" w:cs="Times New Roman"/>
          <w:i/>
          <w:iCs/>
        </w:rPr>
        <w:t>Drinking-water</w:t>
      </w:r>
      <w:r w:rsidRPr="002D2214">
        <w:rPr>
          <w:rFonts w:ascii="Times New Roman" w:hAnsi="Times New Roman" w:cs="Times New Roman"/>
        </w:rPr>
        <w:t xml:space="preserve"> [Fact sheet]. </w:t>
      </w:r>
      <w:hyperlink r:id="rId20" w:tgtFrame="_new" w:history="1">
        <w:r w:rsidRPr="002D2214">
          <w:rPr>
            <w:rStyle w:val="Hyperlink"/>
            <w:rFonts w:ascii="Times New Roman" w:hAnsi="Times New Roman" w:cs="Times New Roman"/>
            <w:color w:val="auto"/>
          </w:rPr>
          <w:t>https://www.who.int/news-room/fact-sheets/detail/drinking-water</w:t>
        </w:r>
      </w:hyperlink>
    </w:p>
    <w:p w14:paraId="68D69707" w14:textId="77777777" w:rsidR="00AE5AFB" w:rsidRPr="002D2214" w:rsidRDefault="00AE5AFB" w:rsidP="002D2214">
      <w:pPr>
        <w:pStyle w:val="ListParagraph"/>
        <w:numPr>
          <w:ilvl w:val="0"/>
          <w:numId w:val="28"/>
        </w:numPr>
        <w:spacing w:after="0" w:line="240" w:lineRule="auto"/>
        <w:jc w:val="both"/>
        <w:rPr>
          <w:rFonts w:ascii="Times New Roman" w:hAnsi="Times New Roman" w:cs="Times New Roman"/>
        </w:rPr>
      </w:pPr>
      <w:r w:rsidRPr="002D2214">
        <w:rPr>
          <w:rFonts w:ascii="Times New Roman" w:hAnsi="Times New Roman" w:cs="Times New Roman"/>
        </w:rPr>
        <w:t xml:space="preserve">World Health Organization. (2023). </w:t>
      </w:r>
      <w:r w:rsidRPr="002D2214">
        <w:rPr>
          <w:rFonts w:ascii="Times New Roman" w:hAnsi="Times New Roman" w:cs="Times New Roman"/>
          <w:i/>
          <w:iCs/>
        </w:rPr>
        <w:t>Antimicrobial resistance: Global report on surveillance 2023</w:t>
      </w:r>
      <w:r w:rsidRPr="002D2214">
        <w:rPr>
          <w:rFonts w:ascii="Times New Roman" w:hAnsi="Times New Roman" w:cs="Times New Roman"/>
        </w:rPr>
        <w:t>. WHO Press. https://www.who.int/publications/i/item/9789241598573</w:t>
      </w:r>
    </w:p>
    <w:p w14:paraId="0B6CD338" w14:textId="77777777" w:rsidR="00AE5AFB" w:rsidRPr="002B1DC6" w:rsidRDefault="00AE5AFB" w:rsidP="00AE5AFB">
      <w:pPr>
        <w:spacing w:after="0" w:line="240" w:lineRule="auto"/>
        <w:jc w:val="both"/>
        <w:rPr>
          <w:rFonts w:ascii="Times New Roman" w:hAnsi="Times New Roman" w:cs="Times New Roman"/>
        </w:rPr>
      </w:pPr>
    </w:p>
    <w:p w14:paraId="68EFBF7E" w14:textId="77777777" w:rsidR="00AE5AFB" w:rsidRPr="002D2214" w:rsidRDefault="00AE5AFB" w:rsidP="002D2214">
      <w:pPr>
        <w:pStyle w:val="ListParagraph"/>
        <w:numPr>
          <w:ilvl w:val="0"/>
          <w:numId w:val="28"/>
        </w:numPr>
        <w:spacing w:after="0" w:line="240" w:lineRule="auto"/>
        <w:jc w:val="both"/>
        <w:rPr>
          <w:rFonts w:ascii="Times New Roman" w:hAnsi="Times New Roman" w:cs="Times New Roman"/>
        </w:rPr>
      </w:pPr>
      <w:r w:rsidRPr="002D2214">
        <w:rPr>
          <w:rFonts w:ascii="Times New Roman" w:hAnsi="Times New Roman" w:cs="Times New Roman"/>
        </w:rPr>
        <w:t xml:space="preserve">Yusuf, M., &amp; Onyekachi, C. (2023). Pathogenic contamination in sachet water: A public health review. </w:t>
      </w:r>
      <w:r w:rsidRPr="002D2214">
        <w:rPr>
          <w:rFonts w:ascii="Times New Roman" w:hAnsi="Times New Roman" w:cs="Times New Roman"/>
          <w:i/>
          <w:iCs/>
        </w:rPr>
        <w:t>Journal of Environmental Health Science, 18</w:t>
      </w:r>
      <w:r w:rsidRPr="002D2214">
        <w:rPr>
          <w:rFonts w:ascii="Times New Roman" w:hAnsi="Times New Roman" w:cs="Times New Roman"/>
        </w:rPr>
        <w:t xml:space="preserve">(2), 88–99. </w:t>
      </w:r>
      <w:hyperlink r:id="rId21" w:history="1">
        <w:r w:rsidRPr="002D2214">
          <w:rPr>
            <w:rStyle w:val="Hyperlink"/>
            <w:rFonts w:ascii="Times New Roman" w:hAnsi="Times New Roman" w:cs="Times New Roman"/>
            <w:color w:val="auto"/>
          </w:rPr>
          <w:t>https://doi.org/10.1080/10934529.2023.1756103</w:t>
        </w:r>
      </w:hyperlink>
    </w:p>
    <w:p w14:paraId="50922ECC" w14:textId="77777777" w:rsidR="00AE5AFB" w:rsidRPr="002B1DC6" w:rsidRDefault="00AE5AFB" w:rsidP="00AE5AFB">
      <w:pPr>
        <w:rPr>
          <w:rFonts w:ascii="Times New Roman" w:hAnsi="Times New Roman" w:cs="Times New Roman"/>
        </w:rPr>
      </w:pPr>
    </w:p>
    <w:p w14:paraId="131A22C7" w14:textId="77777777" w:rsidR="00AE5AFB" w:rsidRPr="002B1DC6" w:rsidRDefault="00AE5AFB" w:rsidP="00AE5AFB">
      <w:pPr>
        <w:rPr>
          <w:rFonts w:ascii="Times New Roman" w:hAnsi="Times New Roman" w:cs="Times New Roman"/>
        </w:rPr>
      </w:pPr>
    </w:p>
    <w:p w14:paraId="5D5B9EC3" w14:textId="77777777" w:rsidR="00B633A5" w:rsidRPr="003E43E6" w:rsidRDefault="00B633A5"/>
    <w:sectPr w:rsidR="00B633A5" w:rsidRPr="003E43E6">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69B7D" w14:textId="77777777" w:rsidR="00FE0108" w:rsidRDefault="00FE0108" w:rsidP="001C5B58">
      <w:pPr>
        <w:spacing w:after="0" w:line="240" w:lineRule="auto"/>
      </w:pPr>
      <w:r>
        <w:separator/>
      </w:r>
    </w:p>
  </w:endnote>
  <w:endnote w:type="continuationSeparator" w:id="0">
    <w:p w14:paraId="6D3E55B2" w14:textId="77777777" w:rsidR="00FE0108" w:rsidRDefault="00FE0108" w:rsidP="001C5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AD002" w14:textId="77777777" w:rsidR="001C5B58" w:rsidRDefault="001C5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065D6" w14:textId="77777777" w:rsidR="001C5B58" w:rsidRDefault="001C5B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A62B" w14:textId="77777777" w:rsidR="001C5B58" w:rsidRDefault="001C5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8F88F" w14:textId="77777777" w:rsidR="00FE0108" w:rsidRDefault="00FE0108" w:rsidP="001C5B58">
      <w:pPr>
        <w:spacing w:after="0" w:line="240" w:lineRule="auto"/>
      </w:pPr>
      <w:r>
        <w:separator/>
      </w:r>
    </w:p>
  </w:footnote>
  <w:footnote w:type="continuationSeparator" w:id="0">
    <w:p w14:paraId="0B82B50B" w14:textId="77777777" w:rsidR="00FE0108" w:rsidRDefault="00FE0108" w:rsidP="001C5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6E98C" w14:textId="4A5F66FA" w:rsidR="001C5B58" w:rsidRDefault="00000000">
    <w:pPr>
      <w:pStyle w:val="Header"/>
    </w:pPr>
    <w:r>
      <w:rPr>
        <w:noProof/>
      </w:rPr>
      <w:pict w14:anchorId="0D5D2B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241813"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8934" w14:textId="63E4B9FB" w:rsidR="001C5B58" w:rsidRDefault="00000000">
    <w:pPr>
      <w:pStyle w:val="Header"/>
    </w:pPr>
    <w:r>
      <w:rPr>
        <w:noProof/>
      </w:rPr>
      <w:pict w14:anchorId="08F2C1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241814"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F73B" w14:textId="4FD3FC8F" w:rsidR="001C5B58" w:rsidRDefault="00000000">
    <w:pPr>
      <w:pStyle w:val="Header"/>
    </w:pPr>
    <w:r>
      <w:rPr>
        <w:noProof/>
      </w:rPr>
      <w:pict w14:anchorId="021DE4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241812"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E55"/>
    <w:multiLevelType w:val="multilevel"/>
    <w:tmpl w:val="147886D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D7249B"/>
    <w:multiLevelType w:val="hybridMultilevel"/>
    <w:tmpl w:val="E98A0B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63574"/>
    <w:multiLevelType w:val="hybridMultilevel"/>
    <w:tmpl w:val="6268A11E"/>
    <w:lvl w:ilvl="0" w:tplc="78C6BF04">
      <w:start w:val="1"/>
      <w:numFmt w:val="decimal"/>
      <w:lvlText w:val="%1."/>
      <w:lvlJc w:val="right"/>
      <w:pPr>
        <w:ind w:left="720" w:hanging="360"/>
      </w:pPr>
      <w:rPr>
        <w:rFonts w:ascii="Times New Roman" w:eastAsiaTheme="minorEastAsia"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38533E"/>
    <w:multiLevelType w:val="hybridMultilevel"/>
    <w:tmpl w:val="6BB8D9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A6C64EA"/>
    <w:multiLevelType w:val="hybridMultilevel"/>
    <w:tmpl w:val="6DBC3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069E3"/>
    <w:multiLevelType w:val="hybridMultilevel"/>
    <w:tmpl w:val="A14445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EC11177"/>
    <w:multiLevelType w:val="hybridMultilevel"/>
    <w:tmpl w:val="974259B4"/>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FA0722"/>
    <w:multiLevelType w:val="hybridMultilevel"/>
    <w:tmpl w:val="BCACC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7107D4"/>
    <w:multiLevelType w:val="hybridMultilevel"/>
    <w:tmpl w:val="A144459A"/>
    <w:lvl w:ilvl="0" w:tplc="6D8E82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A378A8"/>
    <w:multiLevelType w:val="hybridMultilevel"/>
    <w:tmpl w:val="111C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D02AC"/>
    <w:multiLevelType w:val="hybridMultilevel"/>
    <w:tmpl w:val="60EA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1E1DE9"/>
    <w:multiLevelType w:val="hybridMultilevel"/>
    <w:tmpl w:val="7A48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C6532"/>
    <w:multiLevelType w:val="hybridMultilevel"/>
    <w:tmpl w:val="00C4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A42217"/>
    <w:multiLevelType w:val="hybridMultilevel"/>
    <w:tmpl w:val="F8C8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30BA0"/>
    <w:multiLevelType w:val="hybridMultilevel"/>
    <w:tmpl w:val="6C6E2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B24B3"/>
    <w:multiLevelType w:val="hybridMultilevel"/>
    <w:tmpl w:val="60507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307F54"/>
    <w:multiLevelType w:val="hybridMultilevel"/>
    <w:tmpl w:val="175EE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CB1085"/>
    <w:multiLevelType w:val="multilevel"/>
    <w:tmpl w:val="CC0A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8B301A"/>
    <w:multiLevelType w:val="hybridMultilevel"/>
    <w:tmpl w:val="FE34A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A244AA"/>
    <w:multiLevelType w:val="hybridMultilevel"/>
    <w:tmpl w:val="D36A4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C166D0"/>
    <w:multiLevelType w:val="multilevel"/>
    <w:tmpl w:val="0FCC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021192"/>
    <w:multiLevelType w:val="hybridMultilevel"/>
    <w:tmpl w:val="9EB64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795961"/>
    <w:multiLevelType w:val="multilevel"/>
    <w:tmpl w:val="3688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9F568B"/>
    <w:multiLevelType w:val="hybridMultilevel"/>
    <w:tmpl w:val="A0EE6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C0603B"/>
    <w:multiLevelType w:val="hybridMultilevel"/>
    <w:tmpl w:val="21066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2B3235"/>
    <w:multiLevelType w:val="hybridMultilevel"/>
    <w:tmpl w:val="7BD2A4C8"/>
    <w:lvl w:ilvl="0" w:tplc="0F023922">
      <w:start w:val="1"/>
      <w:numFmt w:val="decimal"/>
      <w:lvlText w:val="%1."/>
      <w:lvlJc w:val="left"/>
      <w:pPr>
        <w:ind w:left="1080" w:hanging="720"/>
      </w:pPr>
      <w:rPr>
        <w:rFonts w:ascii="Times New Roman" w:eastAsiaTheme="minorEastAsia"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CE10D7B"/>
    <w:multiLevelType w:val="hybridMultilevel"/>
    <w:tmpl w:val="CC742472"/>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CA1118"/>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51499197">
    <w:abstractNumId w:val="27"/>
  </w:num>
  <w:num w:numId="2" w16cid:durableId="1771700408">
    <w:abstractNumId w:val="6"/>
  </w:num>
  <w:num w:numId="3" w16cid:durableId="1288048573">
    <w:abstractNumId w:val="1"/>
  </w:num>
  <w:num w:numId="4" w16cid:durableId="114301762">
    <w:abstractNumId w:val="16"/>
  </w:num>
  <w:num w:numId="5" w16cid:durableId="124080046">
    <w:abstractNumId w:val="4"/>
  </w:num>
  <w:num w:numId="6" w16cid:durableId="1454405277">
    <w:abstractNumId w:val="21"/>
  </w:num>
  <w:num w:numId="7" w16cid:durableId="1414817970">
    <w:abstractNumId w:val="24"/>
  </w:num>
  <w:num w:numId="8" w16cid:durableId="1541934305">
    <w:abstractNumId w:val="12"/>
  </w:num>
  <w:num w:numId="9" w16cid:durableId="284389573">
    <w:abstractNumId w:val="10"/>
  </w:num>
  <w:num w:numId="10" w16cid:durableId="1515608689">
    <w:abstractNumId w:val="9"/>
  </w:num>
  <w:num w:numId="11" w16cid:durableId="1233199934">
    <w:abstractNumId w:val="14"/>
  </w:num>
  <w:num w:numId="12" w16cid:durableId="14624562">
    <w:abstractNumId w:val="25"/>
  </w:num>
  <w:num w:numId="13" w16cid:durableId="156651197">
    <w:abstractNumId w:val="2"/>
  </w:num>
  <w:num w:numId="14" w16cid:durableId="439840013">
    <w:abstractNumId w:val="0"/>
  </w:num>
  <w:num w:numId="15" w16cid:durableId="23529924">
    <w:abstractNumId w:val="15"/>
  </w:num>
  <w:num w:numId="16" w16cid:durableId="1008409104">
    <w:abstractNumId w:val="19"/>
  </w:num>
  <w:num w:numId="17" w16cid:durableId="2008819650">
    <w:abstractNumId w:val="23"/>
  </w:num>
  <w:num w:numId="18" w16cid:durableId="758647223">
    <w:abstractNumId w:val="13"/>
  </w:num>
  <w:num w:numId="19" w16cid:durableId="514267801">
    <w:abstractNumId w:val="18"/>
  </w:num>
  <w:num w:numId="20" w16cid:durableId="470051224">
    <w:abstractNumId w:val="11"/>
  </w:num>
  <w:num w:numId="21" w16cid:durableId="1418356666">
    <w:abstractNumId w:val="26"/>
  </w:num>
  <w:num w:numId="22" w16cid:durableId="141821459">
    <w:abstractNumId w:val="3"/>
  </w:num>
  <w:num w:numId="23" w16cid:durableId="1516922866">
    <w:abstractNumId w:val="8"/>
  </w:num>
  <w:num w:numId="24" w16cid:durableId="48305594">
    <w:abstractNumId w:val="5"/>
  </w:num>
  <w:num w:numId="25" w16cid:durableId="541794790">
    <w:abstractNumId w:val="22"/>
  </w:num>
  <w:num w:numId="26" w16cid:durableId="33821712">
    <w:abstractNumId w:val="17"/>
  </w:num>
  <w:num w:numId="27" w16cid:durableId="7106752">
    <w:abstractNumId w:val="20"/>
  </w:num>
  <w:num w:numId="28" w16cid:durableId="13068185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61C"/>
    <w:rsid w:val="00016C1D"/>
    <w:rsid w:val="00053649"/>
    <w:rsid w:val="00062B78"/>
    <w:rsid w:val="00067E25"/>
    <w:rsid w:val="00094613"/>
    <w:rsid w:val="00095368"/>
    <w:rsid w:val="000B0E24"/>
    <w:rsid w:val="000D2F21"/>
    <w:rsid w:val="000F304B"/>
    <w:rsid w:val="001108E0"/>
    <w:rsid w:val="00112AB3"/>
    <w:rsid w:val="00115D45"/>
    <w:rsid w:val="00123F1E"/>
    <w:rsid w:val="001303BF"/>
    <w:rsid w:val="00143C04"/>
    <w:rsid w:val="001474C0"/>
    <w:rsid w:val="00147E2B"/>
    <w:rsid w:val="00162BEA"/>
    <w:rsid w:val="00196720"/>
    <w:rsid w:val="001C5B58"/>
    <w:rsid w:val="001C6179"/>
    <w:rsid w:val="00205267"/>
    <w:rsid w:val="00207AF8"/>
    <w:rsid w:val="00213352"/>
    <w:rsid w:val="00250984"/>
    <w:rsid w:val="00253B51"/>
    <w:rsid w:val="002562E9"/>
    <w:rsid w:val="00266FE8"/>
    <w:rsid w:val="0029223C"/>
    <w:rsid w:val="00292430"/>
    <w:rsid w:val="002D2214"/>
    <w:rsid w:val="002D3CBB"/>
    <w:rsid w:val="002E29EF"/>
    <w:rsid w:val="002F02E5"/>
    <w:rsid w:val="002F0AF0"/>
    <w:rsid w:val="00305829"/>
    <w:rsid w:val="00307826"/>
    <w:rsid w:val="00310C41"/>
    <w:rsid w:val="003162EB"/>
    <w:rsid w:val="00316AAD"/>
    <w:rsid w:val="00344940"/>
    <w:rsid w:val="00344F89"/>
    <w:rsid w:val="00363403"/>
    <w:rsid w:val="0037031D"/>
    <w:rsid w:val="00370C8F"/>
    <w:rsid w:val="00372BA9"/>
    <w:rsid w:val="00382619"/>
    <w:rsid w:val="00385613"/>
    <w:rsid w:val="00385CAA"/>
    <w:rsid w:val="003C7546"/>
    <w:rsid w:val="003C7FA7"/>
    <w:rsid w:val="003D3FCB"/>
    <w:rsid w:val="003E0F82"/>
    <w:rsid w:val="003E2B6D"/>
    <w:rsid w:val="003E43E6"/>
    <w:rsid w:val="00404C8E"/>
    <w:rsid w:val="00424441"/>
    <w:rsid w:val="00425516"/>
    <w:rsid w:val="004314D7"/>
    <w:rsid w:val="004410FE"/>
    <w:rsid w:val="00444BCA"/>
    <w:rsid w:val="00464623"/>
    <w:rsid w:val="004719D7"/>
    <w:rsid w:val="004B0EF5"/>
    <w:rsid w:val="004E578B"/>
    <w:rsid w:val="004E7843"/>
    <w:rsid w:val="004E7E5A"/>
    <w:rsid w:val="004F3646"/>
    <w:rsid w:val="00521905"/>
    <w:rsid w:val="00536825"/>
    <w:rsid w:val="00536B2D"/>
    <w:rsid w:val="005414BE"/>
    <w:rsid w:val="005527C3"/>
    <w:rsid w:val="005527C5"/>
    <w:rsid w:val="00570838"/>
    <w:rsid w:val="005843C1"/>
    <w:rsid w:val="005B0A9B"/>
    <w:rsid w:val="005F543C"/>
    <w:rsid w:val="00603601"/>
    <w:rsid w:val="006063F4"/>
    <w:rsid w:val="00610117"/>
    <w:rsid w:val="00611FBB"/>
    <w:rsid w:val="00615745"/>
    <w:rsid w:val="0063145B"/>
    <w:rsid w:val="00631F8F"/>
    <w:rsid w:val="0066730D"/>
    <w:rsid w:val="006826DD"/>
    <w:rsid w:val="006A451B"/>
    <w:rsid w:val="006D2513"/>
    <w:rsid w:val="0071091B"/>
    <w:rsid w:val="007118EA"/>
    <w:rsid w:val="007122A5"/>
    <w:rsid w:val="007253E5"/>
    <w:rsid w:val="007322FF"/>
    <w:rsid w:val="00733FA1"/>
    <w:rsid w:val="00741249"/>
    <w:rsid w:val="00750CE8"/>
    <w:rsid w:val="00775955"/>
    <w:rsid w:val="007A1536"/>
    <w:rsid w:val="007A7B4D"/>
    <w:rsid w:val="007C7DCF"/>
    <w:rsid w:val="007F290C"/>
    <w:rsid w:val="007F5EE6"/>
    <w:rsid w:val="00804B0D"/>
    <w:rsid w:val="00835951"/>
    <w:rsid w:val="0086695A"/>
    <w:rsid w:val="00896E39"/>
    <w:rsid w:val="008B2471"/>
    <w:rsid w:val="008C3419"/>
    <w:rsid w:val="008C3EC1"/>
    <w:rsid w:val="008F07B9"/>
    <w:rsid w:val="008F7CBC"/>
    <w:rsid w:val="008F7DA0"/>
    <w:rsid w:val="00910733"/>
    <w:rsid w:val="00925D37"/>
    <w:rsid w:val="00931ACD"/>
    <w:rsid w:val="00967214"/>
    <w:rsid w:val="00990929"/>
    <w:rsid w:val="009A4F14"/>
    <w:rsid w:val="009B0317"/>
    <w:rsid w:val="009B0353"/>
    <w:rsid w:val="009B1001"/>
    <w:rsid w:val="009C2A64"/>
    <w:rsid w:val="009E4D85"/>
    <w:rsid w:val="00A07D12"/>
    <w:rsid w:val="00A171B2"/>
    <w:rsid w:val="00A53C86"/>
    <w:rsid w:val="00A56978"/>
    <w:rsid w:val="00A60E91"/>
    <w:rsid w:val="00A72C12"/>
    <w:rsid w:val="00A844FB"/>
    <w:rsid w:val="00A856B9"/>
    <w:rsid w:val="00AB2D20"/>
    <w:rsid w:val="00AC09D5"/>
    <w:rsid w:val="00AC2B63"/>
    <w:rsid w:val="00AC6E16"/>
    <w:rsid w:val="00AE2F3F"/>
    <w:rsid w:val="00AE5AFB"/>
    <w:rsid w:val="00B01503"/>
    <w:rsid w:val="00B13B8D"/>
    <w:rsid w:val="00B32900"/>
    <w:rsid w:val="00B36D89"/>
    <w:rsid w:val="00B404AC"/>
    <w:rsid w:val="00B41EBB"/>
    <w:rsid w:val="00B52954"/>
    <w:rsid w:val="00B633A5"/>
    <w:rsid w:val="00B65169"/>
    <w:rsid w:val="00B73D1E"/>
    <w:rsid w:val="00B8017B"/>
    <w:rsid w:val="00B81F6B"/>
    <w:rsid w:val="00BB15A6"/>
    <w:rsid w:val="00BB2A70"/>
    <w:rsid w:val="00BC34EF"/>
    <w:rsid w:val="00BD1107"/>
    <w:rsid w:val="00BE06AD"/>
    <w:rsid w:val="00BF4E17"/>
    <w:rsid w:val="00C13D92"/>
    <w:rsid w:val="00C15ECD"/>
    <w:rsid w:val="00C2522F"/>
    <w:rsid w:val="00C7081A"/>
    <w:rsid w:val="00C75F02"/>
    <w:rsid w:val="00C836BF"/>
    <w:rsid w:val="00CB60E6"/>
    <w:rsid w:val="00CE7371"/>
    <w:rsid w:val="00D311D4"/>
    <w:rsid w:val="00D50D4D"/>
    <w:rsid w:val="00D553C4"/>
    <w:rsid w:val="00D70A67"/>
    <w:rsid w:val="00D70F39"/>
    <w:rsid w:val="00DA061C"/>
    <w:rsid w:val="00DC2A3E"/>
    <w:rsid w:val="00DD3062"/>
    <w:rsid w:val="00E074EC"/>
    <w:rsid w:val="00E2389A"/>
    <w:rsid w:val="00E2594A"/>
    <w:rsid w:val="00E41CCC"/>
    <w:rsid w:val="00E42EAD"/>
    <w:rsid w:val="00E83645"/>
    <w:rsid w:val="00E93DFA"/>
    <w:rsid w:val="00EB5C84"/>
    <w:rsid w:val="00EC2D9C"/>
    <w:rsid w:val="00EC35F4"/>
    <w:rsid w:val="00EC53F7"/>
    <w:rsid w:val="00ED55A0"/>
    <w:rsid w:val="00ED7486"/>
    <w:rsid w:val="00EE3EDE"/>
    <w:rsid w:val="00F02F0A"/>
    <w:rsid w:val="00F155A9"/>
    <w:rsid w:val="00F156D6"/>
    <w:rsid w:val="00F32094"/>
    <w:rsid w:val="00F46C70"/>
    <w:rsid w:val="00F81AB3"/>
    <w:rsid w:val="00FA156D"/>
    <w:rsid w:val="00FA1FF7"/>
    <w:rsid w:val="00FA3CE4"/>
    <w:rsid w:val="00FA417C"/>
    <w:rsid w:val="00FB089F"/>
    <w:rsid w:val="00FB0B6D"/>
    <w:rsid w:val="00FC6E6D"/>
    <w:rsid w:val="00FE0108"/>
    <w:rsid w:val="00FE69B6"/>
    <w:rsid w:val="00FF1B86"/>
    <w:rsid w:val="00FF4AEC"/>
    <w:rsid w:val="00FF62B3"/>
    <w:rsid w:val="00FF6F8B"/>
    <w:rsid w:val="00FF7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C93AF1"/>
  <w15:chartTrackingRefBased/>
  <w15:docId w15:val="{3CFC9FDB-F03B-4D26-96D3-E4E9F4114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61C"/>
    <w:rPr>
      <w:rFonts w:eastAsiaTheme="minorEastAsia"/>
    </w:rPr>
  </w:style>
  <w:style w:type="paragraph" w:styleId="Heading1">
    <w:name w:val="heading 1"/>
    <w:basedOn w:val="Normal"/>
    <w:next w:val="Normal"/>
    <w:link w:val="Heading1Char"/>
    <w:uiPriority w:val="9"/>
    <w:qFormat/>
    <w:rsid w:val="00DA06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DA06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A06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06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06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06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6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6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6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6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DA06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A06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06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06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06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6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6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61C"/>
    <w:rPr>
      <w:rFonts w:eastAsiaTheme="majorEastAsia" w:cstheme="majorBidi"/>
      <w:color w:val="272727" w:themeColor="text1" w:themeTint="D8"/>
    </w:rPr>
  </w:style>
  <w:style w:type="paragraph" w:styleId="Title">
    <w:name w:val="Title"/>
    <w:basedOn w:val="Normal"/>
    <w:next w:val="Normal"/>
    <w:link w:val="TitleChar"/>
    <w:uiPriority w:val="10"/>
    <w:qFormat/>
    <w:rsid w:val="00DA0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6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6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6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61C"/>
    <w:pPr>
      <w:spacing w:before="160"/>
      <w:jc w:val="center"/>
    </w:pPr>
    <w:rPr>
      <w:i/>
      <w:iCs/>
      <w:color w:val="404040" w:themeColor="text1" w:themeTint="BF"/>
    </w:rPr>
  </w:style>
  <w:style w:type="character" w:customStyle="1" w:styleId="QuoteChar">
    <w:name w:val="Quote Char"/>
    <w:basedOn w:val="DefaultParagraphFont"/>
    <w:link w:val="Quote"/>
    <w:uiPriority w:val="29"/>
    <w:rsid w:val="00DA061C"/>
    <w:rPr>
      <w:i/>
      <w:iCs/>
      <w:color w:val="404040" w:themeColor="text1" w:themeTint="BF"/>
    </w:rPr>
  </w:style>
  <w:style w:type="paragraph" w:styleId="ListParagraph">
    <w:name w:val="List Paragraph"/>
    <w:basedOn w:val="Normal"/>
    <w:uiPriority w:val="34"/>
    <w:qFormat/>
    <w:rsid w:val="00DA061C"/>
    <w:pPr>
      <w:ind w:left="720"/>
      <w:contextualSpacing/>
    </w:pPr>
  </w:style>
  <w:style w:type="character" w:styleId="IntenseEmphasis">
    <w:name w:val="Intense Emphasis"/>
    <w:basedOn w:val="DefaultParagraphFont"/>
    <w:uiPriority w:val="21"/>
    <w:qFormat/>
    <w:rsid w:val="00DA061C"/>
    <w:rPr>
      <w:i/>
      <w:iCs/>
      <w:color w:val="2F5496" w:themeColor="accent1" w:themeShade="BF"/>
    </w:rPr>
  </w:style>
  <w:style w:type="paragraph" w:styleId="IntenseQuote">
    <w:name w:val="Intense Quote"/>
    <w:basedOn w:val="Normal"/>
    <w:next w:val="Normal"/>
    <w:link w:val="IntenseQuoteChar"/>
    <w:uiPriority w:val="30"/>
    <w:qFormat/>
    <w:rsid w:val="00DA06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061C"/>
    <w:rPr>
      <w:i/>
      <w:iCs/>
      <w:color w:val="2F5496" w:themeColor="accent1" w:themeShade="BF"/>
    </w:rPr>
  </w:style>
  <w:style w:type="character" w:styleId="IntenseReference">
    <w:name w:val="Intense Reference"/>
    <w:basedOn w:val="DefaultParagraphFont"/>
    <w:uiPriority w:val="32"/>
    <w:qFormat/>
    <w:rsid w:val="00DA061C"/>
    <w:rPr>
      <w:b/>
      <w:bCs/>
      <w:smallCaps/>
      <w:color w:val="2F5496" w:themeColor="accent1" w:themeShade="BF"/>
      <w:spacing w:val="5"/>
    </w:rPr>
  </w:style>
  <w:style w:type="character" w:styleId="Hyperlink">
    <w:name w:val="Hyperlink"/>
    <w:basedOn w:val="DefaultParagraphFont"/>
    <w:uiPriority w:val="99"/>
    <w:unhideWhenUsed/>
    <w:rsid w:val="00DA061C"/>
    <w:rPr>
      <w:color w:val="0563C1" w:themeColor="hyperlink"/>
      <w:u w:val="single"/>
    </w:rPr>
  </w:style>
  <w:style w:type="table" w:styleId="TableGrid">
    <w:name w:val="Table Grid"/>
    <w:basedOn w:val="TableNormal"/>
    <w:uiPriority w:val="59"/>
    <w:rsid w:val="00DA0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DA061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DA0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61C"/>
    <w:rPr>
      <w:rFonts w:eastAsiaTheme="minorEastAsia"/>
    </w:rPr>
  </w:style>
  <w:style w:type="paragraph" w:styleId="Footer">
    <w:name w:val="footer"/>
    <w:basedOn w:val="Normal"/>
    <w:link w:val="FooterChar"/>
    <w:uiPriority w:val="99"/>
    <w:unhideWhenUsed/>
    <w:rsid w:val="00DA0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61C"/>
    <w:rPr>
      <w:rFonts w:eastAsiaTheme="minorEastAsia"/>
    </w:rPr>
  </w:style>
  <w:style w:type="character" w:styleId="UnresolvedMention">
    <w:name w:val="Unresolved Mention"/>
    <w:basedOn w:val="DefaultParagraphFont"/>
    <w:uiPriority w:val="99"/>
    <w:semiHidden/>
    <w:unhideWhenUsed/>
    <w:rsid w:val="00DA061C"/>
    <w:rPr>
      <w:color w:val="605E5C"/>
      <w:shd w:val="clear" w:color="auto" w:fill="E1DFDD"/>
    </w:rPr>
  </w:style>
  <w:style w:type="paragraph" w:styleId="NormalWeb">
    <w:name w:val="Normal (Web)"/>
    <w:basedOn w:val="Normal"/>
    <w:uiPriority w:val="99"/>
    <w:semiHidden/>
    <w:unhideWhenUsed/>
    <w:rsid w:val="007A153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A1536"/>
    <w:rPr>
      <w:b/>
      <w:bCs/>
    </w:rPr>
  </w:style>
  <w:style w:type="character" w:styleId="Emphasis">
    <w:name w:val="Emphasis"/>
    <w:basedOn w:val="DefaultParagraphFont"/>
    <w:uiPriority w:val="20"/>
    <w:qFormat/>
    <w:rsid w:val="007A1536"/>
    <w:rPr>
      <w:i/>
      <w:iCs/>
    </w:rPr>
  </w:style>
  <w:style w:type="character" w:styleId="CommentReference">
    <w:name w:val="annotation reference"/>
    <w:basedOn w:val="DefaultParagraphFont"/>
    <w:uiPriority w:val="99"/>
    <w:semiHidden/>
    <w:unhideWhenUsed/>
    <w:rsid w:val="005527C5"/>
    <w:rPr>
      <w:sz w:val="16"/>
      <w:szCs w:val="16"/>
    </w:rPr>
  </w:style>
  <w:style w:type="paragraph" w:styleId="CommentText">
    <w:name w:val="annotation text"/>
    <w:basedOn w:val="Normal"/>
    <w:link w:val="CommentTextChar"/>
    <w:uiPriority w:val="99"/>
    <w:unhideWhenUsed/>
    <w:rsid w:val="005527C5"/>
    <w:pPr>
      <w:spacing w:line="240" w:lineRule="auto"/>
    </w:pPr>
    <w:rPr>
      <w:sz w:val="20"/>
      <w:szCs w:val="20"/>
    </w:rPr>
  </w:style>
  <w:style w:type="character" w:customStyle="1" w:styleId="CommentTextChar">
    <w:name w:val="Comment Text Char"/>
    <w:basedOn w:val="DefaultParagraphFont"/>
    <w:link w:val="CommentText"/>
    <w:uiPriority w:val="99"/>
    <w:rsid w:val="005527C5"/>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microbiolres13040051" TargetMode="External"/><Relationship Id="rId13" Type="http://schemas.openxmlformats.org/officeDocument/2006/relationships/hyperlink" Target="https://doi.org/10.2166/washdev.2023.184" TargetMode="External"/><Relationship Id="rId18" Type="http://schemas.openxmlformats.org/officeDocument/2006/relationships/hyperlink" Target="https://doi.org/10.1289/EHP10345"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80/10934529.2023.1756103" TargetMode="External"/><Relationship Id="rId7" Type="http://schemas.openxmlformats.org/officeDocument/2006/relationships/hyperlink" Target="https://doi.org/10.1289/EHP12345" TargetMode="External"/><Relationship Id="rId12" Type="http://schemas.openxmlformats.org/officeDocument/2006/relationships/hyperlink" Target="https://doi.org/10.1111/jam.15432" TargetMode="External"/><Relationship Id="rId17" Type="http://schemas.openxmlformats.org/officeDocument/2006/relationships/hyperlink" Target="https://doi.org/10.1080/07900627.2023.2191236"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5897/AJMR2023.9691" TargetMode="External"/><Relationship Id="rId20" Type="http://schemas.openxmlformats.org/officeDocument/2006/relationships/hyperlink" Target="https://www.who.int/news-room/fact-sheets/detail/drinking-water"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1767/2581-804X-8.3.27"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186/s40064-015-1447-z"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56892/bima.v7i2.421" TargetMode="External"/><Relationship Id="rId19" Type="http://schemas.openxmlformats.org/officeDocument/2006/relationships/hyperlink" Target="https://doi.org/10.3390/w15091762" TargetMode="External"/><Relationship Id="rId4" Type="http://schemas.openxmlformats.org/officeDocument/2006/relationships/webSettings" Target="webSettings.xml"/><Relationship Id="rId9" Type="http://schemas.openxmlformats.org/officeDocument/2006/relationships/hyperlink" Target="https://doi.org/10.2166/washdev.2023.155" TargetMode="External"/><Relationship Id="rId14" Type="http://schemas.openxmlformats.org/officeDocument/2006/relationships/hyperlink" Target="https://doi.org/10.1007/s13201024022673"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14</Pages>
  <Words>6182</Words>
  <Characters>35244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Editor-90</cp:lastModifiedBy>
  <cp:revision>185</cp:revision>
  <dcterms:created xsi:type="dcterms:W3CDTF">2025-11-07T10:32:00Z</dcterms:created>
  <dcterms:modified xsi:type="dcterms:W3CDTF">2026-01-05T10:26:00Z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a776d277-7dc5-4551-b38e-031567735a43</vt:lpwstr>
  </property>
</Properties>
</file>