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39CEC" w14:textId="77777777" w:rsidR="00756DBD" w:rsidRPr="003102E1" w:rsidRDefault="00756DBD" w:rsidP="00756DBD">
      <w:pPr>
        <w:jc w:val="both"/>
        <w:rPr>
          <w:rFonts w:ascii="Times New Roman" w:hAnsi="Times New Roman" w:cs="Times New Roman"/>
          <w:b/>
          <w:bCs/>
          <w:sz w:val="28"/>
          <w:szCs w:val="28"/>
        </w:rPr>
      </w:pPr>
      <w:r w:rsidRPr="003102E1">
        <w:rPr>
          <w:rFonts w:ascii="Times New Roman" w:hAnsi="Times New Roman" w:cs="Times New Roman"/>
          <w:sz w:val="28"/>
          <w:szCs w:val="28"/>
        </w:rPr>
        <w:t>Original Research Article</w:t>
      </w:r>
    </w:p>
    <w:p w14:paraId="676BD993" w14:textId="2E17E5AC" w:rsidR="003102E1" w:rsidRDefault="00F71FC0" w:rsidP="00756DBD">
      <w:pPr>
        <w:jc w:val="center"/>
        <w:rPr>
          <w:rFonts w:ascii="Times New Roman" w:hAnsi="Times New Roman" w:cs="Times New Roman"/>
          <w:b/>
          <w:bCs/>
          <w:sz w:val="28"/>
          <w:szCs w:val="28"/>
        </w:rPr>
      </w:pPr>
      <w:r>
        <w:rPr>
          <w:rFonts w:ascii="Times New Roman" w:hAnsi="Times New Roman" w:cs="Times New Roman"/>
          <w:b/>
          <w:bCs/>
          <w:sz w:val="28"/>
          <w:szCs w:val="28"/>
        </w:rPr>
        <w:t>Employee Engagement as a Mechanism Linking Total Quality Management to Organizational Performance</w:t>
      </w:r>
    </w:p>
    <w:p w14:paraId="67E927EA" w14:textId="52E99E54"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Abstract</w:t>
      </w:r>
    </w:p>
    <w:p w14:paraId="76AD2069" w14:textId="4B279E7B"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Purpose: </w:t>
      </w:r>
      <w:r>
        <w:rPr>
          <w:rFonts w:ascii="Times New Roman" w:hAnsi="Times New Roman" w:cs="Times New Roman"/>
          <w:sz w:val="28"/>
          <w:szCs w:val="28"/>
        </w:rPr>
        <w:t>The paper will explore the employee engagement as an intervening variable between Total Quality Management (TQM) practice and organizational performance to fill the theoretical gap of how TQM impacts on performance outcome.</w:t>
      </w:r>
      <w:r w:rsidR="00DF39AA">
        <w:rPr>
          <w:rFonts w:ascii="Times New Roman" w:hAnsi="Times New Roman" w:cs="Times New Roman"/>
          <w:sz w:val="28"/>
          <w:szCs w:val="28"/>
        </w:rPr>
        <w:t xml:space="preserve"> </w:t>
      </w:r>
      <w:r w:rsidR="00DF39AA" w:rsidRPr="00DF39AA">
        <w:rPr>
          <w:rFonts w:ascii="Times New Roman" w:hAnsi="Times New Roman" w:cs="Times New Roman"/>
          <w:sz w:val="28"/>
          <w:szCs w:val="28"/>
        </w:rPr>
        <w:t>Despite the established link between TQM and performance, the mediating role of employee engagement remains underexplored, particularly in banking contexts.</w:t>
      </w:r>
    </w:p>
    <w:p w14:paraId="1DAAAD07" w14:textId="37FDF1B5" w:rsidR="00DF39AA" w:rsidRPr="00DF39AA" w:rsidRDefault="00DF39AA" w:rsidP="00DF39AA">
      <w:pPr>
        <w:jc w:val="both"/>
        <w:rPr>
          <w:rFonts w:ascii="Times New Roman" w:hAnsi="Times New Roman" w:cs="Times New Roman"/>
          <w:sz w:val="28"/>
          <w:szCs w:val="28"/>
        </w:rPr>
      </w:pPr>
      <w:r w:rsidRPr="00DF39AA">
        <w:rPr>
          <w:rFonts w:ascii="Times New Roman" w:hAnsi="Times New Roman" w:cs="Times New Roman"/>
          <w:b/>
          <w:bCs/>
          <w:sz w:val="28"/>
          <w:szCs w:val="28"/>
        </w:rPr>
        <w:t>Design/methodology/approach:</w:t>
      </w:r>
      <w:r>
        <w:rPr>
          <w:rFonts w:ascii="Times New Roman" w:hAnsi="Times New Roman" w:cs="Times New Roman"/>
          <w:b/>
          <w:bCs/>
          <w:sz w:val="28"/>
          <w:szCs w:val="28"/>
        </w:rPr>
        <w:t xml:space="preserve"> </w:t>
      </w:r>
      <w:r w:rsidRPr="00DF39AA">
        <w:rPr>
          <w:rFonts w:ascii="Times New Roman" w:hAnsi="Times New Roman" w:cs="Times New Roman"/>
          <w:sz w:val="28"/>
          <w:szCs w:val="28"/>
        </w:rPr>
        <w:t>Survey data were collected from 265 management-level employees across five major Nigerian commercial banks. The hypothesized mediation model was tested by means of Partial Least Squares Structural Equation Modeling (PLS-SEM) based on the Ability-Motivation-Opportunity (AMO) theory and Social Exchange Theory.</w:t>
      </w:r>
    </w:p>
    <w:p w14:paraId="4F4016B2" w14:textId="3D640056" w:rsidR="00DF39AA" w:rsidRPr="00DF39AA" w:rsidRDefault="00F71FC0" w:rsidP="00DF39AA">
      <w:pPr>
        <w:jc w:val="both"/>
        <w:rPr>
          <w:rFonts w:ascii="Times New Roman" w:hAnsi="Times New Roman" w:cs="Times New Roman"/>
          <w:sz w:val="28"/>
          <w:szCs w:val="28"/>
        </w:rPr>
      </w:pPr>
      <w:r>
        <w:rPr>
          <w:rFonts w:ascii="Times New Roman" w:hAnsi="Times New Roman" w:cs="Times New Roman"/>
          <w:b/>
          <w:bCs/>
          <w:sz w:val="28"/>
          <w:szCs w:val="28"/>
        </w:rPr>
        <w:t>Findings:</w:t>
      </w:r>
      <w:r>
        <w:rPr>
          <w:rFonts w:ascii="Times New Roman" w:hAnsi="Times New Roman" w:cs="Times New Roman"/>
          <w:sz w:val="28"/>
          <w:szCs w:val="28"/>
        </w:rPr>
        <w:t xml:space="preserve"> </w:t>
      </w:r>
      <w:r w:rsidR="00DF39AA" w:rsidRPr="00DF39AA">
        <w:rPr>
          <w:rFonts w:ascii="Times New Roman" w:hAnsi="Times New Roman" w:cs="Times New Roman"/>
          <w:sz w:val="28"/>
          <w:szCs w:val="28"/>
        </w:rPr>
        <w:t>TQM practices significantly predicted employee engagement, which subsequently predicted organizational performance. The mediation effect accounted for 55.2% of the total effect. The model yields a statistically significant predictive relevance of 37.2% on the engagement of employees and 51.6% on the performance of the organization.</w:t>
      </w:r>
    </w:p>
    <w:p w14:paraId="7F3B0545" w14:textId="77777777" w:rsidR="00DF39AA" w:rsidRDefault="00F71FC0" w:rsidP="00DF39AA">
      <w:pPr>
        <w:tabs>
          <w:tab w:val="left" w:pos="3870"/>
        </w:tabs>
        <w:jc w:val="both"/>
        <w:rPr>
          <w:rFonts w:ascii="Times New Roman" w:hAnsi="Times New Roman" w:cs="Times New Roman"/>
          <w:b/>
          <w:bCs/>
          <w:sz w:val="28"/>
          <w:szCs w:val="28"/>
        </w:rPr>
      </w:pPr>
      <w:r>
        <w:rPr>
          <w:rFonts w:ascii="Times New Roman" w:hAnsi="Times New Roman" w:cs="Times New Roman"/>
          <w:b/>
          <w:bCs/>
          <w:sz w:val="28"/>
          <w:szCs w:val="28"/>
        </w:rPr>
        <w:t>Originality/value:</w:t>
      </w:r>
      <w:r>
        <w:rPr>
          <w:rFonts w:ascii="Times New Roman" w:hAnsi="Times New Roman" w:cs="Times New Roman"/>
          <w:sz w:val="28"/>
          <w:szCs w:val="28"/>
        </w:rPr>
        <w:t xml:space="preserve"> </w:t>
      </w:r>
      <w:r w:rsidR="00DF39AA" w:rsidRPr="00DF39AA">
        <w:rPr>
          <w:rFonts w:ascii="Times New Roman" w:hAnsi="Times New Roman" w:cs="Times New Roman"/>
          <w:sz w:val="28"/>
          <w:szCs w:val="28"/>
        </w:rPr>
        <w:t>This research can contribute to the TQM literature by stepping out of the black box input/output paradigms to shed some light on the psychological process by which TQM is created. The research combines the operations management and the organizational psychology approach by establishing that employee engagement moderates more than half of the performance implications of TQM. Findings have practical implications to practitioners who may want to achieve maximum success in TQM implementation in the sense that they have clearly identified employee engagement as well as technical quality enhancement. It is the first empirical study of engagement as a TQM-performance mediator in the banking industry. The study concludes that employee engagement is a critical mediator, suggesting that banks should integrate engagement-focused practices within TQM implementation.</w:t>
      </w:r>
    </w:p>
    <w:p w14:paraId="3BEA7CC7" w14:textId="012B8FDF"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Keywords: </w:t>
      </w:r>
      <w:r>
        <w:rPr>
          <w:rFonts w:ascii="Times New Roman" w:hAnsi="Times New Roman" w:cs="Times New Roman"/>
          <w:sz w:val="28"/>
          <w:szCs w:val="28"/>
        </w:rPr>
        <w:t>Total Quality Management; Employee Engagement; Organizational Performance; Mediation Analysis; AMO Theory; Banking Industry; Nigeria</w:t>
      </w:r>
    </w:p>
    <w:p w14:paraId="2DC1B4E9" w14:textId="77777777" w:rsidR="00F86953" w:rsidRDefault="00F86953">
      <w:pPr>
        <w:jc w:val="both"/>
        <w:rPr>
          <w:rFonts w:ascii="Times New Roman" w:hAnsi="Times New Roman" w:cs="Times New Roman"/>
          <w:b/>
          <w:bCs/>
          <w:sz w:val="28"/>
          <w:szCs w:val="28"/>
        </w:rPr>
      </w:pPr>
    </w:p>
    <w:p w14:paraId="7B462795"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1. Introduction</w:t>
      </w:r>
    </w:p>
    <w:p w14:paraId="4D69704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Total Quality Management (TQM) is one of the most important organizational philosophies, which improve the competitive advantage in case of systematic quality improvement (Shafiq et al., 2017; Yusr et al., 2017). Although the relationship between TQM practices and organizational performance is established to be positive (Sadikoglu and Zehir, 2010; Herzallah et al., 2013), the mechanism of the processes in which such effects are achieved has little understanding (Dubey et al., 2019; Psomas and Jaca 2016). The paper fills this theoretical gap by examining employee engagement as one of the mediating factors between TQM and organizational performance.</w:t>
      </w:r>
    </w:p>
    <w:p w14:paraId="6104EBB2" w14:textId="34BC3436" w:rsidR="00F86953" w:rsidRDefault="00F71FC0">
      <w:pPr>
        <w:jc w:val="both"/>
        <w:rPr>
          <w:rFonts w:ascii="Times New Roman" w:hAnsi="Times New Roman" w:cs="Times New Roman"/>
          <w:sz w:val="28"/>
          <w:szCs w:val="28"/>
        </w:rPr>
      </w:pPr>
      <w:r>
        <w:rPr>
          <w:rFonts w:ascii="Times New Roman" w:hAnsi="Times New Roman" w:cs="Times New Roman"/>
          <w:sz w:val="28"/>
          <w:szCs w:val="28"/>
        </w:rPr>
        <w:t>Based on the empirical findings of the banking industry in Nigeria that confirmed the positive effects of TQM on its performance (Lottu et al., 2023</w:t>
      </w:r>
      <w:r w:rsidR="00B26452" w:rsidRPr="00B26452">
        <w:rPr>
          <w:rFonts w:ascii="Times New Roman" w:hAnsi="Times New Roman" w:cs="Times New Roman"/>
          <w:sz w:val="28"/>
          <w:szCs w:val="28"/>
        </w:rPr>
        <w:t xml:space="preserve">the study contributes to the discussion by exploring the question of whether or how TQM leads to improvement in performance. Specifically, we propose that TQM practices enhance employee engagement, which in turn drives organizational performance excellence. </w:t>
      </w:r>
      <w:r>
        <w:rPr>
          <w:rFonts w:ascii="Times New Roman" w:hAnsi="Times New Roman" w:cs="Times New Roman"/>
          <w:sz w:val="28"/>
          <w:szCs w:val="28"/>
        </w:rPr>
        <w:t>(Schaufeli et al., 2002)</w:t>
      </w:r>
      <w:r w:rsidR="00B26452">
        <w:rPr>
          <w:rFonts w:ascii="Times New Roman" w:hAnsi="Times New Roman" w:cs="Times New Roman"/>
          <w:sz w:val="28"/>
          <w:szCs w:val="28"/>
        </w:rPr>
        <w:t>.</w:t>
      </w:r>
    </w:p>
    <w:p w14:paraId="14D2E35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It has a theoretical basis on two complementary frameworks. The Ability-Motivation-Opportunity (AMO) theory hypothesizes that organizational performance relies on the employees having requisite abilities, motivation, and opportunities to perform efficiently (Appelbaum et al., 2000; Bos-Nehles et al., 2013). The inherent nature of TQM practices is training employee abilities, motivating them by participative management, and providing opportunities by empowerment (Ali et al., 2022). This is supplemented by the Social Exchange Theory (SET), which postulates that when an organization invests in quality management it triggers reciprocal exchanges between the organization and its employees where the latter respond with increased engagement (Cropanzano and Mitchell, 2005; Khoreva and Wechtler, 2018).</w:t>
      </w:r>
    </w:p>
    <w:p w14:paraId="7967FB4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There are four contributions of this study. To begin with, it has presented employee engagement as a theoretically-supported mediating construct, which takes the knowledge of input-output models a step further. Second, it combines earlier disconnected research lines TQM of operations management and employee engagement of organizational psychology providing a holistic theoretical explanation (Dubey et al., 2019). Third, it uses a strict SEM methodology to validate mediation routes, which contains solid evidence of indirect impacts (Peng and Lai, 2012; Hayes, 2018). Lastly, it provides a practical advice to the managers who would like to ensure the maximum returns of TQM investment by emphasizing the importance of employee involvement in converting quality programs into performance improvements.</w:t>
      </w:r>
    </w:p>
    <w:p w14:paraId="251FFD5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Nigerian banking industry offers a good research setting. The environment in which the Nigerian banks are operating is highly competitive and quality-sensitive where quality service significantly affects the retention of customers and the financial performance (Nebo and Okechukwu 2017). The digitalization of the sector and the regulatory demands imply the need to have engaged workforces that can ensure the execution of constant quality improvement (Lottu et al., 2023).</w:t>
      </w:r>
    </w:p>
    <w:p w14:paraId="5746693D"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2. Literature Review and Hypothesis Formulation</w:t>
      </w:r>
    </w:p>
    <w:p w14:paraId="43402E50"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2.1 TQM and Organizational Performance</w:t>
      </w:r>
    </w:p>
    <w:p w14:paraId="103D9526"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TQM is an overarching approach to management, which involves continuous improvement, customer orientation, and quality involvement of the entire organization (Talib et al., 2013; Yusr et al., 2017). Top management commitment, customer focus, continuous improvement, employee involvement, process management, supplier quality management, and information analysis are included in the multidimensional construct (Shafiq et al., 2017; Ali et al., 2022).</w:t>
      </w:r>
    </w:p>
    <w:p w14:paraId="258F7D5E" w14:textId="6AC68E51" w:rsidR="00F86953" w:rsidRDefault="00F71FC0">
      <w:pPr>
        <w:jc w:val="both"/>
        <w:rPr>
          <w:rFonts w:ascii="Times New Roman" w:hAnsi="Times New Roman" w:cs="Times New Roman"/>
          <w:sz w:val="28"/>
          <w:szCs w:val="28"/>
        </w:rPr>
      </w:pPr>
      <w:r>
        <w:rPr>
          <w:rFonts w:ascii="Times New Roman" w:hAnsi="Times New Roman" w:cs="Times New Roman"/>
          <w:sz w:val="28"/>
          <w:szCs w:val="28"/>
        </w:rPr>
        <w:t>Empirical studies have continued to establish positive correlations between TQM and various performance aspects such as financial performance, operational effectiveness, customer satisfaction and innovation ability (Sadikoglu and Zehir, 2010; Anil and Satish, 2019). Nevertheless, the magnitude of effects in different studies is quite different, indicating that contextual factors and mediating mechanisms have a profound effect on the performance impact of TQM (Psomas &amp; Jaca 2016). This inconsistency highlights the importance of exploring the intermediate processes, which direct TQM practices towards performance outcomes.</w:t>
      </w:r>
      <w:r w:rsidR="00B47049">
        <w:rPr>
          <w:rFonts w:ascii="Times New Roman" w:hAnsi="Times New Roman" w:cs="Times New Roman"/>
          <w:sz w:val="28"/>
          <w:szCs w:val="28"/>
        </w:rPr>
        <w:t xml:space="preserve"> </w:t>
      </w:r>
      <w:r w:rsidR="00B47049" w:rsidRPr="00B47049">
        <w:rPr>
          <w:rFonts w:ascii="Times New Roman" w:hAnsi="Times New Roman" w:cs="Times New Roman"/>
          <w:sz w:val="28"/>
          <w:szCs w:val="28"/>
        </w:rPr>
        <w:t>Recent stud</w:t>
      </w:r>
      <w:r w:rsidR="00F879BF">
        <w:rPr>
          <w:rFonts w:ascii="Times New Roman" w:hAnsi="Times New Roman" w:cs="Times New Roman"/>
          <w:sz w:val="28"/>
          <w:szCs w:val="28"/>
        </w:rPr>
        <w:t>y</w:t>
      </w:r>
      <w:r w:rsidR="00B47049" w:rsidRPr="00B47049">
        <w:rPr>
          <w:rFonts w:ascii="Times New Roman" w:hAnsi="Times New Roman" w:cs="Times New Roman"/>
          <w:sz w:val="28"/>
          <w:szCs w:val="28"/>
        </w:rPr>
        <w:t xml:space="preserve"> (</w:t>
      </w:r>
      <w:r w:rsidR="00070534" w:rsidRPr="00070534">
        <w:rPr>
          <w:rFonts w:ascii="Times New Roman" w:eastAsia="Times New Roman" w:hAnsi="Times New Roman" w:cs="Times New Roman"/>
          <w:kern w:val="0"/>
          <w:sz w:val="28"/>
          <w:szCs w:val="28"/>
          <w14:ligatures w14:val="none"/>
        </w:rPr>
        <w:t>Aly</w:t>
      </w:r>
      <w:r w:rsidR="00B47049" w:rsidRPr="00B47049">
        <w:rPr>
          <w:rFonts w:ascii="Times New Roman" w:hAnsi="Times New Roman" w:cs="Times New Roman"/>
          <w:sz w:val="28"/>
          <w:szCs w:val="28"/>
        </w:rPr>
        <w:t>, 202</w:t>
      </w:r>
      <w:r w:rsidR="00070534">
        <w:rPr>
          <w:rFonts w:ascii="Times New Roman" w:hAnsi="Times New Roman" w:cs="Times New Roman"/>
          <w:sz w:val="28"/>
          <w:szCs w:val="28"/>
        </w:rPr>
        <w:t>5</w:t>
      </w:r>
      <w:r w:rsidR="00B47049" w:rsidRPr="00B47049">
        <w:rPr>
          <w:rFonts w:ascii="Times New Roman" w:hAnsi="Times New Roman" w:cs="Times New Roman"/>
          <w:sz w:val="28"/>
          <w:szCs w:val="28"/>
        </w:rPr>
        <w:t>) ha</w:t>
      </w:r>
      <w:r w:rsidR="00F879BF">
        <w:rPr>
          <w:rFonts w:ascii="Times New Roman" w:hAnsi="Times New Roman" w:cs="Times New Roman"/>
          <w:sz w:val="28"/>
          <w:szCs w:val="28"/>
        </w:rPr>
        <w:t>s</w:t>
      </w:r>
      <w:r w:rsidR="00B47049" w:rsidRPr="00B47049">
        <w:rPr>
          <w:rFonts w:ascii="Times New Roman" w:hAnsi="Times New Roman" w:cs="Times New Roman"/>
          <w:sz w:val="28"/>
          <w:szCs w:val="28"/>
        </w:rPr>
        <w:t xml:space="preserve"> reaffirmed these relationships while calling for more contextual and mechanistic examinations, particularly in service sectors like banking.</w:t>
      </w:r>
    </w:p>
    <w:p w14:paraId="0CC93939"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2.2 Employee Engagement: Conceptualization and Consequences</w:t>
      </w:r>
    </w:p>
    <w:p w14:paraId="1EA4EA6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Employee engagement indicates the psychological availability, vitality and identifying with work (Kahn, 1990). The conceptualization of engagement by Schaufeli et al. (2002) takes three dimensions, which are vigor (high energy and resilience), dedication (strong involvement and significance), and absorption (full concentration in work). Job Demands-Resources (JD-R) model assumes that engagement can be achieved when the resources of a job are above the demands, and they satisfy the basic psychological needs of autonomy, competence, and relatedness (Bakker and Demerouti, 2007; Deci and Ryan, 2000).</w:t>
      </w:r>
    </w:p>
    <w:p w14:paraId="37C1D2E1" w14:textId="1E4A5B55" w:rsidR="00F86953" w:rsidRDefault="00F71FC0">
      <w:pPr>
        <w:jc w:val="both"/>
        <w:rPr>
          <w:rFonts w:ascii="Times New Roman" w:hAnsi="Times New Roman" w:cs="Times New Roman"/>
          <w:sz w:val="28"/>
          <w:szCs w:val="28"/>
        </w:rPr>
      </w:pPr>
      <w:r>
        <w:rPr>
          <w:rFonts w:ascii="Times New Roman" w:hAnsi="Times New Roman" w:cs="Times New Roman"/>
          <w:sz w:val="28"/>
          <w:szCs w:val="28"/>
        </w:rPr>
        <w:t>The EE is always associated with positive results such as productivity, customer satisfaction, profitability, and retention (Bailey et al., 2015; Knight et al., 2017). The meta-analyses indicate the presence of moderate to strong positive links between engagement and performance in various settings (Christian et al., 2011). Nevertheless, the literature that examines the mediating role of engagement in the relationships between TQM and performance is scarce (Bortolotti et al., 2015).</w:t>
      </w:r>
      <w:r w:rsidR="00A72904">
        <w:rPr>
          <w:rFonts w:ascii="Times New Roman" w:hAnsi="Times New Roman" w:cs="Times New Roman"/>
          <w:sz w:val="28"/>
          <w:szCs w:val="28"/>
        </w:rPr>
        <w:t xml:space="preserve"> </w:t>
      </w:r>
      <w:r w:rsidR="00A72904" w:rsidRPr="00A72904">
        <w:rPr>
          <w:rFonts w:ascii="Times New Roman" w:hAnsi="Times New Roman" w:cs="Times New Roman"/>
          <w:sz w:val="28"/>
          <w:szCs w:val="28"/>
        </w:rPr>
        <w:t>Contemporary research continues to validate engagement as a performance driver while exploring new antecedents such as digital work environments and remote leadership (Obeidat et al., 2024).</w:t>
      </w:r>
    </w:p>
    <w:p w14:paraId="21C3CA92"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2.3 The TQM-Employee Engagement Linkage</w:t>
      </w:r>
    </w:p>
    <w:p w14:paraId="6F3F0BC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The TQM practices must be systematically used to improve employee engagement in various ways. First, TQM requirements of employee participation and participative decision-making have psychological needs of autonomy and competence (Ali et al., 2022). Engaging employees in quality improvement efforts helps them to feel increased ownership, efficacy, and meaningfulness core engagement drivers (Khoreva and Wechtler, 2018).</w:t>
      </w:r>
    </w:p>
    <w:p w14:paraId="60B452E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Second, because of constant learning, the TQM develops employee skills and it is a powerful indicator of organizational investment that leads to social exchange processes where employees in turn engage (Shafiq et al., 2017; Cropanzano and Mitchell, 2005). Third, recognized systems and performance feedback are part of the TQM practices that minimize role ambiguity and increase task importance, which are predictors of engagement. (Psomas &amp; Jaca 2016; Anil and Satish, 2019). Fourth, customer-oriented orientation of TQM allows employees to relate their actions to the organizational purpose which increases the meaning of work (Bortolotti et al., 2015).</w:t>
      </w:r>
    </w:p>
    <w:p w14:paraId="00DD079E" w14:textId="189457A8" w:rsidR="00F86953" w:rsidRDefault="00F71FC0">
      <w:pPr>
        <w:jc w:val="both"/>
        <w:rPr>
          <w:rFonts w:ascii="Times New Roman" w:hAnsi="Times New Roman" w:cs="Times New Roman"/>
          <w:sz w:val="28"/>
          <w:szCs w:val="28"/>
        </w:rPr>
      </w:pPr>
      <w:r>
        <w:rPr>
          <w:rFonts w:ascii="Times New Roman" w:hAnsi="Times New Roman" w:cs="Times New Roman"/>
          <w:sz w:val="28"/>
          <w:szCs w:val="28"/>
        </w:rPr>
        <w:t>There is scanty empirical studies that directly look at the relationships of TQM-engagement. The authors discovered that soft TQM practices were predictors of employee satisfaction and employee morale in a positive way (Bortolotti et al., 2015). Ali et al., (2022) established that TQM practices improved employee empowerment which mediated TQM-performance relationships. Nevertheless, overall testing of employee engagement as a TQM-performance moderator is still not provided.</w:t>
      </w:r>
      <w:r w:rsidR="00A72904">
        <w:rPr>
          <w:rFonts w:ascii="Times New Roman" w:hAnsi="Times New Roman" w:cs="Times New Roman"/>
          <w:sz w:val="28"/>
          <w:szCs w:val="28"/>
        </w:rPr>
        <w:t xml:space="preserve"> </w:t>
      </w:r>
      <w:r w:rsidR="00A72904" w:rsidRPr="00A72904">
        <w:rPr>
          <w:rFonts w:ascii="Times New Roman" w:hAnsi="Times New Roman" w:cs="Times New Roman"/>
          <w:sz w:val="28"/>
          <w:szCs w:val="28"/>
        </w:rPr>
        <w:t>Building on these insights, the present study directly tests engagement as a mediator in the TQM-performance relationship</w:t>
      </w:r>
    </w:p>
    <w:p w14:paraId="3A79E582"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H1: </w:t>
      </w:r>
      <w:r>
        <w:rPr>
          <w:rFonts w:ascii="Times New Roman" w:hAnsi="Times New Roman" w:cs="Times New Roman"/>
          <w:sz w:val="28"/>
          <w:szCs w:val="28"/>
        </w:rPr>
        <w:t>TQM practices have a positive impact on the employee engagement.</w:t>
      </w:r>
    </w:p>
    <w:p w14:paraId="71666D0A"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2.4 Employee Engagement and Organizational Performance</w:t>
      </w:r>
    </w:p>
    <w:p w14:paraId="0172028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There is a considerable amount of research that proves engagement to be a strong predictor of organizational performance (Bailey et al., 2015; Knight et al., 2017). Engaged employees demonstrate an increase in productivity, high-quality customer service, lower turnover, and increased organizational citizenship behaviour (Christian et al., 2011; Khoreva and Wechtler, 2018). The meta-analytic data proves the significant effect of engagement, and the corrected correlation coefficients of engagement and task performance (0.43), and engagement and contextual performance (0.47) are also significant (Christian et al., 2011).</w:t>
      </w:r>
    </w:p>
    <w:p w14:paraId="0DD7020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In the context of the TQM, involved employees are particularly useful. The focus on constant improvement introduced by TQM makes employees be ready to find problems and provide solutions behaviors that are directly associated with engagement (Psomas and Jaca 2016; Yusr et al., 2017). Customer focus also requires employees who genuinely care about the service quality attitudinal behaviors of engaged workers (Sila and Cek, 2017).</w:t>
      </w:r>
    </w:p>
    <w:p w14:paraId="0C75A75B"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H2</w:t>
      </w:r>
      <w:r>
        <w:rPr>
          <w:rFonts w:ascii="Times New Roman" w:hAnsi="Times New Roman" w:cs="Times New Roman"/>
          <w:sz w:val="28"/>
          <w:szCs w:val="28"/>
        </w:rPr>
        <w:t>: Employee engagement has a successive effect of organizational performance.</w:t>
      </w:r>
    </w:p>
    <w:p w14:paraId="18A200C0"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2.5 The Mediating Role of Employee Engagement</w:t>
      </w:r>
    </w:p>
    <w:p w14:paraId="1A0387C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Based on these theoretical contributions, we hypothesize that the employee engagement mediates TQM-organizational performance relationship. The AMO theory is theoretically justified: TQM practices are developed in a systematic way and lead to the development of abilities, the increase of motivation, and the creation of opportunities, and the engagement is considered the motivational state which is formed when all these elements are in balance (Bos-Nehles et al., 2013; Knight et al., 2017). The Social Exchange Theory advances similar assistance: TQM activities send out indicative messages to the organizations, and these messages foster reciprocal participation of the employees which is demonstrated in performance-based behaviors (Cropanzano and Mitchell, 2005).</w:t>
      </w:r>
    </w:p>
    <w:p w14:paraId="147D8E9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This is proposed by mediation research in the related areas. Research on HRM practices conducted on human resource management reveals that there are mediating roles of employee outcomes that mediate HRM-performance relationships (Kehoe and Wright, 2010). Karatepe (2013) has shown that work engagement mediated the relationship between high-performance working practices and performance in the hospitality sector. Nonetheless, the testing of employee engagement as a TQM-performance mediator has not been done comprehensively.</w:t>
      </w:r>
    </w:p>
    <w:p w14:paraId="2FD40126"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H3: </w:t>
      </w:r>
      <w:r>
        <w:rPr>
          <w:rFonts w:ascii="Times New Roman" w:hAnsi="Times New Roman" w:cs="Times New Roman"/>
          <w:sz w:val="28"/>
          <w:szCs w:val="28"/>
        </w:rPr>
        <w:t>TQM practices mediate the relationship of employee engagement and the performance of the organization.</w:t>
      </w:r>
    </w:p>
    <w:p w14:paraId="733CD92B"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2.6 Conceptual Framework</w:t>
      </w:r>
    </w:p>
    <w:p w14:paraId="00643E5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The conceptual model is given in figure 1. The independent variable is TQM practices, the dependent variable is organizational performance and the mediating variable is employee engagement. The three paths that are proposed in the model include: (1) TQM practices - employee engagement (H1); (2) employee engagement - organizational performance (H2); and (3) TQM practices - organizational performance through employee engagement (H3).</w:t>
      </w:r>
    </w:p>
    <w:p w14:paraId="20B79D0B"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Figure 1: Conceptual Framework</w:t>
      </w:r>
    </w:p>
    <w:p w14:paraId="3F106CE4"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5D67D66D" wp14:editId="739A00FE">
            <wp:extent cx="5431391" cy="2962275"/>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5431391" cy="2962275"/>
                    </a:xfrm>
                    <a:prstGeom prst="rect">
                      <a:avLst/>
                    </a:prstGeom>
                  </pic:spPr>
                </pic:pic>
              </a:graphicData>
            </a:graphic>
          </wp:inline>
        </w:drawing>
      </w:r>
    </w:p>
    <w:p w14:paraId="742E2A09"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Note: </w:t>
      </w:r>
      <w:r>
        <w:rPr>
          <w:rFonts w:ascii="Times New Roman" w:hAnsi="Times New Roman" w:cs="Times New Roman"/>
          <w:sz w:val="28"/>
          <w:szCs w:val="28"/>
        </w:rPr>
        <w:t xml:space="preserve">H1: TQM practices - Employee engagement. H2: Employee engagement- Organizational performance. H3: Direct route TQM practices- organization performance. </w:t>
      </w:r>
    </w:p>
    <w:p w14:paraId="2A0F98DA"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3. Methodology</w:t>
      </w:r>
    </w:p>
    <w:p w14:paraId="3367A728"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3.1 Research Design and Context</w:t>
      </w:r>
    </w:p>
    <w:p w14:paraId="2A8479B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This paper uses quantitative and cross-sectional survey research design to test the mediation model. The research context is the Nigerian banking industry, which was chosen due to the competitive environment in which the banks in the country have to operate, and quality management has a direct positive impact on their results (Nebo and Okechukwu, 2017; Lottu et al., 2023).</w:t>
      </w:r>
    </w:p>
    <w:p w14:paraId="373DD5DE"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3.2 Data collection, population, and Sampling.</w:t>
      </w:r>
    </w:p>
    <w:p w14:paraId="5A427991" w14:textId="5B2B4239" w:rsidR="00F86953" w:rsidRDefault="001973F0">
      <w:pPr>
        <w:jc w:val="both"/>
        <w:rPr>
          <w:rFonts w:ascii="Times New Roman" w:hAnsi="Times New Roman" w:cs="Times New Roman"/>
          <w:sz w:val="28"/>
          <w:szCs w:val="28"/>
        </w:rPr>
      </w:pPr>
      <w:r w:rsidRPr="001973F0">
        <w:rPr>
          <w:rFonts w:ascii="Times New Roman" w:hAnsi="Times New Roman" w:cs="Times New Roman"/>
          <w:sz w:val="28"/>
          <w:szCs w:val="28"/>
        </w:rPr>
        <w:t xml:space="preserve">The target population comprised management-level employees in Nigerian commercial banks, as they possess direct insight into TQM practices and performance outcomes. </w:t>
      </w:r>
      <w:r w:rsidR="00F71FC0">
        <w:rPr>
          <w:rFonts w:ascii="Times New Roman" w:hAnsi="Times New Roman" w:cs="Times New Roman"/>
          <w:sz w:val="28"/>
          <w:szCs w:val="28"/>
        </w:rPr>
        <w:t>(Hair et al., 2019). Multi-stage sampling methodology was used. To begin with, in purposive sampling, there were 5 major banks that have been picked ( First Bank of Nigeria, Zenith Bank, Guaranty Trust Bank, United Bank for Africa, and Access Bank). Second, stratified random sampling was used to choose the branch locations in the cities and the semi-urban regions. Third, management-level respondents in sampled branches were identified using convenience sampling, his method, although feasible, can create selection bias and reduce generalizability.</w:t>
      </w:r>
    </w:p>
    <w:p w14:paraId="433E9A4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The determination of the sample size was based on SEM requirements, and it was chosen that 300 respondents will be sufficient to have an adequate statistical power (Kline, 2016; Hair et al., 2019). Online and paper-based questionnaires were used to collect data during a period of three months (September- November 2024). After the institutional approvals and various follow up plans, 286 questionnaires were returned. Following the parking of responses that were incomplete and outliers, 265 responses were kept (effective response rate: 89.3%).</w:t>
      </w:r>
    </w:p>
    <w:p w14:paraId="53B241A8"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3.3 Measurement Instruments</w:t>
      </w:r>
    </w:p>
    <w:p w14:paraId="788DA10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All constructs utilized were the five-point Likert scales (1 5 Strongly Disagree to Strongly Agree).</w:t>
      </w:r>
    </w:p>
    <w:p w14:paraId="6C673898"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TQM Practices:</w:t>
      </w:r>
      <w:r>
        <w:rPr>
          <w:rFonts w:ascii="Times New Roman" w:hAnsi="Times New Roman" w:cs="Times New Roman"/>
          <w:sz w:val="28"/>
          <w:szCs w:val="28"/>
        </w:rPr>
        <w:t xml:space="preserve"> a 24-item scale based on the work of Kaynak (2003) and Yusr et al. (2017) measured seven dimensions, such as top management commitment (4 items), customer focus (3 items), employee involvement (4 items), continuous improvement (3 items), process management (3 items), training (4 items), and information and analysis (3 items). The TQM was developed as a formative construct of second order (Ali et al., 2022).</w:t>
      </w:r>
    </w:p>
    <w:p w14:paraId="4EF3221E"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Employee Engagement: </w:t>
      </w:r>
      <w:r>
        <w:rPr>
          <w:rFonts w:ascii="Times New Roman" w:hAnsi="Times New Roman" w:cs="Times New Roman"/>
          <w:sz w:val="28"/>
          <w:szCs w:val="28"/>
        </w:rPr>
        <w:t>Utrecht Work Engagement Scale (UWES-9) assumed the three dimensions, which included: vigor (3 items), dedication (3 items), and absorption (3 items) developed by Schaufeli et al. (2006). UWES-9 has a high level of psychometric properties under different settings (Bakker and Leiter, 2010).</w:t>
      </w:r>
    </w:p>
    <w:p w14:paraId="6070BF53"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Organizational Performance: </w:t>
      </w:r>
      <w:r>
        <w:rPr>
          <w:rFonts w:ascii="Times New Roman" w:hAnsi="Times New Roman" w:cs="Times New Roman"/>
          <w:sz w:val="28"/>
          <w:szCs w:val="28"/>
        </w:rPr>
        <w:t>A 12-item scale based on Sadikoglu and Zehir (2010) and Yusr et al. (2017) measured four dimensions, including financial performance (3 items), operational performance (3 items), customer-focused performance (3 items), and employee-focused performance (3 items). The second-order reflective construct was performance (Hair et al., 2019).</w:t>
      </w:r>
    </w:p>
    <w:p w14:paraId="6068B89B"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Control Variables:</w:t>
      </w:r>
      <w:r>
        <w:rPr>
          <w:rFonts w:ascii="Times New Roman" w:hAnsi="Times New Roman" w:cs="Times New Roman"/>
          <w:sz w:val="28"/>
          <w:szCs w:val="28"/>
        </w:rPr>
        <w:t xml:space="preserve"> The statistical controls were respondent age, gender, organizational tenure, level of manager, and the bank size (Becker, 2005).</w:t>
      </w:r>
    </w:p>
    <w:p w14:paraId="2C7EE9E7"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 xml:space="preserve">3.4 The assessment of common method Bias </w:t>
      </w:r>
    </w:p>
    <w:p w14:paraId="1BE0035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Procedural remedies to help reduce common method bias (CMB) were assurance of anonymity, the clear language and reversing question sequence (Podsakoff et al., 2012). Williams et al., (2010) used Harman single-factor test and common latent factor (CLF) methods, which is statistically applicable.</w:t>
      </w:r>
    </w:p>
    <w:p w14:paraId="7BED9BFD"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3.5 Data Analysis</w:t>
      </w:r>
    </w:p>
    <w:p w14:paraId="6586224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Data analysis was SPSS 26.0 preliminary and SmartPLS 4.0 PLS-SEM. PLS-SEM was chosen as it is efficient in working with the intricate models with formative constructs, is effective on smaller samples, and fits well with predictive research design (Hair et al., 2019; Sarstedt et al., 2019). In the case of mediation analysis, Hayes (2018) and Nitzl et al. (2016) used bootstrapping with 5,000 resamples to obtain bias-corrected confidence intervals.</w:t>
      </w:r>
    </w:p>
    <w:p w14:paraId="65DD26CD"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4. Results</w:t>
      </w:r>
    </w:p>
    <w:p w14:paraId="702664BB"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4.1 Preliminary Analyses</w:t>
      </w:r>
    </w:p>
    <w:p w14:paraId="0BF3471C"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Sample Characteristics: </w:t>
      </w:r>
      <w:r>
        <w:rPr>
          <w:rFonts w:ascii="Times New Roman" w:hAnsi="Times New Roman" w:cs="Times New Roman"/>
          <w:sz w:val="28"/>
          <w:szCs w:val="28"/>
        </w:rPr>
        <w:t>Table 1 demonstrates demographic characteristics. The respondents were fairly balanced between males (54.3%) and females (45.7%) and most of them were aged in 30-39 years (41.5%) and 40-49 years (32.8%). The majority were in supervisory (38.9) and middle managements (46.0), with an average tenure in the company of 7.2 years (SD = 4.3).</w:t>
      </w:r>
    </w:p>
    <w:p w14:paraId="0EFBA350"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Table 1: Sample Demographic Characteristics (N = 265)</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503"/>
        <w:gridCol w:w="2431"/>
        <w:gridCol w:w="1671"/>
        <w:gridCol w:w="1745"/>
      </w:tblGrid>
      <w:tr w:rsidR="00F86953" w14:paraId="71D1E156" w14:textId="77777777">
        <w:trPr>
          <w:tblHeader/>
          <w:tblCellSpacing w:w="15" w:type="dxa"/>
        </w:trPr>
        <w:tc>
          <w:tcPr>
            <w:tcW w:w="1841" w:type="pct"/>
            <w:tcBorders>
              <w:right w:val="single" w:sz="4" w:space="0" w:color="auto"/>
            </w:tcBorders>
            <w:vAlign w:val="center"/>
            <w:hideMark/>
          </w:tcPr>
          <w:p w14:paraId="66B4F8FF"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Characteristic</w:t>
            </w:r>
          </w:p>
        </w:tc>
        <w:tc>
          <w:tcPr>
            <w:tcW w:w="1279" w:type="pct"/>
            <w:tcBorders>
              <w:right w:val="single" w:sz="4" w:space="0" w:color="auto"/>
            </w:tcBorders>
            <w:vAlign w:val="center"/>
            <w:hideMark/>
          </w:tcPr>
          <w:p w14:paraId="47C12CAC"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Category</w:t>
            </w:r>
          </w:p>
        </w:tc>
        <w:tc>
          <w:tcPr>
            <w:tcW w:w="874" w:type="pct"/>
            <w:tcBorders>
              <w:right w:val="single" w:sz="4" w:space="0" w:color="auto"/>
            </w:tcBorders>
            <w:vAlign w:val="center"/>
            <w:hideMark/>
          </w:tcPr>
          <w:p w14:paraId="58DB9AC0"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Frequency</w:t>
            </w:r>
          </w:p>
        </w:tc>
        <w:tc>
          <w:tcPr>
            <w:tcW w:w="905" w:type="pct"/>
            <w:vAlign w:val="center"/>
            <w:hideMark/>
          </w:tcPr>
          <w:p w14:paraId="7BCC9089"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Percentage</w:t>
            </w:r>
          </w:p>
        </w:tc>
      </w:tr>
      <w:tr w:rsidR="00F86953" w14:paraId="38BA7DC6" w14:textId="77777777">
        <w:trPr>
          <w:tblCellSpacing w:w="15" w:type="dxa"/>
        </w:trPr>
        <w:tc>
          <w:tcPr>
            <w:tcW w:w="1841" w:type="pct"/>
            <w:tcBorders>
              <w:top w:val="single" w:sz="4" w:space="0" w:color="auto"/>
              <w:right w:val="single" w:sz="4" w:space="0" w:color="auto"/>
            </w:tcBorders>
            <w:vAlign w:val="center"/>
            <w:hideMark/>
          </w:tcPr>
          <w:p w14:paraId="1BBE8CF7"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Gender</w:t>
            </w:r>
          </w:p>
        </w:tc>
        <w:tc>
          <w:tcPr>
            <w:tcW w:w="1279" w:type="pct"/>
            <w:tcBorders>
              <w:top w:val="single" w:sz="4" w:space="0" w:color="auto"/>
              <w:right w:val="single" w:sz="4" w:space="0" w:color="auto"/>
            </w:tcBorders>
            <w:vAlign w:val="center"/>
            <w:hideMark/>
          </w:tcPr>
          <w:p w14:paraId="7832A8C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Male</w:t>
            </w:r>
          </w:p>
        </w:tc>
        <w:tc>
          <w:tcPr>
            <w:tcW w:w="874" w:type="pct"/>
            <w:tcBorders>
              <w:top w:val="single" w:sz="4" w:space="0" w:color="auto"/>
              <w:right w:val="single" w:sz="4" w:space="0" w:color="auto"/>
            </w:tcBorders>
            <w:vAlign w:val="center"/>
            <w:hideMark/>
          </w:tcPr>
          <w:p w14:paraId="4A8204A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144</w:t>
            </w:r>
          </w:p>
        </w:tc>
        <w:tc>
          <w:tcPr>
            <w:tcW w:w="905" w:type="pct"/>
            <w:tcBorders>
              <w:top w:val="single" w:sz="4" w:space="0" w:color="auto"/>
            </w:tcBorders>
            <w:vAlign w:val="center"/>
            <w:hideMark/>
          </w:tcPr>
          <w:p w14:paraId="78FA632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54.3%</w:t>
            </w:r>
          </w:p>
        </w:tc>
      </w:tr>
      <w:tr w:rsidR="00F86953" w14:paraId="3668C594" w14:textId="77777777">
        <w:trPr>
          <w:tblCellSpacing w:w="15" w:type="dxa"/>
        </w:trPr>
        <w:tc>
          <w:tcPr>
            <w:tcW w:w="1841" w:type="pct"/>
            <w:tcBorders>
              <w:top w:val="single" w:sz="4" w:space="0" w:color="auto"/>
              <w:right w:val="single" w:sz="4" w:space="0" w:color="auto"/>
            </w:tcBorders>
            <w:vAlign w:val="center"/>
            <w:hideMark/>
          </w:tcPr>
          <w:p w14:paraId="6577EE2B" w14:textId="77777777" w:rsidR="00F86953" w:rsidRDefault="00F86953">
            <w:pPr>
              <w:jc w:val="both"/>
              <w:rPr>
                <w:rFonts w:ascii="Times New Roman" w:hAnsi="Times New Roman" w:cs="Times New Roman"/>
                <w:sz w:val="28"/>
                <w:szCs w:val="28"/>
              </w:rPr>
            </w:pPr>
          </w:p>
        </w:tc>
        <w:tc>
          <w:tcPr>
            <w:tcW w:w="1279" w:type="pct"/>
            <w:tcBorders>
              <w:top w:val="single" w:sz="4" w:space="0" w:color="auto"/>
              <w:right w:val="single" w:sz="4" w:space="0" w:color="auto"/>
            </w:tcBorders>
            <w:vAlign w:val="center"/>
            <w:hideMark/>
          </w:tcPr>
          <w:p w14:paraId="44F8CE46"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Female</w:t>
            </w:r>
          </w:p>
        </w:tc>
        <w:tc>
          <w:tcPr>
            <w:tcW w:w="874" w:type="pct"/>
            <w:tcBorders>
              <w:top w:val="single" w:sz="4" w:space="0" w:color="auto"/>
              <w:right w:val="single" w:sz="4" w:space="0" w:color="auto"/>
            </w:tcBorders>
            <w:vAlign w:val="center"/>
            <w:hideMark/>
          </w:tcPr>
          <w:p w14:paraId="180E276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121</w:t>
            </w:r>
          </w:p>
        </w:tc>
        <w:tc>
          <w:tcPr>
            <w:tcW w:w="905" w:type="pct"/>
            <w:tcBorders>
              <w:top w:val="single" w:sz="4" w:space="0" w:color="auto"/>
            </w:tcBorders>
            <w:vAlign w:val="center"/>
            <w:hideMark/>
          </w:tcPr>
          <w:p w14:paraId="720B4BD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45.7%</w:t>
            </w:r>
          </w:p>
        </w:tc>
      </w:tr>
      <w:tr w:rsidR="00F86953" w14:paraId="66F92A36" w14:textId="77777777">
        <w:trPr>
          <w:tblCellSpacing w:w="15" w:type="dxa"/>
        </w:trPr>
        <w:tc>
          <w:tcPr>
            <w:tcW w:w="1841" w:type="pct"/>
            <w:tcBorders>
              <w:top w:val="single" w:sz="4" w:space="0" w:color="auto"/>
              <w:bottom w:val="single" w:sz="4" w:space="0" w:color="auto"/>
              <w:right w:val="single" w:sz="4" w:space="0" w:color="auto"/>
            </w:tcBorders>
            <w:vAlign w:val="center"/>
            <w:hideMark/>
          </w:tcPr>
          <w:p w14:paraId="6C709634"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Age</w:t>
            </w:r>
          </w:p>
        </w:tc>
        <w:tc>
          <w:tcPr>
            <w:tcW w:w="1279" w:type="pct"/>
            <w:tcBorders>
              <w:top w:val="single" w:sz="4" w:space="0" w:color="auto"/>
              <w:bottom w:val="single" w:sz="4" w:space="0" w:color="auto"/>
              <w:right w:val="single" w:sz="4" w:space="0" w:color="auto"/>
            </w:tcBorders>
            <w:vAlign w:val="center"/>
            <w:hideMark/>
          </w:tcPr>
          <w:p w14:paraId="363F481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20-29 years</w:t>
            </w:r>
          </w:p>
        </w:tc>
        <w:tc>
          <w:tcPr>
            <w:tcW w:w="874" w:type="pct"/>
            <w:tcBorders>
              <w:top w:val="single" w:sz="4" w:space="0" w:color="auto"/>
              <w:bottom w:val="single" w:sz="4" w:space="0" w:color="auto"/>
              <w:right w:val="single" w:sz="4" w:space="0" w:color="auto"/>
            </w:tcBorders>
            <w:vAlign w:val="center"/>
            <w:hideMark/>
          </w:tcPr>
          <w:p w14:paraId="34BE9139"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42</w:t>
            </w:r>
          </w:p>
        </w:tc>
        <w:tc>
          <w:tcPr>
            <w:tcW w:w="905" w:type="pct"/>
            <w:tcBorders>
              <w:top w:val="single" w:sz="4" w:space="0" w:color="auto"/>
              <w:bottom w:val="single" w:sz="4" w:space="0" w:color="auto"/>
            </w:tcBorders>
            <w:vAlign w:val="center"/>
            <w:hideMark/>
          </w:tcPr>
          <w:p w14:paraId="0DD607E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15.8%</w:t>
            </w:r>
          </w:p>
        </w:tc>
      </w:tr>
      <w:tr w:rsidR="00F86953" w14:paraId="0A8A14E3" w14:textId="77777777">
        <w:trPr>
          <w:tblCellSpacing w:w="15" w:type="dxa"/>
        </w:trPr>
        <w:tc>
          <w:tcPr>
            <w:tcW w:w="1841" w:type="pct"/>
            <w:tcBorders>
              <w:right w:val="single" w:sz="4" w:space="0" w:color="auto"/>
            </w:tcBorders>
            <w:vAlign w:val="center"/>
            <w:hideMark/>
          </w:tcPr>
          <w:p w14:paraId="7FD553E6" w14:textId="77777777" w:rsidR="00F86953" w:rsidRDefault="00F86953">
            <w:pPr>
              <w:jc w:val="both"/>
              <w:rPr>
                <w:rFonts w:ascii="Times New Roman" w:hAnsi="Times New Roman" w:cs="Times New Roman"/>
                <w:sz w:val="28"/>
                <w:szCs w:val="28"/>
              </w:rPr>
            </w:pPr>
          </w:p>
        </w:tc>
        <w:tc>
          <w:tcPr>
            <w:tcW w:w="1279" w:type="pct"/>
            <w:tcBorders>
              <w:right w:val="single" w:sz="4" w:space="0" w:color="auto"/>
            </w:tcBorders>
            <w:vAlign w:val="center"/>
            <w:hideMark/>
          </w:tcPr>
          <w:p w14:paraId="3600892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30-39 years</w:t>
            </w:r>
          </w:p>
        </w:tc>
        <w:tc>
          <w:tcPr>
            <w:tcW w:w="874" w:type="pct"/>
            <w:tcBorders>
              <w:right w:val="single" w:sz="4" w:space="0" w:color="auto"/>
            </w:tcBorders>
            <w:vAlign w:val="center"/>
            <w:hideMark/>
          </w:tcPr>
          <w:p w14:paraId="4D9B6F7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110</w:t>
            </w:r>
          </w:p>
        </w:tc>
        <w:tc>
          <w:tcPr>
            <w:tcW w:w="905" w:type="pct"/>
            <w:vAlign w:val="center"/>
            <w:hideMark/>
          </w:tcPr>
          <w:p w14:paraId="5F102C8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41.5%</w:t>
            </w:r>
          </w:p>
        </w:tc>
      </w:tr>
      <w:tr w:rsidR="00F86953" w14:paraId="6AA7DD78" w14:textId="77777777">
        <w:trPr>
          <w:tblCellSpacing w:w="15" w:type="dxa"/>
        </w:trPr>
        <w:tc>
          <w:tcPr>
            <w:tcW w:w="1841" w:type="pct"/>
            <w:tcBorders>
              <w:top w:val="single" w:sz="4" w:space="0" w:color="auto"/>
              <w:right w:val="single" w:sz="4" w:space="0" w:color="auto"/>
            </w:tcBorders>
            <w:vAlign w:val="center"/>
            <w:hideMark/>
          </w:tcPr>
          <w:p w14:paraId="6E4FFF03" w14:textId="77777777" w:rsidR="00F86953" w:rsidRDefault="00F86953">
            <w:pPr>
              <w:jc w:val="both"/>
              <w:rPr>
                <w:rFonts w:ascii="Times New Roman" w:hAnsi="Times New Roman" w:cs="Times New Roman"/>
                <w:sz w:val="28"/>
                <w:szCs w:val="28"/>
              </w:rPr>
            </w:pPr>
          </w:p>
        </w:tc>
        <w:tc>
          <w:tcPr>
            <w:tcW w:w="1279" w:type="pct"/>
            <w:tcBorders>
              <w:top w:val="single" w:sz="4" w:space="0" w:color="auto"/>
              <w:right w:val="single" w:sz="4" w:space="0" w:color="auto"/>
            </w:tcBorders>
            <w:vAlign w:val="center"/>
            <w:hideMark/>
          </w:tcPr>
          <w:p w14:paraId="0DF6F8E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40-49 years</w:t>
            </w:r>
          </w:p>
        </w:tc>
        <w:tc>
          <w:tcPr>
            <w:tcW w:w="874" w:type="pct"/>
            <w:tcBorders>
              <w:top w:val="single" w:sz="4" w:space="0" w:color="auto"/>
              <w:right w:val="single" w:sz="4" w:space="0" w:color="auto"/>
            </w:tcBorders>
            <w:vAlign w:val="center"/>
            <w:hideMark/>
          </w:tcPr>
          <w:p w14:paraId="56B83FB0"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87</w:t>
            </w:r>
          </w:p>
        </w:tc>
        <w:tc>
          <w:tcPr>
            <w:tcW w:w="905" w:type="pct"/>
            <w:tcBorders>
              <w:top w:val="single" w:sz="4" w:space="0" w:color="auto"/>
            </w:tcBorders>
            <w:vAlign w:val="center"/>
            <w:hideMark/>
          </w:tcPr>
          <w:p w14:paraId="7570277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32.8%</w:t>
            </w:r>
          </w:p>
        </w:tc>
      </w:tr>
      <w:tr w:rsidR="00F86953" w14:paraId="09C2B524" w14:textId="77777777">
        <w:trPr>
          <w:tblCellSpacing w:w="15" w:type="dxa"/>
        </w:trPr>
        <w:tc>
          <w:tcPr>
            <w:tcW w:w="1841" w:type="pct"/>
            <w:tcBorders>
              <w:top w:val="single" w:sz="4" w:space="0" w:color="auto"/>
              <w:right w:val="single" w:sz="4" w:space="0" w:color="auto"/>
            </w:tcBorders>
            <w:vAlign w:val="center"/>
            <w:hideMark/>
          </w:tcPr>
          <w:p w14:paraId="44E8368F" w14:textId="77777777" w:rsidR="00F86953" w:rsidRDefault="00F86953">
            <w:pPr>
              <w:jc w:val="both"/>
              <w:rPr>
                <w:rFonts w:ascii="Times New Roman" w:hAnsi="Times New Roman" w:cs="Times New Roman"/>
                <w:sz w:val="28"/>
                <w:szCs w:val="28"/>
              </w:rPr>
            </w:pPr>
          </w:p>
        </w:tc>
        <w:tc>
          <w:tcPr>
            <w:tcW w:w="1279" w:type="pct"/>
            <w:tcBorders>
              <w:top w:val="single" w:sz="4" w:space="0" w:color="auto"/>
              <w:right w:val="single" w:sz="4" w:space="0" w:color="auto"/>
            </w:tcBorders>
            <w:vAlign w:val="center"/>
            <w:hideMark/>
          </w:tcPr>
          <w:p w14:paraId="1B81F05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50+ years</w:t>
            </w:r>
          </w:p>
        </w:tc>
        <w:tc>
          <w:tcPr>
            <w:tcW w:w="874" w:type="pct"/>
            <w:tcBorders>
              <w:top w:val="single" w:sz="4" w:space="0" w:color="auto"/>
              <w:right w:val="single" w:sz="4" w:space="0" w:color="auto"/>
            </w:tcBorders>
            <w:vAlign w:val="center"/>
            <w:hideMark/>
          </w:tcPr>
          <w:p w14:paraId="62EE95D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26</w:t>
            </w:r>
          </w:p>
        </w:tc>
        <w:tc>
          <w:tcPr>
            <w:tcW w:w="905" w:type="pct"/>
            <w:tcBorders>
              <w:top w:val="single" w:sz="4" w:space="0" w:color="auto"/>
            </w:tcBorders>
            <w:vAlign w:val="center"/>
            <w:hideMark/>
          </w:tcPr>
          <w:p w14:paraId="75F66D0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9.9%</w:t>
            </w:r>
          </w:p>
        </w:tc>
      </w:tr>
      <w:tr w:rsidR="00F86953" w14:paraId="1FA4217A" w14:textId="77777777">
        <w:trPr>
          <w:tblCellSpacing w:w="15" w:type="dxa"/>
        </w:trPr>
        <w:tc>
          <w:tcPr>
            <w:tcW w:w="1841" w:type="pct"/>
            <w:tcBorders>
              <w:top w:val="single" w:sz="4" w:space="0" w:color="auto"/>
              <w:right w:val="single" w:sz="4" w:space="0" w:color="auto"/>
            </w:tcBorders>
            <w:vAlign w:val="center"/>
            <w:hideMark/>
          </w:tcPr>
          <w:p w14:paraId="0DABCDB8"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Managerial Level</w:t>
            </w:r>
          </w:p>
        </w:tc>
        <w:tc>
          <w:tcPr>
            <w:tcW w:w="1279" w:type="pct"/>
            <w:tcBorders>
              <w:top w:val="single" w:sz="4" w:space="0" w:color="auto"/>
              <w:right w:val="single" w:sz="4" w:space="0" w:color="auto"/>
            </w:tcBorders>
            <w:vAlign w:val="center"/>
            <w:hideMark/>
          </w:tcPr>
          <w:p w14:paraId="12FFC2B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Supervisor</w:t>
            </w:r>
          </w:p>
        </w:tc>
        <w:tc>
          <w:tcPr>
            <w:tcW w:w="874" w:type="pct"/>
            <w:tcBorders>
              <w:top w:val="single" w:sz="4" w:space="0" w:color="auto"/>
              <w:right w:val="single" w:sz="4" w:space="0" w:color="auto"/>
            </w:tcBorders>
            <w:vAlign w:val="center"/>
            <w:hideMark/>
          </w:tcPr>
          <w:p w14:paraId="78DCD8A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103</w:t>
            </w:r>
          </w:p>
        </w:tc>
        <w:tc>
          <w:tcPr>
            <w:tcW w:w="905" w:type="pct"/>
            <w:tcBorders>
              <w:top w:val="single" w:sz="4" w:space="0" w:color="auto"/>
            </w:tcBorders>
            <w:vAlign w:val="center"/>
            <w:hideMark/>
          </w:tcPr>
          <w:p w14:paraId="4B6FEB56"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38.9%</w:t>
            </w:r>
          </w:p>
        </w:tc>
      </w:tr>
      <w:tr w:rsidR="00F86953" w14:paraId="63389B99" w14:textId="77777777">
        <w:trPr>
          <w:tblCellSpacing w:w="15" w:type="dxa"/>
        </w:trPr>
        <w:tc>
          <w:tcPr>
            <w:tcW w:w="1841" w:type="pct"/>
            <w:tcBorders>
              <w:top w:val="single" w:sz="4" w:space="0" w:color="auto"/>
              <w:bottom w:val="single" w:sz="4" w:space="0" w:color="auto"/>
              <w:right w:val="single" w:sz="4" w:space="0" w:color="auto"/>
            </w:tcBorders>
            <w:vAlign w:val="center"/>
            <w:hideMark/>
          </w:tcPr>
          <w:p w14:paraId="76A519FC" w14:textId="77777777" w:rsidR="00F86953" w:rsidRDefault="00F86953">
            <w:pPr>
              <w:jc w:val="both"/>
              <w:rPr>
                <w:rFonts w:ascii="Times New Roman" w:hAnsi="Times New Roman" w:cs="Times New Roman"/>
                <w:sz w:val="28"/>
                <w:szCs w:val="28"/>
              </w:rPr>
            </w:pPr>
          </w:p>
        </w:tc>
        <w:tc>
          <w:tcPr>
            <w:tcW w:w="1279" w:type="pct"/>
            <w:tcBorders>
              <w:top w:val="single" w:sz="4" w:space="0" w:color="auto"/>
              <w:bottom w:val="single" w:sz="4" w:space="0" w:color="auto"/>
              <w:right w:val="single" w:sz="4" w:space="0" w:color="auto"/>
            </w:tcBorders>
            <w:vAlign w:val="center"/>
            <w:hideMark/>
          </w:tcPr>
          <w:p w14:paraId="36E2E27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Middle Manager</w:t>
            </w:r>
          </w:p>
        </w:tc>
        <w:tc>
          <w:tcPr>
            <w:tcW w:w="874" w:type="pct"/>
            <w:tcBorders>
              <w:top w:val="single" w:sz="4" w:space="0" w:color="auto"/>
              <w:bottom w:val="single" w:sz="4" w:space="0" w:color="auto"/>
              <w:right w:val="single" w:sz="4" w:space="0" w:color="auto"/>
            </w:tcBorders>
            <w:vAlign w:val="center"/>
            <w:hideMark/>
          </w:tcPr>
          <w:p w14:paraId="3917BEA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122</w:t>
            </w:r>
          </w:p>
        </w:tc>
        <w:tc>
          <w:tcPr>
            <w:tcW w:w="905" w:type="pct"/>
            <w:tcBorders>
              <w:top w:val="single" w:sz="4" w:space="0" w:color="auto"/>
              <w:bottom w:val="single" w:sz="4" w:space="0" w:color="auto"/>
            </w:tcBorders>
            <w:vAlign w:val="center"/>
            <w:hideMark/>
          </w:tcPr>
          <w:p w14:paraId="5EFB214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46.0%</w:t>
            </w:r>
          </w:p>
        </w:tc>
      </w:tr>
      <w:tr w:rsidR="00F86953" w14:paraId="1E9373D1" w14:textId="77777777">
        <w:trPr>
          <w:tblCellSpacing w:w="15" w:type="dxa"/>
        </w:trPr>
        <w:tc>
          <w:tcPr>
            <w:tcW w:w="1841" w:type="pct"/>
            <w:tcBorders>
              <w:bottom w:val="single" w:sz="4" w:space="0" w:color="auto"/>
              <w:right w:val="single" w:sz="4" w:space="0" w:color="auto"/>
            </w:tcBorders>
            <w:vAlign w:val="center"/>
            <w:hideMark/>
          </w:tcPr>
          <w:p w14:paraId="0DB631A0" w14:textId="77777777" w:rsidR="00F86953" w:rsidRDefault="00F86953">
            <w:pPr>
              <w:jc w:val="both"/>
              <w:rPr>
                <w:rFonts w:ascii="Times New Roman" w:hAnsi="Times New Roman" w:cs="Times New Roman"/>
                <w:sz w:val="28"/>
                <w:szCs w:val="28"/>
              </w:rPr>
            </w:pPr>
          </w:p>
        </w:tc>
        <w:tc>
          <w:tcPr>
            <w:tcW w:w="1279" w:type="pct"/>
            <w:tcBorders>
              <w:bottom w:val="single" w:sz="4" w:space="0" w:color="auto"/>
              <w:right w:val="single" w:sz="4" w:space="0" w:color="auto"/>
            </w:tcBorders>
            <w:vAlign w:val="center"/>
            <w:hideMark/>
          </w:tcPr>
          <w:p w14:paraId="219A6FF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Senior Manager</w:t>
            </w:r>
          </w:p>
        </w:tc>
        <w:tc>
          <w:tcPr>
            <w:tcW w:w="874" w:type="pct"/>
            <w:tcBorders>
              <w:bottom w:val="single" w:sz="4" w:space="0" w:color="auto"/>
              <w:right w:val="single" w:sz="4" w:space="0" w:color="auto"/>
            </w:tcBorders>
            <w:vAlign w:val="center"/>
            <w:hideMark/>
          </w:tcPr>
          <w:p w14:paraId="3CC609F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40</w:t>
            </w:r>
          </w:p>
        </w:tc>
        <w:tc>
          <w:tcPr>
            <w:tcW w:w="905" w:type="pct"/>
            <w:tcBorders>
              <w:bottom w:val="single" w:sz="4" w:space="0" w:color="auto"/>
            </w:tcBorders>
            <w:vAlign w:val="center"/>
            <w:hideMark/>
          </w:tcPr>
          <w:p w14:paraId="1479C55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15.1%</w:t>
            </w:r>
          </w:p>
        </w:tc>
      </w:tr>
      <w:tr w:rsidR="00F86953" w14:paraId="29A657FC" w14:textId="77777777">
        <w:trPr>
          <w:tblCellSpacing w:w="15" w:type="dxa"/>
        </w:trPr>
        <w:tc>
          <w:tcPr>
            <w:tcW w:w="1841" w:type="pct"/>
            <w:tcBorders>
              <w:bottom w:val="single" w:sz="4" w:space="0" w:color="auto"/>
              <w:right w:val="single" w:sz="4" w:space="0" w:color="auto"/>
            </w:tcBorders>
            <w:vAlign w:val="center"/>
            <w:hideMark/>
          </w:tcPr>
          <w:p w14:paraId="19CEE608"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Organizational Tenure</w:t>
            </w:r>
          </w:p>
        </w:tc>
        <w:tc>
          <w:tcPr>
            <w:tcW w:w="1279" w:type="pct"/>
            <w:tcBorders>
              <w:bottom w:val="single" w:sz="4" w:space="0" w:color="auto"/>
              <w:right w:val="single" w:sz="4" w:space="0" w:color="auto"/>
            </w:tcBorders>
            <w:vAlign w:val="center"/>
            <w:hideMark/>
          </w:tcPr>
          <w:p w14:paraId="315B70D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1-3 years</w:t>
            </w:r>
          </w:p>
        </w:tc>
        <w:tc>
          <w:tcPr>
            <w:tcW w:w="874" w:type="pct"/>
            <w:tcBorders>
              <w:bottom w:val="single" w:sz="4" w:space="0" w:color="auto"/>
              <w:right w:val="single" w:sz="4" w:space="0" w:color="auto"/>
            </w:tcBorders>
            <w:vAlign w:val="center"/>
            <w:hideMark/>
          </w:tcPr>
          <w:p w14:paraId="1C058B5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68</w:t>
            </w:r>
          </w:p>
        </w:tc>
        <w:tc>
          <w:tcPr>
            <w:tcW w:w="905" w:type="pct"/>
            <w:tcBorders>
              <w:bottom w:val="single" w:sz="4" w:space="0" w:color="auto"/>
            </w:tcBorders>
            <w:vAlign w:val="center"/>
            <w:hideMark/>
          </w:tcPr>
          <w:p w14:paraId="1BBFD6F6"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25.7%</w:t>
            </w:r>
          </w:p>
        </w:tc>
      </w:tr>
      <w:tr w:rsidR="00F86953" w14:paraId="6C0BDF73" w14:textId="77777777">
        <w:trPr>
          <w:tblCellSpacing w:w="15" w:type="dxa"/>
        </w:trPr>
        <w:tc>
          <w:tcPr>
            <w:tcW w:w="1841" w:type="pct"/>
            <w:tcBorders>
              <w:right w:val="single" w:sz="4" w:space="0" w:color="auto"/>
            </w:tcBorders>
            <w:vAlign w:val="center"/>
            <w:hideMark/>
          </w:tcPr>
          <w:p w14:paraId="6D8A365C" w14:textId="77777777" w:rsidR="00F86953" w:rsidRDefault="00F86953">
            <w:pPr>
              <w:jc w:val="both"/>
              <w:rPr>
                <w:rFonts w:ascii="Times New Roman" w:hAnsi="Times New Roman" w:cs="Times New Roman"/>
                <w:sz w:val="28"/>
                <w:szCs w:val="28"/>
              </w:rPr>
            </w:pPr>
          </w:p>
        </w:tc>
        <w:tc>
          <w:tcPr>
            <w:tcW w:w="1279" w:type="pct"/>
            <w:tcBorders>
              <w:right w:val="single" w:sz="4" w:space="0" w:color="auto"/>
            </w:tcBorders>
            <w:vAlign w:val="center"/>
            <w:hideMark/>
          </w:tcPr>
          <w:p w14:paraId="6A546320"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4-7 years</w:t>
            </w:r>
          </w:p>
        </w:tc>
        <w:tc>
          <w:tcPr>
            <w:tcW w:w="874" w:type="pct"/>
            <w:tcBorders>
              <w:right w:val="single" w:sz="4" w:space="0" w:color="auto"/>
            </w:tcBorders>
            <w:vAlign w:val="center"/>
            <w:hideMark/>
          </w:tcPr>
          <w:p w14:paraId="426BBEA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102</w:t>
            </w:r>
          </w:p>
        </w:tc>
        <w:tc>
          <w:tcPr>
            <w:tcW w:w="905" w:type="pct"/>
            <w:vAlign w:val="center"/>
            <w:hideMark/>
          </w:tcPr>
          <w:p w14:paraId="3A7D17E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38.5%</w:t>
            </w:r>
          </w:p>
        </w:tc>
      </w:tr>
      <w:tr w:rsidR="00F86953" w14:paraId="0078C11B" w14:textId="77777777">
        <w:trPr>
          <w:tblCellSpacing w:w="15" w:type="dxa"/>
        </w:trPr>
        <w:tc>
          <w:tcPr>
            <w:tcW w:w="1841" w:type="pct"/>
            <w:tcBorders>
              <w:top w:val="single" w:sz="4" w:space="0" w:color="auto"/>
              <w:right w:val="single" w:sz="4" w:space="0" w:color="auto"/>
            </w:tcBorders>
            <w:vAlign w:val="center"/>
            <w:hideMark/>
          </w:tcPr>
          <w:p w14:paraId="1E881E63" w14:textId="77777777" w:rsidR="00F86953" w:rsidRDefault="00F86953">
            <w:pPr>
              <w:jc w:val="both"/>
              <w:rPr>
                <w:rFonts w:ascii="Times New Roman" w:hAnsi="Times New Roman" w:cs="Times New Roman"/>
                <w:sz w:val="28"/>
                <w:szCs w:val="28"/>
              </w:rPr>
            </w:pPr>
          </w:p>
        </w:tc>
        <w:tc>
          <w:tcPr>
            <w:tcW w:w="1279" w:type="pct"/>
            <w:tcBorders>
              <w:top w:val="single" w:sz="4" w:space="0" w:color="auto"/>
              <w:right w:val="single" w:sz="4" w:space="0" w:color="auto"/>
            </w:tcBorders>
            <w:vAlign w:val="center"/>
            <w:hideMark/>
          </w:tcPr>
          <w:p w14:paraId="67028D1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8-10 years</w:t>
            </w:r>
          </w:p>
        </w:tc>
        <w:tc>
          <w:tcPr>
            <w:tcW w:w="874" w:type="pct"/>
            <w:tcBorders>
              <w:top w:val="single" w:sz="4" w:space="0" w:color="auto"/>
              <w:right w:val="single" w:sz="4" w:space="0" w:color="auto"/>
            </w:tcBorders>
            <w:vAlign w:val="center"/>
            <w:hideMark/>
          </w:tcPr>
          <w:p w14:paraId="67EC608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58</w:t>
            </w:r>
          </w:p>
        </w:tc>
        <w:tc>
          <w:tcPr>
            <w:tcW w:w="905" w:type="pct"/>
            <w:tcBorders>
              <w:top w:val="single" w:sz="4" w:space="0" w:color="auto"/>
            </w:tcBorders>
            <w:vAlign w:val="center"/>
            <w:hideMark/>
          </w:tcPr>
          <w:p w14:paraId="723F464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21.9%</w:t>
            </w:r>
          </w:p>
        </w:tc>
      </w:tr>
      <w:tr w:rsidR="00F86953" w14:paraId="00D37875" w14:textId="77777777">
        <w:trPr>
          <w:tblCellSpacing w:w="15" w:type="dxa"/>
        </w:trPr>
        <w:tc>
          <w:tcPr>
            <w:tcW w:w="1841" w:type="pct"/>
            <w:tcBorders>
              <w:top w:val="single" w:sz="4" w:space="0" w:color="auto"/>
              <w:right w:val="single" w:sz="4" w:space="0" w:color="auto"/>
            </w:tcBorders>
            <w:vAlign w:val="center"/>
            <w:hideMark/>
          </w:tcPr>
          <w:p w14:paraId="3394E713" w14:textId="77777777" w:rsidR="00F86953" w:rsidRDefault="00F86953">
            <w:pPr>
              <w:jc w:val="both"/>
              <w:rPr>
                <w:rFonts w:ascii="Times New Roman" w:hAnsi="Times New Roman" w:cs="Times New Roman"/>
                <w:sz w:val="28"/>
                <w:szCs w:val="28"/>
              </w:rPr>
            </w:pPr>
          </w:p>
        </w:tc>
        <w:tc>
          <w:tcPr>
            <w:tcW w:w="1279" w:type="pct"/>
            <w:tcBorders>
              <w:top w:val="single" w:sz="4" w:space="0" w:color="auto"/>
              <w:right w:val="single" w:sz="4" w:space="0" w:color="auto"/>
            </w:tcBorders>
            <w:vAlign w:val="center"/>
            <w:hideMark/>
          </w:tcPr>
          <w:p w14:paraId="72719B9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11+ years</w:t>
            </w:r>
          </w:p>
        </w:tc>
        <w:tc>
          <w:tcPr>
            <w:tcW w:w="874" w:type="pct"/>
            <w:tcBorders>
              <w:top w:val="single" w:sz="4" w:space="0" w:color="auto"/>
              <w:right w:val="single" w:sz="4" w:space="0" w:color="auto"/>
            </w:tcBorders>
            <w:vAlign w:val="center"/>
            <w:hideMark/>
          </w:tcPr>
          <w:p w14:paraId="0B6A02F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37</w:t>
            </w:r>
          </w:p>
        </w:tc>
        <w:tc>
          <w:tcPr>
            <w:tcW w:w="905" w:type="pct"/>
            <w:tcBorders>
              <w:top w:val="single" w:sz="4" w:space="0" w:color="auto"/>
            </w:tcBorders>
            <w:vAlign w:val="center"/>
            <w:hideMark/>
          </w:tcPr>
          <w:p w14:paraId="7CFFEA7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14.0%</w:t>
            </w:r>
          </w:p>
        </w:tc>
      </w:tr>
      <w:tr w:rsidR="00F86953" w14:paraId="3DB9D9FB" w14:textId="77777777">
        <w:trPr>
          <w:tblCellSpacing w:w="15" w:type="dxa"/>
        </w:trPr>
        <w:tc>
          <w:tcPr>
            <w:tcW w:w="1841" w:type="pct"/>
            <w:tcBorders>
              <w:top w:val="single" w:sz="4" w:space="0" w:color="auto"/>
              <w:right w:val="single" w:sz="4" w:space="0" w:color="auto"/>
            </w:tcBorders>
            <w:vAlign w:val="center"/>
            <w:hideMark/>
          </w:tcPr>
          <w:p w14:paraId="4BC0D913"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Bank</w:t>
            </w:r>
          </w:p>
        </w:tc>
        <w:tc>
          <w:tcPr>
            <w:tcW w:w="1279" w:type="pct"/>
            <w:tcBorders>
              <w:top w:val="single" w:sz="4" w:space="0" w:color="auto"/>
              <w:right w:val="single" w:sz="4" w:space="0" w:color="auto"/>
            </w:tcBorders>
            <w:vAlign w:val="center"/>
            <w:hideMark/>
          </w:tcPr>
          <w:p w14:paraId="40548D10"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First Bank</w:t>
            </w:r>
          </w:p>
        </w:tc>
        <w:tc>
          <w:tcPr>
            <w:tcW w:w="874" w:type="pct"/>
            <w:tcBorders>
              <w:top w:val="single" w:sz="4" w:space="0" w:color="auto"/>
              <w:right w:val="single" w:sz="4" w:space="0" w:color="auto"/>
            </w:tcBorders>
            <w:vAlign w:val="center"/>
            <w:hideMark/>
          </w:tcPr>
          <w:p w14:paraId="06B477F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60</w:t>
            </w:r>
          </w:p>
        </w:tc>
        <w:tc>
          <w:tcPr>
            <w:tcW w:w="905" w:type="pct"/>
            <w:tcBorders>
              <w:top w:val="single" w:sz="4" w:space="0" w:color="auto"/>
            </w:tcBorders>
            <w:vAlign w:val="center"/>
            <w:hideMark/>
          </w:tcPr>
          <w:p w14:paraId="546B918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22.6%</w:t>
            </w:r>
          </w:p>
        </w:tc>
      </w:tr>
      <w:tr w:rsidR="00F86953" w14:paraId="06EC87CD" w14:textId="77777777">
        <w:trPr>
          <w:tblCellSpacing w:w="15" w:type="dxa"/>
        </w:trPr>
        <w:tc>
          <w:tcPr>
            <w:tcW w:w="1841" w:type="pct"/>
            <w:tcBorders>
              <w:top w:val="single" w:sz="4" w:space="0" w:color="auto"/>
              <w:right w:val="single" w:sz="4" w:space="0" w:color="auto"/>
            </w:tcBorders>
            <w:vAlign w:val="center"/>
            <w:hideMark/>
          </w:tcPr>
          <w:p w14:paraId="1DEC3D0A" w14:textId="77777777" w:rsidR="00F86953" w:rsidRDefault="00F86953">
            <w:pPr>
              <w:jc w:val="both"/>
              <w:rPr>
                <w:rFonts w:ascii="Times New Roman" w:hAnsi="Times New Roman" w:cs="Times New Roman"/>
                <w:sz w:val="28"/>
                <w:szCs w:val="28"/>
              </w:rPr>
            </w:pPr>
          </w:p>
        </w:tc>
        <w:tc>
          <w:tcPr>
            <w:tcW w:w="1279" w:type="pct"/>
            <w:tcBorders>
              <w:top w:val="single" w:sz="4" w:space="0" w:color="auto"/>
              <w:right w:val="single" w:sz="4" w:space="0" w:color="auto"/>
            </w:tcBorders>
            <w:vAlign w:val="center"/>
            <w:hideMark/>
          </w:tcPr>
          <w:p w14:paraId="0AEE6DB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Zenith Bank</w:t>
            </w:r>
          </w:p>
        </w:tc>
        <w:tc>
          <w:tcPr>
            <w:tcW w:w="874" w:type="pct"/>
            <w:tcBorders>
              <w:top w:val="single" w:sz="4" w:space="0" w:color="auto"/>
              <w:right w:val="single" w:sz="4" w:space="0" w:color="auto"/>
            </w:tcBorders>
            <w:vAlign w:val="center"/>
            <w:hideMark/>
          </w:tcPr>
          <w:p w14:paraId="77F3F17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52</w:t>
            </w:r>
          </w:p>
        </w:tc>
        <w:tc>
          <w:tcPr>
            <w:tcW w:w="905" w:type="pct"/>
            <w:tcBorders>
              <w:top w:val="single" w:sz="4" w:space="0" w:color="auto"/>
            </w:tcBorders>
            <w:vAlign w:val="center"/>
            <w:hideMark/>
          </w:tcPr>
          <w:p w14:paraId="6482BF2A"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19.6%</w:t>
            </w:r>
          </w:p>
        </w:tc>
      </w:tr>
      <w:tr w:rsidR="00F86953" w14:paraId="32AD4486" w14:textId="77777777">
        <w:trPr>
          <w:tblCellSpacing w:w="15" w:type="dxa"/>
        </w:trPr>
        <w:tc>
          <w:tcPr>
            <w:tcW w:w="1841" w:type="pct"/>
            <w:tcBorders>
              <w:top w:val="single" w:sz="4" w:space="0" w:color="auto"/>
              <w:bottom w:val="single" w:sz="4" w:space="0" w:color="auto"/>
              <w:right w:val="single" w:sz="4" w:space="0" w:color="auto"/>
            </w:tcBorders>
            <w:vAlign w:val="center"/>
            <w:hideMark/>
          </w:tcPr>
          <w:p w14:paraId="3B227946" w14:textId="77777777" w:rsidR="00F86953" w:rsidRDefault="00F86953">
            <w:pPr>
              <w:jc w:val="both"/>
              <w:rPr>
                <w:rFonts w:ascii="Times New Roman" w:hAnsi="Times New Roman" w:cs="Times New Roman"/>
                <w:sz w:val="28"/>
                <w:szCs w:val="28"/>
              </w:rPr>
            </w:pPr>
          </w:p>
        </w:tc>
        <w:tc>
          <w:tcPr>
            <w:tcW w:w="1279" w:type="pct"/>
            <w:tcBorders>
              <w:top w:val="single" w:sz="4" w:space="0" w:color="auto"/>
              <w:bottom w:val="single" w:sz="4" w:space="0" w:color="auto"/>
              <w:right w:val="single" w:sz="4" w:space="0" w:color="auto"/>
            </w:tcBorders>
            <w:vAlign w:val="center"/>
            <w:hideMark/>
          </w:tcPr>
          <w:p w14:paraId="349335F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GTBank</w:t>
            </w:r>
          </w:p>
        </w:tc>
        <w:tc>
          <w:tcPr>
            <w:tcW w:w="874" w:type="pct"/>
            <w:tcBorders>
              <w:top w:val="single" w:sz="4" w:space="0" w:color="auto"/>
              <w:bottom w:val="single" w:sz="4" w:space="0" w:color="auto"/>
              <w:right w:val="single" w:sz="4" w:space="0" w:color="auto"/>
            </w:tcBorders>
            <w:vAlign w:val="center"/>
            <w:hideMark/>
          </w:tcPr>
          <w:p w14:paraId="0E892B4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54</w:t>
            </w:r>
          </w:p>
        </w:tc>
        <w:tc>
          <w:tcPr>
            <w:tcW w:w="905" w:type="pct"/>
            <w:tcBorders>
              <w:top w:val="single" w:sz="4" w:space="0" w:color="auto"/>
              <w:bottom w:val="single" w:sz="4" w:space="0" w:color="auto"/>
            </w:tcBorders>
            <w:vAlign w:val="center"/>
            <w:hideMark/>
          </w:tcPr>
          <w:p w14:paraId="3F4E1CA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20.4%</w:t>
            </w:r>
          </w:p>
        </w:tc>
      </w:tr>
      <w:tr w:rsidR="00F86953" w14:paraId="49E17411" w14:textId="77777777">
        <w:trPr>
          <w:tblCellSpacing w:w="15" w:type="dxa"/>
        </w:trPr>
        <w:tc>
          <w:tcPr>
            <w:tcW w:w="1841" w:type="pct"/>
            <w:tcBorders>
              <w:right w:val="single" w:sz="4" w:space="0" w:color="auto"/>
            </w:tcBorders>
            <w:vAlign w:val="center"/>
            <w:hideMark/>
          </w:tcPr>
          <w:p w14:paraId="3C2AA212" w14:textId="77777777" w:rsidR="00F86953" w:rsidRDefault="00F86953">
            <w:pPr>
              <w:jc w:val="both"/>
              <w:rPr>
                <w:rFonts w:ascii="Times New Roman" w:hAnsi="Times New Roman" w:cs="Times New Roman"/>
                <w:sz w:val="28"/>
                <w:szCs w:val="28"/>
              </w:rPr>
            </w:pPr>
          </w:p>
        </w:tc>
        <w:tc>
          <w:tcPr>
            <w:tcW w:w="1279" w:type="pct"/>
            <w:tcBorders>
              <w:right w:val="single" w:sz="4" w:space="0" w:color="auto"/>
            </w:tcBorders>
            <w:vAlign w:val="center"/>
            <w:hideMark/>
          </w:tcPr>
          <w:p w14:paraId="4A985AC4"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UBA</w:t>
            </w:r>
          </w:p>
        </w:tc>
        <w:tc>
          <w:tcPr>
            <w:tcW w:w="874" w:type="pct"/>
            <w:tcBorders>
              <w:right w:val="single" w:sz="4" w:space="0" w:color="auto"/>
            </w:tcBorders>
            <w:vAlign w:val="center"/>
            <w:hideMark/>
          </w:tcPr>
          <w:p w14:paraId="51DEDCF4"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53</w:t>
            </w:r>
          </w:p>
        </w:tc>
        <w:tc>
          <w:tcPr>
            <w:tcW w:w="905" w:type="pct"/>
            <w:vAlign w:val="center"/>
            <w:hideMark/>
          </w:tcPr>
          <w:p w14:paraId="6DCF6EF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20.0%</w:t>
            </w:r>
          </w:p>
        </w:tc>
      </w:tr>
      <w:tr w:rsidR="00F86953" w14:paraId="0B5FB423" w14:textId="77777777">
        <w:trPr>
          <w:tblCellSpacing w:w="15" w:type="dxa"/>
        </w:trPr>
        <w:tc>
          <w:tcPr>
            <w:tcW w:w="1841" w:type="pct"/>
            <w:tcBorders>
              <w:top w:val="single" w:sz="4" w:space="0" w:color="auto"/>
              <w:right w:val="single" w:sz="4" w:space="0" w:color="auto"/>
            </w:tcBorders>
            <w:vAlign w:val="center"/>
            <w:hideMark/>
          </w:tcPr>
          <w:p w14:paraId="692E84C5" w14:textId="77777777" w:rsidR="00F86953" w:rsidRDefault="00F86953">
            <w:pPr>
              <w:jc w:val="both"/>
              <w:rPr>
                <w:rFonts w:ascii="Times New Roman" w:hAnsi="Times New Roman" w:cs="Times New Roman"/>
                <w:sz w:val="28"/>
                <w:szCs w:val="28"/>
              </w:rPr>
            </w:pPr>
          </w:p>
        </w:tc>
        <w:tc>
          <w:tcPr>
            <w:tcW w:w="1279" w:type="pct"/>
            <w:tcBorders>
              <w:top w:val="single" w:sz="4" w:space="0" w:color="auto"/>
              <w:right w:val="single" w:sz="4" w:space="0" w:color="auto"/>
            </w:tcBorders>
            <w:vAlign w:val="center"/>
            <w:hideMark/>
          </w:tcPr>
          <w:p w14:paraId="38A8562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Access Bank</w:t>
            </w:r>
          </w:p>
        </w:tc>
        <w:tc>
          <w:tcPr>
            <w:tcW w:w="874" w:type="pct"/>
            <w:tcBorders>
              <w:top w:val="single" w:sz="4" w:space="0" w:color="auto"/>
              <w:right w:val="single" w:sz="4" w:space="0" w:color="auto"/>
            </w:tcBorders>
            <w:vAlign w:val="center"/>
            <w:hideMark/>
          </w:tcPr>
          <w:p w14:paraId="2CFEE9A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46</w:t>
            </w:r>
          </w:p>
        </w:tc>
        <w:tc>
          <w:tcPr>
            <w:tcW w:w="905" w:type="pct"/>
            <w:tcBorders>
              <w:top w:val="single" w:sz="4" w:space="0" w:color="auto"/>
            </w:tcBorders>
            <w:vAlign w:val="center"/>
            <w:hideMark/>
          </w:tcPr>
          <w:p w14:paraId="4A571F7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17.4%</w:t>
            </w:r>
          </w:p>
        </w:tc>
      </w:tr>
    </w:tbl>
    <w:p w14:paraId="718E5F41" w14:textId="77777777" w:rsidR="00F86953" w:rsidRDefault="00F86953">
      <w:pPr>
        <w:jc w:val="both"/>
        <w:rPr>
          <w:rFonts w:ascii="Times New Roman" w:hAnsi="Times New Roman" w:cs="Times New Roman"/>
          <w:b/>
          <w:bCs/>
          <w:sz w:val="28"/>
          <w:szCs w:val="28"/>
        </w:rPr>
      </w:pPr>
    </w:p>
    <w:p w14:paraId="7DE937D2"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Descriptive statistics and correlations </w:t>
      </w:r>
      <w:r>
        <w:rPr>
          <w:rFonts w:ascii="Times New Roman" w:hAnsi="Times New Roman" w:cs="Times New Roman"/>
          <w:sz w:val="28"/>
          <w:szCs w:val="28"/>
        </w:rPr>
        <w:t>Table 2 shows descriptive statistics and correlations. TQM implementation, employee engagement, and organizational performance were found to have moderately high mean scores (M = 3.68, SD = 0.62; M = 3.82, SD = 0.71; M = 3.54, SD = 0.69). The correlation between all of them was positive and significant (p &lt; .01), which was initial evidence of hypothesis validation.</w:t>
      </w:r>
    </w:p>
    <w:p w14:paraId="770F7330"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Table 2: Reliability, Correlations, and Descriptive Statistics.</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921"/>
        <w:gridCol w:w="582"/>
        <w:gridCol w:w="582"/>
        <w:gridCol w:w="550"/>
        <w:gridCol w:w="560"/>
        <w:gridCol w:w="657"/>
        <w:gridCol w:w="850"/>
        <w:gridCol w:w="840"/>
        <w:gridCol w:w="808"/>
      </w:tblGrid>
      <w:tr w:rsidR="00F86953" w14:paraId="20D591C4" w14:textId="77777777">
        <w:trPr>
          <w:tblHeader/>
          <w:tblCellSpacing w:w="15" w:type="dxa"/>
        </w:trPr>
        <w:tc>
          <w:tcPr>
            <w:tcW w:w="2082" w:type="pct"/>
            <w:tcBorders>
              <w:right w:val="single" w:sz="4" w:space="0" w:color="auto"/>
            </w:tcBorders>
            <w:vAlign w:val="center"/>
            <w:hideMark/>
          </w:tcPr>
          <w:p w14:paraId="26C2FB0A"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312" w:type="pct"/>
            <w:tcBorders>
              <w:right w:val="single" w:sz="4" w:space="0" w:color="auto"/>
            </w:tcBorders>
            <w:vAlign w:val="center"/>
            <w:hideMark/>
          </w:tcPr>
          <w:p w14:paraId="21257930"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M</w:t>
            </w:r>
          </w:p>
        </w:tc>
        <w:tc>
          <w:tcPr>
            <w:tcW w:w="312" w:type="pct"/>
            <w:tcBorders>
              <w:right w:val="single" w:sz="4" w:space="0" w:color="auto"/>
            </w:tcBorders>
            <w:vAlign w:val="center"/>
            <w:hideMark/>
          </w:tcPr>
          <w:p w14:paraId="35A6F603"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SD</w:t>
            </w:r>
          </w:p>
        </w:tc>
        <w:tc>
          <w:tcPr>
            <w:tcW w:w="228" w:type="pct"/>
            <w:vAlign w:val="center"/>
            <w:hideMark/>
          </w:tcPr>
          <w:p w14:paraId="6138A72E"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α</w:t>
            </w:r>
          </w:p>
        </w:tc>
        <w:tc>
          <w:tcPr>
            <w:tcW w:w="261" w:type="pct"/>
            <w:tcBorders>
              <w:left w:val="single" w:sz="4" w:space="0" w:color="auto"/>
            </w:tcBorders>
            <w:vAlign w:val="center"/>
            <w:hideMark/>
          </w:tcPr>
          <w:p w14:paraId="55728499"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CR</w:t>
            </w:r>
          </w:p>
        </w:tc>
        <w:tc>
          <w:tcPr>
            <w:tcW w:w="352" w:type="pct"/>
            <w:tcBorders>
              <w:left w:val="single" w:sz="4" w:space="0" w:color="auto"/>
            </w:tcBorders>
            <w:vAlign w:val="center"/>
            <w:hideMark/>
          </w:tcPr>
          <w:p w14:paraId="2555C936"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AVE</w:t>
            </w:r>
          </w:p>
        </w:tc>
        <w:tc>
          <w:tcPr>
            <w:tcW w:w="424" w:type="pct"/>
            <w:tcBorders>
              <w:left w:val="single" w:sz="4" w:space="0" w:color="auto"/>
              <w:right w:val="single" w:sz="4" w:space="0" w:color="auto"/>
            </w:tcBorders>
            <w:vAlign w:val="center"/>
            <w:hideMark/>
          </w:tcPr>
          <w:p w14:paraId="6714D81C"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1</w:t>
            </w:r>
          </w:p>
        </w:tc>
        <w:tc>
          <w:tcPr>
            <w:tcW w:w="424" w:type="pct"/>
            <w:tcBorders>
              <w:right w:val="single" w:sz="4" w:space="0" w:color="auto"/>
            </w:tcBorders>
            <w:vAlign w:val="center"/>
            <w:hideMark/>
          </w:tcPr>
          <w:p w14:paraId="25B38C8E"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2</w:t>
            </w:r>
          </w:p>
        </w:tc>
        <w:tc>
          <w:tcPr>
            <w:tcW w:w="424" w:type="pct"/>
            <w:vAlign w:val="center"/>
            <w:hideMark/>
          </w:tcPr>
          <w:p w14:paraId="7423EA04"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3</w:t>
            </w:r>
          </w:p>
        </w:tc>
      </w:tr>
      <w:tr w:rsidR="00F86953" w14:paraId="7CA99086" w14:textId="77777777">
        <w:trPr>
          <w:tblCellSpacing w:w="15" w:type="dxa"/>
        </w:trPr>
        <w:tc>
          <w:tcPr>
            <w:tcW w:w="2082" w:type="pct"/>
            <w:tcBorders>
              <w:top w:val="single" w:sz="4" w:space="0" w:color="auto"/>
              <w:right w:val="single" w:sz="4" w:space="0" w:color="auto"/>
            </w:tcBorders>
            <w:vAlign w:val="center"/>
            <w:hideMark/>
          </w:tcPr>
          <w:p w14:paraId="3C45DED9"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 TQM Practices</w:t>
            </w:r>
          </w:p>
        </w:tc>
        <w:tc>
          <w:tcPr>
            <w:tcW w:w="312" w:type="pct"/>
            <w:tcBorders>
              <w:top w:val="single" w:sz="4" w:space="0" w:color="auto"/>
              <w:right w:val="single" w:sz="4" w:space="0" w:color="auto"/>
            </w:tcBorders>
            <w:vAlign w:val="center"/>
            <w:hideMark/>
          </w:tcPr>
          <w:p w14:paraId="5F83121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3.68</w:t>
            </w:r>
          </w:p>
        </w:tc>
        <w:tc>
          <w:tcPr>
            <w:tcW w:w="312" w:type="pct"/>
            <w:tcBorders>
              <w:top w:val="single" w:sz="4" w:space="0" w:color="auto"/>
              <w:right w:val="single" w:sz="4" w:space="0" w:color="auto"/>
            </w:tcBorders>
            <w:vAlign w:val="center"/>
            <w:hideMark/>
          </w:tcPr>
          <w:p w14:paraId="4259950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0.62</w:t>
            </w:r>
          </w:p>
        </w:tc>
        <w:tc>
          <w:tcPr>
            <w:tcW w:w="228" w:type="pct"/>
            <w:tcBorders>
              <w:top w:val="single" w:sz="4" w:space="0" w:color="auto"/>
            </w:tcBorders>
            <w:vAlign w:val="center"/>
            <w:hideMark/>
          </w:tcPr>
          <w:p w14:paraId="01B63E5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0.89</w:t>
            </w:r>
          </w:p>
        </w:tc>
        <w:tc>
          <w:tcPr>
            <w:tcW w:w="261" w:type="pct"/>
            <w:tcBorders>
              <w:top w:val="single" w:sz="4" w:space="0" w:color="auto"/>
              <w:left w:val="single" w:sz="4" w:space="0" w:color="auto"/>
            </w:tcBorders>
            <w:vAlign w:val="center"/>
            <w:hideMark/>
          </w:tcPr>
          <w:p w14:paraId="4782C74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352" w:type="pct"/>
            <w:tcBorders>
              <w:top w:val="single" w:sz="4" w:space="0" w:color="auto"/>
              <w:left w:val="single" w:sz="4" w:space="0" w:color="auto"/>
            </w:tcBorders>
            <w:vAlign w:val="center"/>
            <w:hideMark/>
          </w:tcPr>
          <w:p w14:paraId="7F22EA2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0.68</w:t>
            </w:r>
          </w:p>
        </w:tc>
        <w:tc>
          <w:tcPr>
            <w:tcW w:w="424" w:type="pct"/>
            <w:tcBorders>
              <w:top w:val="single" w:sz="4" w:space="0" w:color="auto"/>
              <w:left w:val="single" w:sz="4" w:space="0" w:color="auto"/>
              <w:right w:val="single" w:sz="4" w:space="0" w:color="auto"/>
            </w:tcBorders>
            <w:vAlign w:val="center"/>
            <w:hideMark/>
          </w:tcPr>
          <w:p w14:paraId="797E777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(0.82)</w:t>
            </w:r>
          </w:p>
        </w:tc>
        <w:tc>
          <w:tcPr>
            <w:tcW w:w="424" w:type="pct"/>
            <w:tcBorders>
              <w:top w:val="single" w:sz="4" w:space="0" w:color="auto"/>
              <w:right w:val="single" w:sz="4" w:space="0" w:color="auto"/>
            </w:tcBorders>
            <w:vAlign w:val="center"/>
            <w:hideMark/>
          </w:tcPr>
          <w:p w14:paraId="03BB10FE" w14:textId="77777777" w:rsidR="00F86953" w:rsidRDefault="00F86953">
            <w:pPr>
              <w:jc w:val="both"/>
              <w:rPr>
                <w:rFonts w:ascii="Times New Roman" w:hAnsi="Times New Roman" w:cs="Times New Roman"/>
                <w:sz w:val="28"/>
                <w:szCs w:val="28"/>
              </w:rPr>
            </w:pPr>
          </w:p>
        </w:tc>
        <w:tc>
          <w:tcPr>
            <w:tcW w:w="424" w:type="pct"/>
            <w:tcBorders>
              <w:top w:val="single" w:sz="4" w:space="0" w:color="auto"/>
            </w:tcBorders>
            <w:vAlign w:val="center"/>
            <w:hideMark/>
          </w:tcPr>
          <w:p w14:paraId="3A878943" w14:textId="77777777" w:rsidR="00F86953" w:rsidRDefault="00F86953">
            <w:pPr>
              <w:jc w:val="both"/>
              <w:rPr>
                <w:rFonts w:ascii="Times New Roman" w:hAnsi="Times New Roman" w:cs="Times New Roman"/>
                <w:sz w:val="28"/>
                <w:szCs w:val="28"/>
              </w:rPr>
            </w:pPr>
          </w:p>
        </w:tc>
      </w:tr>
      <w:tr w:rsidR="00F86953" w14:paraId="54F0D7EA" w14:textId="77777777">
        <w:trPr>
          <w:tblCellSpacing w:w="15" w:type="dxa"/>
        </w:trPr>
        <w:tc>
          <w:tcPr>
            <w:tcW w:w="2082" w:type="pct"/>
            <w:tcBorders>
              <w:top w:val="single" w:sz="4" w:space="0" w:color="auto"/>
              <w:right w:val="single" w:sz="4" w:space="0" w:color="auto"/>
            </w:tcBorders>
            <w:vAlign w:val="center"/>
            <w:hideMark/>
          </w:tcPr>
          <w:p w14:paraId="101A65E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2. Employee Engagement</w:t>
            </w:r>
          </w:p>
        </w:tc>
        <w:tc>
          <w:tcPr>
            <w:tcW w:w="312" w:type="pct"/>
            <w:tcBorders>
              <w:top w:val="single" w:sz="4" w:space="0" w:color="auto"/>
              <w:right w:val="single" w:sz="4" w:space="0" w:color="auto"/>
            </w:tcBorders>
            <w:vAlign w:val="center"/>
            <w:hideMark/>
          </w:tcPr>
          <w:p w14:paraId="5FC54209"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3.82</w:t>
            </w:r>
          </w:p>
        </w:tc>
        <w:tc>
          <w:tcPr>
            <w:tcW w:w="312" w:type="pct"/>
            <w:tcBorders>
              <w:top w:val="single" w:sz="4" w:space="0" w:color="auto"/>
              <w:right w:val="single" w:sz="4" w:space="0" w:color="auto"/>
            </w:tcBorders>
            <w:vAlign w:val="center"/>
            <w:hideMark/>
          </w:tcPr>
          <w:p w14:paraId="2D8346A9"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0.71</w:t>
            </w:r>
          </w:p>
        </w:tc>
        <w:tc>
          <w:tcPr>
            <w:tcW w:w="228" w:type="pct"/>
            <w:tcBorders>
              <w:top w:val="single" w:sz="4" w:space="0" w:color="auto"/>
            </w:tcBorders>
            <w:vAlign w:val="center"/>
            <w:hideMark/>
          </w:tcPr>
          <w:p w14:paraId="203A90B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261" w:type="pct"/>
            <w:tcBorders>
              <w:top w:val="single" w:sz="4" w:space="0" w:color="auto"/>
              <w:left w:val="single" w:sz="4" w:space="0" w:color="auto"/>
            </w:tcBorders>
            <w:vAlign w:val="center"/>
            <w:hideMark/>
          </w:tcPr>
          <w:p w14:paraId="01CFB094"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0.94</w:t>
            </w:r>
          </w:p>
        </w:tc>
        <w:tc>
          <w:tcPr>
            <w:tcW w:w="352" w:type="pct"/>
            <w:tcBorders>
              <w:top w:val="single" w:sz="4" w:space="0" w:color="auto"/>
              <w:left w:val="single" w:sz="4" w:space="0" w:color="auto"/>
            </w:tcBorders>
            <w:vAlign w:val="center"/>
            <w:hideMark/>
          </w:tcPr>
          <w:p w14:paraId="17B5D24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0.75</w:t>
            </w:r>
          </w:p>
        </w:tc>
        <w:tc>
          <w:tcPr>
            <w:tcW w:w="424" w:type="pct"/>
            <w:tcBorders>
              <w:top w:val="single" w:sz="4" w:space="0" w:color="auto"/>
              <w:left w:val="single" w:sz="4" w:space="0" w:color="auto"/>
              <w:right w:val="single" w:sz="4" w:space="0" w:color="auto"/>
            </w:tcBorders>
            <w:vAlign w:val="center"/>
            <w:hideMark/>
          </w:tcPr>
          <w:p w14:paraId="3551476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0.61**</w:t>
            </w:r>
          </w:p>
        </w:tc>
        <w:tc>
          <w:tcPr>
            <w:tcW w:w="424" w:type="pct"/>
            <w:tcBorders>
              <w:top w:val="single" w:sz="4" w:space="0" w:color="auto"/>
              <w:right w:val="single" w:sz="4" w:space="0" w:color="auto"/>
            </w:tcBorders>
            <w:vAlign w:val="center"/>
            <w:hideMark/>
          </w:tcPr>
          <w:p w14:paraId="0A2C7E0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(0.87)</w:t>
            </w:r>
          </w:p>
        </w:tc>
        <w:tc>
          <w:tcPr>
            <w:tcW w:w="424" w:type="pct"/>
            <w:tcBorders>
              <w:top w:val="single" w:sz="4" w:space="0" w:color="auto"/>
            </w:tcBorders>
            <w:vAlign w:val="center"/>
            <w:hideMark/>
          </w:tcPr>
          <w:p w14:paraId="67EB9CF2" w14:textId="77777777" w:rsidR="00F86953" w:rsidRDefault="00F86953">
            <w:pPr>
              <w:jc w:val="both"/>
              <w:rPr>
                <w:rFonts w:ascii="Times New Roman" w:hAnsi="Times New Roman" w:cs="Times New Roman"/>
                <w:sz w:val="28"/>
                <w:szCs w:val="28"/>
              </w:rPr>
            </w:pPr>
          </w:p>
        </w:tc>
      </w:tr>
      <w:tr w:rsidR="00F86953" w14:paraId="554CDF2C" w14:textId="77777777">
        <w:trPr>
          <w:tblCellSpacing w:w="15" w:type="dxa"/>
        </w:trPr>
        <w:tc>
          <w:tcPr>
            <w:tcW w:w="2082" w:type="pct"/>
            <w:tcBorders>
              <w:top w:val="single" w:sz="4" w:space="0" w:color="auto"/>
              <w:right w:val="single" w:sz="4" w:space="0" w:color="auto"/>
            </w:tcBorders>
            <w:vAlign w:val="center"/>
            <w:hideMark/>
          </w:tcPr>
          <w:p w14:paraId="36980A5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 Organizational Performance</w:t>
            </w:r>
          </w:p>
        </w:tc>
        <w:tc>
          <w:tcPr>
            <w:tcW w:w="312" w:type="pct"/>
            <w:tcBorders>
              <w:top w:val="single" w:sz="4" w:space="0" w:color="auto"/>
              <w:right w:val="single" w:sz="4" w:space="0" w:color="auto"/>
            </w:tcBorders>
            <w:vAlign w:val="center"/>
            <w:hideMark/>
          </w:tcPr>
          <w:p w14:paraId="01D19FC0"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3.54</w:t>
            </w:r>
          </w:p>
        </w:tc>
        <w:tc>
          <w:tcPr>
            <w:tcW w:w="312" w:type="pct"/>
            <w:tcBorders>
              <w:top w:val="single" w:sz="4" w:space="0" w:color="auto"/>
              <w:right w:val="single" w:sz="4" w:space="0" w:color="auto"/>
            </w:tcBorders>
            <w:vAlign w:val="center"/>
            <w:hideMark/>
          </w:tcPr>
          <w:p w14:paraId="61EA2AB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0.69</w:t>
            </w:r>
          </w:p>
        </w:tc>
        <w:tc>
          <w:tcPr>
            <w:tcW w:w="228" w:type="pct"/>
            <w:tcBorders>
              <w:top w:val="single" w:sz="4" w:space="0" w:color="auto"/>
            </w:tcBorders>
            <w:vAlign w:val="center"/>
            <w:hideMark/>
          </w:tcPr>
          <w:p w14:paraId="6F74AD0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0.90</w:t>
            </w:r>
          </w:p>
        </w:tc>
        <w:tc>
          <w:tcPr>
            <w:tcW w:w="261" w:type="pct"/>
            <w:tcBorders>
              <w:top w:val="single" w:sz="4" w:space="0" w:color="auto"/>
              <w:left w:val="single" w:sz="4" w:space="0" w:color="auto"/>
            </w:tcBorders>
            <w:vAlign w:val="center"/>
            <w:hideMark/>
          </w:tcPr>
          <w:p w14:paraId="6A1DF500"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0.93</w:t>
            </w:r>
          </w:p>
        </w:tc>
        <w:tc>
          <w:tcPr>
            <w:tcW w:w="352" w:type="pct"/>
            <w:tcBorders>
              <w:top w:val="single" w:sz="4" w:space="0" w:color="auto"/>
              <w:left w:val="single" w:sz="4" w:space="0" w:color="auto"/>
            </w:tcBorders>
            <w:vAlign w:val="center"/>
            <w:hideMark/>
          </w:tcPr>
          <w:p w14:paraId="1A4CE1B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0.70</w:t>
            </w:r>
          </w:p>
        </w:tc>
        <w:tc>
          <w:tcPr>
            <w:tcW w:w="424" w:type="pct"/>
            <w:tcBorders>
              <w:top w:val="single" w:sz="4" w:space="0" w:color="auto"/>
              <w:left w:val="single" w:sz="4" w:space="0" w:color="auto"/>
              <w:right w:val="single" w:sz="4" w:space="0" w:color="auto"/>
            </w:tcBorders>
            <w:vAlign w:val="center"/>
            <w:hideMark/>
          </w:tcPr>
          <w:p w14:paraId="127CAFE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0.58**</w:t>
            </w:r>
          </w:p>
        </w:tc>
        <w:tc>
          <w:tcPr>
            <w:tcW w:w="424" w:type="pct"/>
            <w:tcBorders>
              <w:top w:val="single" w:sz="4" w:space="0" w:color="auto"/>
              <w:right w:val="single" w:sz="4" w:space="0" w:color="auto"/>
            </w:tcBorders>
            <w:vAlign w:val="center"/>
            <w:hideMark/>
          </w:tcPr>
          <w:p w14:paraId="5474289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0.64**</w:t>
            </w:r>
          </w:p>
        </w:tc>
        <w:tc>
          <w:tcPr>
            <w:tcW w:w="424" w:type="pct"/>
            <w:tcBorders>
              <w:top w:val="single" w:sz="4" w:space="0" w:color="auto"/>
            </w:tcBorders>
            <w:vAlign w:val="center"/>
            <w:hideMark/>
          </w:tcPr>
          <w:p w14:paraId="07474C7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(0.84)</w:t>
            </w:r>
          </w:p>
        </w:tc>
      </w:tr>
    </w:tbl>
    <w:p w14:paraId="011A7D72" w14:textId="77777777" w:rsidR="00F86953" w:rsidRDefault="00F71FC0">
      <w:pPr>
        <w:jc w:val="both"/>
        <w:rPr>
          <w:rFonts w:ascii="Times New Roman" w:hAnsi="Times New Roman" w:cs="Times New Roman"/>
          <w:sz w:val="28"/>
          <w:szCs w:val="28"/>
        </w:rPr>
      </w:pPr>
      <w:r>
        <w:rPr>
          <w:rFonts w:ascii="Times New Roman" w:hAnsi="Times New Roman" w:cs="Times New Roman"/>
          <w:b/>
          <w:bCs/>
          <w:i/>
          <w:iCs/>
          <w:sz w:val="28"/>
          <w:szCs w:val="28"/>
        </w:rPr>
        <w:t xml:space="preserve">Note: </w:t>
      </w:r>
      <w:r>
        <w:rPr>
          <w:rFonts w:ascii="Times New Roman" w:hAnsi="Times New Roman" w:cs="Times New Roman"/>
          <w:i/>
          <w:iCs/>
          <w:sz w:val="28"/>
          <w:szCs w:val="28"/>
        </w:rPr>
        <w:t>N = 265. Where M = Mean; SD = Standard Deviation; a = Cronbachs Alpha; CR= Composite Reliability; AVE= Average Variance Extracted. The diagonal values (bold italics) are square root of AVE. ** p &lt;.01 (two-tailed).</w:t>
      </w:r>
    </w:p>
    <w:p w14:paraId="704B2573"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Common Method Bias</w:t>
      </w:r>
      <w:r>
        <w:rPr>
          <w:rFonts w:ascii="Times New Roman" w:hAnsi="Times New Roman" w:cs="Times New Roman"/>
          <w:sz w:val="28"/>
          <w:szCs w:val="28"/>
        </w:rPr>
        <w:t>: Common Method Bias: The single-factor test provided by Harman showed that the first factor accounted 36.8 percent of the variance below 50 percent mark (Podsakoff et al., 2012). The CLF method revealed that the addition of a common factor had a marginal significance in terms of model improvement (DR2 &lt; .02) with no significant change in path significance indicating that CMB does not pose a serious threat to the inference.</w:t>
      </w:r>
    </w:p>
    <w:p w14:paraId="0DE89EF9"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4.2 Measurement Model Assessment</w:t>
      </w:r>
    </w:p>
    <w:p w14:paraId="30276E94"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Reliability and Convergent Validity</w:t>
      </w:r>
      <w:r>
        <w:rPr>
          <w:rFonts w:ascii="Times New Roman" w:hAnsi="Times New Roman" w:cs="Times New Roman"/>
          <w:sz w:val="28"/>
          <w:szCs w:val="28"/>
        </w:rPr>
        <w:t>: Table 3 shows the results of the measurement model. Alpha of Cronbach was between 0.856 and 0.923 and composite was between 0.902 - 0.947 which are all above the 0.70 thresholds (Nunnally and Bernstein, 1994). The values of AVE measured between 0.657 and 0.789, which is higher than the 0.50 standard (Fornell and Larcker, 1981). All the loading values of the indicators were above 0.68 and significant (p &lt; 0.001) which justified reliability and convergent validity.</w:t>
      </w:r>
    </w:p>
    <w:p w14:paraId="73C9FF7A"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Table 3: Reliability and Convergent Validity Measurement Model.</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306"/>
        <w:gridCol w:w="729"/>
        <w:gridCol w:w="1581"/>
        <w:gridCol w:w="1523"/>
        <w:gridCol w:w="570"/>
        <w:gridCol w:w="641"/>
      </w:tblGrid>
      <w:tr w:rsidR="00F86953" w14:paraId="6C32F61A" w14:textId="77777777">
        <w:trPr>
          <w:tblHeader/>
          <w:tblCellSpacing w:w="15" w:type="dxa"/>
        </w:trPr>
        <w:tc>
          <w:tcPr>
            <w:tcW w:w="2300" w:type="pct"/>
            <w:tcBorders>
              <w:right w:val="single" w:sz="4" w:space="0" w:color="auto"/>
            </w:tcBorders>
            <w:vAlign w:val="center"/>
            <w:hideMark/>
          </w:tcPr>
          <w:p w14:paraId="275AD1C0"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Construct</w:t>
            </w:r>
          </w:p>
        </w:tc>
        <w:tc>
          <w:tcPr>
            <w:tcW w:w="373" w:type="pct"/>
            <w:vAlign w:val="center"/>
            <w:hideMark/>
          </w:tcPr>
          <w:p w14:paraId="622D71EA"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Items</w:t>
            </w:r>
          </w:p>
        </w:tc>
        <w:tc>
          <w:tcPr>
            <w:tcW w:w="850" w:type="pct"/>
            <w:tcBorders>
              <w:left w:val="single" w:sz="4" w:space="0" w:color="auto"/>
              <w:right w:val="single" w:sz="4" w:space="0" w:color="auto"/>
            </w:tcBorders>
            <w:vAlign w:val="center"/>
            <w:hideMark/>
          </w:tcPr>
          <w:p w14:paraId="0477FC92"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Loadings Range</w:t>
            </w:r>
          </w:p>
        </w:tc>
        <w:tc>
          <w:tcPr>
            <w:tcW w:w="819" w:type="pct"/>
            <w:vAlign w:val="center"/>
            <w:hideMark/>
          </w:tcPr>
          <w:p w14:paraId="0A21295C"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Cronbach's α</w:t>
            </w:r>
          </w:p>
        </w:tc>
        <w:tc>
          <w:tcPr>
            <w:tcW w:w="232" w:type="pct"/>
            <w:tcBorders>
              <w:left w:val="single" w:sz="4" w:space="0" w:color="auto"/>
              <w:right w:val="single" w:sz="4" w:space="0" w:color="auto"/>
            </w:tcBorders>
            <w:vAlign w:val="center"/>
            <w:hideMark/>
          </w:tcPr>
          <w:p w14:paraId="353C6A5E"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CR</w:t>
            </w:r>
          </w:p>
        </w:tc>
        <w:tc>
          <w:tcPr>
            <w:tcW w:w="313" w:type="pct"/>
            <w:vAlign w:val="center"/>
            <w:hideMark/>
          </w:tcPr>
          <w:p w14:paraId="69C9579C"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AVE</w:t>
            </w:r>
          </w:p>
        </w:tc>
      </w:tr>
      <w:tr w:rsidR="00F86953" w14:paraId="01290DFB" w14:textId="77777777">
        <w:trPr>
          <w:tblCellSpacing w:w="15" w:type="dxa"/>
        </w:trPr>
        <w:tc>
          <w:tcPr>
            <w:tcW w:w="2300" w:type="pct"/>
            <w:tcBorders>
              <w:top w:val="single" w:sz="4" w:space="0" w:color="auto"/>
              <w:right w:val="single" w:sz="4" w:space="0" w:color="auto"/>
            </w:tcBorders>
            <w:vAlign w:val="center"/>
            <w:hideMark/>
          </w:tcPr>
          <w:p w14:paraId="7A183C00"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TQM Practices</w:t>
            </w:r>
            <w:r>
              <w:rPr>
                <w:rFonts w:ascii="Times New Roman" w:hAnsi="Times New Roman" w:cs="Times New Roman"/>
                <w:sz w:val="28"/>
                <w:szCs w:val="28"/>
              </w:rPr>
              <w:t xml:space="preserve"> (Second-order formative)</w:t>
            </w:r>
          </w:p>
        </w:tc>
        <w:tc>
          <w:tcPr>
            <w:tcW w:w="373" w:type="pct"/>
            <w:tcBorders>
              <w:top w:val="single" w:sz="4" w:space="0" w:color="auto"/>
            </w:tcBorders>
            <w:vAlign w:val="center"/>
            <w:hideMark/>
          </w:tcPr>
          <w:p w14:paraId="0EC2D63F" w14:textId="77777777" w:rsidR="00F86953" w:rsidRDefault="00F86953">
            <w:pPr>
              <w:jc w:val="both"/>
              <w:rPr>
                <w:rFonts w:ascii="Times New Roman" w:hAnsi="Times New Roman" w:cs="Times New Roman"/>
                <w:sz w:val="28"/>
                <w:szCs w:val="28"/>
              </w:rPr>
            </w:pPr>
          </w:p>
        </w:tc>
        <w:tc>
          <w:tcPr>
            <w:tcW w:w="850" w:type="pct"/>
            <w:tcBorders>
              <w:top w:val="single" w:sz="4" w:space="0" w:color="auto"/>
              <w:left w:val="single" w:sz="4" w:space="0" w:color="auto"/>
              <w:right w:val="single" w:sz="4" w:space="0" w:color="auto"/>
            </w:tcBorders>
            <w:vAlign w:val="center"/>
            <w:hideMark/>
          </w:tcPr>
          <w:p w14:paraId="63A1E74E" w14:textId="77777777" w:rsidR="00F86953" w:rsidRDefault="00F86953">
            <w:pPr>
              <w:jc w:val="both"/>
              <w:rPr>
                <w:rFonts w:ascii="Times New Roman" w:hAnsi="Times New Roman" w:cs="Times New Roman"/>
                <w:sz w:val="28"/>
                <w:szCs w:val="28"/>
              </w:rPr>
            </w:pPr>
          </w:p>
        </w:tc>
        <w:tc>
          <w:tcPr>
            <w:tcW w:w="819" w:type="pct"/>
            <w:tcBorders>
              <w:top w:val="single" w:sz="4" w:space="0" w:color="auto"/>
            </w:tcBorders>
            <w:vAlign w:val="center"/>
            <w:hideMark/>
          </w:tcPr>
          <w:p w14:paraId="553392EC" w14:textId="77777777" w:rsidR="00F86953" w:rsidRDefault="00F86953">
            <w:pPr>
              <w:jc w:val="both"/>
              <w:rPr>
                <w:rFonts w:ascii="Times New Roman" w:hAnsi="Times New Roman" w:cs="Times New Roman"/>
                <w:sz w:val="28"/>
                <w:szCs w:val="28"/>
              </w:rPr>
            </w:pPr>
          </w:p>
        </w:tc>
        <w:tc>
          <w:tcPr>
            <w:tcW w:w="232" w:type="pct"/>
            <w:tcBorders>
              <w:top w:val="single" w:sz="4" w:space="0" w:color="auto"/>
              <w:left w:val="single" w:sz="4" w:space="0" w:color="auto"/>
              <w:right w:val="single" w:sz="4" w:space="0" w:color="auto"/>
            </w:tcBorders>
            <w:vAlign w:val="center"/>
            <w:hideMark/>
          </w:tcPr>
          <w:p w14:paraId="36983DAE" w14:textId="77777777" w:rsidR="00F86953" w:rsidRDefault="00F86953">
            <w:pPr>
              <w:jc w:val="both"/>
              <w:rPr>
                <w:rFonts w:ascii="Times New Roman" w:hAnsi="Times New Roman" w:cs="Times New Roman"/>
                <w:sz w:val="28"/>
                <w:szCs w:val="28"/>
              </w:rPr>
            </w:pPr>
          </w:p>
        </w:tc>
        <w:tc>
          <w:tcPr>
            <w:tcW w:w="313" w:type="pct"/>
            <w:tcBorders>
              <w:top w:val="single" w:sz="4" w:space="0" w:color="auto"/>
            </w:tcBorders>
            <w:vAlign w:val="center"/>
            <w:hideMark/>
          </w:tcPr>
          <w:p w14:paraId="0982FCCE" w14:textId="77777777" w:rsidR="00F86953" w:rsidRDefault="00F86953">
            <w:pPr>
              <w:jc w:val="both"/>
              <w:rPr>
                <w:rFonts w:ascii="Times New Roman" w:hAnsi="Times New Roman" w:cs="Times New Roman"/>
                <w:sz w:val="28"/>
                <w:szCs w:val="28"/>
              </w:rPr>
            </w:pPr>
          </w:p>
        </w:tc>
      </w:tr>
      <w:tr w:rsidR="00F86953" w14:paraId="671EF3A4" w14:textId="77777777">
        <w:trPr>
          <w:tblCellSpacing w:w="15" w:type="dxa"/>
        </w:trPr>
        <w:tc>
          <w:tcPr>
            <w:tcW w:w="2300" w:type="pct"/>
            <w:tcBorders>
              <w:top w:val="single" w:sz="4" w:space="0" w:color="auto"/>
              <w:right w:val="single" w:sz="4" w:space="0" w:color="auto"/>
            </w:tcBorders>
            <w:vAlign w:val="center"/>
            <w:hideMark/>
          </w:tcPr>
          <w:p w14:paraId="1F0A10E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Top Management Commitment</w:t>
            </w:r>
          </w:p>
        </w:tc>
        <w:tc>
          <w:tcPr>
            <w:tcW w:w="373" w:type="pct"/>
            <w:tcBorders>
              <w:top w:val="single" w:sz="4" w:space="0" w:color="auto"/>
            </w:tcBorders>
            <w:vAlign w:val="center"/>
            <w:hideMark/>
          </w:tcPr>
          <w:p w14:paraId="60383D8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4</w:t>
            </w:r>
          </w:p>
        </w:tc>
        <w:tc>
          <w:tcPr>
            <w:tcW w:w="850" w:type="pct"/>
            <w:tcBorders>
              <w:top w:val="single" w:sz="4" w:space="0" w:color="auto"/>
              <w:left w:val="single" w:sz="4" w:space="0" w:color="auto"/>
              <w:right w:val="single" w:sz="4" w:space="0" w:color="auto"/>
            </w:tcBorders>
            <w:vAlign w:val="center"/>
            <w:hideMark/>
          </w:tcPr>
          <w:p w14:paraId="689D127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0.78-.89</w:t>
            </w:r>
          </w:p>
        </w:tc>
        <w:tc>
          <w:tcPr>
            <w:tcW w:w="819" w:type="pct"/>
            <w:tcBorders>
              <w:top w:val="single" w:sz="4" w:space="0" w:color="auto"/>
            </w:tcBorders>
            <w:vAlign w:val="center"/>
            <w:hideMark/>
          </w:tcPr>
          <w:p w14:paraId="6CDA13A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0.88</w:t>
            </w:r>
          </w:p>
        </w:tc>
        <w:tc>
          <w:tcPr>
            <w:tcW w:w="232" w:type="pct"/>
            <w:tcBorders>
              <w:top w:val="single" w:sz="4" w:space="0" w:color="auto"/>
              <w:left w:val="single" w:sz="4" w:space="0" w:color="auto"/>
              <w:right w:val="single" w:sz="4" w:space="0" w:color="auto"/>
            </w:tcBorders>
            <w:vAlign w:val="center"/>
            <w:hideMark/>
          </w:tcPr>
          <w:p w14:paraId="0531D9C0"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313" w:type="pct"/>
            <w:tcBorders>
              <w:top w:val="single" w:sz="4" w:space="0" w:color="auto"/>
            </w:tcBorders>
            <w:vAlign w:val="center"/>
            <w:hideMark/>
          </w:tcPr>
          <w:p w14:paraId="647B3EA4"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0.74</w:t>
            </w:r>
          </w:p>
        </w:tc>
      </w:tr>
      <w:tr w:rsidR="00F86953" w14:paraId="164747F3" w14:textId="77777777">
        <w:trPr>
          <w:tblCellSpacing w:w="15" w:type="dxa"/>
        </w:trPr>
        <w:tc>
          <w:tcPr>
            <w:tcW w:w="2300" w:type="pct"/>
            <w:tcBorders>
              <w:top w:val="single" w:sz="4" w:space="0" w:color="auto"/>
              <w:bottom w:val="single" w:sz="4" w:space="0" w:color="auto"/>
              <w:right w:val="single" w:sz="4" w:space="0" w:color="auto"/>
            </w:tcBorders>
            <w:vAlign w:val="center"/>
            <w:hideMark/>
          </w:tcPr>
          <w:p w14:paraId="2975C12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Customer Focus</w:t>
            </w:r>
          </w:p>
        </w:tc>
        <w:tc>
          <w:tcPr>
            <w:tcW w:w="373" w:type="pct"/>
            <w:tcBorders>
              <w:top w:val="single" w:sz="4" w:space="0" w:color="auto"/>
              <w:bottom w:val="single" w:sz="4" w:space="0" w:color="auto"/>
            </w:tcBorders>
            <w:vAlign w:val="center"/>
            <w:hideMark/>
          </w:tcPr>
          <w:p w14:paraId="257FE88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top w:val="single" w:sz="4" w:space="0" w:color="auto"/>
              <w:left w:val="single" w:sz="4" w:space="0" w:color="auto"/>
              <w:bottom w:val="single" w:sz="4" w:space="0" w:color="auto"/>
              <w:right w:val="single" w:sz="4" w:space="0" w:color="auto"/>
            </w:tcBorders>
            <w:vAlign w:val="center"/>
            <w:hideMark/>
          </w:tcPr>
          <w:p w14:paraId="3709854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0.81-.86</w:t>
            </w:r>
          </w:p>
        </w:tc>
        <w:tc>
          <w:tcPr>
            <w:tcW w:w="819" w:type="pct"/>
            <w:tcBorders>
              <w:top w:val="single" w:sz="4" w:space="0" w:color="auto"/>
              <w:bottom w:val="single" w:sz="4" w:space="0" w:color="auto"/>
            </w:tcBorders>
            <w:vAlign w:val="center"/>
            <w:hideMark/>
          </w:tcPr>
          <w:p w14:paraId="034B9C2A"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0.86</w:t>
            </w:r>
          </w:p>
        </w:tc>
        <w:tc>
          <w:tcPr>
            <w:tcW w:w="232" w:type="pct"/>
            <w:tcBorders>
              <w:top w:val="single" w:sz="4" w:space="0" w:color="auto"/>
              <w:left w:val="single" w:sz="4" w:space="0" w:color="auto"/>
              <w:bottom w:val="single" w:sz="4" w:space="0" w:color="auto"/>
              <w:right w:val="single" w:sz="4" w:space="0" w:color="auto"/>
            </w:tcBorders>
            <w:vAlign w:val="center"/>
            <w:hideMark/>
          </w:tcPr>
          <w:p w14:paraId="06B2ABC9"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0.91</w:t>
            </w:r>
          </w:p>
        </w:tc>
        <w:tc>
          <w:tcPr>
            <w:tcW w:w="313" w:type="pct"/>
            <w:tcBorders>
              <w:top w:val="single" w:sz="4" w:space="0" w:color="auto"/>
              <w:bottom w:val="single" w:sz="4" w:space="0" w:color="auto"/>
            </w:tcBorders>
            <w:vAlign w:val="center"/>
            <w:hideMark/>
          </w:tcPr>
          <w:p w14:paraId="0F74FE2A"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0.77</w:t>
            </w:r>
          </w:p>
        </w:tc>
      </w:tr>
      <w:tr w:rsidR="00F86953" w14:paraId="1AF1EE9D" w14:textId="77777777">
        <w:trPr>
          <w:tblCellSpacing w:w="15" w:type="dxa"/>
        </w:trPr>
        <w:tc>
          <w:tcPr>
            <w:tcW w:w="2300" w:type="pct"/>
            <w:tcBorders>
              <w:bottom w:val="single" w:sz="4" w:space="0" w:color="auto"/>
              <w:right w:val="single" w:sz="4" w:space="0" w:color="auto"/>
            </w:tcBorders>
            <w:vAlign w:val="center"/>
            <w:hideMark/>
          </w:tcPr>
          <w:p w14:paraId="479FF06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Employee Involvement</w:t>
            </w:r>
          </w:p>
        </w:tc>
        <w:tc>
          <w:tcPr>
            <w:tcW w:w="373" w:type="pct"/>
            <w:tcBorders>
              <w:bottom w:val="single" w:sz="4" w:space="0" w:color="auto"/>
            </w:tcBorders>
            <w:vAlign w:val="center"/>
            <w:hideMark/>
          </w:tcPr>
          <w:p w14:paraId="5DD7A88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4</w:t>
            </w:r>
          </w:p>
        </w:tc>
        <w:tc>
          <w:tcPr>
            <w:tcW w:w="850" w:type="pct"/>
            <w:tcBorders>
              <w:left w:val="single" w:sz="4" w:space="0" w:color="auto"/>
              <w:bottom w:val="single" w:sz="4" w:space="0" w:color="auto"/>
              <w:right w:val="single" w:sz="4" w:space="0" w:color="auto"/>
            </w:tcBorders>
            <w:vAlign w:val="center"/>
            <w:hideMark/>
          </w:tcPr>
          <w:p w14:paraId="35692F3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0.76-.88</w:t>
            </w:r>
          </w:p>
        </w:tc>
        <w:tc>
          <w:tcPr>
            <w:tcW w:w="819" w:type="pct"/>
            <w:tcBorders>
              <w:bottom w:val="single" w:sz="4" w:space="0" w:color="auto"/>
            </w:tcBorders>
            <w:vAlign w:val="center"/>
            <w:hideMark/>
          </w:tcPr>
          <w:p w14:paraId="1F461C1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0.87</w:t>
            </w:r>
          </w:p>
        </w:tc>
        <w:tc>
          <w:tcPr>
            <w:tcW w:w="232" w:type="pct"/>
            <w:tcBorders>
              <w:left w:val="single" w:sz="4" w:space="0" w:color="auto"/>
              <w:bottom w:val="single" w:sz="4" w:space="0" w:color="auto"/>
              <w:right w:val="single" w:sz="4" w:space="0" w:color="auto"/>
            </w:tcBorders>
            <w:vAlign w:val="center"/>
            <w:hideMark/>
          </w:tcPr>
          <w:p w14:paraId="5FB06B8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0.91</w:t>
            </w:r>
          </w:p>
        </w:tc>
        <w:tc>
          <w:tcPr>
            <w:tcW w:w="313" w:type="pct"/>
            <w:tcBorders>
              <w:bottom w:val="single" w:sz="4" w:space="0" w:color="auto"/>
            </w:tcBorders>
            <w:vAlign w:val="center"/>
            <w:hideMark/>
          </w:tcPr>
          <w:p w14:paraId="0E1A1DB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0.72</w:t>
            </w:r>
          </w:p>
        </w:tc>
      </w:tr>
      <w:tr w:rsidR="00F86953" w14:paraId="7435989D" w14:textId="77777777">
        <w:trPr>
          <w:tblCellSpacing w:w="15" w:type="dxa"/>
        </w:trPr>
        <w:tc>
          <w:tcPr>
            <w:tcW w:w="2300" w:type="pct"/>
            <w:tcBorders>
              <w:bottom w:val="single" w:sz="4" w:space="0" w:color="auto"/>
              <w:right w:val="single" w:sz="4" w:space="0" w:color="auto"/>
            </w:tcBorders>
            <w:vAlign w:val="center"/>
            <w:hideMark/>
          </w:tcPr>
          <w:p w14:paraId="4E5BB24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Continuous Improvement</w:t>
            </w:r>
          </w:p>
        </w:tc>
        <w:tc>
          <w:tcPr>
            <w:tcW w:w="373" w:type="pct"/>
            <w:tcBorders>
              <w:bottom w:val="single" w:sz="4" w:space="0" w:color="auto"/>
            </w:tcBorders>
            <w:vAlign w:val="center"/>
            <w:hideMark/>
          </w:tcPr>
          <w:p w14:paraId="2ED46029"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left w:val="single" w:sz="4" w:space="0" w:color="auto"/>
              <w:bottom w:val="single" w:sz="4" w:space="0" w:color="auto"/>
              <w:right w:val="single" w:sz="4" w:space="0" w:color="auto"/>
            </w:tcBorders>
            <w:vAlign w:val="center"/>
            <w:hideMark/>
          </w:tcPr>
          <w:p w14:paraId="2479C81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0.79-.85</w:t>
            </w:r>
          </w:p>
        </w:tc>
        <w:tc>
          <w:tcPr>
            <w:tcW w:w="819" w:type="pct"/>
            <w:tcBorders>
              <w:bottom w:val="single" w:sz="4" w:space="0" w:color="auto"/>
            </w:tcBorders>
            <w:vAlign w:val="center"/>
            <w:hideMark/>
          </w:tcPr>
          <w:p w14:paraId="6EFE8B06"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0.85</w:t>
            </w:r>
          </w:p>
        </w:tc>
        <w:tc>
          <w:tcPr>
            <w:tcW w:w="232" w:type="pct"/>
            <w:tcBorders>
              <w:left w:val="single" w:sz="4" w:space="0" w:color="auto"/>
              <w:bottom w:val="single" w:sz="4" w:space="0" w:color="auto"/>
              <w:right w:val="single" w:sz="4" w:space="0" w:color="auto"/>
            </w:tcBorders>
            <w:vAlign w:val="center"/>
            <w:hideMark/>
          </w:tcPr>
          <w:p w14:paraId="36284F8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0.90</w:t>
            </w:r>
          </w:p>
        </w:tc>
        <w:tc>
          <w:tcPr>
            <w:tcW w:w="313" w:type="pct"/>
            <w:tcBorders>
              <w:bottom w:val="single" w:sz="4" w:space="0" w:color="auto"/>
            </w:tcBorders>
            <w:vAlign w:val="center"/>
            <w:hideMark/>
          </w:tcPr>
          <w:p w14:paraId="437ED81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0.76</w:t>
            </w:r>
          </w:p>
        </w:tc>
      </w:tr>
      <w:tr w:rsidR="00F86953" w14:paraId="4CCDF369" w14:textId="77777777">
        <w:trPr>
          <w:tblCellSpacing w:w="15" w:type="dxa"/>
        </w:trPr>
        <w:tc>
          <w:tcPr>
            <w:tcW w:w="2300" w:type="pct"/>
            <w:tcBorders>
              <w:bottom w:val="single" w:sz="4" w:space="0" w:color="auto"/>
              <w:right w:val="single" w:sz="4" w:space="0" w:color="auto"/>
            </w:tcBorders>
            <w:vAlign w:val="center"/>
            <w:hideMark/>
          </w:tcPr>
          <w:p w14:paraId="472CB53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Process Management</w:t>
            </w:r>
          </w:p>
        </w:tc>
        <w:tc>
          <w:tcPr>
            <w:tcW w:w="373" w:type="pct"/>
            <w:tcBorders>
              <w:bottom w:val="single" w:sz="4" w:space="0" w:color="auto"/>
            </w:tcBorders>
            <w:vAlign w:val="center"/>
            <w:hideMark/>
          </w:tcPr>
          <w:p w14:paraId="19302A3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left w:val="single" w:sz="4" w:space="0" w:color="auto"/>
              <w:bottom w:val="single" w:sz="4" w:space="0" w:color="auto"/>
              <w:right w:val="single" w:sz="4" w:space="0" w:color="auto"/>
            </w:tcBorders>
            <w:vAlign w:val="center"/>
            <w:hideMark/>
          </w:tcPr>
          <w:p w14:paraId="67D12F4A"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0.77-.84</w:t>
            </w:r>
          </w:p>
        </w:tc>
        <w:tc>
          <w:tcPr>
            <w:tcW w:w="819" w:type="pct"/>
            <w:tcBorders>
              <w:bottom w:val="single" w:sz="4" w:space="0" w:color="auto"/>
            </w:tcBorders>
            <w:vAlign w:val="center"/>
            <w:hideMark/>
          </w:tcPr>
          <w:p w14:paraId="5F100E8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0.84</w:t>
            </w:r>
          </w:p>
        </w:tc>
        <w:tc>
          <w:tcPr>
            <w:tcW w:w="232" w:type="pct"/>
            <w:tcBorders>
              <w:left w:val="single" w:sz="4" w:space="0" w:color="auto"/>
              <w:bottom w:val="single" w:sz="4" w:space="0" w:color="auto"/>
              <w:right w:val="single" w:sz="4" w:space="0" w:color="auto"/>
            </w:tcBorders>
            <w:vAlign w:val="center"/>
            <w:hideMark/>
          </w:tcPr>
          <w:p w14:paraId="06098F4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0.89</w:t>
            </w:r>
          </w:p>
        </w:tc>
        <w:tc>
          <w:tcPr>
            <w:tcW w:w="313" w:type="pct"/>
            <w:tcBorders>
              <w:bottom w:val="single" w:sz="4" w:space="0" w:color="auto"/>
            </w:tcBorders>
            <w:vAlign w:val="center"/>
            <w:hideMark/>
          </w:tcPr>
          <w:p w14:paraId="37C99E6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0.73</w:t>
            </w:r>
          </w:p>
        </w:tc>
      </w:tr>
      <w:tr w:rsidR="00F86953" w14:paraId="0F777D9A" w14:textId="77777777">
        <w:trPr>
          <w:tblCellSpacing w:w="15" w:type="dxa"/>
        </w:trPr>
        <w:tc>
          <w:tcPr>
            <w:tcW w:w="2300" w:type="pct"/>
            <w:tcBorders>
              <w:bottom w:val="single" w:sz="4" w:space="0" w:color="auto"/>
              <w:right w:val="single" w:sz="4" w:space="0" w:color="auto"/>
            </w:tcBorders>
            <w:vAlign w:val="center"/>
            <w:hideMark/>
          </w:tcPr>
          <w:p w14:paraId="13FFECD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Training</w:t>
            </w:r>
          </w:p>
        </w:tc>
        <w:tc>
          <w:tcPr>
            <w:tcW w:w="373" w:type="pct"/>
            <w:tcBorders>
              <w:bottom w:val="single" w:sz="4" w:space="0" w:color="auto"/>
            </w:tcBorders>
            <w:vAlign w:val="center"/>
            <w:hideMark/>
          </w:tcPr>
          <w:p w14:paraId="5C2EE5C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4</w:t>
            </w:r>
          </w:p>
        </w:tc>
        <w:tc>
          <w:tcPr>
            <w:tcW w:w="850" w:type="pct"/>
            <w:tcBorders>
              <w:left w:val="single" w:sz="4" w:space="0" w:color="auto"/>
              <w:bottom w:val="single" w:sz="4" w:space="0" w:color="auto"/>
              <w:right w:val="single" w:sz="4" w:space="0" w:color="auto"/>
            </w:tcBorders>
            <w:vAlign w:val="center"/>
            <w:hideMark/>
          </w:tcPr>
          <w:p w14:paraId="0E32CB8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0.80-.87</w:t>
            </w:r>
          </w:p>
        </w:tc>
        <w:tc>
          <w:tcPr>
            <w:tcW w:w="819" w:type="pct"/>
            <w:tcBorders>
              <w:bottom w:val="single" w:sz="4" w:space="0" w:color="auto"/>
            </w:tcBorders>
            <w:vAlign w:val="center"/>
            <w:hideMark/>
          </w:tcPr>
          <w:p w14:paraId="4DB7D78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0.88</w:t>
            </w:r>
          </w:p>
        </w:tc>
        <w:tc>
          <w:tcPr>
            <w:tcW w:w="232" w:type="pct"/>
            <w:tcBorders>
              <w:left w:val="single" w:sz="4" w:space="0" w:color="auto"/>
              <w:bottom w:val="single" w:sz="4" w:space="0" w:color="auto"/>
              <w:right w:val="single" w:sz="4" w:space="0" w:color="auto"/>
            </w:tcBorders>
            <w:vAlign w:val="center"/>
            <w:hideMark/>
          </w:tcPr>
          <w:p w14:paraId="20D376A9"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313" w:type="pct"/>
            <w:tcBorders>
              <w:bottom w:val="single" w:sz="4" w:space="0" w:color="auto"/>
            </w:tcBorders>
            <w:vAlign w:val="center"/>
            <w:hideMark/>
          </w:tcPr>
          <w:p w14:paraId="6B7C027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0.75</w:t>
            </w:r>
          </w:p>
        </w:tc>
      </w:tr>
      <w:tr w:rsidR="00F86953" w14:paraId="35042EF8" w14:textId="77777777">
        <w:trPr>
          <w:tblCellSpacing w:w="15" w:type="dxa"/>
        </w:trPr>
        <w:tc>
          <w:tcPr>
            <w:tcW w:w="2300" w:type="pct"/>
            <w:tcBorders>
              <w:right w:val="single" w:sz="4" w:space="0" w:color="auto"/>
            </w:tcBorders>
            <w:vAlign w:val="center"/>
            <w:hideMark/>
          </w:tcPr>
          <w:p w14:paraId="761A45D9"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Information &amp; Analysis</w:t>
            </w:r>
          </w:p>
        </w:tc>
        <w:tc>
          <w:tcPr>
            <w:tcW w:w="373" w:type="pct"/>
            <w:vAlign w:val="center"/>
            <w:hideMark/>
          </w:tcPr>
          <w:p w14:paraId="68F68BE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left w:val="single" w:sz="4" w:space="0" w:color="auto"/>
              <w:right w:val="single" w:sz="4" w:space="0" w:color="auto"/>
            </w:tcBorders>
            <w:vAlign w:val="center"/>
            <w:hideMark/>
          </w:tcPr>
          <w:p w14:paraId="55629A66"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0.78-.83</w:t>
            </w:r>
          </w:p>
        </w:tc>
        <w:tc>
          <w:tcPr>
            <w:tcW w:w="819" w:type="pct"/>
            <w:vAlign w:val="center"/>
            <w:hideMark/>
          </w:tcPr>
          <w:p w14:paraId="42CA27B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0.83</w:t>
            </w:r>
          </w:p>
        </w:tc>
        <w:tc>
          <w:tcPr>
            <w:tcW w:w="232" w:type="pct"/>
            <w:tcBorders>
              <w:left w:val="single" w:sz="4" w:space="0" w:color="auto"/>
              <w:right w:val="single" w:sz="4" w:space="0" w:color="auto"/>
            </w:tcBorders>
            <w:vAlign w:val="center"/>
            <w:hideMark/>
          </w:tcPr>
          <w:p w14:paraId="6061E66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0.89</w:t>
            </w:r>
          </w:p>
        </w:tc>
        <w:tc>
          <w:tcPr>
            <w:tcW w:w="313" w:type="pct"/>
            <w:vAlign w:val="center"/>
            <w:hideMark/>
          </w:tcPr>
          <w:p w14:paraId="26D0D83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0.72</w:t>
            </w:r>
          </w:p>
        </w:tc>
      </w:tr>
      <w:tr w:rsidR="00F86953" w14:paraId="2798A7E1" w14:textId="77777777">
        <w:trPr>
          <w:tblCellSpacing w:w="15" w:type="dxa"/>
        </w:trPr>
        <w:tc>
          <w:tcPr>
            <w:tcW w:w="2300" w:type="pct"/>
            <w:tcBorders>
              <w:top w:val="single" w:sz="4" w:space="0" w:color="auto"/>
              <w:right w:val="single" w:sz="4" w:space="0" w:color="auto"/>
            </w:tcBorders>
            <w:vAlign w:val="center"/>
            <w:hideMark/>
          </w:tcPr>
          <w:p w14:paraId="7C8AAA45"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Overall TQM</w:t>
            </w:r>
          </w:p>
        </w:tc>
        <w:tc>
          <w:tcPr>
            <w:tcW w:w="373" w:type="pct"/>
            <w:tcBorders>
              <w:top w:val="single" w:sz="4" w:space="0" w:color="auto"/>
            </w:tcBorders>
            <w:vAlign w:val="center"/>
            <w:hideMark/>
          </w:tcPr>
          <w:p w14:paraId="6EB31286"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24</w:t>
            </w:r>
          </w:p>
        </w:tc>
        <w:tc>
          <w:tcPr>
            <w:tcW w:w="850" w:type="pct"/>
            <w:tcBorders>
              <w:top w:val="single" w:sz="4" w:space="0" w:color="auto"/>
              <w:left w:val="single" w:sz="4" w:space="0" w:color="auto"/>
              <w:right w:val="single" w:sz="4" w:space="0" w:color="auto"/>
            </w:tcBorders>
            <w:vAlign w:val="center"/>
            <w:hideMark/>
          </w:tcPr>
          <w:p w14:paraId="66DA897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w:t>
            </w:r>
          </w:p>
        </w:tc>
        <w:tc>
          <w:tcPr>
            <w:tcW w:w="819" w:type="pct"/>
            <w:tcBorders>
              <w:top w:val="single" w:sz="4" w:space="0" w:color="auto"/>
            </w:tcBorders>
            <w:vAlign w:val="center"/>
            <w:hideMark/>
          </w:tcPr>
          <w:p w14:paraId="68D7FAD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0.89</w:t>
            </w:r>
          </w:p>
        </w:tc>
        <w:tc>
          <w:tcPr>
            <w:tcW w:w="232" w:type="pct"/>
            <w:tcBorders>
              <w:top w:val="single" w:sz="4" w:space="0" w:color="auto"/>
              <w:left w:val="single" w:sz="4" w:space="0" w:color="auto"/>
              <w:right w:val="single" w:sz="4" w:space="0" w:color="auto"/>
            </w:tcBorders>
            <w:vAlign w:val="center"/>
            <w:hideMark/>
          </w:tcPr>
          <w:p w14:paraId="40BEB976"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313" w:type="pct"/>
            <w:tcBorders>
              <w:top w:val="single" w:sz="4" w:space="0" w:color="auto"/>
            </w:tcBorders>
            <w:vAlign w:val="center"/>
            <w:hideMark/>
          </w:tcPr>
          <w:p w14:paraId="6FDDB5E9"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0.68</w:t>
            </w:r>
          </w:p>
        </w:tc>
      </w:tr>
      <w:tr w:rsidR="00F86953" w14:paraId="4FE8F097" w14:textId="77777777">
        <w:trPr>
          <w:tblCellSpacing w:w="15" w:type="dxa"/>
        </w:trPr>
        <w:tc>
          <w:tcPr>
            <w:tcW w:w="2300" w:type="pct"/>
            <w:tcBorders>
              <w:top w:val="single" w:sz="4" w:space="0" w:color="auto"/>
              <w:right w:val="single" w:sz="4" w:space="0" w:color="auto"/>
            </w:tcBorders>
            <w:vAlign w:val="center"/>
            <w:hideMark/>
          </w:tcPr>
          <w:p w14:paraId="266D1C83"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Employee Engagement</w:t>
            </w:r>
          </w:p>
        </w:tc>
        <w:tc>
          <w:tcPr>
            <w:tcW w:w="373" w:type="pct"/>
            <w:tcBorders>
              <w:top w:val="single" w:sz="4" w:space="0" w:color="auto"/>
            </w:tcBorders>
            <w:vAlign w:val="center"/>
            <w:hideMark/>
          </w:tcPr>
          <w:p w14:paraId="42EB82CA" w14:textId="77777777" w:rsidR="00F86953" w:rsidRDefault="00F86953">
            <w:pPr>
              <w:jc w:val="both"/>
              <w:rPr>
                <w:rFonts w:ascii="Times New Roman" w:hAnsi="Times New Roman" w:cs="Times New Roman"/>
                <w:sz w:val="28"/>
                <w:szCs w:val="28"/>
              </w:rPr>
            </w:pPr>
          </w:p>
        </w:tc>
        <w:tc>
          <w:tcPr>
            <w:tcW w:w="850" w:type="pct"/>
            <w:tcBorders>
              <w:top w:val="single" w:sz="4" w:space="0" w:color="auto"/>
              <w:left w:val="single" w:sz="4" w:space="0" w:color="auto"/>
              <w:right w:val="single" w:sz="4" w:space="0" w:color="auto"/>
            </w:tcBorders>
            <w:vAlign w:val="center"/>
            <w:hideMark/>
          </w:tcPr>
          <w:p w14:paraId="600557DF" w14:textId="77777777" w:rsidR="00F86953" w:rsidRDefault="00F86953">
            <w:pPr>
              <w:jc w:val="both"/>
              <w:rPr>
                <w:rFonts w:ascii="Times New Roman" w:hAnsi="Times New Roman" w:cs="Times New Roman"/>
                <w:sz w:val="28"/>
                <w:szCs w:val="28"/>
              </w:rPr>
            </w:pPr>
          </w:p>
        </w:tc>
        <w:tc>
          <w:tcPr>
            <w:tcW w:w="819" w:type="pct"/>
            <w:tcBorders>
              <w:top w:val="single" w:sz="4" w:space="0" w:color="auto"/>
            </w:tcBorders>
            <w:vAlign w:val="center"/>
            <w:hideMark/>
          </w:tcPr>
          <w:p w14:paraId="4808F3B5" w14:textId="77777777" w:rsidR="00F86953" w:rsidRDefault="00F86953">
            <w:pPr>
              <w:jc w:val="both"/>
              <w:rPr>
                <w:rFonts w:ascii="Times New Roman" w:hAnsi="Times New Roman" w:cs="Times New Roman"/>
                <w:sz w:val="28"/>
                <w:szCs w:val="28"/>
              </w:rPr>
            </w:pPr>
          </w:p>
        </w:tc>
        <w:tc>
          <w:tcPr>
            <w:tcW w:w="232" w:type="pct"/>
            <w:tcBorders>
              <w:top w:val="single" w:sz="4" w:space="0" w:color="auto"/>
              <w:left w:val="single" w:sz="4" w:space="0" w:color="auto"/>
              <w:right w:val="single" w:sz="4" w:space="0" w:color="auto"/>
            </w:tcBorders>
            <w:vAlign w:val="center"/>
            <w:hideMark/>
          </w:tcPr>
          <w:p w14:paraId="1A7A3D99" w14:textId="77777777" w:rsidR="00F86953" w:rsidRDefault="00F86953">
            <w:pPr>
              <w:jc w:val="both"/>
              <w:rPr>
                <w:rFonts w:ascii="Times New Roman" w:hAnsi="Times New Roman" w:cs="Times New Roman"/>
                <w:sz w:val="28"/>
                <w:szCs w:val="28"/>
              </w:rPr>
            </w:pPr>
          </w:p>
        </w:tc>
        <w:tc>
          <w:tcPr>
            <w:tcW w:w="313" w:type="pct"/>
            <w:tcBorders>
              <w:top w:val="single" w:sz="4" w:space="0" w:color="auto"/>
            </w:tcBorders>
            <w:vAlign w:val="center"/>
            <w:hideMark/>
          </w:tcPr>
          <w:p w14:paraId="5E99DE10" w14:textId="77777777" w:rsidR="00F86953" w:rsidRDefault="00F86953">
            <w:pPr>
              <w:jc w:val="both"/>
              <w:rPr>
                <w:rFonts w:ascii="Times New Roman" w:hAnsi="Times New Roman" w:cs="Times New Roman"/>
                <w:sz w:val="28"/>
                <w:szCs w:val="28"/>
              </w:rPr>
            </w:pPr>
          </w:p>
        </w:tc>
      </w:tr>
      <w:tr w:rsidR="00F86953" w14:paraId="285A2BE1" w14:textId="77777777">
        <w:trPr>
          <w:tblCellSpacing w:w="15" w:type="dxa"/>
        </w:trPr>
        <w:tc>
          <w:tcPr>
            <w:tcW w:w="2300" w:type="pct"/>
            <w:tcBorders>
              <w:top w:val="single" w:sz="4" w:space="0" w:color="auto"/>
              <w:right w:val="single" w:sz="4" w:space="0" w:color="auto"/>
            </w:tcBorders>
            <w:vAlign w:val="center"/>
            <w:hideMark/>
          </w:tcPr>
          <w:p w14:paraId="3662B676"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Vigor</w:t>
            </w:r>
          </w:p>
        </w:tc>
        <w:tc>
          <w:tcPr>
            <w:tcW w:w="373" w:type="pct"/>
            <w:tcBorders>
              <w:top w:val="single" w:sz="4" w:space="0" w:color="auto"/>
            </w:tcBorders>
            <w:vAlign w:val="center"/>
            <w:hideMark/>
          </w:tcPr>
          <w:p w14:paraId="03FE8C09"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top w:val="single" w:sz="4" w:space="0" w:color="auto"/>
              <w:left w:val="single" w:sz="4" w:space="0" w:color="auto"/>
              <w:right w:val="single" w:sz="4" w:space="0" w:color="auto"/>
            </w:tcBorders>
            <w:vAlign w:val="center"/>
            <w:hideMark/>
          </w:tcPr>
          <w:p w14:paraId="574EED7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0.82-.87</w:t>
            </w:r>
          </w:p>
        </w:tc>
        <w:tc>
          <w:tcPr>
            <w:tcW w:w="819" w:type="pct"/>
            <w:tcBorders>
              <w:top w:val="single" w:sz="4" w:space="0" w:color="auto"/>
            </w:tcBorders>
            <w:vAlign w:val="center"/>
            <w:hideMark/>
          </w:tcPr>
          <w:p w14:paraId="09F8D0EA"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0.86</w:t>
            </w:r>
          </w:p>
        </w:tc>
        <w:tc>
          <w:tcPr>
            <w:tcW w:w="232" w:type="pct"/>
            <w:tcBorders>
              <w:top w:val="single" w:sz="4" w:space="0" w:color="auto"/>
              <w:left w:val="single" w:sz="4" w:space="0" w:color="auto"/>
              <w:right w:val="single" w:sz="4" w:space="0" w:color="auto"/>
            </w:tcBorders>
            <w:vAlign w:val="center"/>
            <w:hideMark/>
          </w:tcPr>
          <w:p w14:paraId="29735CF4"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313" w:type="pct"/>
            <w:tcBorders>
              <w:top w:val="single" w:sz="4" w:space="0" w:color="auto"/>
            </w:tcBorders>
            <w:vAlign w:val="center"/>
            <w:hideMark/>
          </w:tcPr>
          <w:p w14:paraId="49C1BC1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0.79</w:t>
            </w:r>
          </w:p>
        </w:tc>
      </w:tr>
      <w:tr w:rsidR="00F86953" w14:paraId="53F456D0" w14:textId="77777777">
        <w:trPr>
          <w:tblCellSpacing w:w="15" w:type="dxa"/>
        </w:trPr>
        <w:tc>
          <w:tcPr>
            <w:tcW w:w="2300" w:type="pct"/>
            <w:tcBorders>
              <w:top w:val="single" w:sz="4" w:space="0" w:color="auto"/>
              <w:right w:val="single" w:sz="4" w:space="0" w:color="auto"/>
            </w:tcBorders>
            <w:vAlign w:val="center"/>
            <w:hideMark/>
          </w:tcPr>
          <w:p w14:paraId="265228F0"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Dedication</w:t>
            </w:r>
          </w:p>
        </w:tc>
        <w:tc>
          <w:tcPr>
            <w:tcW w:w="373" w:type="pct"/>
            <w:tcBorders>
              <w:top w:val="single" w:sz="4" w:space="0" w:color="auto"/>
            </w:tcBorders>
            <w:vAlign w:val="center"/>
            <w:hideMark/>
          </w:tcPr>
          <w:p w14:paraId="38F93CA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top w:val="single" w:sz="4" w:space="0" w:color="auto"/>
              <w:left w:val="single" w:sz="4" w:space="0" w:color="auto"/>
              <w:right w:val="single" w:sz="4" w:space="0" w:color="auto"/>
            </w:tcBorders>
            <w:vAlign w:val="center"/>
            <w:hideMark/>
          </w:tcPr>
          <w:p w14:paraId="4C97C43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0.85-.91</w:t>
            </w:r>
          </w:p>
        </w:tc>
        <w:tc>
          <w:tcPr>
            <w:tcW w:w="819" w:type="pct"/>
            <w:tcBorders>
              <w:top w:val="single" w:sz="4" w:space="0" w:color="auto"/>
            </w:tcBorders>
            <w:vAlign w:val="center"/>
            <w:hideMark/>
          </w:tcPr>
          <w:p w14:paraId="754FD9C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0.89</w:t>
            </w:r>
          </w:p>
        </w:tc>
        <w:tc>
          <w:tcPr>
            <w:tcW w:w="232" w:type="pct"/>
            <w:tcBorders>
              <w:top w:val="single" w:sz="4" w:space="0" w:color="auto"/>
              <w:left w:val="single" w:sz="4" w:space="0" w:color="auto"/>
              <w:right w:val="single" w:sz="4" w:space="0" w:color="auto"/>
            </w:tcBorders>
            <w:vAlign w:val="center"/>
            <w:hideMark/>
          </w:tcPr>
          <w:p w14:paraId="1363B3E4"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0.93</w:t>
            </w:r>
          </w:p>
        </w:tc>
        <w:tc>
          <w:tcPr>
            <w:tcW w:w="313" w:type="pct"/>
            <w:tcBorders>
              <w:top w:val="single" w:sz="4" w:space="0" w:color="auto"/>
            </w:tcBorders>
            <w:vAlign w:val="center"/>
            <w:hideMark/>
          </w:tcPr>
          <w:p w14:paraId="72F8F5A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0.82</w:t>
            </w:r>
          </w:p>
        </w:tc>
      </w:tr>
      <w:tr w:rsidR="00F86953" w14:paraId="2A92CA9C" w14:textId="77777777">
        <w:trPr>
          <w:tblCellSpacing w:w="15" w:type="dxa"/>
        </w:trPr>
        <w:tc>
          <w:tcPr>
            <w:tcW w:w="2300" w:type="pct"/>
            <w:tcBorders>
              <w:top w:val="single" w:sz="4" w:space="0" w:color="auto"/>
              <w:bottom w:val="single" w:sz="4" w:space="0" w:color="auto"/>
              <w:right w:val="single" w:sz="4" w:space="0" w:color="auto"/>
            </w:tcBorders>
            <w:vAlign w:val="center"/>
            <w:hideMark/>
          </w:tcPr>
          <w:p w14:paraId="5FB3594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Absorption</w:t>
            </w:r>
          </w:p>
        </w:tc>
        <w:tc>
          <w:tcPr>
            <w:tcW w:w="373" w:type="pct"/>
            <w:tcBorders>
              <w:top w:val="single" w:sz="4" w:space="0" w:color="auto"/>
              <w:bottom w:val="single" w:sz="4" w:space="0" w:color="auto"/>
            </w:tcBorders>
            <w:vAlign w:val="center"/>
            <w:hideMark/>
          </w:tcPr>
          <w:p w14:paraId="7E74F25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top w:val="single" w:sz="4" w:space="0" w:color="auto"/>
              <w:left w:val="single" w:sz="4" w:space="0" w:color="auto"/>
              <w:bottom w:val="single" w:sz="4" w:space="0" w:color="auto"/>
              <w:right w:val="single" w:sz="4" w:space="0" w:color="auto"/>
            </w:tcBorders>
            <w:vAlign w:val="center"/>
            <w:hideMark/>
          </w:tcPr>
          <w:p w14:paraId="67814BD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0.79-.88</w:t>
            </w:r>
          </w:p>
        </w:tc>
        <w:tc>
          <w:tcPr>
            <w:tcW w:w="819" w:type="pct"/>
            <w:tcBorders>
              <w:top w:val="single" w:sz="4" w:space="0" w:color="auto"/>
              <w:bottom w:val="single" w:sz="4" w:space="0" w:color="auto"/>
            </w:tcBorders>
            <w:vAlign w:val="center"/>
            <w:hideMark/>
          </w:tcPr>
          <w:p w14:paraId="66467FE4"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0.85</w:t>
            </w:r>
          </w:p>
        </w:tc>
        <w:tc>
          <w:tcPr>
            <w:tcW w:w="232" w:type="pct"/>
            <w:tcBorders>
              <w:top w:val="single" w:sz="4" w:space="0" w:color="auto"/>
              <w:left w:val="single" w:sz="4" w:space="0" w:color="auto"/>
              <w:bottom w:val="single" w:sz="4" w:space="0" w:color="auto"/>
              <w:right w:val="single" w:sz="4" w:space="0" w:color="auto"/>
            </w:tcBorders>
            <w:vAlign w:val="center"/>
            <w:hideMark/>
          </w:tcPr>
          <w:p w14:paraId="39A54E6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0.91</w:t>
            </w:r>
          </w:p>
        </w:tc>
        <w:tc>
          <w:tcPr>
            <w:tcW w:w="313" w:type="pct"/>
            <w:tcBorders>
              <w:top w:val="single" w:sz="4" w:space="0" w:color="auto"/>
              <w:bottom w:val="single" w:sz="4" w:space="0" w:color="auto"/>
            </w:tcBorders>
            <w:vAlign w:val="center"/>
            <w:hideMark/>
          </w:tcPr>
          <w:p w14:paraId="15BDB9E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0.77</w:t>
            </w:r>
          </w:p>
        </w:tc>
      </w:tr>
      <w:tr w:rsidR="00F86953" w14:paraId="55D00CD4" w14:textId="77777777">
        <w:trPr>
          <w:tblCellSpacing w:w="15" w:type="dxa"/>
        </w:trPr>
        <w:tc>
          <w:tcPr>
            <w:tcW w:w="2300" w:type="pct"/>
            <w:tcBorders>
              <w:bottom w:val="single" w:sz="4" w:space="0" w:color="auto"/>
              <w:right w:val="single" w:sz="4" w:space="0" w:color="auto"/>
            </w:tcBorders>
            <w:vAlign w:val="center"/>
            <w:hideMark/>
          </w:tcPr>
          <w:p w14:paraId="5C7392C5"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Overall Engagement</w:t>
            </w:r>
          </w:p>
        </w:tc>
        <w:tc>
          <w:tcPr>
            <w:tcW w:w="373" w:type="pct"/>
            <w:tcBorders>
              <w:bottom w:val="single" w:sz="4" w:space="0" w:color="auto"/>
            </w:tcBorders>
            <w:vAlign w:val="center"/>
            <w:hideMark/>
          </w:tcPr>
          <w:p w14:paraId="58D2701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9</w:t>
            </w:r>
          </w:p>
        </w:tc>
        <w:tc>
          <w:tcPr>
            <w:tcW w:w="850" w:type="pct"/>
            <w:tcBorders>
              <w:left w:val="single" w:sz="4" w:space="0" w:color="auto"/>
              <w:bottom w:val="single" w:sz="4" w:space="0" w:color="auto"/>
              <w:right w:val="single" w:sz="4" w:space="0" w:color="auto"/>
            </w:tcBorders>
            <w:vAlign w:val="center"/>
            <w:hideMark/>
          </w:tcPr>
          <w:p w14:paraId="1C2260F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0.79-.91</w:t>
            </w:r>
          </w:p>
        </w:tc>
        <w:tc>
          <w:tcPr>
            <w:tcW w:w="819" w:type="pct"/>
            <w:tcBorders>
              <w:bottom w:val="single" w:sz="4" w:space="0" w:color="auto"/>
            </w:tcBorders>
            <w:vAlign w:val="center"/>
            <w:hideMark/>
          </w:tcPr>
          <w:p w14:paraId="6DEDE7C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232" w:type="pct"/>
            <w:tcBorders>
              <w:left w:val="single" w:sz="4" w:space="0" w:color="auto"/>
              <w:bottom w:val="single" w:sz="4" w:space="0" w:color="auto"/>
              <w:right w:val="single" w:sz="4" w:space="0" w:color="auto"/>
            </w:tcBorders>
            <w:vAlign w:val="center"/>
            <w:hideMark/>
          </w:tcPr>
          <w:p w14:paraId="5AE26CA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0.94</w:t>
            </w:r>
          </w:p>
        </w:tc>
        <w:tc>
          <w:tcPr>
            <w:tcW w:w="313" w:type="pct"/>
            <w:tcBorders>
              <w:bottom w:val="single" w:sz="4" w:space="0" w:color="auto"/>
            </w:tcBorders>
            <w:vAlign w:val="center"/>
            <w:hideMark/>
          </w:tcPr>
          <w:p w14:paraId="3B70148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0.75</w:t>
            </w:r>
          </w:p>
        </w:tc>
      </w:tr>
      <w:tr w:rsidR="00F86953" w14:paraId="375178DE" w14:textId="77777777">
        <w:trPr>
          <w:tblCellSpacing w:w="15" w:type="dxa"/>
        </w:trPr>
        <w:tc>
          <w:tcPr>
            <w:tcW w:w="2300" w:type="pct"/>
            <w:tcBorders>
              <w:right w:val="single" w:sz="4" w:space="0" w:color="auto"/>
            </w:tcBorders>
            <w:vAlign w:val="center"/>
            <w:hideMark/>
          </w:tcPr>
          <w:p w14:paraId="29890B0A"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Organizational Performance</w:t>
            </w:r>
            <w:r>
              <w:rPr>
                <w:rFonts w:ascii="Times New Roman" w:hAnsi="Times New Roman" w:cs="Times New Roman"/>
                <w:sz w:val="28"/>
                <w:szCs w:val="28"/>
              </w:rPr>
              <w:t xml:space="preserve"> (Second-order reflective)</w:t>
            </w:r>
          </w:p>
        </w:tc>
        <w:tc>
          <w:tcPr>
            <w:tcW w:w="373" w:type="pct"/>
            <w:vAlign w:val="center"/>
            <w:hideMark/>
          </w:tcPr>
          <w:p w14:paraId="0979594D" w14:textId="77777777" w:rsidR="00F86953" w:rsidRDefault="00F86953">
            <w:pPr>
              <w:jc w:val="both"/>
              <w:rPr>
                <w:rFonts w:ascii="Times New Roman" w:hAnsi="Times New Roman" w:cs="Times New Roman"/>
                <w:sz w:val="28"/>
                <w:szCs w:val="28"/>
              </w:rPr>
            </w:pPr>
          </w:p>
        </w:tc>
        <w:tc>
          <w:tcPr>
            <w:tcW w:w="850" w:type="pct"/>
            <w:tcBorders>
              <w:left w:val="single" w:sz="4" w:space="0" w:color="auto"/>
              <w:right w:val="single" w:sz="4" w:space="0" w:color="auto"/>
            </w:tcBorders>
            <w:vAlign w:val="center"/>
            <w:hideMark/>
          </w:tcPr>
          <w:p w14:paraId="0F638A36" w14:textId="77777777" w:rsidR="00F86953" w:rsidRDefault="00F86953">
            <w:pPr>
              <w:jc w:val="both"/>
              <w:rPr>
                <w:rFonts w:ascii="Times New Roman" w:hAnsi="Times New Roman" w:cs="Times New Roman"/>
                <w:sz w:val="28"/>
                <w:szCs w:val="28"/>
              </w:rPr>
            </w:pPr>
          </w:p>
        </w:tc>
        <w:tc>
          <w:tcPr>
            <w:tcW w:w="819" w:type="pct"/>
            <w:vAlign w:val="center"/>
            <w:hideMark/>
          </w:tcPr>
          <w:p w14:paraId="78B9E5AC" w14:textId="77777777" w:rsidR="00F86953" w:rsidRDefault="00F86953">
            <w:pPr>
              <w:jc w:val="both"/>
              <w:rPr>
                <w:rFonts w:ascii="Times New Roman" w:hAnsi="Times New Roman" w:cs="Times New Roman"/>
                <w:sz w:val="28"/>
                <w:szCs w:val="28"/>
              </w:rPr>
            </w:pPr>
          </w:p>
        </w:tc>
        <w:tc>
          <w:tcPr>
            <w:tcW w:w="232" w:type="pct"/>
            <w:tcBorders>
              <w:left w:val="single" w:sz="4" w:space="0" w:color="auto"/>
              <w:right w:val="single" w:sz="4" w:space="0" w:color="auto"/>
            </w:tcBorders>
            <w:vAlign w:val="center"/>
            <w:hideMark/>
          </w:tcPr>
          <w:p w14:paraId="0EACF032" w14:textId="77777777" w:rsidR="00F86953" w:rsidRDefault="00F86953">
            <w:pPr>
              <w:jc w:val="both"/>
              <w:rPr>
                <w:rFonts w:ascii="Times New Roman" w:hAnsi="Times New Roman" w:cs="Times New Roman"/>
                <w:sz w:val="28"/>
                <w:szCs w:val="28"/>
              </w:rPr>
            </w:pPr>
          </w:p>
        </w:tc>
        <w:tc>
          <w:tcPr>
            <w:tcW w:w="313" w:type="pct"/>
            <w:vAlign w:val="center"/>
            <w:hideMark/>
          </w:tcPr>
          <w:p w14:paraId="1B87799F" w14:textId="77777777" w:rsidR="00F86953" w:rsidRDefault="00F86953">
            <w:pPr>
              <w:jc w:val="both"/>
              <w:rPr>
                <w:rFonts w:ascii="Times New Roman" w:hAnsi="Times New Roman" w:cs="Times New Roman"/>
                <w:sz w:val="28"/>
                <w:szCs w:val="28"/>
              </w:rPr>
            </w:pPr>
          </w:p>
        </w:tc>
      </w:tr>
      <w:tr w:rsidR="00F86953" w14:paraId="3E011C13" w14:textId="77777777">
        <w:trPr>
          <w:tblCellSpacing w:w="15" w:type="dxa"/>
        </w:trPr>
        <w:tc>
          <w:tcPr>
            <w:tcW w:w="2300" w:type="pct"/>
            <w:tcBorders>
              <w:top w:val="single" w:sz="4" w:space="0" w:color="auto"/>
              <w:bottom w:val="single" w:sz="4" w:space="0" w:color="auto"/>
              <w:right w:val="single" w:sz="4" w:space="0" w:color="auto"/>
            </w:tcBorders>
            <w:vAlign w:val="center"/>
            <w:hideMark/>
          </w:tcPr>
          <w:p w14:paraId="4B96A7A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Financial Performance</w:t>
            </w:r>
          </w:p>
        </w:tc>
        <w:tc>
          <w:tcPr>
            <w:tcW w:w="373" w:type="pct"/>
            <w:tcBorders>
              <w:top w:val="single" w:sz="4" w:space="0" w:color="auto"/>
              <w:bottom w:val="single" w:sz="4" w:space="0" w:color="auto"/>
            </w:tcBorders>
            <w:vAlign w:val="center"/>
            <w:hideMark/>
          </w:tcPr>
          <w:p w14:paraId="6DAA84B0"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top w:val="single" w:sz="4" w:space="0" w:color="auto"/>
              <w:left w:val="single" w:sz="4" w:space="0" w:color="auto"/>
              <w:bottom w:val="single" w:sz="4" w:space="0" w:color="auto"/>
              <w:right w:val="single" w:sz="4" w:space="0" w:color="auto"/>
            </w:tcBorders>
            <w:vAlign w:val="center"/>
            <w:hideMark/>
          </w:tcPr>
          <w:p w14:paraId="41B137A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0.80-0.86</w:t>
            </w:r>
          </w:p>
        </w:tc>
        <w:tc>
          <w:tcPr>
            <w:tcW w:w="819" w:type="pct"/>
            <w:tcBorders>
              <w:top w:val="single" w:sz="4" w:space="0" w:color="auto"/>
              <w:bottom w:val="single" w:sz="4" w:space="0" w:color="auto"/>
            </w:tcBorders>
            <w:vAlign w:val="center"/>
            <w:hideMark/>
          </w:tcPr>
          <w:p w14:paraId="46B16BF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0.85</w:t>
            </w:r>
          </w:p>
        </w:tc>
        <w:tc>
          <w:tcPr>
            <w:tcW w:w="232" w:type="pct"/>
            <w:tcBorders>
              <w:top w:val="single" w:sz="4" w:space="0" w:color="auto"/>
              <w:left w:val="single" w:sz="4" w:space="0" w:color="auto"/>
              <w:bottom w:val="single" w:sz="4" w:space="0" w:color="auto"/>
              <w:right w:val="single" w:sz="4" w:space="0" w:color="auto"/>
            </w:tcBorders>
            <w:vAlign w:val="center"/>
            <w:hideMark/>
          </w:tcPr>
          <w:p w14:paraId="1F87E28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0.91</w:t>
            </w:r>
          </w:p>
        </w:tc>
        <w:tc>
          <w:tcPr>
            <w:tcW w:w="313" w:type="pct"/>
            <w:tcBorders>
              <w:top w:val="single" w:sz="4" w:space="0" w:color="auto"/>
              <w:bottom w:val="single" w:sz="4" w:space="0" w:color="auto"/>
            </w:tcBorders>
            <w:vAlign w:val="center"/>
            <w:hideMark/>
          </w:tcPr>
          <w:p w14:paraId="3B0B5D2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0.77</w:t>
            </w:r>
          </w:p>
        </w:tc>
      </w:tr>
      <w:tr w:rsidR="00F86953" w14:paraId="39700D00" w14:textId="77777777">
        <w:trPr>
          <w:tblCellSpacing w:w="15" w:type="dxa"/>
        </w:trPr>
        <w:tc>
          <w:tcPr>
            <w:tcW w:w="2300" w:type="pct"/>
            <w:tcBorders>
              <w:right w:val="single" w:sz="4" w:space="0" w:color="auto"/>
            </w:tcBorders>
            <w:vAlign w:val="center"/>
            <w:hideMark/>
          </w:tcPr>
          <w:p w14:paraId="4B9ED14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Operational Performance</w:t>
            </w:r>
          </w:p>
        </w:tc>
        <w:tc>
          <w:tcPr>
            <w:tcW w:w="373" w:type="pct"/>
            <w:vAlign w:val="center"/>
            <w:hideMark/>
          </w:tcPr>
          <w:p w14:paraId="26CE87FA"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left w:val="single" w:sz="4" w:space="0" w:color="auto"/>
              <w:right w:val="single" w:sz="4" w:space="0" w:color="auto"/>
            </w:tcBorders>
            <w:vAlign w:val="center"/>
            <w:hideMark/>
          </w:tcPr>
          <w:p w14:paraId="5C4341B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0.82-0.88</w:t>
            </w:r>
          </w:p>
        </w:tc>
        <w:tc>
          <w:tcPr>
            <w:tcW w:w="819" w:type="pct"/>
            <w:vAlign w:val="center"/>
            <w:hideMark/>
          </w:tcPr>
          <w:p w14:paraId="1B3DA0D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0.87</w:t>
            </w:r>
          </w:p>
        </w:tc>
        <w:tc>
          <w:tcPr>
            <w:tcW w:w="232" w:type="pct"/>
            <w:tcBorders>
              <w:left w:val="single" w:sz="4" w:space="0" w:color="auto"/>
              <w:right w:val="single" w:sz="4" w:space="0" w:color="auto"/>
            </w:tcBorders>
            <w:vAlign w:val="center"/>
            <w:hideMark/>
          </w:tcPr>
          <w:p w14:paraId="264F2B66"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313" w:type="pct"/>
            <w:vAlign w:val="center"/>
            <w:hideMark/>
          </w:tcPr>
          <w:p w14:paraId="4640A7B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0.79</w:t>
            </w:r>
          </w:p>
        </w:tc>
      </w:tr>
      <w:tr w:rsidR="00F86953" w14:paraId="2D55A601" w14:textId="77777777">
        <w:trPr>
          <w:tblCellSpacing w:w="15" w:type="dxa"/>
        </w:trPr>
        <w:tc>
          <w:tcPr>
            <w:tcW w:w="2300" w:type="pct"/>
            <w:tcBorders>
              <w:top w:val="single" w:sz="4" w:space="0" w:color="auto"/>
              <w:bottom w:val="single" w:sz="4" w:space="0" w:color="auto"/>
              <w:right w:val="single" w:sz="4" w:space="0" w:color="auto"/>
            </w:tcBorders>
            <w:vAlign w:val="center"/>
            <w:hideMark/>
          </w:tcPr>
          <w:p w14:paraId="1AAF7ED6"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Customer Performance</w:t>
            </w:r>
          </w:p>
        </w:tc>
        <w:tc>
          <w:tcPr>
            <w:tcW w:w="373" w:type="pct"/>
            <w:tcBorders>
              <w:top w:val="single" w:sz="4" w:space="0" w:color="auto"/>
              <w:bottom w:val="single" w:sz="4" w:space="0" w:color="auto"/>
            </w:tcBorders>
            <w:vAlign w:val="center"/>
            <w:hideMark/>
          </w:tcPr>
          <w:p w14:paraId="59A1964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top w:val="single" w:sz="4" w:space="0" w:color="auto"/>
              <w:left w:val="single" w:sz="4" w:space="0" w:color="auto"/>
              <w:bottom w:val="single" w:sz="4" w:space="0" w:color="auto"/>
              <w:right w:val="single" w:sz="4" w:space="0" w:color="auto"/>
            </w:tcBorders>
            <w:vAlign w:val="center"/>
            <w:hideMark/>
          </w:tcPr>
          <w:p w14:paraId="271021E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0.78-0.85</w:t>
            </w:r>
          </w:p>
        </w:tc>
        <w:tc>
          <w:tcPr>
            <w:tcW w:w="819" w:type="pct"/>
            <w:tcBorders>
              <w:top w:val="single" w:sz="4" w:space="0" w:color="auto"/>
              <w:bottom w:val="single" w:sz="4" w:space="0" w:color="auto"/>
            </w:tcBorders>
            <w:vAlign w:val="center"/>
            <w:hideMark/>
          </w:tcPr>
          <w:p w14:paraId="30F06BA9"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0.84</w:t>
            </w:r>
          </w:p>
        </w:tc>
        <w:tc>
          <w:tcPr>
            <w:tcW w:w="232" w:type="pct"/>
            <w:tcBorders>
              <w:top w:val="single" w:sz="4" w:space="0" w:color="auto"/>
              <w:left w:val="single" w:sz="4" w:space="0" w:color="auto"/>
              <w:bottom w:val="single" w:sz="4" w:space="0" w:color="auto"/>
              <w:right w:val="single" w:sz="4" w:space="0" w:color="auto"/>
            </w:tcBorders>
            <w:vAlign w:val="center"/>
            <w:hideMark/>
          </w:tcPr>
          <w:p w14:paraId="125F11B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0.90</w:t>
            </w:r>
          </w:p>
        </w:tc>
        <w:tc>
          <w:tcPr>
            <w:tcW w:w="313" w:type="pct"/>
            <w:tcBorders>
              <w:top w:val="single" w:sz="4" w:space="0" w:color="auto"/>
              <w:bottom w:val="single" w:sz="4" w:space="0" w:color="auto"/>
            </w:tcBorders>
            <w:vAlign w:val="center"/>
            <w:hideMark/>
          </w:tcPr>
          <w:p w14:paraId="6437020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0.75</w:t>
            </w:r>
          </w:p>
        </w:tc>
      </w:tr>
      <w:tr w:rsidR="00F86953" w14:paraId="5F0F1C8C" w14:textId="77777777">
        <w:trPr>
          <w:tblCellSpacing w:w="15" w:type="dxa"/>
        </w:trPr>
        <w:tc>
          <w:tcPr>
            <w:tcW w:w="2300" w:type="pct"/>
            <w:tcBorders>
              <w:top w:val="single" w:sz="4" w:space="0" w:color="auto"/>
              <w:bottom w:val="single" w:sz="4" w:space="0" w:color="auto"/>
              <w:right w:val="single" w:sz="4" w:space="0" w:color="auto"/>
            </w:tcBorders>
            <w:vAlign w:val="center"/>
            <w:hideMark/>
          </w:tcPr>
          <w:p w14:paraId="49CE379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Employee Performance</w:t>
            </w:r>
          </w:p>
        </w:tc>
        <w:tc>
          <w:tcPr>
            <w:tcW w:w="373" w:type="pct"/>
            <w:tcBorders>
              <w:top w:val="single" w:sz="4" w:space="0" w:color="auto"/>
              <w:bottom w:val="single" w:sz="4" w:space="0" w:color="auto"/>
            </w:tcBorders>
            <w:vAlign w:val="center"/>
            <w:hideMark/>
          </w:tcPr>
          <w:p w14:paraId="0736D99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top w:val="single" w:sz="4" w:space="0" w:color="auto"/>
              <w:left w:val="single" w:sz="4" w:space="0" w:color="auto"/>
              <w:bottom w:val="single" w:sz="4" w:space="0" w:color="auto"/>
            </w:tcBorders>
            <w:vAlign w:val="center"/>
            <w:hideMark/>
          </w:tcPr>
          <w:p w14:paraId="5E476CB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0.76-0.83</w:t>
            </w:r>
          </w:p>
        </w:tc>
        <w:tc>
          <w:tcPr>
            <w:tcW w:w="819" w:type="pct"/>
            <w:tcBorders>
              <w:top w:val="single" w:sz="4" w:space="0" w:color="auto"/>
              <w:left w:val="single" w:sz="4" w:space="0" w:color="auto"/>
              <w:bottom w:val="single" w:sz="4" w:space="0" w:color="auto"/>
            </w:tcBorders>
            <w:vAlign w:val="center"/>
            <w:hideMark/>
          </w:tcPr>
          <w:p w14:paraId="7522C56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0.82</w:t>
            </w:r>
          </w:p>
        </w:tc>
        <w:tc>
          <w:tcPr>
            <w:tcW w:w="232" w:type="pct"/>
            <w:tcBorders>
              <w:top w:val="single" w:sz="4" w:space="0" w:color="auto"/>
              <w:left w:val="single" w:sz="4" w:space="0" w:color="auto"/>
              <w:bottom w:val="single" w:sz="4" w:space="0" w:color="auto"/>
            </w:tcBorders>
            <w:vAlign w:val="center"/>
            <w:hideMark/>
          </w:tcPr>
          <w:p w14:paraId="51FB01B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0.89</w:t>
            </w:r>
          </w:p>
        </w:tc>
        <w:tc>
          <w:tcPr>
            <w:tcW w:w="313" w:type="pct"/>
            <w:tcBorders>
              <w:top w:val="single" w:sz="4" w:space="0" w:color="auto"/>
              <w:left w:val="single" w:sz="4" w:space="0" w:color="auto"/>
              <w:bottom w:val="single" w:sz="4" w:space="0" w:color="auto"/>
            </w:tcBorders>
            <w:vAlign w:val="center"/>
            <w:hideMark/>
          </w:tcPr>
          <w:p w14:paraId="257D9D7A"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0.73</w:t>
            </w:r>
          </w:p>
        </w:tc>
      </w:tr>
      <w:tr w:rsidR="00F86953" w14:paraId="4D0FA6C3" w14:textId="77777777">
        <w:trPr>
          <w:tblCellSpacing w:w="15" w:type="dxa"/>
        </w:trPr>
        <w:tc>
          <w:tcPr>
            <w:tcW w:w="2300" w:type="pct"/>
            <w:tcBorders>
              <w:right w:val="single" w:sz="4" w:space="0" w:color="auto"/>
            </w:tcBorders>
            <w:vAlign w:val="center"/>
            <w:hideMark/>
          </w:tcPr>
          <w:p w14:paraId="61C70EC8"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Overall Performance</w:t>
            </w:r>
          </w:p>
        </w:tc>
        <w:tc>
          <w:tcPr>
            <w:tcW w:w="373" w:type="pct"/>
            <w:vAlign w:val="center"/>
            <w:hideMark/>
          </w:tcPr>
          <w:p w14:paraId="2C8F0C6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12</w:t>
            </w:r>
          </w:p>
        </w:tc>
        <w:tc>
          <w:tcPr>
            <w:tcW w:w="850" w:type="pct"/>
            <w:tcBorders>
              <w:left w:val="single" w:sz="4" w:space="0" w:color="auto"/>
            </w:tcBorders>
            <w:vAlign w:val="center"/>
            <w:hideMark/>
          </w:tcPr>
          <w:p w14:paraId="06DB03D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0.76-0.88</w:t>
            </w:r>
          </w:p>
        </w:tc>
        <w:tc>
          <w:tcPr>
            <w:tcW w:w="819" w:type="pct"/>
            <w:tcBorders>
              <w:left w:val="single" w:sz="4" w:space="0" w:color="auto"/>
            </w:tcBorders>
            <w:vAlign w:val="center"/>
            <w:hideMark/>
          </w:tcPr>
          <w:p w14:paraId="1B2FFD3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0.90</w:t>
            </w:r>
          </w:p>
        </w:tc>
        <w:tc>
          <w:tcPr>
            <w:tcW w:w="232" w:type="pct"/>
            <w:tcBorders>
              <w:left w:val="single" w:sz="4" w:space="0" w:color="auto"/>
            </w:tcBorders>
            <w:vAlign w:val="center"/>
            <w:hideMark/>
          </w:tcPr>
          <w:p w14:paraId="1B120F3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0.93</w:t>
            </w:r>
          </w:p>
        </w:tc>
        <w:tc>
          <w:tcPr>
            <w:tcW w:w="313" w:type="pct"/>
            <w:tcBorders>
              <w:left w:val="single" w:sz="4" w:space="0" w:color="auto"/>
            </w:tcBorders>
            <w:vAlign w:val="center"/>
            <w:hideMark/>
          </w:tcPr>
          <w:p w14:paraId="1EDE312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0.70</w:t>
            </w:r>
          </w:p>
        </w:tc>
      </w:tr>
    </w:tbl>
    <w:p w14:paraId="6C7D76A1" w14:textId="77777777" w:rsidR="00F86953" w:rsidRDefault="00F71FC0">
      <w:pPr>
        <w:jc w:val="both"/>
        <w:rPr>
          <w:rFonts w:ascii="Times New Roman" w:hAnsi="Times New Roman" w:cs="Times New Roman"/>
          <w:sz w:val="28"/>
          <w:szCs w:val="28"/>
        </w:rPr>
      </w:pPr>
      <w:r>
        <w:rPr>
          <w:rFonts w:ascii="Times New Roman" w:hAnsi="Times New Roman" w:cs="Times New Roman"/>
          <w:i/>
          <w:iCs/>
          <w:sz w:val="28"/>
          <w:szCs w:val="28"/>
        </w:rPr>
        <w:t>Note: All loadings are significant at p =.001. CR = Composite Reliability; AVE = Average Variance Extracted.</w:t>
      </w:r>
    </w:p>
    <w:p w14:paraId="243CFEFE" w14:textId="77777777" w:rsidR="00F86953" w:rsidRDefault="00F71FC0">
      <w:pPr>
        <w:jc w:val="both"/>
        <w:rPr>
          <w:rFonts w:ascii="Times New Roman" w:hAnsi="Times New Roman" w:cs="Times New Roman"/>
          <w:sz w:val="28"/>
          <w:szCs w:val="28"/>
        </w:rPr>
      </w:pPr>
      <w:r>
        <w:rPr>
          <w:rFonts w:ascii="Times New Roman" w:hAnsi="Times New Roman" w:cs="Times New Roman"/>
          <w:i/>
          <w:iCs/>
          <w:sz w:val="28"/>
          <w:szCs w:val="28"/>
        </w:rPr>
        <w:t>Discriminant Validity: Table 4 shows the Fornell-Larcker Fornell-Larcker criterion assessment. The square root of each construct AVE (diagonal) was greater than inter-constructs correlations (off-diagonal), which indicated the presence of discriminant validity. Besides, HTMT ratios were in the range of .632 to 0.778 that were below the 0.85 mark (Henseler et al., 2015).</w:t>
      </w:r>
    </w:p>
    <w:p w14:paraId="530F1D88"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i/>
          <w:iCs/>
          <w:sz w:val="28"/>
          <w:szCs w:val="28"/>
        </w:rPr>
        <w:t>Table 4: Discriminant Validity- Fornell-Larker Criterion.</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622"/>
        <w:gridCol w:w="1587"/>
        <w:gridCol w:w="2297"/>
        <w:gridCol w:w="2844"/>
      </w:tblGrid>
      <w:tr w:rsidR="00F86953" w14:paraId="5765FB0E" w14:textId="77777777">
        <w:trPr>
          <w:tblHeader/>
          <w:tblCellSpacing w:w="15" w:type="dxa"/>
        </w:trPr>
        <w:tc>
          <w:tcPr>
            <w:tcW w:w="1379" w:type="pct"/>
            <w:tcBorders>
              <w:right w:val="single" w:sz="4" w:space="0" w:color="auto"/>
            </w:tcBorders>
            <w:vAlign w:val="center"/>
            <w:hideMark/>
          </w:tcPr>
          <w:p w14:paraId="05ECBA49"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Construct</w:t>
            </w:r>
          </w:p>
        </w:tc>
        <w:tc>
          <w:tcPr>
            <w:tcW w:w="832" w:type="pct"/>
            <w:tcBorders>
              <w:right w:val="single" w:sz="4" w:space="0" w:color="auto"/>
            </w:tcBorders>
            <w:vAlign w:val="center"/>
            <w:hideMark/>
          </w:tcPr>
          <w:p w14:paraId="65B327C2"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TQM Practices</w:t>
            </w:r>
          </w:p>
        </w:tc>
        <w:tc>
          <w:tcPr>
            <w:tcW w:w="1212" w:type="pct"/>
            <w:tcBorders>
              <w:right w:val="single" w:sz="4" w:space="0" w:color="auto"/>
            </w:tcBorders>
            <w:vAlign w:val="center"/>
            <w:hideMark/>
          </w:tcPr>
          <w:p w14:paraId="250921E2"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Employee Engagement</w:t>
            </w:r>
          </w:p>
        </w:tc>
        <w:tc>
          <w:tcPr>
            <w:tcW w:w="1497" w:type="pct"/>
            <w:vAlign w:val="center"/>
            <w:hideMark/>
          </w:tcPr>
          <w:p w14:paraId="6A659DDC"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Organizational Performance</w:t>
            </w:r>
          </w:p>
        </w:tc>
      </w:tr>
      <w:tr w:rsidR="00F86953" w14:paraId="2B035436" w14:textId="77777777">
        <w:trPr>
          <w:tblCellSpacing w:w="15" w:type="dxa"/>
        </w:trPr>
        <w:tc>
          <w:tcPr>
            <w:tcW w:w="1379" w:type="pct"/>
            <w:tcBorders>
              <w:top w:val="single" w:sz="4" w:space="0" w:color="auto"/>
              <w:right w:val="single" w:sz="4" w:space="0" w:color="auto"/>
            </w:tcBorders>
            <w:vAlign w:val="center"/>
            <w:hideMark/>
          </w:tcPr>
          <w:p w14:paraId="7E5D24C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TQM Practices</w:t>
            </w:r>
          </w:p>
        </w:tc>
        <w:tc>
          <w:tcPr>
            <w:tcW w:w="832" w:type="pct"/>
            <w:tcBorders>
              <w:top w:val="single" w:sz="4" w:space="0" w:color="auto"/>
              <w:right w:val="single" w:sz="4" w:space="0" w:color="auto"/>
            </w:tcBorders>
            <w:vAlign w:val="center"/>
            <w:hideMark/>
          </w:tcPr>
          <w:p w14:paraId="56588DDB"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0.82</w:t>
            </w:r>
          </w:p>
        </w:tc>
        <w:tc>
          <w:tcPr>
            <w:tcW w:w="1212" w:type="pct"/>
            <w:tcBorders>
              <w:top w:val="single" w:sz="4" w:space="0" w:color="auto"/>
              <w:right w:val="single" w:sz="4" w:space="0" w:color="auto"/>
            </w:tcBorders>
            <w:vAlign w:val="center"/>
            <w:hideMark/>
          </w:tcPr>
          <w:p w14:paraId="1E46E0CE" w14:textId="77777777" w:rsidR="00F86953" w:rsidRDefault="00F86953">
            <w:pPr>
              <w:jc w:val="both"/>
              <w:rPr>
                <w:rFonts w:ascii="Times New Roman" w:hAnsi="Times New Roman" w:cs="Times New Roman"/>
                <w:sz w:val="28"/>
                <w:szCs w:val="28"/>
              </w:rPr>
            </w:pPr>
          </w:p>
        </w:tc>
        <w:tc>
          <w:tcPr>
            <w:tcW w:w="1497" w:type="pct"/>
            <w:tcBorders>
              <w:top w:val="single" w:sz="4" w:space="0" w:color="auto"/>
            </w:tcBorders>
            <w:vAlign w:val="center"/>
            <w:hideMark/>
          </w:tcPr>
          <w:p w14:paraId="202AF4F0" w14:textId="77777777" w:rsidR="00F86953" w:rsidRDefault="00F86953">
            <w:pPr>
              <w:jc w:val="both"/>
              <w:rPr>
                <w:rFonts w:ascii="Times New Roman" w:hAnsi="Times New Roman" w:cs="Times New Roman"/>
                <w:sz w:val="28"/>
                <w:szCs w:val="28"/>
              </w:rPr>
            </w:pPr>
          </w:p>
        </w:tc>
      </w:tr>
      <w:tr w:rsidR="00F86953" w14:paraId="2C51B735" w14:textId="77777777">
        <w:trPr>
          <w:tblCellSpacing w:w="15" w:type="dxa"/>
        </w:trPr>
        <w:tc>
          <w:tcPr>
            <w:tcW w:w="1379" w:type="pct"/>
            <w:tcBorders>
              <w:top w:val="single" w:sz="4" w:space="0" w:color="auto"/>
              <w:bottom w:val="single" w:sz="4" w:space="0" w:color="auto"/>
              <w:right w:val="single" w:sz="4" w:space="0" w:color="auto"/>
            </w:tcBorders>
            <w:vAlign w:val="center"/>
            <w:hideMark/>
          </w:tcPr>
          <w:p w14:paraId="39C257D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Employee Engagement</w:t>
            </w:r>
          </w:p>
        </w:tc>
        <w:tc>
          <w:tcPr>
            <w:tcW w:w="832" w:type="pct"/>
            <w:tcBorders>
              <w:top w:val="single" w:sz="4" w:space="0" w:color="auto"/>
              <w:bottom w:val="single" w:sz="4" w:space="0" w:color="auto"/>
              <w:right w:val="single" w:sz="4" w:space="0" w:color="auto"/>
            </w:tcBorders>
            <w:vAlign w:val="center"/>
            <w:hideMark/>
          </w:tcPr>
          <w:p w14:paraId="6FB16E4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0.61</w:t>
            </w:r>
          </w:p>
        </w:tc>
        <w:tc>
          <w:tcPr>
            <w:tcW w:w="1212" w:type="pct"/>
            <w:tcBorders>
              <w:top w:val="single" w:sz="4" w:space="0" w:color="auto"/>
              <w:bottom w:val="single" w:sz="4" w:space="0" w:color="auto"/>
              <w:right w:val="single" w:sz="4" w:space="0" w:color="auto"/>
            </w:tcBorders>
            <w:vAlign w:val="center"/>
            <w:hideMark/>
          </w:tcPr>
          <w:p w14:paraId="04DFC3EE"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0.87</w:t>
            </w:r>
          </w:p>
        </w:tc>
        <w:tc>
          <w:tcPr>
            <w:tcW w:w="1497" w:type="pct"/>
            <w:tcBorders>
              <w:top w:val="single" w:sz="4" w:space="0" w:color="auto"/>
              <w:bottom w:val="single" w:sz="4" w:space="0" w:color="auto"/>
            </w:tcBorders>
            <w:vAlign w:val="center"/>
            <w:hideMark/>
          </w:tcPr>
          <w:p w14:paraId="176C2EF2" w14:textId="77777777" w:rsidR="00F86953" w:rsidRDefault="00F86953">
            <w:pPr>
              <w:jc w:val="both"/>
              <w:rPr>
                <w:rFonts w:ascii="Times New Roman" w:hAnsi="Times New Roman" w:cs="Times New Roman"/>
                <w:sz w:val="28"/>
                <w:szCs w:val="28"/>
              </w:rPr>
            </w:pPr>
          </w:p>
        </w:tc>
      </w:tr>
      <w:tr w:rsidR="00F86953" w14:paraId="2A9B2754" w14:textId="77777777">
        <w:trPr>
          <w:tblCellSpacing w:w="15" w:type="dxa"/>
        </w:trPr>
        <w:tc>
          <w:tcPr>
            <w:tcW w:w="1379" w:type="pct"/>
            <w:tcBorders>
              <w:right w:val="single" w:sz="4" w:space="0" w:color="auto"/>
            </w:tcBorders>
            <w:vAlign w:val="center"/>
            <w:hideMark/>
          </w:tcPr>
          <w:p w14:paraId="55EE360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Organizational Performance</w:t>
            </w:r>
          </w:p>
        </w:tc>
        <w:tc>
          <w:tcPr>
            <w:tcW w:w="832" w:type="pct"/>
            <w:tcBorders>
              <w:right w:val="single" w:sz="4" w:space="0" w:color="auto"/>
            </w:tcBorders>
            <w:vAlign w:val="center"/>
            <w:hideMark/>
          </w:tcPr>
          <w:p w14:paraId="2E9CB41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0.58</w:t>
            </w:r>
          </w:p>
        </w:tc>
        <w:tc>
          <w:tcPr>
            <w:tcW w:w="1212" w:type="pct"/>
            <w:tcBorders>
              <w:right w:val="single" w:sz="4" w:space="0" w:color="auto"/>
            </w:tcBorders>
            <w:vAlign w:val="center"/>
            <w:hideMark/>
          </w:tcPr>
          <w:p w14:paraId="4CB4C91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0.64</w:t>
            </w:r>
          </w:p>
        </w:tc>
        <w:tc>
          <w:tcPr>
            <w:tcW w:w="1497" w:type="pct"/>
            <w:vAlign w:val="center"/>
            <w:hideMark/>
          </w:tcPr>
          <w:p w14:paraId="4E944EAD"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0.84</w:t>
            </w:r>
          </w:p>
        </w:tc>
      </w:tr>
    </w:tbl>
    <w:p w14:paraId="1D408B3F" w14:textId="77777777" w:rsidR="00F86953" w:rsidRDefault="00F71FC0">
      <w:pPr>
        <w:jc w:val="both"/>
        <w:rPr>
          <w:rFonts w:ascii="Times New Roman" w:hAnsi="Times New Roman" w:cs="Times New Roman"/>
          <w:sz w:val="28"/>
          <w:szCs w:val="28"/>
        </w:rPr>
      </w:pPr>
      <w:r>
        <w:rPr>
          <w:rFonts w:ascii="Times New Roman" w:hAnsi="Times New Roman" w:cs="Times New Roman"/>
          <w:i/>
          <w:iCs/>
          <w:sz w:val="28"/>
          <w:szCs w:val="28"/>
        </w:rPr>
        <w:t>Note: Diagonal items (bold) are square root of AVE. Inter-construct correlations are indicated by off-diagonal elements.</w:t>
      </w:r>
    </w:p>
    <w:p w14:paraId="502ABF89"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4.3 Structural Model Assessment</w:t>
      </w:r>
    </w:p>
    <w:p w14:paraId="1302C7D5"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Model Fit and Explanatory Power</w:t>
      </w:r>
      <w:r>
        <w:rPr>
          <w:rFonts w:ascii="Times New Roman" w:hAnsi="Times New Roman" w:cs="Times New Roman"/>
          <w:sz w:val="28"/>
          <w:szCs w:val="28"/>
        </w:rPr>
        <w:t>: Model Fit and Explanatory Power: The structural model predicted employee engagement (R2 =.372) and organizational performance (R2 =.516) by 37.2 per cent and 51.6 per cent, respectively, which is a significant predictive power (Hair et al., 2019). The values of Stone-Geisser Q2 were positive (engagement Q2 =.289; performance Q2 =.384), which proved the predictive relevance (Shmueli et al., 2019).</w:t>
      </w:r>
    </w:p>
    <w:p w14:paraId="6CB900C8"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Hypothesis Testing</w:t>
      </w:r>
      <w:r>
        <w:rPr>
          <w:rFonts w:ascii="Times New Roman" w:hAnsi="Times New Roman" w:cs="Times New Roman"/>
          <w:sz w:val="28"/>
          <w:szCs w:val="28"/>
        </w:rPr>
        <w:t>: Table 5 has the path coefficients and hypothesis testing values. H1 assumed that there should have been a positive relationship between TQM and engagement. This was highly validated (b =.610, t =14.32, p &lt;.001), which means that a full-fledged TQM activity drives employee engagement significantly. H2 speculated a positive engagement performance relationship. This was justified (b =.487, t = 9.76, p &lt;.001) which showed that involved employees are an important contributor to the performance of an organization. The TQM-performance dyadic relationship was also important (b =.241, t =4.58, p&lt;.001) indicating partial mediation.</w:t>
      </w:r>
    </w:p>
    <w:p w14:paraId="105FE0A9"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Table 5: structure model results and test of hypothesis.</w:t>
      </w:r>
    </w:p>
    <w:tbl>
      <w:tblPr>
        <w:tblW w:w="5051"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2292"/>
        <w:gridCol w:w="710"/>
        <w:gridCol w:w="690"/>
        <w:gridCol w:w="718"/>
        <w:gridCol w:w="735"/>
        <w:gridCol w:w="945"/>
        <w:gridCol w:w="1222"/>
        <w:gridCol w:w="715"/>
      </w:tblGrid>
      <w:tr w:rsidR="00F86953" w14:paraId="3E0FE416" w14:textId="77777777">
        <w:trPr>
          <w:tblHeader/>
          <w:tblCellSpacing w:w="15" w:type="dxa"/>
        </w:trPr>
        <w:tc>
          <w:tcPr>
            <w:tcW w:w="727" w:type="pct"/>
            <w:tcBorders>
              <w:bottom w:val="single" w:sz="4" w:space="0" w:color="auto"/>
              <w:right w:val="single" w:sz="4" w:space="0" w:color="auto"/>
            </w:tcBorders>
            <w:vAlign w:val="center"/>
            <w:hideMark/>
          </w:tcPr>
          <w:p w14:paraId="493A6B5E"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Hypothesis</w:t>
            </w:r>
          </w:p>
        </w:tc>
        <w:tc>
          <w:tcPr>
            <w:tcW w:w="1264" w:type="pct"/>
            <w:tcBorders>
              <w:bottom w:val="single" w:sz="4" w:space="0" w:color="auto"/>
            </w:tcBorders>
            <w:vAlign w:val="center"/>
            <w:hideMark/>
          </w:tcPr>
          <w:p w14:paraId="6135C2EC"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Path</w:t>
            </w:r>
          </w:p>
        </w:tc>
        <w:tc>
          <w:tcPr>
            <w:tcW w:w="286" w:type="pct"/>
            <w:tcBorders>
              <w:left w:val="single" w:sz="4" w:space="0" w:color="auto"/>
              <w:bottom w:val="single" w:sz="4" w:space="0" w:color="auto"/>
              <w:right w:val="single" w:sz="4" w:space="0" w:color="auto"/>
            </w:tcBorders>
            <w:vAlign w:val="center"/>
            <w:hideMark/>
          </w:tcPr>
          <w:p w14:paraId="6683C667"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β</w:t>
            </w:r>
          </w:p>
        </w:tc>
        <w:tc>
          <w:tcPr>
            <w:tcW w:w="275" w:type="pct"/>
            <w:tcBorders>
              <w:bottom w:val="single" w:sz="4" w:space="0" w:color="auto"/>
            </w:tcBorders>
            <w:vAlign w:val="center"/>
            <w:hideMark/>
          </w:tcPr>
          <w:p w14:paraId="685F421F"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SE</w:t>
            </w:r>
          </w:p>
        </w:tc>
        <w:tc>
          <w:tcPr>
            <w:tcW w:w="392" w:type="pct"/>
            <w:tcBorders>
              <w:left w:val="single" w:sz="4" w:space="0" w:color="auto"/>
              <w:bottom w:val="single" w:sz="4" w:space="0" w:color="auto"/>
              <w:right w:val="single" w:sz="4" w:space="0" w:color="auto"/>
            </w:tcBorders>
            <w:vAlign w:val="center"/>
            <w:hideMark/>
          </w:tcPr>
          <w:p w14:paraId="29787DE6"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t-value</w:t>
            </w:r>
          </w:p>
        </w:tc>
        <w:tc>
          <w:tcPr>
            <w:tcW w:w="412" w:type="pct"/>
            <w:tcBorders>
              <w:bottom w:val="single" w:sz="4" w:space="0" w:color="auto"/>
              <w:right w:val="single" w:sz="4" w:space="0" w:color="auto"/>
            </w:tcBorders>
            <w:vAlign w:val="center"/>
            <w:hideMark/>
          </w:tcPr>
          <w:p w14:paraId="0E82A3D8"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p-value</w:t>
            </w:r>
          </w:p>
        </w:tc>
        <w:tc>
          <w:tcPr>
            <w:tcW w:w="522" w:type="pct"/>
            <w:tcBorders>
              <w:bottom w:val="single" w:sz="4" w:space="0" w:color="auto"/>
              <w:right w:val="single" w:sz="4" w:space="0" w:color="auto"/>
            </w:tcBorders>
            <w:vAlign w:val="center"/>
            <w:hideMark/>
          </w:tcPr>
          <w:p w14:paraId="44D44D4A"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95% CI</w:t>
            </w:r>
          </w:p>
        </w:tc>
        <w:tc>
          <w:tcPr>
            <w:tcW w:w="632" w:type="pct"/>
            <w:tcBorders>
              <w:bottom w:val="single" w:sz="4" w:space="0" w:color="auto"/>
              <w:right w:val="single" w:sz="4" w:space="0" w:color="auto"/>
            </w:tcBorders>
            <w:vAlign w:val="center"/>
            <w:hideMark/>
          </w:tcPr>
          <w:p w14:paraId="1FA5F616"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Decision</w:t>
            </w:r>
          </w:p>
        </w:tc>
        <w:tc>
          <w:tcPr>
            <w:tcW w:w="331" w:type="pct"/>
            <w:tcBorders>
              <w:bottom w:val="single" w:sz="4" w:space="0" w:color="auto"/>
            </w:tcBorders>
            <w:vAlign w:val="center"/>
            <w:hideMark/>
          </w:tcPr>
          <w:p w14:paraId="3CDE7A8A"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f²</w:t>
            </w:r>
          </w:p>
        </w:tc>
      </w:tr>
      <w:tr w:rsidR="00F86953" w14:paraId="6307C6D7" w14:textId="77777777">
        <w:trPr>
          <w:tblCellSpacing w:w="15" w:type="dxa"/>
        </w:trPr>
        <w:tc>
          <w:tcPr>
            <w:tcW w:w="727" w:type="pct"/>
            <w:tcBorders>
              <w:right w:val="single" w:sz="4" w:space="0" w:color="auto"/>
            </w:tcBorders>
            <w:vAlign w:val="center"/>
            <w:hideMark/>
          </w:tcPr>
          <w:p w14:paraId="02AE05A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H1</w:t>
            </w:r>
          </w:p>
        </w:tc>
        <w:tc>
          <w:tcPr>
            <w:tcW w:w="1264" w:type="pct"/>
            <w:vAlign w:val="center"/>
            <w:hideMark/>
          </w:tcPr>
          <w:p w14:paraId="691C5D9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TQM Engagement</w:t>
            </w:r>
          </w:p>
        </w:tc>
        <w:tc>
          <w:tcPr>
            <w:tcW w:w="286" w:type="pct"/>
            <w:tcBorders>
              <w:left w:val="single" w:sz="4" w:space="0" w:color="auto"/>
              <w:right w:val="single" w:sz="4" w:space="0" w:color="auto"/>
            </w:tcBorders>
            <w:vAlign w:val="center"/>
            <w:hideMark/>
          </w:tcPr>
          <w:p w14:paraId="004050D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0.610</w:t>
            </w:r>
          </w:p>
        </w:tc>
        <w:tc>
          <w:tcPr>
            <w:tcW w:w="275" w:type="pct"/>
            <w:vAlign w:val="center"/>
            <w:hideMark/>
          </w:tcPr>
          <w:p w14:paraId="3E6A1BC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0.043</w:t>
            </w:r>
          </w:p>
        </w:tc>
        <w:tc>
          <w:tcPr>
            <w:tcW w:w="392" w:type="pct"/>
            <w:tcBorders>
              <w:left w:val="single" w:sz="4" w:space="0" w:color="auto"/>
              <w:right w:val="single" w:sz="4" w:space="0" w:color="auto"/>
            </w:tcBorders>
            <w:vAlign w:val="center"/>
            <w:hideMark/>
          </w:tcPr>
          <w:p w14:paraId="07B95D3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14.32</w:t>
            </w:r>
          </w:p>
        </w:tc>
        <w:tc>
          <w:tcPr>
            <w:tcW w:w="412" w:type="pct"/>
            <w:tcBorders>
              <w:right w:val="single" w:sz="4" w:space="0" w:color="auto"/>
            </w:tcBorders>
            <w:vAlign w:val="center"/>
            <w:hideMark/>
          </w:tcPr>
          <w:p w14:paraId="6D39013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&lt;.001</w:t>
            </w:r>
          </w:p>
        </w:tc>
        <w:tc>
          <w:tcPr>
            <w:tcW w:w="522" w:type="pct"/>
            <w:tcBorders>
              <w:right w:val="single" w:sz="4" w:space="0" w:color="auto"/>
            </w:tcBorders>
            <w:vAlign w:val="center"/>
            <w:hideMark/>
          </w:tcPr>
          <w:p w14:paraId="3EF12BD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[0.528, 0.692]</w:t>
            </w:r>
          </w:p>
        </w:tc>
        <w:tc>
          <w:tcPr>
            <w:tcW w:w="632" w:type="pct"/>
            <w:tcBorders>
              <w:right w:val="single" w:sz="4" w:space="0" w:color="auto"/>
            </w:tcBorders>
            <w:vAlign w:val="center"/>
            <w:hideMark/>
          </w:tcPr>
          <w:p w14:paraId="452CD22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Supported</w:t>
            </w:r>
          </w:p>
        </w:tc>
        <w:tc>
          <w:tcPr>
            <w:tcW w:w="331" w:type="pct"/>
            <w:vAlign w:val="center"/>
            <w:hideMark/>
          </w:tcPr>
          <w:p w14:paraId="6387926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0.594</w:t>
            </w:r>
          </w:p>
        </w:tc>
      </w:tr>
      <w:tr w:rsidR="00F86953" w14:paraId="65F05D2D" w14:textId="77777777">
        <w:trPr>
          <w:tblCellSpacing w:w="15" w:type="dxa"/>
        </w:trPr>
        <w:tc>
          <w:tcPr>
            <w:tcW w:w="727" w:type="pct"/>
            <w:tcBorders>
              <w:top w:val="single" w:sz="4" w:space="0" w:color="auto"/>
              <w:bottom w:val="single" w:sz="4" w:space="0" w:color="auto"/>
              <w:right w:val="single" w:sz="4" w:space="0" w:color="auto"/>
            </w:tcBorders>
            <w:vAlign w:val="center"/>
            <w:hideMark/>
          </w:tcPr>
          <w:p w14:paraId="3C640F0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H2</w:t>
            </w:r>
          </w:p>
        </w:tc>
        <w:tc>
          <w:tcPr>
            <w:tcW w:w="1264" w:type="pct"/>
            <w:tcBorders>
              <w:top w:val="single" w:sz="4" w:space="0" w:color="auto"/>
              <w:bottom w:val="single" w:sz="4" w:space="0" w:color="auto"/>
            </w:tcBorders>
            <w:vAlign w:val="center"/>
            <w:hideMark/>
          </w:tcPr>
          <w:p w14:paraId="65A07E9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Engagement Performance</w:t>
            </w:r>
          </w:p>
        </w:tc>
        <w:tc>
          <w:tcPr>
            <w:tcW w:w="286" w:type="pct"/>
            <w:tcBorders>
              <w:top w:val="single" w:sz="4" w:space="0" w:color="auto"/>
              <w:left w:val="single" w:sz="4" w:space="0" w:color="auto"/>
              <w:bottom w:val="single" w:sz="4" w:space="0" w:color="auto"/>
              <w:right w:val="single" w:sz="4" w:space="0" w:color="auto"/>
            </w:tcBorders>
            <w:vAlign w:val="center"/>
            <w:hideMark/>
          </w:tcPr>
          <w:p w14:paraId="59254FE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0.487</w:t>
            </w:r>
          </w:p>
        </w:tc>
        <w:tc>
          <w:tcPr>
            <w:tcW w:w="275" w:type="pct"/>
            <w:tcBorders>
              <w:top w:val="single" w:sz="4" w:space="0" w:color="auto"/>
              <w:bottom w:val="single" w:sz="4" w:space="0" w:color="auto"/>
            </w:tcBorders>
            <w:vAlign w:val="center"/>
            <w:hideMark/>
          </w:tcPr>
          <w:p w14:paraId="07774416"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0.050</w:t>
            </w:r>
          </w:p>
        </w:tc>
        <w:tc>
          <w:tcPr>
            <w:tcW w:w="392" w:type="pct"/>
            <w:tcBorders>
              <w:top w:val="single" w:sz="4" w:space="0" w:color="auto"/>
              <w:left w:val="single" w:sz="4" w:space="0" w:color="auto"/>
              <w:bottom w:val="single" w:sz="4" w:space="0" w:color="auto"/>
              <w:right w:val="single" w:sz="4" w:space="0" w:color="auto"/>
            </w:tcBorders>
            <w:vAlign w:val="center"/>
            <w:hideMark/>
          </w:tcPr>
          <w:p w14:paraId="057BBA7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9.76</w:t>
            </w:r>
          </w:p>
        </w:tc>
        <w:tc>
          <w:tcPr>
            <w:tcW w:w="412" w:type="pct"/>
            <w:tcBorders>
              <w:top w:val="single" w:sz="4" w:space="0" w:color="auto"/>
              <w:bottom w:val="single" w:sz="4" w:space="0" w:color="auto"/>
              <w:right w:val="single" w:sz="4" w:space="0" w:color="auto"/>
            </w:tcBorders>
            <w:vAlign w:val="center"/>
            <w:hideMark/>
          </w:tcPr>
          <w:p w14:paraId="76AC283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&lt;.001</w:t>
            </w:r>
          </w:p>
        </w:tc>
        <w:tc>
          <w:tcPr>
            <w:tcW w:w="522" w:type="pct"/>
            <w:tcBorders>
              <w:top w:val="single" w:sz="4" w:space="0" w:color="auto"/>
              <w:bottom w:val="single" w:sz="4" w:space="0" w:color="auto"/>
              <w:right w:val="single" w:sz="4" w:space="0" w:color="auto"/>
            </w:tcBorders>
            <w:vAlign w:val="center"/>
            <w:hideMark/>
          </w:tcPr>
          <w:p w14:paraId="459085E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[.389, .585]</w:t>
            </w:r>
          </w:p>
        </w:tc>
        <w:tc>
          <w:tcPr>
            <w:tcW w:w="632" w:type="pct"/>
            <w:tcBorders>
              <w:top w:val="single" w:sz="4" w:space="0" w:color="auto"/>
              <w:bottom w:val="single" w:sz="4" w:space="0" w:color="auto"/>
              <w:right w:val="single" w:sz="4" w:space="0" w:color="auto"/>
            </w:tcBorders>
            <w:vAlign w:val="center"/>
            <w:hideMark/>
          </w:tcPr>
          <w:p w14:paraId="546E9FF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Supported</w:t>
            </w:r>
          </w:p>
        </w:tc>
        <w:tc>
          <w:tcPr>
            <w:tcW w:w="331" w:type="pct"/>
            <w:tcBorders>
              <w:top w:val="single" w:sz="4" w:space="0" w:color="auto"/>
              <w:bottom w:val="single" w:sz="4" w:space="0" w:color="auto"/>
            </w:tcBorders>
            <w:vAlign w:val="center"/>
            <w:hideMark/>
          </w:tcPr>
          <w:p w14:paraId="32FB18BA"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0.289</w:t>
            </w:r>
          </w:p>
        </w:tc>
      </w:tr>
      <w:tr w:rsidR="00F86953" w14:paraId="75189A3E" w14:textId="77777777">
        <w:trPr>
          <w:tblCellSpacing w:w="15" w:type="dxa"/>
        </w:trPr>
        <w:tc>
          <w:tcPr>
            <w:tcW w:w="727" w:type="pct"/>
            <w:tcBorders>
              <w:right w:val="single" w:sz="4" w:space="0" w:color="auto"/>
            </w:tcBorders>
            <w:vAlign w:val="center"/>
            <w:hideMark/>
          </w:tcPr>
          <w:p w14:paraId="51337DB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w:t>
            </w:r>
          </w:p>
        </w:tc>
        <w:tc>
          <w:tcPr>
            <w:tcW w:w="1264" w:type="pct"/>
            <w:vAlign w:val="center"/>
            <w:hideMark/>
          </w:tcPr>
          <w:p w14:paraId="3F6B6ED6"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TQM Performance (direct)</w:t>
            </w:r>
          </w:p>
        </w:tc>
        <w:tc>
          <w:tcPr>
            <w:tcW w:w="286" w:type="pct"/>
            <w:tcBorders>
              <w:left w:val="single" w:sz="4" w:space="0" w:color="auto"/>
              <w:right w:val="single" w:sz="4" w:space="0" w:color="auto"/>
            </w:tcBorders>
            <w:vAlign w:val="center"/>
            <w:hideMark/>
          </w:tcPr>
          <w:p w14:paraId="1787E3E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0.241</w:t>
            </w:r>
          </w:p>
        </w:tc>
        <w:tc>
          <w:tcPr>
            <w:tcW w:w="275" w:type="pct"/>
            <w:vAlign w:val="center"/>
            <w:hideMark/>
          </w:tcPr>
          <w:p w14:paraId="533EFECA"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0.053</w:t>
            </w:r>
          </w:p>
        </w:tc>
        <w:tc>
          <w:tcPr>
            <w:tcW w:w="392" w:type="pct"/>
            <w:tcBorders>
              <w:left w:val="single" w:sz="4" w:space="0" w:color="auto"/>
              <w:right w:val="single" w:sz="4" w:space="0" w:color="auto"/>
            </w:tcBorders>
            <w:vAlign w:val="center"/>
            <w:hideMark/>
          </w:tcPr>
          <w:p w14:paraId="32C17E79"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4.58</w:t>
            </w:r>
          </w:p>
        </w:tc>
        <w:tc>
          <w:tcPr>
            <w:tcW w:w="412" w:type="pct"/>
            <w:tcBorders>
              <w:right w:val="single" w:sz="4" w:space="0" w:color="auto"/>
            </w:tcBorders>
            <w:vAlign w:val="center"/>
            <w:hideMark/>
          </w:tcPr>
          <w:p w14:paraId="441DC1C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&lt;.001</w:t>
            </w:r>
          </w:p>
        </w:tc>
        <w:tc>
          <w:tcPr>
            <w:tcW w:w="522" w:type="pct"/>
            <w:tcBorders>
              <w:right w:val="single" w:sz="4" w:space="0" w:color="auto"/>
            </w:tcBorders>
            <w:vAlign w:val="center"/>
            <w:hideMark/>
          </w:tcPr>
          <w:p w14:paraId="44A080C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[.138, .344]</w:t>
            </w:r>
          </w:p>
        </w:tc>
        <w:tc>
          <w:tcPr>
            <w:tcW w:w="632" w:type="pct"/>
            <w:tcBorders>
              <w:right w:val="single" w:sz="4" w:space="0" w:color="auto"/>
            </w:tcBorders>
            <w:vAlign w:val="center"/>
            <w:hideMark/>
          </w:tcPr>
          <w:p w14:paraId="5C79520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w:t>
            </w:r>
          </w:p>
        </w:tc>
        <w:tc>
          <w:tcPr>
            <w:tcW w:w="331" w:type="pct"/>
            <w:vAlign w:val="center"/>
            <w:hideMark/>
          </w:tcPr>
          <w:p w14:paraId="354D6496"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0.071</w:t>
            </w:r>
          </w:p>
        </w:tc>
      </w:tr>
    </w:tbl>
    <w:p w14:paraId="4BE22EDD" w14:textId="77777777" w:rsidR="00F86953" w:rsidRDefault="00F71FC0">
      <w:pPr>
        <w:jc w:val="both"/>
        <w:rPr>
          <w:rFonts w:ascii="Times New Roman" w:hAnsi="Times New Roman" w:cs="Times New Roman"/>
          <w:sz w:val="28"/>
          <w:szCs w:val="28"/>
        </w:rPr>
      </w:pPr>
      <w:r>
        <w:rPr>
          <w:rFonts w:ascii="Times New Roman" w:hAnsi="Times New Roman" w:cs="Times New Roman"/>
          <w:i/>
          <w:iCs/>
          <w:sz w:val="28"/>
          <w:szCs w:val="28"/>
        </w:rPr>
        <w:t>Note: b = Standardized path coefficient; SE = Standard error; CI = Confidence interval (bias-corrected, 5,000 bootstrap samples); f2 = Effect size (small =.02, medium=.15, large=.35).</w:t>
      </w:r>
    </w:p>
    <w:p w14:paraId="3F2CB551"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Mediation Analysis</w:t>
      </w:r>
      <w:r>
        <w:rPr>
          <w:rFonts w:ascii="Times New Roman" w:hAnsi="Times New Roman" w:cs="Times New Roman"/>
          <w:sz w:val="28"/>
          <w:szCs w:val="28"/>
        </w:rPr>
        <w:t>: H3: The employee engagement mediates the TQM-performance relationship. Indirect effects were obtained with bias-corrected confidence intervals that were produced by bootstrapping (5,000 resamples) (Table 6). The effect was significant (b =.297, 95% CI [.231, .368]) in favour of H3. Variance Accounted For (VAF) was:</w:t>
      </w:r>
    </w:p>
    <w:p w14:paraId="3134C6E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VAF = Indirect Effect / Total Effect =.297/ (.241 +.297) =.552 (55.2)</w:t>
      </w:r>
    </w:p>
    <w:p w14:paraId="50BE9980"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The VAF of 55.2% is a partial mediation, where about 55 percent of the overall impact of TQM is conducted through employee engagement (Hair et al., 2019).</w:t>
      </w:r>
    </w:p>
    <w:p w14:paraId="3B13B5B1"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Table 6: Mediation Analysis Results</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858"/>
        <w:gridCol w:w="3191"/>
        <w:gridCol w:w="794"/>
        <w:gridCol w:w="710"/>
        <w:gridCol w:w="777"/>
        <w:gridCol w:w="1147"/>
        <w:gridCol w:w="873"/>
      </w:tblGrid>
      <w:tr w:rsidR="00F86953" w14:paraId="5D1D623F" w14:textId="77777777">
        <w:trPr>
          <w:tblHeader/>
          <w:tblCellSpacing w:w="15" w:type="dxa"/>
        </w:trPr>
        <w:tc>
          <w:tcPr>
            <w:tcW w:w="984" w:type="pct"/>
            <w:tcBorders>
              <w:right w:val="single" w:sz="4" w:space="0" w:color="auto"/>
            </w:tcBorders>
            <w:vAlign w:val="center"/>
            <w:hideMark/>
          </w:tcPr>
          <w:p w14:paraId="7E2E1A3E"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Effect Type</w:t>
            </w:r>
          </w:p>
        </w:tc>
        <w:tc>
          <w:tcPr>
            <w:tcW w:w="1704" w:type="pct"/>
            <w:vAlign w:val="center"/>
            <w:hideMark/>
          </w:tcPr>
          <w:p w14:paraId="49B1BFA6"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Path</w:t>
            </w:r>
          </w:p>
        </w:tc>
        <w:tc>
          <w:tcPr>
            <w:tcW w:w="409" w:type="pct"/>
            <w:tcBorders>
              <w:left w:val="single" w:sz="4" w:space="0" w:color="auto"/>
            </w:tcBorders>
            <w:vAlign w:val="center"/>
            <w:hideMark/>
          </w:tcPr>
          <w:p w14:paraId="43121859"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β</w:t>
            </w:r>
          </w:p>
        </w:tc>
        <w:tc>
          <w:tcPr>
            <w:tcW w:w="289" w:type="pct"/>
            <w:tcBorders>
              <w:left w:val="single" w:sz="4" w:space="0" w:color="auto"/>
              <w:right w:val="single" w:sz="4" w:space="0" w:color="auto"/>
            </w:tcBorders>
            <w:vAlign w:val="center"/>
            <w:hideMark/>
          </w:tcPr>
          <w:p w14:paraId="283CEE64"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SE</w:t>
            </w:r>
          </w:p>
        </w:tc>
        <w:tc>
          <w:tcPr>
            <w:tcW w:w="425" w:type="pct"/>
            <w:tcBorders>
              <w:right w:val="single" w:sz="4" w:space="0" w:color="auto"/>
            </w:tcBorders>
            <w:vAlign w:val="center"/>
            <w:hideMark/>
          </w:tcPr>
          <w:p w14:paraId="449246EC"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t-value</w:t>
            </w:r>
          </w:p>
        </w:tc>
        <w:tc>
          <w:tcPr>
            <w:tcW w:w="611" w:type="pct"/>
            <w:tcBorders>
              <w:right w:val="single" w:sz="4" w:space="0" w:color="auto"/>
            </w:tcBorders>
            <w:vAlign w:val="center"/>
            <w:hideMark/>
          </w:tcPr>
          <w:p w14:paraId="3AB7A859"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95% CI</w:t>
            </w:r>
          </w:p>
        </w:tc>
        <w:tc>
          <w:tcPr>
            <w:tcW w:w="450" w:type="pct"/>
            <w:vAlign w:val="center"/>
            <w:hideMark/>
          </w:tcPr>
          <w:p w14:paraId="32C2254A"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p-value</w:t>
            </w:r>
          </w:p>
        </w:tc>
      </w:tr>
      <w:tr w:rsidR="00F86953" w14:paraId="52D49A5B" w14:textId="77777777">
        <w:trPr>
          <w:tblCellSpacing w:w="15" w:type="dxa"/>
        </w:trPr>
        <w:tc>
          <w:tcPr>
            <w:tcW w:w="984" w:type="pct"/>
            <w:tcBorders>
              <w:top w:val="single" w:sz="4" w:space="0" w:color="auto"/>
              <w:right w:val="single" w:sz="4" w:space="0" w:color="auto"/>
            </w:tcBorders>
            <w:vAlign w:val="center"/>
            <w:hideMark/>
          </w:tcPr>
          <w:p w14:paraId="4B4EE6F9"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Direct Effect</w:t>
            </w:r>
          </w:p>
        </w:tc>
        <w:tc>
          <w:tcPr>
            <w:tcW w:w="1704" w:type="pct"/>
            <w:tcBorders>
              <w:top w:val="single" w:sz="4" w:space="0" w:color="auto"/>
            </w:tcBorders>
            <w:vAlign w:val="center"/>
            <w:hideMark/>
          </w:tcPr>
          <w:p w14:paraId="2CFFC15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TQM → Performance</w:t>
            </w:r>
          </w:p>
        </w:tc>
        <w:tc>
          <w:tcPr>
            <w:tcW w:w="409" w:type="pct"/>
            <w:tcBorders>
              <w:top w:val="single" w:sz="4" w:space="0" w:color="auto"/>
              <w:left w:val="single" w:sz="4" w:space="0" w:color="auto"/>
            </w:tcBorders>
            <w:vAlign w:val="center"/>
            <w:hideMark/>
          </w:tcPr>
          <w:p w14:paraId="6AA9DDA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0.241</w:t>
            </w:r>
          </w:p>
        </w:tc>
        <w:tc>
          <w:tcPr>
            <w:tcW w:w="289" w:type="pct"/>
            <w:tcBorders>
              <w:top w:val="single" w:sz="4" w:space="0" w:color="auto"/>
              <w:left w:val="single" w:sz="4" w:space="0" w:color="auto"/>
              <w:right w:val="single" w:sz="4" w:space="0" w:color="auto"/>
            </w:tcBorders>
            <w:vAlign w:val="center"/>
            <w:hideMark/>
          </w:tcPr>
          <w:p w14:paraId="11A8695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0.053</w:t>
            </w:r>
          </w:p>
        </w:tc>
        <w:tc>
          <w:tcPr>
            <w:tcW w:w="425" w:type="pct"/>
            <w:tcBorders>
              <w:top w:val="single" w:sz="4" w:space="0" w:color="auto"/>
              <w:right w:val="single" w:sz="4" w:space="0" w:color="auto"/>
            </w:tcBorders>
            <w:vAlign w:val="center"/>
            <w:hideMark/>
          </w:tcPr>
          <w:p w14:paraId="04DD1DA0"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4.58</w:t>
            </w:r>
          </w:p>
        </w:tc>
        <w:tc>
          <w:tcPr>
            <w:tcW w:w="611" w:type="pct"/>
            <w:tcBorders>
              <w:top w:val="single" w:sz="4" w:space="0" w:color="auto"/>
              <w:right w:val="single" w:sz="4" w:space="0" w:color="auto"/>
            </w:tcBorders>
            <w:vAlign w:val="center"/>
            <w:hideMark/>
          </w:tcPr>
          <w:p w14:paraId="31C6246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[0.138, 0.344]</w:t>
            </w:r>
          </w:p>
        </w:tc>
        <w:tc>
          <w:tcPr>
            <w:tcW w:w="450" w:type="pct"/>
            <w:tcBorders>
              <w:top w:val="single" w:sz="4" w:space="0" w:color="auto"/>
            </w:tcBorders>
            <w:vAlign w:val="center"/>
            <w:hideMark/>
          </w:tcPr>
          <w:p w14:paraId="196F030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&lt;.001</w:t>
            </w:r>
          </w:p>
        </w:tc>
      </w:tr>
      <w:tr w:rsidR="00F86953" w14:paraId="3F0F01FD" w14:textId="77777777">
        <w:trPr>
          <w:tblCellSpacing w:w="15" w:type="dxa"/>
        </w:trPr>
        <w:tc>
          <w:tcPr>
            <w:tcW w:w="984" w:type="pct"/>
            <w:tcBorders>
              <w:top w:val="single" w:sz="4" w:space="0" w:color="auto"/>
              <w:right w:val="single" w:sz="4" w:space="0" w:color="auto"/>
            </w:tcBorders>
            <w:vAlign w:val="center"/>
            <w:hideMark/>
          </w:tcPr>
          <w:p w14:paraId="41327B56"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Indirect Effect</w:t>
            </w:r>
          </w:p>
        </w:tc>
        <w:tc>
          <w:tcPr>
            <w:tcW w:w="1704" w:type="pct"/>
            <w:tcBorders>
              <w:top w:val="single" w:sz="4" w:space="0" w:color="auto"/>
            </w:tcBorders>
            <w:vAlign w:val="center"/>
            <w:hideMark/>
          </w:tcPr>
          <w:p w14:paraId="48B269C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TQM → Engagement → Performance</w:t>
            </w:r>
          </w:p>
        </w:tc>
        <w:tc>
          <w:tcPr>
            <w:tcW w:w="409" w:type="pct"/>
            <w:tcBorders>
              <w:top w:val="single" w:sz="4" w:space="0" w:color="auto"/>
              <w:left w:val="single" w:sz="4" w:space="0" w:color="auto"/>
            </w:tcBorders>
            <w:vAlign w:val="center"/>
            <w:hideMark/>
          </w:tcPr>
          <w:p w14:paraId="7F90174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0.297</w:t>
            </w:r>
          </w:p>
        </w:tc>
        <w:tc>
          <w:tcPr>
            <w:tcW w:w="289" w:type="pct"/>
            <w:tcBorders>
              <w:top w:val="single" w:sz="4" w:space="0" w:color="auto"/>
              <w:left w:val="single" w:sz="4" w:space="0" w:color="auto"/>
              <w:right w:val="single" w:sz="4" w:space="0" w:color="auto"/>
            </w:tcBorders>
            <w:vAlign w:val="center"/>
            <w:hideMark/>
          </w:tcPr>
          <w:p w14:paraId="55DB17C0"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0.035</w:t>
            </w:r>
          </w:p>
        </w:tc>
        <w:tc>
          <w:tcPr>
            <w:tcW w:w="425" w:type="pct"/>
            <w:tcBorders>
              <w:top w:val="single" w:sz="4" w:space="0" w:color="auto"/>
              <w:right w:val="single" w:sz="4" w:space="0" w:color="auto"/>
            </w:tcBorders>
            <w:vAlign w:val="center"/>
            <w:hideMark/>
          </w:tcPr>
          <w:p w14:paraId="512B09E0"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8.49</w:t>
            </w:r>
          </w:p>
        </w:tc>
        <w:tc>
          <w:tcPr>
            <w:tcW w:w="611" w:type="pct"/>
            <w:tcBorders>
              <w:top w:val="single" w:sz="4" w:space="0" w:color="auto"/>
              <w:right w:val="single" w:sz="4" w:space="0" w:color="auto"/>
            </w:tcBorders>
            <w:vAlign w:val="center"/>
            <w:hideMark/>
          </w:tcPr>
          <w:p w14:paraId="7B26AA24"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[0.231, 0.368]</w:t>
            </w:r>
          </w:p>
        </w:tc>
        <w:tc>
          <w:tcPr>
            <w:tcW w:w="450" w:type="pct"/>
            <w:tcBorders>
              <w:top w:val="single" w:sz="4" w:space="0" w:color="auto"/>
            </w:tcBorders>
            <w:vAlign w:val="center"/>
            <w:hideMark/>
          </w:tcPr>
          <w:p w14:paraId="155A2A2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&lt;0.001</w:t>
            </w:r>
          </w:p>
        </w:tc>
      </w:tr>
      <w:tr w:rsidR="00F86953" w14:paraId="3B8B82B2" w14:textId="77777777">
        <w:trPr>
          <w:tblCellSpacing w:w="15" w:type="dxa"/>
        </w:trPr>
        <w:tc>
          <w:tcPr>
            <w:tcW w:w="984" w:type="pct"/>
            <w:tcBorders>
              <w:top w:val="single" w:sz="4" w:space="0" w:color="auto"/>
              <w:right w:val="single" w:sz="4" w:space="0" w:color="auto"/>
            </w:tcBorders>
            <w:vAlign w:val="center"/>
            <w:hideMark/>
          </w:tcPr>
          <w:p w14:paraId="3DCC241F"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Total Effect</w:t>
            </w:r>
          </w:p>
        </w:tc>
        <w:tc>
          <w:tcPr>
            <w:tcW w:w="1704" w:type="pct"/>
            <w:tcBorders>
              <w:top w:val="single" w:sz="4" w:space="0" w:color="auto"/>
            </w:tcBorders>
            <w:vAlign w:val="center"/>
            <w:hideMark/>
          </w:tcPr>
          <w:p w14:paraId="5B92919A"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TQM → Performance (total)</w:t>
            </w:r>
          </w:p>
        </w:tc>
        <w:tc>
          <w:tcPr>
            <w:tcW w:w="409" w:type="pct"/>
            <w:tcBorders>
              <w:top w:val="single" w:sz="4" w:space="0" w:color="auto"/>
              <w:left w:val="single" w:sz="4" w:space="0" w:color="auto"/>
            </w:tcBorders>
            <w:vAlign w:val="center"/>
            <w:hideMark/>
          </w:tcPr>
          <w:p w14:paraId="20E8A0B5"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0.538</w:t>
            </w:r>
          </w:p>
        </w:tc>
        <w:tc>
          <w:tcPr>
            <w:tcW w:w="289" w:type="pct"/>
            <w:tcBorders>
              <w:top w:val="single" w:sz="4" w:space="0" w:color="auto"/>
              <w:left w:val="single" w:sz="4" w:space="0" w:color="auto"/>
              <w:right w:val="single" w:sz="4" w:space="0" w:color="auto"/>
            </w:tcBorders>
            <w:vAlign w:val="center"/>
            <w:hideMark/>
          </w:tcPr>
          <w:p w14:paraId="1769F87A"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0.048</w:t>
            </w:r>
          </w:p>
        </w:tc>
        <w:tc>
          <w:tcPr>
            <w:tcW w:w="425" w:type="pct"/>
            <w:tcBorders>
              <w:top w:val="single" w:sz="4" w:space="0" w:color="auto"/>
              <w:right w:val="single" w:sz="4" w:space="0" w:color="auto"/>
            </w:tcBorders>
            <w:vAlign w:val="center"/>
            <w:hideMark/>
          </w:tcPr>
          <w:p w14:paraId="576E270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11.21</w:t>
            </w:r>
          </w:p>
        </w:tc>
        <w:tc>
          <w:tcPr>
            <w:tcW w:w="611" w:type="pct"/>
            <w:tcBorders>
              <w:top w:val="single" w:sz="4" w:space="0" w:color="auto"/>
              <w:right w:val="single" w:sz="4" w:space="0" w:color="auto"/>
            </w:tcBorders>
            <w:vAlign w:val="center"/>
            <w:hideMark/>
          </w:tcPr>
          <w:p w14:paraId="37DD098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[0.444, .632]</w:t>
            </w:r>
          </w:p>
        </w:tc>
        <w:tc>
          <w:tcPr>
            <w:tcW w:w="450" w:type="pct"/>
            <w:tcBorders>
              <w:top w:val="single" w:sz="4" w:space="0" w:color="auto"/>
            </w:tcBorders>
            <w:vAlign w:val="center"/>
            <w:hideMark/>
          </w:tcPr>
          <w:p w14:paraId="35C401F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&lt;0.001</w:t>
            </w:r>
          </w:p>
        </w:tc>
      </w:tr>
      <w:tr w:rsidR="00F86953" w14:paraId="6992A32B" w14:textId="77777777">
        <w:trPr>
          <w:tblCellSpacing w:w="15" w:type="dxa"/>
        </w:trPr>
        <w:tc>
          <w:tcPr>
            <w:tcW w:w="984" w:type="pct"/>
            <w:tcBorders>
              <w:top w:val="single" w:sz="4" w:space="0" w:color="auto"/>
              <w:right w:val="single" w:sz="4" w:space="0" w:color="auto"/>
            </w:tcBorders>
            <w:vAlign w:val="center"/>
            <w:hideMark/>
          </w:tcPr>
          <w:p w14:paraId="7221C213"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VAF</w:t>
            </w:r>
          </w:p>
        </w:tc>
        <w:tc>
          <w:tcPr>
            <w:tcW w:w="1704" w:type="pct"/>
            <w:tcBorders>
              <w:top w:val="single" w:sz="4" w:space="0" w:color="auto"/>
            </w:tcBorders>
            <w:vAlign w:val="center"/>
            <w:hideMark/>
          </w:tcPr>
          <w:p w14:paraId="141F43D3"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Indirect / Total</w:t>
            </w:r>
          </w:p>
        </w:tc>
        <w:tc>
          <w:tcPr>
            <w:tcW w:w="409" w:type="pct"/>
            <w:tcBorders>
              <w:top w:val="single" w:sz="4" w:space="0" w:color="auto"/>
              <w:left w:val="single" w:sz="4" w:space="0" w:color="auto"/>
            </w:tcBorders>
            <w:vAlign w:val="center"/>
            <w:hideMark/>
          </w:tcPr>
          <w:p w14:paraId="0E799EF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55.2%</w:t>
            </w:r>
          </w:p>
        </w:tc>
        <w:tc>
          <w:tcPr>
            <w:tcW w:w="289" w:type="pct"/>
            <w:tcBorders>
              <w:top w:val="single" w:sz="4" w:space="0" w:color="auto"/>
              <w:left w:val="single" w:sz="4" w:space="0" w:color="auto"/>
              <w:right w:val="single" w:sz="4" w:space="0" w:color="auto"/>
            </w:tcBorders>
            <w:vAlign w:val="center"/>
            <w:hideMark/>
          </w:tcPr>
          <w:p w14:paraId="6AD33A3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w:t>
            </w:r>
          </w:p>
        </w:tc>
        <w:tc>
          <w:tcPr>
            <w:tcW w:w="425" w:type="pct"/>
            <w:tcBorders>
              <w:top w:val="single" w:sz="4" w:space="0" w:color="auto"/>
              <w:right w:val="single" w:sz="4" w:space="0" w:color="auto"/>
            </w:tcBorders>
            <w:vAlign w:val="center"/>
            <w:hideMark/>
          </w:tcPr>
          <w:p w14:paraId="446E73A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w:t>
            </w:r>
          </w:p>
        </w:tc>
        <w:tc>
          <w:tcPr>
            <w:tcW w:w="611" w:type="pct"/>
            <w:tcBorders>
              <w:top w:val="single" w:sz="4" w:space="0" w:color="auto"/>
              <w:right w:val="single" w:sz="4" w:space="0" w:color="auto"/>
            </w:tcBorders>
            <w:vAlign w:val="center"/>
            <w:hideMark/>
          </w:tcPr>
          <w:p w14:paraId="5C57B5B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w:t>
            </w:r>
          </w:p>
        </w:tc>
        <w:tc>
          <w:tcPr>
            <w:tcW w:w="450" w:type="pct"/>
            <w:tcBorders>
              <w:top w:val="single" w:sz="4" w:space="0" w:color="auto"/>
            </w:tcBorders>
            <w:vAlign w:val="center"/>
            <w:hideMark/>
          </w:tcPr>
          <w:p w14:paraId="2BE41F54"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w:t>
            </w:r>
          </w:p>
        </w:tc>
      </w:tr>
    </w:tbl>
    <w:p w14:paraId="398A97AA" w14:textId="77777777" w:rsidR="00F86953" w:rsidRDefault="00F71FC0">
      <w:pPr>
        <w:jc w:val="both"/>
        <w:rPr>
          <w:rFonts w:ascii="Times New Roman" w:hAnsi="Times New Roman" w:cs="Times New Roman"/>
          <w:sz w:val="28"/>
          <w:szCs w:val="28"/>
        </w:rPr>
      </w:pPr>
      <w:r>
        <w:rPr>
          <w:rFonts w:ascii="Times New Roman" w:hAnsi="Times New Roman" w:cs="Times New Roman"/>
          <w:b/>
          <w:bCs/>
          <w:i/>
          <w:iCs/>
          <w:sz w:val="28"/>
          <w:szCs w:val="28"/>
        </w:rPr>
        <w:t>Note</w:t>
      </w:r>
      <w:r>
        <w:rPr>
          <w:rFonts w:ascii="Times New Roman" w:hAnsi="Times New Roman" w:cs="Times New Roman"/>
          <w:b/>
          <w:bCs/>
          <w:sz w:val="28"/>
          <w:szCs w:val="28"/>
        </w:rPr>
        <w:t>:</w:t>
      </w:r>
      <w:r>
        <w:rPr>
          <w:rFonts w:ascii="Times New Roman" w:hAnsi="Times New Roman" w:cs="Times New Roman"/>
          <w:sz w:val="28"/>
          <w:szCs w:val="28"/>
        </w:rPr>
        <w:t xml:space="preserve"> β = Standardized coefficient; SE = Standard error; CI = Bias-corrected confidence interval (5,000 bootstrap samples); VAF = Variance Accounted For (mediation strength: 20-80% = partial mediation).</w:t>
      </w:r>
    </w:p>
    <w:p w14:paraId="14E935F1" w14:textId="77777777"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Control Variables</w:t>
      </w:r>
      <w:r>
        <w:rPr>
          <w:rFonts w:ascii="Times New Roman" w:hAnsi="Times New Roman" w:cs="Times New Roman"/>
          <w:sz w:val="28"/>
          <w:szCs w:val="28"/>
        </w:rPr>
        <w:t>: Organizational tenure was also found to positively predict engagement (β = 0.132, p &lt; 0.05) and performance (β  = 0.108, p &lt; 0.05). The size of the bank was found to have a small positive impact on the performance (β  = 0.094, p &lt; 0.05). The other controls were insignificant.</w:t>
      </w:r>
    </w:p>
    <w:p w14:paraId="51C72894" w14:textId="77777777" w:rsidR="00F86953" w:rsidRDefault="00F86953">
      <w:pPr>
        <w:jc w:val="both"/>
        <w:rPr>
          <w:rFonts w:ascii="Times New Roman" w:hAnsi="Times New Roman" w:cs="Times New Roman"/>
          <w:sz w:val="28"/>
          <w:szCs w:val="28"/>
        </w:rPr>
      </w:pPr>
    </w:p>
    <w:p w14:paraId="606CA149" w14:textId="77777777" w:rsidR="00F86953" w:rsidRDefault="00F86953">
      <w:pPr>
        <w:jc w:val="both"/>
        <w:rPr>
          <w:rFonts w:ascii="Times New Roman" w:hAnsi="Times New Roman" w:cs="Times New Roman"/>
          <w:b/>
          <w:bCs/>
          <w:sz w:val="28"/>
          <w:szCs w:val="28"/>
        </w:rPr>
      </w:pPr>
    </w:p>
    <w:p w14:paraId="42746076"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5. Discussion</w:t>
      </w:r>
    </w:p>
    <w:p w14:paraId="05A55AC6"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5.1 Summary of Findings</w:t>
      </w:r>
    </w:p>
    <w:p w14:paraId="3398117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This paper examined employee engagement as an intermediate between TQM and organizational performance. All hypotheses were highly supported by the analysis of data concerning 265 management employees with the help of PLS-SEM. TQM practices were found to have a significant effect on employee engagement (H1 supported), engagement had a significant effect on organization performance (H2 supported), and the effects of engagement partially mediated the TQM-performance relationship with an indirect impact of 55.2 in the total effect (H3 supported).</w:t>
      </w:r>
    </w:p>
    <w:p w14:paraId="6BE3745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The findings contribute to the knowledge on the role of TQM in performance by determining the involvement of employees as an important psychological process. Instead of acting purely as an improvement of processes (technical), the performance benefits of TQM come with a significant payoff in terms of creating highly engaged employees who put in discretionary effort to ensure the success of an organisation.</w:t>
      </w:r>
    </w:p>
    <w:p w14:paraId="0FF2696D"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5.2 Theoretical Implications</w:t>
      </w:r>
    </w:p>
    <w:p w14:paraId="61C322F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This study has a number of theoretical contributions. One, it fills a major gap in TQM literature by going beyond the input-output models to shed light on the relevant mechanisms. Although vast literature exists on the performance effects of TQM (Sadikoglu and Zehir, 2010; Yusr et al., 2017), the reasons and mechanisms behind these effects have not been studied in depth (Dubey et al., 2019). Empirical evidence of a theoretically based mediation is the demonstration that 55% of the performance impact of TQM is mediated via employee engagement.</w:t>
      </w:r>
    </w:p>
    <w:p w14:paraId="1621F3B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Second, the results confirm the AMO theory and Social Exchange Theory in the context of TQM. According to AMO theory, ability, motivation, and opportunity are the factors that the employees need to have the performance (Appelbaum et al., 2000; Bos-Nehles et al., 2013). This paper shows that TQM practices that build abilities via training, motivate via participation and open opportunities via empowerment actually build engagement that revitalizes performance. The hypothesis of the Social Exchange theory that states that investments in an organization will eventually result in a reciprocal interaction is empirically validated (Cropanzano and Mitchell, 2005).</w:t>
      </w:r>
    </w:p>
    <w:p w14:paraId="2F8F88FA"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Third, the study incorporates hitherto disconnected literature in operations management (TQM) and organizational psychology (employee engagement), and establishes the complementary role of the two in the explanation of organizational performance. This synthesis of theory provides a better in-depth insight than either of the two literatures alone (Dubey et al., 2019).</w:t>
      </w:r>
    </w:p>
    <w:p w14:paraId="30869BF7"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Fourth, the partial mediation result is of theoretical importance. Full mediation would imply that TQM has a performance effect on the basis of engagement only. Partial mediation shows that although engagement is a pathway to critical processes, TQM generates performance effects in other ways that probably involve process improvements, waste reduction, and improved quality systems (Ali et al., 2022). It implies that TQM can be considered to have a dual-pathway model involving simultaneous work of TQM using technical/systemic and psychological/behavioral improvement (direct path and engagement-mediated path, respectively).</w:t>
      </w:r>
    </w:p>
    <w:p w14:paraId="371A0E99"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5.3 Practical Implications</w:t>
      </w:r>
    </w:p>
    <w:p w14:paraId="7DAEE270"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The results have practical implications on practitioners. To begin with, to ensure the maximization of the performance benefits of TQM, it is necessary to take clear consideration of the engagement of the employees beyond the technical quality systems. Companies cannot achieve the full potential of TQM by emphasizing on quality processes and ignoring the human resource aspect. Effective implementation of TQM requires the combination of both the systemic policy for quality improvement and the development of the engagement of employees.</w:t>
      </w:r>
    </w:p>
    <w:p w14:paraId="3931E13E"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It is important that managers understand that some aspects of TQM practices that promote engagement employee involvement, continuous learning, recognition systems, meaningful work are inherent and would need to be proactively activated and reinforced. As an example, to encourage authentic engagement, quality improvement teams need to be empowered in real sense, have the sufficient resources, and their contributions should be credited. The technical skills developed in training programs must be done in the process of conveying the organizational values and commitment to the development of the employees which signifies organizational investment leading to the social exchange processes.</w:t>
      </w:r>
    </w:p>
    <w:p w14:paraId="499AD96B"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Second, companies with problems related to TQM implementation can use the diagnosis of how well employees are engaged. Under-engagement can be taken to imply that TQM practices are seen as compliance-trap instead of improvement opportunities, and this should be communicated, empowered, or recognized to improve.</w:t>
      </w:r>
    </w:p>
    <w:p w14:paraId="5493CC2A"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Third, performance management systems must reward engagement based behaviors proactive identification of problems, suggestions on continuous improvement, teamwork, focus on customers not necessarily on technical quality measures alone. Reciprocal social exchange processes strengthen sustained engagement when employees feel that discretionary effort related to engagement is appreciated and rewarded (Khoreva and Wechtler, 2018).</w:t>
      </w:r>
    </w:p>
    <w:p w14:paraId="450C4F7C"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Fourth, the management leaders should be trained to develop engagement during the adoption of TQM. This needs to be a participative decision-making, genuine communication, coaching, and recognition skills, unlike the traditional command and control management.</w:t>
      </w:r>
    </w:p>
    <w:p w14:paraId="045214ED"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5.4 Limitations and Future Research</w:t>
      </w:r>
    </w:p>
    <w:p w14:paraId="5BF9898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In spite of these contributions, this study has limitations that indicate research directions in the future. To begin with, the cross sectional design does not enable the use of causal inferences. Causal assertions would be reinforced by longitudinal research of TQM implementation, engagement changes, and performance trajectories, and shed light on dynamic processes (Sila and Cek, 2017).</w:t>
      </w:r>
    </w:p>
    <w:p w14:paraId="0F1D3006"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 xml:space="preserve">Second, the single-respondent self-report measures face common method bias concerns, which they overcome. Designs that use many sources of TQM ratings of various stakeholders (e.g., managers, quality officers, and employees), engagement ratings of employees, and performance measures of objective records would reduce the method variance and offer more robust measures (Podsakoff et al., 2012). </w:t>
      </w:r>
    </w:p>
    <w:p w14:paraId="6DC809F4"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Third, there is a lack of generalizability because only Nigerian commercial banks were sampled. The quality challenges in manufacturing settings might have varying patterns of mediation depending on different quality challenges (Bortolotti et al., 2015). The study of cross-cultural data on the potential mediating role of engagement in the relationships between TQM and performance in individualist and collectivist cultures would help clarify the boundary conditions (Taras et al., 2010).</w:t>
      </w:r>
    </w:p>
    <w:p w14:paraId="2E32C330"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Fourth, TQM was not considered to be multidimensional in this study. Future studies may explore the different dimensions of TQM as predictors of engagement in a different way. Process management practices might be less directly relevant as compared to employee involvement practices (Ali et al., 2022).</w:t>
      </w:r>
    </w:p>
    <w:p w14:paraId="6C76D17D"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Fifth, partial mediation suggests that the engagement is significant in the performance effect of TQM, with the remaining 45 percent uncovered by other mechanisms. Future studies need to test other mediators organizational learning, innovation capability, organizational culture that can mediate the rest of the effects of TQM (Dubey et al., 2019). Several mediator models might shed light on comparative significance of several pathways.</w:t>
      </w:r>
    </w:p>
    <w:p w14:paraId="254FAC70"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6. Conclusion</w:t>
      </w:r>
    </w:p>
    <w:p w14:paraId="7C96FA42"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This study examined the employee engagement as the mediating factor between the TQM practices and organizational performance. Analysis of survey data of the 265 management level employees of the five banks in Nigeria based on PLS-SEM revealed strong support of all hypotheses. There was a great deal of predictability of employee engagement brought about by TQM practices that in turn were great predictors of organizational performance. Notably, the employee engagement mediated the relationship between TQM and performance by 55.2% of the overall impact.</w:t>
      </w:r>
    </w:p>
    <w:p w14:paraId="470BB14F"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These results contribute to theoretical knowledge by shedding light on how TQM affects performance not only in terms of technical quality enhancement but also in a significant way in terms of employee engagement. The findings combine operations management and organizational psychology literatures, which show that they complement each other in explaining organizational effectiveness.</w:t>
      </w:r>
    </w:p>
    <w:p w14:paraId="269DFCF1"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In practice, the results point to the notion that efficient implementation of TQM is imminent when appropriate concern to the engagement of the employees is given beyond quality systems. Organizations that intend to realize the maximum benefits of TQM ought to establish quality practices in a manner that fosters engagement by initiating genuine employee participation, sustaining learning opportunities, significant recognition as well as explicit connections between individual efforts and organizational goals. Leaders will need to build skills that will enable them to encourage conditions in the psychological sense that will allow interacting with them when introducing quality regimes. The performance management ought to reward the engagement related discretionary behaviors as well as the technical quality measures.</w:t>
      </w:r>
    </w:p>
    <w:p w14:paraId="15FD69D8"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Although limitations are present due to cross-sectional design and the use of a single source of data, the theoretical basis of the study, a valid methodology, and the large effect sizes give the study confidence in its conclusions. Causal inference would be better and the boundary conditions would be better realized in future longitudinal and multi-source studies across a variety of contexts.</w:t>
      </w:r>
    </w:p>
    <w:p w14:paraId="35D2311A" w14:textId="77777777" w:rsidR="00F86953" w:rsidRDefault="00F71FC0">
      <w:pPr>
        <w:jc w:val="both"/>
        <w:rPr>
          <w:rFonts w:ascii="Times New Roman" w:hAnsi="Times New Roman" w:cs="Times New Roman"/>
          <w:sz w:val="28"/>
          <w:szCs w:val="28"/>
        </w:rPr>
      </w:pPr>
      <w:r>
        <w:rPr>
          <w:rFonts w:ascii="Times New Roman" w:hAnsi="Times New Roman" w:cs="Times New Roman"/>
          <w:sz w:val="28"/>
          <w:szCs w:val="28"/>
        </w:rPr>
        <w:t>To sum up, employee engagement is a major process by which TQM practices can be transformed into organizational performance. Organizations that adopt TQM without developing engagement run the risk of achieving partial gains whereas those that integrate the quality systems with the systems of developing engagement human resource practices are placed at an advantageous position of performing better. The results of this study highlight the importance of holistic approaches that acknowledge quality management as both an activity that is more of a technical nature and human in nature where systematic process improvements are also employed in addition to the psychological requirements that make the employees have energy to drive towards a state of excellence.</w:t>
      </w:r>
    </w:p>
    <w:p w14:paraId="5BB27DAC" w14:textId="77777777" w:rsidR="00AC67F9" w:rsidRDefault="00AC67F9" w:rsidP="00AC67F9">
      <w:pPr>
        <w:rPr>
          <w:rFonts w:cs="Times New Roman"/>
          <w:highlight w:val="yellow"/>
        </w:rPr>
      </w:pPr>
      <w:bookmarkStart w:id="0" w:name="_Hlk218868534"/>
    </w:p>
    <w:p w14:paraId="698C1768" w14:textId="77777777" w:rsidR="00AC67F9" w:rsidRPr="00005ED1" w:rsidRDefault="00AC67F9" w:rsidP="00AC67F9">
      <w:pPr>
        <w:pStyle w:val="NoSpacing"/>
        <w:rPr>
          <w:rFonts w:ascii="Arial" w:hAnsi="Arial" w:cs="Arial"/>
          <w:highlight w:val="yellow"/>
        </w:rPr>
      </w:pPr>
      <w:r w:rsidRPr="00005ED1">
        <w:rPr>
          <w:rFonts w:ascii="Arial" w:hAnsi="Arial" w:cs="Arial"/>
          <w:highlight w:val="yellow"/>
        </w:rPr>
        <w:t>Disclaimer (Artificial intelligence)</w:t>
      </w:r>
    </w:p>
    <w:p w14:paraId="3E6AEE83" w14:textId="77777777" w:rsidR="00AC67F9" w:rsidRPr="00005ED1" w:rsidRDefault="00AC67F9" w:rsidP="00AC67F9">
      <w:pPr>
        <w:pStyle w:val="NoSpacing"/>
        <w:rPr>
          <w:rFonts w:ascii="Arial" w:hAnsi="Arial" w:cs="Arial"/>
          <w:highlight w:val="yellow"/>
        </w:rPr>
      </w:pPr>
    </w:p>
    <w:p w14:paraId="274CE97D" w14:textId="77777777" w:rsidR="00AC67F9" w:rsidRDefault="00AC67F9" w:rsidP="00AC67F9">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4CA62857" w14:textId="77777777" w:rsidR="00AC67F9" w:rsidRDefault="00AC67F9" w:rsidP="00AC67F9">
      <w:pPr>
        <w:pStyle w:val="NoSpacing"/>
        <w:rPr>
          <w:rFonts w:ascii="Arial" w:hAnsi="Arial" w:cs="Arial"/>
          <w:highlight w:val="yellow"/>
        </w:rPr>
      </w:pPr>
    </w:p>
    <w:p w14:paraId="1D6679D5" w14:textId="77777777" w:rsidR="00F86953" w:rsidRDefault="00F86953">
      <w:pPr>
        <w:jc w:val="both"/>
        <w:rPr>
          <w:rFonts w:ascii="Times New Roman" w:hAnsi="Times New Roman" w:cs="Times New Roman"/>
          <w:sz w:val="28"/>
          <w:szCs w:val="28"/>
        </w:rPr>
      </w:pPr>
    </w:p>
    <w:p w14:paraId="7F5CAD40" w14:textId="77777777"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216F7E64"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Lottu, O. A., Abdul, A. A., Daraojimba, D. O., Alabi, A. M., John-Ladega, A. A., &amp; Daraojimba, C. (2023). Digital transformation in banking: A review of Nigeria's journey to economic prosperity. </w:t>
      </w:r>
      <w:r>
        <w:rPr>
          <w:rFonts w:ascii="Times New Roman" w:hAnsi="Times New Roman" w:cs="Times New Roman"/>
          <w:i/>
          <w:iCs/>
          <w:sz w:val="28"/>
          <w:szCs w:val="28"/>
        </w:rPr>
        <w:t>International Journal of Advanced Economics</w:t>
      </w:r>
      <w:r>
        <w:rPr>
          <w:rFonts w:ascii="Times New Roman" w:hAnsi="Times New Roman" w:cs="Times New Roman"/>
          <w:sz w:val="28"/>
          <w:szCs w:val="28"/>
        </w:rPr>
        <w:t xml:space="preserve">, </w:t>
      </w:r>
      <w:r>
        <w:rPr>
          <w:rFonts w:ascii="Times New Roman" w:hAnsi="Times New Roman" w:cs="Times New Roman"/>
          <w:i/>
          <w:iCs/>
          <w:sz w:val="28"/>
          <w:szCs w:val="28"/>
        </w:rPr>
        <w:t>5</w:t>
      </w:r>
      <w:r>
        <w:rPr>
          <w:rFonts w:ascii="Times New Roman" w:hAnsi="Times New Roman" w:cs="Times New Roman"/>
          <w:sz w:val="28"/>
          <w:szCs w:val="28"/>
        </w:rPr>
        <w:t>(8), 215–238. https://doi.org/10.51594/ijae.v5i8.572</w:t>
      </w:r>
    </w:p>
    <w:p w14:paraId="4D508BD5"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Anil, A. P., &amp; KP, S. (2019). TQM practices and its performance effects – an integrated model. </w:t>
      </w:r>
      <w:r>
        <w:rPr>
          <w:rFonts w:ascii="Times New Roman" w:hAnsi="Times New Roman" w:cs="Times New Roman"/>
          <w:i/>
          <w:iCs/>
          <w:sz w:val="28"/>
          <w:szCs w:val="28"/>
        </w:rPr>
        <w:t>International Journal of Quality &amp; Reliability Management</w:t>
      </w:r>
      <w:r>
        <w:rPr>
          <w:rFonts w:ascii="Times New Roman" w:hAnsi="Times New Roman" w:cs="Times New Roman"/>
          <w:sz w:val="28"/>
          <w:szCs w:val="28"/>
        </w:rPr>
        <w:t xml:space="preserve">, </w:t>
      </w:r>
      <w:r>
        <w:rPr>
          <w:rFonts w:ascii="Times New Roman" w:hAnsi="Times New Roman" w:cs="Times New Roman"/>
          <w:i/>
          <w:iCs/>
          <w:sz w:val="28"/>
          <w:szCs w:val="28"/>
        </w:rPr>
        <w:t>36</w:t>
      </w:r>
      <w:r>
        <w:rPr>
          <w:rFonts w:ascii="Times New Roman" w:hAnsi="Times New Roman" w:cs="Times New Roman"/>
          <w:sz w:val="28"/>
          <w:szCs w:val="28"/>
        </w:rPr>
        <w:t>(8), 1318–1344. https://doi.org/10.1108/ijqrm-10-2018-0266</w:t>
      </w:r>
    </w:p>
    <w:p w14:paraId="26114B7D" w14:textId="77777777" w:rsidR="00F86953" w:rsidRDefault="00F71FC0">
      <w:pPr>
        <w:pStyle w:val="ListParagraph"/>
        <w:numPr>
          <w:ilvl w:val="0"/>
          <w:numId w:val="1"/>
        </w:numPr>
        <w:jc w:val="both"/>
        <w:rPr>
          <w:rFonts w:ascii="Times New Roman" w:hAnsi="Times New Roman" w:cs="Times New Roman"/>
          <w:sz w:val="28"/>
          <w:szCs w:val="28"/>
        </w:rPr>
      </w:pPr>
      <w:r w:rsidRPr="00756DBD">
        <w:rPr>
          <w:rFonts w:ascii="Times New Roman" w:hAnsi="Times New Roman" w:cs="Times New Roman"/>
          <w:sz w:val="28"/>
          <w:szCs w:val="28"/>
          <w:lang w:val="nl-BE"/>
        </w:rPr>
        <w:t xml:space="preserve">Appelbaum, E., Bailey, T., Berg, P., &amp; Kalleberg, A. L. (2000). </w:t>
      </w:r>
      <w:r>
        <w:rPr>
          <w:rFonts w:ascii="Times New Roman" w:hAnsi="Times New Roman" w:cs="Times New Roman"/>
          <w:i/>
          <w:iCs/>
          <w:sz w:val="28"/>
          <w:szCs w:val="28"/>
        </w:rPr>
        <w:t>Manufacturing Advantage: Why High-Performance Work Systems Pay Off</w:t>
      </w:r>
      <w:r>
        <w:rPr>
          <w:rFonts w:ascii="Times New Roman" w:hAnsi="Times New Roman" w:cs="Times New Roman"/>
          <w:sz w:val="28"/>
          <w:szCs w:val="28"/>
        </w:rPr>
        <w:t>, Cornell University Press, Ithaca, NY.</w:t>
      </w:r>
    </w:p>
    <w:p w14:paraId="0089BD7A"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Bailey, C., Madden, A., Alfes, K., &amp; Fletcher, L. (2015). The Meaning, Antecedents and Outcomes of Employee Engagement: A Narrative Synthesis. </w:t>
      </w:r>
      <w:r>
        <w:rPr>
          <w:rFonts w:ascii="Times New Roman" w:hAnsi="Times New Roman" w:cs="Times New Roman"/>
          <w:i/>
          <w:iCs/>
          <w:sz w:val="28"/>
          <w:szCs w:val="28"/>
        </w:rPr>
        <w:t>International Journal of Management Reviews</w:t>
      </w:r>
      <w:r>
        <w:rPr>
          <w:rFonts w:ascii="Times New Roman" w:hAnsi="Times New Roman" w:cs="Times New Roman"/>
          <w:sz w:val="28"/>
          <w:szCs w:val="28"/>
        </w:rPr>
        <w:t xml:space="preserve">, </w:t>
      </w:r>
      <w:r>
        <w:rPr>
          <w:rFonts w:ascii="Times New Roman" w:hAnsi="Times New Roman" w:cs="Times New Roman"/>
          <w:i/>
          <w:iCs/>
          <w:sz w:val="28"/>
          <w:szCs w:val="28"/>
        </w:rPr>
        <w:t>19</w:t>
      </w:r>
      <w:r>
        <w:rPr>
          <w:rFonts w:ascii="Times New Roman" w:hAnsi="Times New Roman" w:cs="Times New Roman"/>
          <w:sz w:val="28"/>
          <w:szCs w:val="28"/>
        </w:rPr>
        <w:t>(1), 31–53. https://doi.org/10.1111/ijmr.12077</w:t>
      </w:r>
    </w:p>
    <w:p w14:paraId="3F36943D" w14:textId="77777777" w:rsidR="00F86953" w:rsidRDefault="00F71FC0">
      <w:pPr>
        <w:pStyle w:val="ListParagraph"/>
        <w:numPr>
          <w:ilvl w:val="0"/>
          <w:numId w:val="1"/>
        </w:numPr>
        <w:jc w:val="both"/>
        <w:rPr>
          <w:rFonts w:ascii="Times New Roman" w:hAnsi="Times New Roman" w:cs="Times New Roman"/>
          <w:sz w:val="28"/>
          <w:szCs w:val="28"/>
        </w:rPr>
      </w:pPr>
      <w:r w:rsidRPr="00756DBD">
        <w:rPr>
          <w:rFonts w:ascii="Times New Roman" w:hAnsi="Times New Roman" w:cs="Times New Roman"/>
          <w:sz w:val="28"/>
          <w:szCs w:val="28"/>
          <w:lang w:val="nl-BE"/>
        </w:rPr>
        <w:t xml:space="preserve">Bakker, A. B., &amp; Demerouti, E. (2007). </w:t>
      </w:r>
      <w:r>
        <w:rPr>
          <w:rFonts w:ascii="Times New Roman" w:hAnsi="Times New Roman" w:cs="Times New Roman"/>
          <w:sz w:val="28"/>
          <w:szCs w:val="28"/>
        </w:rPr>
        <w:t xml:space="preserve">The Job Demands‐Resources model: state of the art. </w:t>
      </w:r>
      <w:r>
        <w:rPr>
          <w:rFonts w:ascii="Times New Roman" w:hAnsi="Times New Roman" w:cs="Times New Roman"/>
          <w:i/>
          <w:iCs/>
          <w:sz w:val="28"/>
          <w:szCs w:val="28"/>
        </w:rPr>
        <w:t>Journal of Managerial Psychology</w:t>
      </w:r>
      <w:r>
        <w:rPr>
          <w:rFonts w:ascii="Times New Roman" w:hAnsi="Times New Roman" w:cs="Times New Roman"/>
          <w:sz w:val="28"/>
          <w:szCs w:val="28"/>
        </w:rPr>
        <w:t xml:space="preserve">, </w:t>
      </w:r>
      <w:r>
        <w:rPr>
          <w:rFonts w:ascii="Times New Roman" w:hAnsi="Times New Roman" w:cs="Times New Roman"/>
          <w:i/>
          <w:iCs/>
          <w:sz w:val="28"/>
          <w:szCs w:val="28"/>
        </w:rPr>
        <w:t>22</w:t>
      </w:r>
      <w:r>
        <w:rPr>
          <w:rFonts w:ascii="Times New Roman" w:hAnsi="Times New Roman" w:cs="Times New Roman"/>
          <w:sz w:val="28"/>
          <w:szCs w:val="28"/>
        </w:rPr>
        <w:t>(3), 309–328. https://doi.org/10.1108/02683940710733115</w:t>
      </w:r>
    </w:p>
    <w:p w14:paraId="2BE1B45D" w14:textId="77777777" w:rsidR="00F86953" w:rsidRDefault="00F71FC0">
      <w:pPr>
        <w:pStyle w:val="ListParagraph"/>
        <w:numPr>
          <w:ilvl w:val="0"/>
          <w:numId w:val="1"/>
        </w:numPr>
        <w:jc w:val="both"/>
        <w:rPr>
          <w:rFonts w:ascii="Times New Roman" w:hAnsi="Times New Roman" w:cs="Times New Roman"/>
          <w:sz w:val="28"/>
          <w:szCs w:val="28"/>
        </w:rPr>
      </w:pPr>
      <w:r w:rsidRPr="00756DBD">
        <w:rPr>
          <w:rFonts w:ascii="Times New Roman" w:hAnsi="Times New Roman" w:cs="Times New Roman"/>
          <w:sz w:val="28"/>
          <w:szCs w:val="28"/>
          <w:lang w:val="nl-BE"/>
        </w:rPr>
        <w:t xml:space="preserve">Bakker, A. B., &amp; Leiter, M. P. (2010). </w:t>
      </w:r>
      <w:r>
        <w:rPr>
          <w:rFonts w:ascii="Times New Roman" w:hAnsi="Times New Roman" w:cs="Times New Roman"/>
          <w:sz w:val="28"/>
          <w:szCs w:val="28"/>
        </w:rPr>
        <w:t>Work engagement: Introduction. In A. B. Bakker (Ed.) &amp; M. P. Leiter, </w:t>
      </w:r>
      <w:r>
        <w:rPr>
          <w:rFonts w:ascii="Times New Roman" w:hAnsi="Times New Roman" w:cs="Times New Roman"/>
          <w:i/>
          <w:iCs/>
          <w:sz w:val="28"/>
          <w:szCs w:val="28"/>
        </w:rPr>
        <w:t>Work engagement: A handbook of essential theory and research</w:t>
      </w:r>
      <w:r>
        <w:rPr>
          <w:rFonts w:ascii="Times New Roman" w:hAnsi="Times New Roman" w:cs="Times New Roman"/>
          <w:sz w:val="28"/>
          <w:szCs w:val="28"/>
        </w:rPr>
        <w:t> (pp. 1–9). Psychology Press.</w:t>
      </w:r>
    </w:p>
    <w:p w14:paraId="0CD12EAD"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Becker, T. E. (2005). Potential problems in the statistical control of variables in Organizational Research: A Qualitative Analysis with recommendations. </w:t>
      </w:r>
      <w:r>
        <w:rPr>
          <w:rFonts w:ascii="Times New Roman" w:hAnsi="Times New Roman" w:cs="Times New Roman"/>
          <w:i/>
          <w:iCs/>
          <w:sz w:val="28"/>
          <w:szCs w:val="28"/>
        </w:rPr>
        <w:t>Organizational Research Methods</w:t>
      </w:r>
      <w:r>
        <w:rPr>
          <w:rFonts w:ascii="Times New Roman" w:hAnsi="Times New Roman" w:cs="Times New Roman"/>
          <w:sz w:val="28"/>
          <w:szCs w:val="28"/>
        </w:rPr>
        <w:t xml:space="preserve">, </w:t>
      </w:r>
      <w:r>
        <w:rPr>
          <w:rFonts w:ascii="Times New Roman" w:hAnsi="Times New Roman" w:cs="Times New Roman"/>
          <w:i/>
          <w:iCs/>
          <w:sz w:val="28"/>
          <w:szCs w:val="28"/>
        </w:rPr>
        <w:t>8</w:t>
      </w:r>
      <w:r>
        <w:rPr>
          <w:rFonts w:ascii="Times New Roman" w:hAnsi="Times New Roman" w:cs="Times New Roman"/>
          <w:sz w:val="28"/>
          <w:szCs w:val="28"/>
        </w:rPr>
        <w:t>(3), 274–289. https://doi.org/10.1177/1094428105278021</w:t>
      </w:r>
    </w:p>
    <w:p w14:paraId="4FF862FC"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Bortolotti, T., Boscari, S., &amp; Danese, P. (2015). Successful lean implementation: Organizational culture and soft lean practices. </w:t>
      </w:r>
      <w:r>
        <w:rPr>
          <w:rFonts w:ascii="Times New Roman" w:hAnsi="Times New Roman" w:cs="Times New Roman"/>
          <w:i/>
          <w:iCs/>
          <w:sz w:val="28"/>
          <w:szCs w:val="28"/>
        </w:rPr>
        <w:t>International Journal of Production Economics</w:t>
      </w:r>
      <w:r>
        <w:rPr>
          <w:rFonts w:ascii="Times New Roman" w:hAnsi="Times New Roman" w:cs="Times New Roman"/>
          <w:sz w:val="28"/>
          <w:szCs w:val="28"/>
        </w:rPr>
        <w:t xml:space="preserve">, </w:t>
      </w:r>
      <w:r>
        <w:rPr>
          <w:rFonts w:ascii="Times New Roman" w:hAnsi="Times New Roman" w:cs="Times New Roman"/>
          <w:i/>
          <w:iCs/>
          <w:sz w:val="28"/>
          <w:szCs w:val="28"/>
        </w:rPr>
        <w:t>160</w:t>
      </w:r>
      <w:r>
        <w:rPr>
          <w:rFonts w:ascii="Times New Roman" w:hAnsi="Times New Roman" w:cs="Times New Roman"/>
          <w:sz w:val="28"/>
          <w:szCs w:val="28"/>
        </w:rPr>
        <w:t>, 182–201. https://doi.org/10.1016/j.ijpe.2014.10.013</w:t>
      </w:r>
    </w:p>
    <w:p w14:paraId="06FA49F9" w14:textId="77777777" w:rsidR="00F86953" w:rsidRDefault="00F71FC0">
      <w:pPr>
        <w:pStyle w:val="ListParagraph"/>
        <w:numPr>
          <w:ilvl w:val="0"/>
          <w:numId w:val="1"/>
        </w:numPr>
        <w:jc w:val="both"/>
        <w:rPr>
          <w:rFonts w:ascii="Times New Roman" w:hAnsi="Times New Roman" w:cs="Times New Roman"/>
          <w:sz w:val="28"/>
          <w:szCs w:val="28"/>
        </w:rPr>
      </w:pPr>
      <w:r w:rsidRPr="00756DBD">
        <w:rPr>
          <w:rFonts w:ascii="Times New Roman" w:hAnsi="Times New Roman" w:cs="Times New Roman"/>
          <w:sz w:val="28"/>
          <w:szCs w:val="28"/>
          <w:lang w:val="nl-BE"/>
        </w:rPr>
        <w:t xml:space="preserve">Bos‐Nehles, A. C., Van Riemsdijk, M. J., &amp; Looise, J. K. (2013). </w:t>
      </w:r>
      <w:r>
        <w:rPr>
          <w:rFonts w:ascii="Times New Roman" w:hAnsi="Times New Roman" w:cs="Times New Roman"/>
          <w:sz w:val="28"/>
          <w:szCs w:val="28"/>
        </w:rPr>
        <w:t xml:space="preserve">Employee Perceptions of Line Management performance: Applying the AMO theory to explain the effectiveness of line managers’ HRM implementation. </w:t>
      </w:r>
      <w:r>
        <w:rPr>
          <w:rFonts w:ascii="Times New Roman" w:hAnsi="Times New Roman" w:cs="Times New Roman"/>
          <w:i/>
          <w:iCs/>
          <w:sz w:val="28"/>
          <w:szCs w:val="28"/>
        </w:rPr>
        <w:t>Human Resource Management</w:t>
      </w:r>
      <w:r>
        <w:rPr>
          <w:rFonts w:ascii="Times New Roman" w:hAnsi="Times New Roman" w:cs="Times New Roman"/>
          <w:sz w:val="28"/>
          <w:szCs w:val="28"/>
        </w:rPr>
        <w:t xml:space="preserve">, </w:t>
      </w:r>
      <w:r>
        <w:rPr>
          <w:rFonts w:ascii="Times New Roman" w:hAnsi="Times New Roman" w:cs="Times New Roman"/>
          <w:i/>
          <w:iCs/>
          <w:sz w:val="28"/>
          <w:szCs w:val="28"/>
        </w:rPr>
        <w:t>52</w:t>
      </w:r>
      <w:r>
        <w:rPr>
          <w:rFonts w:ascii="Times New Roman" w:hAnsi="Times New Roman" w:cs="Times New Roman"/>
          <w:sz w:val="28"/>
          <w:szCs w:val="28"/>
        </w:rPr>
        <w:t>(6), 861–877. https://doi.org/10.1002/hrm.21578</w:t>
      </w:r>
    </w:p>
    <w:p w14:paraId="4AF48290"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Psomas, E. L., &amp; Jaca, C. (2016). The impact of total quality management on service company performance: evidence from Spain. </w:t>
      </w:r>
      <w:r>
        <w:rPr>
          <w:rFonts w:ascii="Times New Roman" w:hAnsi="Times New Roman" w:cs="Times New Roman"/>
          <w:i/>
          <w:iCs/>
          <w:sz w:val="28"/>
          <w:szCs w:val="28"/>
        </w:rPr>
        <w:t>International Journal of Quality &amp; Reliability Management</w:t>
      </w:r>
      <w:r>
        <w:rPr>
          <w:rFonts w:ascii="Times New Roman" w:hAnsi="Times New Roman" w:cs="Times New Roman"/>
          <w:sz w:val="28"/>
          <w:szCs w:val="28"/>
        </w:rPr>
        <w:t xml:space="preserve">, </w:t>
      </w:r>
      <w:r>
        <w:rPr>
          <w:rFonts w:ascii="Times New Roman" w:hAnsi="Times New Roman" w:cs="Times New Roman"/>
          <w:i/>
          <w:iCs/>
          <w:sz w:val="28"/>
          <w:szCs w:val="28"/>
        </w:rPr>
        <w:t>33</w:t>
      </w:r>
      <w:r>
        <w:rPr>
          <w:rFonts w:ascii="Times New Roman" w:hAnsi="Times New Roman" w:cs="Times New Roman"/>
          <w:sz w:val="28"/>
          <w:szCs w:val="28"/>
        </w:rPr>
        <w:t>(3), 380–398. https://doi.org/10.1108/ijqrm-07-2014-0090</w:t>
      </w:r>
    </w:p>
    <w:p w14:paraId="2141B57E"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Christian, M. S., Garza, A. S., &amp; Slaughter, J. E. (2011). WORK ENGAGEMENT: a QUANTITATIVE REVIEW AND TEST OF ITS RELATIONS WITH TASK AND CONTEXTUAL PERFORMANCE. </w:t>
      </w:r>
      <w:r>
        <w:rPr>
          <w:rFonts w:ascii="Times New Roman" w:hAnsi="Times New Roman" w:cs="Times New Roman"/>
          <w:i/>
          <w:iCs/>
          <w:sz w:val="28"/>
          <w:szCs w:val="28"/>
        </w:rPr>
        <w:t>Personnel Psychology</w:t>
      </w:r>
      <w:r>
        <w:rPr>
          <w:rFonts w:ascii="Times New Roman" w:hAnsi="Times New Roman" w:cs="Times New Roman"/>
          <w:sz w:val="28"/>
          <w:szCs w:val="28"/>
        </w:rPr>
        <w:t xml:space="preserve">, </w:t>
      </w:r>
      <w:r>
        <w:rPr>
          <w:rFonts w:ascii="Times New Roman" w:hAnsi="Times New Roman" w:cs="Times New Roman"/>
          <w:i/>
          <w:iCs/>
          <w:sz w:val="28"/>
          <w:szCs w:val="28"/>
        </w:rPr>
        <w:t>64</w:t>
      </w:r>
      <w:r>
        <w:rPr>
          <w:rFonts w:ascii="Times New Roman" w:hAnsi="Times New Roman" w:cs="Times New Roman"/>
          <w:sz w:val="28"/>
          <w:szCs w:val="28"/>
        </w:rPr>
        <w:t>(1), 89–136. https://doi.org/10.1111/j.1744-6570.2010.01203.x</w:t>
      </w:r>
    </w:p>
    <w:p w14:paraId="70DC5AD1"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Cropanzano, R., &amp; Mitchell, M. S. (2005). Social Exchange Theory: An Interdisciplinary Review. </w:t>
      </w:r>
      <w:r>
        <w:rPr>
          <w:rFonts w:ascii="Times New Roman" w:hAnsi="Times New Roman" w:cs="Times New Roman"/>
          <w:i/>
          <w:iCs/>
          <w:sz w:val="28"/>
          <w:szCs w:val="28"/>
        </w:rPr>
        <w:t>Journal of Management</w:t>
      </w:r>
      <w:r>
        <w:rPr>
          <w:rFonts w:ascii="Times New Roman" w:hAnsi="Times New Roman" w:cs="Times New Roman"/>
          <w:sz w:val="28"/>
          <w:szCs w:val="28"/>
        </w:rPr>
        <w:t xml:space="preserve">, </w:t>
      </w:r>
      <w:r>
        <w:rPr>
          <w:rFonts w:ascii="Times New Roman" w:hAnsi="Times New Roman" w:cs="Times New Roman"/>
          <w:i/>
          <w:iCs/>
          <w:sz w:val="28"/>
          <w:szCs w:val="28"/>
        </w:rPr>
        <w:t>31</w:t>
      </w:r>
      <w:r>
        <w:rPr>
          <w:rFonts w:ascii="Times New Roman" w:hAnsi="Times New Roman" w:cs="Times New Roman"/>
          <w:sz w:val="28"/>
          <w:szCs w:val="28"/>
        </w:rPr>
        <w:t>(6), 874–900. https://doi.org/10.1177/0149206305279602</w:t>
      </w:r>
    </w:p>
    <w:p w14:paraId="5094FF08"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Deci, E. L., &amp; Ryan, R. M. (2000). The “What” and “Why” of goal pursuits: human needs and the Self-Determination of behavior. </w:t>
      </w:r>
      <w:r>
        <w:rPr>
          <w:rFonts w:ascii="Times New Roman" w:hAnsi="Times New Roman" w:cs="Times New Roman"/>
          <w:i/>
          <w:iCs/>
          <w:sz w:val="28"/>
          <w:szCs w:val="28"/>
        </w:rPr>
        <w:t>Psychological Inquiry</w:t>
      </w:r>
      <w:r>
        <w:rPr>
          <w:rFonts w:ascii="Times New Roman" w:hAnsi="Times New Roman" w:cs="Times New Roman"/>
          <w:sz w:val="28"/>
          <w:szCs w:val="28"/>
        </w:rPr>
        <w:t xml:space="preserve">, </w:t>
      </w:r>
      <w:r>
        <w:rPr>
          <w:rFonts w:ascii="Times New Roman" w:hAnsi="Times New Roman" w:cs="Times New Roman"/>
          <w:i/>
          <w:iCs/>
          <w:sz w:val="28"/>
          <w:szCs w:val="28"/>
        </w:rPr>
        <w:t>11</w:t>
      </w:r>
      <w:r>
        <w:rPr>
          <w:rFonts w:ascii="Times New Roman" w:hAnsi="Times New Roman" w:cs="Times New Roman"/>
          <w:sz w:val="28"/>
          <w:szCs w:val="28"/>
        </w:rPr>
        <w:t>(4), 227–268. https://doi.org/10.1207/s15327965pli1104_01</w:t>
      </w:r>
    </w:p>
    <w:p w14:paraId="7F08C087"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Dubey, R., Gunasekaran, A., Childe, S. J., Blome, C., &amp; Papadopoulos, T. (2019). Big Data and Predictive Analytics and Manufacturing performance: Integrating institutional theory, Resource‐Based View and Big Data culture. </w:t>
      </w:r>
      <w:r>
        <w:rPr>
          <w:rFonts w:ascii="Times New Roman" w:hAnsi="Times New Roman" w:cs="Times New Roman"/>
          <w:i/>
          <w:iCs/>
          <w:sz w:val="28"/>
          <w:szCs w:val="28"/>
        </w:rPr>
        <w:t>British Journal of Management</w:t>
      </w:r>
      <w:r>
        <w:rPr>
          <w:rFonts w:ascii="Times New Roman" w:hAnsi="Times New Roman" w:cs="Times New Roman"/>
          <w:sz w:val="28"/>
          <w:szCs w:val="28"/>
        </w:rPr>
        <w:t xml:space="preserve">, </w:t>
      </w:r>
      <w:r>
        <w:rPr>
          <w:rFonts w:ascii="Times New Roman" w:hAnsi="Times New Roman" w:cs="Times New Roman"/>
          <w:i/>
          <w:iCs/>
          <w:sz w:val="28"/>
          <w:szCs w:val="28"/>
        </w:rPr>
        <w:t>30</w:t>
      </w:r>
      <w:r>
        <w:rPr>
          <w:rFonts w:ascii="Times New Roman" w:hAnsi="Times New Roman" w:cs="Times New Roman"/>
          <w:sz w:val="28"/>
          <w:szCs w:val="28"/>
        </w:rPr>
        <w:t>(2), 341–361. https://doi.org/10.1111/1467-8551.12355</w:t>
      </w:r>
    </w:p>
    <w:p w14:paraId="0DCEE718"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Fornell, C., &amp; Larcker, D. F. (1981). Evaluating Structural Equation Models with Unobservable Variables and Measurement Error. </w:t>
      </w:r>
      <w:r>
        <w:rPr>
          <w:rFonts w:ascii="Times New Roman" w:hAnsi="Times New Roman" w:cs="Times New Roman"/>
          <w:i/>
          <w:iCs/>
          <w:sz w:val="28"/>
          <w:szCs w:val="28"/>
        </w:rPr>
        <w:t>Journal of Marketing Research</w:t>
      </w:r>
      <w:r>
        <w:rPr>
          <w:rFonts w:ascii="Times New Roman" w:hAnsi="Times New Roman" w:cs="Times New Roman"/>
          <w:sz w:val="28"/>
          <w:szCs w:val="28"/>
        </w:rPr>
        <w:t xml:space="preserve">, </w:t>
      </w:r>
      <w:r>
        <w:rPr>
          <w:rFonts w:ascii="Times New Roman" w:hAnsi="Times New Roman" w:cs="Times New Roman"/>
          <w:i/>
          <w:iCs/>
          <w:sz w:val="28"/>
          <w:szCs w:val="28"/>
        </w:rPr>
        <w:t>18</w:t>
      </w:r>
      <w:r>
        <w:rPr>
          <w:rFonts w:ascii="Times New Roman" w:hAnsi="Times New Roman" w:cs="Times New Roman"/>
          <w:sz w:val="28"/>
          <w:szCs w:val="28"/>
        </w:rPr>
        <w:t>(1), 39. https://doi.org/10.2307/3151312</w:t>
      </w:r>
    </w:p>
    <w:p w14:paraId="5584347F"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Hair, J. F., Risher, J. J., Sarstedt, M., &amp; Ringle, C. M. (2019). When to use and how to report the results of PLS-SEM. </w:t>
      </w:r>
      <w:r>
        <w:rPr>
          <w:rFonts w:ascii="Times New Roman" w:hAnsi="Times New Roman" w:cs="Times New Roman"/>
          <w:i/>
          <w:iCs/>
          <w:sz w:val="28"/>
          <w:szCs w:val="28"/>
        </w:rPr>
        <w:t>European Business Review</w:t>
      </w:r>
      <w:r>
        <w:rPr>
          <w:rFonts w:ascii="Times New Roman" w:hAnsi="Times New Roman" w:cs="Times New Roman"/>
          <w:sz w:val="28"/>
          <w:szCs w:val="28"/>
        </w:rPr>
        <w:t xml:space="preserve">, </w:t>
      </w:r>
      <w:r>
        <w:rPr>
          <w:rFonts w:ascii="Times New Roman" w:hAnsi="Times New Roman" w:cs="Times New Roman"/>
          <w:i/>
          <w:iCs/>
          <w:sz w:val="28"/>
          <w:szCs w:val="28"/>
        </w:rPr>
        <w:t>31</w:t>
      </w:r>
      <w:r>
        <w:rPr>
          <w:rFonts w:ascii="Times New Roman" w:hAnsi="Times New Roman" w:cs="Times New Roman"/>
          <w:sz w:val="28"/>
          <w:szCs w:val="28"/>
        </w:rPr>
        <w:t>(1), 2–24. https://doi.org/10.1108/ebr-11-2018-0203</w:t>
      </w:r>
    </w:p>
    <w:p w14:paraId="4BDECF7E"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Hayes, A.F. (2018), </w:t>
      </w:r>
      <w:r>
        <w:rPr>
          <w:rFonts w:ascii="Times New Roman" w:hAnsi="Times New Roman" w:cs="Times New Roman"/>
          <w:i/>
          <w:iCs/>
          <w:sz w:val="28"/>
          <w:szCs w:val="28"/>
        </w:rPr>
        <w:t>Introduction to Mediation, Moderation, and Conditional Process Analysis: A Regression-Based Approach</w:t>
      </w:r>
      <w:r>
        <w:rPr>
          <w:rFonts w:ascii="Times New Roman" w:hAnsi="Times New Roman" w:cs="Times New Roman"/>
          <w:sz w:val="28"/>
          <w:szCs w:val="28"/>
        </w:rPr>
        <w:t>, 2nd ed., Guilford Press, New York.</w:t>
      </w:r>
    </w:p>
    <w:p w14:paraId="3DCAE911" w14:textId="77777777" w:rsidR="00F86953" w:rsidRDefault="00F71FC0">
      <w:pPr>
        <w:pStyle w:val="ListParagraph"/>
        <w:numPr>
          <w:ilvl w:val="0"/>
          <w:numId w:val="1"/>
        </w:numPr>
        <w:jc w:val="both"/>
        <w:rPr>
          <w:rFonts w:ascii="Times New Roman" w:hAnsi="Times New Roman" w:cs="Times New Roman"/>
          <w:sz w:val="28"/>
          <w:szCs w:val="28"/>
        </w:rPr>
      </w:pPr>
      <w:r w:rsidRPr="00756DBD">
        <w:rPr>
          <w:rFonts w:ascii="Times New Roman" w:hAnsi="Times New Roman" w:cs="Times New Roman"/>
          <w:sz w:val="28"/>
          <w:szCs w:val="28"/>
          <w:lang w:val="nl-BE"/>
        </w:rPr>
        <w:t xml:space="preserve">Henseler, J., Ringle, C. M., &amp; Sarstedt, M. (2015). </w:t>
      </w:r>
      <w:r>
        <w:rPr>
          <w:rFonts w:ascii="Times New Roman" w:hAnsi="Times New Roman" w:cs="Times New Roman"/>
          <w:sz w:val="28"/>
          <w:szCs w:val="28"/>
        </w:rPr>
        <w:t xml:space="preserve">A new criterion for assessing discriminant validity in variance-based structural equation modeling. </w:t>
      </w:r>
      <w:r>
        <w:rPr>
          <w:rFonts w:ascii="Times New Roman" w:hAnsi="Times New Roman" w:cs="Times New Roman"/>
          <w:i/>
          <w:iCs/>
          <w:sz w:val="28"/>
          <w:szCs w:val="28"/>
        </w:rPr>
        <w:t>Journal of the Academy of Marketing Science</w:t>
      </w:r>
      <w:r>
        <w:rPr>
          <w:rFonts w:ascii="Times New Roman" w:hAnsi="Times New Roman" w:cs="Times New Roman"/>
          <w:sz w:val="28"/>
          <w:szCs w:val="28"/>
        </w:rPr>
        <w:t xml:space="preserve">, </w:t>
      </w:r>
      <w:r>
        <w:rPr>
          <w:rFonts w:ascii="Times New Roman" w:hAnsi="Times New Roman" w:cs="Times New Roman"/>
          <w:i/>
          <w:iCs/>
          <w:sz w:val="28"/>
          <w:szCs w:val="28"/>
        </w:rPr>
        <w:t>43</w:t>
      </w:r>
      <w:r>
        <w:rPr>
          <w:rFonts w:ascii="Times New Roman" w:hAnsi="Times New Roman" w:cs="Times New Roman"/>
          <w:sz w:val="28"/>
          <w:szCs w:val="28"/>
        </w:rPr>
        <w:t>(1), 115–135. https://doi.org/10.1007/s11747-014-0403-8</w:t>
      </w:r>
    </w:p>
    <w:p w14:paraId="2C5C1847"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Herzallah, A. M., Gutiérrez-Gutiérrez, L., &amp; Rosas, J. F. M. (2013). Total quality management practices, competitive strategies and financial performance: the case of the Palestinian industrial SMEs. </w:t>
      </w:r>
      <w:r>
        <w:rPr>
          <w:rFonts w:ascii="Times New Roman" w:hAnsi="Times New Roman" w:cs="Times New Roman"/>
          <w:i/>
          <w:iCs/>
          <w:sz w:val="28"/>
          <w:szCs w:val="28"/>
        </w:rPr>
        <w:t>Total Quality Management &amp; Business Excellence</w:t>
      </w:r>
      <w:r>
        <w:rPr>
          <w:rFonts w:ascii="Times New Roman" w:hAnsi="Times New Roman" w:cs="Times New Roman"/>
          <w:sz w:val="28"/>
          <w:szCs w:val="28"/>
        </w:rPr>
        <w:t xml:space="preserve">, </w:t>
      </w:r>
      <w:r>
        <w:rPr>
          <w:rFonts w:ascii="Times New Roman" w:hAnsi="Times New Roman" w:cs="Times New Roman"/>
          <w:i/>
          <w:iCs/>
          <w:sz w:val="28"/>
          <w:szCs w:val="28"/>
        </w:rPr>
        <w:t>25</w:t>
      </w:r>
      <w:r>
        <w:rPr>
          <w:rFonts w:ascii="Times New Roman" w:hAnsi="Times New Roman" w:cs="Times New Roman"/>
          <w:sz w:val="28"/>
          <w:szCs w:val="28"/>
        </w:rPr>
        <w:t>(5–6), 635–649. https://doi.org/10.1080/14783363.2013.824714</w:t>
      </w:r>
    </w:p>
    <w:p w14:paraId="641C333B"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Kahn, W. A. (1990). Psychological conditions of personal engagement and disengagement at work. </w:t>
      </w:r>
      <w:r>
        <w:rPr>
          <w:rFonts w:ascii="Times New Roman" w:hAnsi="Times New Roman" w:cs="Times New Roman"/>
          <w:i/>
          <w:iCs/>
          <w:sz w:val="28"/>
          <w:szCs w:val="28"/>
        </w:rPr>
        <w:t>Academy of Management Journal</w:t>
      </w:r>
      <w:r>
        <w:rPr>
          <w:rFonts w:ascii="Times New Roman" w:hAnsi="Times New Roman" w:cs="Times New Roman"/>
          <w:sz w:val="28"/>
          <w:szCs w:val="28"/>
        </w:rPr>
        <w:t xml:space="preserve">, </w:t>
      </w:r>
      <w:r>
        <w:rPr>
          <w:rFonts w:ascii="Times New Roman" w:hAnsi="Times New Roman" w:cs="Times New Roman"/>
          <w:i/>
          <w:iCs/>
          <w:sz w:val="28"/>
          <w:szCs w:val="28"/>
        </w:rPr>
        <w:t>33</w:t>
      </w:r>
      <w:r>
        <w:rPr>
          <w:rFonts w:ascii="Times New Roman" w:hAnsi="Times New Roman" w:cs="Times New Roman"/>
          <w:sz w:val="28"/>
          <w:szCs w:val="28"/>
        </w:rPr>
        <w:t>(4), 692–724. https://doi.org/10.5465/256287</w:t>
      </w:r>
    </w:p>
    <w:p w14:paraId="28E65DAA"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Karatepe, O. M. (2013). High-performance work practices and hotel employee performance: The mediation of work engagement. </w:t>
      </w:r>
      <w:r>
        <w:rPr>
          <w:rFonts w:ascii="Times New Roman" w:hAnsi="Times New Roman" w:cs="Times New Roman"/>
          <w:i/>
          <w:iCs/>
          <w:sz w:val="28"/>
          <w:szCs w:val="28"/>
        </w:rPr>
        <w:t>International Journal of Hospitality Management</w:t>
      </w:r>
      <w:r>
        <w:rPr>
          <w:rFonts w:ascii="Times New Roman" w:hAnsi="Times New Roman" w:cs="Times New Roman"/>
          <w:sz w:val="28"/>
          <w:szCs w:val="28"/>
        </w:rPr>
        <w:t xml:space="preserve">, </w:t>
      </w:r>
      <w:r>
        <w:rPr>
          <w:rFonts w:ascii="Times New Roman" w:hAnsi="Times New Roman" w:cs="Times New Roman"/>
          <w:i/>
          <w:iCs/>
          <w:sz w:val="28"/>
          <w:szCs w:val="28"/>
        </w:rPr>
        <w:t>32</w:t>
      </w:r>
      <w:r>
        <w:rPr>
          <w:rFonts w:ascii="Times New Roman" w:hAnsi="Times New Roman" w:cs="Times New Roman"/>
          <w:sz w:val="28"/>
          <w:szCs w:val="28"/>
        </w:rPr>
        <w:t>, 132–140. https://doi.org/10.1016/j.ijhm.2012.05.003</w:t>
      </w:r>
    </w:p>
    <w:p w14:paraId="28A40692"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Kaynak, H. (2003). The relationship between total quality management practices and their effects on firm performance. </w:t>
      </w:r>
      <w:r>
        <w:rPr>
          <w:rFonts w:ascii="Times New Roman" w:hAnsi="Times New Roman" w:cs="Times New Roman"/>
          <w:i/>
          <w:iCs/>
          <w:sz w:val="28"/>
          <w:szCs w:val="28"/>
        </w:rPr>
        <w:t>Journal of Operations Management</w:t>
      </w:r>
      <w:r>
        <w:rPr>
          <w:rFonts w:ascii="Times New Roman" w:hAnsi="Times New Roman" w:cs="Times New Roman"/>
          <w:sz w:val="28"/>
          <w:szCs w:val="28"/>
        </w:rPr>
        <w:t xml:space="preserve">, </w:t>
      </w:r>
      <w:r>
        <w:rPr>
          <w:rFonts w:ascii="Times New Roman" w:hAnsi="Times New Roman" w:cs="Times New Roman"/>
          <w:i/>
          <w:iCs/>
          <w:sz w:val="28"/>
          <w:szCs w:val="28"/>
        </w:rPr>
        <w:t>21</w:t>
      </w:r>
      <w:r>
        <w:rPr>
          <w:rFonts w:ascii="Times New Roman" w:hAnsi="Times New Roman" w:cs="Times New Roman"/>
          <w:sz w:val="28"/>
          <w:szCs w:val="28"/>
        </w:rPr>
        <w:t>(4), 405–435. https://doi.org/10.1016/s0272-6963(03)00004-4.</w:t>
      </w:r>
    </w:p>
    <w:p w14:paraId="379CD147"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Kehoe, R. R., &amp; Wright, P. M. (2010). The impact of High-Performance Human Resource Practices on employees’ attitudes and behaviors. </w:t>
      </w:r>
      <w:r>
        <w:rPr>
          <w:rFonts w:ascii="Times New Roman" w:hAnsi="Times New Roman" w:cs="Times New Roman"/>
          <w:i/>
          <w:iCs/>
          <w:sz w:val="28"/>
          <w:szCs w:val="28"/>
        </w:rPr>
        <w:t>Journal of Management</w:t>
      </w:r>
      <w:r>
        <w:rPr>
          <w:rFonts w:ascii="Times New Roman" w:hAnsi="Times New Roman" w:cs="Times New Roman"/>
          <w:sz w:val="28"/>
          <w:szCs w:val="28"/>
        </w:rPr>
        <w:t xml:space="preserve">, </w:t>
      </w:r>
      <w:r>
        <w:rPr>
          <w:rFonts w:ascii="Times New Roman" w:hAnsi="Times New Roman" w:cs="Times New Roman"/>
          <w:i/>
          <w:iCs/>
          <w:sz w:val="28"/>
          <w:szCs w:val="28"/>
        </w:rPr>
        <w:t>39</w:t>
      </w:r>
      <w:r>
        <w:rPr>
          <w:rFonts w:ascii="Times New Roman" w:hAnsi="Times New Roman" w:cs="Times New Roman"/>
          <w:sz w:val="28"/>
          <w:szCs w:val="28"/>
        </w:rPr>
        <w:t>(2), 366–391. https://doi.org/10.1177/0149206310365901</w:t>
      </w:r>
    </w:p>
    <w:p w14:paraId="16155A27"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Khoreva, V., &amp; Wechtler, H. (2018). HR practices and employee performance: the mediating role of well-being. </w:t>
      </w:r>
      <w:r>
        <w:rPr>
          <w:rFonts w:ascii="Times New Roman" w:hAnsi="Times New Roman" w:cs="Times New Roman"/>
          <w:i/>
          <w:iCs/>
          <w:sz w:val="28"/>
          <w:szCs w:val="28"/>
        </w:rPr>
        <w:t>Employee Relations</w:t>
      </w:r>
      <w:r>
        <w:rPr>
          <w:rFonts w:ascii="Times New Roman" w:hAnsi="Times New Roman" w:cs="Times New Roman"/>
          <w:sz w:val="28"/>
          <w:szCs w:val="28"/>
        </w:rPr>
        <w:t xml:space="preserve">, </w:t>
      </w:r>
      <w:r>
        <w:rPr>
          <w:rFonts w:ascii="Times New Roman" w:hAnsi="Times New Roman" w:cs="Times New Roman"/>
          <w:i/>
          <w:iCs/>
          <w:sz w:val="28"/>
          <w:szCs w:val="28"/>
        </w:rPr>
        <w:t>40</w:t>
      </w:r>
      <w:r>
        <w:rPr>
          <w:rFonts w:ascii="Times New Roman" w:hAnsi="Times New Roman" w:cs="Times New Roman"/>
          <w:sz w:val="28"/>
          <w:szCs w:val="28"/>
        </w:rPr>
        <w:t>(2), 227–243. https://doi.org/10.1108/er-08-2017-0191</w:t>
      </w:r>
    </w:p>
    <w:p w14:paraId="4C3036FA"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Kline, R.B. (2016), </w:t>
      </w:r>
      <w:r>
        <w:rPr>
          <w:rFonts w:ascii="Times New Roman" w:hAnsi="Times New Roman" w:cs="Times New Roman"/>
          <w:i/>
          <w:iCs/>
          <w:sz w:val="28"/>
          <w:szCs w:val="28"/>
        </w:rPr>
        <w:t>Principles and Practice of Structural Equation Modeling</w:t>
      </w:r>
      <w:r>
        <w:rPr>
          <w:rFonts w:ascii="Times New Roman" w:hAnsi="Times New Roman" w:cs="Times New Roman"/>
          <w:sz w:val="28"/>
          <w:szCs w:val="28"/>
        </w:rPr>
        <w:t>, 4th ed., Guilford Press, New York.</w:t>
      </w:r>
    </w:p>
    <w:p w14:paraId="70B9E01F"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Knight, C., Patterson, M., &amp; Dawson, J. (2016). Building work engagement: A systematic review and meta‐analysis investigating the effectiveness of work engagement interventions. </w:t>
      </w:r>
      <w:r>
        <w:rPr>
          <w:rFonts w:ascii="Times New Roman" w:hAnsi="Times New Roman" w:cs="Times New Roman"/>
          <w:i/>
          <w:iCs/>
          <w:sz w:val="28"/>
          <w:szCs w:val="28"/>
        </w:rPr>
        <w:t>Journal of Organizational Behavior</w:t>
      </w:r>
      <w:r>
        <w:rPr>
          <w:rFonts w:ascii="Times New Roman" w:hAnsi="Times New Roman" w:cs="Times New Roman"/>
          <w:sz w:val="28"/>
          <w:szCs w:val="28"/>
        </w:rPr>
        <w:t xml:space="preserve">, </w:t>
      </w:r>
      <w:r>
        <w:rPr>
          <w:rFonts w:ascii="Times New Roman" w:hAnsi="Times New Roman" w:cs="Times New Roman"/>
          <w:i/>
          <w:iCs/>
          <w:sz w:val="28"/>
          <w:szCs w:val="28"/>
        </w:rPr>
        <w:t>38</w:t>
      </w:r>
      <w:r>
        <w:rPr>
          <w:rFonts w:ascii="Times New Roman" w:hAnsi="Times New Roman" w:cs="Times New Roman"/>
          <w:sz w:val="28"/>
          <w:szCs w:val="28"/>
        </w:rPr>
        <w:t>(6), 792–812. https://doi.org/10.1002/job.2167</w:t>
      </w:r>
    </w:p>
    <w:p w14:paraId="25D7F428" w14:textId="6A82696C"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Ali, K., Johl, S. K., Muneer, A., Alwadain, A., &amp; Ali, R. F. (2022). Soft and hard total quality management practices promote industry 4.0 readiness: a SEM-Neural Network approach. </w:t>
      </w:r>
      <w:r>
        <w:rPr>
          <w:rFonts w:ascii="Times New Roman" w:hAnsi="Times New Roman" w:cs="Times New Roman"/>
          <w:i/>
          <w:iCs/>
          <w:sz w:val="28"/>
          <w:szCs w:val="28"/>
        </w:rPr>
        <w:t>Sustainability</w:t>
      </w:r>
      <w:r>
        <w:rPr>
          <w:rFonts w:ascii="Times New Roman" w:hAnsi="Times New Roman" w:cs="Times New Roman"/>
          <w:sz w:val="28"/>
          <w:szCs w:val="28"/>
        </w:rPr>
        <w:t xml:space="preserve">, </w:t>
      </w:r>
      <w:r>
        <w:rPr>
          <w:rFonts w:ascii="Times New Roman" w:hAnsi="Times New Roman" w:cs="Times New Roman"/>
          <w:i/>
          <w:iCs/>
          <w:sz w:val="28"/>
          <w:szCs w:val="28"/>
        </w:rPr>
        <w:t>14</w:t>
      </w:r>
      <w:r>
        <w:rPr>
          <w:rFonts w:ascii="Times New Roman" w:hAnsi="Times New Roman" w:cs="Times New Roman"/>
          <w:sz w:val="28"/>
          <w:szCs w:val="28"/>
        </w:rPr>
        <w:t xml:space="preserve">(19), 11917. </w:t>
      </w:r>
      <w:hyperlink r:id="rId8" w:history="1">
        <w:r w:rsidR="00A72904" w:rsidRPr="00370BD6">
          <w:rPr>
            <w:rStyle w:val="Hyperlink"/>
            <w:rFonts w:ascii="Times New Roman" w:hAnsi="Times New Roman" w:cs="Times New Roman"/>
            <w:sz w:val="28"/>
            <w:szCs w:val="28"/>
          </w:rPr>
          <w:t>https://doi.org/10.3390/su141911917</w:t>
        </w:r>
      </w:hyperlink>
    </w:p>
    <w:p w14:paraId="13F1C26F" w14:textId="7321B8D0" w:rsidR="00070534" w:rsidRPr="00070534" w:rsidRDefault="00070534" w:rsidP="00070534">
      <w:pPr>
        <w:pStyle w:val="ListParagraph"/>
        <w:numPr>
          <w:ilvl w:val="0"/>
          <w:numId w:val="1"/>
        </w:numPr>
        <w:spacing w:after="0" w:line="276" w:lineRule="auto"/>
        <w:jc w:val="both"/>
        <w:rPr>
          <w:rFonts w:ascii="Times New Roman" w:eastAsia="Times New Roman" w:hAnsi="Times New Roman" w:cs="Times New Roman"/>
          <w:kern w:val="0"/>
          <w:sz w:val="28"/>
          <w:szCs w:val="28"/>
          <w14:ligatures w14:val="none"/>
        </w:rPr>
      </w:pPr>
      <w:r w:rsidRPr="00070534">
        <w:rPr>
          <w:rFonts w:ascii="Times New Roman" w:eastAsia="Times New Roman" w:hAnsi="Times New Roman" w:cs="Times New Roman"/>
          <w:kern w:val="0"/>
          <w:sz w:val="28"/>
          <w:szCs w:val="28"/>
          <w14:ligatures w14:val="none"/>
        </w:rPr>
        <w:t>Aly, Y. Z. (202</w:t>
      </w:r>
      <w:r>
        <w:rPr>
          <w:rFonts w:ascii="Times New Roman" w:eastAsia="Times New Roman" w:hAnsi="Times New Roman" w:cs="Times New Roman"/>
          <w:kern w:val="0"/>
          <w:sz w:val="28"/>
          <w:szCs w:val="28"/>
          <w14:ligatures w14:val="none"/>
        </w:rPr>
        <w:t>5</w:t>
      </w:r>
      <w:r w:rsidRPr="00070534">
        <w:rPr>
          <w:rFonts w:ascii="Times New Roman" w:eastAsia="Times New Roman" w:hAnsi="Times New Roman" w:cs="Times New Roman"/>
          <w:kern w:val="0"/>
          <w:sz w:val="28"/>
          <w:szCs w:val="28"/>
          <w14:ligatures w14:val="none"/>
        </w:rPr>
        <w:t xml:space="preserve">). Employee engagement mediate: the impact of digital leadership and leadership diversity in shaping operational performance. </w:t>
      </w:r>
      <w:r w:rsidRPr="00070534">
        <w:rPr>
          <w:rFonts w:ascii="Times New Roman" w:eastAsia="Times New Roman" w:hAnsi="Times New Roman" w:cs="Times New Roman"/>
          <w:i/>
          <w:iCs/>
          <w:kern w:val="0"/>
          <w:sz w:val="28"/>
          <w:szCs w:val="28"/>
          <w14:ligatures w14:val="none"/>
        </w:rPr>
        <w:t>International Journal of Tourism and Hospitality Studies /International Journal of Tourism and Hospitality Studies</w:t>
      </w:r>
      <w:r w:rsidRPr="00070534">
        <w:rPr>
          <w:rFonts w:ascii="Times New Roman" w:eastAsia="Times New Roman" w:hAnsi="Times New Roman" w:cs="Times New Roman"/>
          <w:kern w:val="0"/>
          <w:sz w:val="28"/>
          <w:szCs w:val="28"/>
          <w14:ligatures w14:val="none"/>
        </w:rPr>
        <w:t xml:space="preserve">, </w:t>
      </w:r>
      <w:r w:rsidRPr="00070534">
        <w:rPr>
          <w:rFonts w:ascii="Times New Roman" w:eastAsia="Times New Roman" w:hAnsi="Times New Roman" w:cs="Times New Roman"/>
          <w:i/>
          <w:iCs/>
          <w:kern w:val="0"/>
          <w:sz w:val="28"/>
          <w:szCs w:val="28"/>
          <w14:ligatures w14:val="none"/>
        </w:rPr>
        <w:t>8</w:t>
      </w:r>
      <w:r w:rsidRPr="00070534">
        <w:rPr>
          <w:rFonts w:ascii="Times New Roman" w:eastAsia="Times New Roman" w:hAnsi="Times New Roman" w:cs="Times New Roman"/>
          <w:kern w:val="0"/>
          <w:sz w:val="28"/>
          <w:szCs w:val="28"/>
          <w14:ligatures w14:val="none"/>
        </w:rPr>
        <w:t>(1), 34–56. https://doi.org/10.21608/ijthsx.2024.336593.1128</w:t>
      </w:r>
    </w:p>
    <w:p w14:paraId="68BE75C6" w14:textId="148CD629" w:rsidR="00F86953" w:rsidRDefault="00F71FC0">
      <w:pPr>
        <w:pStyle w:val="ListParagraph"/>
        <w:numPr>
          <w:ilvl w:val="0"/>
          <w:numId w:val="1"/>
        </w:numPr>
        <w:jc w:val="both"/>
        <w:rPr>
          <w:rFonts w:ascii="Times New Roman" w:hAnsi="Times New Roman" w:cs="Times New Roman"/>
          <w:sz w:val="28"/>
          <w:szCs w:val="28"/>
        </w:rPr>
      </w:pPr>
      <w:r w:rsidRPr="00756DBD">
        <w:rPr>
          <w:rFonts w:ascii="Times New Roman" w:hAnsi="Times New Roman" w:cs="Times New Roman"/>
          <w:sz w:val="28"/>
          <w:szCs w:val="28"/>
          <w:lang w:val="nl-BE"/>
        </w:rPr>
        <w:t xml:space="preserve">Nitzl, C., Roldan, J. L., &amp; Cepeda, G. (2016). </w:t>
      </w:r>
      <w:r>
        <w:rPr>
          <w:rFonts w:ascii="Times New Roman" w:hAnsi="Times New Roman" w:cs="Times New Roman"/>
          <w:sz w:val="28"/>
          <w:szCs w:val="28"/>
        </w:rPr>
        <w:t xml:space="preserve">Mediation analysis in partial least squares path modeling. </w:t>
      </w:r>
      <w:r>
        <w:rPr>
          <w:rFonts w:ascii="Times New Roman" w:hAnsi="Times New Roman" w:cs="Times New Roman"/>
          <w:i/>
          <w:iCs/>
          <w:sz w:val="28"/>
          <w:szCs w:val="28"/>
        </w:rPr>
        <w:t>Industrial Management &amp; Data Systems</w:t>
      </w:r>
      <w:r>
        <w:rPr>
          <w:rFonts w:ascii="Times New Roman" w:hAnsi="Times New Roman" w:cs="Times New Roman"/>
          <w:sz w:val="28"/>
          <w:szCs w:val="28"/>
        </w:rPr>
        <w:t xml:space="preserve">, </w:t>
      </w:r>
      <w:r>
        <w:rPr>
          <w:rFonts w:ascii="Times New Roman" w:hAnsi="Times New Roman" w:cs="Times New Roman"/>
          <w:i/>
          <w:iCs/>
          <w:sz w:val="28"/>
          <w:szCs w:val="28"/>
        </w:rPr>
        <w:t>116</w:t>
      </w:r>
      <w:r>
        <w:rPr>
          <w:rFonts w:ascii="Times New Roman" w:hAnsi="Times New Roman" w:cs="Times New Roman"/>
          <w:sz w:val="28"/>
          <w:szCs w:val="28"/>
        </w:rPr>
        <w:t xml:space="preserve">(9), 1849–1864. </w:t>
      </w:r>
      <w:hyperlink r:id="rId9" w:history="1">
        <w:r w:rsidR="00070534" w:rsidRPr="00370BD6">
          <w:rPr>
            <w:rStyle w:val="Hyperlink"/>
            <w:rFonts w:ascii="Times New Roman" w:hAnsi="Times New Roman" w:cs="Times New Roman"/>
            <w:sz w:val="28"/>
            <w:szCs w:val="28"/>
          </w:rPr>
          <w:t>https://doi.org/10.1108/imds-07-2015-0302</w:t>
        </w:r>
      </w:hyperlink>
    </w:p>
    <w:p w14:paraId="3B2EC61E" w14:textId="77777777" w:rsidR="00070534" w:rsidRPr="00070534" w:rsidRDefault="00070534" w:rsidP="00070534">
      <w:pPr>
        <w:pStyle w:val="ListParagraph"/>
        <w:numPr>
          <w:ilvl w:val="0"/>
          <w:numId w:val="1"/>
        </w:numPr>
        <w:spacing w:after="0" w:line="276" w:lineRule="auto"/>
        <w:jc w:val="both"/>
        <w:rPr>
          <w:rFonts w:ascii="Times New Roman" w:eastAsia="Times New Roman" w:hAnsi="Times New Roman" w:cs="Times New Roman"/>
          <w:kern w:val="0"/>
          <w:sz w:val="28"/>
          <w:szCs w:val="28"/>
          <w14:ligatures w14:val="none"/>
        </w:rPr>
      </w:pPr>
      <w:r w:rsidRPr="00070534">
        <w:rPr>
          <w:rFonts w:ascii="Times New Roman" w:eastAsia="Times New Roman" w:hAnsi="Times New Roman" w:cs="Times New Roman"/>
          <w:kern w:val="0"/>
          <w:sz w:val="28"/>
          <w:szCs w:val="28"/>
          <w14:ligatures w14:val="none"/>
        </w:rPr>
        <w:t xml:space="preserve">Obeidat, M. I. S., Almomani, M. A., Almomani, T. M., &amp; Darkel, N. M. a. M. Y. (2024). Impact of total quality management practices on competitive advantage in Jordan’s private higher education institutions. </w:t>
      </w:r>
      <w:r w:rsidRPr="00070534">
        <w:rPr>
          <w:rFonts w:ascii="Times New Roman" w:eastAsia="Times New Roman" w:hAnsi="Times New Roman" w:cs="Times New Roman"/>
          <w:i/>
          <w:iCs/>
          <w:kern w:val="0"/>
          <w:sz w:val="28"/>
          <w:szCs w:val="28"/>
          <w14:ligatures w14:val="none"/>
        </w:rPr>
        <w:t>International Journal of ADVANCED AND APPLIED SCIENCES</w:t>
      </w:r>
      <w:r w:rsidRPr="00070534">
        <w:rPr>
          <w:rFonts w:ascii="Times New Roman" w:eastAsia="Times New Roman" w:hAnsi="Times New Roman" w:cs="Times New Roman"/>
          <w:kern w:val="0"/>
          <w:sz w:val="28"/>
          <w:szCs w:val="28"/>
          <w14:ligatures w14:val="none"/>
        </w:rPr>
        <w:t xml:space="preserve">, </w:t>
      </w:r>
      <w:r w:rsidRPr="00070534">
        <w:rPr>
          <w:rFonts w:ascii="Times New Roman" w:eastAsia="Times New Roman" w:hAnsi="Times New Roman" w:cs="Times New Roman"/>
          <w:i/>
          <w:iCs/>
          <w:kern w:val="0"/>
          <w:sz w:val="28"/>
          <w:szCs w:val="28"/>
          <w14:ligatures w14:val="none"/>
        </w:rPr>
        <w:t>11</w:t>
      </w:r>
      <w:r w:rsidRPr="00070534">
        <w:rPr>
          <w:rFonts w:ascii="Times New Roman" w:eastAsia="Times New Roman" w:hAnsi="Times New Roman" w:cs="Times New Roman"/>
          <w:kern w:val="0"/>
          <w:sz w:val="28"/>
          <w:szCs w:val="28"/>
          <w14:ligatures w14:val="none"/>
        </w:rPr>
        <w:t>(9), 56–65. https://doi.org/10.21833/ijaas.2024.09.007</w:t>
      </w:r>
    </w:p>
    <w:p w14:paraId="6DB92590"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Nunnally, J.C. and Bernstein, I.H. (1994), </w:t>
      </w:r>
      <w:r>
        <w:rPr>
          <w:rFonts w:ascii="Times New Roman" w:hAnsi="Times New Roman" w:cs="Times New Roman"/>
          <w:i/>
          <w:iCs/>
          <w:sz w:val="28"/>
          <w:szCs w:val="28"/>
        </w:rPr>
        <w:t>Psychometric Theory</w:t>
      </w:r>
      <w:r>
        <w:rPr>
          <w:rFonts w:ascii="Times New Roman" w:hAnsi="Times New Roman" w:cs="Times New Roman"/>
          <w:sz w:val="28"/>
          <w:szCs w:val="28"/>
        </w:rPr>
        <w:t>, 3rd ed., McGraw-Hill, New York.</w:t>
      </w:r>
    </w:p>
    <w:p w14:paraId="72E2F015" w14:textId="77777777" w:rsidR="00F86953" w:rsidRDefault="00F71FC0">
      <w:pPr>
        <w:pStyle w:val="ListParagraph"/>
        <w:numPr>
          <w:ilvl w:val="0"/>
          <w:numId w:val="1"/>
        </w:numPr>
        <w:jc w:val="both"/>
        <w:rPr>
          <w:rFonts w:ascii="Times New Roman" w:hAnsi="Times New Roman" w:cs="Times New Roman"/>
          <w:sz w:val="28"/>
          <w:szCs w:val="28"/>
        </w:rPr>
      </w:pPr>
      <w:r w:rsidRPr="00756DBD">
        <w:rPr>
          <w:rFonts w:ascii="Times New Roman" w:hAnsi="Times New Roman" w:cs="Times New Roman"/>
          <w:sz w:val="28"/>
          <w:szCs w:val="28"/>
          <w:lang w:val="nl-BE"/>
        </w:rPr>
        <w:t xml:space="preserve">Nebo, G. N., &amp; Okechukwu, E. U. (2017). </w:t>
      </w:r>
      <w:r>
        <w:rPr>
          <w:rFonts w:ascii="Times New Roman" w:hAnsi="Times New Roman" w:cs="Times New Roman"/>
          <w:sz w:val="28"/>
          <w:szCs w:val="28"/>
        </w:rPr>
        <w:t xml:space="preserve">Effects of internal marketing on customer orientation behaviour of selected hotels’ employees in Nigeria. </w:t>
      </w:r>
      <w:r>
        <w:rPr>
          <w:rFonts w:ascii="Times New Roman" w:hAnsi="Times New Roman" w:cs="Times New Roman"/>
          <w:i/>
          <w:iCs/>
          <w:sz w:val="28"/>
          <w:szCs w:val="28"/>
        </w:rPr>
        <w:t>European Scientific Journal ESJ</w:t>
      </w:r>
      <w:r>
        <w:rPr>
          <w:rFonts w:ascii="Times New Roman" w:hAnsi="Times New Roman" w:cs="Times New Roman"/>
          <w:sz w:val="28"/>
          <w:szCs w:val="28"/>
        </w:rPr>
        <w:t xml:space="preserve">, </w:t>
      </w:r>
      <w:r>
        <w:rPr>
          <w:rFonts w:ascii="Times New Roman" w:hAnsi="Times New Roman" w:cs="Times New Roman"/>
          <w:i/>
          <w:iCs/>
          <w:sz w:val="28"/>
          <w:szCs w:val="28"/>
        </w:rPr>
        <w:t>13</w:t>
      </w:r>
      <w:r>
        <w:rPr>
          <w:rFonts w:ascii="Times New Roman" w:hAnsi="Times New Roman" w:cs="Times New Roman"/>
          <w:sz w:val="28"/>
          <w:szCs w:val="28"/>
        </w:rPr>
        <w:t>(16), 212. https://doi.org/10.19044/esj.2017.v13n16p212</w:t>
      </w:r>
    </w:p>
    <w:p w14:paraId="37EFA14F" w14:textId="7FF0BAC0" w:rsidR="00A72904" w:rsidRPr="00F879BF" w:rsidRDefault="00F71FC0" w:rsidP="00F879BF">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Peng, D. X., &amp; Lai, F. (2012). Using partial least squares in operations management research: A practical guideline and summary of past research. </w:t>
      </w:r>
      <w:r>
        <w:rPr>
          <w:rFonts w:ascii="Times New Roman" w:hAnsi="Times New Roman" w:cs="Times New Roman"/>
          <w:i/>
          <w:iCs/>
          <w:sz w:val="28"/>
          <w:szCs w:val="28"/>
        </w:rPr>
        <w:t>Journal of Operations Management</w:t>
      </w:r>
      <w:r>
        <w:rPr>
          <w:rFonts w:ascii="Times New Roman" w:hAnsi="Times New Roman" w:cs="Times New Roman"/>
          <w:sz w:val="28"/>
          <w:szCs w:val="28"/>
        </w:rPr>
        <w:t xml:space="preserve">, </w:t>
      </w:r>
      <w:r>
        <w:rPr>
          <w:rFonts w:ascii="Times New Roman" w:hAnsi="Times New Roman" w:cs="Times New Roman"/>
          <w:i/>
          <w:iCs/>
          <w:sz w:val="28"/>
          <w:szCs w:val="28"/>
        </w:rPr>
        <w:t>30</w:t>
      </w:r>
      <w:r>
        <w:rPr>
          <w:rFonts w:ascii="Times New Roman" w:hAnsi="Times New Roman" w:cs="Times New Roman"/>
          <w:sz w:val="28"/>
          <w:szCs w:val="28"/>
        </w:rPr>
        <w:t xml:space="preserve">(6), 467–480. </w:t>
      </w:r>
      <w:hyperlink r:id="rId10" w:history="1">
        <w:r w:rsidR="00A72904" w:rsidRPr="00370BD6">
          <w:rPr>
            <w:rStyle w:val="Hyperlink"/>
            <w:rFonts w:ascii="Times New Roman" w:hAnsi="Times New Roman" w:cs="Times New Roman"/>
            <w:sz w:val="28"/>
            <w:szCs w:val="28"/>
          </w:rPr>
          <w:t>https://doi.org/10.1016/j.jom.2012.06.002</w:t>
        </w:r>
      </w:hyperlink>
    </w:p>
    <w:p w14:paraId="23FAE8BC" w14:textId="77777777" w:rsidR="00F86953" w:rsidRDefault="00F71FC0">
      <w:pPr>
        <w:pStyle w:val="ListParagraph"/>
        <w:numPr>
          <w:ilvl w:val="0"/>
          <w:numId w:val="1"/>
        </w:numPr>
        <w:jc w:val="both"/>
        <w:rPr>
          <w:rFonts w:ascii="Times New Roman" w:hAnsi="Times New Roman" w:cs="Times New Roman"/>
          <w:sz w:val="28"/>
          <w:szCs w:val="28"/>
        </w:rPr>
      </w:pPr>
      <w:r w:rsidRPr="00756DBD">
        <w:rPr>
          <w:rFonts w:ascii="Times New Roman" w:hAnsi="Times New Roman" w:cs="Times New Roman"/>
          <w:sz w:val="28"/>
          <w:szCs w:val="28"/>
          <w:lang w:val="nl-BE"/>
        </w:rPr>
        <w:t xml:space="preserve">Podsakoff, P. M., MacKenzie, S. B., &amp; Podsakoff, N. P. (2012). </w:t>
      </w:r>
      <w:r>
        <w:rPr>
          <w:rFonts w:ascii="Times New Roman" w:hAnsi="Times New Roman" w:cs="Times New Roman"/>
          <w:sz w:val="28"/>
          <w:szCs w:val="28"/>
        </w:rPr>
        <w:t xml:space="preserve">Sources of method bias in social science research and recommendations on how to control it. </w:t>
      </w:r>
      <w:r>
        <w:rPr>
          <w:rFonts w:ascii="Times New Roman" w:hAnsi="Times New Roman" w:cs="Times New Roman"/>
          <w:i/>
          <w:iCs/>
          <w:sz w:val="28"/>
          <w:szCs w:val="28"/>
        </w:rPr>
        <w:t>Annual Review of Psychology</w:t>
      </w:r>
      <w:r>
        <w:rPr>
          <w:rFonts w:ascii="Times New Roman" w:hAnsi="Times New Roman" w:cs="Times New Roman"/>
          <w:sz w:val="28"/>
          <w:szCs w:val="28"/>
        </w:rPr>
        <w:t xml:space="preserve">, </w:t>
      </w:r>
      <w:r>
        <w:rPr>
          <w:rFonts w:ascii="Times New Roman" w:hAnsi="Times New Roman" w:cs="Times New Roman"/>
          <w:i/>
          <w:iCs/>
          <w:sz w:val="28"/>
          <w:szCs w:val="28"/>
        </w:rPr>
        <w:t>63</w:t>
      </w:r>
      <w:r>
        <w:rPr>
          <w:rFonts w:ascii="Times New Roman" w:hAnsi="Times New Roman" w:cs="Times New Roman"/>
          <w:sz w:val="28"/>
          <w:szCs w:val="28"/>
        </w:rPr>
        <w:t>(1), 539–569. https://doi.org/10.1146/annurev-psych-120710-100452</w:t>
      </w:r>
    </w:p>
    <w:p w14:paraId="6BBF26F2"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Sadikoglu, E., &amp; Zehir, C. (2010). Investigating the effects of innovation and employee performance on the relationship between total quality management practices and firm performance: An empirical study of Turkish firms. </w:t>
      </w:r>
      <w:r>
        <w:rPr>
          <w:rFonts w:ascii="Times New Roman" w:hAnsi="Times New Roman" w:cs="Times New Roman"/>
          <w:i/>
          <w:iCs/>
          <w:sz w:val="28"/>
          <w:szCs w:val="28"/>
        </w:rPr>
        <w:t>International Journal of Production Economics</w:t>
      </w:r>
      <w:r>
        <w:rPr>
          <w:rFonts w:ascii="Times New Roman" w:hAnsi="Times New Roman" w:cs="Times New Roman"/>
          <w:sz w:val="28"/>
          <w:szCs w:val="28"/>
        </w:rPr>
        <w:t xml:space="preserve">, </w:t>
      </w:r>
      <w:r>
        <w:rPr>
          <w:rFonts w:ascii="Times New Roman" w:hAnsi="Times New Roman" w:cs="Times New Roman"/>
          <w:i/>
          <w:iCs/>
          <w:sz w:val="28"/>
          <w:szCs w:val="28"/>
        </w:rPr>
        <w:t>127</w:t>
      </w:r>
      <w:r>
        <w:rPr>
          <w:rFonts w:ascii="Times New Roman" w:hAnsi="Times New Roman" w:cs="Times New Roman"/>
          <w:sz w:val="28"/>
          <w:szCs w:val="28"/>
        </w:rPr>
        <w:t>(1), 13–26. https://doi.org/10.1016/j.ijpe.2010.02.013</w:t>
      </w:r>
    </w:p>
    <w:p w14:paraId="1F460A07"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Sarstedt, M., Ringle, C. M., Cheah, J., Ting, H., Moisescu, O. I., &amp; Radomir, L. (2019). Structural model robustness checks in PLS-SEM. </w:t>
      </w:r>
      <w:r>
        <w:rPr>
          <w:rFonts w:ascii="Times New Roman" w:hAnsi="Times New Roman" w:cs="Times New Roman"/>
          <w:i/>
          <w:iCs/>
          <w:sz w:val="28"/>
          <w:szCs w:val="28"/>
        </w:rPr>
        <w:t>Tourism Economics</w:t>
      </w:r>
      <w:r>
        <w:rPr>
          <w:rFonts w:ascii="Times New Roman" w:hAnsi="Times New Roman" w:cs="Times New Roman"/>
          <w:sz w:val="28"/>
          <w:szCs w:val="28"/>
        </w:rPr>
        <w:t xml:space="preserve">, </w:t>
      </w:r>
      <w:r>
        <w:rPr>
          <w:rFonts w:ascii="Times New Roman" w:hAnsi="Times New Roman" w:cs="Times New Roman"/>
          <w:i/>
          <w:iCs/>
          <w:sz w:val="28"/>
          <w:szCs w:val="28"/>
        </w:rPr>
        <w:t>26</w:t>
      </w:r>
      <w:r>
        <w:rPr>
          <w:rFonts w:ascii="Times New Roman" w:hAnsi="Times New Roman" w:cs="Times New Roman"/>
          <w:sz w:val="28"/>
          <w:szCs w:val="28"/>
        </w:rPr>
        <w:t>(4), 531–554. https://doi.org/10.1177/1354816618823921</w:t>
      </w:r>
    </w:p>
    <w:p w14:paraId="5CFB689C"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Schaufeli, W. B., Salanova, M., González-Romá, V., &amp; Bakker, A. B. (2002). The Measurement of Engagement and Burnout: A two sample confirmatory Factor analytic approach. </w:t>
      </w:r>
      <w:r>
        <w:rPr>
          <w:rFonts w:ascii="Times New Roman" w:hAnsi="Times New Roman" w:cs="Times New Roman"/>
          <w:i/>
          <w:iCs/>
          <w:sz w:val="28"/>
          <w:szCs w:val="28"/>
        </w:rPr>
        <w:t>Journal of Happiness Studies</w:t>
      </w:r>
      <w:r>
        <w:rPr>
          <w:rFonts w:ascii="Times New Roman" w:hAnsi="Times New Roman" w:cs="Times New Roman"/>
          <w:sz w:val="28"/>
          <w:szCs w:val="28"/>
        </w:rPr>
        <w:t xml:space="preserve">, </w:t>
      </w:r>
      <w:r>
        <w:rPr>
          <w:rFonts w:ascii="Times New Roman" w:hAnsi="Times New Roman" w:cs="Times New Roman"/>
          <w:i/>
          <w:iCs/>
          <w:sz w:val="28"/>
          <w:szCs w:val="28"/>
        </w:rPr>
        <w:t>3</w:t>
      </w:r>
      <w:r>
        <w:rPr>
          <w:rFonts w:ascii="Times New Roman" w:hAnsi="Times New Roman" w:cs="Times New Roman"/>
          <w:sz w:val="28"/>
          <w:szCs w:val="28"/>
        </w:rPr>
        <w:t>(1), 71–92. https://doi.org/10.1023/a:1015630930326</w:t>
      </w:r>
    </w:p>
    <w:p w14:paraId="33E9201C"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Schaufeli, W. B., Bakker, A. B., &amp; Salanova, M. (2006). The measurement of work engagement with a short questionnaire. </w:t>
      </w:r>
      <w:r>
        <w:rPr>
          <w:rFonts w:ascii="Times New Roman" w:hAnsi="Times New Roman" w:cs="Times New Roman"/>
          <w:i/>
          <w:iCs/>
          <w:sz w:val="28"/>
          <w:szCs w:val="28"/>
        </w:rPr>
        <w:t>Educational and Psychological Measurement</w:t>
      </w:r>
      <w:r>
        <w:rPr>
          <w:rFonts w:ascii="Times New Roman" w:hAnsi="Times New Roman" w:cs="Times New Roman"/>
          <w:sz w:val="28"/>
          <w:szCs w:val="28"/>
        </w:rPr>
        <w:t xml:space="preserve">, </w:t>
      </w:r>
      <w:r>
        <w:rPr>
          <w:rFonts w:ascii="Times New Roman" w:hAnsi="Times New Roman" w:cs="Times New Roman"/>
          <w:i/>
          <w:iCs/>
          <w:sz w:val="28"/>
          <w:szCs w:val="28"/>
        </w:rPr>
        <w:t>66</w:t>
      </w:r>
      <w:r>
        <w:rPr>
          <w:rFonts w:ascii="Times New Roman" w:hAnsi="Times New Roman" w:cs="Times New Roman"/>
          <w:sz w:val="28"/>
          <w:szCs w:val="28"/>
        </w:rPr>
        <w:t>(4), 701–716. https://doi.org/10.1177/0013164405282471</w:t>
      </w:r>
    </w:p>
    <w:p w14:paraId="11819A2E"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Shafiq, M., Lasrado, F., &amp; Hafeez, K. (2017). The effect of TQM on organisational performance: empirical evidence from the textile sector of a developing country using SEM. </w:t>
      </w:r>
      <w:r>
        <w:rPr>
          <w:rFonts w:ascii="Times New Roman" w:hAnsi="Times New Roman" w:cs="Times New Roman"/>
          <w:i/>
          <w:iCs/>
          <w:sz w:val="28"/>
          <w:szCs w:val="28"/>
        </w:rPr>
        <w:t>Total Quality Management &amp; Business Excellence</w:t>
      </w:r>
      <w:r>
        <w:rPr>
          <w:rFonts w:ascii="Times New Roman" w:hAnsi="Times New Roman" w:cs="Times New Roman"/>
          <w:sz w:val="28"/>
          <w:szCs w:val="28"/>
        </w:rPr>
        <w:t xml:space="preserve">, </w:t>
      </w:r>
      <w:r>
        <w:rPr>
          <w:rFonts w:ascii="Times New Roman" w:hAnsi="Times New Roman" w:cs="Times New Roman"/>
          <w:i/>
          <w:iCs/>
          <w:sz w:val="28"/>
          <w:szCs w:val="28"/>
        </w:rPr>
        <w:t>30</w:t>
      </w:r>
      <w:r>
        <w:rPr>
          <w:rFonts w:ascii="Times New Roman" w:hAnsi="Times New Roman" w:cs="Times New Roman"/>
          <w:sz w:val="28"/>
          <w:szCs w:val="28"/>
        </w:rPr>
        <w:t>(1–2), 31–52. https://doi.org/10.1080/14783363.2017.1283211</w:t>
      </w:r>
    </w:p>
    <w:p w14:paraId="34049F8B"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Shmueli, G., Sarstedt, M., Hair, J. F., Cheah, J., Ting, H., Vaithilingam, S., &amp; Ringle, C. M. (2019). Predictive model assessment in PLS-SEM: guidelines for using PLSpredict. </w:t>
      </w:r>
      <w:r>
        <w:rPr>
          <w:rFonts w:ascii="Times New Roman" w:hAnsi="Times New Roman" w:cs="Times New Roman"/>
          <w:i/>
          <w:iCs/>
          <w:sz w:val="28"/>
          <w:szCs w:val="28"/>
        </w:rPr>
        <w:t>European Journal of Marketing</w:t>
      </w:r>
      <w:r>
        <w:rPr>
          <w:rFonts w:ascii="Times New Roman" w:hAnsi="Times New Roman" w:cs="Times New Roman"/>
          <w:sz w:val="28"/>
          <w:szCs w:val="28"/>
        </w:rPr>
        <w:t xml:space="preserve">, </w:t>
      </w:r>
      <w:r>
        <w:rPr>
          <w:rFonts w:ascii="Times New Roman" w:hAnsi="Times New Roman" w:cs="Times New Roman"/>
          <w:i/>
          <w:iCs/>
          <w:sz w:val="28"/>
          <w:szCs w:val="28"/>
        </w:rPr>
        <w:t>53</w:t>
      </w:r>
      <w:r>
        <w:rPr>
          <w:rFonts w:ascii="Times New Roman" w:hAnsi="Times New Roman" w:cs="Times New Roman"/>
          <w:sz w:val="28"/>
          <w:szCs w:val="28"/>
        </w:rPr>
        <w:t>(11), 2322–2347. https://doi.org/10.1108/ejm-02-2019-0189</w:t>
      </w:r>
    </w:p>
    <w:p w14:paraId="30696041"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Sila, I., &amp; Cek, K. (2017). The impact of environmental, social and governance dimensions of corporate social responsibility on economic performance: Australian evidence. </w:t>
      </w:r>
      <w:r>
        <w:rPr>
          <w:rFonts w:ascii="Times New Roman" w:hAnsi="Times New Roman" w:cs="Times New Roman"/>
          <w:i/>
          <w:iCs/>
          <w:sz w:val="28"/>
          <w:szCs w:val="28"/>
        </w:rPr>
        <w:t>Procedia Computer Science</w:t>
      </w:r>
      <w:r>
        <w:rPr>
          <w:rFonts w:ascii="Times New Roman" w:hAnsi="Times New Roman" w:cs="Times New Roman"/>
          <w:sz w:val="28"/>
          <w:szCs w:val="28"/>
        </w:rPr>
        <w:t xml:space="preserve">, </w:t>
      </w:r>
      <w:r>
        <w:rPr>
          <w:rFonts w:ascii="Times New Roman" w:hAnsi="Times New Roman" w:cs="Times New Roman"/>
          <w:i/>
          <w:iCs/>
          <w:sz w:val="28"/>
          <w:szCs w:val="28"/>
        </w:rPr>
        <w:t>120</w:t>
      </w:r>
      <w:r>
        <w:rPr>
          <w:rFonts w:ascii="Times New Roman" w:hAnsi="Times New Roman" w:cs="Times New Roman"/>
          <w:sz w:val="28"/>
          <w:szCs w:val="28"/>
        </w:rPr>
        <w:t>, 797–804. https://doi.org/10.1016/j.procs.2017.11.310</w:t>
      </w:r>
    </w:p>
    <w:p w14:paraId="559E5F66"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Talib, F., Rahman, Z., &amp; Qureshi, M. (2013). An empirical investigation of relationship between total quality management practices and quality performance in Indian service companies. </w:t>
      </w:r>
      <w:r>
        <w:rPr>
          <w:rFonts w:ascii="Times New Roman" w:hAnsi="Times New Roman" w:cs="Times New Roman"/>
          <w:i/>
          <w:iCs/>
          <w:sz w:val="28"/>
          <w:szCs w:val="28"/>
        </w:rPr>
        <w:t>International Journal of Quality &amp; Reliability Management</w:t>
      </w:r>
      <w:r>
        <w:rPr>
          <w:rFonts w:ascii="Times New Roman" w:hAnsi="Times New Roman" w:cs="Times New Roman"/>
          <w:sz w:val="28"/>
          <w:szCs w:val="28"/>
        </w:rPr>
        <w:t xml:space="preserve">, </w:t>
      </w:r>
      <w:r>
        <w:rPr>
          <w:rFonts w:ascii="Times New Roman" w:hAnsi="Times New Roman" w:cs="Times New Roman"/>
          <w:i/>
          <w:iCs/>
          <w:sz w:val="28"/>
          <w:szCs w:val="28"/>
        </w:rPr>
        <w:t>30</w:t>
      </w:r>
      <w:r>
        <w:rPr>
          <w:rFonts w:ascii="Times New Roman" w:hAnsi="Times New Roman" w:cs="Times New Roman"/>
          <w:sz w:val="28"/>
          <w:szCs w:val="28"/>
        </w:rPr>
        <w:t>(3), 280–318. https://doi.org/10.1108/02656711311299845</w:t>
      </w:r>
    </w:p>
    <w:p w14:paraId="37BEB854" w14:textId="77777777" w:rsidR="00F86953" w:rsidRDefault="00F71FC0">
      <w:pPr>
        <w:pStyle w:val="ListParagraph"/>
        <w:numPr>
          <w:ilvl w:val="0"/>
          <w:numId w:val="1"/>
        </w:numPr>
        <w:jc w:val="both"/>
        <w:rPr>
          <w:rFonts w:ascii="Times New Roman" w:hAnsi="Times New Roman" w:cs="Times New Roman"/>
          <w:sz w:val="28"/>
          <w:szCs w:val="28"/>
        </w:rPr>
      </w:pPr>
      <w:r w:rsidRPr="00756DBD">
        <w:rPr>
          <w:rFonts w:ascii="Times New Roman" w:hAnsi="Times New Roman" w:cs="Times New Roman"/>
          <w:sz w:val="28"/>
          <w:szCs w:val="28"/>
          <w:lang w:val="nl-BE"/>
        </w:rPr>
        <w:t xml:space="preserve">Taras, V., Kirkman, B. L., &amp; Steel, P. (2010). </w:t>
      </w:r>
      <w:r>
        <w:rPr>
          <w:rFonts w:ascii="Times New Roman" w:hAnsi="Times New Roman" w:cs="Times New Roman"/>
          <w:sz w:val="28"/>
          <w:szCs w:val="28"/>
        </w:rPr>
        <w:t xml:space="preserve">Examining the impact of Culture’s consequences: A three-decade, multilevel, meta-analytic review of Hofstede’s cultural value dimensions. </w:t>
      </w:r>
      <w:r>
        <w:rPr>
          <w:rFonts w:ascii="Times New Roman" w:hAnsi="Times New Roman" w:cs="Times New Roman"/>
          <w:i/>
          <w:iCs/>
          <w:sz w:val="28"/>
          <w:szCs w:val="28"/>
        </w:rPr>
        <w:t>Journal of Applied Psychology</w:t>
      </w:r>
      <w:r>
        <w:rPr>
          <w:rFonts w:ascii="Times New Roman" w:hAnsi="Times New Roman" w:cs="Times New Roman"/>
          <w:sz w:val="28"/>
          <w:szCs w:val="28"/>
        </w:rPr>
        <w:t xml:space="preserve">, </w:t>
      </w:r>
      <w:r>
        <w:rPr>
          <w:rFonts w:ascii="Times New Roman" w:hAnsi="Times New Roman" w:cs="Times New Roman"/>
          <w:i/>
          <w:iCs/>
          <w:sz w:val="28"/>
          <w:szCs w:val="28"/>
        </w:rPr>
        <w:t>95</w:t>
      </w:r>
      <w:r>
        <w:rPr>
          <w:rFonts w:ascii="Times New Roman" w:hAnsi="Times New Roman" w:cs="Times New Roman"/>
          <w:sz w:val="28"/>
          <w:szCs w:val="28"/>
        </w:rPr>
        <w:t>(3), 405–439. https://doi.org/10.1037/a0018938</w:t>
      </w:r>
    </w:p>
    <w:p w14:paraId="2AB2340D"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Williams, L. J., Hartman, N., &amp; Cavazotte, F. (2010). Method Variance and Marker Variables: A review and Comprehensive CFA marker technique. </w:t>
      </w:r>
      <w:r>
        <w:rPr>
          <w:rFonts w:ascii="Times New Roman" w:hAnsi="Times New Roman" w:cs="Times New Roman"/>
          <w:i/>
          <w:iCs/>
          <w:sz w:val="28"/>
          <w:szCs w:val="28"/>
        </w:rPr>
        <w:t>Organizational Research Methods</w:t>
      </w:r>
      <w:r>
        <w:rPr>
          <w:rFonts w:ascii="Times New Roman" w:hAnsi="Times New Roman" w:cs="Times New Roman"/>
          <w:sz w:val="28"/>
          <w:szCs w:val="28"/>
        </w:rPr>
        <w:t xml:space="preserve">, </w:t>
      </w:r>
      <w:r>
        <w:rPr>
          <w:rFonts w:ascii="Times New Roman" w:hAnsi="Times New Roman" w:cs="Times New Roman"/>
          <w:i/>
          <w:iCs/>
          <w:sz w:val="28"/>
          <w:szCs w:val="28"/>
        </w:rPr>
        <w:t>13</w:t>
      </w:r>
      <w:r>
        <w:rPr>
          <w:rFonts w:ascii="Times New Roman" w:hAnsi="Times New Roman" w:cs="Times New Roman"/>
          <w:sz w:val="28"/>
          <w:szCs w:val="28"/>
        </w:rPr>
        <w:t>(3), 477–514. https://doi.org/10.1177/1094428110366036</w:t>
      </w:r>
    </w:p>
    <w:p w14:paraId="11839FC8" w14:textId="77777777"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Yusr, M. M., Mokhtar, S. S. M., Othman, A. R., &amp; Sulaiman, Y. (2017). Does interaction between TQM practices and knowledge management processes enhance the innovation performance? </w:t>
      </w:r>
      <w:r>
        <w:rPr>
          <w:rFonts w:ascii="Times New Roman" w:hAnsi="Times New Roman" w:cs="Times New Roman"/>
          <w:i/>
          <w:iCs/>
          <w:sz w:val="28"/>
          <w:szCs w:val="28"/>
        </w:rPr>
        <w:t>International Journal of Quality &amp; Reliability Management</w:t>
      </w:r>
      <w:r>
        <w:rPr>
          <w:rFonts w:ascii="Times New Roman" w:hAnsi="Times New Roman" w:cs="Times New Roman"/>
          <w:sz w:val="28"/>
          <w:szCs w:val="28"/>
        </w:rPr>
        <w:t xml:space="preserve">, </w:t>
      </w:r>
      <w:r>
        <w:rPr>
          <w:rFonts w:ascii="Times New Roman" w:hAnsi="Times New Roman" w:cs="Times New Roman"/>
          <w:i/>
          <w:iCs/>
          <w:sz w:val="28"/>
          <w:szCs w:val="28"/>
        </w:rPr>
        <w:t>34</w:t>
      </w:r>
      <w:r>
        <w:rPr>
          <w:rFonts w:ascii="Times New Roman" w:hAnsi="Times New Roman" w:cs="Times New Roman"/>
          <w:sz w:val="28"/>
          <w:szCs w:val="28"/>
        </w:rPr>
        <w:t>(7), 955–974. https://doi.org/10.1108/ijqrm-09-2014-0138</w:t>
      </w:r>
    </w:p>
    <w:p w14:paraId="019572F5" w14:textId="77777777" w:rsidR="00F86953" w:rsidRDefault="00F86953">
      <w:pPr>
        <w:jc w:val="both"/>
        <w:rPr>
          <w:rFonts w:ascii="Times New Roman" w:hAnsi="Times New Roman" w:cs="Times New Roman"/>
          <w:sz w:val="28"/>
          <w:szCs w:val="28"/>
        </w:rPr>
      </w:pPr>
    </w:p>
    <w:sectPr w:rsidR="00F869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75EF" w14:textId="77777777" w:rsidR="00905778" w:rsidRDefault="00905778" w:rsidP="000953E3">
      <w:pPr>
        <w:spacing w:after="0" w:line="240" w:lineRule="auto"/>
      </w:pPr>
      <w:r>
        <w:separator/>
      </w:r>
    </w:p>
  </w:endnote>
  <w:endnote w:type="continuationSeparator" w:id="0">
    <w:p w14:paraId="19C1D6A9" w14:textId="77777777" w:rsidR="00905778" w:rsidRDefault="00905778" w:rsidP="0009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A1E3" w14:textId="77777777" w:rsidR="000953E3" w:rsidRDefault="00095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FAA7" w14:textId="77777777" w:rsidR="000953E3" w:rsidRDefault="00095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9C57" w14:textId="77777777" w:rsidR="000953E3" w:rsidRDefault="00095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FA16" w14:textId="77777777" w:rsidR="00905778" w:rsidRDefault="00905778" w:rsidP="000953E3">
      <w:pPr>
        <w:spacing w:after="0" w:line="240" w:lineRule="auto"/>
      </w:pPr>
      <w:r>
        <w:separator/>
      </w:r>
    </w:p>
  </w:footnote>
  <w:footnote w:type="continuationSeparator" w:id="0">
    <w:p w14:paraId="0674A6BA" w14:textId="77777777" w:rsidR="00905778" w:rsidRDefault="00905778" w:rsidP="00095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9E0A" w14:textId="77777777" w:rsidR="000953E3" w:rsidRDefault="00000000">
    <w:pPr>
      <w:pStyle w:val="Header"/>
    </w:pPr>
    <w:r>
      <w:rPr>
        <w:noProof/>
      </w:rPr>
      <w:pict w14:anchorId="10B0D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248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6A49" w14:textId="77777777" w:rsidR="000953E3" w:rsidRDefault="00000000">
    <w:pPr>
      <w:pStyle w:val="Header"/>
    </w:pPr>
    <w:r>
      <w:rPr>
        <w:noProof/>
      </w:rPr>
      <w:pict w14:anchorId="6AF97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248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12D6" w14:textId="77777777" w:rsidR="000953E3" w:rsidRDefault="00000000">
    <w:pPr>
      <w:pStyle w:val="Header"/>
    </w:pPr>
    <w:r>
      <w:rPr>
        <w:noProof/>
      </w:rPr>
      <w:pict w14:anchorId="7EB2E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248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2FCCE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40D82F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8EC6DE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F800E3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10BEA85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063EF0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hybridMultilevel"/>
    <w:tmpl w:val="40509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D8D8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F4382"/>
    <w:multiLevelType w:val="multilevel"/>
    <w:tmpl w:val="5C0832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721055001">
    <w:abstractNumId w:val="6"/>
  </w:num>
  <w:num w:numId="2" w16cid:durableId="1311787049">
    <w:abstractNumId w:val="4"/>
  </w:num>
  <w:num w:numId="3" w16cid:durableId="1615479013">
    <w:abstractNumId w:val="1"/>
  </w:num>
  <w:num w:numId="4" w16cid:durableId="913660800">
    <w:abstractNumId w:val="0"/>
  </w:num>
  <w:num w:numId="5" w16cid:durableId="657462010">
    <w:abstractNumId w:val="8"/>
  </w:num>
  <w:num w:numId="6" w16cid:durableId="1774738733">
    <w:abstractNumId w:val="3"/>
  </w:num>
  <w:num w:numId="7" w16cid:durableId="336228075">
    <w:abstractNumId w:val="2"/>
  </w:num>
  <w:num w:numId="8" w16cid:durableId="4989388">
    <w:abstractNumId w:val="5"/>
  </w:num>
  <w:num w:numId="9" w16cid:durableId="1772431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3"/>
    <w:rsid w:val="00070534"/>
    <w:rsid w:val="000953E3"/>
    <w:rsid w:val="001973F0"/>
    <w:rsid w:val="00235DCF"/>
    <w:rsid w:val="003102E1"/>
    <w:rsid w:val="004151C7"/>
    <w:rsid w:val="006D7737"/>
    <w:rsid w:val="00756DBD"/>
    <w:rsid w:val="00851A9A"/>
    <w:rsid w:val="00905778"/>
    <w:rsid w:val="00947B17"/>
    <w:rsid w:val="00A72904"/>
    <w:rsid w:val="00A947F4"/>
    <w:rsid w:val="00AC67F9"/>
    <w:rsid w:val="00AE486B"/>
    <w:rsid w:val="00AF31AD"/>
    <w:rsid w:val="00B26452"/>
    <w:rsid w:val="00B47049"/>
    <w:rsid w:val="00C150EE"/>
    <w:rsid w:val="00DD1BD4"/>
    <w:rsid w:val="00DF39AA"/>
    <w:rsid w:val="00F71FC0"/>
    <w:rsid w:val="00F86953"/>
    <w:rsid w:val="00F8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71F5"/>
  <w15:docId w15:val="{06BEE479-899F-495A-8C72-F854B010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rPr>
      <w:rFonts w:ascii="Times New Roman" w:hAnsi="Times New Roman" w:cs="Times New Roma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TMLPreformatted">
    <w:name w:val="HTML Preformatted"/>
    <w:basedOn w:val="Normal"/>
    <w:link w:val="HTMLPreformattedChar"/>
    <w:uiPriority w:val="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Pr>
      <w:rFonts w:ascii="Consolas" w:hAnsi="Consolas"/>
      <w:sz w:val="20"/>
      <w:szCs w:val="20"/>
    </w:rPr>
  </w:style>
  <w:style w:type="character" w:styleId="Hyperlink">
    <w:name w:val="Hyperlink"/>
    <w:basedOn w:val="DefaultParagraphFont"/>
    <w:uiPriority w:val="99"/>
    <w:unhideWhenUsed/>
    <w:rsid w:val="00AF31AD"/>
    <w:rPr>
      <w:color w:val="0000FF" w:themeColor="hyperlink"/>
      <w:u w:val="single"/>
    </w:rPr>
  </w:style>
  <w:style w:type="character" w:styleId="UnresolvedMention">
    <w:name w:val="Unresolved Mention"/>
    <w:basedOn w:val="DefaultParagraphFont"/>
    <w:uiPriority w:val="99"/>
    <w:semiHidden/>
    <w:unhideWhenUsed/>
    <w:rsid w:val="00AF31AD"/>
    <w:rPr>
      <w:color w:val="605E5C"/>
      <w:shd w:val="clear" w:color="auto" w:fill="E1DFDD"/>
    </w:rPr>
  </w:style>
  <w:style w:type="paragraph" w:styleId="NoSpacing">
    <w:name w:val="No Spacing"/>
    <w:uiPriority w:val="1"/>
    <w:qFormat/>
    <w:rsid w:val="00AC67F9"/>
    <w:pPr>
      <w:spacing w:after="0" w:line="240" w:lineRule="auto"/>
    </w:pPr>
    <w:rPr>
      <w:rFonts w:asciiTheme="minorHAnsi" w:eastAsiaTheme="minorHAnsi" w:hAnsiTheme="minorHAnsi" w:cstheme="minorBidi"/>
      <w:kern w:val="0"/>
      <w:sz w:val="22"/>
      <w:szCs w:val="22"/>
      <w:lang w:val="en-GB"/>
      <w14:ligatures w14:val="none"/>
    </w:rPr>
  </w:style>
  <w:style w:type="paragraph" w:customStyle="1" w:styleId="ds-markdown-paragraph">
    <w:name w:val="ds-markdown-paragraph"/>
    <w:basedOn w:val="Normal"/>
    <w:rsid w:val="00A729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72904"/>
    <w:rPr>
      <w:i/>
      <w:iCs/>
    </w:rPr>
  </w:style>
  <w:style w:type="character" w:customStyle="1" w:styleId="url">
    <w:name w:val="url"/>
    <w:basedOn w:val="DefaultParagraphFont"/>
    <w:rsid w:val="00070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390/su14191191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j.jom.2012.06.002" TargetMode="External"/><Relationship Id="rId4" Type="http://schemas.openxmlformats.org/officeDocument/2006/relationships/webSettings" Target="webSettings.xml"/><Relationship Id="rId9" Type="http://schemas.openxmlformats.org/officeDocument/2006/relationships/hyperlink" Target="https://doi.org/10.1108/imds-07-2015-030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2</Pages>
  <Words>6926</Words>
  <Characters>39480</Characters>
  <Application>Microsoft Office Word</Application>
  <DocSecurity>0</DocSecurity>
  <Lines>329</Lines>
  <Paragraphs>92</Paragraphs>
  <ScaleCrop>false</ScaleCrop>
  <Company/>
  <LinksUpToDate>false</LinksUpToDate>
  <CharactersWithSpaces>46314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TAOFIQ YUSUFF</dc:creator>
  <cp:lastModifiedBy>Editor-90</cp:lastModifiedBy>
  <cp:revision>23</cp:revision>
  <dcterms:created xsi:type="dcterms:W3CDTF">2026-01-12T20:45:00Z</dcterms:created>
  <dcterms:modified xsi:type="dcterms:W3CDTF">2026-01-22T07:01:00Z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6c9a20abc8c944bebb531720271e527f</vt:lpwstr>
  </property>
</Properties>
</file>