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4A22" w14:textId="77777777" w:rsidR="003F7149" w:rsidRDefault="003F7149" w:rsidP="003F7149">
      <w:pPr>
        <w:rPr>
          <w:b/>
          <w:bCs/>
          <w:sz w:val="28"/>
          <w:szCs w:val="28"/>
        </w:rPr>
      </w:pPr>
      <w:r>
        <w:rPr>
          <w:b/>
          <w:bCs/>
          <w:sz w:val="28"/>
          <w:szCs w:val="28"/>
        </w:rPr>
        <w:t>Original Research Article</w:t>
      </w:r>
    </w:p>
    <w:p w14:paraId="18D281E0" w14:textId="77777777" w:rsidR="00BE4582" w:rsidRDefault="00000000">
      <w:pPr>
        <w:jc w:val="center"/>
        <w:rPr>
          <w:b/>
          <w:bCs/>
          <w:sz w:val="28"/>
          <w:szCs w:val="28"/>
        </w:rPr>
      </w:pPr>
      <w:r>
        <w:rPr>
          <w:b/>
          <w:bCs/>
          <w:sz w:val="28"/>
          <w:szCs w:val="28"/>
        </w:rPr>
        <w:t>Audit Quality and Firm Value: Evidence from Selected Money Deposit Banks in Abia State, Nigeria</w:t>
      </w:r>
    </w:p>
    <w:p w14:paraId="559B1FE2" w14:textId="77777777" w:rsidR="00BE4582" w:rsidRDefault="00BE4582">
      <w:pPr>
        <w:rPr>
          <w:sz w:val="28"/>
          <w:szCs w:val="28"/>
        </w:rPr>
      </w:pPr>
    </w:p>
    <w:p w14:paraId="3B230535" w14:textId="77777777" w:rsidR="00BE4582" w:rsidRDefault="00000000">
      <w:pPr>
        <w:jc w:val="both"/>
        <w:rPr>
          <w:b/>
          <w:bCs/>
          <w:sz w:val="26"/>
          <w:szCs w:val="26"/>
        </w:rPr>
      </w:pPr>
      <w:r>
        <w:rPr>
          <w:b/>
          <w:bCs/>
          <w:sz w:val="26"/>
          <w:szCs w:val="26"/>
        </w:rPr>
        <w:t>Abstract</w:t>
      </w:r>
    </w:p>
    <w:p w14:paraId="498B8F81" w14:textId="77777777" w:rsidR="00BE4582" w:rsidRDefault="00000000">
      <w:pPr>
        <w:jc w:val="both"/>
        <w:rPr>
          <w:sz w:val="26"/>
          <w:szCs w:val="26"/>
        </w:rPr>
      </w:pPr>
      <w:r>
        <w:rPr>
          <w:sz w:val="26"/>
          <w:szCs w:val="26"/>
        </w:rPr>
        <w:t xml:space="preserve">This paper will explore the audit quality and firm value association of some money deposit banks in Abia State, Nigeria. The survey research design was applied, and the sample size of 120 management staff in six banks was used to gather data in the form of structured questionnaires. </w:t>
      </w:r>
      <w:r>
        <w:rPr>
          <w:sz w:val="26"/>
          <w:szCs w:val="26"/>
          <w:highlight w:val="yellow"/>
        </w:rPr>
        <w:t>Firm value was modeled as market capitalization, which was gathered as a result of bank annual reports, but the audit quality dimensions were implemented through the perceptual survey items.</w:t>
      </w:r>
      <w:r>
        <w:rPr>
          <w:sz w:val="26"/>
          <w:szCs w:val="26"/>
        </w:rPr>
        <w:t xml:space="preserve"> The three indicators were audit independence, audit competence, and audit fee that measured audit quality and market capitalization that measured firm value. The results of the multiple regression analysis showed that the audit independence (b = 0.353, p &lt; 0.05) and audit fee (b = 0.311, p &lt; 0.05) have significant impact on firm value, and audit competence (b = 0.127, p &gt; 0.05) </w:t>
      </w:r>
      <w:r>
        <w:rPr>
          <w:rFonts w:eastAsia="SimSun" w:cs="Times New Roman"/>
          <w:sz w:val="28"/>
          <w:szCs w:val="28"/>
          <w:highlight w:val="yellow"/>
          <w:lang w:eastAsia="zh-CN"/>
        </w:rPr>
        <w:t>did not show a significant relationship</w:t>
      </w:r>
      <w:r>
        <w:rPr>
          <w:sz w:val="26"/>
          <w:szCs w:val="26"/>
        </w:rPr>
        <w:t xml:space="preserve">. </w:t>
      </w:r>
      <w:r>
        <w:rPr>
          <w:rFonts w:eastAsia="SimSun" w:cs="Times New Roman"/>
          <w:sz w:val="28"/>
          <w:szCs w:val="28"/>
          <w:highlight w:val="yellow"/>
          <w:lang w:eastAsia="zh-CN"/>
        </w:rPr>
        <w:t>The combined dimensions of audit quality accounted for 31% of the variance in firm value</w:t>
      </w:r>
      <w:r>
        <w:rPr>
          <w:sz w:val="26"/>
          <w:szCs w:val="26"/>
        </w:rPr>
        <w:t xml:space="preserve"> (Adjusted R2 = 0.306, F = 18.475, p &lt; 0.05). The results highlighted the importance of auditor independence and the right audit price in improving the valuation of firms in Nigeria banking industry. The study suggests that there should be more emphasis on the mechanisms of audit independence, quality-reflective audit fee structure, and </w:t>
      </w:r>
      <w:r>
        <w:rPr>
          <w:rFonts w:eastAsia="SimSun" w:cs="Times New Roman"/>
          <w:sz w:val="28"/>
          <w:szCs w:val="28"/>
          <w:highlight w:val="yellow"/>
          <w:lang w:eastAsia="zh-CN"/>
        </w:rPr>
        <w:t>regulatory oversight to enhance auditor competence</w:t>
      </w:r>
      <w:r>
        <w:rPr>
          <w:sz w:val="26"/>
          <w:szCs w:val="26"/>
        </w:rPr>
        <w:t xml:space="preserve"> and industry specialization in the Nigerian deposit money banks.</w:t>
      </w:r>
    </w:p>
    <w:p w14:paraId="0A0D2C1F" w14:textId="77777777" w:rsidR="00BE4582" w:rsidRDefault="00000000">
      <w:pPr>
        <w:jc w:val="both"/>
        <w:rPr>
          <w:sz w:val="26"/>
          <w:szCs w:val="26"/>
        </w:rPr>
      </w:pPr>
      <w:r>
        <w:rPr>
          <w:b/>
          <w:bCs/>
          <w:sz w:val="26"/>
          <w:szCs w:val="26"/>
        </w:rPr>
        <w:t>Keywords:</w:t>
      </w:r>
      <w:r>
        <w:rPr>
          <w:sz w:val="26"/>
          <w:szCs w:val="26"/>
        </w:rPr>
        <w:t xml:space="preserve"> Audit Quality; Firm Value; Audit Independence; Audit Fee; Audit Competence; Money Deposit Banks; Banking Sector; Nigeria</w:t>
      </w:r>
    </w:p>
    <w:p w14:paraId="36625616" w14:textId="77777777" w:rsidR="00BE4582" w:rsidRDefault="00BE4582">
      <w:pPr>
        <w:jc w:val="both"/>
        <w:rPr>
          <w:sz w:val="26"/>
          <w:szCs w:val="26"/>
        </w:rPr>
      </w:pPr>
    </w:p>
    <w:p w14:paraId="758D6600" w14:textId="77777777" w:rsidR="00BE4582" w:rsidRDefault="00000000">
      <w:pPr>
        <w:jc w:val="both"/>
        <w:rPr>
          <w:b/>
          <w:bCs/>
          <w:sz w:val="26"/>
          <w:szCs w:val="26"/>
        </w:rPr>
      </w:pPr>
      <w:r>
        <w:rPr>
          <w:b/>
          <w:bCs/>
          <w:sz w:val="26"/>
          <w:szCs w:val="26"/>
        </w:rPr>
        <w:t>1. Introduction</w:t>
      </w:r>
    </w:p>
    <w:p w14:paraId="4C8F104D" w14:textId="77777777" w:rsidR="00BE4582" w:rsidRDefault="00000000">
      <w:pPr>
        <w:jc w:val="both"/>
        <w:rPr>
          <w:sz w:val="26"/>
          <w:szCs w:val="26"/>
        </w:rPr>
      </w:pPr>
      <w:r>
        <w:rPr>
          <w:sz w:val="26"/>
          <w:szCs w:val="26"/>
        </w:rPr>
        <w:t xml:space="preserve">The quality of audits and value of firms are some of the most crucial pillars of organizational stability and growth especially in the banking industry where transparency and accountability are core issues. Audit quality is the likelihood that an auditor will report material misstatements and it is stressed that it is based on the independence and competence of the auditor (DeAngelo, 1981). Quality audits decrease the information </w:t>
      </w:r>
      <w:r>
        <w:rPr>
          <w:sz w:val="26"/>
          <w:szCs w:val="26"/>
        </w:rPr>
        <w:lastRenderedPageBreak/>
        <w:t>asymmetry between the managers and shareholders, the agency problems and increase the investor confidence (Matoke and Omwenga, 2016). The quality auditors are successful in identifying the dubious accounting practices and thus transparency and correctness of financial reports are achieved.</w:t>
      </w:r>
    </w:p>
    <w:p w14:paraId="27712F05" w14:textId="77777777" w:rsidR="00BE4582" w:rsidRDefault="00000000">
      <w:pPr>
        <w:jc w:val="both"/>
        <w:rPr>
          <w:sz w:val="26"/>
          <w:szCs w:val="26"/>
        </w:rPr>
      </w:pPr>
      <w:r>
        <w:rPr>
          <w:sz w:val="26"/>
          <w:szCs w:val="26"/>
        </w:rPr>
        <w:t>Firm value is used to calculate the economic worth and financial health of a company and its financial capacity to maximize wealth on shareholders and ensure sustainable growth (Pandy, 2018). Clear and believable financial reporting play a significant role in influencing the perception and investor trust in the market. The correlation between the quality of auditing and the value of a firm is complex and consequential as quality audits positively increase the value of the firm through financial information dependability, lowering the cost of capital, and increasing investor confidence (Matoke &amp; Omwenga, 2016).</w:t>
      </w:r>
    </w:p>
    <w:p w14:paraId="3C258C83" w14:textId="77777777" w:rsidR="00BE4582" w:rsidRDefault="00000000">
      <w:pPr>
        <w:jc w:val="both"/>
        <w:rPr>
          <w:sz w:val="26"/>
          <w:szCs w:val="26"/>
        </w:rPr>
      </w:pPr>
      <w:r>
        <w:rPr>
          <w:sz w:val="26"/>
          <w:szCs w:val="26"/>
        </w:rPr>
        <w:t>Financial report integrity becomes vital to economic stability in deposit money banks which are custodians of the funds of the people. The use of specialized audit services in Nigerian banks enhanced the valuation of the firm by enhancing stakeholder confidence and minimizing financial misstatements (Hirhyel and Sadah, 2020). The effect of the independence of auditors and their size on the performance of quoted firms in Nigeria was of critical importance as it showed the importance of audit quality in ensuring stability in the market (Farouk and Hassan, 2014). The importance of industry-focused audits increases in the banking industry, as the complexity of financial activities requires more inquiry and experience (Alsmairat et al., 2018; Wijaya, 2020).</w:t>
      </w:r>
    </w:p>
    <w:p w14:paraId="078C5230" w14:textId="77777777" w:rsidR="00BE4582" w:rsidRDefault="00000000">
      <w:pPr>
        <w:jc w:val="both"/>
        <w:rPr>
          <w:sz w:val="26"/>
          <w:szCs w:val="26"/>
        </w:rPr>
      </w:pPr>
      <w:r>
        <w:rPr>
          <w:sz w:val="26"/>
          <w:szCs w:val="26"/>
        </w:rPr>
        <w:t>Although audit quality is known to be important in improving firm value, it has been demonstrated that it does not offer consistent results across various organizational settings. The issues associated with long tenure of the auditor, lack of specialization in the industry, and ineffective regulatory frameworks are the key problems that reduce the credibility and effectiveness of the audit process (Hirhyel &amp; Sadah, 2020). In Nigeria, these problems are worsened by poor regulatory implementation, scarcity of resources, organizational opposition to industry-based audit practices, and political meddling (Hamdy et al., 2025; Abid et al., 2018). The extension of the relationship between the auditor and its clients weakens independence, making the audit process less effective and reducing the firm value.</w:t>
      </w:r>
    </w:p>
    <w:p w14:paraId="2D39B1B0" w14:textId="77777777" w:rsidR="00BE4582" w:rsidRDefault="00000000">
      <w:pPr>
        <w:jc w:val="both"/>
        <w:rPr>
          <w:sz w:val="26"/>
          <w:szCs w:val="26"/>
          <w:highlight w:val="yellow"/>
        </w:rPr>
      </w:pPr>
      <w:r>
        <w:rPr>
          <w:sz w:val="26"/>
          <w:szCs w:val="26"/>
        </w:rPr>
        <w:lastRenderedPageBreak/>
        <w:t xml:space="preserve">This paper will look at the subtle interaction between the quality of audit and the value of a firm in the context of the Nigerian deposit money banks, where it will look into the effect of audit independence, audit competence and audit fee on the firm value as measured by market capitalization. The study fills gaps in the empirical literature in the Nigerian setting and offers practical recommendations to policymakers, auditors, and corporate leaders interested in learning about the issues of audit quality and the effects on the value of the firm. </w:t>
      </w:r>
      <w:r>
        <w:rPr>
          <w:sz w:val="26"/>
          <w:szCs w:val="26"/>
          <w:highlight w:val="yellow"/>
        </w:rPr>
        <w:t>This paper thus aims to establish granular and context-dependent evidence on the impact of the elements of audit quality such as independence, competence, and fee on firm value within the banking industry in Nigeria with implications on regulators and practitioners.</w:t>
      </w:r>
    </w:p>
    <w:p w14:paraId="196273E6" w14:textId="77777777" w:rsidR="00BE4582" w:rsidRDefault="00000000">
      <w:pPr>
        <w:jc w:val="both"/>
        <w:rPr>
          <w:b/>
          <w:bCs/>
          <w:sz w:val="26"/>
          <w:szCs w:val="26"/>
        </w:rPr>
      </w:pPr>
      <w:r>
        <w:rPr>
          <w:b/>
          <w:bCs/>
          <w:sz w:val="26"/>
          <w:szCs w:val="26"/>
        </w:rPr>
        <w:t>2. Literature Review</w:t>
      </w:r>
    </w:p>
    <w:p w14:paraId="7104F28D" w14:textId="77777777" w:rsidR="00BE4582" w:rsidRDefault="00000000">
      <w:pPr>
        <w:jc w:val="both"/>
        <w:rPr>
          <w:b/>
          <w:bCs/>
          <w:sz w:val="26"/>
          <w:szCs w:val="26"/>
        </w:rPr>
      </w:pPr>
      <w:r>
        <w:rPr>
          <w:b/>
          <w:bCs/>
          <w:sz w:val="26"/>
          <w:szCs w:val="26"/>
        </w:rPr>
        <w:t>2.1 Conceptual Framework</w:t>
      </w:r>
    </w:p>
    <w:p w14:paraId="65DA0DAC" w14:textId="77777777" w:rsidR="00BE4582" w:rsidRDefault="00000000">
      <w:pPr>
        <w:jc w:val="both"/>
        <w:rPr>
          <w:sz w:val="26"/>
          <w:szCs w:val="26"/>
        </w:rPr>
      </w:pPr>
      <w:r>
        <w:rPr>
          <w:b/>
          <w:bCs/>
          <w:sz w:val="26"/>
          <w:szCs w:val="26"/>
        </w:rPr>
        <w:t>2.1.1 Audit Quality</w:t>
      </w:r>
    </w:p>
    <w:p w14:paraId="794B6276" w14:textId="77777777" w:rsidR="00BE4582" w:rsidRDefault="00000000">
      <w:pPr>
        <w:jc w:val="both"/>
        <w:rPr>
          <w:sz w:val="26"/>
          <w:szCs w:val="26"/>
        </w:rPr>
      </w:pPr>
      <w:r>
        <w:rPr>
          <w:sz w:val="26"/>
          <w:szCs w:val="26"/>
        </w:rPr>
        <w:t>Audit quality is the likelihood that the financial statements do not contain any material misstatements and reflect the financial position of the firm (Mwangi, 2024). It includes input, process, output, and context, which reflects the power of the audit process to identify and report an anomaly in financial statements Asiriuwa et al., (2018). Recent studies further emphasize that audit quality directly influences financial reporting integrity and reduces earnings management practices (Mwangi, 2024). Quality of the audit depends on many factors such as the nature of the audit committee, the size of the audit firm, the tenure of the audit as well as the regulatory environment.</w:t>
      </w:r>
    </w:p>
    <w:p w14:paraId="5C0D470C" w14:textId="77777777" w:rsidR="00BE4582" w:rsidRDefault="00000000">
      <w:pPr>
        <w:jc w:val="both"/>
        <w:rPr>
          <w:sz w:val="26"/>
          <w:szCs w:val="26"/>
        </w:rPr>
      </w:pPr>
      <w:r>
        <w:rPr>
          <w:sz w:val="26"/>
          <w:szCs w:val="26"/>
        </w:rPr>
        <w:t>Independent audit committees offer an objective control role over financial reporting, which increases their capability to identify and resolve financial statement problems (Syofyan et al., 2021; Sulaiman, 2017). Financial expert audit committees are more suited to audit processes and guarantee financial report accuracy (Ghafran &amp; O'Sullivan, 2017). Big Four firms, and especially larger audit firms, are linked to high quality audit because they have a large amount of resources and expertise (Francis, 1984; Bae and Lee, 2013). Nonetheless, the increase in the audit tenure may enhance efficiency due to the familiarity with the client but calls into doubt the audit independence (Hsieh et al., 2020).</w:t>
      </w:r>
    </w:p>
    <w:p w14:paraId="046B6CB5" w14:textId="77777777" w:rsidR="00BE4582" w:rsidRDefault="00000000">
      <w:pPr>
        <w:jc w:val="both"/>
        <w:rPr>
          <w:sz w:val="26"/>
          <w:szCs w:val="26"/>
        </w:rPr>
      </w:pPr>
      <w:r>
        <w:rPr>
          <w:sz w:val="26"/>
          <w:szCs w:val="26"/>
        </w:rPr>
        <w:t xml:space="preserve">Recent research highlights the importance of regulatory environment in the determination of quality of audits. Laws that facilitate independent-mindedness and professional scepticism of auditors lead to good quality audit because auditors are at full </w:t>
      </w:r>
      <w:r>
        <w:rPr>
          <w:sz w:val="26"/>
          <w:szCs w:val="26"/>
        </w:rPr>
        <w:lastRenderedPageBreak/>
        <w:t>alertness and are not biased (Pfeffer and Salancik, 1978; Paul Munter, 2021). Strict regulatory measures have enhanced the quality of the audit as they ensure transparency and accountability (KPMG, 2022).</w:t>
      </w:r>
    </w:p>
    <w:p w14:paraId="28360AF6" w14:textId="77777777" w:rsidR="00BE4582" w:rsidRDefault="00000000">
      <w:pPr>
        <w:jc w:val="both"/>
        <w:rPr>
          <w:b/>
          <w:bCs/>
          <w:sz w:val="26"/>
          <w:szCs w:val="26"/>
        </w:rPr>
      </w:pPr>
      <w:r>
        <w:rPr>
          <w:b/>
          <w:bCs/>
          <w:sz w:val="26"/>
          <w:szCs w:val="26"/>
        </w:rPr>
        <w:t>2.1.2 Dimensions of Audit Quality</w:t>
      </w:r>
    </w:p>
    <w:p w14:paraId="3C4F437A" w14:textId="77777777" w:rsidR="00BE4582" w:rsidRDefault="00000000">
      <w:pPr>
        <w:jc w:val="both"/>
        <w:rPr>
          <w:sz w:val="26"/>
          <w:szCs w:val="26"/>
        </w:rPr>
      </w:pPr>
      <w:r>
        <w:rPr>
          <w:b/>
          <w:bCs/>
          <w:sz w:val="26"/>
          <w:szCs w:val="26"/>
        </w:rPr>
        <w:t>Audit Independence:</w:t>
      </w:r>
      <w:r>
        <w:rPr>
          <w:sz w:val="26"/>
          <w:szCs w:val="26"/>
        </w:rPr>
        <w:t xml:space="preserve"> To determine audit independence, the International Federation of Accountants sets the concept of audit independence as autonomy of mind, which enables auditors to form opinions without any outside factors that affect their professional judgment, and independence of appearance, which lacks circumstances that doubt auditor integrity (IESBA, 2013). Nonetheless, there is a great challenge of economic dependence. Even though auditors are appointed by the shareholders, in many cases executive management can hire and dismiss auditors (Gwilliam et al., 2014). The regulatory trends in trying to improve independence had attempted at safeguarding the auditors against dismissal at will, and limiting personal and financial relationships with clients (Competition Commission, 2013; European Commission, 2010).</w:t>
      </w:r>
    </w:p>
    <w:p w14:paraId="47DC7D6E" w14:textId="77777777" w:rsidR="00BE4582" w:rsidRDefault="00000000">
      <w:pPr>
        <w:jc w:val="both"/>
        <w:rPr>
          <w:sz w:val="26"/>
          <w:szCs w:val="26"/>
        </w:rPr>
      </w:pPr>
      <w:r>
        <w:rPr>
          <w:b/>
          <w:bCs/>
          <w:sz w:val="26"/>
          <w:szCs w:val="26"/>
        </w:rPr>
        <w:t xml:space="preserve">Audit Competence: </w:t>
      </w:r>
      <w:r>
        <w:rPr>
          <w:sz w:val="26"/>
          <w:szCs w:val="26"/>
        </w:rPr>
        <w:t>Audit competence refers to the knowledge, skills, and abilities concerning auditing work, as well as the fact that auditors are able to adequately judge financial statements, detect anomalies, and offer true opinions of financial health of companies (Kartika and Pramuka, 2019). Increased competence level gives the auditor the ability to perform high-quality audit work due to a profound knowledge of auditing standards, ethical issues, and the application of professional skepticism (Johari et al., 2019). With audit competence, it is easy to navigate the complex tasks and minimize the chances of errors and increase the overall quality.</w:t>
      </w:r>
    </w:p>
    <w:p w14:paraId="70C4C431" w14:textId="77777777" w:rsidR="00BE4582" w:rsidRDefault="00000000">
      <w:pPr>
        <w:jc w:val="both"/>
        <w:rPr>
          <w:sz w:val="26"/>
          <w:szCs w:val="26"/>
        </w:rPr>
      </w:pPr>
      <w:r>
        <w:rPr>
          <w:b/>
          <w:bCs/>
          <w:sz w:val="26"/>
          <w:szCs w:val="26"/>
        </w:rPr>
        <w:t xml:space="preserve">Audit Fee: </w:t>
      </w:r>
      <w:r>
        <w:rPr>
          <w:sz w:val="26"/>
          <w:szCs w:val="26"/>
        </w:rPr>
        <w:t>Audit fees are expenses paid to companies to seek the services of public accounting firms to ensure that the financial statements are accurate and in line with the accounting standards and laws Zheng &amp; Wang, (2025). Such charges are based on more than the cost of audit services, and they are also determined by the complexity and risk of the firm business (Kammoun &amp; Khoufi, 2023). Furthermore, adequate audit fees are associated with higher financial reporting quality, as they enable auditors to devote sufficient resources and attention to the audit engagement (Zheng &amp; Wang, 2025). Major companies with complicated processes and volume of transactions require more elaborate and time consuming auditing processes, which attract higher charges. Big Four audit firms offer quality services and have strong reputations and charge more fees to increase audited financial statement credibility (Francis, 1984; Bae and Lee, 2013).</w:t>
      </w:r>
    </w:p>
    <w:p w14:paraId="47A786D5" w14:textId="77777777" w:rsidR="00BE4582" w:rsidRDefault="00000000">
      <w:pPr>
        <w:jc w:val="both"/>
        <w:rPr>
          <w:b/>
          <w:bCs/>
          <w:sz w:val="26"/>
          <w:szCs w:val="26"/>
        </w:rPr>
      </w:pPr>
      <w:r>
        <w:rPr>
          <w:b/>
          <w:bCs/>
          <w:sz w:val="26"/>
          <w:szCs w:val="26"/>
        </w:rPr>
        <w:lastRenderedPageBreak/>
        <w:t>2.1.3 Firm Value</w:t>
      </w:r>
    </w:p>
    <w:p w14:paraId="00EC7D1D" w14:textId="77777777" w:rsidR="00BE4582" w:rsidRDefault="00000000">
      <w:pPr>
        <w:jc w:val="both"/>
        <w:rPr>
          <w:sz w:val="26"/>
          <w:szCs w:val="26"/>
        </w:rPr>
      </w:pPr>
      <w:r>
        <w:rPr>
          <w:sz w:val="26"/>
          <w:szCs w:val="26"/>
        </w:rPr>
        <w:t>Firm value is an expression of the overall worth of the company in a number of ways such as market values of outstanding shares, accounting net worth, and the value of the projected future performance when capitalized (Revsine, 2021). Market capitalization is a computation of shared value according to market perceptions, which is determined by multiplying the number of outstanding shares with the stock price in the market (Revsine, 2021). Leverage has a great influence on the value of a firm, and high leverage ratios cause increased earnings and stock price volatility (Adenugba et al., 2016).</w:t>
      </w:r>
    </w:p>
    <w:p w14:paraId="0B886BF3" w14:textId="77777777" w:rsidR="00BE4582" w:rsidRDefault="00000000">
      <w:pPr>
        <w:jc w:val="both"/>
        <w:rPr>
          <w:sz w:val="26"/>
          <w:szCs w:val="26"/>
        </w:rPr>
      </w:pPr>
      <w:r>
        <w:rPr>
          <w:b/>
          <w:bCs/>
          <w:sz w:val="26"/>
          <w:szCs w:val="26"/>
        </w:rPr>
        <w:t xml:space="preserve">Market Capitalization: </w:t>
      </w:r>
      <w:r>
        <w:rPr>
          <w:sz w:val="26"/>
          <w:szCs w:val="26"/>
        </w:rPr>
        <w:t>Market capitalization is a perception of company value in the market and divides companies into large-cap, mid-cap and small-cap which helps investors assess risk and return characteristics (Damodaran, 2001). It gives approximations of the company value in terms of equity share market, summarizing the opinion of the market participants about the future of the company and its present financial status (Damodaran, 2012). The internal factors that determine the market capitalization are earnings per share, book value, and external ones include economic stability and investor sentiment (Sharma, 2011). The increased returns, ROI and growth prospects are good, whereas the increase in risk and volatility is negative to the market capitalization.</w:t>
      </w:r>
    </w:p>
    <w:p w14:paraId="0BA1F56A" w14:textId="77777777" w:rsidR="00BE4582" w:rsidRDefault="00BE4582">
      <w:pPr>
        <w:jc w:val="both"/>
        <w:rPr>
          <w:sz w:val="26"/>
          <w:szCs w:val="26"/>
        </w:rPr>
      </w:pPr>
    </w:p>
    <w:p w14:paraId="5F50A1F5" w14:textId="77777777" w:rsidR="00BE4582" w:rsidRDefault="00BE4582">
      <w:pPr>
        <w:jc w:val="both"/>
      </w:pPr>
    </w:p>
    <w:p w14:paraId="33623046" w14:textId="77777777" w:rsidR="00BE4582" w:rsidRDefault="00BE4582">
      <w:pPr>
        <w:jc w:val="both"/>
      </w:pPr>
    </w:p>
    <w:p w14:paraId="58E2BDC0" w14:textId="77777777" w:rsidR="00BE4582" w:rsidRDefault="00BE4582">
      <w:pPr>
        <w:jc w:val="both"/>
      </w:pPr>
    </w:p>
    <w:p w14:paraId="0D96642B" w14:textId="77777777" w:rsidR="00BE4582" w:rsidRDefault="00000000">
      <w:pPr>
        <w:jc w:val="both"/>
        <w:rPr>
          <w:sz w:val="26"/>
          <w:szCs w:val="26"/>
        </w:rPr>
      </w:pPr>
      <w:r>
        <w:rPr>
          <w:sz w:val="26"/>
          <w:szCs w:val="26"/>
        </w:rPr>
        <w:lastRenderedPageBreak/>
        <w:t xml:space="preserve">            </w:t>
      </w:r>
      <w:r>
        <w:rPr>
          <w:noProof/>
        </w:rPr>
        <w:drawing>
          <wp:inline distT="0" distB="0" distL="114300" distR="114300" wp14:anchorId="6BC7CC62" wp14:editId="6AF8BD91">
            <wp:extent cx="3900169" cy="3905793"/>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cstate="print"/>
                    <a:srcRect/>
                    <a:stretch/>
                  </pic:blipFill>
                  <pic:spPr>
                    <a:xfrm>
                      <a:off x="0" y="0"/>
                      <a:ext cx="3900169" cy="3905793"/>
                    </a:xfrm>
                    <a:prstGeom prst="rect">
                      <a:avLst/>
                    </a:prstGeom>
                  </pic:spPr>
                </pic:pic>
              </a:graphicData>
            </a:graphic>
          </wp:inline>
        </w:drawing>
      </w:r>
    </w:p>
    <w:p w14:paraId="5D8D6AEF" w14:textId="77777777" w:rsidR="00BE4582" w:rsidRDefault="00000000">
      <w:pPr>
        <w:jc w:val="both"/>
        <w:rPr>
          <w:sz w:val="26"/>
          <w:szCs w:val="26"/>
        </w:rPr>
      </w:pPr>
      <w:r>
        <w:rPr>
          <w:sz w:val="26"/>
          <w:szCs w:val="26"/>
        </w:rPr>
        <w:t xml:space="preserve"> As illustrated in </w:t>
      </w:r>
      <w:r>
        <w:rPr>
          <w:b/>
          <w:bCs/>
          <w:sz w:val="26"/>
          <w:szCs w:val="26"/>
        </w:rPr>
        <w:t>Figure 1,</w:t>
      </w:r>
      <w:r>
        <w:rPr>
          <w:sz w:val="26"/>
          <w:szCs w:val="26"/>
        </w:rPr>
        <w:t xml:space="preserve"> the study examines how three dimensions of audit quality influence firm value</w:t>
      </w:r>
    </w:p>
    <w:p w14:paraId="154C3E33" w14:textId="77777777" w:rsidR="00BE4582" w:rsidRDefault="00000000">
      <w:pPr>
        <w:rPr>
          <w:b/>
          <w:bCs/>
          <w:sz w:val="26"/>
          <w:szCs w:val="26"/>
        </w:rPr>
      </w:pPr>
      <w:r>
        <w:rPr>
          <w:b/>
          <w:bCs/>
          <w:sz w:val="26"/>
          <w:szCs w:val="26"/>
        </w:rPr>
        <w:t>2.2 Theoretical Framework</w:t>
      </w:r>
    </w:p>
    <w:p w14:paraId="28FAE92B" w14:textId="77777777" w:rsidR="00BE4582" w:rsidRDefault="00000000">
      <w:pPr>
        <w:jc w:val="both"/>
        <w:rPr>
          <w:sz w:val="26"/>
          <w:szCs w:val="26"/>
        </w:rPr>
      </w:pPr>
      <w:r>
        <w:rPr>
          <w:b/>
          <w:bCs/>
          <w:sz w:val="26"/>
          <w:szCs w:val="26"/>
        </w:rPr>
        <w:t xml:space="preserve">Agency Theory: </w:t>
      </w:r>
      <w:r>
        <w:rPr>
          <w:sz w:val="26"/>
          <w:szCs w:val="26"/>
        </w:rPr>
        <w:t>Agency theory was developed by Jensen and Meckling (1976) and discussed the relations between agents (managers) and principals (shareholders) as Jensen and Meckling assumed that there are conflicts in situations when agents do not act primarily in the interests of principals. Audits that have high quality alleviate information asymmetry between managers and shareholders and also make financial statements provide true and fair perceptions of profits in a firm, hence safeguarding the interests of shareholders (Fama &amp; Jensen, 1983). Quality audits increase investor confidence and capitalization in the market by providing quality financial information.</w:t>
      </w:r>
    </w:p>
    <w:p w14:paraId="3CCFEAC4" w14:textId="77777777" w:rsidR="00BE4582" w:rsidRDefault="00000000">
      <w:pPr>
        <w:jc w:val="both"/>
        <w:rPr>
          <w:sz w:val="26"/>
          <w:szCs w:val="26"/>
        </w:rPr>
      </w:pPr>
      <w:r>
        <w:rPr>
          <w:b/>
          <w:bCs/>
          <w:sz w:val="26"/>
          <w:szCs w:val="26"/>
        </w:rPr>
        <w:t xml:space="preserve">Signaling Theory: </w:t>
      </w:r>
      <w:r>
        <w:rPr>
          <w:sz w:val="26"/>
          <w:szCs w:val="26"/>
        </w:rPr>
        <w:t xml:space="preserve">Spence (1973) came up with the Theory of Signaling according to which firms communicate quality and prospects by action to the market. Quality audits are good indicators of financial soundness and integrity of firm management practices that will boost investor confidence and may result in an increase in market capitalization (Ross, 1977). The perception of quality of audits represents an expression of strong dedication </w:t>
      </w:r>
      <w:r>
        <w:rPr>
          <w:sz w:val="26"/>
          <w:szCs w:val="26"/>
        </w:rPr>
        <w:lastRenderedPageBreak/>
        <w:t>towards transparency and reliability, which is a key element when it comes to making investment choices (Healy and Palepu, 2001).</w:t>
      </w:r>
    </w:p>
    <w:p w14:paraId="0F6E3A5F" w14:textId="77777777" w:rsidR="00BE4582" w:rsidRDefault="00000000">
      <w:pPr>
        <w:jc w:val="both"/>
        <w:rPr>
          <w:sz w:val="26"/>
          <w:szCs w:val="26"/>
        </w:rPr>
      </w:pPr>
      <w:r>
        <w:rPr>
          <w:b/>
          <w:bCs/>
          <w:sz w:val="26"/>
          <w:szCs w:val="26"/>
        </w:rPr>
        <w:t xml:space="preserve">Stakeholder Theory: </w:t>
      </w:r>
      <w:r>
        <w:rPr>
          <w:sz w:val="26"/>
          <w:szCs w:val="26"/>
        </w:rPr>
        <w:t>Freeman (1984) did not just limit firm responsibility to shareholders but also to other stakeholders like workers, customers, suppliers, and communities and as a result, he noted that the success of firms depends on the ability to build value on all the stakeholders. Quality audits mean that all stakeholders are provided with the correct and reliable financial information and this fosters trust and confidence in the operations of the firms (Donaldson and Preston, 1995). The generalized view of accountability and transparency has a positive effect on the reputation of firms and market capitalization.</w:t>
      </w:r>
    </w:p>
    <w:p w14:paraId="12C207D6" w14:textId="77777777" w:rsidR="00BE4582" w:rsidRDefault="00000000">
      <w:pPr>
        <w:jc w:val="both"/>
        <w:rPr>
          <w:sz w:val="26"/>
          <w:szCs w:val="26"/>
        </w:rPr>
      </w:pPr>
      <w:r>
        <w:rPr>
          <w:b/>
          <w:bCs/>
          <w:sz w:val="26"/>
          <w:szCs w:val="26"/>
        </w:rPr>
        <w:t>Resource Dependence Theory:</w:t>
      </w:r>
      <w:r>
        <w:rPr>
          <w:sz w:val="26"/>
          <w:szCs w:val="26"/>
        </w:rPr>
        <w:t xml:space="preserve"> According to Pfeffer and Salancik (1978), organizations rely on the external resources to survive and succeed. Good audits are of high quality and serve as an asset to firms that increase their credibility and appeal to investors and other stakeholders and assures the accuracy of the financial statements, minimizes uncertainty and risk (Hillman et al., 2009). This enables firms to have an easier time acquiring external resources and investments and market capitalization.</w:t>
      </w:r>
    </w:p>
    <w:p w14:paraId="38B34E7F" w14:textId="77777777" w:rsidR="00BE4582" w:rsidRDefault="00000000">
      <w:pPr>
        <w:jc w:val="both"/>
        <w:rPr>
          <w:b/>
          <w:bCs/>
          <w:sz w:val="26"/>
          <w:szCs w:val="26"/>
        </w:rPr>
      </w:pPr>
      <w:r>
        <w:rPr>
          <w:b/>
          <w:bCs/>
          <w:sz w:val="26"/>
          <w:szCs w:val="26"/>
        </w:rPr>
        <w:t>2.3 Empirical Review</w:t>
      </w:r>
    </w:p>
    <w:p w14:paraId="51D728FD" w14:textId="77777777" w:rsidR="00BE4582" w:rsidRDefault="00000000">
      <w:pPr>
        <w:jc w:val="both"/>
        <w:rPr>
          <w:sz w:val="26"/>
          <w:szCs w:val="26"/>
        </w:rPr>
      </w:pPr>
      <w:r>
        <w:rPr>
          <w:sz w:val="26"/>
          <w:szCs w:val="26"/>
        </w:rPr>
        <w:t>Francis et al. (2000) reported that the abnormal earnings model also reduced the prediction error over discounted cash flow and discounted dividends models which predicts better the firm value. Nirmala et al. (2011) established that leverage, price to earnings ratio and dividend per share had a strong impact on the share prices of the Indian firms in the different sectors. Kajola (2008) discovered that the board size, the composition and the independence of the audit committee has a positive relationship with the performance of Nigerian firms in terms of return on equity and return on assets.</w:t>
      </w:r>
    </w:p>
    <w:p w14:paraId="464C5D5B" w14:textId="77777777" w:rsidR="00BE4582" w:rsidRDefault="00000000">
      <w:pPr>
        <w:jc w:val="both"/>
        <w:rPr>
          <w:sz w:val="26"/>
          <w:szCs w:val="26"/>
        </w:rPr>
      </w:pPr>
      <w:r>
        <w:rPr>
          <w:sz w:val="26"/>
          <w:szCs w:val="26"/>
        </w:rPr>
        <w:t>The result of Lonkani (2018) is that companies with clear financial reporting had increased values relative to other firms in the market as the value of the Q factor of Tobin indicates that agency reduction in an effective reporting system boosts investor confidence. Regulators Louis et al. (2019) discovered that firms with Big Four auditers tended to be highly valued by the market, whereas liability disclaimers in audit reports lowered the price of the stock, indicating that investors heavily relied on the reliability of the financial statements.</w:t>
      </w:r>
    </w:p>
    <w:p w14:paraId="7AA65807" w14:textId="77777777" w:rsidR="00BE4582" w:rsidRDefault="00000000">
      <w:pPr>
        <w:jc w:val="both"/>
        <w:rPr>
          <w:sz w:val="26"/>
          <w:szCs w:val="26"/>
        </w:rPr>
      </w:pPr>
      <w:r>
        <w:rPr>
          <w:sz w:val="26"/>
          <w:szCs w:val="26"/>
        </w:rPr>
        <w:t xml:space="preserve">Nurisyah and Setiany, (2022) discovered that high earnings quality was accruals management and earnings persistence, and in such cases, the firms had far greater </w:t>
      </w:r>
      <w:r>
        <w:rPr>
          <w:sz w:val="26"/>
          <w:szCs w:val="26"/>
        </w:rPr>
        <w:lastRenderedPageBreak/>
        <w:t>valuation, and the uncertainty held by investors was greatly decreased by transparent financial reporting. Wijaya (2020) found that Big Four audited manufacturing firms in Indonesia were much higher in firm value, but with a history of financial restatements the reductions in investor confidence despite reputable auditors were observed.</w:t>
      </w:r>
    </w:p>
    <w:p w14:paraId="5A8BFAEE" w14:textId="77777777" w:rsidR="00BE4582" w:rsidRDefault="00000000">
      <w:pPr>
        <w:jc w:val="both"/>
        <w:rPr>
          <w:sz w:val="26"/>
          <w:szCs w:val="26"/>
        </w:rPr>
      </w:pPr>
      <w:r>
        <w:rPr>
          <w:sz w:val="26"/>
          <w:szCs w:val="26"/>
        </w:rPr>
        <w:t>The quality of audit was found to have a positive strong influence on the value of the Jordanian financial firms, as investors were much more dependent on external assurance, yet the influence was non-significant in the case of non-financial firms. Nigerian firms in the cement industry audited by Big Four reported greater profitability and higher market value, and audit tenure had roles in the determination of the value of firms.</w:t>
      </w:r>
    </w:p>
    <w:p w14:paraId="47265600" w14:textId="77777777" w:rsidR="00BE4582" w:rsidRDefault="00000000">
      <w:pPr>
        <w:jc w:val="both"/>
        <w:rPr>
          <w:sz w:val="26"/>
          <w:szCs w:val="26"/>
        </w:rPr>
      </w:pPr>
      <w:r>
        <w:rPr>
          <w:sz w:val="26"/>
          <w:szCs w:val="26"/>
        </w:rPr>
        <w:t>According to Matoke and Omwenga (2016), the earnings quality and firm value of the firms involved in the industry-specialized auditors were higher, which also demonstrated that auditors with great knowledge of industries are effective in detecting and preventing financial misstatements. Abid et al. (2018) demonstrated higher valuation of Big Four audited South Asian companies, although the extent of effect differed by country and regulatory environment, and stricter enforcement mechanisms brought greater effects.</w:t>
      </w:r>
    </w:p>
    <w:p w14:paraId="24BE1A2A" w14:textId="77777777" w:rsidR="00BE4582" w:rsidRDefault="00000000">
      <w:pPr>
        <w:jc w:val="both"/>
        <w:rPr>
          <w:sz w:val="26"/>
          <w:szCs w:val="26"/>
        </w:rPr>
      </w:pPr>
      <w:r>
        <w:rPr>
          <w:sz w:val="26"/>
          <w:szCs w:val="26"/>
        </w:rPr>
        <w:t>Using the findings, Asyik et al. (2023) discovered that increased financial reporting quality based on innate factors and institutional risk factors had a positive impact on the Indonesian firm value, and it is important to ensure that the focus on the internal operations and external financial policies can improve the quality of reports. Al Ani and Mohammed (2021) have found that Omani firms that were audited by a higher-quality auditor had higher financial performance and higher firm values, demonstrating that auditor quality is essential in improving the financial statements credibility. More recent investigations continue to explore these relationships, with studies examining the interplay between auditor attributes and financial outcomes in various institutional settings (e.g., Mwangi, 2024; Zheng &amp; Wang, 2025; Ambarwati et al., 2024).</w:t>
      </w:r>
    </w:p>
    <w:p w14:paraId="2BFE80C5" w14:textId="77777777" w:rsidR="00BE4582" w:rsidRDefault="00000000">
      <w:pPr>
        <w:jc w:val="both"/>
        <w:rPr>
          <w:sz w:val="26"/>
          <w:szCs w:val="26"/>
        </w:rPr>
      </w:pPr>
      <w:r>
        <w:rPr>
          <w:sz w:val="26"/>
          <w:szCs w:val="26"/>
        </w:rPr>
        <w:t>A recent study by Salehi et al. (2020) proved that the audit quality based on the independence of the auditor played a significant role in improving the performance of the companies listed in Tehran Stock Exchange. On the same note, Al-Hajaya, (2019) also established positive correlations between audit committee effectiveness and firm value in Jordanian industrial firms. Pratiti et al., (2024) found that the impact of disclosure of corporate social responsibility on the value of the firms in Indonesian manufacturing firms was moderated by audit quality.</w:t>
      </w:r>
    </w:p>
    <w:p w14:paraId="5D9ED24B" w14:textId="77777777" w:rsidR="00BE4582" w:rsidRDefault="00000000">
      <w:pPr>
        <w:jc w:val="both"/>
        <w:rPr>
          <w:b/>
          <w:bCs/>
          <w:sz w:val="26"/>
          <w:szCs w:val="26"/>
        </w:rPr>
      </w:pPr>
      <w:r>
        <w:rPr>
          <w:b/>
          <w:bCs/>
          <w:sz w:val="26"/>
          <w:szCs w:val="26"/>
        </w:rPr>
        <w:t>3. Methodology</w:t>
      </w:r>
    </w:p>
    <w:p w14:paraId="30F66116" w14:textId="77777777" w:rsidR="00BE4582" w:rsidRDefault="00000000">
      <w:pPr>
        <w:jc w:val="both"/>
        <w:rPr>
          <w:b/>
          <w:bCs/>
          <w:sz w:val="26"/>
          <w:szCs w:val="26"/>
        </w:rPr>
      </w:pPr>
      <w:r>
        <w:rPr>
          <w:b/>
          <w:bCs/>
          <w:sz w:val="26"/>
          <w:szCs w:val="26"/>
        </w:rPr>
        <w:lastRenderedPageBreak/>
        <w:t>3.1 Research Design</w:t>
      </w:r>
    </w:p>
    <w:p w14:paraId="76F75AA9" w14:textId="77777777" w:rsidR="00BE4582" w:rsidRDefault="00000000">
      <w:pPr>
        <w:jc w:val="both"/>
        <w:rPr>
          <w:sz w:val="26"/>
          <w:szCs w:val="26"/>
        </w:rPr>
      </w:pPr>
      <w:r>
        <w:rPr>
          <w:sz w:val="26"/>
          <w:szCs w:val="26"/>
        </w:rPr>
        <w:t>The survey research design was used in the study; this research design is considered to be a systematic collection of information by using the respondents to comprehend or make predictions concerning aspects of the behavioral aspects of the population (Agbonifoh and Yomere, 1999). The approach enabled the acquisition of necessary information and response to research questions to attain goals.</w:t>
      </w:r>
    </w:p>
    <w:p w14:paraId="0A5E0527" w14:textId="77777777" w:rsidR="00BE4582" w:rsidRDefault="00000000">
      <w:pPr>
        <w:jc w:val="both"/>
        <w:rPr>
          <w:b/>
          <w:bCs/>
          <w:sz w:val="26"/>
          <w:szCs w:val="26"/>
        </w:rPr>
      </w:pPr>
      <w:r>
        <w:rPr>
          <w:b/>
          <w:bCs/>
          <w:sz w:val="26"/>
          <w:szCs w:val="26"/>
        </w:rPr>
        <w:t>3.2 Population and Sample</w:t>
      </w:r>
    </w:p>
    <w:p w14:paraId="53F8511B" w14:textId="77777777" w:rsidR="00BE4582" w:rsidRDefault="00000000">
      <w:pPr>
        <w:jc w:val="both"/>
        <w:rPr>
          <w:sz w:val="26"/>
          <w:szCs w:val="26"/>
        </w:rPr>
      </w:pPr>
      <w:bookmarkStart w:id="0" w:name="_Hlk217493367"/>
      <w:r>
        <w:rPr>
          <w:sz w:val="26"/>
          <w:szCs w:val="26"/>
        </w:rPr>
        <w:t xml:space="preserve">The sample size was management staff of six sampled money deposit banks in Aba, Abia State: Zenith Bank (30 staff), UBA Bank (29 staff), Sterling Bank (24 staff), Access Bank (41 staff), Fidelity Bank (30 staff) and First Bank (29 staff), whose total population was 183 management staff. </w:t>
      </w:r>
      <w:bookmarkEnd w:id="0"/>
      <w:r>
        <w:rPr>
          <w:sz w:val="26"/>
          <w:szCs w:val="26"/>
        </w:rPr>
        <w:t>The formula applied by Taro Yamane to find the sample size is n = N/[1 + N(e)2] where N = 183 and e = 0.05 which gives the sample size of 126 respondents.</w:t>
      </w:r>
    </w:p>
    <w:p w14:paraId="784C4B87" w14:textId="77777777" w:rsidR="00BE4582" w:rsidRDefault="00000000">
      <w:pPr>
        <w:jc w:val="both"/>
        <w:rPr>
          <w:b/>
          <w:bCs/>
          <w:sz w:val="26"/>
          <w:szCs w:val="26"/>
        </w:rPr>
      </w:pPr>
      <w:r>
        <w:rPr>
          <w:b/>
          <w:bCs/>
          <w:sz w:val="26"/>
          <w:szCs w:val="26"/>
        </w:rPr>
        <w:t>3.3 Data Collection</w:t>
      </w:r>
    </w:p>
    <w:p w14:paraId="21FA6844" w14:textId="77777777" w:rsidR="00BE4582" w:rsidRDefault="00000000">
      <w:pPr>
        <w:jc w:val="both"/>
        <w:rPr>
          <w:sz w:val="26"/>
          <w:szCs w:val="26"/>
        </w:rPr>
      </w:pPr>
      <w:r>
        <w:rPr>
          <w:sz w:val="26"/>
          <w:szCs w:val="26"/>
        </w:rPr>
        <w:t>Structured questionnaires were used to collect primary data in terms of five-point Likert scales (5 = Strongly Agree, 4 = Agree, 3 = Undecided, 2 = Disagree, 1 = Strongly Disagree). Textbooks, journals, and articles on audit quality and firm value were used to acquire secondary data.</w:t>
      </w:r>
    </w:p>
    <w:p w14:paraId="1E7EB3AD" w14:textId="77777777" w:rsidR="00BE4582" w:rsidRDefault="00000000">
      <w:pPr>
        <w:jc w:val="both"/>
        <w:rPr>
          <w:b/>
          <w:bCs/>
          <w:sz w:val="26"/>
          <w:szCs w:val="26"/>
        </w:rPr>
      </w:pPr>
      <w:r>
        <w:rPr>
          <w:b/>
          <w:bCs/>
          <w:sz w:val="26"/>
          <w:szCs w:val="26"/>
        </w:rPr>
        <w:t>3.4 Variable Measurement</w:t>
      </w:r>
    </w:p>
    <w:p w14:paraId="7DBFA572" w14:textId="77777777" w:rsidR="00BE4582" w:rsidRDefault="00000000">
      <w:pPr>
        <w:jc w:val="both"/>
        <w:rPr>
          <w:sz w:val="26"/>
          <w:szCs w:val="26"/>
        </w:rPr>
      </w:pPr>
      <w:r>
        <w:rPr>
          <w:b/>
          <w:bCs/>
          <w:sz w:val="26"/>
          <w:szCs w:val="26"/>
        </w:rPr>
        <w:t xml:space="preserve">Independent variable (Audit Quality): </w:t>
      </w:r>
      <w:r>
        <w:rPr>
          <w:sz w:val="26"/>
          <w:szCs w:val="26"/>
        </w:rPr>
        <w:t>This is measured on three factors; audit independence (auditors undertake audits without interference by the management, are objective, and have unlimited access to records), audit competence (auditors have the required qualification, understand the industry, and detect financial misstatements), and audit fee (Fees reflect quality, are associated with improved auditing, firm is more concerned with quality than with cost).</w:t>
      </w:r>
    </w:p>
    <w:p w14:paraId="3C3B100F" w14:textId="77777777" w:rsidR="00BE4582" w:rsidRDefault="00000000">
      <w:pPr>
        <w:jc w:val="both"/>
        <w:rPr>
          <w:sz w:val="26"/>
          <w:szCs w:val="26"/>
        </w:rPr>
      </w:pPr>
      <w:r>
        <w:rPr>
          <w:b/>
          <w:bCs/>
          <w:sz w:val="26"/>
          <w:szCs w:val="26"/>
        </w:rPr>
        <w:t xml:space="preserve">Dependent Variable (Firm Value): </w:t>
      </w:r>
      <w:r>
        <w:rPr>
          <w:sz w:val="26"/>
          <w:szCs w:val="26"/>
        </w:rPr>
        <w:t>Measured with the market capitalization in terms of such indicators as quality audits which lead to investor confidence, market valuation that is positively influenced by the transparent reporting, good audit practices which positively affect the profitability, and the shareholders who appreciate credible financial statements.</w:t>
      </w:r>
    </w:p>
    <w:p w14:paraId="40E3DCDA" w14:textId="77777777" w:rsidR="00BE4582" w:rsidRDefault="00000000">
      <w:pPr>
        <w:jc w:val="both"/>
        <w:rPr>
          <w:sz w:val="26"/>
          <w:szCs w:val="26"/>
          <w:highlight w:val="yellow"/>
        </w:rPr>
      </w:pPr>
      <w:r>
        <w:rPr>
          <w:sz w:val="26"/>
          <w:szCs w:val="26"/>
          <w:highlight w:val="yellow"/>
        </w:rPr>
        <w:t xml:space="preserve">The data about the market capitalization was gathered through the annual reports of the chosen banks during study period (2018-2023) and the perceptual scales of audit quality were gathered through survey. This is a mixed-data design that is consistent with the </w:t>
      </w:r>
      <w:r>
        <w:rPr>
          <w:sz w:val="26"/>
          <w:szCs w:val="26"/>
          <w:highlight w:val="yellow"/>
        </w:rPr>
        <w:lastRenderedPageBreak/>
        <w:t>existing literature (e.g., Hirhyel and Sadah, 2020) that connects auditor characteristics to market-based performance.</w:t>
      </w:r>
    </w:p>
    <w:p w14:paraId="009C6307" w14:textId="77777777" w:rsidR="00BE4582" w:rsidRDefault="00000000">
      <w:pPr>
        <w:jc w:val="both"/>
        <w:rPr>
          <w:b/>
          <w:bCs/>
          <w:sz w:val="26"/>
          <w:szCs w:val="26"/>
        </w:rPr>
      </w:pPr>
      <w:r>
        <w:rPr>
          <w:b/>
          <w:bCs/>
          <w:sz w:val="26"/>
          <w:szCs w:val="26"/>
        </w:rPr>
        <w:t>3.5 Model Specification</w:t>
      </w:r>
    </w:p>
    <w:p w14:paraId="0A8FB021" w14:textId="77777777" w:rsidR="00BE4582" w:rsidRDefault="00000000">
      <w:pPr>
        <w:jc w:val="both"/>
        <w:rPr>
          <w:sz w:val="26"/>
          <w:szCs w:val="26"/>
        </w:rPr>
      </w:pPr>
      <w:r>
        <w:rPr>
          <w:sz w:val="26"/>
          <w:szCs w:val="26"/>
        </w:rPr>
        <w:t>The regression model specified was:</w:t>
      </w:r>
    </w:p>
    <w:p w14:paraId="45649863" w14:textId="77777777" w:rsidR="00BE4582" w:rsidRDefault="00000000">
      <w:pPr>
        <w:jc w:val="both"/>
        <w:rPr>
          <w:sz w:val="26"/>
          <w:szCs w:val="26"/>
        </w:rPr>
      </w:pPr>
      <w:r>
        <w:rPr>
          <w:sz w:val="26"/>
          <w:szCs w:val="26"/>
        </w:rPr>
        <w:t>FV = α + β₁AI + β₂AC + β₃AF + ε</w:t>
      </w:r>
    </w:p>
    <w:p w14:paraId="3F36EE5C" w14:textId="77777777" w:rsidR="00BE4582" w:rsidRDefault="00000000">
      <w:pPr>
        <w:jc w:val="both"/>
        <w:rPr>
          <w:sz w:val="26"/>
          <w:szCs w:val="26"/>
        </w:rPr>
      </w:pPr>
      <w:r>
        <w:rPr>
          <w:sz w:val="26"/>
          <w:szCs w:val="26"/>
        </w:rPr>
        <w:t>Where: FV = Firm Value, AI = Audit Independence, AC = Audit Competence, AF = Audit Fee, α = intercept, ε = error term.</w:t>
      </w:r>
    </w:p>
    <w:p w14:paraId="3963203B" w14:textId="77777777" w:rsidR="00BE4582" w:rsidRDefault="00000000">
      <w:pPr>
        <w:jc w:val="both"/>
        <w:rPr>
          <w:b/>
          <w:bCs/>
          <w:sz w:val="26"/>
          <w:szCs w:val="26"/>
        </w:rPr>
      </w:pPr>
      <w:r>
        <w:rPr>
          <w:b/>
          <w:bCs/>
          <w:sz w:val="26"/>
          <w:szCs w:val="26"/>
        </w:rPr>
        <w:t>3.6 Method of Analysis</w:t>
      </w:r>
    </w:p>
    <w:p w14:paraId="2AD844FC" w14:textId="77777777" w:rsidR="00BE4582" w:rsidRDefault="00000000">
      <w:pPr>
        <w:jc w:val="both"/>
        <w:rPr>
          <w:sz w:val="26"/>
          <w:szCs w:val="26"/>
        </w:rPr>
      </w:pPr>
      <w:r>
        <w:rPr>
          <w:sz w:val="26"/>
          <w:szCs w:val="26"/>
        </w:rPr>
        <w:t>The effects of the quality of audit on the value of firms were determined by means of data analysis through multiple regression where the E-view statistical package was used. This is an appropriate method of estimating effects on single dependent variables in cases where researchers do not have control over variables in which they use multiple independent variables.</w:t>
      </w:r>
    </w:p>
    <w:p w14:paraId="45DB5150" w14:textId="77777777" w:rsidR="00BE4582" w:rsidRDefault="00000000">
      <w:pPr>
        <w:jc w:val="both"/>
        <w:rPr>
          <w:b/>
          <w:bCs/>
          <w:sz w:val="26"/>
          <w:szCs w:val="26"/>
        </w:rPr>
      </w:pPr>
      <w:r>
        <w:rPr>
          <w:b/>
          <w:bCs/>
          <w:sz w:val="26"/>
          <w:szCs w:val="26"/>
        </w:rPr>
        <w:t>4. Results</w:t>
      </w:r>
    </w:p>
    <w:p w14:paraId="09CB34C5" w14:textId="77777777" w:rsidR="00BE4582" w:rsidRDefault="00000000">
      <w:pPr>
        <w:jc w:val="both"/>
        <w:rPr>
          <w:b/>
          <w:bCs/>
          <w:sz w:val="26"/>
          <w:szCs w:val="26"/>
        </w:rPr>
      </w:pPr>
      <w:r>
        <w:rPr>
          <w:b/>
          <w:bCs/>
          <w:sz w:val="26"/>
          <w:szCs w:val="26"/>
        </w:rPr>
        <w:t>4.1 Response Rate and Respondent Characteristics</w:t>
      </w:r>
    </w:p>
    <w:p w14:paraId="53B420B6" w14:textId="77777777" w:rsidR="00BE4582" w:rsidRDefault="00000000">
      <w:pPr>
        <w:jc w:val="both"/>
        <w:rPr>
          <w:sz w:val="26"/>
          <w:szCs w:val="26"/>
        </w:rPr>
      </w:pPr>
      <w:r>
        <w:rPr>
          <w:sz w:val="26"/>
          <w:szCs w:val="26"/>
        </w:rPr>
        <w:t>Of the 126 questionnaires dispensed, 123 questionnaires returned, 3 questionnaires filled erroneously and 120 questionnaires returned, 95 percent response rates were obtained.</w:t>
      </w:r>
    </w:p>
    <w:p w14:paraId="4057DA55" w14:textId="77777777" w:rsidR="00BE4582" w:rsidRDefault="00000000">
      <w:pPr>
        <w:jc w:val="both"/>
        <w:rPr>
          <w:sz w:val="26"/>
          <w:szCs w:val="26"/>
        </w:rPr>
      </w:pPr>
      <w:r>
        <w:rPr>
          <w:b/>
          <w:bCs/>
          <w:sz w:val="26"/>
          <w:szCs w:val="26"/>
        </w:rPr>
        <w:t>Table 1: Respondent Demographics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0"/>
        <w:gridCol w:w="1914"/>
        <w:gridCol w:w="1192"/>
        <w:gridCol w:w="1704"/>
      </w:tblGrid>
      <w:tr w:rsidR="00BE4582" w14:paraId="19B295E4"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55FBE28" w14:textId="77777777" w:rsidR="00BE4582" w:rsidRDefault="00000000">
            <w:pPr>
              <w:jc w:val="both"/>
              <w:rPr>
                <w:b/>
                <w:bCs/>
                <w:sz w:val="26"/>
                <w:szCs w:val="26"/>
              </w:rPr>
            </w:pPr>
            <w:r>
              <w:rPr>
                <w:b/>
                <w:bCs/>
                <w:sz w:val="26"/>
                <w:szCs w:val="26"/>
              </w:rPr>
              <w:t>Variable</w:t>
            </w:r>
          </w:p>
        </w:tc>
        <w:tc>
          <w:tcPr>
            <w:tcW w:w="0" w:type="auto"/>
            <w:tcBorders>
              <w:top w:val="single" w:sz="4" w:space="0" w:color="auto"/>
              <w:bottom w:val="single" w:sz="4" w:space="0" w:color="auto"/>
            </w:tcBorders>
            <w:vAlign w:val="center"/>
          </w:tcPr>
          <w:p w14:paraId="450EBEC0" w14:textId="77777777" w:rsidR="00BE4582" w:rsidRDefault="00000000">
            <w:pPr>
              <w:jc w:val="both"/>
              <w:rPr>
                <w:b/>
                <w:bCs/>
                <w:sz w:val="26"/>
                <w:szCs w:val="26"/>
              </w:rPr>
            </w:pPr>
            <w:r>
              <w:rPr>
                <w:b/>
                <w:bCs/>
                <w:sz w:val="26"/>
                <w:szCs w:val="26"/>
              </w:rPr>
              <w:t>Category</w:t>
            </w:r>
          </w:p>
        </w:tc>
        <w:tc>
          <w:tcPr>
            <w:tcW w:w="0" w:type="auto"/>
            <w:tcBorders>
              <w:top w:val="single" w:sz="4" w:space="0" w:color="auto"/>
              <w:left w:val="single" w:sz="4" w:space="0" w:color="auto"/>
              <w:bottom w:val="single" w:sz="4" w:space="0" w:color="auto"/>
            </w:tcBorders>
            <w:vAlign w:val="center"/>
          </w:tcPr>
          <w:p w14:paraId="61B8AAC2" w14:textId="77777777" w:rsidR="00BE4582" w:rsidRDefault="00000000">
            <w:pPr>
              <w:jc w:val="both"/>
              <w:rPr>
                <w:b/>
                <w:bCs/>
                <w:sz w:val="26"/>
                <w:szCs w:val="26"/>
              </w:rPr>
            </w:pPr>
            <w:r>
              <w:rPr>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tcPr>
          <w:p w14:paraId="047BBA9C" w14:textId="77777777" w:rsidR="00BE4582" w:rsidRDefault="00000000">
            <w:pPr>
              <w:jc w:val="both"/>
              <w:rPr>
                <w:b/>
                <w:bCs/>
                <w:sz w:val="26"/>
                <w:szCs w:val="26"/>
              </w:rPr>
            </w:pPr>
            <w:r>
              <w:rPr>
                <w:b/>
                <w:bCs/>
                <w:sz w:val="26"/>
                <w:szCs w:val="26"/>
              </w:rPr>
              <w:t>Percentage (%)</w:t>
            </w:r>
          </w:p>
        </w:tc>
      </w:tr>
      <w:tr w:rsidR="00BE4582" w14:paraId="0EE8F77D" w14:textId="77777777">
        <w:trPr>
          <w:tblCellSpacing w:w="15" w:type="dxa"/>
        </w:trPr>
        <w:tc>
          <w:tcPr>
            <w:tcW w:w="0" w:type="auto"/>
            <w:tcBorders>
              <w:left w:val="single" w:sz="4" w:space="0" w:color="auto"/>
              <w:bottom w:val="single" w:sz="4" w:space="0" w:color="auto"/>
              <w:right w:val="single" w:sz="4" w:space="0" w:color="auto"/>
            </w:tcBorders>
            <w:vAlign w:val="center"/>
          </w:tcPr>
          <w:p w14:paraId="732D0D8A" w14:textId="77777777" w:rsidR="00BE4582" w:rsidRDefault="00000000">
            <w:pPr>
              <w:jc w:val="both"/>
              <w:rPr>
                <w:sz w:val="26"/>
                <w:szCs w:val="26"/>
              </w:rPr>
            </w:pPr>
            <w:r>
              <w:rPr>
                <w:sz w:val="26"/>
                <w:szCs w:val="26"/>
              </w:rPr>
              <w:t>Gender</w:t>
            </w:r>
          </w:p>
        </w:tc>
        <w:tc>
          <w:tcPr>
            <w:tcW w:w="0" w:type="auto"/>
            <w:tcBorders>
              <w:bottom w:val="single" w:sz="4" w:space="0" w:color="auto"/>
            </w:tcBorders>
            <w:vAlign w:val="center"/>
          </w:tcPr>
          <w:p w14:paraId="226D4C70" w14:textId="77777777" w:rsidR="00BE4582" w:rsidRDefault="00000000">
            <w:pPr>
              <w:jc w:val="both"/>
              <w:rPr>
                <w:sz w:val="26"/>
                <w:szCs w:val="26"/>
              </w:rPr>
            </w:pPr>
            <w:r>
              <w:rPr>
                <w:sz w:val="26"/>
                <w:szCs w:val="26"/>
              </w:rPr>
              <w:t>Male</w:t>
            </w:r>
          </w:p>
        </w:tc>
        <w:tc>
          <w:tcPr>
            <w:tcW w:w="0" w:type="auto"/>
            <w:tcBorders>
              <w:left w:val="single" w:sz="4" w:space="0" w:color="auto"/>
              <w:bottom w:val="single" w:sz="4" w:space="0" w:color="auto"/>
            </w:tcBorders>
            <w:vAlign w:val="center"/>
          </w:tcPr>
          <w:p w14:paraId="561A2E57" w14:textId="77777777" w:rsidR="00BE4582" w:rsidRDefault="00000000">
            <w:pPr>
              <w:jc w:val="both"/>
              <w:rPr>
                <w:sz w:val="26"/>
                <w:szCs w:val="26"/>
              </w:rPr>
            </w:pPr>
            <w:r>
              <w:rPr>
                <w:sz w:val="26"/>
                <w:szCs w:val="26"/>
              </w:rPr>
              <w:t>55</w:t>
            </w:r>
          </w:p>
        </w:tc>
        <w:tc>
          <w:tcPr>
            <w:tcW w:w="0" w:type="auto"/>
            <w:tcBorders>
              <w:left w:val="single" w:sz="4" w:space="0" w:color="auto"/>
              <w:bottom w:val="single" w:sz="4" w:space="0" w:color="auto"/>
              <w:right w:val="single" w:sz="4" w:space="0" w:color="auto"/>
            </w:tcBorders>
            <w:vAlign w:val="center"/>
          </w:tcPr>
          <w:p w14:paraId="4570AEA6" w14:textId="77777777" w:rsidR="00BE4582" w:rsidRDefault="00000000">
            <w:pPr>
              <w:jc w:val="both"/>
              <w:rPr>
                <w:sz w:val="26"/>
                <w:szCs w:val="26"/>
              </w:rPr>
            </w:pPr>
            <w:r>
              <w:rPr>
                <w:sz w:val="26"/>
                <w:szCs w:val="26"/>
              </w:rPr>
              <w:t>46</w:t>
            </w:r>
          </w:p>
        </w:tc>
      </w:tr>
      <w:tr w:rsidR="00BE4582" w14:paraId="10A91018" w14:textId="77777777">
        <w:trPr>
          <w:tblCellSpacing w:w="15" w:type="dxa"/>
        </w:trPr>
        <w:tc>
          <w:tcPr>
            <w:tcW w:w="0" w:type="auto"/>
            <w:tcBorders>
              <w:left w:val="single" w:sz="4" w:space="0" w:color="auto"/>
              <w:right w:val="single" w:sz="4" w:space="0" w:color="auto"/>
            </w:tcBorders>
            <w:vAlign w:val="center"/>
          </w:tcPr>
          <w:p w14:paraId="1A6B4071" w14:textId="77777777" w:rsidR="00BE4582" w:rsidRDefault="00BE4582">
            <w:pPr>
              <w:jc w:val="both"/>
              <w:rPr>
                <w:sz w:val="26"/>
                <w:szCs w:val="26"/>
              </w:rPr>
            </w:pPr>
          </w:p>
        </w:tc>
        <w:tc>
          <w:tcPr>
            <w:tcW w:w="0" w:type="auto"/>
            <w:vAlign w:val="center"/>
          </w:tcPr>
          <w:p w14:paraId="1F93F436" w14:textId="77777777" w:rsidR="00BE4582" w:rsidRDefault="00000000">
            <w:pPr>
              <w:jc w:val="both"/>
              <w:rPr>
                <w:sz w:val="26"/>
                <w:szCs w:val="26"/>
              </w:rPr>
            </w:pPr>
            <w:r>
              <w:rPr>
                <w:sz w:val="26"/>
                <w:szCs w:val="26"/>
              </w:rPr>
              <w:t>Female</w:t>
            </w:r>
          </w:p>
        </w:tc>
        <w:tc>
          <w:tcPr>
            <w:tcW w:w="0" w:type="auto"/>
            <w:tcBorders>
              <w:left w:val="single" w:sz="4" w:space="0" w:color="auto"/>
            </w:tcBorders>
            <w:vAlign w:val="center"/>
          </w:tcPr>
          <w:p w14:paraId="0A0C8833" w14:textId="77777777" w:rsidR="00BE4582" w:rsidRDefault="00000000">
            <w:pPr>
              <w:jc w:val="both"/>
              <w:rPr>
                <w:sz w:val="26"/>
                <w:szCs w:val="26"/>
              </w:rPr>
            </w:pPr>
            <w:r>
              <w:rPr>
                <w:sz w:val="26"/>
                <w:szCs w:val="26"/>
              </w:rPr>
              <w:t>65</w:t>
            </w:r>
          </w:p>
        </w:tc>
        <w:tc>
          <w:tcPr>
            <w:tcW w:w="0" w:type="auto"/>
            <w:tcBorders>
              <w:left w:val="single" w:sz="4" w:space="0" w:color="auto"/>
              <w:right w:val="single" w:sz="4" w:space="0" w:color="auto"/>
            </w:tcBorders>
            <w:vAlign w:val="center"/>
          </w:tcPr>
          <w:p w14:paraId="1DD1B212" w14:textId="77777777" w:rsidR="00BE4582" w:rsidRDefault="00000000">
            <w:pPr>
              <w:jc w:val="both"/>
              <w:rPr>
                <w:sz w:val="26"/>
                <w:szCs w:val="26"/>
              </w:rPr>
            </w:pPr>
            <w:r>
              <w:rPr>
                <w:sz w:val="26"/>
                <w:szCs w:val="26"/>
              </w:rPr>
              <w:t>54</w:t>
            </w:r>
          </w:p>
        </w:tc>
      </w:tr>
      <w:tr w:rsidR="00BE4582" w14:paraId="20C0FB9E" w14:textId="77777777">
        <w:trPr>
          <w:tblCellSpacing w:w="15" w:type="dxa"/>
        </w:trPr>
        <w:tc>
          <w:tcPr>
            <w:tcW w:w="0" w:type="auto"/>
            <w:tcBorders>
              <w:top w:val="single" w:sz="4" w:space="0" w:color="auto"/>
              <w:left w:val="single" w:sz="4" w:space="0" w:color="auto"/>
              <w:right w:val="single" w:sz="4" w:space="0" w:color="auto"/>
            </w:tcBorders>
            <w:vAlign w:val="center"/>
          </w:tcPr>
          <w:p w14:paraId="40DB1AFF" w14:textId="77777777" w:rsidR="00BE4582" w:rsidRDefault="00000000">
            <w:pPr>
              <w:jc w:val="both"/>
              <w:rPr>
                <w:sz w:val="26"/>
                <w:szCs w:val="26"/>
              </w:rPr>
            </w:pPr>
            <w:r>
              <w:rPr>
                <w:sz w:val="26"/>
                <w:szCs w:val="26"/>
              </w:rPr>
              <w:t>Age Range</w:t>
            </w:r>
          </w:p>
        </w:tc>
        <w:tc>
          <w:tcPr>
            <w:tcW w:w="0" w:type="auto"/>
            <w:tcBorders>
              <w:top w:val="single" w:sz="4" w:space="0" w:color="auto"/>
            </w:tcBorders>
            <w:vAlign w:val="center"/>
          </w:tcPr>
          <w:p w14:paraId="30A77DE8" w14:textId="77777777" w:rsidR="00BE4582" w:rsidRDefault="00000000">
            <w:pPr>
              <w:jc w:val="both"/>
              <w:rPr>
                <w:sz w:val="26"/>
                <w:szCs w:val="26"/>
              </w:rPr>
            </w:pPr>
            <w:r>
              <w:rPr>
                <w:sz w:val="26"/>
                <w:szCs w:val="26"/>
              </w:rPr>
              <w:t>18-25 years</w:t>
            </w:r>
          </w:p>
        </w:tc>
        <w:tc>
          <w:tcPr>
            <w:tcW w:w="0" w:type="auto"/>
            <w:tcBorders>
              <w:top w:val="single" w:sz="4" w:space="0" w:color="auto"/>
              <w:left w:val="single" w:sz="4" w:space="0" w:color="auto"/>
            </w:tcBorders>
            <w:vAlign w:val="center"/>
          </w:tcPr>
          <w:p w14:paraId="2495FBE2" w14:textId="77777777" w:rsidR="00BE4582" w:rsidRDefault="00000000">
            <w:pPr>
              <w:jc w:val="both"/>
              <w:rPr>
                <w:sz w:val="26"/>
                <w:szCs w:val="26"/>
              </w:rPr>
            </w:pPr>
            <w:r>
              <w:rPr>
                <w:sz w:val="26"/>
                <w:szCs w:val="26"/>
              </w:rPr>
              <w:t>18</w:t>
            </w:r>
          </w:p>
        </w:tc>
        <w:tc>
          <w:tcPr>
            <w:tcW w:w="0" w:type="auto"/>
            <w:tcBorders>
              <w:top w:val="single" w:sz="4" w:space="0" w:color="auto"/>
              <w:left w:val="single" w:sz="4" w:space="0" w:color="auto"/>
              <w:right w:val="single" w:sz="4" w:space="0" w:color="auto"/>
            </w:tcBorders>
            <w:vAlign w:val="center"/>
          </w:tcPr>
          <w:p w14:paraId="28ECD556" w14:textId="77777777" w:rsidR="00BE4582" w:rsidRDefault="00000000">
            <w:pPr>
              <w:jc w:val="both"/>
              <w:rPr>
                <w:sz w:val="26"/>
                <w:szCs w:val="26"/>
              </w:rPr>
            </w:pPr>
            <w:r>
              <w:rPr>
                <w:sz w:val="26"/>
                <w:szCs w:val="26"/>
              </w:rPr>
              <w:t>15</w:t>
            </w:r>
          </w:p>
        </w:tc>
      </w:tr>
      <w:tr w:rsidR="00BE4582" w14:paraId="31C2017C" w14:textId="77777777">
        <w:trPr>
          <w:tblCellSpacing w:w="15" w:type="dxa"/>
        </w:trPr>
        <w:tc>
          <w:tcPr>
            <w:tcW w:w="0" w:type="auto"/>
            <w:tcBorders>
              <w:top w:val="single" w:sz="4" w:space="0" w:color="auto"/>
              <w:left w:val="single" w:sz="4" w:space="0" w:color="auto"/>
              <w:right w:val="single" w:sz="4" w:space="0" w:color="auto"/>
            </w:tcBorders>
            <w:vAlign w:val="center"/>
          </w:tcPr>
          <w:p w14:paraId="268198CB" w14:textId="77777777" w:rsidR="00BE4582" w:rsidRDefault="00BE4582">
            <w:pPr>
              <w:jc w:val="both"/>
              <w:rPr>
                <w:sz w:val="26"/>
                <w:szCs w:val="26"/>
              </w:rPr>
            </w:pPr>
          </w:p>
        </w:tc>
        <w:tc>
          <w:tcPr>
            <w:tcW w:w="0" w:type="auto"/>
            <w:tcBorders>
              <w:top w:val="single" w:sz="4" w:space="0" w:color="auto"/>
            </w:tcBorders>
            <w:vAlign w:val="center"/>
          </w:tcPr>
          <w:p w14:paraId="54CF66A8" w14:textId="77777777" w:rsidR="00BE4582" w:rsidRDefault="00000000">
            <w:pPr>
              <w:jc w:val="both"/>
              <w:rPr>
                <w:sz w:val="26"/>
                <w:szCs w:val="26"/>
              </w:rPr>
            </w:pPr>
            <w:r>
              <w:rPr>
                <w:sz w:val="26"/>
                <w:szCs w:val="26"/>
              </w:rPr>
              <w:t>26-35 years</w:t>
            </w:r>
          </w:p>
        </w:tc>
        <w:tc>
          <w:tcPr>
            <w:tcW w:w="0" w:type="auto"/>
            <w:tcBorders>
              <w:top w:val="single" w:sz="4" w:space="0" w:color="auto"/>
              <w:left w:val="single" w:sz="4" w:space="0" w:color="auto"/>
            </w:tcBorders>
            <w:vAlign w:val="center"/>
          </w:tcPr>
          <w:p w14:paraId="33A21CBD" w14:textId="77777777" w:rsidR="00BE4582" w:rsidRDefault="00000000">
            <w:pPr>
              <w:jc w:val="both"/>
              <w:rPr>
                <w:sz w:val="26"/>
                <w:szCs w:val="26"/>
              </w:rPr>
            </w:pPr>
            <w:r>
              <w:rPr>
                <w:sz w:val="26"/>
                <w:szCs w:val="26"/>
              </w:rPr>
              <w:t>35</w:t>
            </w:r>
          </w:p>
        </w:tc>
        <w:tc>
          <w:tcPr>
            <w:tcW w:w="0" w:type="auto"/>
            <w:tcBorders>
              <w:top w:val="single" w:sz="4" w:space="0" w:color="auto"/>
              <w:left w:val="single" w:sz="4" w:space="0" w:color="auto"/>
              <w:right w:val="single" w:sz="4" w:space="0" w:color="auto"/>
            </w:tcBorders>
            <w:vAlign w:val="center"/>
          </w:tcPr>
          <w:p w14:paraId="6D35531A" w14:textId="77777777" w:rsidR="00BE4582" w:rsidRDefault="00000000">
            <w:pPr>
              <w:jc w:val="both"/>
              <w:rPr>
                <w:sz w:val="26"/>
                <w:szCs w:val="26"/>
              </w:rPr>
            </w:pPr>
            <w:r>
              <w:rPr>
                <w:sz w:val="26"/>
                <w:szCs w:val="26"/>
              </w:rPr>
              <w:t>29</w:t>
            </w:r>
          </w:p>
        </w:tc>
      </w:tr>
      <w:tr w:rsidR="00BE4582" w14:paraId="7469242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ABFC165" w14:textId="77777777" w:rsidR="00BE4582" w:rsidRDefault="00BE4582">
            <w:pPr>
              <w:jc w:val="both"/>
              <w:rPr>
                <w:sz w:val="26"/>
                <w:szCs w:val="26"/>
              </w:rPr>
            </w:pPr>
          </w:p>
        </w:tc>
        <w:tc>
          <w:tcPr>
            <w:tcW w:w="0" w:type="auto"/>
            <w:tcBorders>
              <w:top w:val="single" w:sz="4" w:space="0" w:color="auto"/>
              <w:bottom w:val="single" w:sz="4" w:space="0" w:color="auto"/>
            </w:tcBorders>
            <w:vAlign w:val="center"/>
          </w:tcPr>
          <w:p w14:paraId="296B273E" w14:textId="77777777" w:rsidR="00BE4582" w:rsidRDefault="00000000">
            <w:pPr>
              <w:jc w:val="both"/>
              <w:rPr>
                <w:sz w:val="26"/>
                <w:szCs w:val="26"/>
              </w:rPr>
            </w:pPr>
            <w:r>
              <w:rPr>
                <w:sz w:val="26"/>
                <w:szCs w:val="26"/>
              </w:rPr>
              <w:t>36-45 years</w:t>
            </w:r>
          </w:p>
        </w:tc>
        <w:tc>
          <w:tcPr>
            <w:tcW w:w="0" w:type="auto"/>
            <w:tcBorders>
              <w:top w:val="single" w:sz="4" w:space="0" w:color="auto"/>
              <w:left w:val="single" w:sz="4" w:space="0" w:color="auto"/>
              <w:bottom w:val="single" w:sz="4" w:space="0" w:color="auto"/>
            </w:tcBorders>
            <w:vAlign w:val="center"/>
          </w:tcPr>
          <w:p w14:paraId="0ECD5091" w14:textId="77777777" w:rsidR="00BE4582" w:rsidRDefault="00000000">
            <w:pPr>
              <w:jc w:val="both"/>
              <w:rPr>
                <w:sz w:val="26"/>
                <w:szCs w:val="26"/>
              </w:rPr>
            </w:pPr>
            <w:r>
              <w:rPr>
                <w:sz w:val="26"/>
                <w:szCs w:val="26"/>
              </w:rPr>
              <w:t>33</w:t>
            </w:r>
          </w:p>
        </w:tc>
        <w:tc>
          <w:tcPr>
            <w:tcW w:w="0" w:type="auto"/>
            <w:tcBorders>
              <w:top w:val="single" w:sz="4" w:space="0" w:color="auto"/>
              <w:left w:val="single" w:sz="4" w:space="0" w:color="auto"/>
              <w:bottom w:val="single" w:sz="4" w:space="0" w:color="auto"/>
              <w:right w:val="single" w:sz="4" w:space="0" w:color="auto"/>
            </w:tcBorders>
            <w:vAlign w:val="center"/>
          </w:tcPr>
          <w:p w14:paraId="75987263" w14:textId="77777777" w:rsidR="00BE4582" w:rsidRDefault="00000000">
            <w:pPr>
              <w:jc w:val="both"/>
              <w:rPr>
                <w:sz w:val="26"/>
                <w:szCs w:val="26"/>
              </w:rPr>
            </w:pPr>
            <w:r>
              <w:rPr>
                <w:sz w:val="26"/>
                <w:szCs w:val="26"/>
              </w:rPr>
              <w:t>28</w:t>
            </w:r>
          </w:p>
        </w:tc>
      </w:tr>
      <w:tr w:rsidR="00BE4582" w14:paraId="3C669590" w14:textId="77777777">
        <w:trPr>
          <w:tblCellSpacing w:w="15" w:type="dxa"/>
        </w:trPr>
        <w:tc>
          <w:tcPr>
            <w:tcW w:w="0" w:type="auto"/>
            <w:tcBorders>
              <w:left w:val="single" w:sz="4" w:space="0" w:color="auto"/>
              <w:bottom w:val="single" w:sz="4" w:space="0" w:color="auto"/>
              <w:right w:val="single" w:sz="4" w:space="0" w:color="auto"/>
            </w:tcBorders>
            <w:vAlign w:val="center"/>
          </w:tcPr>
          <w:p w14:paraId="009C73BD" w14:textId="77777777" w:rsidR="00BE4582" w:rsidRDefault="00BE4582">
            <w:pPr>
              <w:jc w:val="both"/>
              <w:rPr>
                <w:sz w:val="26"/>
                <w:szCs w:val="26"/>
              </w:rPr>
            </w:pPr>
          </w:p>
        </w:tc>
        <w:tc>
          <w:tcPr>
            <w:tcW w:w="0" w:type="auto"/>
            <w:tcBorders>
              <w:bottom w:val="single" w:sz="4" w:space="0" w:color="auto"/>
            </w:tcBorders>
            <w:vAlign w:val="center"/>
          </w:tcPr>
          <w:p w14:paraId="0D10DA7A" w14:textId="77777777" w:rsidR="00BE4582" w:rsidRDefault="00000000">
            <w:pPr>
              <w:jc w:val="both"/>
              <w:rPr>
                <w:sz w:val="26"/>
                <w:szCs w:val="26"/>
              </w:rPr>
            </w:pPr>
            <w:r>
              <w:rPr>
                <w:sz w:val="26"/>
                <w:szCs w:val="26"/>
              </w:rPr>
              <w:t>46+ years</w:t>
            </w:r>
          </w:p>
        </w:tc>
        <w:tc>
          <w:tcPr>
            <w:tcW w:w="0" w:type="auto"/>
            <w:tcBorders>
              <w:left w:val="single" w:sz="4" w:space="0" w:color="auto"/>
              <w:bottom w:val="single" w:sz="4" w:space="0" w:color="auto"/>
            </w:tcBorders>
            <w:vAlign w:val="center"/>
          </w:tcPr>
          <w:p w14:paraId="5A9A325E" w14:textId="77777777" w:rsidR="00BE4582" w:rsidRDefault="00000000">
            <w:pPr>
              <w:jc w:val="both"/>
              <w:rPr>
                <w:sz w:val="26"/>
                <w:szCs w:val="26"/>
              </w:rPr>
            </w:pPr>
            <w:r>
              <w:rPr>
                <w:sz w:val="26"/>
                <w:szCs w:val="26"/>
              </w:rPr>
              <w:t>34</w:t>
            </w:r>
          </w:p>
        </w:tc>
        <w:tc>
          <w:tcPr>
            <w:tcW w:w="0" w:type="auto"/>
            <w:tcBorders>
              <w:left w:val="single" w:sz="4" w:space="0" w:color="auto"/>
              <w:bottom w:val="single" w:sz="4" w:space="0" w:color="auto"/>
              <w:right w:val="single" w:sz="4" w:space="0" w:color="auto"/>
            </w:tcBorders>
            <w:vAlign w:val="center"/>
          </w:tcPr>
          <w:p w14:paraId="688B2064" w14:textId="77777777" w:rsidR="00BE4582" w:rsidRDefault="00000000">
            <w:pPr>
              <w:jc w:val="both"/>
              <w:rPr>
                <w:sz w:val="26"/>
                <w:szCs w:val="26"/>
              </w:rPr>
            </w:pPr>
            <w:r>
              <w:rPr>
                <w:sz w:val="26"/>
                <w:szCs w:val="26"/>
              </w:rPr>
              <w:t>28</w:t>
            </w:r>
          </w:p>
        </w:tc>
      </w:tr>
      <w:tr w:rsidR="00BE4582" w14:paraId="4298709D" w14:textId="77777777">
        <w:trPr>
          <w:tblCellSpacing w:w="15" w:type="dxa"/>
        </w:trPr>
        <w:tc>
          <w:tcPr>
            <w:tcW w:w="0" w:type="auto"/>
            <w:tcBorders>
              <w:left w:val="single" w:sz="4" w:space="0" w:color="auto"/>
              <w:right w:val="single" w:sz="4" w:space="0" w:color="auto"/>
            </w:tcBorders>
            <w:vAlign w:val="center"/>
          </w:tcPr>
          <w:p w14:paraId="46848B1B" w14:textId="77777777" w:rsidR="00BE4582" w:rsidRDefault="00000000">
            <w:pPr>
              <w:jc w:val="both"/>
              <w:rPr>
                <w:sz w:val="26"/>
                <w:szCs w:val="26"/>
              </w:rPr>
            </w:pPr>
            <w:r>
              <w:rPr>
                <w:sz w:val="26"/>
                <w:szCs w:val="26"/>
              </w:rPr>
              <w:lastRenderedPageBreak/>
              <w:t>Marital Status</w:t>
            </w:r>
          </w:p>
        </w:tc>
        <w:tc>
          <w:tcPr>
            <w:tcW w:w="0" w:type="auto"/>
            <w:vAlign w:val="center"/>
          </w:tcPr>
          <w:p w14:paraId="65D963D2" w14:textId="77777777" w:rsidR="00BE4582" w:rsidRDefault="00000000">
            <w:pPr>
              <w:jc w:val="both"/>
              <w:rPr>
                <w:sz w:val="26"/>
                <w:szCs w:val="26"/>
              </w:rPr>
            </w:pPr>
            <w:r>
              <w:rPr>
                <w:sz w:val="26"/>
                <w:szCs w:val="26"/>
              </w:rPr>
              <w:t>Single</w:t>
            </w:r>
          </w:p>
        </w:tc>
        <w:tc>
          <w:tcPr>
            <w:tcW w:w="0" w:type="auto"/>
            <w:tcBorders>
              <w:left w:val="single" w:sz="4" w:space="0" w:color="auto"/>
            </w:tcBorders>
            <w:vAlign w:val="center"/>
          </w:tcPr>
          <w:p w14:paraId="5FD76766" w14:textId="77777777" w:rsidR="00BE4582" w:rsidRDefault="00000000">
            <w:pPr>
              <w:jc w:val="both"/>
              <w:rPr>
                <w:sz w:val="26"/>
                <w:szCs w:val="26"/>
              </w:rPr>
            </w:pPr>
            <w:r>
              <w:rPr>
                <w:sz w:val="26"/>
                <w:szCs w:val="26"/>
              </w:rPr>
              <w:t>43</w:t>
            </w:r>
          </w:p>
        </w:tc>
        <w:tc>
          <w:tcPr>
            <w:tcW w:w="0" w:type="auto"/>
            <w:tcBorders>
              <w:left w:val="single" w:sz="4" w:space="0" w:color="auto"/>
              <w:right w:val="single" w:sz="4" w:space="0" w:color="auto"/>
            </w:tcBorders>
            <w:vAlign w:val="center"/>
          </w:tcPr>
          <w:p w14:paraId="65A69469" w14:textId="77777777" w:rsidR="00BE4582" w:rsidRDefault="00000000">
            <w:pPr>
              <w:jc w:val="both"/>
              <w:rPr>
                <w:sz w:val="26"/>
                <w:szCs w:val="26"/>
              </w:rPr>
            </w:pPr>
            <w:r>
              <w:rPr>
                <w:sz w:val="26"/>
                <w:szCs w:val="26"/>
              </w:rPr>
              <w:t>36</w:t>
            </w:r>
          </w:p>
        </w:tc>
      </w:tr>
      <w:tr w:rsidR="00BE4582" w14:paraId="62ADAAE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D250329" w14:textId="77777777" w:rsidR="00BE4582" w:rsidRDefault="00BE4582">
            <w:pPr>
              <w:jc w:val="both"/>
              <w:rPr>
                <w:sz w:val="26"/>
                <w:szCs w:val="26"/>
              </w:rPr>
            </w:pPr>
          </w:p>
        </w:tc>
        <w:tc>
          <w:tcPr>
            <w:tcW w:w="0" w:type="auto"/>
            <w:tcBorders>
              <w:top w:val="single" w:sz="4" w:space="0" w:color="auto"/>
              <w:bottom w:val="single" w:sz="4" w:space="0" w:color="auto"/>
            </w:tcBorders>
            <w:vAlign w:val="center"/>
          </w:tcPr>
          <w:p w14:paraId="3FF72AB7" w14:textId="77777777" w:rsidR="00BE4582" w:rsidRDefault="00000000">
            <w:pPr>
              <w:jc w:val="both"/>
              <w:rPr>
                <w:sz w:val="26"/>
                <w:szCs w:val="26"/>
              </w:rPr>
            </w:pPr>
            <w:r>
              <w:rPr>
                <w:sz w:val="26"/>
                <w:szCs w:val="26"/>
              </w:rPr>
              <w:t>Married</w:t>
            </w:r>
          </w:p>
        </w:tc>
        <w:tc>
          <w:tcPr>
            <w:tcW w:w="0" w:type="auto"/>
            <w:tcBorders>
              <w:top w:val="single" w:sz="4" w:space="0" w:color="auto"/>
              <w:left w:val="single" w:sz="4" w:space="0" w:color="auto"/>
              <w:bottom w:val="single" w:sz="4" w:space="0" w:color="auto"/>
            </w:tcBorders>
            <w:vAlign w:val="center"/>
          </w:tcPr>
          <w:p w14:paraId="082E7AD6" w14:textId="77777777" w:rsidR="00BE4582" w:rsidRDefault="00000000">
            <w:pPr>
              <w:jc w:val="both"/>
              <w:rPr>
                <w:sz w:val="26"/>
                <w:szCs w:val="26"/>
              </w:rPr>
            </w:pPr>
            <w:r>
              <w:rPr>
                <w:sz w:val="26"/>
                <w:szCs w:val="26"/>
              </w:rPr>
              <w:t>45</w:t>
            </w:r>
          </w:p>
        </w:tc>
        <w:tc>
          <w:tcPr>
            <w:tcW w:w="0" w:type="auto"/>
            <w:tcBorders>
              <w:top w:val="single" w:sz="4" w:space="0" w:color="auto"/>
              <w:left w:val="single" w:sz="4" w:space="0" w:color="auto"/>
              <w:bottom w:val="single" w:sz="4" w:space="0" w:color="auto"/>
              <w:right w:val="single" w:sz="4" w:space="0" w:color="auto"/>
            </w:tcBorders>
            <w:vAlign w:val="center"/>
          </w:tcPr>
          <w:p w14:paraId="7A2B1ABD" w14:textId="77777777" w:rsidR="00BE4582" w:rsidRDefault="00000000">
            <w:pPr>
              <w:jc w:val="both"/>
              <w:rPr>
                <w:sz w:val="26"/>
                <w:szCs w:val="26"/>
              </w:rPr>
            </w:pPr>
            <w:r>
              <w:rPr>
                <w:sz w:val="26"/>
                <w:szCs w:val="26"/>
              </w:rPr>
              <w:t>38</w:t>
            </w:r>
          </w:p>
        </w:tc>
      </w:tr>
      <w:tr w:rsidR="00BE4582" w14:paraId="6C6DEB57" w14:textId="77777777">
        <w:trPr>
          <w:tblCellSpacing w:w="15" w:type="dxa"/>
        </w:trPr>
        <w:tc>
          <w:tcPr>
            <w:tcW w:w="0" w:type="auto"/>
            <w:tcBorders>
              <w:left w:val="single" w:sz="4" w:space="0" w:color="auto"/>
              <w:right w:val="single" w:sz="4" w:space="0" w:color="auto"/>
            </w:tcBorders>
            <w:vAlign w:val="center"/>
          </w:tcPr>
          <w:p w14:paraId="3B8390C7" w14:textId="77777777" w:rsidR="00BE4582" w:rsidRDefault="00BE4582">
            <w:pPr>
              <w:jc w:val="both"/>
              <w:rPr>
                <w:sz w:val="26"/>
                <w:szCs w:val="26"/>
              </w:rPr>
            </w:pPr>
          </w:p>
        </w:tc>
        <w:tc>
          <w:tcPr>
            <w:tcW w:w="0" w:type="auto"/>
            <w:tcBorders>
              <w:right w:val="single" w:sz="4" w:space="0" w:color="auto"/>
            </w:tcBorders>
            <w:vAlign w:val="center"/>
          </w:tcPr>
          <w:p w14:paraId="41560918" w14:textId="77777777" w:rsidR="00BE4582" w:rsidRDefault="00000000">
            <w:pPr>
              <w:jc w:val="both"/>
              <w:rPr>
                <w:sz w:val="26"/>
                <w:szCs w:val="26"/>
              </w:rPr>
            </w:pPr>
            <w:r>
              <w:rPr>
                <w:sz w:val="26"/>
                <w:szCs w:val="26"/>
              </w:rPr>
              <w:t>Divorced</w:t>
            </w:r>
          </w:p>
        </w:tc>
        <w:tc>
          <w:tcPr>
            <w:tcW w:w="0" w:type="auto"/>
            <w:tcBorders>
              <w:right w:val="single" w:sz="4" w:space="0" w:color="auto"/>
            </w:tcBorders>
            <w:vAlign w:val="center"/>
          </w:tcPr>
          <w:p w14:paraId="1CA7BFA7" w14:textId="77777777" w:rsidR="00BE4582" w:rsidRDefault="00000000">
            <w:pPr>
              <w:jc w:val="both"/>
              <w:rPr>
                <w:sz w:val="26"/>
                <w:szCs w:val="26"/>
              </w:rPr>
            </w:pPr>
            <w:r>
              <w:rPr>
                <w:sz w:val="26"/>
                <w:szCs w:val="26"/>
              </w:rPr>
              <w:t>32</w:t>
            </w:r>
          </w:p>
        </w:tc>
        <w:tc>
          <w:tcPr>
            <w:tcW w:w="0" w:type="auto"/>
            <w:tcBorders>
              <w:right w:val="single" w:sz="4" w:space="0" w:color="auto"/>
            </w:tcBorders>
            <w:vAlign w:val="center"/>
          </w:tcPr>
          <w:p w14:paraId="6A702CA7" w14:textId="77777777" w:rsidR="00BE4582" w:rsidRDefault="00000000">
            <w:pPr>
              <w:jc w:val="both"/>
              <w:rPr>
                <w:sz w:val="26"/>
                <w:szCs w:val="26"/>
              </w:rPr>
            </w:pPr>
            <w:r>
              <w:rPr>
                <w:sz w:val="26"/>
                <w:szCs w:val="26"/>
              </w:rPr>
              <w:t>27</w:t>
            </w:r>
          </w:p>
        </w:tc>
      </w:tr>
      <w:tr w:rsidR="00BE4582" w14:paraId="4E7A1093" w14:textId="77777777">
        <w:trPr>
          <w:tblCellSpacing w:w="15" w:type="dxa"/>
        </w:trPr>
        <w:tc>
          <w:tcPr>
            <w:tcW w:w="0" w:type="auto"/>
            <w:tcBorders>
              <w:left w:val="single" w:sz="4" w:space="0" w:color="auto"/>
              <w:right w:val="single" w:sz="4" w:space="0" w:color="auto"/>
            </w:tcBorders>
            <w:vAlign w:val="center"/>
          </w:tcPr>
          <w:p w14:paraId="4FEA5F4B" w14:textId="77777777" w:rsidR="00BE4582" w:rsidRDefault="00000000">
            <w:pPr>
              <w:jc w:val="both"/>
              <w:rPr>
                <w:sz w:val="26"/>
                <w:szCs w:val="26"/>
              </w:rPr>
            </w:pPr>
            <w:r>
              <w:rPr>
                <w:sz w:val="26"/>
                <w:szCs w:val="26"/>
              </w:rPr>
              <w:t>Education</w:t>
            </w:r>
          </w:p>
        </w:tc>
        <w:tc>
          <w:tcPr>
            <w:tcW w:w="0" w:type="auto"/>
            <w:tcBorders>
              <w:right w:val="single" w:sz="4" w:space="0" w:color="auto"/>
            </w:tcBorders>
            <w:vAlign w:val="center"/>
          </w:tcPr>
          <w:p w14:paraId="6D568F4B" w14:textId="77777777" w:rsidR="00BE4582" w:rsidRDefault="00000000">
            <w:pPr>
              <w:jc w:val="both"/>
              <w:rPr>
                <w:sz w:val="26"/>
                <w:szCs w:val="26"/>
              </w:rPr>
            </w:pPr>
            <w:r>
              <w:rPr>
                <w:sz w:val="26"/>
                <w:szCs w:val="26"/>
              </w:rPr>
              <w:t>School Certificate</w:t>
            </w:r>
          </w:p>
        </w:tc>
        <w:tc>
          <w:tcPr>
            <w:tcW w:w="0" w:type="auto"/>
            <w:tcBorders>
              <w:right w:val="single" w:sz="4" w:space="0" w:color="auto"/>
            </w:tcBorders>
            <w:vAlign w:val="center"/>
          </w:tcPr>
          <w:p w14:paraId="2CC4224A" w14:textId="77777777" w:rsidR="00BE4582" w:rsidRDefault="00000000">
            <w:pPr>
              <w:jc w:val="both"/>
              <w:rPr>
                <w:sz w:val="26"/>
                <w:szCs w:val="26"/>
              </w:rPr>
            </w:pPr>
            <w:r>
              <w:rPr>
                <w:sz w:val="26"/>
                <w:szCs w:val="26"/>
              </w:rPr>
              <w:t>20</w:t>
            </w:r>
          </w:p>
        </w:tc>
        <w:tc>
          <w:tcPr>
            <w:tcW w:w="0" w:type="auto"/>
            <w:tcBorders>
              <w:right w:val="single" w:sz="4" w:space="0" w:color="auto"/>
            </w:tcBorders>
            <w:vAlign w:val="center"/>
          </w:tcPr>
          <w:p w14:paraId="7B64360A" w14:textId="77777777" w:rsidR="00BE4582" w:rsidRDefault="00000000">
            <w:pPr>
              <w:jc w:val="both"/>
              <w:rPr>
                <w:sz w:val="26"/>
                <w:szCs w:val="26"/>
              </w:rPr>
            </w:pPr>
            <w:r>
              <w:rPr>
                <w:sz w:val="26"/>
                <w:szCs w:val="26"/>
              </w:rPr>
              <w:t>17</w:t>
            </w:r>
          </w:p>
        </w:tc>
      </w:tr>
      <w:tr w:rsidR="00BE4582" w14:paraId="4E54286B" w14:textId="77777777">
        <w:trPr>
          <w:tblCellSpacing w:w="15" w:type="dxa"/>
        </w:trPr>
        <w:tc>
          <w:tcPr>
            <w:tcW w:w="0" w:type="auto"/>
            <w:tcBorders>
              <w:top w:val="single" w:sz="4" w:space="0" w:color="auto"/>
              <w:left w:val="single" w:sz="4" w:space="0" w:color="auto"/>
              <w:right w:val="single" w:sz="4" w:space="0" w:color="auto"/>
            </w:tcBorders>
            <w:vAlign w:val="center"/>
          </w:tcPr>
          <w:p w14:paraId="3BDAA375" w14:textId="77777777" w:rsidR="00BE4582" w:rsidRDefault="00BE4582">
            <w:pPr>
              <w:jc w:val="both"/>
              <w:rPr>
                <w:sz w:val="26"/>
                <w:szCs w:val="26"/>
              </w:rPr>
            </w:pPr>
          </w:p>
        </w:tc>
        <w:tc>
          <w:tcPr>
            <w:tcW w:w="0" w:type="auto"/>
            <w:tcBorders>
              <w:top w:val="single" w:sz="4" w:space="0" w:color="auto"/>
              <w:bottom w:val="single" w:sz="4" w:space="0" w:color="auto"/>
              <w:right w:val="single" w:sz="4" w:space="0" w:color="auto"/>
            </w:tcBorders>
            <w:vAlign w:val="center"/>
          </w:tcPr>
          <w:p w14:paraId="4DBD80FE" w14:textId="77777777" w:rsidR="00BE4582" w:rsidRDefault="00000000">
            <w:pPr>
              <w:jc w:val="both"/>
              <w:rPr>
                <w:sz w:val="26"/>
                <w:szCs w:val="26"/>
              </w:rPr>
            </w:pPr>
            <w:r>
              <w:rPr>
                <w:sz w:val="26"/>
                <w:szCs w:val="26"/>
              </w:rPr>
              <w:t>OND/NCE</w:t>
            </w:r>
          </w:p>
        </w:tc>
        <w:tc>
          <w:tcPr>
            <w:tcW w:w="0" w:type="auto"/>
            <w:tcBorders>
              <w:top w:val="single" w:sz="4" w:space="0" w:color="auto"/>
              <w:bottom w:val="single" w:sz="4" w:space="0" w:color="auto"/>
              <w:right w:val="single" w:sz="4" w:space="0" w:color="auto"/>
            </w:tcBorders>
            <w:vAlign w:val="center"/>
          </w:tcPr>
          <w:p w14:paraId="7A0A60AB" w14:textId="77777777" w:rsidR="00BE4582" w:rsidRDefault="00000000">
            <w:pPr>
              <w:jc w:val="both"/>
              <w:rPr>
                <w:sz w:val="26"/>
                <w:szCs w:val="26"/>
              </w:rPr>
            </w:pPr>
            <w:r>
              <w:rPr>
                <w:sz w:val="26"/>
                <w:szCs w:val="26"/>
              </w:rPr>
              <w:t>18</w:t>
            </w:r>
          </w:p>
        </w:tc>
        <w:tc>
          <w:tcPr>
            <w:tcW w:w="0" w:type="auto"/>
            <w:tcBorders>
              <w:top w:val="single" w:sz="4" w:space="0" w:color="auto"/>
              <w:bottom w:val="single" w:sz="4" w:space="0" w:color="auto"/>
              <w:right w:val="single" w:sz="4" w:space="0" w:color="auto"/>
            </w:tcBorders>
            <w:vAlign w:val="center"/>
          </w:tcPr>
          <w:p w14:paraId="7B2B7C80" w14:textId="77777777" w:rsidR="00BE4582" w:rsidRDefault="00000000">
            <w:pPr>
              <w:jc w:val="both"/>
              <w:rPr>
                <w:sz w:val="26"/>
                <w:szCs w:val="26"/>
              </w:rPr>
            </w:pPr>
            <w:r>
              <w:rPr>
                <w:sz w:val="26"/>
                <w:szCs w:val="26"/>
              </w:rPr>
              <w:t>15</w:t>
            </w:r>
          </w:p>
        </w:tc>
      </w:tr>
      <w:tr w:rsidR="00BE4582" w14:paraId="5BF38FD7" w14:textId="77777777">
        <w:trPr>
          <w:tblCellSpacing w:w="15" w:type="dxa"/>
        </w:trPr>
        <w:tc>
          <w:tcPr>
            <w:tcW w:w="0" w:type="auto"/>
            <w:tcBorders>
              <w:left w:val="single" w:sz="4" w:space="0" w:color="auto"/>
              <w:right w:val="single" w:sz="4" w:space="0" w:color="auto"/>
            </w:tcBorders>
            <w:vAlign w:val="center"/>
          </w:tcPr>
          <w:p w14:paraId="0D9F7CB2" w14:textId="77777777" w:rsidR="00BE4582" w:rsidRDefault="00BE4582">
            <w:pPr>
              <w:jc w:val="both"/>
              <w:rPr>
                <w:sz w:val="26"/>
                <w:szCs w:val="26"/>
              </w:rPr>
            </w:pPr>
          </w:p>
        </w:tc>
        <w:tc>
          <w:tcPr>
            <w:tcW w:w="0" w:type="auto"/>
            <w:tcBorders>
              <w:bottom w:val="single" w:sz="4" w:space="0" w:color="auto"/>
              <w:right w:val="single" w:sz="4" w:space="0" w:color="auto"/>
            </w:tcBorders>
            <w:vAlign w:val="center"/>
          </w:tcPr>
          <w:p w14:paraId="3A7F7AC0" w14:textId="77777777" w:rsidR="00BE4582" w:rsidRDefault="00000000">
            <w:pPr>
              <w:jc w:val="both"/>
              <w:rPr>
                <w:sz w:val="26"/>
                <w:szCs w:val="26"/>
              </w:rPr>
            </w:pPr>
            <w:r>
              <w:rPr>
                <w:sz w:val="26"/>
                <w:szCs w:val="26"/>
              </w:rPr>
              <w:t>HND/B.Sc</w:t>
            </w:r>
          </w:p>
        </w:tc>
        <w:tc>
          <w:tcPr>
            <w:tcW w:w="0" w:type="auto"/>
            <w:tcBorders>
              <w:bottom w:val="single" w:sz="4" w:space="0" w:color="auto"/>
              <w:right w:val="single" w:sz="4" w:space="0" w:color="auto"/>
            </w:tcBorders>
            <w:vAlign w:val="center"/>
          </w:tcPr>
          <w:p w14:paraId="4794F988" w14:textId="77777777" w:rsidR="00BE4582" w:rsidRDefault="00000000">
            <w:pPr>
              <w:jc w:val="both"/>
              <w:rPr>
                <w:sz w:val="26"/>
                <w:szCs w:val="26"/>
              </w:rPr>
            </w:pPr>
            <w:r>
              <w:rPr>
                <w:sz w:val="26"/>
                <w:szCs w:val="26"/>
              </w:rPr>
              <w:t>56</w:t>
            </w:r>
          </w:p>
        </w:tc>
        <w:tc>
          <w:tcPr>
            <w:tcW w:w="0" w:type="auto"/>
            <w:tcBorders>
              <w:bottom w:val="single" w:sz="4" w:space="0" w:color="auto"/>
              <w:right w:val="single" w:sz="4" w:space="0" w:color="auto"/>
            </w:tcBorders>
            <w:vAlign w:val="center"/>
          </w:tcPr>
          <w:p w14:paraId="3935B1D2" w14:textId="77777777" w:rsidR="00BE4582" w:rsidRDefault="00000000">
            <w:pPr>
              <w:jc w:val="both"/>
              <w:rPr>
                <w:sz w:val="26"/>
                <w:szCs w:val="26"/>
              </w:rPr>
            </w:pPr>
            <w:r>
              <w:rPr>
                <w:sz w:val="26"/>
                <w:szCs w:val="26"/>
              </w:rPr>
              <w:t>47</w:t>
            </w:r>
          </w:p>
        </w:tc>
      </w:tr>
      <w:tr w:rsidR="00BE4582" w14:paraId="3EB331A4" w14:textId="77777777">
        <w:trPr>
          <w:tblCellSpacing w:w="15" w:type="dxa"/>
        </w:trPr>
        <w:tc>
          <w:tcPr>
            <w:tcW w:w="0" w:type="auto"/>
            <w:tcBorders>
              <w:left w:val="single" w:sz="4" w:space="0" w:color="auto"/>
              <w:bottom w:val="single" w:sz="4" w:space="0" w:color="auto"/>
              <w:right w:val="single" w:sz="4" w:space="0" w:color="auto"/>
            </w:tcBorders>
            <w:vAlign w:val="center"/>
          </w:tcPr>
          <w:p w14:paraId="29E2210B" w14:textId="77777777" w:rsidR="00BE4582" w:rsidRDefault="00BE4582">
            <w:pPr>
              <w:jc w:val="both"/>
              <w:rPr>
                <w:sz w:val="26"/>
                <w:szCs w:val="26"/>
              </w:rPr>
            </w:pPr>
          </w:p>
        </w:tc>
        <w:tc>
          <w:tcPr>
            <w:tcW w:w="0" w:type="auto"/>
            <w:tcBorders>
              <w:bottom w:val="single" w:sz="4" w:space="0" w:color="auto"/>
              <w:right w:val="single" w:sz="4" w:space="0" w:color="auto"/>
            </w:tcBorders>
            <w:vAlign w:val="center"/>
          </w:tcPr>
          <w:p w14:paraId="631A7916" w14:textId="77777777" w:rsidR="00BE4582" w:rsidRDefault="00000000">
            <w:pPr>
              <w:jc w:val="both"/>
              <w:rPr>
                <w:sz w:val="26"/>
                <w:szCs w:val="26"/>
              </w:rPr>
            </w:pPr>
            <w:r>
              <w:rPr>
                <w:sz w:val="26"/>
                <w:szCs w:val="26"/>
              </w:rPr>
              <w:t>Master/PhD</w:t>
            </w:r>
          </w:p>
        </w:tc>
        <w:tc>
          <w:tcPr>
            <w:tcW w:w="0" w:type="auto"/>
            <w:tcBorders>
              <w:bottom w:val="single" w:sz="4" w:space="0" w:color="auto"/>
              <w:right w:val="single" w:sz="4" w:space="0" w:color="auto"/>
            </w:tcBorders>
            <w:vAlign w:val="center"/>
          </w:tcPr>
          <w:p w14:paraId="09A435E2" w14:textId="77777777" w:rsidR="00BE4582" w:rsidRDefault="00000000">
            <w:pPr>
              <w:jc w:val="both"/>
              <w:rPr>
                <w:sz w:val="26"/>
                <w:szCs w:val="26"/>
              </w:rPr>
            </w:pPr>
            <w:r>
              <w:rPr>
                <w:sz w:val="26"/>
                <w:szCs w:val="26"/>
              </w:rPr>
              <w:t>26</w:t>
            </w:r>
          </w:p>
        </w:tc>
        <w:tc>
          <w:tcPr>
            <w:tcW w:w="0" w:type="auto"/>
            <w:tcBorders>
              <w:bottom w:val="single" w:sz="4" w:space="0" w:color="auto"/>
              <w:right w:val="single" w:sz="4" w:space="0" w:color="auto"/>
            </w:tcBorders>
            <w:vAlign w:val="center"/>
          </w:tcPr>
          <w:p w14:paraId="7BB3E05C" w14:textId="77777777" w:rsidR="00BE4582" w:rsidRDefault="00000000">
            <w:pPr>
              <w:jc w:val="both"/>
              <w:rPr>
                <w:sz w:val="26"/>
                <w:szCs w:val="26"/>
              </w:rPr>
            </w:pPr>
            <w:r>
              <w:rPr>
                <w:sz w:val="26"/>
                <w:szCs w:val="26"/>
              </w:rPr>
              <w:t>22</w:t>
            </w:r>
          </w:p>
        </w:tc>
      </w:tr>
      <w:tr w:rsidR="00BE4582" w14:paraId="131777A4" w14:textId="77777777">
        <w:trPr>
          <w:tblCellSpacing w:w="15" w:type="dxa"/>
        </w:trPr>
        <w:tc>
          <w:tcPr>
            <w:tcW w:w="0" w:type="auto"/>
            <w:tcBorders>
              <w:left w:val="single" w:sz="4" w:space="0" w:color="auto"/>
              <w:right w:val="single" w:sz="4" w:space="0" w:color="auto"/>
            </w:tcBorders>
            <w:vAlign w:val="center"/>
          </w:tcPr>
          <w:p w14:paraId="7B84431B" w14:textId="77777777" w:rsidR="00BE4582" w:rsidRDefault="00000000">
            <w:pPr>
              <w:jc w:val="both"/>
              <w:rPr>
                <w:sz w:val="26"/>
                <w:szCs w:val="26"/>
              </w:rPr>
            </w:pPr>
            <w:r>
              <w:rPr>
                <w:sz w:val="26"/>
                <w:szCs w:val="26"/>
              </w:rPr>
              <w:t>Experience</w:t>
            </w:r>
          </w:p>
        </w:tc>
        <w:tc>
          <w:tcPr>
            <w:tcW w:w="0" w:type="auto"/>
            <w:tcBorders>
              <w:right w:val="single" w:sz="4" w:space="0" w:color="auto"/>
            </w:tcBorders>
            <w:vAlign w:val="center"/>
          </w:tcPr>
          <w:p w14:paraId="1C0F5D8B" w14:textId="77777777" w:rsidR="00BE4582" w:rsidRDefault="00000000">
            <w:pPr>
              <w:jc w:val="both"/>
              <w:rPr>
                <w:sz w:val="26"/>
                <w:szCs w:val="26"/>
              </w:rPr>
            </w:pPr>
            <w:r>
              <w:rPr>
                <w:sz w:val="26"/>
                <w:szCs w:val="26"/>
              </w:rPr>
              <w:t>Below 5 years</w:t>
            </w:r>
          </w:p>
        </w:tc>
        <w:tc>
          <w:tcPr>
            <w:tcW w:w="0" w:type="auto"/>
            <w:tcBorders>
              <w:right w:val="single" w:sz="4" w:space="0" w:color="auto"/>
            </w:tcBorders>
            <w:vAlign w:val="center"/>
          </w:tcPr>
          <w:p w14:paraId="1484655B" w14:textId="77777777" w:rsidR="00BE4582" w:rsidRDefault="00000000">
            <w:pPr>
              <w:jc w:val="both"/>
              <w:rPr>
                <w:sz w:val="26"/>
                <w:szCs w:val="26"/>
              </w:rPr>
            </w:pPr>
            <w:r>
              <w:rPr>
                <w:sz w:val="26"/>
                <w:szCs w:val="26"/>
              </w:rPr>
              <w:t>51</w:t>
            </w:r>
          </w:p>
        </w:tc>
        <w:tc>
          <w:tcPr>
            <w:tcW w:w="0" w:type="auto"/>
            <w:tcBorders>
              <w:right w:val="single" w:sz="4" w:space="0" w:color="auto"/>
            </w:tcBorders>
            <w:vAlign w:val="center"/>
          </w:tcPr>
          <w:p w14:paraId="36310EF4" w14:textId="77777777" w:rsidR="00BE4582" w:rsidRDefault="00000000">
            <w:pPr>
              <w:jc w:val="both"/>
              <w:rPr>
                <w:sz w:val="26"/>
                <w:szCs w:val="26"/>
              </w:rPr>
            </w:pPr>
            <w:r>
              <w:rPr>
                <w:sz w:val="26"/>
                <w:szCs w:val="26"/>
              </w:rPr>
              <w:t>43</w:t>
            </w:r>
          </w:p>
        </w:tc>
      </w:tr>
      <w:tr w:rsidR="00BE4582" w14:paraId="7BEF63E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6558F9F" w14:textId="77777777" w:rsidR="00BE4582" w:rsidRDefault="00BE4582">
            <w:pPr>
              <w:jc w:val="both"/>
              <w:rPr>
                <w:sz w:val="26"/>
                <w:szCs w:val="26"/>
              </w:rPr>
            </w:pPr>
          </w:p>
        </w:tc>
        <w:tc>
          <w:tcPr>
            <w:tcW w:w="0" w:type="auto"/>
            <w:tcBorders>
              <w:top w:val="single" w:sz="4" w:space="0" w:color="auto"/>
              <w:bottom w:val="single" w:sz="4" w:space="0" w:color="auto"/>
              <w:right w:val="single" w:sz="4" w:space="0" w:color="auto"/>
            </w:tcBorders>
            <w:vAlign w:val="center"/>
          </w:tcPr>
          <w:p w14:paraId="1B736D5A" w14:textId="77777777" w:rsidR="00BE4582" w:rsidRDefault="00000000">
            <w:pPr>
              <w:jc w:val="both"/>
              <w:rPr>
                <w:sz w:val="26"/>
                <w:szCs w:val="26"/>
              </w:rPr>
            </w:pPr>
            <w:r>
              <w:rPr>
                <w:sz w:val="26"/>
                <w:szCs w:val="26"/>
              </w:rPr>
              <w:t>5-10 years</w:t>
            </w:r>
          </w:p>
        </w:tc>
        <w:tc>
          <w:tcPr>
            <w:tcW w:w="0" w:type="auto"/>
            <w:tcBorders>
              <w:top w:val="single" w:sz="4" w:space="0" w:color="auto"/>
              <w:bottom w:val="single" w:sz="4" w:space="0" w:color="auto"/>
              <w:right w:val="single" w:sz="4" w:space="0" w:color="auto"/>
            </w:tcBorders>
            <w:vAlign w:val="center"/>
          </w:tcPr>
          <w:p w14:paraId="3636DE14" w14:textId="77777777" w:rsidR="00BE4582" w:rsidRDefault="00000000">
            <w:pPr>
              <w:jc w:val="both"/>
              <w:rPr>
                <w:sz w:val="26"/>
                <w:szCs w:val="26"/>
              </w:rPr>
            </w:pPr>
            <w:r>
              <w:rPr>
                <w:sz w:val="26"/>
                <w:szCs w:val="26"/>
              </w:rPr>
              <w:t>34</w:t>
            </w:r>
          </w:p>
        </w:tc>
        <w:tc>
          <w:tcPr>
            <w:tcW w:w="0" w:type="auto"/>
            <w:tcBorders>
              <w:top w:val="single" w:sz="4" w:space="0" w:color="auto"/>
              <w:bottom w:val="single" w:sz="4" w:space="0" w:color="auto"/>
              <w:right w:val="single" w:sz="4" w:space="0" w:color="auto"/>
            </w:tcBorders>
            <w:vAlign w:val="center"/>
          </w:tcPr>
          <w:p w14:paraId="71F26A92" w14:textId="77777777" w:rsidR="00BE4582" w:rsidRDefault="00000000">
            <w:pPr>
              <w:jc w:val="both"/>
              <w:rPr>
                <w:sz w:val="26"/>
                <w:szCs w:val="26"/>
              </w:rPr>
            </w:pPr>
            <w:r>
              <w:rPr>
                <w:sz w:val="26"/>
                <w:szCs w:val="26"/>
              </w:rPr>
              <w:t>28</w:t>
            </w:r>
          </w:p>
        </w:tc>
      </w:tr>
      <w:tr w:rsidR="00BE4582" w14:paraId="27E51EC5" w14:textId="77777777">
        <w:trPr>
          <w:tblCellSpacing w:w="15" w:type="dxa"/>
        </w:trPr>
        <w:tc>
          <w:tcPr>
            <w:tcW w:w="0" w:type="auto"/>
            <w:tcBorders>
              <w:left w:val="single" w:sz="4" w:space="0" w:color="auto"/>
              <w:bottom w:val="single" w:sz="4" w:space="0" w:color="auto"/>
              <w:right w:val="single" w:sz="4" w:space="0" w:color="auto"/>
            </w:tcBorders>
            <w:vAlign w:val="center"/>
          </w:tcPr>
          <w:p w14:paraId="29D8F208" w14:textId="77777777" w:rsidR="00BE4582" w:rsidRDefault="00BE4582">
            <w:pPr>
              <w:jc w:val="both"/>
              <w:rPr>
                <w:sz w:val="26"/>
                <w:szCs w:val="26"/>
              </w:rPr>
            </w:pPr>
          </w:p>
        </w:tc>
        <w:tc>
          <w:tcPr>
            <w:tcW w:w="0" w:type="auto"/>
            <w:tcBorders>
              <w:bottom w:val="single" w:sz="4" w:space="0" w:color="auto"/>
              <w:right w:val="single" w:sz="4" w:space="0" w:color="auto"/>
            </w:tcBorders>
            <w:vAlign w:val="center"/>
          </w:tcPr>
          <w:p w14:paraId="02C9F7A6" w14:textId="77777777" w:rsidR="00BE4582" w:rsidRDefault="00000000">
            <w:pPr>
              <w:jc w:val="both"/>
              <w:rPr>
                <w:sz w:val="26"/>
                <w:szCs w:val="26"/>
              </w:rPr>
            </w:pPr>
            <w:r>
              <w:rPr>
                <w:sz w:val="26"/>
                <w:szCs w:val="26"/>
              </w:rPr>
              <w:t>11+ years</w:t>
            </w:r>
          </w:p>
        </w:tc>
        <w:tc>
          <w:tcPr>
            <w:tcW w:w="0" w:type="auto"/>
            <w:tcBorders>
              <w:bottom w:val="single" w:sz="4" w:space="0" w:color="auto"/>
              <w:right w:val="single" w:sz="4" w:space="0" w:color="auto"/>
            </w:tcBorders>
            <w:vAlign w:val="center"/>
          </w:tcPr>
          <w:p w14:paraId="192E4D82" w14:textId="77777777" w:rsidR="00BE4582" w:rsidRDefault="00000000">
            <w:pPr>
              <w:jc w:val="both"/>
              <w:rPr>
                <w:sz w:val="26"/>
                <w:szCs w:val="26"/>
              </w:rPr>
            </w:pPr>
            <w:r>
              <w:rPr>
                <w:sz w:val="26"/>
                <w:szCs w:val="26"/>
              </w:rPr>
              <w:t>35</w:t>
            </w:r>
          </w:p>
        </w:tc>
        <w:tc>
          <w:tcPr>
            <w:tcW w:w="0" w:type="auto"/>
            <w:tcBorders>
              <w:bottom w:val="single" w:sz="4" w:space="0" w:color="auto"/>
              <w:right w:val="single" w:sz="4" w:space="0" w:color="auto"/>
            </w:tcBorders>
            <w:vAlign w:val="center"/>
          </w:tcPr>
          <w:p w14:paraId="20604288" w14:textId="77777777" w:rsidR="00BE4582" w:rsidRDefault="00000000">
            <w:pPr>
              <w:jc w:val="both"/>
              <w:rPr>
                <w:sz w:val="26"/>
                <w:szCs w:val="26"/>
              </w:rPr>
            </w:pPr>
            <w:r>
              <w:rPr>
                <w:sz w:val="26"/>
                <w:szCs w:val="26"/>
              </w:rPr>
              <w:t>29</w:t>
            </w:r>
          </w:p>
        </w:tc>
      </w:tr>
    </w:tbl>
    <w:p w14:paraId="1BDA2A5C" w14:textId="77777777" w:rsidR="00BE4582" w:rsidRDefault="00000000">
      <w:pPr>
        <w:jc w:val="both"/>
        <w:rPr>
          <w:sz w:val="26"/>
          <w:szCs w:val="26"/>
        </w:rPr>
      </w:pPr>
      <w:r>
        <w:rPr>
          <w:sz w:val="26"/>
          <w:szCs w:val="26"/>
        </w:rPr>
        <w:t>Source: Field Survey, 2021</w:t>
      </w:r>
    </w:p>
    <w:p w14:paraId="1B97C724" w14:textId="77777777" w:rsidR="00BE4582" w:rsidRDefault="00000000">
      <w:pPr>
        <w:jc w:val="both"/>
        <w:rPr>
          <w:sz w:val="26"/>
          <w:szCs w:val="26"/>
        </w:rPr>
      </w:pPr>
      <w:r>
        <w:rPr>
          <w:sz w:val="26"/>
          <w:szCs w:val="26"/>
        </w:rPr>
        <w:t>The outcomes were 54 percent females and 46 percent males. The age distribution was as follows: 15% below the age of 25 years, 29% between 26-35 years, 28 between 36-45 years and 28 old age above 46 years. There were 36% single, 38% married and 27% divorced marital status. The educational qualifications were 17% SSCE, 15% OND/NCE, 47% HND/B.Sc and 22% Master/PhD. There were 43 percent and 28 percent and 29 percent below 5 years and between 5-10 years and above 11 years respectively as a result of work experience.</w:t>
      </w:r>
    </w:p>
    <w:p w14:paraId="28BF8101" w14:textId="77777777" w:rsidR="00BE4582" w:rsidRDefault="00000000">
      <w:pPr>
        <w:jc w:val="both"/>
        <w:rPr>
          <w:b/>
          <w:bCs/>
          <w:sz w:val="26"/>
          <w:szCs w:val="26"/>
        </w:rPr>
      </w:pPr>
      <w:r>
        <w:rPr>
          <w:b/>
          <w:bCs/>
          <w:sz w:val="26"/>
          <w:szCs w:val="26"/>
        </w:rPr>
        <w:t>4.2 Correlation Analysis</w:t>
      </w:r>
    </w:p>
    <w:p w14:paraId="55C4BD6F" w14:textId="77777777" w:rsidR="00BE4582" w:rsidRDefault="00000000">
      <w:pPr>
        <w:jc w:val="both"/>
        <w:rPr>
          <w:sz w:val="26"/>
          <w:szCs w:val="26"/>
        </w:rPr>
      </w:pPr>
      <w:r>
        <w:rPr>
          <w:sz w:val="26"/>
          <w:szCs w:val="26"/>
        </w:rPr>
        <w:t>Table 2 shows variables of correlation of audit quality.</w:t>
      </w:r>
    </w:p>
    <w:p w14:paraId="77A41C65" w14:textId="77777777" w:rsidR="00BE4582" w:rsidRDefault="00000000">
      <w:pPr>
        <w:jc w:val="both"/>
        <w:rPr>
          <w:sz w:val="26"/>
          <w:szCs w:val="26"/>
        </w:rPr>
      </w:pPr>
      <w:r>
        <w:rPr>
          <w:b/>
          <w:bCs/>
          <w:sz w:val="26"/>
          <w:szCs w:val="26"/>
        </w:rPr>
        <w:t>Table 2: Correlation Analysis of Audit Quality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3"/>
        <w:gridCol w:w="697"/>
        <w:gridCol w:w="1586"/>
        <w:gridCol w:w="922"/>
        <w:gridCol w:w="922"/>
        <w:gridCol w:w="912"/>
        <w:gridCol w:w="743"/>
      </w:tblGrid>
      <w:tr w:rsidR="00BE4582" w14:paraId="3659B9B2"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DE23D0F" w14:textId="77777777" w:rsidR="00BE4582" w:rsidRDefault="00000000">
            <w:pPr>
              <w:jc w:val="both"/>
              <w:rPr>
                <w:b/>
                <w:bCs/>
                <w:sz w:val="26"/>
                <w:szCs w:val="26"/>
              </w:rPr>
            </w:pPr>
            <w:r>
              <w:rPr>
                <w:b/>
                <w:bCs/>
                <w:sz w:val="26"/>
                <w:szCs w:val="26"/>
              </w:rPr>
              <w:t>Variables</w:t>
            </w:r>
          </w:p>
        </w:tc>
        <w:tc>
          <w:tcPr>
            <w:tcW w:w="0" w:type="auto"/>
            <w:tcBorders>
              <w:top w:val="single" w:sz="4" w:space="0" w:color="auto"/>
              <w:bottom w:val="single" w:sz="4" w:space="0" w:color="auto"/>
              <w:right w:val="single" w:sz="4" w:space="0" w:color="auto"/>
            </w:tcBorders>
            <w:vAlign w:val="center"/>
          </w:tcPr>
          <w:p w14:paraId="1B4D57B8" w14:textId="77777777" w:rsidR="00BE4582" w:rsidRDefault="00000000">
            <w:pPr>
              <w:jc w:val="both"/>
              <w:rPr>
                <w:b/>
                <w:bCs/>
                <w:sz w:val="26"/>
                <w:szCs w:val="26"/>
              </w:rPr>
            </w:pPr>
            <w:r>
              <w:rPr>
                <w:b/>
                <w:bCs/>
                <w:sz w:val="26"/>
                <w:szCs w:val="26"/>
              </w:rPr>
              <w:t>Mean</w:t>
            </w:r>
          </w:p>
        </w:tc>
        <w:tc>
          <w:tcPr>
            <w:tcW w:w="0" w:type="auto"/>
            <w:tcBorders>
              <w:top w:val="single" w:sz="4" w:space="0" w:color="auto"/>
              <w:bottom w:val="single" w:sz="4" w:space="0" w:color="auto"/>
              <w:right w:val="single" w:sz="4" w:space="0" w:color="auto"/>
            </w:tcBorders>
            <w:vAlign w:val="center"/>
          </w:tcPr>
          <w:p w14:paraId="012AFDA6" w14:textId="77777777" w:rsidR="00BE4582" w:rsidRDefault="00000000">
            <w:pPr>
              <w:jc w:val="both"/>
              <w:rPr>
                <w:b/>
                <w:bCs/>
                <w:sz w:val="26"/>
                <w:szCs w:val="26"/>
              </w:rPr>
            </w:pPr>
            <w:r>
              <w:rPr>
                <w:b/>
                <w:bCs/>
                <w:sz w:val="26"/>
                <w:szCs w:val="26"/>
              </w:rPr>
              <w:t>Std. Deviation</w:t>
            </w:r>
          </w:p>
        </w:tc>
        <w:tc>
          <w:tcPr>
            <w:tcW w:w="0" w:type="auto"/>
            <w:tcBorders>
              <w:top w:val="single" w:sz="4" w:space="0" w:color="auto"/>
              <w:bottom w:val="single" w:sz="4" w:space="0" w:color="auto"/>
              <w:right w:val="single" w:sz="4" w:space="0" w:color="auto"/>
            </w:tcBorders>
            <w:vAlign w:val="center"/>
          </w:tcPr>
          <w:p w14:paraId="69516793" w14:textId="77777777" w:rsidR="00BE4582" w:rsidRDefault="00000000">
            <w:pPr>
              <w:jc w:val="both"/>
              <w:rPr>
                <w:b/>
                <w:bCs/>
                <w:sz w:val="26"/>
                <w:szCs w:val="26"/>
              </w:rPr>
            </w:pPr>
            <w:r>
              <w:rPr>
                <w:b/>
                <w:bCs/>
                <w:sz w:val="26"/>
                <w:szCs w:val="26"/>
              </w:rPr>
              <w:t>1</w:t>
            </w:r>
          </w:p>
        </w:tc>
        <w:tc>
          <w:tcPr>
            <w:tcW w:w="0" w:type="auto"/>
            <w:tcBorders>
              <w:top w:val="single" w:sz="4" w:space="0" w:color="auto"/>
              <w:bottom w:val="single" w:sz="4" w:space="0" w:color="auto"/>
              <w:right w:val="single" w:sz="4" w:space="0" w:color="auto"/>
            </w:tcBorders>
            <w:vAlign w:val="center"/>
          </w:tcPr>
          <w:p w14:paraId="72FF5AED" w14:textId="77777777" w:rsidR="00BE4582" w:rsidRDefault="00000000">
            <w:pPr>
              <w:jc w:val="both"/>
              <w:rPr>
                <w:b/>
                <w:bCs/>
                <w:sz w:val="26"/>
                <w:szCs w:val="26"/>
              </w:rPr>
            </w:pPr>
            <w:r>
              <w:rPr>
                <w:b/>
                <w:bCs/>
                <w:sz w:val="26"/>
                <w:szCs w:val="26"/>
              </w:rPr>
              <w:t>2</w:t>
            </w:r>
          </w:p>
        </w:tc>
        <w:tc>
          <w:tcPr>
            <w:tcW w:w="0" w:type="auto"/>
            <w:tcBorders>
              <w:top w:val="single" w:sz="4" w:space="0" w:color="auto"/>
              <w:bottom w:val="single" w:sz="4" w:space="0" w:color="auto"/>
            </w:tcBorders>
            <w:vAlign w:val="center"/>
          </w:tcPr>
          <w:p w14:paraId="49502A50" w14:textId="77777777" w:rsidR="00BE4582" w:rsidRDefault="00000000">
            <w:pPr>
              <w:jc w:val="both"/>
              <w:rPr>
                <w:b/>
                <w:bCs/>
                <w:sz w:val="26"/>
                <w:szCs w:val="26"/>
              </w:rPr>
            </w:pPr>
            <w:r>
              <w:rPr>
                <w:b/>
                <w:bCs/>
                <w:sz w:val="26"/>
                <w:szCs w:val="26"/>
              </w:rPr>
              <w:t>3</w:t>
            </w:r>
          </w:p>
        </w:tc>
        <w:tc>
          <w:tcPr>
            <w:tcW w:w="698" w:type="dxa"/>
            <w:tcBorders>
              <w:top w:val="single" w:sz="4" w:space="0" w:color="auto"/>
              <w:left w:val="single" w:sz="4" w:space="0" w:color="auto"/>
              <w:bottom w:val="single" w:sz="4" w:space="0" w:color="auto"/>
              <w:right w:val="single" w:sz="4" w:space="0" w:color="auto"/>
            </w:tcBorders>
            <w:vAlign w:val="center"/>
          </w:tcPr>
          <w:p w14:paraId="23740E6A" w14:textId="77777777" w:rsidR="00BE4582" w:rsidRDefault="00000000">
            <w:pPr>
              <w:jc w:val="both"/>
              <w:rPr>
                <w:b/>
                <w:bCs/>
                <w:sz w:val="26"/>
                <w:szCs w:val="26"/>
              </w:rPr>
            </w:pPr>
            <w:r>
              <w:rPr>
                <w:b/>
                <w:bCs/>
                <w:sz w:val="26"/>
                <w:szCs w:val="26"/>
              </w:rPr>
              <w:t>4</w:t>
            </w:r>
          </w:p>
        </w:tc>
      </w:tr>
      <w:tr w:rsidR="00BE4582" w14:paraId="6CD73CCD" w14:textId="77777777">
        <w:trPr>
          <w:tblCellSpacing w:w="15" w:type="dxa"/>
        </w:trPr>
        <w:tc>
          <w:tcPr>
            <w:tcW w:w="0" w:type="auto"/>
            <w:tcBorders>
              <w:left w:val="single" w:sz="4" w:space="0" w:color="auto"/>
              <w:bottom w:val="single" w:sz="4" w:space="0" w:color="auto"/>
              <w:right w:val="single" w:sz="4" w:space="0" w:color="auto"/>
            </w:tcBorders>
            <w:vAlign w:val="center"/>
          </w:tcPr>
          <w:p w14:paraId="2B35BC8E" w14:textId="77777777" w:rsidR="00BE4582" w:rsidRDefault="00000000">
            <w:pPr>
              <w:jc w:val="both"/>
              <w:rPr>
                <w:sz w:val="26"/>
                <w:szCs w:val="26"/>
              </w:rPr>
            </w:pPr>
            <w:r>
              <w:rPr>
                <w:sz w:val="26"/>
                <w:szCs w:val="26"/>
              </w:rPr>
              <w:t>1. Audit Independence</w:t>
            </w:r>
          </w:p>
        </w:tc>
        <w:tc>
          <w:tcPr>
            <w:tcW w:w="0" w:type="auto"/>
            <w:tcBorders>
              <w:bottom w:val="single" w:sz="4" w:space="0" w:color="auto"/>
              <w:right w:val="single" w:sz="4" w:space="0" w:color="auto"/>
            </w:tcBorders>
            <w:vAlign w:val="center"/>
          </w:tcPr>
          <w:p w14:paraId="478F53B9" w14:textId="77777777" w:rsidR="00BE4582" w:rsidRDefault="00000000">
            <w:pPr>
              <w:jc w:val="both"/>
              <w:rPr>
                <w:sz w:val="26"/>
                <w:szCs w:val="26"/>
              </w:rPr>
            </w:pPr>
            <w:r>
              <w:rPr>
                <w:sz w:val="26"/>
                <w:szCs w:val="26"/>
              </w:rPr>
              <w:t>21.25</w:t>
            </w:r>
          </w:p>
        </w:tc>
        <w:tc>
          <w:tcPr>
            <w:tcW w:w="0" w:type="auto"/>
            <w:tcBorders>
              <w:bottom w:val="single" w:sz="4" w:space="0" w:color="auto"/>
              <w:right w:val="single" w:sz="4" w:space="0" w:color="auto"/>
            </w:tcBorders>
            <w:vAlign w:val="center"/>
          </w:tcPr>
          <w:p w14:paraId="608BCCA0" w14:textId="77777777" w:rsidR="00BE4582" w:rsidRDefault="00000000">
            <w:pPr>
              <w:jc w:val="both"/>
              <w:rPr>
                <w:sz w:val="26"/>
                <w:szCs w:val="26"/>
              </w:rPr>
            </w:pPr>
            <w:r>
              <w:rPr>
                <w:sz w:val="26"/>
                <w:szCs w:val="26"/>
              </w:rPr>
              <w:t>3.05</w:t>
            </w:r>
          </w:p>
        </w:tc>
        <w:tc>
          <w:tcPr>
            <w:tcW w:w="0" w:type="auto"/>
            <w:tcBorders>
              <w:bottom w:val="single" w:sz="4" w:space="0" w:color="auto"/>
              <w:right w:val="single" w:sz="4" w:space="0" w:color="auto"/>
            </w:tcBorders>
            <w:vAlign w:val="center"/>
          </w:tcPr>
          <w:p w14:paraId="6E360FF5" w14:textId="77777777" w:rsidR="00BE4582" w:rsidRDefault="00000000">
            <w:pPr>
              <w:jc w:val="both"/>
              <w:rPr>
                <w:sz w:val="26"/>
                <w:szCs w:val="26"/>
              </w:rPr>
            </w:pPr>
            <w:r>
              <w:rPr>
                <w:sz w:val="26"/>
                <w:szCs w:val="26"/>
              </w:rPr>
              <w:t>1</w:t>
            </w:r>
          </w:p>
        </w:tc>
        <w:tc>
          <w:tcPr>
            <w:tcW w:w="0" w:type="auto"/>
            <w:tcBorders>
              <w:bottom w:val="single" w:sz="4" w:space="0" w:color="auto"/>
              <w:right w:val="single" w:sz="4" w:space="0" w:color="auto"/>
            </w:tcBorders>
            <w:vAlign w:val="center"/>
          </w:tcPr>
          <w:p w14:paraId="2B0F112F" w14:textId="77777777" w:rsidR="00BE4582" w:rsidRDefault="00BE4582">
            <w:pPr>
              <w:jc w:val="both"/>
              <w:rPr>
                <w:sz w:val="26"/>
                <w:szCs w:val="26"/>
              </w:rPr>
            </w:pPr>
          </w:p>
        </w:tc>
        <w:tc>
          <w:tcPr>
            <w:tcW w:w="0" w:type="auto"/>
            <w:tcBorders>
              <w:bottom w:val="single" w:sz="4" w:space="0" w:color="auto"/>
            </w:tcBorders>
            <w:vAlign w:val="center"/>
          </w:tcPr>
          <w:p w14:paraId="7C12F031" w14:textId="77777777" w:rsidR="00BE4582" w:rsidRDefault="00BE4582">
            <w:pPr>
              <w:jc w:val="both"/>
              <w:rPr>
                <w:sz w:val="26"/>
                <w:szCs w:val="26"/>
              </w:rPr>
            </w:pPr>
          </w:p>
        </w:tc>
        <w:tc>
          <w:tcPr>
            <w:tcW w:w="698" w:type="dxa"/>
            <w:tcBorders>
              <w:left w:val="single" w:sz="4" w:space="0" w:color="auto"/>
              <w:bottom w:val="single" w:sz="4" w:space="0" w:color="auto"/>
              <w:right w:val="single" w:sz="4" w:space="0" w:color="auto"/>
            </w:tcBorders>
            <w:vAlign w:val="center"/>
          </w:tcPr>
          <w:p w14:paraId="7D9589DF" w14:textId="77777777" w:rsidR="00BE4582" w:rsidRDefault="00BE4582">
            <w:pPr>
              <w:jc w:val="both"/>
              <w:rPr>
                <w:sz w:val="26"/>
                <w:szCs w:val="26"/>
              </w:rPr>
            </w:pPr>
          </w:p>
        </w:tc>
      </w:tr>
      <w:tr w:rsidR="00BE4582" w14:paraId="24950A55" w14:textId="77777777">
        <w:trPr>
          <w:tblCellSpacing w:w="15" w:type="dxa"/>
        </w:trPr>
        <w:tc>
          <w:tcPr>
            <w:tcW w:w="0" w:type="auto"/>
            <w:tcBorders>
              <w:left w:val="single" w:sz="4" w:space="0" w:color="auto"/>
              <w:right w:val="single" w:sz="4" w:space="0" w:color="auto"/>
            </w:tcBorders>
            <w:vAlign w:val="center"/>
          </w:tcPr>
          <w:p w14:paraId="18446A01" w14:textId="77777777" w:rsidR="00BE4582" w:rsidRDefault="00000000">
            <w:pPr>
              <w:jc w:val="both"/>
              <w:rPr>
                <w:sz w:val="26"/>
                <w:szCs w:val="26"/>
              </w:rPr>
            </w:pPr>
            <w:r>
              <w:rPr>
                <w:sz w:val="26"/>
                <w:szCs w:val="26"/>
              </w:rPr>
              <w:lastRenderedPageBreak/>
              <w:t>2. Audit Competence</w:t>
            </w:r>
          </w:p>
        </w:tc>
        <w:tc>
          <w:tcPr>
            <w:tcW w:w="0" w:type="auto"/>
            <w:tcBorders>
              <w:right w:val="single" w:sz="4" w:space="0" w:color="auto"/>
            </w:tcBorders>
            <w:vAlign w:val="center"/>
          </w:tcPr>
          <w:p w14:paraId="13A360A3" w14:textId="77777777" w:rsidR="00BE4582" w:rsidRDefault="00000000">
            <w:pPr>
              <w:jc w:val="both"/>
              <w:rPr>
                <w:sz w:val="26"/>
                <w:szCs w:val="26"/>
              </w:rPr>
            </w:pPr>
            <w:r>
              <w:rPr>
                <w:sz w:val="26"/>
                <w:szCs w:val="26"/>
              </w:rPr>
              <w:t>21.67</w:t>
            </w:r>
          </w:p>
        </w:tc>
        <w:tc>
          <w:tcPr>
            <w:tcW w:w="0" w:type="auto"/>
            <w:tcBorders>
              <w:right w:val="single" w:sz="4" w:space="0" w:color="auto"/>
            </w:tcBorders>
            <w:vAlign w:val="center"/>
          </w:tcPr>
          <w:p w14:paraId="7DBF107F" w14:textId="77777777" w:rsidR="00BE4582" w:rsidRDefault="00000000">
            <w:pPr>
              <w:jc w:val="both"/>
              <w:rPr>
                <w:sz w:val="26"/>
                <w:szCs w:val="26"/>
              </w:rPr>
            </w:pPr>
            <w:r>
              <w:rPr>
                <w:sz w:val="26"/>
                <w:szCs w:val="26"/>
              </w:rPr>
              <w:t>2.85</w:t>
            </w:r>
          </w:p>
        </w:tc>
        <w:tc>
          <w:tcPr>
            <w:tcW w:w="0" w:type="auto"/>
            <w:tcBorders>
              <w:right w:val="single" w:sz="4" w:space="0" w:color="auto"/>
            </w:tcBorders>
            <w:vAlign w:val="center"/>
          </w:tcPr>
          <w:p w14:paraId="25E8DCB0" w14:textId="77777777" w:rsidR="00BE4582" w:rsidRDefault="00000000">
            <w:pPr>
              <w:jc w:val="both"/>
              <w:rPr>
                <w:sz w:val="26"/>
                <w:szCs w:val="26"/>
              </w:rPr>
            </w:pPr>
            <w:r>
              <w:rPr>
                <w:sz w:val="26"/>
                <w:szCs w:val="26"/>
              </w:rPr>
              <w:t>0.178</w:t>
            </w:r>
          </w:p>
        </w:tc>
        <w:tc>
          <w:tcPr>
            <w:tcW w:w="0" w:type="auto"/>
            <w:tcBorders>
              <w:right w:val="single" w:sz="4" w:space="0" w:color="auto"/>
            </w:tcBorders>
            <w:vAlign w:val="center"/>
          </w:tcPr>
          <w:p w14:paraId="71670BD9" w14:textId="77777777" w:rsidR="00BE4582" w:rsidRDefault="00000000">
            <w:pPr>
              <w:jc w:val="both"/>
              <w:rPr>
                <w:sz w:val="26"/>
                <w:szCs w:val="26"/>
              </w:rPr>
            </w:pPr>
            <w:r>
              <w:rPr>
                <w:sz w:val="26"/>
                <w:szCs w:val="26"/>
              </w:rPr>
              <w:t>1</w:t>
            </w:r>
          </w:p>
        </w:tc>
        <w:tc>
          <w:tcPr>
            <w:tcW w:w="0" w:type="auto"/>
            <w:vAlign w:val="center"/>
          </w:tcPr>
          <w:p w14:paraId="193E81B7" w14:textId="77777777" w:rsidR="00BE4582" w:rsidRDefault="00BE4582">
            <w:pPr>
              <w:jc w:val="both"/>
              <w:rPr>
                <w:sz w:val="26"/>
                <w:szCs w:val="26"/>
              </w:rPr>
            </w:pPr>
          </w:p>
        </w:tc>
        <w:tc>
          <w:tcPr>
            <w:tcW w:w="698" w:type="dxa"/>
            <w:tcBorders>
              <w:left w:val="single" w:sz="4" w:space="0" w:color="auto"/>
              <w:right w:val="single" w:sz="4" w:space="0" w:color="auto"/>
            </w:tcBorders>
            <w:vAlign w:val="center"/>
          </w:tcPr>
          <w:p w14:paraId="0E0302F4" w14:textId="77777777" w:rsidR="00BE4582" w:rsidRDefault="00BE4582">
            <w:pPr>
              <w:jc w:val="both"/>
              <w:rPr>
                <w:sz w:val="26"/>
                <w:szCs w:val="26"/>
              </w:rPr>
            </w:pPr>
          </w:p>
        </w:tc>
      </w:tr>
      <w:tr w:rsidR="00BE4582" w14:paraId="2A5D0DB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4BA217E" w14:textId="77777777" w:rsidR="00BE4582" w:rsidRDefault="00000000">
            <w:pPr>
              <w:jc w:val="both"/>
              <w:rPr>
                <w:sz w:val="26"/>
                <w:szCs w:val="26"/>
              </w:rPr>
            </w:pPr>
            <w:r>
              <w:rPr>
                <w:sz w:val="26"/>
                <w:szCs w:val="26"/>
              </w:rPr>
              <w:t>3. Audit Fee</w:t>
            </w:r>
          </w:p>
        </w:tc>
        <w:tc>
          <w:tcPr>
            <w:tcW w:w="0" w:type="auto"/>
            <w:tcBorders>
              <w:top w:val="single" w:sz="4" w:space="0" w:color="auto"/>
              <w:bottom w:val="single" w:sz="4" w:space="0" w:color="auto"/>
              <w:right w:val="single" w:sz="4" w:space="0" w:color="auto"/>
            </w:tcBorders>
            <w:vAlign w:val="center"/>
          </w:tcPr>
          <w:p w14:paraId="73A3A49B" w14:textId="77777777" w:rsidR="00BE4582" w:rsidRDefault="00000000">
            <w:pPr>
              <w:jc w:val="both"/>
              <w:rPr>
                <w:sz w:val="26"/>
                <w:szCs w:val="26"/>
              </w:rPr>
            </w:pPr>
            <w:r>
              <w:rPr>
                <w:sz w:val="26"/>
                <w:szCs w:val="26"/>
              </w:rPr>
              <w:t>23.33</w:t>
            </w:r>
          </w:p>
        </w:tc>
        <w:tc>
          <w:tcPr>
            <w:tcW w:w="0" w:type="auto"/>
            <w:tcBorders>
              <w:top w:val="single" w:sz="4" w:space="0" w:color="auto"/>
              <w:bottom w:val="single" w:sz="4" w:space="0" w:color="auto"/>
              <w:right w:val="single" w:sz="4" w:space="0" w:color="auto"/>
            </w:tcBorders>
            <w:vAlign w:val="center"/>
          </w:tcPr>
          <w:p w14:paraId="67EEB33C" w14:textId="77777777" w:rsidR="00BE4582" w:rsidRDefault="00000000">
            <w:pPr>
              <w:jc w:val="both"/>
              <w:rPr>
                <w:sz w:val="26"/>
                <w:szCs w:val="26"/>
              </w:rPr>
            </w:pPr>
            <w:r>
              <w:rPr>
                <w:sz w:val="26"/>
                <w:szCs w:val="26"/>
              </w:rPr>
              <w:t>1.56</w:t>
            </w:r>
          </w:p>
        </w:tc>
        <w:tc>
          <w:tcPr>
            <w:tcW w:w="0" w:type="auto"/>
            <w:tcBorders>
              <w:top w:val="single" w:sz="4" w:space="0" w:color="auto"/>
              <w:bottom w:val="single" w:sz="4" w:space="0" w:color="auto"/>
              <w:right w:val="single" w:sz="4" w:space="0" w:color="auto"/>
            </w:tcBorders>
            <w:vAlign w:val="center"/>
          </w:tcPr>
          <w:p w14:paraId="4B5EF869" w14:textId="77777777" w:rsidR="00BE4582" w:rsidRDefault="00000000">
            <w:pPr>
              <w:jc w:val="both"/>
              <w:rPr>
                <w:sz w:val="26"/>
                <w:szCs w:val="26"/>
              </w:rPr>
            </w:pPr>
            <w:r>
              <w:rPr>
                <w:sz w:val="26"/>
                <w:szCs w:val="26"/>
              </w:rPr>
              <w:t>0.233*</w:t>
            </w:r>
          </w:p>
        </w:tc>
        <w:tc>
          <w:tcPr>
            <w:tcW w:w="0" w:type="auto"/>
            <w:tcBorders>
              <w:top w:val="single" w:sz="4" w:space="0" w:color="auto"/>
              <w:bottom w:val="single" w:sz="4" w:space="0" w:color="auto"/>
              <w:right w:val="single" w:sz="4" w:space="0" w:color="auto"/>
            </w:tcBorders>
            <w:vAlign w:val="center"/>
          </w:tcPr>
          <w:p w14:paraId="156CB867" w14:textId="77777777" w:rsidR="00BE4582" w:rsidRDefault="00000000">
            <w:pPr>
              <w:jc w:val="both"/>
              <w:rPr>
                <w:sz w:val="26"/>
                <w:szCs w:val="26"/>
              </w:rPr>
            </w:pPr>
            <w:r>
              <w:rPr>
                <w:sz w:val="26"/>
                <w:szCs w:val="26"/>
              </w:rPr>
              <w:t>0.238**</w:t>
            </w:r>
          </w:p>
        </w:tc>
        <w:tc>
          <w:tcPr>
            <w:tcW w:w="0" w:type="auto"/>
            <w:tcBorders>
              <w:top w:val="single" w:sz="4" w:space="0" w:color="auto"/>
              <w:bottom w:val="single" w:sz="4" w:space="0" w:color="auto"/>
            </w:tcBorders>
            <w:vAlign w:val="center"/>
          </w:tcPr>
          <w:p w14:paraId="06EAFC3F" w14:textId="77777777" w:rsidR="00BE4582" w:rsidRDefault="00000000">
            <w:pPr>
              <w:jc w:val="both"/>
              <w:rPr>
                <w:sz w:val="26"/>
                <w:szCs w:val="26"/>
              </w:rPr>
            </w:pPr>
            <w:r>
              <w:rPr>
                <w:sz w:val="26"/>
                <w:szCs w:val="26"/>
              </w:rPr>
              <w:t>1</w:t>
            </w:r>
          </w:p>
        </w:tc>
        <w:tc>
          <w:tcPr>
            <w:tcW w:w="698" w:type="dxa"/>
            <w:tcBorders>
              <w:top w:val="single" w:sz="4" w:space="0" w:color="auto"/>
              <w:left w:val="single" w:sz="4" w:space="0" w:color="auto"/>
              <w:bottom w:val="single" w:sz="4" w:space="0" w:color="auto"/>
              <w:right w:val="single" w:sz="4" w:space="0" w:color="auto"/>
            </w:tcBorders>
            <w:vAlign w:val="center"/>
          </w:tcPr>
          <w:p w14:paraId="7FDBB288" w14:textId="77777777" w:rsidR="00BE4582" w:rsidRDefault="00BE4582">
            <w:pPr>
              <w:jc w:val="both"/>
              <w:rPr>
                <w:sz w:val="26"/>
                <w:szCs w:val="26"/>
              </w:rPr>
            </w:pPr>
          </w:p>
        </w:tc>
      </w:tr>
      <w:tr w:rsidR="00BE4582" w14:paraId="76CF80DE" w14:textId="77777777">
        <w:trPr>
          <w:tblCellSpacing w:w="15" w:type="dxa"/>
        </w:trPr>
        <w:tc>
          <w:tcPr>
            <w:tcW w:w="0" w:type="auto"/>
            <w:tcBorders>
              <w:left w:val="single" w:sz="4" w:space="0" w:color="auto"/>
              <w:bottom w:val="single" w:sz="4" w:space="0" w:color="auto"/>
              <w:right w:val="single" w:sz="4" w:space="0" w:color="auto"/>
            </w:tcBorders>
            <w:vAlign w:val="center"/>
          </w:tcPr>
          <w:p w14:paraId="4EE3ADCC" w14:textId="77777777" w:rsidR="00BE4582" w:rsidRDefault="00000000">
            <w:pPr>
              <w:jc w:val="both"/>
              <w:rPr>
                <w:sz w:val="26"/>
                <w:szCs w:val="26"/>
              </w:rPr>
            </w:pPr>
            <w:r>
              <w:rPr>
                <w:sz w:val="26"/>
                <w:szCs w:val="26"/>
              </w:rPr>
              <w:t>4. Firm Value</w:t>
            </w:r>
          </w:p>
        </w:tc>
        <w:tc>
          <w:tcPr>
            <w:tcW w:w="0" w:type="auto"/>
            <w:tcBorders>
              <w:bottom w:val="single" w:sz="4" w:space="0" w:color="auto"/>
              <w:right w:val="single" w:sz="4" w:space="0" w:color="auto"/>
            </w:tcBorders>
            <w:vAlign w:val="center"/>
          </w:tcPr>
          <w:p w14:paraId="0F8F4B2C" w14:textId="77777777" w:rsidR="00BE4582" w:rsidRDefault="00000000">
            <w:pPr>
              <w:jc w:val="both"/>
              <w:rPr>
                <w:sz w:val="26"/>
                <w:szCs w:val="26"/>
              </w:rPr>
            </w:pPr>
            <w:r>
              <w:rPr>
                <w:sz w:val="26"/>
                <w:szCs w:val="26"/>
              </w:rPr>
              <w:t>22.08</w:t>
            </w:r>
          </w:p>
        </w:tc>
        <w:tc>
          <w:tcPr>
            <w:tcW w:w="0" w:type="auto"/>
            <w:tcBorders>
              <w:bottom w:val="single" w:sz="4" w:space="0" w:color="auto"/>
              <w:right w:val="single" w:sz="4" w:space="0" w:color="auto"/>
            </w:tcBorders>
            <w:vAlign w:val="center"/>
          </w:tcPr>
          <w:p w14:paraId="07438538" w14:textId="77777777" w:rsidR="00BE4582" w:rsidRDefault="00000000">
            <w:pPr>
              <w:jc w:val="both"/>
              <w:rPr>
                <w:sz w:val="26"/>
                <w:szCs w:val="26"/>
              </w:rPr>
            </w:pPr>
            <w:r>
              <w:rPr>
                <w:sz w:val="26"/>
                <w:szCs w:val="26"/>
              </w:rPr>
              <w:t>2.74</w:t>
            </w:r>
          </w:p>
        </w:tc>
        <w:tc>
          <w:tcPr>
            <w:tcW w:w="0" w:type="auto"/>
            <w:tcBorders>
              <w:bottom w:val="single" w:sz="4" w:space="0" w:color="auto"/>
              <w:right w:val="single" w:sz="4" w:space="0" w:color="auto"/>
            </w:tcBorders>
            <w:vAlign w:val="center"/>
          </w:tcPr>
          <w:p w14:paraId="445A6B98" w14:textId="77777777" w:rsidR="00BE4582" w:rsidRDefault="00000000">
            <w:pPr>
              <w:jc w:val="both"/>
              <w:rPr>
                <w:sz w:val="26"/>
                <w:szCs w:val="26"/>
              </w:rPr>
            </w:pPr>
            <w:r>
              <w:rPr>
                <w:sz w:val="26"/>
                <w:szCs w:val="26"/>
              </w:rPr>
              <w:t>0.448**</w:t>
            </w:r>
          </w:p>
        </w:tc>
        <w:tc>
          <w:tcPr>
            <w:tcW w:w="0" w:type="auto"/>
            <w:tcBorders>
              <w:bottom w:val="single" w:sz="4" w:space="0" w:color="auto"/>
              <w:right w:val="single" w:sz="4" w:space="0" w:color="auto"/>
            </w:tcBorders>
            <w:vAlign w:val="center"/>
          </w:tcPr>
          <w:p w14:paraId="5BDE6D2D" w14:textId="77777777" w:rsidR="00BE4582" w:rsidRDefault="00000000">
            <w:pPr>
              <w:jc w:val="both"/>
              <w:rPr>
                <w:sz w:val="26"/>
                <w:szCs w:val="26"/>
              </w:rPr>
            </w:pPr>
            <w:r>
              <w:rPr>
                <w:sz w:val="26"/>
                <w:szCs w:val="26"/>
              </w:rPr>
              <w:t>0.264**</w:t>
            </w:r>
          </w:p>
        </w:tc>
        <w:tc>
          <w:tcPr>
            <w:tcW w:w="0" w:type="auto"/>
            <w:tcBorders>
              <w:bottom w:val="single" w:sz="4" w:space="0" w:color="auto"/>
            </w:tcBorders>
            <w:vAlign w:val="center"/>
          </w:tcPr>
          <w:p w14:paraId="7F0F31B5" w14:textId="77777777" w:rsidR="00BE4582" w:rsidRDefault="00000000">
            <w:pPr>
              <w:jc w:val="both"/>
              <w:rPr>
                <w:sz w:val="26"/>
                <w:szCs w:val="26"/>
              </w:rPr>
            </w:pPr>
            <w:r>
              <w:rPr>
                <w:sz w:val="26"/>
                <w:szCs w:val="26"/>
              </w:rPr>
              <w:t>0.424**</w:t>
            </w:r>
          </w:p>
        </w:tc>
        <w:tc>
          <w:tcPr>
            <w:tcW w:w="698" w:type="dxa"/>
            <w:tcBorders>
              <w:left w:val="single" w:sz="4" w:space="0" w:color="auto"/>
              <w:bottom w:val="single" w:sz="4" w:space="0" w:color="auto"/>
              <w:right w:val="single" w:sz="4" w:space="0" w:color="auto"/>
            </w:tcBorders>
            <w:vAlign w:val="center"/>
          </w:tcPr>
          <w:p w14:paraId="04F2EF35" w14:textId="77777777" w:rsidR="00BE4582" w:rsidRDefault="00000000">
            <w:pPr>
              <w:jc w:val="both"/>
              <w:rPr>
                <w:sz w:val="26"/>
                <w:szCs w:val="26"/>
              </w:rPr>
            </w:pPr>
            <w:r>
              <w:rPr>
                <w:sz w:val="26"/>
                <w:szCs w:val="26"/>
              </w:rPr>
              <w:t>1</w:t>
            </w:r>
          </w:p>
        </w:tc>
      </w:tr>
    </w:tbl>
    <w:p w14:paraId="118FC2D5" w14:textId="77777777" w:rsidR="00BE4582" w:rsidRDefault="00000000">
      <w:pPr>
        <w:jc w:val="both"/>
        <w:rPr>
          <w:b/>
          <w:bCs/>
          <w:sz w:val="26"/>
          <w:szCs w:val="26"/>
          <w:highlight w:val="yellow"/>
        </w:rPr>
      </w:pPr>
      <w:r>
        <w:rPr>
          <w:rFonts w:eastAsia="SimSun" w:cs="Times New Roman"/>
          <w:sz w:val="28"/>
          <w:szCs w:val="28"/>
          <w:highlight w:val="yellow"/>
          <w:lang w:eastAsia="zh-CN"/>
        </w:rPr>
        <w:t>* p &lt; 0.05, ** p &lt; 0.01 (two-tailed)</w:t>
      </w:r>
    </w:p>
    <w:p w14:paraId="5332145C" w14:textId="77777777" w:rsidR="00BE4582" w:rsidRDefault="00000000">
      <w:pPr>
        <w:jc w:val="both"/>
        <w:rPr>
          <w:sz w:val="26"/>
          <w:szCs w:val="26"/>
        </w:rPr>
      </w:pPr>
      <w:r>
        <w:rPr>
          <w:b/>
          <w:bCs/>
          <w:sz w:val="26"/>
          <w:szCs w:val="26"/>
        </w:rPr>
        <w:t>Source:</w:t>
      </w:r>
      <w:r>
        <w:rPr>
          <w:sz w:val="26"/>
          <w:szCs w:val="26"/>
        </w:rPr>
        <w:t xml:space="preserve"> Field Survey, 2021</w:t>
      </w:r>
    </w:p>
    <w:p w14:paraId="4343E2FD" w14:textId="77777777" w:rsidR="00BE4582" w:rsidRDefault="00000000">
      <w:pPr>
        <w:jc w:val="both"/>
        <w:rPr>
          <w:sz w:val="26"/>
          <w:szCs w:val="26"/>
        </w:rPr>
      </w:pPr>
      <w:r>
        <w:rPr>
          <w:sz w:val="26"/>
          <w:szCs w:val="26"/>
        </w:rPr>
        <w:t>They found that audit independence was positively related to firm value (r = 0.448, p = 0.01), audit competence (r = 0.178, p = 0.05), and audit fee (r = 0.233, p = 0.05). Audit competence had a strong positive relationship with firm value (r = 0.264, p &lt; 0.01) and audit fee (r = 0.238, p &lt; 0.01). Audit fee had positive correlation with firm value (r = 0.424, p = 0.01).</w:t>
      </w:r>
    </w:p>
    <w:p w14:paraId="1E67EE63" w14:textId="77777777" w:rsidR="00BE4582" w:rsidRDefault="00000000">
      <w:pPr>
        <w:jc w:val="both"/>
        <w:rPr>
          <w:b/>
          <w:bCs/>
          <w:sz w:val="26"/>
          <w:szCs w:val="26"/>
        </w:rPr>
      </w:pPr>
      <w:r>
        <w:rPr>
          <w:b/>
          <w:bCs/>
          <w:sz w:val="26"/>
          <w:szCs w:val="26"/>
        </w:rPr>
        <w:t>4.3 Regression Analysis</w:t>
      </w:r>
    </w:p>
    <w:p w14:paraId="143103B7" w14:textId="77777777" w:rsidR="00BE4582" w:rsidRDefault="00000000">
      <w:pPr>
        <w:jc w:val="both"/>
        <w:rPr>
          <w:sz w:val="26"/>
          <w:szCs w:val="26"/>
        </w:rPr>
      </w:pPr>
      <w:r>
        <w:rPr>
          <w:sz w:val="26"/>
          <w:szCs w:val="26"/>
        </w:rPr>
        <w:t>Table 3 shows the results of regression analysis of dimensions on audit quality and firm value.</w:t>
      </w:r>
    </w:p>
    <w:p w14:paraId="37683C5A" w14:textId="77777777" w:rsidR="00BE4582" w:rsidRDefault="00000000">
      <w:pPr>
        <w:jc w:val="both"/>
        <w:rPr>
          <w:sz w:val="26"/>
          <w:szCs w:val="26"/>
        </w:rPr>
      </w:pPr>
      <w:r>
        <w:rPr>
          <w:b/>
          <w:bCs/>
          <w:sz w:val="26"/>
          <w:szCs w:val="26"/>
        </w:rPr>
        <w:t>Table 3: Regression Analysis of Audit Quality and Firm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7"/>
        <w:gridCol w:w="2642"/>
        <w:gridCol w:w="932"/>
        <w:gridCol w:w="2355"/>
        <w:gridCol w:w="716"/>
        <w:gridCol w:w="678"/>
      </w:tblGrid>
      <w:tr w:rsidR="00BE4582" w14:paraId="6260ACB5" w14:textId="77777777">
        <w:trPr>
          <w:tblHeader/>
          <w:tblCellSpacing w:w="15" w:type="dxa"/>
        </w:trPr>
        <w:tc>
          <w:tcPr>
            <w:tcW w:w="0" w:type="auto"/>
            <w:tcBorders>
              <w:top w:val="single" w:sz="4" w:space="0" w:color="auto"/>
              <w:left w:val="single" w:sz="4" w:space="0" w:color="auto"/>
              <w:right w:val="single" w:sz="4" w:space="0" w:color="auto"/>
            </w:tcBorders>
            <w:vAlign w:val="center"/>
          </w:tcPr>
          <w:p w14:paraId="34E01D5E" w14:textId="77777777" w:rsidR="00BE4582" w:rsidRDefault="00000000">
            <w:pPr>
              <w:jc w:val="both"/>
              <w:rPr>
                <w:b/>
                <w:bCs/>
                <w:sz w:val="26"/>
                <w:szCs w:val="26"/>
              </w:rPr>
            </w:pPr>
            <w:r>
              <w:rPr>
                <w:b/>
                <w:bCs/>
                <w:sz w:val="26"/>
                <w:szCs w:val="26"/>
              </w:rPr>
              <w:t>Model</w:t>
            </w:r>
          </w:p>
        </w:tc>
        <w:tc>
          <w:tcPr>
            <w:tcW w:w="0" w:type="auto"/>
            <w:tcBorders>
              <w:top w:val="single" w:sz="4" w:space="0" w:color="auto"/>
              <w:right w:val="single" w:sz="4" w:space="0" w:color="auto"/>
            </w:tcBorders>
            <w:vAlign w:val="center"/>
          </w:tcPr>
          <w:p w14:paraId="14D35C5E" w14:textId="77777777" w:rsidR="00BE4582" w:rsidRDefault="00000000">
            <w:pPr>
              <w:jc w:val="both"/>
              <w:rPr>
                <w:b/>
                <w:bCs/>
                <w:sz w:val="26"/>
                <w:szCs w:val="26"/>
              </w:rPr>
            </w:pPr>
            <w:r>
              <w:rPr>
                <w:b/>
                <w:bCs/>
                <w:sz w:val="26"/>
                <w:szCs w:val="26"/>
              </w:rPr>
              <w:t>Unstandardized Coefficients</w:t>
            </w:r>
          </w:p>
        </w:tc>
        <w:tc>
          <w:tcPr>
            <w:tcW w:w="0" w:type="auto"/>
            <w:tcBorders>
              <w:top w:val="single" w:sz="4" w:space="0" w:color="auto"/>
              <w:right w:val="single" w:sz="4" w:space="0" w:color="auto"/>
            </w:tcBorders>
            <w:vAlign w:val="center"/>
          </w:tcPr>
          <w:p w14:paraId="0B8B44FD" w14:textId="77777777" w:rsidR="00BE4582" w:rsidRDefault="00BE4582">
            <w:pPr>
              <w:jc w:val="both"/>
              <w:rPr>
                <w:b/>
                <w:bCs/>
                <w:sz w:val="26"/>
                <w:szCs w:val="26"/>
              </w:rPr>
            </w:pPr>
          </w:p>
        </w:tc>
        <w:tc>
          <w:tcPr>
            <w:tcW w:w="0" w:type="auto"/>
            <w:tcBorders>
              <w:top w:val="single" w:sz="4" w:space="0" w:color="auto"/>
              <w:right w:val="single" w:sz="4" w:space="0" w:color="auto"/>
            </w:tcBorders>
            <w:vAlign w:val="center"/>
          </w:tcPr>
          <w:p w14:paraId="78E25248" w14:textId="77777777" w:rsidR="00BE4582" w:rsidRDefault="00000000">
            <w:pPr>
              <w:jc w:val="both"/>
              <w:rPr>
                <w:b/>
                <w:bCs/>
                <w:sz w:val="26"/>
                <w:szCs w:val="26"/>
              </w:rPr>
            </w:pPr>
            <w:r>
              <w:rPr>
                <w:b/>
                <w:bCs/>
                <w:sz w:val="26"/>
                <w:szCs w:val="26"/>
              </w:rPr>
              <w:t>Standardized Coefficients</w:t>
            </w:r>
          </w:p>
        </w:tc>
        <w:tc>
          <w:tcPr>
            <w:tcW w:w="0" w:type="auto"/>
            <w:tcBorders>
              <w:top w:val="single" w:sz="4" w:space="0" w:color="auto"/>
              <w:right w:val="single" w:sz="4" w:space="0" w:color="auto"/>
            </w:tcBorders>
            <w:vAlign w:val="center"/>
          </w:tcPr>
          <w:p w14:paraId="1D7B9316" w14:textId="77777777" w:rsidR="00BE4582" w:rsidRDefault="00000000">
            <w:pPr>
              <w:jc w:val="both"/>
              <w:rPr>
                <w:b/>
                <w:bCs/>
                <w:sz w:val="26"/>
                <w:szCs w:val="26"/>
              </w:rPr>
            </w:pPr>
            <w:r>
              <w:rPr>
                <w:b/>
                <w:bCs/>
                <w:sz w:val="26"/>
                <w:szCs w:val="26"/>
              </w:rPr>
              <w:t>t</w:t>
            </w:r>
          </w:p>
        </w:tc>
        <w:tc>
          <w:tcPr>
            <w:tcW w:w="0" w:type="auto"/>
            <w:tcBorders>
              <w:top w:val="single" w:sz="4" w:space="0" w:color="auto"/>
              <w:right w:val="single" w:sz="4" w:space="0" w:color="auto"/>
            </w:tcBorders>
            <w:vAlign w:val="center"/>
          </w:tcPr>
          <w:p w14:paraId="28C68172" w14:textId="77777777" w:rsidR="00BE4582" w:rsidRDefault="00000000">
            <w:pPr>
              <w:jc w:val="both"/>
              <w:rPr>
                <w:b/>
                <w:bCs/>
                <w:sz w:val="26"/>
                <w:szCs w:val="26"/>
              </w:rPr>
            </w:pPr>
            <w:r>
              <w:rPr>
                <w:b/>
                <w:bCs/>
                <w:sz w:val="26"/>
                <w:szCs w:val="26"/>
              </w:rPr>
              <w:t>Sig.</w:t>
            </w:r>
          </w:p>
        </w:tc>
      </w:tr>
      <w:tr w:rsidR="00BE4582" w14:paraId="63A19D1C" w14:textId="77777777">
        <w:trPr>
          <w:tblCellSpacing w:w="15" w:type="dxa"/>
        </w:trPr>
        <w:tc>
          <w:tcPr>
            <w:tcW w:w="0" w:type="auto"/>
            <w:tcBorders>
              <w:top w:val="single" w:sz="4" w:space="0" w:color="auto"/>
              <w:left w:val="single" w:sz="4" w:space="0" w:color="auto"/>
              <w:right w:val="single" w:sz="4" w:space="0" w:color="auto"/>
            </w:tcBorders>
            <w:vAlign w:val="center"/>
          </w:tcPr>
          <w:p w14:paraId="31CE81BC" w14:textId="77777777" w:rsidR="00BE4582" w:rsidRDefault="00BE4582">
            <w:pPr>
              <w:jc w:val="both"/>
              <w:rPr>
                <w:b/>
                <w:bCs/>
                <w:sz w:val="26"/>
                <w:szCs w:val="26"/>
              </w:rPr>
            </w:pPr>
          </w:p>
        </w:tc>
        <w:tc>
          <w:tcPr>
            <w:tcW w:w="0" w:type="auto"/>
            <w:tcBorders>
              <w:top w:val="single" w:sz="4" w:space="0" w:color="auto"/>
              <w:right w:val="single" w:sz="4" w:space="0" w:color="auto"/>
            </w:tcBorders>
            <w:vAlign w:val="center"/>
          </w:tcPr>
          <w:p w14:paraId="5A53C4F0" w14:textId="77777777" w:rsidR="00BE4582" w:rsidRDefault="00000000">
            <w:pPr>
              <w:jc w:val="both"/>
              <w:rPr>
                <w:sz w:val="26"/>
                <w:szCs w:val="26"/>
              </w:rPr>
            </w:pPr>
            <w:r>
              <w:rPr>
                <w:sz w:val="26"/>
                <w:szCs w:val="26"/>
              </w:rPr>
              <w:t>B</w:t>
            </w:r>
          </w:p>
        </w:tc>
        <w:tc>
          <w:tcPr>
            <w:tcW w:w="0" w:type="auto"/>
            <w:tcBorders>
              <w:top w:val="single" w:sz="4" w:space="0" w:color="auto"/>
              <w:right w:val="single" w:sz="4" w:space="0" w:color="auto"/>
            </w:tcBorders>
            <w:vAlign w:val="center"/>
          </w:tcPr>
          <w:p w14:paraId="5AB71B81" w14:textId="77777777" w:rsidR="00BE4582" w:rsidRDefault="00000000">
            <w:pPr>
              <w:jc w:val="both"/>
              <w:rPr>
                <w:sz w:val="26"/>
                <w:szCs w:val="26"/>
              </w:rPr>
            </w:pPr>
            <w:r>
              <w:rPr>
                <w:sz w:val="26"/>
                <w:szCs w:val="26"/>
              </w:rPr>
              <w:t>Std. Error</w:t>
            </w:r>
          </w:p>
        </w:tc>
        <w:tc>
          <w:tcPr>
            <w:tcW w:w="0" w:type="auto"/>
            <w:tcBorders>
              <w:top w:val="single" w:sz="4" w:space="0" w:color="auto"/>
              <w:right w:val="single" w:sz="4" w:space="0" w:color="auto"/>
            </w:tcBorders>
            <w:vAlign w:val="center"/>
          </w:tcPr>
          <w:p w14:paraId="3DA7086B" w14:textId="77777777" w:rsidR="00BE4582" w:rsidRDefault="00000000">
            <w:pPr>
              <w:jc w:val="both"/>
              <w:rPr>
                <w:sz w:val="26"/>
                <w:szCs w:val="26"/>
              </w:rPr>
            </w:pPr>
            <w:r>
              <w:rPr>
                <w:sz w:val="26"/>
                <w:szCs w:val="26"/>
              </w:rPr>
              <w:t>Beta</w:t>
            </w:r>
          </w:p>
        </w:tc>
        <w:tc>
          <w:tcPr>
            <w:tcW w:w="0" w:type="auto"/>
            <w:tcBorders>
              <w:top w:val="single" w:sz="4" w:space="0" w:color="auto"/>
              <w:right w:val="single" w:sz="4" w:space="0" w:color="auto"/>
            </w:tcBorders>
            <w:vAlign w:val="center"/>
          </w:tcPr>
          <w:p w14:paraId="4BFAC192" w14:textId="77777777" w:rsidR="00BE4582" w:rsidRDefault="00BE4582">
            <w:pPr>
              <w:jc w:val="both"/>
              <w:rPr>
                <w:sz w:val="26"/>
                <w:szCs w:val="26"/>
              </w:rPr>
            </w:pPr>
          </w:p>
        </w:tc>
        <w:tc>
          <w:tcPr>
            <w:tcW w:w="0" w:type="auto"/>
            <w:tcBorders>
              <w:top w:val="single" w:sz="4" w:space="0" w:color="auto"/>
              <w:right w:val="single" w:sz="4" w:space="0" w:color="auto"/>
            </w:tcBorders>
            <w:vAlign w:val="center"/>
          </w:tcPr>
          <w:p w14:paraId="6DE0C990" w14:textId="77777777" w:rsidR="00BE4582" w:rsidRDefault="00BE4582">
            <w:pPr>
              <w:jc w:val="both"/>
              <w:rPr>
                <w:sz w:val="26"/>
                <w:szCs w:val="26"/>
              </w:rPr>
            </w:pPr>
          </w:p>
        </w:tc>
      </w:tr>
      <w:tr w:rsidR="00BE4582" w14:paraId="5896ADB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A15287E" w14:textId="77777777" w:rsidR="00BE4582" w:rsidRDefault="00000000">
            <w:pPr>
              <w:jc w:val="both"/>
              <w:rPr>
                <w:sz w:val="26"/>
                <w:szCs w:val="26"/>
              </w:rPr>
            </w:pPr>
            <w:r>
              <w:rPr>
                <w:sz w:val="26"/>
                <w:szCs w:val="26"/>
              </w:rPr>
              <w:t>(Constant)</w:t>
            </w:r>
          </w:p>
        </w:tc>
        <w:tc>
          <w:tcPr>
            <w:tcW w:w="0" w:type="auto"/>
            <w:tcBorders>
              <w:top w:val="single" w:sz="4" w:space="0" w:color="auto"/>
              <w:bottom w:val="single" w:sz="4" w:space="0" w:color="auto"/>
              <w:right w:val="single" w:sz="4" w:space="0" w:color="auto"/>
            </w:tcBorders>
            <w:vAlign w:val="center"/>
          </w:tcPr>
          <w:p w14:paraId="28BF4424" w14:textId="77777777" w:rsidR="00BE4582" w:rsidRDefault="00000000">
            <w:pPr>
              <w:jc w:val="both"/>
              <w:rPr>
                <w:sz w:val="26"/>
                <w:szCs w:val="26"/>
              </w:rPr>
            </w:pPr>
            <w:r>
              <w:rPr>
                <w:sz w:val="26"/>
                <w:szCs w:val="26"/>
              </w:rPr>
              <w:t>-0.026</w:t>
            </w:r>
          </w:p>
        </w:tc>
        <w:tc>
          <w:tcPr>
            <w:tcW w:w="0" w:type="auto"/>
            <w:tcBorders>
              <w:top w:val="single" w:sz="4" w:space="0" w:color="auto"/>
              <w:bottom w:val="single" w:sz="4" w:space="0" w:color="auto"/>
              <w:right w:val="single" w:sz="4" w:space="0" w:color="auto"/>
            </w:tcBorders>
            <w:vAlign w:val="center"/>
          </w:tcPr>
          <w:p w14:paraId="4CA5CECD" w14:textId="77777777" w:rsidR="00BE4582" w:rsidRDefault="00000000">
            <w:pPr>
              <w:jc w:val="both"/>
              <w:rPr>
                <w:sz w:val="26"/>
                <w:szCs w:val="26"/>
              </w:rPr>
            </w:pPr>
            <w:r>
              <w:rPr>
                <w:sz w:val="26"/>
                <w:szCs w:val="26"/>
              </w:rPr>
              <w:t>3.314</w:t>
            </w:r>
          </w:p>
        </w:tc>
        <w:tc>
          <w:tcPr>
            <w:tcW w:w="0" w:type="auto"/>
            <w:tcBorders>
              <w:top w:val="single" w:sz="4" w:space="0" w:color="auto"/>
              <w:bottom w:val="single" w:sz="4" w:space="0" w:color="auto"/>
              <w:right w:val="single" w:sz="4" w:space="0" w:color="auto"/>
            </w:tcBorders>
            <w:vAlign w:val="center"/>
          </w:tcPr>
          <w:p w14:paraId="0FFB7162" w14:textId="77777777" w:rsidR="00BE4582" w:rsidRDefault="00BE4582">
            <w:pPr>
              <w:jc w:val="both"/>
              <w:rPr>
                <w:sz w:val="26"/>
                <w:szCs w:val="26"/>
              </w:rPr>
            </w:pPr>
          </w:p>
        </w:tc>
        <w:tc>
          <w:tcPr>
            <w:tcW w:w="0" w:type="auto"/>
            <w:tcBorders>
              <w:top w:val="single" w:sz="4" w:space="0" w:color="auto"/>
              <w:bottom w:val="single" w:sz="4" w:space="0" w:color="auto"/>
              <w:right w:val="single" w:sz="4" w:space="0" w:color="auto"/>
            </w:tcBorders>
            <w:vAlign w:val="center"/>
          </w:tcPr>
          <w:p w14:paraId="3C396716" w14:textId="77777777" w:rsidR="00BE4582" w:rsidRDefault="00000000">
            <w:pPr>
              <w:jc w:val="both"/>
              <w:rPr>
                <w:sz w:val="26"/>
                <w:szCs w:val="26"/>
              </w:rPr>
            </w:pPr>
            <w:r>
              <w:rPr>
                <w:sz w:val="26"/>
                <w:szCs w:val="26"/>
              </w:rPr>
              <w:t>-0.008</w:t>
            </w:r>
          </w:p>
        </w:tc>
        <w:tc>
          <w:tcPr>
            <w:tcW w:w="0" w:type="auto"/>
            <w:tcBorders>
              <w:top w:val="single" w:sz="4" w:space="0" w:color="auto"/>
              <w:bottom w:val="single" w:sz="4" w:space="0" w:color="auto"/>
              <w:right w:val="single" w:sz="4" w:space="0" w:color="auto"/>
            </w:tcBorders>
            <w:vAlign w:val="center"/>
          </w:tcPr>
          <w:p w14:paraId="01349076" w14:textId="77777777" w:rsidR="00BE4582" w:rsidRDefault="00000000">
            <w:pPr>
              <w:jc w:val="both"/>
              <w:rPr>
                <w:sz w:val="26"/>
                <w:szCs w:val="26"/>
              </w:rPr>
            </w:pPr>
            <w:r>
              <w:rPr>
                <w:sz w:val="26"/>
                <w:szCs w:val="26"/>
              </w:rPr>
              <w:t>0.994</w:t>
            </w:r>
          </w:p>
        </w:tc>
      </w:tr>
      <w:tr w:rsidR="00BE4582" w14:paraId="7AA81213" w14:textId="77777777">
        <w:trPr>
          <w:tblCellSpacing w:w="15" w:type="dxa"/>
        </w:trPr>
        <w:tc>
          <w:tcPr>
            <w:tcW w:w="0" w:type="auto"/>
            <w:tcBorders>
              <w:left w:val="single" w:sz="4" w:space="0" w:color="auto"/>
              <w:right w:val="single" w:sz="4" w:space="0" w:color="auto"/>
            </w:tcBorders>
            <w:vAlign w:val="center"/>
          </w:tcPr>
          <w:p w14:paraId="279273A9" w14:textId="77777777" w:rsidR="00BE4582" w:rsidRDefault="00000000">
            <w:pPr>
              <w:jc w:val="both"/>
              <w:rPr>
                <w:sz w:val="26"/>
                <w:szCs w:val="26"/>
              </w:rPr>
            </w:pPr>
            <w:r>
              <w:rPr>
                <w:sz w:val="26"/>
                <w:szCs w:val="26"/>
              </w:rPr>
              <w:t>Audit Independence</w:t>
            </w:r>
          </w:p>
        </w:tc>
        <w:tc>
          <w:tcPr>
            <w:tcW w:w="0" w:type="auto"/>
            <w:tcBorders>
              <w:right w:val="single" w:sz="4" w:space="0" w:color="auto"/>
            </w:tcBorders>
            <w:vAlign w:val="center"/>
          </w:tcPr>
          <w:p w14:paraId="386BF236" w14:textId="77777777" w:rsidR="00BE4582" w:rsidRDefault="00000000">
            <w:pPr>
              <w:jc w:val="both"/>
              <w:rPr>
                <w:sz w:val="26"/>
                <w:szCs w:val="26"/>
              </w:rPr>
            </w:pPr>
            <w:r>
              <w:rPr>
                <w:sz w:val="26"/>
                <w:szCs w:val="26"/>
              </w:rPr>
              <w:t>0.316</w:t>
            </w:r>
          </w:p>
        </w:tc>
        <w:tc>
          <w:tcPr>
            <w:tcW w:w="0" w:type="auto"/>
            <w:tcBorders>
              <w:right w:val="single" w:sz="4" w:space="0" w:color="auto"/>
            </w:tcBorders>
            <w:vAlign w:val="center"/>
          </w:tcPr>
          <w:p w14:paraId="2037D6F6" w14:textId="77777777" w:rsidR="00BE4582" w:rsidRDefault="00000000">
            <w:pPr>
              <w:jc w:val="both"/>
              <w:rPr>
                <w:sz w:val="26"/>
                <w:szCs w:val="26"/>
              </w:rPr>
            </w:pPr>
            <w:r>
              <w:rPr>
                <w:sz w:val="26"/>
                <w:szCs w:val="26"/>
              </w:rPr>
              <w:t>0.071</w:t>
            </w:r>
          </w:p>
        </w:tc>
        <w:tc>
          <w:tcPr>
            <w:tcW w:w="0" w:type="auto"/>
            <w:tcBorders>
              <w:right w:val="single" w:sz="4" w:space="0" w:color="auto"/>
            </w:tcBorders>
            <w:vAlign w:val="center"/>
          </w:tcPr>
          <w:p w14:paraId="193E70F0" w14:textId="77777777" w:rsidR="00BE4582" w:rsidRDefault="00000000">
            <w:pPr>
              <w:jc w:val="both"/>
              <w:rPr>
                <w:sz w:val="26"/>
                <w:szCs w:val="26"/>
              </w:rPr>
            </w:pPr>
            <w:r>
              <w:rPr>
                <w:sz w:val="26"/>
                <w:szCs w:val="26"/>
              </w:rPr>
              <w:t>0.353</w:t>
            </w:r>
          </w:p>
        </w:tc>
        <w:tc>
          <w:tcPr>
            <w:tcW w:w="0" w:type="auto"/>
            <w:tcBorders>
              <w:right w:val="single" w:sz="4" w:space="0" w:color="auto"/>
            </w:tcBorders>
            <w:vAlign w:val="center"/>
          </w:tcPr>
          <w:p w14:paraId="0B7F6B4D" w14:textId="77777777" w:rsidR="00BE4582" w:rsidRDefault="00000000">
            <w:pPr>
              <w:jc w:val="both"/>
              <w:rPr>
                <w:sz w:val="26"/>
                <w:szCs w:val="26"/>
              </w:rPr>
            </w:pPr>
            <w:r>
              <w:rPr>
                <w:sz w:val="26"/>
                <w:szCs w:val="26"/>
              </w:rPr>
              <w:t>4.451</w:t>
            </w:r>
          </w:p>
        </w:tc>
        <w:tc>
          <w:tcPr>
            <w:tcW w:w="0" w:type="auto"/>
            <w:tcBorders>
              <w:right w:val="single" w:sz="4" w:space="0" w:color="auto"/>
            </w:tcBorders>
            <w:vAlign w:val="center"/>
          </w:tcPr>
          <w:p w14:paraId="324420B8" w14:textId="77777777" w:rsidR="00BE4582" w:rsidRDefault="00000000">
            <w:pPr>
              <w:jc w:val="both"/>
              <w:rPr>
                <w:sz w:val="26"/>
                <w:szCs w:val="26"/>
              </w:rPr>
            </w:pPr>
            <w:r>
              <w:rPr>
                <w:sz w:val="26"/>
                <w:szCs w:val="26"/>
              </w:rPr>
              <w:t>0.000</w:t>
            </w:r>
          </w:p>
        </w:tc>
      </w:tr>
      <w:tr w:rsidR="00BE4582" w14:paraId="5158610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CCA5DF0" w14:textId="77777777" w:rsidR="00BE4582" w:rsidRDefault="00000000">
            <w:pPr>
              <w:jc w:val="both"/>
              <w:rPr>
                <w:sz w:val="26"/>
                <w:szCs w:val="26"/>
              </w:rPr>
            </w:pPr>
            <w:r>
              <w:rPr>
                <w:sz w:val="26"/>
                <w:szCs w:val="26"/>
              </w:rPr>
              <w:t>Audit Competence</w:t>
            </w:r>
          </w:p>
        </w:tc>
        <w:tc>
          <w:tcPr>
            <w:tcW w:w="0" w:type="auto"/>
            <w:tcBorders>
              <w:top w:val="single" w:sz="4" w:space="0" w:color="auto"/>
              <w:bottom w:val="single" w:sz="4" w:space="0" w:color="auto"/>
              <w:right w:val="single" w:sz="4" w:space="0" w:color="auto"/>
            </w:tcBorders>
            <w:vAlign w:val="center"/>
          </w:tcPr>
          <w:p w14:paraId="1A827D8E" w14:textId="77777777" w:rsidR="00BE4582" w:rsidRDefault="00000000">
            <w:pPr>
              <w:jc w:val="both"/>
              <w:rPr>
                <w:sz w:val="26"/>
                <w:szCs w:val="26"/>
              </w:rPr>
            </w:pPr>
            <w:r>
              <w:rPr>
                <w:sz w:val="26"/>
                <w:szCs w:val="26"/>
              </w:rPr>
              <w:t>0.122</w:t>
            </w:r>
          </w:p>
        </w:tc>
        <w:tc>
          <w:tcPr>
            <w:tcW w:w="0" w:type="auto"/>
            <w:tcBorders>
              <w:top w:val="single" w:sz="4" w:space="0" w:color="auto"/>
              <w:bottom w:val="single" w:sz="4" w:space="0" w:color="auto"/>
              <w:right w:val="single" w:sz="4" w:space="0" w:color="auto"/>
            </w:tcBorders>
            <w:vAlign w:val="center"/>
          </w:tcPr>
          <w:p w14:paraId="1B17815C" w14:textId="77777777" w:rsidR="00BE4582" w:rsidRDefault="00000000">
            <w:pPr>
              <w:jc w:val="both"/>
              <w:rPr>
                <w:sz w:val="26"/>
                <w:szCs w:val="26"/>
              </w:rPr>
            </w:pPr>
            <w:r>
              <w:rPr>
                <w:sz w:val="26"/>
                <w:szCs w:val="26"/>
              </w:rPr>
              <w:t>0.076</w:t>
            </w:r>
          </w:p>
        </w:tc>
        <w:tc>
          <w:tcPr>
            <w:tcW w:w="0" w:type="auto"/>
            <w:tcBorders>
              <w:top w:val="single" w:sz="4" w:space="0" w:color="auto"/>
              <w:bottom w:val="single" w:sz="4" w:space="0" w:color="auto"/>
              <w:right w:val="single" w:sz="4" w:space="0" w:color="auto"/>
            </w:tcBorders>
            <w:vAlign w:val="center"/>
          </w:tcPr>
          <w:p w14:paraId="6FCA78EA" w14:textId="77777777" w:rsidR="00BE4582" w:rsidRDefault="00000000">
            <w:pPr>
              <w:jc w:val="both"/>
              <w:rPr>
                <w:sz w:val="26"/>
                <w:szCs w:val="26"/>
              </w:rPr>
            </w:pPr>
            <w:r>
              <w:rPr>
                <w:sz w:val="26"/>
                <w:szCs w:val="26"/>
              </w:rPr>
              <w:t>0.127</w:t>
            </w:r>
          </w:p>
        </w:tc>
        <w:tc>
          <w:tcPr>
            <w:tcW w:w="0" w:type="auto"/>
            <w:tcBorders>
              <w:top w:val="single" w:sz="4" w:space="0" w:color="auto"/>
              <w:bottom w:val="single" w:sz="4" w:space="0" w:color="auto"/>
              <w:right w:val="single" w:sz="4" w:space="0" w:color="auto"/>
            </w:tcBorders>
            <w:vAlign w:val="center"/>
          </w:tcPr>
          <w:p w14:paraId="458DA8B0" w14:textId="77777777" w:rsidR="00BE4582" w:rsidRDefault="00000000">
            <w:pPr>
              <w:jc w:val="both"/>
              <w:rPr>
                <w:sz w:val="26"/>
                <w:szCs w:val="26"/>
              </w:rPr>
            </w:pPr>
            <w:r>
              <w:rPr>
                <w:sz w:val="26"/>
                <w:szCs w:val="26"/>
              </w:rPr>
              <w:t>1.606</w:t>
            </w:r>
          </w:p>
        </w:tc>
        <w:tc>
          <w:tcPr>
            <w:tcW w:w="0" w:type="auto"/>
            <w:tcBorders>
              <w:top w:val="single" w:sz="4" w:space="0" w:color="auto"/>
              <w:bottom w:val="single" w:sz="4" w:space="0" w:color="auto"/>
              <w:right w:val="single" w:sz="4" w:space="0" w:color="auto"/>
            </w:tcBorders>
            <w:vAlign w:val="center"/>
          </w:tcPr>
          <w:p w14:paraId="668D2F31" w14:textId="77777777" w:rsidR="00BE4582" w:rsidRDefault="00000000">
            <w:pPr>
              <w:jc w:val="both"/>
              <w:rPr>
                <w:sz w:val="26"/>
                <w:szCs w:val="26"/>
              </w:rPr>
            </w:pPr>
            <w:r>
              <w:rPr>
                <w:sz w:val="26"/>
                <w:szCs w:val="26"/>
              </w:rPr>
              <w:t>0.111</w:t>
            </w:r>
          </w:p>
        </w:tc>
      </w:tr>
      <w:tr w:rsidR="00BE4582" w14:paraId="79916CB6" w14:textId="77777777">
        <w:trPr>
          <w:tblCellSpacing w:w="15" w:type="dxa"/>
        </w:trPr>
        <w:tc>
          <w:tcPr>
            <w:tcW w:w="0" w:type="auto"/>
            <w:tcBorders>
              <w:left w:val="single" w:sz="4" w:space="0" w:color="auto"/>
              <w:bottom w:val="single" w:sz="4" w:space="0" w:color="auto"/>
              <w:right w:val="single" w:sz="4" w:space="0" w:color="auto"/>
            </w:tcBorders>
            <w:vAlign w:val="center"/>
          </w:tcPr>
          <w:p w14:paraId="468F883C" w14:textId="77777777" w:rsidR="00BE4582" w:rsidRDefault="00000000">
            <w:pPr>
              <w:jc w:val="both"/>
              <w:rPr>
                <w:sz w:val="26"/>
                <w:szCs w:val="26"/>
              </w:rPr>
            </w:pPr>
            <w:r>
              <w:rPr>
                <w:sz w:val="26"/>
                <w:szCs w:val="26"/>
              </w:rPr>
              <w:t>Audit Fee</w:t>
            </w:r>
          </w:p>
        </w:tc>
        <w:tc>
          <w:tcPr>
            <w:tcW w:w="0" w:type="auto"/>
            <w:tcBorders>
              <w:bottom w:val="single" w:sz="4" w:space="0" w:color="auto"/>
              <w:right w:val="single" w:sz="4" w:space="0" w:color="auto"/>
            </w:tcBorders>
            <w:vAlign w:val="center"/>
          </w:tcPr>
          <w:p w14:paraId="0B6A4A34" w14:textId="77777777" w:rsidR="00BE4582" w:rsidRDefault="00000000">
            <w:pPr>
              <w:jc w:val="both"/>
              <w:rPr>
                <w:sz w:val="26"/>
                <w:szCs w:val="26"/>
              </w:rPr>
            </w:pPr>
            <w:r>
              <w:rPr>
                <w:sz w:val="26"/>
                <w:szCs w:val="26"/>
              </w:rPr>
              <w:t>0.546</w:t>
            </w:r>
          </w:p>
        </w:tc>
        <w:tc>
          <w:tcPr>
            <w:tcW w:w="0" w:type="auto"/>
            <w:tcBorders>
              <w:bottom w:val="single" w:sz="4" w:space="0" w:color="auto"/>
              <w:right w:val="single" w:sz="4" w:space="0" w:color="auto"/>
            </w:tcBorders>
            <w:vAlign w:val="center"/>
          </w:tcPr>
          <w:p w14:paraId="07AD6FA8" w14:textId="77777777" w:rsidR="00BE4582" w:rsidRDefault="00000000">
            <w:pPr>
              <w:jc w:val="both"/>
              <w:rPr>
                <w:sz w:val="26"/>
                <w:szCs w:val="26"/>
              </w:rPr>
            </w:pPr>
            <w:r>
              <w:rPr>
                <w:sz w:val="26"/>
                <w:szCs w:val="26"/>
              </w:rPr>
              <w:t>0.141</w:t>
            </w:r>
          </w:p>
        </w:tc>
        <w:tc>
          <w:tcPr>
            <w:tcW w:w="0" w:type="auto"/>
            <w:tcBorders>
              <w:bottom w:val="single" w:sz="4" w:space="0" w:color="auto"/>
              <w:right w:val="single" w:sz="4" w:space="0" w:color="auto"/>
            </w:tcBorders>
            <w:vAlign w:val="center"/>
          </w:tcPr>
          <w:p w14:paraId="23A12D71" w14:textId="77777777" w:rsidR="00BE4582" w:rsidRDefault="00000000">
            <w:pPr>
              <w:jc w:val="both"/>
              <w:rPr>
                <w:sz w:val="26"/>
                <w:szCs w:val="26"/>
              </w:rPr>
            </w:pPr>
            <w:r>
              <w:rPr>
                <w:sz w:val="26"/>
                <w:szCs w:val="26"/>
              </w:rPr>
              <w:t>0.311</w:t>
            </w:r>
          </w:p>
        </w:tc>
        <w:tc>
          <w:tcPr>
            <w:tcW w:w="0" w:type="auto"/>
            <w:tcBorders>
              <w:bottom w:val="single" w:sz="4" w:space="0" w:color="auto"/>
              <w:right w:val="single" w:sz="4" w:space="0" w:color="auto"/>
            </w:tcBorders>
            <w:vAlign w:val="center"/>
          </w:tcPr>
          <w:p w14:paraId="7958FE5F" w14:textId="77777777" w:rsidR="00BE4582" w:rsidRDefault="00000000">
            <w:pPr>
              <w:jc w:val="both"/>
              <w:rPr>
                <w:sz w:val="26"/>
                <w:szCs w:val="26"/>
              </w:rPr>
            </w:pPr>
            <w:r>
              <w:rPr>
                <w:sz w:val="26"/>
                <w:szCs w:val="26"/>
              </w:rPr>
              <w:t>3.878</w:t>
            </w:r>
          </w:p>
        </w:tc>
        <w:tc>
          <w:tcPr>
            <w:tcW w:w="0" w:type="auto"/>
            <w:tcBorders>
              <w:bottom w:val="single" w:sz="4" w:space="0" w:color="auto"/>
              <w:right w:val="single" w:sz="4" w:space="0" w:color="auto"/>
            </w:tcBorders>
            <w:vAlign w:val="center"/>
          </w:tcPr>
          <w:p w14:paraId="662376CC" w14:textId="77777777" w:rsidR="00BE4582" w:rsidRDefault="00000000">
            <w:pPr>
              <w:jc w:val="both"/>
              <w:rPr>
                <w:sz w:val="26"/>
                <w:szCs w:val="26"/>
              </w:rPr>
            </w:pPr>
            <w:r>
              <w:rPr>
                <w:sz w:val="26"/>
                <w:szCs w:val="26"/>
              </w:rPr>
              <w:t>0.000</w:t>
            </w:r>
          </w:p>
        </w:tc>
      </w:tr>
    </w:tbl>
    <w:p w14:paraId="5B0484F1" w14:textId="77777777" w:rsidR="00BE4582" w:rsidRDefault="00000000">
      <w:pPr>
        <w:jc w:val="both"/>
        <w:rPr>
          <w:sz w:val="26"/>
          <w:szCs w:val="26"/>
        </w:rPr>
      </w:pPr>
      <w:r>
        <w:rPr>
          <w:sz w:val="26"/>
          <w:szCs w:val="26"/>
        </w:rPr>
        <w:lastRenderedPageBreak/>
        <w:t>Dependent Variable: Firm Value</w:t>
      </w:r>
    </w:p>
    <w:p w14:paraId="576CF115" w14:textId="77777777" w:rsidR="00BE4582" w:rsidRDefault="00000000">
      <w:pPr>
        <w:jc w:val="both"/>
        <w:rPr>
          <w:sz w:val="26"/>
          <w:szCs w:val="26"/>
        </w:rPr>
      </w:pPr>
      <w:r>
        <w:rPr>
          <w:sz w:val="26"/>
          <w:szCs w:val="26"/>
        </w:rPr>
        <w:t>Source: Field Survey, 2021</w:t>
      </w:r>
    </w:p>
    <w:p w14:paraId="0969A32D" w14:textId="77777777" w:rsidR="00BE4582" w:rsidRDefault="00000000">
      <w:pPr>
        <w:jc w:val="both"/>
        <w:rPr>
          <w:sz w:val="26"/>
          <w:szCs w:val="26"/>
        </w:rPr>
      </w:pPr>
      <w:r>
        <w:rPr>
          <w:sz w:val="26"/>
          <w:szCs w:val="26"/>
        </w:rPr>
        <w:t>Findings had a positive relationship between audit independence and firm value (b = 0.353, p &lt; 0.05). The competence of auditors had the least positive impact on firm value (b = 0.127, p &gt; 0.05). In the case of audit fee, a positive impact on the firm value was greater (b = 0.311, p &lt; 0.05). The prediction equation: FV = -0.026 + 0.316×AI + 0.122×AC + 0.546×AF.</w:t>
      </w:r>
    </w:p>
    <w:p w14:paraId="34A5A215" w14:textId="77777777" w:rsidR="00BE4582" w:rsidRDefault="00000000">
      <w:pPr>
        <w:jc w:val="both"/>
        <w:rPr>
          <w:b/>
          <w:bCs/>
          <w:sz w:val="26"/>
          <w:szCs w:val="26"/>
        </w:rPr>
      </w:pPr>
      <w:r>
        <w:rPr>
          <w:b/>
          <w:bCs/>
          <w:sz w:val="26"/>
          <w:szCs w:val="26"/>
        </w:rPr>
        <w:t>4.4 Analysis of Variance</w:t>
      </w:r>
    </w:p>
    <w:p w14:paraId="5147C3F6" w14:textId="77777777" w:rsidR="00BE4582" w:rsidRDefault="00000000">
      <w:pPr>
        <w:jc w:val="both"/>
        <w:rPr>
          <w:sz w:val="26"/>
          <w:szCs w:val="26"/>
        </w:rPr>
      </w:pPr>
      <w:r>
        <w:rPr>
          <w:sz w:val="26"/>
          <w:szCs w:val="26"/>
        </w:rPr>
        <w:t>Table 4 shows the results of ANOVA to test the model significance.</w:t>
      </w:r>
    </w:p>
    <w:p w14:paraId="4935A762" w14:textId="77777777" w:rsidR="00BE4582" w:rsidRDefault="00000000">
      <w:pPr>
        <w:jc w:val="both"/>
        <w:rPr>
          <w:sz w:val="26"/>
          <w:szCs w:val="26"/>
        </w:rPr>
      </w:pPr>
      <w:r>
        <w:rPr>
          <w:b/>
          <w:bCs/>
          <w:sz w:val="26"/>
          <w:szCs w:val="26"/>
        </w:rPr>
        <w:t>Table 4: Analysis of Variance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7"/>
        <w:gridCol w:w="1738"/>
        <w:gridCol w:w="466"/>
        <w:gridCol w:w="1506"/>
        <w:gridCol w:w="785"/>
        <w:gridCol w:w="688"/>
      </w:tblGrid>
      <w:tr w:rsidR="00BE4582" w14:paraId="7E4FE8A7"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A632D79" w14:textId="77777777" w:rsidR="00BE4582" w:rsidRDefault="00000000">
            <w:pPr>
              <w:jc w:val="both"/>
              <w:rPr>
                <w:b/>
                <w:bCs/>
                <w:sz w:val="26"/>
                <w:szCs w:val="26"/>
              </w:rPr>
            </w:pPr>
            <w:r>
              <w:rPr>
                <w:b/>
                <w:bCs/>
                <w:sz w:val="26"/>
                <w:szCs w:val="26"/>
              </w:rPr>
              <w:t>Model</w:t>
            </w:r>
          </w:p>
        </w:tc>
        <w:tc>
          <w:tcPr>
            <w:tcW w:w="0" w:type="auto"/>
            <w:tcBorders>
              <w:top w:val="single" w:sz="4" w:space="0" w:color="auto"/>
              <w:bottom w:val="single" w:sz="4" w:space="0" w:color="auto"/>
              <w:right w:val="single" w:sz="4" w:space="0" w:color="auto"/>
            </w:tcBorders>
            <w:vAlign w:val="center"/>
          </w:tcPr>
          <w:p w14:paraId="39D450C0" w14:textId="77777777" w:rsidR="00BE4582" w:rsidRDefault="00000000">
            <w:pPr>
              <w:jc w:val="both"/>
              <w:rPr>
                <w:b/>
                <w:bCs/>
                <w:sz w:val="26"/>
                <w:szCs w:val="26"/>
              </w:rPr>
            </w:pPr>
            <w:r>
              <w:rPr>
                <w:b/>
                <w:bCs/>
                <w:sz w:val="26"/>
                <w:szCs w:val="26"/>
              </w:rPr>
              <w:t>Sum of Squares</w:t>
            </w:r>
          </w:p>
        </w:tc>
        <w:tc>
          <w:tcPr>
            <w:tcW w:w="0" w:type="auto"/>
            <w:tcBorders>
              <w:top w:val="single" w:sz="4" w:space="0" w:color="auto"/>
              <w:bottom w:val="single" w:sz="4" w:space="0" w:color="auto"/>
              <w:right w:val="single" w:sz="4" w:space="0" w:color="auto"/>
            </w:tcBorders>
            <w:vAlign w:val="center"/>
          </w:tcPr>
          <w:p w14:paraId="212AAEC4" w14:textId="77777777" w:rsidR="00BE4582" w:rsidRDefault="00000000">
            <w:pPr>
              <w:jc w:val="both"/>
              <w:rPr>
                <w:b/>
                <w:bCs/>
                <w:sz w:val="26"/>
                <w:szCs w:val="26"/>
              </w:rPr>
            </w:pPr>
            <w:r>
              <w:rPr>
                <w:b/>
                <w:bCs/>
                <w:sz w:val="26"/>
                <w:szCs w:val="26"/>
              </w:rPr>
              <w:t>Df</w:t>
            </w:r>
          </w:p>
        </w:tc>
        <w:tc>
          <w:tcPr>
            <w:tcW w:w="0" w:type="auto"/>
            <w:tcBorders>
              <w:top w:val="single" w:sz="4" w:space="0" w:color="auto"/>
              <w:bottom w:val="single" w:sz="4" w:space="0" w:color="auto"/>
              <w:right w:val="single" w:sz="4" w:space="0" w:color="auto"/>
            </w:tcBorders>
            <w:vAlign w:val="center"/>
          </w:tcPr>
          <w:p w14:paraId="7D7F66F2" w14:textId="77777777" w:rsidR="00BE4582" w:rsidRDefault="00000000">
            <w:pPr>
              <w:jc w:val="both"/>
              <w:rPr>
                <w:b/>
                <w:bCs/>
                <w:sz w:val="26"/>
                <w:szCs w:val="26"/>
              </w:rPr>
            </w:pPr>
            <w:r>
              <w:rPr>
                <w:b/>
                <w:bCs/>
                <w:sz w:val="26"/>
                <w:szCs w:val="26"/>
              </w:rPr>
              <w:t>Mean Square</w:t>
            </w:r>
          </w:p>
        </w:tc>
        <w:tc>
          <w:tcPr>
            <w:tcW w:w="0" w:type="auto"/>
            <w:tcBorders>
              <w:top w:val="single" w:sz="4" w:space="0" w:color="auto"/>
              <w:bottom w:val="single" w:sz="4" w:space="0" w:color="auto"/>
            </w:tcBorders>
            <w:vAlign w:val="center"/>
          </w:tcPr>
          <w:p w14:paraId="1B9D58A3" w14:textId="77777777" w:rsidR="00BE4582" w:rsidRDefault="00000000">
            <w:pPr>
              <w:jc w:val="both"/>
              <w:rPr>
                <w:b/>
                <w:bCs/>
                <w:sz w:val="26"/>
                <w:szCs w:val="26"/>
              </w:rPr>
            </w:pPr>
            <w:r>
              <w:rPr>
                <w:b/>
                <w:bCs/>
                <w:sz w:val="26"/>
                <w:szCs w:val="26"/>
              </w:rPr>
              <w:t>F</w:t>
            </w:r>
          </w:p>
        </w:tc>
        <w:tc>
          <w:tcPr>
            <w:tcW w:w="0" w:type="auto"/>
            <w:tcBorders>
              <w:top w:val="single" w:sz="4" w:space="0" w:color="auto"/>
              <w:left w:val="single" w:sz="4" w:space="0" w:color="auto"/>
              <w:bottom w:val="single" w:sz="4" w:space="0" w:color="auto"/>
              <w:right w:val="single" w:sz="4" w:space="0" w:color="auto"/>
            </w:tcBorders>
            <w:vAlign w:val="center"/>
          </w:tcPr>
          <w:p w14:paraId="7E5E2F77" w14:textId="77777777" w:rsidR="00BE4582" w:rsidRDefault="00000000">
            <w:pPr>
              <w:jc w:val="both"/>
              <w:rPr>
                <w:b/>
                <w:bCs/>
                <w:sz w:val="26"/>
                <w:szCs w:val="26"/>
              </w:rPr>
            </w:pPr>
            <w:r>
              <w:rPr>
                <w:b/>
                <w:bCs/>
                <w:sz w:val="26"/>
                <w:szCs w:val="26"/>
              </w:rPr>
              <w:t>Sig.</w:t>
            </w:r>
          </w:p>
        </w:tc>
      </w:tr>
      <w:tr w:rsidR="00BE4582" w14:paraId="7D77497E" w14:textId="77777777">
        <w:trPr>
          <w:tblCellSpacing w:w="15" w:type="dxa"/>
        </w:trPr>
        <w:tc>
          <w:tcPr>
            <w:tcW w:w="0" w:type="auto"/>
            <w:tcBorders>
              <w:left w:val="single" w:sz="4" w:space="0" w:color="auto"/>
              <w:bottom w:val="single" w:sz="4" w:space="0" w:color="auto"/>
              <w:right w:val="single" w:sz="4" w:space="0" w:color="auto"/>
            </w:tcBorders>
            <w:vAlign w:val="center"/>
          </w:tcPr>
          <w:p w14:paraId="5A9D5BC2" w14:textId="77777777" w:rsidR="00BE4582" w:rsidRDefault="00000000">
            <w:pPr>
              <w:jc w:val="both"/>
              <w:rPr>
                <w:sz w:val="26"/>
                <w:szCs w:val="26"/>
              </w:rPr>
            </w:pPr>
            <w:r>
              <w:rPr>
                <w:sz w:val="26"/>
                <w:szCs w:val="26"/>
              </w:rPr>
              <w:t>Regression</w:t>
            </w:r>
          </w:p>
        </w:tc>
        <w:tc>
          <w:tcPr>
            <w:tcW w:w="0" w:type="auto"/>
            <w:tcBorders>
              <w:bottom w:val="single" w:sz="4" w:space="0" w:color="auto"/>
              <w:right w:val="single" w:sz="4" w:space="0" w:color="auto"/>
            </w:tcBorders>
            <w:vAlign w:val="center"/>
          </w:tcPr>
          <w:p w14:paraId="61D5FC83" w14:textId="77777777" w:rsidR="00BE4582" w:rsidRDefault="00000000">
            <w:pPr>
              <w:jc w:val="both"/>
              <w:rPr>
                <w:sz w:val="26"/>
                <w:szCs w:val="26"/>
              </w:rPr>
            </w:pPr>
            <w:r>
              <w:rPr>
                <w:sz w:val="26"/>
                <w:szCs w:val="26"/>
              </w:rPr>
              <w:t>288.779</w:t>
            </w:r>
          </w:p>
        </w:tc>
        <w:tc>
          <w:tcPr>
            <w:tcW w:w="0" w:type="auto"/>
            <w:tcBorders>
              <w:bottom w:val="single" w:sz="4" w:space="0" w:color="auto"/>
              <w:right w:val="single" w:sz="4" w:space="0" w:color="auto"/>
            </w:tcBorders>
            <w:vAlign w:val="center"/>
          </w:tcPr>
          <w:p w14:paraId="69452207" w14:textId="77777777" w:rsidR="00BE4582" w:rsidRDefault="00000000">
            <w:pPr>
              <w:jc w:val="both"/>
              <w:rPr>
                <w:sz w:val="26"/>
                <w:szCs w:val="26"/>
              </w:rPr>
            </w:pPr>
            <w:r>
              <w:rPr>
                <w:sz w:val="26"/>
                <w:szCs w:val="26"/>
              </w:rPr>
              <w:t>3</w:t>
            </w:r>
          </w:p>
        </w:tc>
        <w:tc>
          <w:tcPr>
            <w:tcW w:w="0" w:type="auto"/>
            <w:tcBorders>
              <w:bottom w:val="single" w:sz="4" w:space="0" w:color="auto"/>
              <w:right w:val="single" w:sz="4" w:space="0" w:color="auto"/>
            </w:tcBorders>
            <w:vAlign w:val="center"/>
          </w:tcPr>
          <w:p w14:paraId="1C374AB9" w14:textId="77777777" w:rsidR="00BE4582" w:rsidRDefault="00000000">
            <w:pPr>
              <w:jc w:val="both"/>
              <w:rPr>
                <w:sz w:val="26"/>
                <w:szCs w:val="26"/>
              </w:rPr>
            </w:pPr>
            <w:r>
              <w:rPr>
                <w:sz w:val="26"/>
                <w:szCs w:val="26"/>
              </w:rPr>
              <w:t>96.260</w:t>
            </w:r>
          </w:p>
        </w:tc>
        <w:tc>
          <w:tcPr>
            <w:tcW w:w="0" w:type="auto"/>
            <w:tcBorders>
              <w:bottom w:val="single" w:sz="4" w:space="0" w:color="auto"/>
            </w:tcBorders>
            <w:vAlign w:val="center"/>
          </w:tcPr>
          <w:p w14:paraId="103A6F6E" w14:textId="77777777" w:rsidR="00BE4582" w:rsidRDefault="00000000">
            <w:pPr>
              <w:jc w:val="both"/>
              <w:rPr>
                <w:sz w:val="26"/>
                <w:szCs w:val="26"/>
              </w:rPr>
            </w:pPr>
            <w:r>
              <w:rPr>
                <w:sz w:val="26"/>
                <w:szCs w:val="26"/>
              </w:rPr>
              <w:t>18.475</w:t>
            </w:r>
          </w:p>
        </w:tc>
        <w:tc>
          <w:tcPr>
            <w:tcW w:w="0" w:type="auto"/>
            <w:tcBorders>
              <w:left w:val="single" w:sz="4" w:space="0" w:color="auto"/>
              <w:bottom w:val="single" w:sz="4" w:space="0" w:color="auto"/>
              <w:right w:val="single" w:sz="4" w:space="0" w:color="auto"/>
            </w:tcBorders>
            <w:vAlign w:val="center"/>
          </w:tcPr>
          <w:p w14:paraId="2CD188BB" w14:textId="77777777" w:rsidR="00BE4582" w:rsidRDefault="00000000">
            <w:pPr>
              <w:jc w:val="both"/>
              <w:rPr>
                <w:sz w:val="26"/>
                <w:szCs w:val="26"/>
              </w:rPr>
            </w:pPr>
            <w:r>
              <w:rPr>
                <w:sz w:val="26"/>
                <w:szCs w:val="26"/>
              </w:rPr>
              <w:t>0.000</w:t>
            </w:r>
          </w:p>
        </w:tc>
      </w:tr>
      <w:tr w:rsidR="00BE4582" w14:paraId="13B3B688" w14:textId="77777777">
        <w:trPr>
          <w:tblCellSpacing w:w="15" w:type="dxa"/>
        </w:trPr>
        <w:tc>
          <w:tcPr>
            <w:tcW w:w="0" w:type="auto"/>
            <w:tcBorders>
              <w:left w:val="single" w:sz="4" w:space="0" w:color="auto"/>
              <w:right w:val="single" w:sz="4" w:space="0" w:color="auto"/>
            </w:tcBorders>
            <w:vAlign w:val="center"/>
          </w:tcPr>
          <w:p w14:paraId="644B65A0" w14:textId="77777777" w:rsidR="00BE4582" w:rsidRDefault="00000000">
            <w:pPr>
              <w:jc w:val="both"/>
              <w:rPr>
                <w:sz w:val="26"/>
                <w:szCs w:val="26"/>
              </w:rPr>
            </w:pPr>
            <w:r>
              <w:rPr>
                <w:sz w:val="26"/>
                <w:szCs w:val="26"/>
              </w:rPr>
              <w:t>Residual</w:t>
            </w:r>
          </w:p>
        </w:tc>
        <w:tc>
          <w:tcPr>
            <w:tcW w:w="0" w:type="auto"/>
            <w:tcBorders>
              <w:right w:val="single" w:sz="4" w:space="0" w:color="auto"/>
            </w:tcBorders>
            <w:vAlign w:val="center"/>
          </w:tcPr>
          <w:p w14:paraId="3B8698E5" w14:textId="77777777" w:rsidR="00BE4582" w:rsidRDefault="00000000">
            <w:pPr>
              <w:jc w:val="both"/>
              <w:rPr>
                <w:sz w:val="26"/>
                <w:szCs w:val="26"/>
              </w:rPr>
            </w:pPr>
            <w:r>
              <w:rPr>
                <w:sz w:val="26"/>
                <w:szCs w:val="26"/>
              </w:rPr>
              <w:t>604.388</w:t>
            </w:r>
          </w:p>
        </w:tc>
        <w:tc>
          <w:tcPr>
            <w:tcW w:w="0" w:type="auto"/>
            <w:tcBorders>
              <w:right w:val="single" w:sz="4" w:space="0" w:color="auto"/>
            </w:tcBorders>
            <w:vAlign w:val="center"/>
          </w:tcPr>
          <w:p w14:paraId="35A46701" w14:textId="77777777" w:rsidR="00BE4582" w:rsidRDefault="00000000">
            <w:pPr>
              <w:jc w:val="both"/>
              <w:rPr>
                <w:sz w:val="26"/>
                <w:szCs w:val="26"/>
              </w:rPr>
            </w:pPr>
            <w:r>
              <w:rPr>
                <w:sz w:val="26"/>
                <w:szCs w:val="26"/>
              </w:rPr>
              <w:t>116</w:t>
            </w:r>
          </w:p>
        </w:tc>
        <w:tc>
          <w:tcPr>
            <w:tcW w:w="0" w:type="auto"/>
            <w:tcBorders>
              <w:right w:val="single" w:sz="4" w:space="0" w:color="auto"/>
            </w:tcBorders>
            <w:vAlign w:val="center"/>
          </w:tcPr>
          <w:p w14:paraId="7F1054B8" w14:textId="77777777" w:rsidR="00BE4582" w:rsidRDefault="00000000">
            <w:pPr>
              <w:jc w:val="both"/>
              <w:rPr>
                <w:sz w:val="26"/>
                <w:szCs w:val="26"/>
              </w:rPr>
            </w:pPr>
            <w:r>
              <w:rPr>
                <w:sz w:val="26"/>
                <w:szCs w:val="26"/>
              </w:rPr>
              <w:t>5.210</w:t>
            </w:r>
          </w:p>
        </w:tc>
        <w:tc>
          <w:tcPr>
            <w:tcW w:w="0" w:type="auto"/>
            <w:vAlign w:val="center"/>
          </w:tcPr>
          <w:p w14:paraId="308F225D" w14:textId="77777777" w:rsidR="00BE4582" w:rsidRDefault="00BE4582">
            <w:pPr>
              <w:jc w:val="both"/>
              <w:rPr>
                <w:sz w:val="26"/>
                <w:szCs w:val="26"/>
              </w:rPr>
            </w:pPr>
          </w:p>
        </w:tc>
        <w:tc>
          <w:tcPr>
            <w:tcW w:w="0" w:type="auto"/>
            <w:tcBorders>
              <w:left w:val="single" w:sz="4" w:space="0" w:color="auto"/>
              <w:right w:val="single" w:sz="4" w:space="0" w:color="auto"/>
            </w:tcBorders>
            <w:vAlign w:val="center"/>
          </w:tcPr>
          <w:p w14:paraId="7E2605A6" w14:textId="77777777" w:rsidR="00BE4582" w:rsidRDefault="00BE4582">
            <w:pPr>
              <w:jc w:val="both"/>
              <w:rPr>
                <w:sz w:val="26"/>
                <w:szCs w:val="26"/>
              </w:rPr>
            </w:pPr>
          </w:p>
        </w:tc>
      </w:tr>
      <w:tr w:rsidR="00BE4582" w14:paraId="26FA4BF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06E3161" w14:textId="77777777" w:rsidR="00BE4582" w:rsidRDefault="00000000">
            <w:pPr>
              <w:jc w:val="both"/>
              <w:rPr>
                <w:sz w:val="26"/>
                <w:szCs w:val="26"/>
              </w:rPr>
            </w:pPr>
            <w:r>
              <w:rPr>
                <w:sz w:val="26"/>
                <w:szCs w:val="26"/>
              </w:rPr>
              <w:t>Total</w:t>
            </w:r>
          </w:p>
        </w:tc>
        <w:tc>
          <w:tcPr>
            <w:tcW w:w="0" w:type="auto"/>
            <w:tcBorders>
              <w:top w:val="single" w:sz="4" w:space="0" w:color="auto"/>
              <w:bottom w:val="single" w:sz="4" w:space="0" w:color="auto"/>
              <w:right w:val="single" w:sz="4" w:space="0" w:color="auto"/>
            </w:tcBorders>
            <w:vAlign w:val="center"/>
          </w:tcPr>
          <w:p w14:paraId="4E695C5C" w14:textId="77777777" w:rsidR="00BE4582" w:rsidRDefault="00000000">
            <w:pPr>
              <w:jc w:val="both"/>
              <w:rPr>
                <w:sz w:val="26"/>
                <w:szCs w:val="26"/>
              </w:rPr>
            </w:pPr>
            <w:r>
              <w:rPr>
                <w:sz w:val="26"/>
                <w:szCs w:val="26"/>
              </w:rPr>
              <w:t>893.167</w:t>
            </w:r>
          </w:p>
        </w:tc>
        <w:tc>
          <w:tcPr>
            <w:tcW w:w="0" w:type="auto"/>
            <w:tcBorders>
              <w:top w:val="single" w:sz="4" w:space="0" w:color="auto"/>
              <w:bottom w:val="single" w:sz="4" w:space="0" w:color="auto"/>
              <w:right w:val="single" w:sz="4" w:space="0" w:color="auto"/>
            </w:tcBorders>
            <w:vAlign w:val="center"/>
          </w:tcPr>
          <w:p w14:paraId="3B0914A8" w14:textId="77777777" w:rsidR="00BE4582" w:rsidRDefault="00000000">
            <w:pPr>
              <w:jc w:val="both"/>
              <w:rPr>
                <w:sz w:val="26"/>
                <w:szCs w:val="26"/>
              </w:rPr>
            </w:pPr>
            <w:r>
              <w:rPr>
                <w:sz w:val="26"/>
                <w:szCs w:val="26"/>
              </w:rPr>
              <w:t>119</w:t>
            </w:r>
          </w:p>
        </w:tc>
        <w:tc>
          <w:tcPr>
            <w:tcW w:w="0" w:type="auto"/>
            <w:tcBorders>
              <w:top w:val="single" w:sz="4" w:space="0" w:color="auto"/>
              <w:bottom w:val="single" w:sz="4" w:space="0" w:color="auto"/>
              <w:right w:val="single" w:sz="4" w:space="0" w:color="auto"/>
            </w:tcBorders>
            <w:vAlign w:val="center"/>
          </w:tcPr>
          <w:p w14:paraId="666A45B3" w14:textId="77777777" w:rsidR="00BE4582" w:rsidRDefault="00BE4582">
            <w:pPr>
              <w:jc w:val="both"/>
              <w:rPr>
                <w:sz w:val="26"/>
                <w:szCs w:val="26"/>
              </w:rPr>
            </w:pPr>
          </w:p>
        </w:tc>
        <w:tc>
          <w:tcPr>
            <w:tcW w:w="0" w:type="auto"/>
            <w:tcBorders>
              <w:top w:val="single" w:sz="4" w:space="0" w:color="auto"/>
              <w:bottom w:val="single" w:sz="4" w:space="0" w:color="auto"/>
            </w:tcBorders>
            <w:vAlign w:val="center"/>
          </w:tcPr>
          <w:p w14:paraId="1600C79C" w14:textId="77777777" w:rsidR="00BE4582" w:rsidRDefault="00BE4582">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66E82" w14:textId="77777777" w:rsidR="00BE4582" w:rsidRDefault="00BE4582">
            <w:pPr>
              <w:jc w:val="both"/>
              <w:rPr>
                <w:sz w:val="26"/>
                <w:szCs w:val="26"/>
              </w:rPr>
            </w:pPr>
          </w:p>
        </w:tc>
      </w:tr>
    </w:tbl>
    <w:p w14:paraId="6B411B4B" w14:textId="77777777" w:rsidR="00BE4582" w:rsidRDefault="00000000">
      <w:pPr>
        <w:jc w:val="both"/>
        <w:rPr>
          <w:sz w:val="26"/>
          <w:szCs w:val="26"/>
        </w:rPr>
      </w:pPr>
      <w:r>
        <w:rPr>
          <w:sz w:val="26"/>
          <w:szCs w:val="26"/>
        </w:rPr>
        <w:t>Predictors: (Constant), Audit Fee, Audit Independence, Audit Competence; Dependent Variable: Firm Value</w:t>
      </w:r>
    </w:p>
    <w:p w14:paraId="3BC100E9" w14:textId="77777777" w:rsidR="00BE4582" w:rsidRDefault="00000000">
      <w:pPr>
        <w:jc w:val="both"/>
        <w:rPr>
          <w:sz w:val="26"/>
          <w:szCs w:val="26"/>
        </w:rPr>
      </w:pPr>
      <w:r>
        <w:rPr>
          <w:sz w:val="26"/>
          <w:szCs w:val="26"/>
        </w:rPr>
        <w:t>Source: Field Survey, 2021</w:t>
      </w:r>
    </w:p>
    <w:p w14:paraId="764CBD70" w14:textId="77777777" w:rsidR="00BE4582" w:rsidRDefault="00000000">
      <w:pPr>
        <w:jc w:val="both"/>
        <w:rPr>
          <w:sz w:val="26"/>
          <w:szCs w:val="26"/>
        </w:rPr>
      </w:pPr>
      <w:r>
        <w:rPr>
          <w:sz w:val="26"/>
          <w:szCs w:val="26"/>
        </w:rPr>
        <w:t>The F-ratio test revealed that the dimensions of audit quality have a significant predictive value on firm value (F = 18.475, p &lt; 0.05) meaning that the regression model fits the data and is very significant.</w:t>
      </w:r>
    </w:p>
    <w:p w14:paraId="790C66DF" w14:textId="77777777" w:rsidR="00BE4582" w:rsidRDefault="00000000">
      <w:pPr>
        <w:jc w:val="both"/>
        <w:rPr>
          <w:b/>
          <w:bCs/>
          <w:sz w:val="26"/>
          <w:szCs w:val="26"/>
        </w:rPr>
      </w:pPr>
      <w:r>
        <w:rPr>
          <w:b/>
          <w:bCs/>
          <w:sz w:val="26"/>
          <w:szCs w:val="26"/>
        </w:rPr>
        <w:t>4.5 Model Summary</w:t>
      </w:r>
    </w:p>
    <w:p w14:paraId="6BD37C82" w14:textId="77777777" w:rsidR="00BE4582" w:rsidRDefault="00000000">
      <w:pPr>
        <w:jc w:val="both"/>
        <w:rPr>
          <w:sz w:val="26"/>
          <w:szCs w:val="26"/>
        </w:rPr>
      </w:pPr>
      <w:r>
        <w:rPr>
          <w:sz w:val="26"/>
          <w:szCs w:val="26"/>
        </w:rPr>
        <w:t>The model summary given in Table 5 indicates extent of variance explained.</w:t>
      </w:r>
    </w:p>
    <w:p w14:paraId="2B5C7F0A" w14:textId="77777777" w:rsidR="00BE4582" w:rsidRDefault="00000000">
      <w:pPr>
        <w:jc w:val="both"/>
        <w:rPr>
          <w:sz w:val="26"/>
          <w:szCs w:val="26"/>
        </w:rPr>
      </w:pPr>
      <w:r>
        <w:rPr>
          <w:b/>
          <w:bCs/>
          <w:sz w:val="26"/>
          <w:szCs w:val="26"/>
        </w:rPr>
        <w:t>Table 5: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663"/>
        <w:gridCol w:w="1026"/>
        <w:gridCol w:w="2046"/>
        <w:gridCol w:w="2379"/>
      </w:tblGrid>
      <w:tr w:rsidR="00BE4582" w14:paraId="095DD399" w14:textId="77777777">
        <w:trPr>
          <w:tblHeader/>
          <w:tblCellSpacing w:w="15" w:type="dxa"/>
        </w:trPr>
        <w:tc>
          <w:tcPr>
            <w:tcW w:w="0" w:type="auto"/>
            <w:tcBorders>
              <w:top w:val="single" w:sz="4" w:space="0" w:color="auto"/>
              <w:left w:val="single" w:sz="4" w:space="0" w:color="auto"/>
              <w:right w:val="single" w:sz="4" w:space="0" w:color="auto"/>
            </w:tcBorders>
            <w:vAlign w:val="center"/>
          </w:tcPr>
          <w:p w14:paraId="16826732" w14:textId="77777777" w:rsidR="00BE4582" w:rsidRDefault="00000000">
            <w:pPr>
              <w:jc w:val="both"/>
              <w:rPr>
                <w:b/>
                <w:bCs/>
                <w:sz w:val="26"/>
                <w:szCs w:val="26"/>
              </w:rPr>
            </w:pPr>
            <w:r>
              <w:rPr>
                <w:b/>
                <w:bCs/>
                <w:sz w:val="26"/>
                <w:szCs w:val="26"/>
              </w:rPr>
              <w:t>Model</w:t>
            </w:r>
          </w:p>
        </w:tc>
        <w:tc>
          <w:tcPr>
            <w:tcW w:w="0" w:type="auto"/>
            <w:tcBorders>
              <w:top w:val="single" w:sz="4" w:space="0" w:color="auto"/>
              <w:right w:val="single" w:sz="4" w:space="0" w:color="auto"/>
            </w:tcBorders>
            <w:vAlign w:val="center"/>
          </w:tcPr>
          <w:p w14:paraId="23BDA45C" w14:textId="77777777" w:rsidR="00BE4582" w:rsidRDefault="00000000">
            <w:pPr>
              <w:jc w:val="both"/>
              <w:rPr>
                <w:b/>
                <w:bCs/>
                <w:sz w:val="26"/>
                <w:szCs w:val="26"/>
              </w:rPr>
            </w:pPr>
            <w:r>
              <w:rPr>
                <w:b/>
                <w:bCs/>
                <w:sz w:val="26"/>
                <w:szCs w:val="26"/>
              </w:rPr>
              <w:t>R</w:t>
            </w:r>
          </w:p>
        </w:tc>
        <w:tc>
          <w:tcPr>
            <w:tcW w:w="0" w:type="auto"/>
            <w:tcBorders>
              <w:top w:val="single" w:sz="4" w:space="0" w:color="auto"/>
              <w:right w:val="single" w:sz="4" w:space="0" w:color="auto"/>
            </w:tcBorders>
            <w:vAlign w:val="center"/>
          </w:tcPr>
          <w:p w14:paraId="3D5723EE" w14:textId="77777777" w:rsidR="00BE4582" w:rsidRDefault="00000000">
            <w:pPr>
              <w:jc w:val="both"/>
              <w:rPr>
                <w:b/>
                <w:bCs/>
                <w:sz w:val="26"/>
                <w:szCs w:val="26"/>
              </w:rPr>
            </w:pPr>
            <w:r>
              <w:rPr>
                <w:b/>
                <w:bCs/>
                <w:sz w:val="26"/>
                <w:szCs w:val="26"/>
              </w:rPr>
              <w:t>R Square</w:t>
            </w:r>
          </w:p>
        </w:tc>
        <w:tc>
          <w:tcPr>
            <w:tcW w:w="0" w:type="auto"/>
            <w:tcBorders>
              <w:top w:val="single" w:sz="4" w:space="0" w:color="auto"/>
              <w:right w:val="single" w:sz="4" w:space="0" w:color="auto"/>
            </w:tcBorders>
            <w:vAlign w:val="center"/>
          </w:tcPr>
          <w:p w14:paraId="530A3860" w14:textId="77777777" w:rsidR="00BE4582" w:rsidRDefault="00000000">
            <w:pPr>
              <w:jc w:val="both"/>
              <w:rPr>
                <w:b/>
                <w:bCs/>
                <w:sz w:val="26"/>
                <w:szCs w:val="26"/>
              </w:rPr>
            </w:pPr>
            <w:r>
              <w:rPr>
                <w:b/>
                <w:bCs/>
                <w:sz w:val="26"/>
                <w:szCs w:val="26"/>
              </w:rPr>
              <w:t>Adjusted R Square</w:t>
            </w:r>
          </w:p>
        </w:tc>
        <w:tc>
          <w:tcPr>
            <w:tcW w:w="0" w:type="auto"/>
            <w:tcBorders>
              <w:top w:val="single" w:sz="4" w:space="0" w:color="auto"/>
              <w:right w:val="single" w:sz="4" w:space="0" w:color="auto"/>
            </w:tcBorders>
            <w:vAlign w:val="center"/>
          </w:tcPr>
          <w:p w14:paraId="4A21AFB0" w14:textId="77777777" w:rsidR="00BE4582" w:rsidRDefault="00000000">
            <w:pPr>
              <w:jc w:val="both"/>
              <w:rPr>
                <w:b/>
                <w:bCs/>
                <w:sz w:val="26"/>
                <w:szCs w:val="26"/>
              </w:rPr>
            </w:pPr>
            <w:r>
              <w:rPr>
                <w:b/>
                <w:bCs/>
                <w:sz w:val="26"/>
                <w:szCs w:val="26"/>
              </w:rPr>
              <w:t>Std. Error of Estimate</w:t>
            </w:r>
          </w:p>
        </w:tc>
      </w:tr>
      <w:tr w:rsidR="00BE4582" w14:paraId="042105B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F8B5432" w14:textId="77777777" w:rsidR="00BE4582" w:rsidRDefault="00000000">
            <w:pPr>
              <w:jc w:val="both"/>
              <w:rPr>
                <w:sz w:val="26"/>
                <w:szCs w:val="26"/>
              </w:rPr>
            </w:pPr>
            <w:r>
              <w:rPr>
                <w:sz w:val="26"/>
                <w:szCs w:val="26"/>
              </w:rPr>
              <w:t>1</w:t>
            </w:r>
          </w:p>
        </w:tc>
        <w:tc>
          <w:tcPr>
            <w:tcW w:w="0" w:type="auto"/>
            <w:tcBorders>
              <w:top w:val="single" w:sz="4" w:space="0" w:color="auto"/>
              <w:bottom w:val="single" w:sz="4" w:space="0" w:color="auto"/>
              <w:right w:val="single" w:sz="4" w:space="0" w:color="auto"/>
            </w:tcBorders>
            <w:vAlign w:val="center"/>
          </w:tcPr>
          <w:p w14:paraId="4F29E42B" w14:textId="77777777" w:rsidR="00BE4582" w:rsidRDefault="00000000">
            <w:pPr>
              <w:jc w:val="both"/>
              <w:rPr>
                <w:sz w:val="26"/>
                <w:szCs w:val="26"/>
              </w:rPr>
            </w:pPr>
            <w:r>
              <w:rPr>
                <w:sz w:val="26"/>
                <w:szCs w:val="26"/>
              </w:rPr>
              <w:t>0.569</w:t>
            </w:r>
          </w:p>
        </w:tc>
        <w:tc>
          <w:tcPr>
            <w:tcW w:w="0" w:type="auto"/>
            <w:tcBorders>
              <w:top w:val="single" w:sz="4" w:space="0" w:color="auto"/>
              <w:bottom w:val="single" w:sz="4" w:space="0" w:color="auto"/>
              <w:right w:val="single" w:sz="4" w:space="0" w:color="auto"/>
            </w:tcBorders>
            <w:vAlign w:val="center"/>
          </w:tcPr>
          <w:p w14:paraId="152335F1" w14:textId="77777777" w:rsidR="00BE4582" w:rsidRDefault="00000000">
            <w:pPr>
              <w:jc w:val="both"/>
              <w:rPr>
                <w:sz w:val="26"/>
                <w:szCs w:val="26"/>
              </w:rPr>
            </w:pPr>
            <w:r>
              <w:rPr>
                <w:sz w:val="26"/>
                <w:szCs w:val="26"/>
              </w:rPr>
              <w:t>0.323</w:t>
            </w:r>
          </w:p>
        </w:tc>
        <w:tc>
          <w:tcPr>
            <w:tcW w:w="0" w:type="auto"/>
            <w:tcBorders>
              <w:top w:val="single" w:sz="4" w:space="0" w:color="auto"/>
              <w:bottom w:val="single" w:sz="4" w:space="0" w:color="auto"/>
              <w:right w:val="single" w:sz="4" w:space="0" w:color="auto"/>
            </w:tcBorders>
            <w:vAlign w:val="center"/>
          </w:tcPr>
          <w:p w14:paraId="02D91CBF" w14:textId="77777777" w:rsidR="00BE4582" w:rsidRDefault="00000000">
            <w:pPr>
              <w:jc w:val="both"/>
              <w:rPr>
                <w:sz w:val="26"/>
                <w:szCs w:val="26"/>
              </w:rPr>
            </w:pPr>
            <w:r>
              <w:rPr>
                <w:sz w:val="26"/>
                <w:szCs w:val="26"/>
              </w:rPr>
              <w:t>0.306</w:t>
            </w:r>
          </w:p>
        </w:tc>
        <w:tc>
          <w:tcPr>
            <w:tcW w:w="0" w:type="auto"/>
            <w:tcBorders>
              <w:top w:val="single" w:sz="4" w:space="0" w:color="auto"/>
              <w:bottom w:val="single" w:sz="4" w:space="0" w:color="auto"/>
              <w:right w:val="single" w:sz="4" w:space="0" w:color="auto"/>
            </w:tcBorders>
            <w:vAlign w:val="center"/>
          </w:tcPr>
          <w:p w14:paraId="5E3075B8" w14:textId="77777777" w:rsidR="00BE4582" w:rsidRDefault="00000000">
            <w:pPr>
              <w:jc w:val="both"/>
              <w:rPr>
                <w:sz w:val="26"/>
                <w:szCs w:val="26"/>
              </w:rPr>
            </w:pPr>
            <w:r>
              <w:rPr>
                <w:sz w:val="26"/>
                <w:szCs w:val="26"/>
              </w:rPr>
              <w:t>2.2826</w:t>
            </w:r>
          </w:p>
        </w:tc>
      </w:tr>
    </w:tbl>
    <w:p w14:paraId="01E5F1BD" w14:textId="77777777" w:rsidR="00BE4582" w:rsidRDefault="00000000">
      <w:pPr>
        <w:jc w:val="both"/>
        <w:rPr>
          <w:sz w:val="26"/>
          <w:szCs w:val="26"/>
        </w:rPr>
      </w:pPr>
      <w:r>
        <w:rPr>
          <w:sz w:val="26"/>
          <w:szCs w:val="26"/>
        </w:rPr>
        <w:t>Predictors: (Constant), Audit Fee, Audit Independence, Audit Competence</w:t>
      </w:r>
    </w:p>
    <w:p w14:paraId="6D779D79" w14:textId="77777777" w:rsidR="00BE4582" w:rsidRDefault="00000000">
      <w:pPr>
        <w:jc w:val="both"/>
        <w:rPr>
          <w:sz w:val="26"/>
          <w:szCs w:val="26"/>
        </w:rPr>
      </w:pPr>
      <w:r>
        <w:rPr>
          <w:sz w:val="26"/>
          <w:szCs w:val="26"/>
        </w:rPr>
        <w:lastRenderedPageBreak/>
        <w:t>Source: Field Survey, 2021</w:t>
      </w:r>
    </w:p>
    <w:p w14:paraId="20E1258B" w14:textId="77777777" w:rsidR="00BE4582" w:rsidRDefault="00000000">
      <w:pPr>
        <w:jc w:val="both"/>
        <w:rPr>
          <w:sz w:val="26"/>
          <w:szCs w:val="26"/>
        </w:rPr>
      </w:pPr>
      <w:r>
        <w:rPr>
          <w:sz w:val="26"/>
          <w:szCs w:val="26"/>
        </w:rPr>
        <w:t>The findings revealed that 31 percent (Adjusted R2 = 0.306) of the variance in firm value was explained by audit quality variables, which is quite considerable given its explanatory power.</w:t>
      </w:r>
    </w:p>
    <w:p w14:paraId="786A1657" w14:textId="77777777" w:rsidR="00BE4582" w:rsidRDefault="00000000">
      <w:pPr>
        <w:jc w:val="both"/>
        <w:rPr>
          <w:b/>
          <w:bCs/>
          <w:sz w:val="26"/>
          <w:szCs w:val="26"/>
        </w:rPr>
      </w:pPr>
      <w:r>
        <w:rPr>
          <w:b/>
          <w:bCs/>
          <w:sz w:val="26"/>
          <w:szCs w:val="26"/>
        </w:rPr>
        <w:t>4.6 Hypothesis Testing</w:t>
      </w:r>
    </w:p>
    <w:p w14:paraId="18E80770" w14:textId="77777777" w:rsidR="00BE4582" w:rsidRDefault="00000000">
      <w:pPr>
        <w:jc w:val="both"/>
        <w:rPr>
          <w:sz w:val="26"/>
          <w:szCs w:val="26"/>
        </w:rPr>
      </w:pPr>
      <w:r>
        <w:rPr>
          <w:b/>
          <w:bCs/>
          <w:sz w:val="26"/>
          <w:szCs w:val="26"/>
        </w:rPr>
        <w:t xml:space="preserve">H1: No significant relationship exists between audit independence and the firm value. </w:t>
      </w:r>
      <w:r>
        <w:rPr>
          <w:sz w:val="26"/>
          <w:szCs w:val="26"/>
        </w:rPr>
        <w:t>Result: p-value (0.000) &lt; 0.05. Null hypothesis rejected. Conclusion: There is a strong positive correlation between audit independence and value of firm.</w:t>
      </w:r>
    </w:p>
    <w:p w14:paraId="187202AC" w14:textId="77777777" w:rsidR="00BE4582" w:rsidRDefault="00000000">
      <w:pPr>
        <w:jc w:val="both"/>
        <w:rPr>
          <w:sz w:val="26"/>
          <w:szCs w:val="26"/>
        </w:rPr>
      </w:pPr>
      <w:r>
        <w:rPr>
          <w:b/>
          <w:bCs/>
          <w:sz w:val="26"/>
          <w:szCs w:val="26"/>
        </w:rPr>
        <w:t xml:space="preserve">H2: No significant correlation exists between firm value and audit competence. Result: </w:t>
      </w:r>
      <w:r>
        <w:rPr>
          <w:sz w:val="26"/>
          <w:szCs w:val="26"/>
        </w:rPr>
        <w:t>p-value (0.111) &gt; 0.05. Null hypothesis accepted. conclusion There is no significant relationship between audit competence and firm value.</w:t>
      </w:r>
    </w:p>
    <w:p w14:paraId="68DD2FB0" w14:textId="77777777" w:rsidR="00BE4582" w:rsidRDefault="00000000">
      <w:pPr>
        <w:jc w:val="both"/>
        <w:rPr>
          <w:sz w:val="26"/>
          <w:szCs w:val="26"/>
        </w:rPr>
      </w:pPr>
      <w:r>
        <w:rPr>
          <w:b/>
          <w:bCs/>
          <w:sz w:val="26"/>
          <w:szCs w:val="26"/>
        </w:rPr>
        <w:t xml:space="preserve">H3: No significant relationship exists between firm value and audit fee. </w:t>
      </w:r>
      <w:r>
        <w:rPr>
          <w:sz w:val="26"/>
          <w:szCs w:val="26"/>
        </w:rPr>
        <w:t>Result: p-value (0.000) &lt; 0.05. Null hypothesis rejected. Conclusion: There is substantial positive correlation between the firm value and the audit fee.</w:t>
      </w:r>
    </w:p>
    <w:p w14:paraId="087B5D6A" w14:textId="77777777" w:rsidR="00BE4582" w:rsidRDefault="00000000">
      <w:pPr>
        <w:jc w:val="both"/>
        <w:rPr>
          <w:b/>
          <w:bCs/>
          <w:sz w:val="26"/>
          <w:szCs w:val="26"/>
        </w:rPr>
      </w:pPr>
      <w:r>
        <w:rPr>
          <w:b/>
          <w:bCs/>
          <w:sz w:val="26"/>
          <w:szCs w:val="26"/>
        </w:rPr>
        <w:t>5. Discussion</w:t>
      </w:r>
    </w:p>
    <w:p w14:paraId="7FBB6340" w14:textId="77777777" w:rsidR="00BE4582" w:rsidRDefault="00000000">
      <w:pPr>
        <w:jc w:val="both"/>
        <w:rPr>
          <w:b/>
          <w:bCs/>
          <w:sz w:val="26"/>
          <w:szCs w:val="26"/>
        </w:rPr>
      </w:pPr>
      <w:r>
        <w:rPr>
          <w:b/>
          <w:bCs/>
          <w:sz w:val="26"/>
          <w:szCs w:val="26"/>
        </w:rPr>
        <w:t>5.1 Independence of Auditor and Firm Value.</w:t>
      </w:r>
    </w:p>
    <w:p w14:paraId="52DB93D9" w14:textId="77777777" w:rsidR="00BE4582" w:rsidRDefault="00000000">
      <w:pPr>
        <w:jc w:val="both"/>
        <w:rPr>
          <w:sz w:val="26"/>
          <w:szCs w:val="26"/>
        </w:rPr>
      </w:pPr>
      <w:r>
        <w:rPr>
          <w:sz w:val="26"/>
          <w:szCs w:val="26"/>
        </w:rPr>
        <w:t>The findings showed that audit independence is positively related to firm value (r = 0.448, p &lt; 0.01) and has a significant impact on the firm value (b = 0.353, p &lt; 0.05). This goes in line with Hirhyel and Sadah (2020) who state that independent auditors increase financial statement credibility, which enhances investor confidence and firm valuation. Organizations that have high audit independence are in a better position to improve the firm value through financial integrity and compliance with regulations. This observation substantiates the propositions of agency theory that independent audits minimize information asymmetry between the principals and the agents (Jensen and Meckling, 1976).</w:t>
      </w:r>
    </w:p>
    <w:p w14:paraId="4CC3C093" w14:textId="77777777" w:rsidR="00BE4582" w:rsidRDefault="00000000">
      <w:pPr>
        <w:jc w:val="both"/>
        <w:rPr>
          <w:sz w:val="26"/>
          <w:szCs w:val="26"/>
        </w:rPr>
      </w:pPr>
      <w:r>
        <w:rPr>
          <w:rFonts w:eastAsia="SimSun" w:cs="Times New Roman"/>
          <w:sz w:val="28"/>
          <w:szCs w:val="28"/>
          <w:highlight w:val="yellow"/>
          <w:lang w:eastAsia="zh-CN"/>
        </w:rPr>
        <w:t xml:space="preserve">The significant correlation (r = 0.448, p &lt; 0.01) supports the observation that auditor independence enhances financial reporting reliability. </w:t>
      </w:r>
      <w:r>
        <w:rPr>
          <w:sz w:val="26"/>
          <w:szCs w:val="26"/>
        </w:rPr>
        <w:t xml:space="preserve">This dependability is transferred to increased investor confidence and confidence to invest which is manifested in increased capitalizations in the markets. These findings are supported by the recent evidence presented by Al-Hajaya, (2019) which indicates that audit committee independence has a positive effect on the firm value in the emerging markets. The </w:t>
      </w:r>
      <w:r>
        <w:rPr>
          <w:sz w:val="26"/>
          <w:szCs w:val="26"/>
        </w:rPr>
        <w:lastRenderedPageBreak/>
        <w:t>outcome highlights the independence as a key element of audit quality in Nigerian banking situations where the issues of governance continue to be.</w:t>
      </w:r>
    </w:p>
    <w:p w14:paraId="0CBFB1F4" w14:textId="77777777" w:rsidR="00BE4582" w:rsidRDefault="00000000">
      <w:pPr>
        <w:jc w:val="both"/>
        <w:rPr>
          <w:b/>
          <w:bCs/>
          <w:sz w:val="26"/>
          <w:szCs w:val="26"/>
        </w:rPr>
      </w:pPr>
      <w:r>
        <w:rPr>
          <w:b/>
          <w:bCs/>
          <w:sz w:val="26"/>
          <w:szCs w:val="26"/>
        </w:rPr>
        <w:t>5.2 Competence of Auditors and Competence of Firm.</w:t>
      </w:r>
    </w:p>
    <w:p w14:paraId="311A9C5B" w14:textId="77777777" w:rsidR="00BE4582" w:rsidRDefault="00000000">
      <w:pPr>
        <w:jc w:val="both"/>
        <w:rPr>
          <w:sz w:val="26"/>
          <w:szCs w:val="26"/>
        </w:rPr>
      </w:pPr>
      <w:r>
        <w:rPr>
          <w:sz w:val="26"/>
          <w:szCs w:val="26"/>
        </w:rPr>
        <w:t>Whereas audit competence is positively related to the firm value (r = 0.264, p &lt; 0.01), the regression analysis showed no significant impacts (b = 0.127, p &gt; 0.05). This goes contrary to Wijaya (2020) who opines that auditor experience has a substantial impact on the value of the firm as it reduces the chances of material misstatements. The meaningless correlation suggests that though auditor competence is necessary, its firm value influence can be subject to other factors such as the enforcement of regulations, corporate governance systems, and the management commitment towards transparency.</w:t>
      </w:r>
    </w:p>
    <w:p w14:paraId="64ED2A2B" w14:textId="77777777" w:rsidR="00BE4582" w:rsidRDefault="00000000">
      <w:pPr>
        <w:jc w:val="both"/>
        <w:rPr>
          <w:sz w:val="26"/>
          <w:szCs w:val="26"/>
        </w:rPr>
      </w:pPr>
      <w:r>
        <w:rPr>
          <w:sz w:val="26"/>
          <w:szCs w:val="26"/>
        </w:rPr>
        <w:t>This surprising result can be explained by the fact that Nigeria has a very specific institutional setting in which competence is not enough to address the systemic aspects of governance failures. According to Elewa and El-Haddad (2019), even extremely qualified auditors might find it challenging to add value to the firm when the enforcement mechanisms are weak. The finding suggests that the competence should be balanced with effective regulatory frameworks and corporate governance practices to be converted into firm value gains. This aligns with Ambarwati et al. (2024), who found that auditor competence alone may not translate to improved audit quality without complementary factors such as independence and supportive organizational environments. This is in line with resource dependence theory which argues that competence as a resource has to be complemented with favorable institutional settings in order to create value (Pfeffer and Salancik, 1978).</w:t>
      </w:r>
    </w:p>
    <w:p w14:paraId="7977AF06" w14:textId="77777777" w:rsidR="00BE4582" w:rsidRDefault="00000000">
      <w:pPr>
        <w:jc w:val="both"/>
        <w:rPr>
          <w:b/>
          <w:bCs/>
          <w:sz w:val="26"/>
          <w:szCs w:val="26"/>
        </w:rPr>
      </w:pPr>
      <w:r>
        <w:rPr>
          <w:b/>
          <w:bCs/>
          <w:sz w:val="26"/>
          <w:szCs w:val="26"/>
        </w:rPr>
        <w:t>5.3 Audit Fee and Firm Value</w:t>
      </w:r>
    </w:p>
    <w:p w14:paraId="7F827F99" w14:textId="77777777" w:rsidR="00BE4582" w:rsidRDefault="00000000">
      <w:pPr>
        <w:jc w:val="both"/>
        <w:rPr>
          <w:b/>
          <w:bCs/>
          <w:sz w:val="26"/>
          <w:szCs w:val="26"/>
        </w:rPr>
      </w:pPr>
      <w:r>
        <w:rPr>
          <w:b/>
          <w:bCs/>
          <w:sz w:val="26"/>
          <w:szCs w:val="26"/>
        </w:rPr>
        <w:t>5.3 Audit Fee and Firm Value</w:t>
      </w:r>
    </w:p>
    <w:p w14:paraId="4C660BB0" w14:textId="77777777" w:rsidR="00BE4582" w:rsidRDefault="00000000">
      <w:pPr>
        <w:jc w:val="both"/>
        <w:rPr>
          <w:sz w:val="26"/>
          <w:szCs w:val="26"/>
        </w:rPr>
      </w:pPr>
      <w:r>
        <w:rPr>
          <w:sz w:val="26"/>
          <w:szCs w:val="26"/>
        </w:rPr>
        <w:t>There was a strong positive relationship between audit fee and firm value (r =0.424, p &lt; 0.01) and non-insignificant effects (b = 0.311, p &lt; 0.05). This confirms Alsmairat et al. (2018), which defines that increased audit quality is linked to higher audit fees, and firm value is increased. Companies that undertake quality audits get good financial results because quality audits give rise to transparency level, minimized financial risks, and better investor confidence.</w:t>
      </w:r>
    </w:p>
    <w:p w14:paraId="01DB4991" w14:textId="77777777" w:rsidR="00BE4582" w:rsidRDefault="00000000">
      <w:pPr>
        <w:jc w:val="both"/>
        <w:rPr>
          <w:sz w:val="26"/>
          <w:szCs w:val="26"/>
        </w:rPr>
      </w:pPr>
      <w:r>
        <w:rPr>
          <w:sz w:val="26"/>
          <w:szCs w:val="26"/>
        </w:rPr>
        <w:t xml:space="preserve">This is evidenced by the strong positive correlation which indicates that the audit fees are a kind of quality signal to other participants in the marketplace which is in line with the </w:t>
      </w:r>
      <w:r>
        <w:rPr>
          <w:sz w:val="26"/>
          <w:szCs w:val="26"/>
        </w:rPr>
        <w:lastRenderedPageBreak/>
        <w:t>signaling theory (Spence, 1973). As companies are willing to pay more in audit fee, the stakeholders will understand that they are devoted to quality financial reporting and translate this into increased firm valuations. This interpretation is supported by recent evidence provided by Salehi et al. (2020), who show that the adequacy of audit fees is associated with improved financial performance. The discovery highlights the need to consider audit fees as investments in credibility and not costs and especially in the banking sector where trust is a key element.</w:t>
      </w:r>
    </w:p>
    <w:p w14:paraId="54A1DEFF" w14:textId="77777777" w:rsidR="00BE4582" w:rsidRDefault="00000000">
      <w:pPr>
        <w:jc w:val="both"/>
        <w:rPr>
          <w:b/>
          <w:bCs/>
          <w:sz w:val="26"/>
          <w:szCs w:val="26"/>
        </w:rPr>
      </w:pPr>
      <w:r>
        <w:rPr>
          <w:b/>
          <w:bCs/>
          <w:sz w:val="26"/>
          <w:szCs w:val="26"/>
        </w:rPr>
        <w:t>5.4 Integrated Discussion</w:t>
      </w:r>
    </w:p>
    <w:p w14:paraId="60F4B3A1" w14:textId="77777777" w:rsidR="00BE4582" w:rsidRDefault="00000000">
      <w:pPr>
        <w:jc w:val="both"/>
        <w:rPr>
          <w:sz w:val="26"/>
          <w:szCs w:val="26"/>
        </w:rPr>
      </w:pPr>
      <w:r>
        <w:rPr>
          <w:sz w:val="26"/>
          <w:szCs w:val="26"/>
        </w:rPr>
        <w:t>Combined results show that audit quality dimensions explain 31% of the firm value (Adjusted R2 = 0.306) meaning that there is only a considerable though not complete explanatory power. This indicates that there are other variables in addition to quality of audit that affect the value of firms in the Nigerian money deposit banks such as the macroeconomic environment, regulatory environments, quality of management and competition positioning. The high F-statistic (F = 18.475, p &lt; 0.05) is a good indication of the overall validity of the model and its suitability in testing audit quality-firm value relationships.</w:t>
      </w:r>
    </w:p>
    <w:p w14:paraId="269C13E9" w14:textId="77777777" w:rsidR="00BE4582" w:rsidRDefault="00000000">
      <w:pPr>
        <w:jc w:val="both"/>
        <w:rPr>
          <w:sz w:val="26"/>
          <w:szCs w:val="26"/>
        </w:rPr>
      </w:pPr>
      <w:r>
        <w:rPr>
          <w:sz w:val="26"/>
          <w:szCs w:val="26"/>
        </w:rPr>
        <w:t>The asymmetry effects of the quality of dimensions of audit produce the complicated nature of the effects of audit quality on firm value. Although independence and fees are important, the insignificance of competence implies that there are some institutional and contextual modulating influences on audit quality effects. It is consistent with the views of the stakeholder theory, which have stressed the idea that the value creation should be based on the broader institutional environments rather than on the specifics of the audit attributes (Freeman, 1984). The results highlight the necessity to take holistic measures to improve the quality of auditing by integrating independence of the auditor, adequate compensation, and enabling regulatory environments.</w:t>
      </w:r>
    </w:p>
    <w:p w14:paraId="4CB4A51D" w14:textId="77777777" w:rsidR="00BE4582" w:rsidRDefault="00000000">
      <w:pPr>
        <w:jc w:val="both"/>
        <w:rPr>
          <w:sz w:val="26"/>
          <w:szCs w:val="26"/>
          <w:highlight w:val="yellow"/>
        </w:rPr>
      </w:pPr>
      <w:r>
        <w:rPr>
          <w:sz w:val="26"/>
          <w:szCs w:val="26"/>
          <w:highlight w:val="yellow"/>
        </w:rPr>
        <w:t>Such results differ with those of Wijaya (2020), who discovered auditor competence to be relevant in Indonesia, and agree with Elewa and El-Haddad (2019), who observe that competency might not be turned into value in the context of weak regulations. This shows the limiting impact of institutional context.</w:t>
      </w:r>
    </w:p>
    <w:p w14:paraId="492F30B6" w14:textId="77777777" w:rsidR="00BE4582" w:rsidRDefault="00000000">
      <w:pPr>
        <w:jc w:val="both"/>
        <w:rPr>
          <w:b/>
          <w:bCs/>
          <w:sz w:val="26"/>
          <w:szCs w:val="26"/>
        </w:rPr>
      </w:pPr>
      <w:r>
        <w:rPr>
          <w:b/>
          <w:bCs/>
          <w:sz w:val="26"/>
          <w:szCs w:val="26"/>
        </w:rPr>
        <w:t>6. Conclusion and Recommendations.</w:t>
      </w:r>
    </w:p>
    <w:p w14:paraId="326C9487" w14:textId="77777777" w:rsidR="00BE4582" w:rsidRDefault="00000000">
      <w:pPr>
        <w:jc w:val="both"/>
        <w:rPr>
          <w:b/>
          <w:bCs/>
          <w:sz w:val="26"/>
          <w:szCs w:val="26"/>
        </w:rPr>
      </w:pPr>
      <w:r>
        <w:rPr>
          <w:b/>
          <w:bCs/>
          <w:sz w:val="26"/>
          <w:szCs w:val="26"/>
        </w:rPr>
        <w:t>6.1 Conclusion</w:t>
      </w:r>
    </w:p>
    <w:p w14:paraId="0A8AD3CA" w14:textId="77777777" w:rsidR="00BE4582" w:rsidRDefault="00000000">
      <w:pPr>
        <w:jc w:val="both"/>
        <w:rPr>
          <w:sz w:val="26"/>
          <w:szCs w:val="26"/>
          <w:highlight w:val="yellow"/>
        </w:rPr>
      </w:pPr>
      <w:r>
        <w:rPr>
          <w:sz w:val="26"/>
          <w:szCs w:val="26"/>
        </w:rPr>
        <w:lastRenderedPageBreak/>
        <w:t xml:space="preserve">This paper has discussed the impact of audit quality on the firm value in the chosen money deposit banks of Nigeria and found out that, audit quality has a significant effect on firm value, although the dimensions of the effects differ in strength. There were high positive changes in audit independence and audit fees with the audit competence showing no significant relationships with firm value. The results were positive, as auditor independence is crucial to the provision of transparent and unbiased financial reporting, which boosts investor confidence and the value of the firm. When the auditing fee is matched with the quality of auditing, it enhances the financial control and the regulation. Nevertheless, auditor competence in itself is not likely to have a significant impact on firm value unless it is combined with industry specialization and regulatory implementation. </w:t>
      </w:r>
      <w:r>
        <w:rPr>
          <w:sz w:val="26"/>
          <w:szCs w:val="26"/>
          <w:highlight w:val="yellow"/>
        </w:rPr>
        <w:t>The results are consistent with agency and signalling theories, highlighting the importance of the quality of audits in lessening information asymmetry and signalling firm reliability to investors.</w:t>
      </w:r>
    </w:p>
    <w:p w14:paraId="0AEBB092" w14:textId="77777777" w:rsidR="00BE4582" w:rsidRDefault="00000000">
      <w:pPr>
        <w:jc w:val="both"/>
        <w:rPr>
          <w:sz w:val="26"/>
          <w:szCs w:val="26"/>
        </w:rPr>
      </w:pPr>
      <w:r>
        <w:rPr>
          <w:sz w:val="26"/>
          <w:szCs w:val="26"/>
        </w:rPr>
        <w:t>The research has the contribution to the literature on audit quality and firm value because it presents empirical evidence in Nigerian banking environments, fills in gaps in the research on emerging markets. In theory, the evidence is in favor of agency and signaling theories, where independent, quality audits decrease information asymmetry and provide markets with signals of firm quality. Nonetheless, the findings also show the significance of the institutional context because the competence effects require facilitated regulatory environments. In practice, the research indicates the essential role of audit quality to improve the value of firms in the banking sector, and policymakers, corporate governance activities, and regulations in Nigeria and other developing economies.</w:t>
      </w:r>
    </w:p>
    <w:p w14:paraId="0EE18FC2" w14:textId="77777777" w:rsidR="00BE4582" w:rsidRDefault="00000000">
      <w:pPr>
        <w:jc w:val="both"/>
        <w:rPr>
          <w:b/>
          <w:bCs/>
          <w:sz w:val="26"/>
          <w:szCs w:val="26"/>
        </w:rPr>
      </w:pPr>
      <w:r>
        <w:rPr>
          <w:b/>
          <w:bCs/>
          <w:sz w:val="26"/>
          <w:szCs w:val="26"/>
        </w:rPr>
        <w:t>6.2 Recommendations</w:t>
      </w:r>
    </w:p>
    <w:p w14:paraId="7E54BA39" w14:textId="77777777" w:rsidR="00BE4582" w:rsidRDefault="00000000">
      <w:pPr>
        <w:jc w:val="both"/>
        <w:rPr>
          <w:sz w:val="26"/>
          <w:szCs w:val="26"/>
        </w:rPr>
      </w:pPr>
      <w:r>
        <w:rPr>
          <w:sz w:val="26"/>
          <w:szCs w:val="26"/>
        </w:rPr>
        <w:t>On the findings, the following recommendations are offered:</w:t>
      </w:r>
    </w:p>
    <w:p w14:paraId="1379181E" w14:textId="77777777" w:rsidR="00BE4582" w:rsidRDefault="00000000">
      <w:pPr>
        <w:jc w:val="both"/>
        <w:rPr>
          <w:b/>
          <w:bCs/>
          <w:sz w:val="26"/>
          <w:szCs w:val="26"/>
        </w:rPr>
      </w:pPr>
      <w:r>
        <w:rPr>
          <w:b/>
          <w:bCs/>
          <w:sz w:val="26"/>
          <w:szCs w:val="26"/>
        </w:rPr>
        <w:t>For Banking Organizations:</w:t>
      </w:r>
    </w:p>
    <w:p w14:paraId="279EF0AC" w14:textId="77777777" w:rsidR="00BE4582" w:rsidRDefault="00000000">
      <w:pPr>
        <w:pStyle w:val="ListParagraph"/>
        <w:numPr>
          <w:ilvl w:val="0"/>
          <w:numId w:val="1"/>
        </w:numPr>
        <w:jc w:val="both"/>
        <w:rPr>
          <w:sz w:val="26"/>
          <w:szCs w:val="26"/>
        </w:rPr>
      </w:pPr>
      <w:r>
        <w:rPr>
          <w:sz w:val="26"/>
          <w:szCs w:val="26"/>
        </w:rPr>
        <w:t>Value independence of the auditing process by having strong mechanisms that govern the auditors so that they are not under the influence of the management and that they have independent audit committees with mandate and authority.</w:t>
      </w:r>
    </w:p>
    <w:p w14:paraId="1783ABB0" w14:textId="77777777" w:rsidR="00BE4582" w:rsidRDefault="00000000">
      <w:pPr>
        <w:pStyle w:val="ListParagraph"/>
        <w:numPr>
          <w:ilvl w:val="0"/>
          <w:numId w:val="1"/>
        </w:numPr>
        <w:jc w:val="both"/>
        <w:rPr>
          <w:sz w:val="26"/>
          <w:szCs w:val="26"/>
        </w:rPr>
      </w:pPr>
      <w:r>
        <w:rPr>
          <w:sz w:val="26"/>
          <w:szCs w:val="26"/>
        </w:rPr>
        <w:t>Implement organized audit fee policies based on audit quality and not cost-reduction approaches because when firms invest in auditing in the proper way, long-term firm value is created.</w:t>
      </w:r>
    </w:p>
    <w:p w14:paraId="315E3111" w14:textId="77777777" w:rsidR="00BE4582" w:rsidRDefault="00000000">
      <w:pPr>
        <w:pStyle w:val="ListParagraph"/>
        <w:numPr>
          <w:ilvl w:val="0"/>
          <w:numId w:val="1"/>
        </w:numPr>
        <w:jc w:val="both"/>
        <w:rPr>
          <w:sz w:val="26"/>
          <w:szCs w:val="26"/>
        </w:rPr>
      </w:pPr>
      <w:r>
        <w:rPr>
          <w:sz w:val="26"/>
          <w:szCs w:val="26"/>
        </w:rPr>
        <w:t xml:space="preserve">Enhance internal governance mechanisms that facilitate effectiveness of the growth of audit effectiveness such as periodic channel of communication between </w:t>
      </w:r>
      <w:r>
        <w:rPr>
          <w:sz w:val="26"/>
          <w:szCs w:val="26"/>
        </w:rPr>
        <w:lastRenderedPageBreak/>
        <w:t>the management and auditor as well as existence of open communication protocols.</w:t>
      </w:r>
    </w:p>
    <w:p w14:paraId="058D2083" w14:textId="77777777" w:rsidR="00BE4582" w:rsidRDefault="00000000">
      <w:pPr>
        <w:jc w:val="both"/>
        <w:rPr>
          <w:b/>
          <w:bCs/>
          <w:sz w:val="26"/>
          <w:szCs w:val="26"/>
        </w:rPr>
      </w:pPr>
      <w:r>
        <w:rPr>
          <w:b/>
          <w:bCs/>
          <w:sz w:val="26"/>
          <w:szCs w:val="26"/>
        </w:rPr>
        <w:t>For Regulatory Bodies:</w:t>
      </w:r>
    </w:p>
    <w:p w14:paraId="1224F212" w14:textId="77777777" w:rsidR="00BE4582" w:rsidRDefault="00000000">
      <w:pPr>
        <w:pStyle w:val="ListParagraph"/>
        <w:numPr>
          <w:ilvl w:val="0"/>
          <w:numId w:val="7"/>
        </w:numPr>
        <w:jc w:val="both"/>
        <w:rPr>
          <w:sz w:val="26"/>
          <w:szCs w:val="26"/>
        </w:rPr>
      </w:pPr>
      <w:r>
        <w:rPr>
          <w:sz w:val="26"/>
          <w:szCs w:val="26"/>
        </w:rPr>
        <w:t>Increase the competence of the auditors by undertaking continuous professional development courses that focus on specialization in banking industry and new financial complexities as a mandatory requirement.</w:t>
      </w:r>
    </w:p>
    <w:p w14:paraId="2E676406" w14:textId="77777777" w:rsidR="00BE4582" w:rsidRDefault="00000000">
      <w:pPr>
        <w:pStyle w:val="ListParagraph"/>
        <w:numPr>
          <w:ilvl w:val="0"/>
          <w:numId w:val="7"/>
        </w:numPr>
        <w:jc w:val="both"/>
        <w:rPr>
          <w:sz w:val="26"/>
          <w:szCs w:val="26"/>
        </w:rPr>
      </w:pPr>
      <w:r>
        <w:rPr>
          <w:sz w:val="26"/>
          <w:szCs w:val="26"/>
        </w:rPr>
        <w:t>Introduce more stringent implementation systems of regulations of audit independence, such as fines on non-compliance, and periodic audits of auditor-client relationships.</w:t>
      </w:r>
    </w:p>
    <w:p w14:paraId="4F74F898" w14:textId="77777777" w:rsidR="00BE4582" w:rsidRDefault="00000000">
      <w:pPr>
        <w:pStyle w:val="ListParagraph"/>
        <w:numPr>
          <w:ilvl w:val="0"/>
          <w:numId w:val="7"/>
        </w:numPr>
        <w:jc w:val="both"/>
        <w:rPr>
          <w:sz w:val="26"/>
          <w:szCs w:val="26"/>
        </w:rPr>
      </w:pPr>
      <w:r>
        <w:rPr>
          <w:sz w:val="26"/>
          <w:szCs w:val="26"/>
        </w:rPr>
        <w:t>Develop minimum audit fee policies that discourage unhealthy price competition that undermines audit quality in banking industries.</w:t>
      </w:r>
    </w:p>
    <w:p w14:paraId="5571C4D2" w14:textId="77777777" w:rsidR="00BE4582" w:rsidRDefault="00000000">
      <w:pPr>
        <w:pStyle w:val="ListParagraph"/>
        <w:numPr>
          <w:ilvl w:val="0"/>
          <w:numId w:val="7"/>
        </w:numPr>
        <w:jc w:val="both"/>
        <w:rPr>
          <w:sz w:val="26"/>
          <w:szCs w:val="26"/>
        </w:rPr>
      </w:pPr>
      <w:r>
        <w:rPr>
          <w:sz w:val="26"/>
          <w:szCs w:val="26"/>
        </w:rPr>
        <w:t>Encourage industry-oriented audit practices by accreditation and incentives on auditors who acquire banking specific skills.</w:t>
      </w:r>
    </w:p>
    <w:p w14:paraId="089891D2" w14:textId="77777777" w:rsidR="00BE4582" w:rsidRDefault="00000000">
      <w:pPr>
        <w:jc w:val="both"/>
        <w:rPr>
          <w:b/>
          <w:bCs/>
          <w:sz w:val="26"/>
          <w:szCs w:val="26"/>
        </w:rPr>
      </w:pPr>
      <w:r>
        <w:rPr>
          <w:b/>
          <w:bCs/>
          <w:sz w:val="26"/>
          <w:szCs w:val="26"/>
        </w:rPr>
        <w:t>For Policy Makers:</w:t>
      </w:r>
    </w:p>
    <w:p w14:paraId="601EDD7C" w14:textId="77777777" w:rsidR="00BE4582" w:rsidRDefault="00000000">
      <w:pPr>
        <w:pStyle w:val="ListParagraph"/>
        <w:numPr>
          <w:ilvl w:val="0"/>
          <w:numId w:val="8"/>
        </w:numPr>
        <w:jc w:val="both"/>
        <w:rPr>
          <w:sz w:val="26"/>
          <w:szCs w:val="26"/>
        </w:rPr>
      </w:pPr>
      <w:r>
        <w:rPr>
          <w:sz w:val="26"/>
          <w:szCs w:val="26"/>
        </w:rPr>
        <w:t>Determine effective audit quality frameworks to tackle the aspects of independence, competence and salary properly in a combination instead of separation.</w:t>
      </w:r>
    </w:p>
    <w:p w14:paraId="1B23C0BB" w14:textId="77777777" w:rsidR="00BE4582" w:rsidRDefault="00000000">
      <w:pPr>
        <w:pStyle w:val="ListParagraph"/>
        <w:numPr>
          <w:ilvl w:val="0"/>
          <w:numId w:val="8"/>
        </w:numPr>
        <w:jc w:val="both"/>
        <w:rPr>
          <w:sz w:val="26"/>
          <w:szCs w:val="26"/>
        </w:rPr>
      </w:pPr>
      <w:r>
        <w:rPr>
          <w:sz w:val="26"/>
          <w:szCs w:val="26"/>
        </w:rPr>
        <w:t>Enhance the abilities of regulatory institutions in operating well in audit quality in banking sectors by providing them with sufficient funds and technical assistance.</w:t>
      </w:r>
    </w:p>
    <w:p w14:paraId="45A581E0" w14:textId="77777777" w:rsidR="00BE4582" w:rsidRDefault="00000000">
      <w:pPr>
        <w:pStyle w:val="ListParagraph"/>
        <w:numPr>
          <w:ilvl w:val="0"/>
          <w:numId w:val="8"/>
        </w:numPr>
        <w:jc w:val="both"/>
        <w:rPr>
          <w:sz w:val="26"/>
          <w:szCs w:val="26"/>
        </w:rPr>
      </w:pPr>
      <w:r>
        <w:rPr>
          <w:sz w:val="26"/>
          <w:szCs w:val="26"/>
        </w:rPr>
        <w:t>Encourage the cooperation between the banking regulators and accounting professional organizations to harmonize the quality of audits according to the international standards.</w:t>
      </w:r>
    </w:p>
    <w:p w14:paraId="79745433" w14:textId="77777777" w:rsidR="00BE4582" w:rsidRDefault="00000000">
      <w:pPr>
        <w:jc w:val="both"/>
        <w:rPr>
          <w:b/>
          <w:bCs/>
          <w:sz w:val="26"/>
          <w:szCs w:val="26"/>
        </w:rPr>
      </w:pPr>
      <w:r>
        <w:rPr>
          <w:b/>
          <w:bCs/>
          <w:sz w:val="26"/>
          <w:szCs w:val="26"/>
        </w:rPr>
        <w:t>For Future Research:</w:t>
      </w:r>
    </w:p>
    <w:p w14:paraId="7ECF22F5" w14:textId="77777777" w:rsidR="00BE4582" w:rsidRDefault="00000000">
      <w:pPr>
        <w:pStyle w:val="ListParagraph"/>
        <w:numPr>
          <w:ilvl w:val="0"/>
          <w:numId w:val="9"/>
        </w:numPr>
        <w:jc w:val="both"/>
        <w:rPr>
          <w:sz w:val="26"/>
          <w:szCs w:val="26"/>
        </w:rPr>
      </w:pPr>
      <w:r>
        <w:rPr>
          <w:sz w:val="26"/>
          <w:szCs w:val="26"/>
        </w:rPr>
        <w:t>Explore other factors that moderate audit quality-firm value relation in Nigeria settings such as corporate governance systems, ownership arrangements and strength of regulatory enforcement.</w:t>
      </w:r>
    </w:p>
    <w:p w14:paraId="6B7D09B6" w14:textId="77777777" w:rsidR="00BE4582" w:rsidRDefault="00000000">
      <w:pPr>
        <w:pStyle w:val="ListParagraph"/>
        <w:numPr>
          <w:ilvl w:val="0"/>
          <w:numId w:val="9"/>
        </w:numPr>
        <w:jc w:val="both"/>
        <w:rPr>
          <w:sz w:val="26"/>
          <w:szCs w:val="26"/>
        </w:rPr>
      </w:pPr>
      <w:r>
        <w:rPr>
          <w:sz w:val="26"/>
          <w:szCs w:val="26"/>
        </w:rPr>
        <w:t>Carry out longitudinal studies of the long-term impacts of audit quality in firm value during various economic cycles.</w:t>
      </w:r>
    </w:p>
    <w:p w14:paraId="36EA7CEF" w14:textId="77777777" w:rsidR="00BE4582" w:rsidRDefault="00000000">
      <w:pPr>
        <w:pStyle w:val="ListParagraph"/>
        <w:numPr>
          <w:ilvl w:val="0"/>
          <w:numId w:val="9"/>
        </w:numPr>
        <w:jc w:val="both"/>
        <w:rPr>
          <w:sz w:val="26"/>
          <w:szCs w:val="26"/>
        </w:rPr>
      </w:pPr>
      <w:r>
        <w:rPr>
          <w:sz w:val="26"/>
          <w:szCs w:val="26"/>
        </w:rPr>
        <w:t>Evaluate cross-country study comparisons between African countries to determine situation specific and generalizable determinants of audit quality.</w:t>
      </w:r>
    </w:p>
    <w:p w14:paraId="5CC7B35D" w14:textId="77777777" w:rsidR="00BE4582" w:rsidRDefault="00000000">
      <w:pPr>
        <w:pStyle w:val="ListParagraph"/>
        <w:numPr>
          <w:ilvl w:val="0"/>
          <w:numId w:val="9"/>
        </w:numPr>
        <w:jc w:val="both"/>
        <w:rPr>
          <w:sz w:val="26"/>
          <w:szCs w:val="26"/>
        </w:rPr>
      </w:pPr>
      <w:r>
        <w:rPr>
          <w:sz w:val="26"/>
          <w:szCs w:val="26"/>
        </w:rPr>
        <w:t>Test: Can technology and digital transformation improve the quality of audit and the future value of the firm in the emerging market?</w:t>
      </w:r>
    </w:p>
    <w:p w14:paraId="7438EF1E" w14:textId="77777777" w:rsidR="00BE4582" w:rsidRDefault="00000000">
      <w:pPr>
        <w:jc w:val="both"/>
        <w:rPr>
          <w:b/>
          <w:bCs/>
          <w:sz w:val="26"/>
          <w:szCs w:val="26"/>
        </w:rPr>
      </w:pPr>
      <w:r>
        <w:rPr>
          <w:b/>
          <w:bCs/>
          <w:sz w:val="26"/>
          <w:szCs w:val="26"/>
        </w:rPr>
        <w:lastRenderedPageBreak/>
        <w:t>6.3 Study Limitations</w:t>
      </w:r>
    </w:p>
    <w:p w14:paraId="473A4729" w14:textId="77777777" w:rsidR="00BE4582" w:rsidRDefault="00000000">
      <w:pPr>
        <w:jc w:val="both"/>
        <w:rPr>
          <w:sz w:val="26"/>
          <w:szCs w:val="26"/>
          <w:highlight w:val="yellow"/>
        </w:rPr>
      </w:pPr>
      <w:r>
        <w:rPr>
          <w:sz w:val="26"/>
          <w:szCs w:val="26"/>
          <w:highlight w:val="yellow"/>
        </w:rPr>
        <w:t>The research has a number of limitations. First, it dwells on five years of period (2018-2023), which might not be sufficient to measure long-term dynamics and effects. Second, the sample size is confined to Aba, Abia State and this might not be inclusive enough to be generalized to other regions in Nigeria or other African settings. Third, the questionnaire information could create effects of self-reporting. Fourth, the cross-sectional design of the study does not allow causal inferences regarding the relationship between the quality of the audit and the value of the firm. These limitations should be overcome in prospective studies by applying longitudinal designs, wider geographic scope, and quantitative and qualitative methods of data collection.</w:t>
      </w:r>
    </w:p>
    <w:p w14:paraId="21C8D413" w14:textId="77777777" w:rsidR="00BE4582" w:rsidRDefault="00000000">
      <w:pPr>
        <w:jc w:val="both"/>
        <w:rPr>
          <w:sz w:val="26"/>
          <w:szCs w:val="26"/>
          <w:highlight w:val="yellow"/>
        </w:rPr>
      </w:pPr>
      <w:r>
        <w:rPr>
          <w:sz w:val="26"/>
          <w:szCs w:val="26"/>
          <w:highlight w:val="yellow"/>
        </w:rPr>
        <w:t>Nevertheless, the research will be very effective in offering evidence-based reasons on how audit quality can enhance firm value in the investigation of money deposit banks in Nigeria, as well as how to provide evidence-based suggestions on how to improve audit practice, regulatory frameworks and corporate governance mechanisms. The results reiterate that effective quality of audit should include holistic strategies that integrate independence, competence and proper compensation in conducive institutional settings. With the development of the banking industry in Nigeria, the issue of audit quality and its improvement will gain even greater importance in the context of financial stability, trust in the firm, and value creation that will be relevant over time.</w:t>
      </w:r>
    </w:p>
    <w:p w14:paraId="307CB11F" w14:textId="77777777" w:rsidR="00BE4582" w:rsidRDefault="00BE4582">
      <w:pPr>
        <w:jc w:val="both"/>
        <w:rPr>
          <w:sz w:val="26"/>
          <w:szCs w:val="26"/>
        </w:rPr>
      </w:pPr>
    </w:p>
    <w:p w14:paraId="3AA3D265" w14:textId="77777777" w:rsidR="00BE4582" w:rsidRDefault="00000000">
      <w:pPr>
        <w:jc w:val="both"/>
        <w:outlineLvl w:val="0"/>
        <w:rPr>
          <w:rFonts w:ascii="Arial" w:hAnsi="Arial" w:cs="Arial"/>
        </w:rPr>
      </w:pPr>
      <w:r>
        <w:rPr>
          <w:rFonts w:ascii="Arial" w:hAnsi="Arial" w:cs="Arial"/>
          <w:b/>
          <w:bCs/>
        </w:rPr>
        <w:t>COMPETING INTERESTS DISCLAIMER:</w:t>
      </w:r>
    </w:p>
    <w:p w14:paraId="39CB4841" w14:textId="77777777" w:rsidR="00BE4582" w:rsidRDefault="00000000">
      <w:r>
        <w:t>Authors have declared that they have no known competing financial interests OR non-financial interests OR personal relationships that could have appeared to influence the work reported in this paper.</w:t>
      </w:r>
    </w:p>
    <w:p w14:paraId="469FBE1B" w14:textId="77777777" w:rsidR="00BE4582" w:rsidRDefault="00BE4582"/>
    <w:p w14:paraId="794CD923" w14:textId="77777777" w:rsidR="00BE4582" w:rsidRDefault="00BE4582">
      <w:pPr>
        <w:shd w:val="clear" w:color="auto" w:fill="FFFFFF"/>
        <w:spacing w:after="0" w:line="240" w:lineRule="auto"/>
        <w:jc w:val="both"/>
        <w:rPr>
          <w:rFonts w:ascii="Arial" w:hAnsi="Arial" w:cs="Arial"/>
          <w:sz w:val="20"/>
          <w:szCs w:val="20"/>
        </w:rPr>
      </w:pPr>
      <w:bookmarkStart w:id="1" w:name="_Hlk211509973"/>
    </w:p>
    <w:p w14:paraId="143310EC" w14:textId="77777777" w:rsidR="00BE4582" w:rsidRDefault="00BE4582">
      <w:pPr>
        <w:rPr>
          <w:rFonts w:cs="Times New Roman"/>
          <w:highlight w:val="yellow"/>
        </w:rPr>
      </w:pPr>
      <w:bookmarkStart w:id="2" w:name="_Hlk204003461"/>
    </w:p>
    <w:p w14:paraId="061CF54B" w14:textId="77777777" w:rsidR="00BE4582" w:rsidRDefault="00000000">
      <w:pPr>
        <w:rPr>
          <w:rFonts w:cs="Times New Roman"/>
          <w:highlight w:val="yellow"/>
        </w:rPr>
      </w:pPr>
      <w:bookmarkStart w:id="3" w:name="_Hlk211509776"/>
      <w:r>
        <w:rPr>
          <w:rFonts w:cs="Times New Roman"/>
          <w:highlight w:val="yellow"/>
        </w:rPr>
        <w:t>Disclaimer (Artificial intelligence)</w:t>
      </w:r>
    </w:p>
    <w:p w14:paraId="1FFB03A2" w14:textId="77777777" w:rsidR="00BE4582" w:rsidRDefault="00000000">
      <w:pPr>
        <w:rPr>
          <w:rFonts w:cs="Times New Roman"/>
          <w:highlight w:val="yellow"/>
        </w:rPr>
      </w:pPr>
      <w:r>
        <w:rPr>
          <w:rFonts w:cs="Times New Roman"/>
          <w:highlight w:val="yellow"/>
        </w:rPr>
        <w:t xml:space="preserve">Option 1: </w:t>
      </w:r>
    </w:p>
    <w:p w14:paraId="7BC718F7" w14:textId="77777777" w:rsidR="00BE4582" w:rsidRDefault="00000000">
      <w:pPr>
        <w:rPr>
          <w:rFonts w:cs="Times New Roman"/>
          <w:highlight w:val="yellow"/>
        </w:rPr>
      </w:pPr>
      <w:r>
        <w:rPr>
          <w:rFonts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015C800" w14:textId="77777777" w:rsidR="00BE4582" w:rsidRDefault="00BE4582">
      <w:pPr>
        <w:jc w:val="both"/>
        <w:rPr>
          <w:sz w:val="26"/>
          <w:szCs w:val="26"/>
        </w:rPr>
      </w:pPr>
    </w:p>
    <w:p w14:paraId="7EA65CAC" w14:textId="77777777" w:rsidR="00BE4582" w:rsidRDefault="00000000">
      <w:pPr>
        <w:jc w:val="both"/>
        <w:rPr>
          <w:b/>
          <w:bCs/>
          <w:sz w:val="26"/>
          <w:szCs w:val="26"/>
        </w:rPr>
      </w:pPr>
      <w:r>
        <w:rPr>
          <w:b/>
          <w:bCs/>
          <w:sz w:val="26"/>
          <w:szCs w:val="26"/>
        </w:rPr>
        <w:t>References</w:t>
      </w:r>
    </w:p>
    <w:p w14:paraId="4F3E26EC" w14:textId="77777777" w:rsidR="00BE4582" w:rsidRDefault="00000000">
      <w:pPr>
        <w:pStyle w:val="ListParagraph"/>
        <w:numPr>
          <w:ilvl w:val="0"/>
          <w:numId w:val="12"/>
        </w:numPr>
        <w:jc w:val="both"/>
        <w:rPr>
          <w:sz w:val="26"/>
          <w:szCs w:val="26"/>
        </w:rPr>
      </w:pPr>
      <w:r>
        <w:rPr>
          <w:sz w:val="26"/>
          <w:szCs w:val="26"/>
        </w:rPr>
        <w:t>Abid, A., Shaique, M., &amp; Haq, M. A. U. (2018). Do Big Four auditors always provide higher audit quality? Evidence from Pakistan. International Journal of Financial Studies, 6(2), 58. https://doi.org/10.3390/ijfs6020058</w:t>
      </w:r>
    </w:p>
    <w:p w14:paraId="1E681011" w14:textId="77777777" w:rsidR="00BE4582" w:rsidRDefault="00BE4582">
      <w:pPr>
        <w:jc w:val="both"/>
        <w:rPr>
          <w:sz w:val="26"/>
          <w:szCs w:val="26"/>
        </w:rPr>
      </w:pPr>
    </w:p>
    <w:p w14:paraId="193D17F9" w14:textId="77777777" w:rsidR="00BE4582" w:rsidRDefault="00000000">
      <w:pPr>
        <w:pStyle w:val="ListParagraph"/>
        <w:numPr>
          <w:ilvl w:val="0"/>
          <w:numId w:val="12"/>
        </w:numPr>
        <w:jc w:val="both"/>
        <w:rPr>
          <w:sz w:val="26"/>
          <w:szCs w:val="26"/>
        </w:rPr>
      </w:pPr>
      <w:r>
        <w:rPr>
          <w:sz w:val="26"/>
          <w:szCs w:val="26"/>
        </w:rPr>
        <w:t>Adenugba, A. A., Ige, A. A., &amp; Kesinro, O. R. (2016). Financial leverage and firms' value: A study of selected firms in Nigeria. European Journal of Research and Reflection in Management Sciences, 4(1), 14-32. https://www.idpublications.org/ejrrms-vol-4-no-1-2016</w:t>
      </w:r>
    </w:p>
    <w:p w14:paraId="57CD5CFC" w14:textId="77777777" w:rsidR="00BE4582" w:rsidRDefault="00BE4582">
      <w:pPr>
        <w:jc w:val="both"/>
        <w:rPr>
          <w:sz w:val="26"/>
          <w:szCs w:val="26"/>
        </w:rPr>
      </w:pPr>
    </w:p>
    <w:p w14:paraId="7C750BDB" w14:textId="77777777" w:rsidR="00BE4582" w:rsidRDefault="00000000">
      <w:pPr>
        <w:pStyle w:val="ListParagraph"/>
        <w:numPr>
          <w:ilvl w:val="0"/>
          <w:numId w:val="12"/>
        </w:numPr>
        <w:jc w:val="both"/>
        <w:rPr>
          <w:sz w:val="26"/>
          <w:szCs w:val="26"/>
        </w:rPr>
      </w:pPr>
      <w:r>
        <w:rPr>
          <w:sz w:val="26"/>
          <w:szCs w:val="26"/>
        </w:rPr>
        <w:t>Agbonifoh, B. A., &amp; Yomere, G. O. (1999). Research methodology in the management and social sciences. Uniben Press.</w:t>
      </w:r>
    </w:p>
    <w:p w14:paraId="3154C85F" w14:textId="77777777" w:rsidR="00BE4582" w:rsidRDefault="00BE4582">
      <w:pPr>
        <w:jc w:val="both"/>
        <w:rPr>
          <w:sz w:val="26"/>
          <w:szCs w:val="26"/>
        </w:rPr>
      </w:pPr>
    </w:p>
    <w:p w14:paraId="1C97A913" w14:textId="77777777" w:rsidR="00BE4582" w:rsidRDefault="00000000">
      <w:pPr>
        <w:pStyle w:val="ListParagraph"/>
        <w:numPr>
          <w:ilvl w:val="0"/>
          <w:numId w:val="12"/>
        </w:numPr>
        <w:jc w:val="both"/>
        <w:rPr>
          <w:sz w:val="26"/>
          <w:szCs w:val="26"/>
        </w:rPr>
      </w:pPr>
      <w:r>
        <w:rPr>
          <w:sz w:val="26"/>
          <w:szCs w:val="26"/>
        </w:rPr>
        <w:t>Al Ani, M. K., &amp; Mohammed, Z. O. (2015). Auditor quality and firm performance: Omani experience. European Journal of Economics, Finance and Administrative Sciences, 74, 13-23. https://www.scirp.org/reference/referencespapers?referenceid=3330147</w:t>
      </w:r>
    </w:p>
    <w:p w14:paraId="013DF91A" w14:textId="77777777" w:rsidR="00BE4582" w:rsidRDefault="00BE4582">
      <w:pPr>
        <w:jc w:val="both"/>
        <w:rPr>
          <w:sz w:val="26"/>
          <w:szCs w:val="26"/>
        </w:rPr>
      </w:pPr>
    </w:p>
    <w:p w14:paraId="4189FA97" w14:textId="77777777" w:rsidR="00BE4582" w:rsidRDefault="00000000">
      <w:pPr>
        <w:pStyle w:val="ListParagraph"/>
        <w:numPr>
          <w:ilvl w:val="0"/>
          <w:numId w:val="12"/>
        </w:numPr>
        <w:jc w:val="both"/>
        <w:rPr>
          <w:sz w:val="26"/>
          <w:szCs w:val="26"/>
        </w:rPr>
      </w:pPr>
      <w:r>
        <w:rPr>
          <w:sz w:val="26"/>
          <w:szCs w:val="26"/>
        </w:rPr>
        <w:t>Al-Hajaya, K. (2019). The impact of audit committee effectiveness on audit quality: Evidence from the Middle East. International Review of Management and Marketing, 9(5), 1–8. https://doi.org/10.32479/irmm.8341</w:t>
      </w:r>
    </w:p>
    <w:p w14:paraId="655F49C6" w14:textId="77777777" w:rsidR="00BE4582" w:rsidRDefault="00BE4582">
      <w:pPr>
        <w:jc w:val="both"/>
        <w:rPr>
          <w:sz w:val="26"/>
          <w:szCs w:val="26"/>
        </w:rPr>
      </w:pPr>
    </w:p>
    <w:p w14:paraId="139E0AD9" w14:textId="77777777" w:rsidR="00BE4582" w:rsidRDefault="00000000">
      <w:pPr>
        <w:pStyle w:val="ListParagraph"/>
        <w:numPr>
          <w:ilvl w:val="0"/>
          <w:numId w:val="12"/>
        </w:numPr>
        <w:jc w:val="both"/>
        <w:rPr>
          <w:sz w:val="26"/>
          <w:szCs w:val="26"/>
        </w:rPr>
      </w:pPr>
      <w:r>
        <w:rPr>
          <w:sz w:val="26"/>
          <w:szCs w:val="26"/>
        </w:rPr>
        <w:t>Alsmairat, Y., Yusoff, W. F., &amp; MdSalleh, N. Z. (2018). Audit quality as a moderator in the relationship between international diversification and firm value. Journal of Accounting and Finance, 4(11), 206-219.</w:t>
      </w:r>
    </w:p>
    <w:p w14:paraId="3112D91C" w14:textId="77777777" w:rsidR="00BE4582" w:rsidRDefault="00BE4582">
      <w:pPr>
        <w:jc w:val="both"/>
        <w:rPr>
          <w:sz w:val="26"/>
          <w:szCs w:val="26"/>
        </w:rPr>
      </w:pPr>
    </w:p>
    <w:p w14:paraId="3B1FDC71" w14:textId="77777777" w:rsidR="00BE4582" w:rsidRDefault="00000000">
      <w:pPr>
        <w:pStyle w:val="ListParagraph"/>
        <w:numPr>
          <w:ilvl w:val="0"/>
          <w:numId w:val="12"/>
        </w:numPr>
        <w:jc w:val="both"/>
        <w:rPr>
          <w:sz w:val="26"/>
          <w:szCs w:val="26"/>
        </w:rPr>
      </w:pPr>
      <w:r>
        <w:rPr>
          <w:sz w:val="26"/>
          <w:szCs w:val="26"/>
        </w:rPr>
        <w:t xml:space="preserve">Ambarwati, R., Rosidawaty, R., Gumilang, A. M., Sugiyono, S., Dadang, D., Aminudin, D., Zuhro, S. F., &amp; Ramadhan, M. D. (2024). The effect of auditor </w:t>
      </w:r>
      <w:r>
        <w:rPr>
          <w:sz w:val="26"/>
          <w:szCs w:val="26"/>
        </w:rPr>
        <w:lastRenderedPageBreak/>
        <w:t>competence and independence on audit quality at AYZ Company. Formosa Journal of Multidisciplinary Research, 3(8), 3109–3120. https://doi.org/10.55927/fjmr.v3i8.10709</w:t>
      </w:r>
    </w:p>
    <w:p w14:paraId="5058A9A6" w14:textId="77777777" w:rsidR="00BE4582" w:rsidRDefault="00BE4582">
      <w:pPr>
        <w:jc w:val="both"/>
        <w:rPr>
          <w:sz w:val="26"/>
          <w:szCs w:val="26"/>
        </w:rPr>
      </w:pPr>
    </w:p>
    <w:p w14:paraId="747133E5" w14:textId="77777777" w:rsidR="00BE4582" w:rsidRDefault="00000000">
      <w:pPr>
        <w:pStyle w:val="ListParagraph"/>
        <w:numPr>
          <w:ilvl w:val="0"/>
          <w:numId w:val="12"/>
        </w:numPr>
        <w:jc w:val="both"/>
        <w:rPr>
          <w:sz w:val="26"/>
          <w:szCs w:val="26"/>
        </w:rPr>
      </w:pPr>
      <w:r>
        <w:rPr>
          <w:sz w:val="26"/>
          <w:szCs w:val="26"/>
        </w:rPr>
        <w:t>Asiriuwa, O., Aronmwan, E. J., Uwuigbe, U., &amp; Uwuigbe, O. R. (2018). Audit committee attributes and audit quality: A benchmark analysis. Business: Theory and Practice, 19, 37-48. https://doi.org/10.3846/btp.2018.05</w:t>
      </w:r>
    </w:p>
    <w:p w14:paraId="35E0DC4A" w14:textId="77777777" w:rsidR="00BE4582" w:rsidRDefault="00BE4582">
      <w:pPr>
        <w:jc w:val="both"/>
        <w:rPr>
          <w:sz w:val="26"/>
          <w:szCs w:val="26"/>
        </w:rPr>
      </w:pPr>
    </w:p>
    <w:p w14:paraId="0E6FE5B7" w14:textId="77777777" w:rsidR="00BE4582" w:rsidRDefault="00000000">
      <w:pPr>
        <w:pStyle w:val="ListParagraph"/>
        <w:numPr>
          <w:ilvl w:val="0"/>
          <w:numId w:val="12"/>
        </w:numPr>
        <w:jc w:val="both"/>
        <w:rPr>
          <w:sz w:val="26"/>
          <w:szCs w:val="26"/>
        </w:rPr>
      </w:pPr>
      <w:r>
        <w:rPr>
          <w:sz w:val="26"/>
          <w:szCs w:val="26"/>
        </w:rPr>
        <w:t>Asyik, N. F., Agustia, D., &amp; Muchlis, M. (2023). Valuation of financial reporting quality: is it an issue in the firm's valuation? Asian Journal of Accounting Research, 8(4), 387–399. https://doi.org/10.1108/ajar-08-2022-0251</w:t>
      </w:r>
    </w:p>
    <w:p w14:paraId="75CC675B" w14:textId="77777777" w:rsidR="00BE4582" w:rsidRDefault="00BE4582">
      <w:pPr>
        <w:jc w:val="both"/>
        <w:rPr>
          <w:sz w:val="26"/>
          <w:szCs w:val="26"/>
        </w:rPr>
      </w:pPr>
    </w:p>
    <w:p w14:paraId="3DA61202" w14:textId="77777777" w:rsidR="00BE4582" w:rsidRDefault="00000000">
      <w:pPr>
        <w:pStyle w:val="ListParagraph"/>
        <w:numPr>
          <w:ilvl w:val="0"/>
          <w:numId w:val="12"/>
        </w:numPr>
        <w:jc w:val="both"/>
        <w:rPr>
          <w:sz w:val="26"/>
          <w:szCs w:val="26"/>
        </w:rPr>
      </w:pPr>
      <w:r>
        <w:rPr>
          <w:sz w:val="26"/>
          <w:szCs w:val="26"/>
        </w:rPr>
        <w:t>Bae, G. S., &amp; Lee, J. E. (2013). Does audit firm size matter? The effect of audit firm size measured by audit firm revenues, number of offices, and professional headcounts on audit quality and audit fees. SSRN Electronic Journal. https://doi.org/10.2139/ssrn.2344052</w:t>
      </w:r>
    </w:p>
    <w:p w14:paraId="270DAB9F" w14:textId="77777777" w:rsidR="00BE4582" w:rsidRDefault="00BE4582">
      <w:pPr>
        <w:jc w:val="both"/>
        <w:rPr>
          <w:sz w:val="26"/>
          <w:szCs w:val="26"/>
        </w:rPr>
      </w:pPr>
    </w:p>
    <w:p w14:paraId="527DC4E2" w14:textId="77777777" w:rsidR="00BE4582" w:rsidRDefault="00000000">
      <w:pPr>
        <w:pStyle w:val="ListParagraph"/>
        <w:numPr>
          <w:ilvl w:val="0"/>
          <w:numId w:val="12"/>
        </w:numPr>
        <w:jc w:val="both"/>
        <w:rPr>
          <w:sz w:val="26"/>
          <w:szCs w:val="26"/>
        </w:rPr>
      </w:pPr>
      <w:r>
        <w:rPr>
          <w:sz w:val="26"/>
          <w:szCs w:val="26"/>
        </w:rPr>
        <w:t>Competition Commission. (2013). Statutory audit services for large companies market investigation: Final report. https://www.gov.uk/government/publications/statutory-audit-services-market-investigation-final-report</w:t>
      </w:r>
    </w:p>
    <w:p w14:paraId="3DF6EEF0" w14:textId="77777777" w:rsidR="00BE4582" w:rsidRDefault="00BE4582">
      <w:pPr>
        <w:jc w:val="both"/>
        <w:rPr>
          <w:sz w:val="26"/>
          <w:szCs w:val="26"/>
        </w:rPr>
      </w:pPr>
    </w:p>
    <w:p w14:paraId="4539490D" w14:textId="77777777" w:rsidR="00BE4582" w:rsidRDefault="00000000">
      <w:pPr>
        <w:pStyle w:val="ListParagraph"/>
        <w:numPr>
          <w:ilvl w:val="0"/>
          <w:numId w:val="12"/>
        </w:numPr>
        <w:jc w:val="both"/>
        <w:rPr>
          <w:sz w:val="26"/>
          <w:szCs w:val="26"/>
        </w:rPr>
      </w:pPr>
      <w:r>
        <w:rPr>
          <w:sz w:val="26"/>
          <w:szCs w:val="26"/>
        </w:rPr>
        <w:t>Damodaran, A. (2001). Corporate finance: Theory and practice. Wiley. https://www.wiley.com/en-us/Corporate+Finance%3A+Theory+and+Practice%2C+2nd+Edition-p-9780471283324</w:t>
      </w:r>
    </w:p>
    <w:p w14:paraId="41B445B9" w14:textId="77777777" w:rsidR="00BE4582" w:rsidRDefault="00BE4582">
      <w:pPr>
        <w:jc w:val="both"/>
        <w:rPr>
          <w:sz w:val="26"/>
          <w:szCs w:val="26"/>
        </w:rPr>
      </w:pPr>
    </w:p>
    <w:p w14:paraId="3BE3A76B" w14:textId="77777777" w:rsidR="00BE4582" w:rsidRDefault="00000000">
      <w:pPr>
        <w:pStyle w:val="ListParagraph"/>
        <w:numPr>
          <w:ilvl w:val="0"/>
          <w:numId w:val="12"/>
        </w:numPr>
        <w:jc w:val="both"/>
        <w:rPr>
          <w:sz w:val="26"/>
          <w:szCs w:val="26"/>
        </w:rPr>
      </w:pPr>
      <w:r>
        <w:rPr>
          <w:sz w:val="26"/>
          <w:szCs w:val="26"/>
        </w:rPr>
        <w:t>Damodaran, A. (2012). Investment valuation: Tools and techniques for determining the value of any asset (3rd ed.). Wiley. https://www.wiley.com/en-</w:t>
      </w:r>
      <w:r>
        <w:rPr>
          <w:sz w:val="26"/>
          <w:szCs w:val="26"/>
        </w:rPr>
        <w:lastRenderedPageBreak/>
        <w:t>us/Investment+Valuation%3A+Tools+and+Techniques+for+Determining+the+Value+of+Any+Asset%2C+3rd+Edition-p-9781118011522</w:t>
      </w:r>
    </w:p>
    <w:p w14:paraId="279A8C37" w14:textId="77777777" w:rsidR="00BE4582" w:rsidRDefault="00BE4582">
      <w:pPr>
        <w:jc w:val="both"/>
        <w:rPr>
          <w:sz w:val="26"/>
          <w:szCs w:val="26"/>
        </w:rPr>
      </w:pPr>
    </w:p>
    <w:p w14:paraId="6F01D35F" w14:textId="77777777" w:rsidR="00BE4582" w:rsidRDefault="00000000">
      <w:pPr>
        <w:pStyle w:val="ListParagraph"/>
        <w:numPr>
          <w:ilvl w:val="0"/>
          <w:numId w:val="12"/>
        </w:numPr>
        <w:jc w:val="both"/>
        <w:rPr>
          <w:sz w:val="26"/>
          <w:szCs w:val="26"/>
        </w:rPr>
      </w:pPr>
      <w:r>
        <w:rPr>
          <w:sz w:val="26"/>
          <w:szCs w:val="26"/>
        </w:rPr>
        <w:t>DeAngelo, L. E. (1981). Auditor size and audit quality. Journal of Accounting and Economics, 3(3), 183-199. https://doi.org/10.1016/0165-4101(81)90002-1</w:t>
      </w:r>
    </w:p>
    <w:p w14:paraId="3416E8F6" w14:textId="77777777" w:rsidR="00BE4582" w:rsidRDefault="00BE4582">
      <w:pPr>
        <w:jc w:val="both"/>
        <w:rPr>
          <w:sz w:val="26"/>
          <w:szCs w:val="26"/>
        </w:rPr>
      </w:pPr>
    </w:p>
    <w:p w14:paraId="6DF3EC2C" w14:textId="77777777" w:rsidR="00BE4582" w:rsidRDefault="00000000">
      <w:pPr>
        <w:pStyle w:val="ListParagraph"/>
        <w:numPr>
          <w:ilvl w:val="0"/>
          <w:numId w:val="12"/>
        </w:numPr>
        <w:jc w:val="both"/>
        <w:rPr>
          <w:sz w:val="26"/>
          <w:szCs w:val="26"/>
        </w:rPr>
      </w:pPr>
      <w:r>
        <w:rPr>
          <w:sz w:val="26"/>
          <w:szCs w:val="26"/>
        </w:rPr>
        <w:t>Donaldson, T., &amp; Preston, L. E. (1995). The stakeholder theory of the corporation: Concepts, evidence, and implications. Academy of Management Review, 20(1), 65-91. https://doi.org/10.2307/258887</w:t>
      </w:r>
    </w:p>
    <w:p w14:paraId="41B846C6" w14:textId="77777777" w:rsidR="00BE4582" w:rsidRDefault="00BE4582">
      <w:pPr>
        <w:jc w:val="both"/>
        <w:rPr>
          <w:sz w:val="26"/>
          <w:szCs w:val="26"/>
        </w:rPr>
      </w:pPr>
    </w:p>
    <w:p w14:paraId="557FFE42" w14:textId="77777777" w:rsidR="00BE4582" w:rsidRDefault="00000000">
      <w:pPr>
        <w:pStyle w:val="ListParagraph"/>
        <w:numPr>
          <w:ilvl w:val="0"/>
          <w:numId w:val="12"/>
        </w:numPr>
        <w:jc w:val="both"/>
        <w:rPr>
          <w:sz w:val="26"/>
          <w:szCs w:val="26"/>
        </w:rPr>
      </w:pPr>
      <w:r>
        <w:rPr>
          <w:sz w:val="26"/>
          <w:szCs w:val="26"/>
        </w:rPr>
        <w:t>Elewa, M. M., &amp; El-Haddad, R. (2019). The effect of audit quality on firm performance: A panel data approach. International Journal of Accounting and Financial Reporting, 9(1), 229-247. https://doi.org/10.5296/ijafr.v9i1.14163</w:t>
      </w:r>
    </w:p>
    <w:p w14:paraId="2A4A0C22" w14:textId="77777777" w:rsidR="00BE4582" w:rsidRDefault="00BE4582">
      <w:pPr>
        <w:jc w:val="both"/>
        <w:rPr>
          <w:sz w:val="26"/>
          <w:szCs w:val="26"/>
        </w:rPr>
      </w:pPr>
    </w:p>
    <w:p w14:paraId="75C04C3D" w14:textId="77777777" w:rsidR="00BE4582" w:rsidRDefault="00000000">
      <w:pPr>
        <w:pStyle w:val="ListParagraph"/>
        <w:numPr>
          <w:ilvl w:val="0"/>
          <w:numId w:val="12"/>
        </w:numPr>
        <w:jc w:val="both"/>
        <w:rPr>
          <w:sz w:val="26"/>
          <w:szCs w:val="26"/>
        </w:rPr>
      </w:pPr>
      <w:r>
        <w:rPr>
          <w:sz w:val="26"/>
          <w:szCs w:val="26"/>
        </w:rPr>
        <w:t>European Commission. (2010). Green paper: Audit policy—Lessons from the crisis. https://eur-lex.europa.eu/legal-content/EN/TXT/PDF/?uri=CELEX:52010DC0561</w:t>
      </w:r>
    </w:p>
    <w:p w14:paraId="6D39C2D5" w14:textId="77777777" w:rsidR="00BE4582" w:rsidRDefault="00BE4582">
      <w:pPr>
        <w:jc w:val="both"/>
        <w:rPr>
          <w:sz w:val="26"/>
          <w:szCs w:val="26"/>
        </w:rPr>
      </w:pPr>
    </w:p>
    <w:p w14:paraId="5BF45D30" w14:textId="77777777" w:rsidR="00BE4582" w:rsidRDefault="00000000">
      <w:pPr>
        <w:pStyle w:val="ListParagraph"/>
        <w:numPr>
          <w:ilvl w:val="0"/>
          <w:numId w:val="12"/>
        </w:numPr>
        <w:jc w:val="both"/>
        <w:rPr>
          <w:sz w:val="26"/>
          <w:szCs w:val="26"/>
        </w:rPr>
      </w:pPr>
      <w:r>
        <w:rPr>
          <w:sz w:val="26"/>
          <w:szCs w:val="26"/>
        </w:rPr>
        <w:t>Fama, E. F., &amp; Jensen, M. C. (1983). Separation of ownership and control. The Journal of Law and Economics, 26(2), 301-325. https://doi.org/10.1086/467037</w:t>
      </w:r>
    </w:p>
    <w:p w14:paraId="48A7E55C" w14:textId="77777777" w:rsidR="00BE4582" w:rsidRDefault="00BE4582">
      <w:pPr>
        <w:jc w:val="both"/>
        <w:rPr>
          <w:sz w:val="26"/>
          <w:szCs w:val="26"/>
        </w:rPr>
      </w:pPr>
    </w:p>
    <w:p w14:paraId="6C16DBFA" w14:textId="77777777" w:rsidR="00BE4582" w:rsidRDefault="00000000">
      <w:pPr>
        <w:pStyle w:val="ListParagraph"/>
        <w:numPr>
          <w:ilvl w:val="0"/>
          <w:numId w:val="12"/>
        </w:numPr>
        <w:jc w:val="both"/>
        <w:rPr>
          <w:sz w:val="26"/>
          <w:szCs w:val="26"/>
        </w:rPr>
      </w:pPr>
      <w:r>
        <w:rPr>
          <w:sz w:val="26"/>
          <w:szCs w:val="26"/>
        </w:rPr>
        <w:t>Farouk, M., &amp; Hassan, M. (2014). Impact of audit quality on financial performance of quoted cement firms in Nigeria. International Journal of Accounting and Taxation, 2(2), 1-22. https://ijat.thebrpi.org/journals/ijat/Vol_2_No_2_June_2014/1.pdf</w:t>
      </w:r>
    </w:p>
    <w:p w14:paraId="4401F2B1" w14:textId="77777777" w:rsidR="00BE4582" w:rsidRDefault="00BE4582">
      <w:pPr>
        <w:jc w:val="both"/>
        <w:rPr>
          <w:sz w:val="26"/>
          <w:szCs w:val="26"/>
        </w:rPr>
      </w:pPr>
    </w:p>
    <w:p w14:paraId="19C8474C" w14:textId="77777777" w:rsidR="00BE4582" w:rsidRDefault="00000000">
      <w:pPr>
        <w:pStyle w:val="ListParagraph"/>
        <w:numPr>
          <w:ilvl w:val="0"/>
          <w:numId w:val="12"/>
        </w:numPr>
        <w:jc w:val="both"/>
        <w:rPr>
          <w:sz w:val="26"/>
          <w:szCs w:val="26"/>
        </w:rPr>
      </w:pPr>
      <w:r>
        <w:rPr>
          <w:sz w:val="26"/>
          <w:szCs w:val="26"/>
        </w:rPr>
        <w:t>Francis, J. R. (1984). The effect of audit firm size on audit prices. Journal of Accounting and Economics, 6(2), 133-151. https://doi.org/10.1016/0165-4101(84)90010-7</w:t>
      </w:r>
    </w:p>
    <w:p w14:paraId="3363DDAA" w14:textId="77777777" w:rsidR="00BE4582" w:rsidRDefault="00BE4582">
      <w:pPr>
        <w:jc w:val="both"/>
        <w:rPr>
          <w:sz w:val="26"/>
          <w:szCs w:val="26"/>
        </w:rPr>
      </w:pPr>
    </w:p>
    <w:p w14:paraId="193B9F4C" w14:textId="77777777" w:rsidR="00BE4582" w:rsidRDefault="00000000">
      <w:pPr>
        <w:pStyle w:val="ListParagraph"/>
        <w:numPr>
          <w:ilvl w:val="0"/>
          <w:numId w:val="12"/>
        </w:numPr>
        <w:jc w:val="both"/>
        <w:rPr>
          <w:sz w:val="26"/>
          <w:szCs w:val="26"/>
        </w:rPr>
      </w:pPr>
      <w:r>
        <w:rPr>
          <w:sz w:val="26"/>
          <w:szCs w:val="26"/>
        </w:rPr>
        <w:t>Francis, J., Olsson, P., &amp; Oswald, D. R. (2000). Comparing the accuracy and explainability of dividend, free cash flow, and abnormal earnings equity value estimates. Journal of Accounting Research, 38(1), 45-70. https://doi.org/10.2307/2672922</w:t>
      </w:r>
    </w:p>
    <w:p w14:paraId="1F5AE69A" w14:textId="77777777" w:rsidR="00BE4582" w:rsidRDefault="00BE4582">
      <w:pPr>
        <w:jc w:val="both"/>
        <w:rPr>
          <w:sz w:val="26"/>
          <w:szCs w:val="26"/>
        </w:rPr>
      </w:pPr>
    </w:p>
    <w:p w14:paraId="7D4D5A10" w14:textId="77777777" w:rsidR="00BE4582" w:rsidRDefault="00000000">
      <w:pPr>
        <w:pStyle w:val="ListParagraph"/>
        <w:numPr>
          <w:ilvl w:val="0"/>
          <w:numId w:val="12"/>
        </w:numPr>
        <w:jc w:val="both"/>
        <w:rPr>
          <w:sz w:val="26"/>
          <w:szCs w:val="26"/>
        </w:rPr>
      </w:pPr>
      <w:r>
        <w:rPr>
          <w:sz w:val="26"/>
          <w:szCs w:val="26"/>
        </w:rPr>
        <w:t>Freeman, R. E. (1984). Strategic management: A stakeholder approach. Pitman Publishing.</w:t>
      </w:r>
    </w:p>
    <w:p w14:paraId="1B8519E4" w14:textId="77777777" w:rsidR="00BE4582" w:rsidRDefault="00BE4582">
      <w:pPr>
        <w:jc w:val="both"/>
        <w:rPr>
          <w:sz w:val="26"/>
          <w:szCs w:val="26"/>
        </w:rPr>
      </w:pPr>
    </w:p>
    <w:p w14:paraId="5C3EFFE4" w14:textId="77777777" w:rsidR="00BE4582" w:rsidRDefault="00000000">
      <w:pPr>
        <w:pStyle w:val="ListParagraph"/>
        <w:numPr>
          <w:ilvl w:val="0"/>
          <w:numId w:val="12"/>
        </w:numPr>
        <w:jc w:val="both"/>
        <w:rPr>
          <w:sz w:val="26"/>
          <w:szCs w:val="26"/>
        </w:rPr>
      </w:pPr>
      <w:r>
        <w:rPr>
          <w:sz w:val="26"/>
          <w:szCs w:val="26"/>
        </w:rPr>
        <w:t>Ghafran, C., &amp; O'Sullivan, N. (2017). The impact of audit committee expertise on audit quality: Evidence from UK audit fees. The British Accounting Review, 49(6), 578–593. https://doi.org/10.1016/j.bar.2017.09.008</w:t>
      </w:r>
    </w:p>
    <w:p w14:paraId="77EBB347" w14:textId="77777777" w:rsidR="00BE4582" w:rsidRDefault="00BE4582">
      <w:pPr>
        <w:jc w:val="both"/>
        <w:rPr>
          <w:sz w:val="26"/>
          <w:szCs w:val="26"/>
        </w:rPr>
      </w:pPr>
    </w:p>
    <w:p w14:paraId="2849A8C0" w14:textId="77777777" w:rsidR="00BE4582" w:rsidRDefault="00000000">
      <w:pPr>
        <w:pStyle w:val="ListParagraph"/>
        <w:numPr>
          <w:ilvl w:val="0"/>
          <w:numId w:val="12"/>
        </w:numPr>
        <w:jc w:val="both"/>
        <w:rPr>
          <w:sz w:val="26"/>
          <w:szCs w:val="26"/>
        </w:rPr>
      </w:pPr>
      <w:r>
        <w:rPr>
          <w:sz w:val="26"/>
          <w:szCs w:val="26"/>
        </w:rPr>
        <w:t>Hamdy, A., Diab, A., &amp; Eissa, A. M. (2025). Digital transformation and the quality of accounting information systems in the public sector: Evidence from developing countries. International Journal of Financial Studies, 13(1), 30. https://doi.org/10.3390/ijfs13010030</w:t>
      </w:r>
    </w:p>
    <w:p w14:paraId="2CDB8E44" w14:textId="77777777" w:rsidR="00BE4582" w:rsidRDefault="00BE4582">
      <w:pPr>
        <w:jc w:val="both"/>
        <w:rPr>
          <w:sz w:val="26"/>
          <w:szCs w:val="26"/>
        </w:rPr>
      </w:pPr>
    </w:p>
    <w:p w14:paraId="7DED893C" w14:textId="77777777" w:rsidR="00BE4582" w:rsidRDefault="00000000">
      <w:pPr>
        <w:pStyle w:val="ListParagraph"/>
        <w:numPr>
          <w:ilvl w:val="0"/>
          <w:numId w:val="12"/>
        </w:numPr>
        <w:jc w:val="both"/>
        <w:rPr>
          <w:sz w:val="26"/>
          <w:szCs w:val="26"/>
        </w:rPr>
      </w:pPr>
      <w:r>
        <w:rPr>
          <w:sz w:val="26"/>
          <w:szCs w:val="26"/>
        </w:rPr>
        <w:t>Healy, P. M., &amp; Palepu, K. G. (2001). Information asymmetry, corporate disclosure, and the capital markets: A review of the empirical disclosure literature. Journal of Accounting and Economics, 31(1–3), 405–440. https://doi.org/10.1016/S0165-4101(01)00018-0</w:t>
      </w:r>
    </w:p>
    <w:p w14:paraId="1CB6CE64" w14:textId="77777777" w:rsidR="00BE4582" w:rsidRDefault="00BE4582">
      <w:pPr>
        <w:jc w:val="both"/>
        <w:rPr>
          <w:sz w:val="26"/>
          <w:szCs w:val="26"/>
        </w:rPr>
      </w:pPr>
    </w:p>
    <w:p w14:paraId="2C189517" w14:textId="77777777" w:rsidR="00BE4582" w:rsidRDefault="00000000">
      <w:pPr>
        <w:pStyle w:val="ListParagraph"/>
        <w:numPr>
          <w:ilvl w:val="0"/>
          <w:numId w:val="12"/>
        </w:numPr>
        <w:jc w:val="both"/>
        <w:rPr>
          <w:sz w:val="26"/>
          <w:szCs w:val="26"/>
        </w:rPr>
      </w:pPr>
      <w:r>
        <w:rPr>
          <w:sz w:val="26"/>
          <w:szCs w:val="26"/>
        </w:rPr>
        <w:t>Hillman, A. J., Withers, M. C., &amp; Collins, B. J. (2009). Resource dependence theory: A review. Journal of Management, 35(6), 1404–1427. https://doi.org/10.1177/0149206309343469</w:t>
      </w:r>
    </w:p>
    <w:p w14:paraId="461C6720" w14:textId="77777777" w:rsidR="00BE4582" w:rsidRDefault="00BE4582">
      <w:pPr>
        <w:jc w:val="both"/>
        <w:rPr>
          <w:sz w:val="26"/>
          <w:szCs w:val="26"/>
        </w:rPr>
      </w:pPr>
    </w:p>
    <w:p w14:paraId="4AAD1350" w14:textId="77777777" w:rsidR="00BE4582" w:rsidRDefault="00000000">
      <w:pPr>
        <w:pStyle w:val="ListParagraph"/>
        <w:numPr>
          <w:ilvl w:val="0"/>
          <w:numId w:val="12"/>
        </w:numPr>
        <w:jc w:val="both"/>
        <w:rPr>
          <w:sz w:val="26"/>
          <w:szCs w:val="26"/>
        </w:rPr>
      </w:pPr>
      <w:r>
        <w:rPr>
          <w:sz w:val="26"/>
          <w:szCs w:val="26"/>
        </w:rPr>
        <w:lastRenderedPageBreak/>
        <w:t>Hirhyel, I. A., &amp; Sadah, A. A. (2020). Audit quality and firm value of listed deposit money banks in Nigeria. International Journal of Economics and Financial Issues, 10(4), 269-282. https://arfjournals.com/image/52477_5_hirhyel_ibrahim.pdf</w:t>
      </w:r>
    </w:p>
    <w:p w14:paraId="6CCAB1FC" w14:textId="77777777" w:rsidR="00BE4582" w:rsidRDefault="00BE4582">
      <w:pPr>
        <w:jc w:val="both"/>
        <w:rPr>
          <w:sz w:val="26"/>
          <w:szCs w:val="26"/>
        </w:rPr>
      </w:pPr>
    </w:p>
    <w:p w14:paraId="371B0D27" w14:textId="77777777" w:rsidR="00BE4582" w:rsidRDefault="00000000">
      <w:pPr>
        <w:pStyle w:val="ListParagraph"/>
        <w:numPr>
          <w:ilvl w:val="0"/>
          <w:numId w:val="12"/>
        </w:numPr>
        <w:jc w:val="both"/>
        <w:rPr>
          <w:sz w:val="26"/>
          <w:szCs w:val="26"/>
        </w:rPr>
      </w:pPr>
      <w:r>
        <w:rPr>
          <w:sz w:val="26"/>
          <w:szCs w:val="26"/>
        </w:rPr>
        <w:t>Hsieh, T.-S., Kim, J.-B., Wang, R. R., &amp; Wang, Z. (2020). Seeing is believing? Executives' facial trustworthiness, auditor tenure, and audit fees. Journal of Accounting and Economics, 69(1), 101260. https://doi.org/10.1016/j.jacceco.2019.101260</w:t>
      </w:r>
    </w:p>
    <w:p w14:paraId="23D46DB5" w14:textId="77777777" w:rsidR="00BE4582" w:rsidRDefault="00BE4582">
      <w:pPr>
        <w:jc w:val="both"/>
        <w:rPr>
          <w:sz w:val="26"/>
          <w:szCs w:val="26"/>
        </w:rPr>
      </w:pPr>
    </w:p>
    <w:p w14:paraId="278178BF" w14:textId="77777777" w:rsidR="00BE4582" w:rsidRDefault="00000000">
      <w:pPr>
        <w:pStyle w:val="ListParagraph"/>
        <w:numPr>
          <w:ilvl w:val="0"/>
          <w:numId w:val="12"/>
        </w:numPr>
        <w:jc w:val="both"/>
        <w:rPr>
          <w:sz w:val="26"/>
          <w:szCs w:val="26"/>
        </w:rPr>
      </w:pPr>
      <w:r>
        <w:rPr>
          <w:sz w:val="26"/>
          <w:szCs w:val="26"/>
        </w:rPr>
        <w:t>IESBA. (2013). Handbook of the code of ethics for professional accountants. International Ethics Standards Board for Accountants. https://www.ethicsboard.org/publications/2013-handbook-code-ethics-professional-accountants</w:t>
      </w:r>
    </w:p>
    <w:p w14:paraId="2D01EF82" w14:textId="77777777" w:rsidR="00BE4582" w:rsidRDefault="00BE4582">
      <w:pPr>
        <w:jc w:val="both"/>
        <w:rPr>
          <w:sz w:val="26"/>
          <w:szCs w:val="26"/>
        </w:rPr>
      </w:pPr>
    </w:p>
    <w:p w14:paraId="3E4E29F0" w14:textId="77777777" w:rsidR="00BE4582" w:rsidRDefault="00000000">
      <w:pPr>
        <w:pStyle w:val="ListParagraph"/>
        <w:numPr>
          <w:ilvl w:val="0"/>
          <w:numId w:val="12"/>
        </w:numPr>
        <w:jc w:val="both"/>
        <w:rPr>
          <w:sz w:val="26"/>
          <w:szCs w:val="26"/>
        </w:rPr>
      </w:pPr>
      <w:r>
        <w:rPr>
          <w:sz w:val="26"/>
          <w:szCs w:val="26"/>
        </w:rPr>
        <w:t>Jensen, M. C., &amp; Meckling, W. H. (1976). Theory of the firm: Managerial behavior, agency costs and ownership structure. Journal of Financial Economics, 3(4), 305–360. https://doi.org/10.1016/0304-405X(76)90026-X</w:t>
      </w:r>
    </w:p>
    <w:p w14:paraId="57ABC29D" w14:textId="77777777" w:rsidR="00BE4582" w:rsidRDefault="00BE4582">
      <w:pPr>
        <w:jc w:val="both"/>
        <w:rPr>
          <w:sz w:val="26"/>
          <w:szCs w:val="26"/>
        </w:rPr>
      </w:pPr>
    </w:p>
    <w:p w14:paraId="7355E67C" w14:textId="77777777" w:rsidR="00BE4582" w:rsidRDefault="00000000">
      <w:pPr>
        <w:pStyle w:val="ListParagraph"/>
        <w:numPr>
          <w:ilvl w:val="0"/>
          <w:numId w:val="12"/>
        </w:numPr>
        <w:jc w:val="both"/>
        <w:rPr>
          <w:sz w:val="26"/>
          <w:szCs w:val="26"/>
        </w:rPr>
      </w:pPr>
      <w:r>
        <w:rPr>
          <w:sz w:val="26"/>
          <w:szCs w:val="26"/>
        </w:rPr>
        <w:t>Johari, R. J., Ridzoan, N. S., &amp; Zarefar, A. (2019). The influence of work overload, time pressure and social influence pressure on auditors' job performance. International Journal of Financial Research, 10(3), 88-106. https://doi.org/10.5430/ijfr.v10n3p88</w:t>
      </w:r>
    </w:p>
    <w:p w14:paraId="41782100" w14:textId="77777777" w:rsidR="00BE4582" w:rsidRDefault="00BE4582">
      <w:pPr>
        <w:jc w:val="both"/>
        <w:rPr>
          <w:sz w:val="26"/>
          <w:szCs w:val="26"/>
        </w:rPr>
      </w:pPr>
    </w:p>
    <w:p w14:paraId="3896E3E1" w14:textId="77777777" w:rsidR="00BE4582" w:rsidRDefault="00000000">
      <w:pPr>
        <w:pStyle w:val="ListParagraph"/>
        <w:numPr>
          <w:ilvl w:val="0"/>
          <w:numId w:val="12"/>
        </w:numPr>
        <w:jc w:val="both"/>
        <w:rPr>
          <w:sz w:val="26"/>
          <w:szCs w:val="26"/>
        </w:rPr>
      </w:pPr>
      <w:r>
        <w:rPr>
          <w:sz w:val="26"/>
          <w:szCs w:val="26"/>
        </w:rPr>
        <w:t>Kajola, S. O. (2008). Corporate governance and firm performance: The case of Nigerian listed firms. European Journal of Economics, Finance and Administrative Sciences, 14, 16-28. https://www.researchgate.net/publication/26737030_Corporate_Governance_and_Firm_Performance_The_Case_of_Nigerian_Listed_Firms</w:t>
      </w:r>
    </w:p>
    <w:p w14:paraId="0FB0F147" w14:textId="77777777" w:rsidR="00BE4582" w:rsidRDefault="00BE4582">
      <w:pPr>
        <w:jc w:val="both"/>
        <w:rPr>
          <w:sz w:val="26"/>
          <w:szCs w:val="26"/>
        </w:rPr>
      </w:pPr>
    </w:p>
    <w:p w14:paraId="1224EFA9" w14:textId="77777777" w:rsidR="00BE4582" w:rsidRDefault="00000000">
      <w:pPr>
        <w:pStyle w:val="ListParagraph"/>
        <w:numPr>
          <w:ilvl w:val="0"/>
          <w:numId w:val="12"/>
        </w:numPr>
        <w:jc w:val="both"/>
        <w:rPr>
          <w:sz w:val="26"/>
          <w:szCs w:val="26"/>
        </w:rPr>
      </w:pPr>
      <w:r>
        <w:rPr>
          <w:sz w:val="26"/>
          <w:szCs w:val="26"/>
        </w:rPr>
        <w:lastRenderedPageBreak/>
        <w:t>Kammoun, I., &amp; Khoufi, W. (2023). Sustainable performance, conditional conservatism and audit fees. Journal of Financial Reporting and Accounting, 21(2), 412-435. https://doi.org/10.1108/JFRA-10-2022-0396</w:t>
      </w:r>
    </w:p>
    <w:p w14:paraId="2E0AE915" w14:textId="77777777" w:rsidR="00BE4582" w:rsidRDefault="00BE4582">
      <w:pPr>
        <w:jc w:val="both"/>
        <w:rPr>
          <w:sz w:val="26"/>
          <w:szCs w:val="26"/>
        </w:rPr>
      </w:pPr>
    </w:p>
    <w:p w14:paraId="739C976D" w14:textId="77777777" w:rsidR="00BE4582" w:rsidRDefault="00000000">
      <w:pPr>
        <w:pStyle w:val="ListParagraph"/>
        <w:numPr>
          <w:ilvl w:val="0"/>
          <w:numId w:val="12"/>
        </w:numPr>
        <w:jc w:val="both"/>
        <w:rPr>
          <w:sz w:val="26"/>
          <w:szCs w:val="26"/>
        </w:rPr>
      </w:pPr>
      <w:r>
        <w:rPr>
          <w:sz w:val="26"/>
          <w:szCs w:val="26"/>
        </w:rPr>
        <w:t>Kartika, D., &amp; Pramuka, B. A. (2019). The influence of competency, independency, and professionalism on audit quality. Journal of Accounting and Strategic Finance, 2(2), 157–169. https://doi.org/10.33005/jasf.v2i2.58</w:t>
      </w:r>
    </w:p>
    <w:p w14:paraId="596A37C4" w14:textId="77777777" w:rsidR="00BE4582" w:rsidRDefault="00BE4582">
      <w:pPr>
        <w:jc w:val="both"/>
        <w:rPr>
          <w:sz w:val="26"/>
          <w:szCs w:val="26"/>
        </w:rPr>
      </w:pPr>
    </w:p>
    <w:p w14:paraId="5AEA4E1E" w14:textId="77777777" w:rsidR="00BE4582" w:rsidRDefault="00000000">
      <w:pPr>
        <w:pStyle w:val="ListParagraph"/>
        <w:numPr>
          <w:ilvl w:val="0"/>
          <w:numId w:val="12"/>
        </w:numPr>
        <w:jc w:val="both"/>
        <w:rPr>
          <w:sz w:val="26"/>
          <w:szCs w:val="26"/>
        </w:rPr>
      </w:pPr>
      <w:r>
        <w:rPr>
          <w:sz w:val="26"/>
          <w:szCs w:val="26"/>
        </w:rPr>
        <w:t>KPMG. (2022). KPMG transparency report 2021: Dedicated to trust, committed to quality. KPMG International.</w:t>
      </w:r>
    </w:p>
    <w:p w14:paraId="69C3AEA9" w14:textId="77777777" w:rsidR="00BE4582" w:rsidRDefault="00BE4582">
      <w:pPr>
        <w:jc w:val="both"/>
        <w:rPr>
          <w:sz w:val="26"/>
          <w:szCs w:val="26"/>
        </w:rPr>
      </w:pPr>
    </w:p>
    <w:p w14:paraId="13107A77" w14:textId="77777777" w:rsidR="00BE4582" w:rsidRDefault="00000000">
      <w:pPr>
        <w:pStyle w:val="ListParagraph"/>
        <w:numPr>
          <w:ilvl w:val="0"/>
          <w:numId w:val="12"/>
        </w:numPr>
        <w:jc w:val="both"/>
        <w:rPr>
          <w:sz w:val="26"/>
          <w:szCs w:val="26"/>
        </w:rPr>
      </w:pPr>
      <w:r>
        <w:rPr>
          <w:sz w:val="26"/>
          <w:szCs w:val="26"/>
        </w:rPr>
        <w:t>Lonkani, R. (2018). Firm value. In InTech eBooks. https://doi.org/10.5772/intechopen.77342</w:t>
      </w:r>
    </w:p>
    <w:p w14:paraId="7A36DE60" w14:textId="77777777" w:rsidR="00BE4582" w:rsidRDefault="00BE4582">
      <w:pPr>
        <w:jc w:val="both"/>
        <w:rPr>
          <w:sz w:val="26"/>
          <w:szCs w:val="26"/>
        </w:rPr>
      </w:pPr>
    </w:p>
    <w:p w14:paraId="25FDFD17" w14:textId="77777777" w:rsidR="00BE4582" w:rsidRDefault="00000000">
      <w:pPr>
        <w:pStyle w:val="ListParagraph"/>
        <w:numPr>
          <w:ilvl w:val="0"/>
          <w:numId w:val="12"/>
        </w:numPr>
        <w:jc w:val="both"/>
        <w:rPr>
          <w:sz w:val="26"/>
          <w:szCs w:val="26"/>
        </w:rPr>
      </w:pPr>
      <w:r>
        <w:rPr>
          <w:sz w:val="26"/>
          <w:szCs w:val="26"/>
        </w:rPr>
        <w:t>Louis, H., Robinson, D., &amp; Sun, A. X. (2019). Perceived audit quality and firm value: Evidence from investors' reaction to the revelation of limiting liability agreements in audit engagement letters. SSRN Electronic Journal. https://doi.org/10.2139/ssrn.3347397</w:t>
      </w:r>
    </w:p>
    <w:p w14:paraId="1BE32AB5" w14:textId="77777777" w:rsidR="00BE4582" w:rsidRDefault="00BE4582">
      <w:pPr>
        <w:jc w:val="both"/>
        <w:rPr>
          <w:sz w:val="26"/>
          <w:szCs w:val="26"/>
        </w:rPr>
      </w:pPr>
    </w:p>
    <w:p w14:paraId="74EA22F0" w14:textId="77777777" w:rsidR="00BE4582" w:rsidRDefault="00000000">
      <w:pPr>
        <w:pStyle w:val="ListParagraph"/>
        <w:numPr>
          <w:ilvl w:val="0"/>
          <w:numId w:val="12"/>
        </w:numPr>
        <w:jc w:val="both"/>
        <w:rPr>
          <w:sz w:val="26"/>
          <w:szCs w:val="26"/>
        </w:rPr>
      </w:pPr>
      <w:r>
        <w:rPr>
          <w:sz w:val="26"/>
          <w:szCs w:val="26"/>
        </w:rPr>
        <w:t>Marnet, O., Gwilliam, D., &amp; Teng, C. M. (2014). How does joint provision of audit and non-audit services affect audit quality and independence? A review. Chartered Accountants' Trustees Limited. http://eprints.soton.ac.uk/id/eprint/380983</w:t>
      </w:r>
    </w:p>
    <w:p w14:paraId="554B5270" w14:textId="77777777" w:rsidR="00BE4582" w:rsidRDefault="00BE4582">
      <w:pPr>
        <w:jc w:val="both"/>
        <w:rPr>
          <w:sz w:val="26"/>
          <w:szCs w:val="26"/>
        </w:rPr>
      </w:pPr>
    </w:p>
    <w:p w14:paraId="45A67944" w14:textId="77777777" w:rsidR="00BE4582" w:rsidRDefault="00000000">
      <w:pPr>
        <w:pStyle w:val="ListParagraph"/>
        <w:numPr>
          <w:ilvl w:val="0"/>
          <w:numId w:val="12"/>
        </w:numPr>
        <w:jc w:val="both"/>
        <w:rPr>
          <w:sz w:val="26"/>
          <w:szCs w:val="26"/>
        </w:rPr>
      </w:pPr>
      <w:r>
        <w:rPr>
          <w:sz w:val="26"/>
          <w:szCs w:val="26"/>
        </w:rPr>
        <w:t>Matoke, V. N., &amp; Omwenga, J. (2016). Audit quality and financial performance of companies listed in Nairobi Securities Exchange. International Journal of Scientific and Research Publications, 6(11), 372-381. https://www.ijsrp.org/research-paper-1116/ijsrp-p5954.pdf</w:t>
      </w:r>
    </w:p>
    <w:p w14:paraId="1E86F2BB" w14:textId="77777777" w:rsidR="00BE4582" w:rsidRDefault="00BE4582">
      <w:pPr>
        <w:jc w:val="both"/>
        <w:rPr>
          <w:sz w:val="26"/>
          <w:szCs w:val="26"/>
        </w:rPr>
      </w:pPr>
    </w:p>
    <w:p w14:paraId="3A1ABF49" w14:textId="77777777" w:rsidR="00BE4582" w:rsidRDefault="00000000">
      <w:pPr>
        <w:pStyle w:val="ListParagraph"/>
        <w:numPr>
          <w:ilvl w:val="0"/>
          <w:numId w:val="12"/>
        </w:numPr>
        <w:jc w:val="both"/>
        <w:rPr>
          <w:sz w:val="26"/>
          <w:szCs w:val="26"/>
        </w:rPr>
      </w:pPr>
      <w:r>
        <w:rPr>
          <w:sz w:val="26"/>
          <w:szCs w:val="26"/>
        </w:rPr>
        <w:lastRenderedPageBreak/>
        <w:t>Munter, P. (2021, October 26). The importance of high-quality independent audits and effective audit committee oversight to high quality financial reporting to investors. U.S. Securities and Exchange Commission. https://www.sec.gov/news/speech/munter-audit-2021-10-26</w:t>
      </w:r>
    </w:p>
    <w:p w14:paraId="2F2914B5" w14:textId="77777777" w:rsidR="00BE4582" w:rsidRDefault="00BE4582">
      <w:pPr>
        <w:jc w:val="both"/>
        <w:rPr>
          <w:sz w:val="26"/>
          <w:szCs w:val="26"/>
        </w:rPr>
      </w:pPr>
    </w:p>
    <w:p w14:paraId="560C3EA4" w14:textId="77777777" w:rsidR="00BE4582" w:rsidRDefault="00000000">
      <w:pPr>
        <w:pStyle w:val="ListParagraph"/>
        <w:numPr>
          <w:ilvl w:val="0"/>
          <w:numId w:val="12"/>
        </w:numPr>
        <w:jc w:val="both"/>
        <w:rPr>
          <w:sz w:val="26"/>
          <w:szCs w:val="26"/>
        </w:rPr>
      </w:pPr>
      <w:r>
        <w:rPr>
          <w:sz w:val="26"/>
          <w:szCs w:val="26"/>
        </w:rPr>
        <w:t>Mwangi, J. (2024). Effect of audit quality on earnings management practices. American Journal of Accounting, 6(1), 1–12. https://doi.org/10.47672/ajacc.1783</w:t>
      </w:r>
    </w:p>
    <w:p w14:paraId="2ECC0015" w14:textId="77777777" w:rsidR="00BE4582" w:rsidRDefault="00BE4582">
      <w:pPr>
        <w:jc w:val="both"/>
        <w:rPr>
          <w:sz w:val="26"/>
          <w:szCs w:val="26"/>
        </w:rPr>
      </w:pPr>
    </w:p>
    <w:p w14:paraId="632BEBAF" w14:textId="77777777" w:rsidR="00BE4582" w:rsidRDefault="00000000">
      <w:pPr>
        <w:pStyle w:val="ListParagraph"/>
        <w:numPr>
          <w:ilvl w:val="0"/>
          <w:numId w:val="12"/>
        </w:numPr>
        <w:jc w:val="both"/>
        <w:rPr>
          <w:sz w:val="26"/>
          <w:szCs w:val="26"/>
        </w:rPr>
      </w:pPr>
      <w:r>
        <w:rPr>
          <w:sz w:val="26"/>
          <w:szCs w:val="26"/>
        </w:rPr>
        <w:t>Nirmala, P. S., Sanju, P. S., &amp; Ramachandran, M. (2011). Determinants of share prices in India. Journal of Emerging Trends in Economics and Management Sciences, 2(2), 124-130. https://www.scholarlinkresearch.com/articles/Determinants%20of%20Share%20Prices%20in%20India.pdf</w:t>
      </w:r>
    </w:p>
    <w:p w14:paraId="26FD9269" w14:textId="77777777" w:rsidR="00BE4582" w:rsidRDefault="00BE4582">
      <w:pPr>
        <w:jc w:val="both"/>
        <w:rPr>
          <w:sz w:val="26"/>
          <w:szCs w:val="26"/>
        </w:rPr>
      </w:pPr>
    </w:p>
    <w:p w14:paraId="68E686F5" w14:textId="77777777" w:rsidR="00BE4582" w:rsidRDefault="00000000">
      <w:pPr>
        <w:pStyle w:val="ListParagraph"/>
        <w:numPr>
          <w:ilvl w:val="0"/>
          <w:numId w:val="12"/>
        </w:numPr>
        <w:jc w:val="both"/>
        <w:rPr>
          <w:sz w:val="26"/>
          <w:szCs w:val="26"/>
        </w:rPr>
      </w:pPr>
      <w:r>
        <w:rPr>
          <w:sz w:val="26"/>
          <w:szCs w:val="26"/>
        </w:rPr>
        <w:t>Nurisyah, N., &amp; Setiany, E. (2022). The effect of good corporate governance and earnings quality on firm value: An empirical study of LQ 45 Companies, Indonesia. Journal of Economics Finance and Accounting Studies, 4(2), 78–90. https://doi.org/10.32996/jefas.2022.4.2.7</w:t>
      </w:r>
    </w:p>
    <w:p w14:paraId="6ED44369" w14:textId="77777777" w:rsidR="00BE4582" w:rsidRDefault="00BE4582">
      <w:pPr>
        <w:jc w:val="both"/>
        <w:rPr>
          <w:sz w:val="26"/>
          <w:szCs w:val="26"/>
        </w:rPr>
      </w:pPr>
    </w:p>
    <w:p w14:paraId="602B0E40" w14:textId="77777777" w:rsidR="00BE4582" w:rsidRDefault="00000000">
      <w:pPr>
        <w:pStyle w:val="ListParagraph"/>
        <w:numPr>
          <w:ilvl w:val="0"/>
          <w:numId w:val="12"/>
        </w:numPr>
        <w:jc w:val="both"/>
        <w:rPr>
          <w:sz w:val="26"/>
          <w:szCs w:val="26"/>
        </w:rPr>
      </w:pPr>
      <w:r>
        <w:rPr>
          <w:sz w:val="26"/>
          <w:szCs w:val="26"/>
        </w:rPr>
        <w:t>Pandy, I. M. (2018). Financial management (10th ed.). Vikas Publishing House.</w:t>
      </w:r>
    </w:p>
    <w:p w14:paraId="6ECE97DF" w14:textId="77777777" w:rsidR="00BE4582" w:rsidRDefault="00BE4582">
      <w:pPr>
        <w:jc w:val="both"/>
        <w:rPr>
          <w:sz w:val="26"/>
          <w:szCs w:val="26"/>
        </w:rPr>
      </w:pPr>
    </w:p>
    <w:p w14:paraId="06A53210" w14:textId="77777777" w:rsidR="00BE4582" w:rsidRDefault="00000000">
      <w:pPr>
        <w:pStyle w:val="ListParagraph"/>
        <w:numPr>
          <w:ilvl w:val="0"/>
          <w:numId w:val="12"/>
        </w:numPr>
        <w:jc w:val="both"/>
        <w:rPr>
          <w:sz w:val="26"/>
          <w:szCs w:val="26"/>
        </w:rPr>
      </w:pPr>
      <w:r>
        <w:rPr>
          <w:sz w:val="26"/>
          <w:szCs w:val="26"/>
        </w:rPr>
        <w:t>Pratiti, N. D., Holiawati, N., &amp; Suripto, N. (2024). Audit quality moderates corporate social responsibility and good corporate governance relations on firm value. International Journal of Accounting Management Economics and Social Sciences (IJAMESC), 2(5), 1583–1599. https://doi.org/10.61990/ijamesc.v2i5.294</w:t>
      </w:r>
    </w:p>
    <w:p w14:paraId="0A7E4098" w14:textId="77777777" w:rsidR="00BE4582" w:rsidRDefault="00BE4582">
      <w:pPr>
        <w:jc w:val="both"/>
        <w:rPr>
          <w:sz w:val="26"/>
          <w:szCs w:val="26"/>
        </w:rPr>
      </w:pPr>
    </w:p>
    <w:p w14:paraId="2880C436" w14:textId="77777777" w:rsidR="00BE4582" w:rsidRDefault="00000000">
      <w:pPr>
        <w:pStyle w:val="ListParagraph"/>
        <w:numPr>
          <w:ilvl w:val="0"/>
          <w:numId w:val="12"/>
        </w:numPr>
        <w:jc w:val="both"/>
        <w:rPr>
          <w:sz w:val="26"/>
          <w:szCs w:val="26"/>
        </w:rPr>
      </w:pPr>
      <w:r>
        <w:rPr>
          <w:sz w:val="26"/>
          <w:szCs w:val="26"/>
        </w:rPr>
        <w:t>Revsine, L., Collins, D. W., Johnson, W. B., Mittelstaedt, H. F., &amp; Soffer, L. C. (2021). Financial reporting and analysis. McGraw-Hill Education. https://www.vitalsource.com/products/financial-reporting-and-analysis-lawrence-revsine-v9781264097005</w:t>
      </w:r>
    </w:p>
    <w:p w14:paraId="6EF41FE9" w14:textId="77777777" w:rsidR="00BE4582" w:rsidRDefault="00BE4582">
      <w:pPr>
        <w:jc w:val="both"/>
        <w:rPr>
          <w:sz w:val="26"/>
          <w:szCs w:val="26"/>
        </w:rPr>
      </w:pPr>
    </w:p>
    <w:p w14:paraId="267914BF" w14:textId="77777777" w:rsidR="00BE4582" w:rsidRDefault="00000000">
      <w:pPr>
        <w:pStyle w:val="ListParagraph"/>
        <w:numPr>
          <w:ilvl w:val="0"/>
          <w:numId w:val="12"/>
        </w:numPr>
        <w:jc w:val="both"/>
        <w:rPr>
          <w:sz w:val="26"/>
          <w:szCs w:val="26"/>
        </w:rPr>
      </w:pPr>
      <w:r>
        <w:rPr>
          <w:sz w:val="26"/>
          <w:szCs w:val="26"/>
        </w:rPr>
        <w:t>Ross, S. A. (1977). The determination of financial structure: The incentive-signalling approach. Bell Journal of Economics, 8(1), 23-40. https://doi.org/10.2307/3003485</w:t>
      </w:r>
    </w:p>
    <w:p w14:paraId="0E1DBAD5" w14:textId="77777777" w:rsidR="00BE4582" w:rsidRDefault="00BE4582">
      <w:pPr>
        <w:jc w:val="both"/>
        <w:rPr>
          <w:sz w:val="26"/>
          <w:szCs w:val="26"/>
        </w:rPr>
      </w:pPr>
    </w:p>
    <w:p w14:paraId="25952FE2" w14:textId="77777777" w:rsidR="00BE4582" w:rsidRDefault="00000000">
      <w:pPr>
        <w:pStyle w:val="ListParagraph"/>
        <w:numPr>
          <w:ilvl w:val="0"/>
          <w:numId w:val="12"/>
        </w:numPr>
        <w:jc w:val="both"/>
        <w:rPr>
          <w:sz w:val="26"/>
          <w:szCs w:val="26"/>
        </w:rPr>
      </w:pPr>
      <w:r>
        <w:rPr>
          <w:sz w:val="26"/>
          <w:szCs w:val="26"/>
        </w:rPr>
        <w:t>Salehi, M., Moradi, M., &amp; Faysal, S. (2023). The relationship between corporate governance and cost of equity: Evidence from the ISIS era in Iraq. International Journal of Emerging Markets, 19(10), 3374–3392. https://doi.org/10.1108/ijoem-07-2020-0739</w:t>
      </w:r>
    </w:p>
    <w:p w14:paraId="675AB4E9" w14:textId="77777777" w:rsidR="00BE4582" w:rsidRDefault="00BE4582">
      <w:pPr>
        <w:jc w:val="both"/>
        <w:rPr>
          <w:sz w:val="26"/>
          <w:szCs w:val="26"/>
        </w:rPr>
      </w:pPr>
    </w:p>
    <w:p w14:paraId="1DDB373F" w14:textId="77777777" w:rsidR="00BE4582" w:rsidRDefault="00000000">
      <w:pPr>
        <w:pStyle w:val="ListParagraph"/>
        <w:numPr>
          <w:ilvl w:val="0"/>
          <w:numId w:val="12"/>
        </w:numPr>
        <w:jc w:val="both"/>
        <w:rPr>
          <w:sz w:val="26"/>
          <w:szCs w:val="26"/>
        </w:rPr>
      </w:pPr>
      <w:r>
        <w:rPr>
          <w:sz w:val="26"/>
          <w:szCs w:val="26"/>
        </w:rPr>
        <w:t>Sharma, D. S. (2011). Determinants of equity share prices in India. Journal of Arts, Science &amp; Commerce, 2(4), 134-141. https://www.researchersworld.com/index.php/rworld/article/view/303</w:t>
      </w:r>
    </w:p>
    <w:p w14:paraId="7DE3353D" w14:textId="77777777" w:rsidR="00BE4582" w:rsidRDefault="00BE4582">
      <w:pPr>
        <w:jc w:val="both"/>
        <w:rPr>
          <w:sz w:val="26"/>
          <w:szCs w:val="26"/>
        </w:rPr>
      </w:pPr>
    </w:p>
    <w:p w14:paraId="107E5EB2" w14:textId="77777777" w:rsidR="00BE4582" w:rsidRDefault="00000000">
      <w:pPr>
        <w:pStyle w:val="ListParagraph"/>
        <w:numPr>
          <w:ilvl w:val="0"/>
          <w:numId w:val="12"/>
        </w:numPr>
        <w:jc w:val="both"/>
        <w:rPr>
          <w:sz w:val="26"/>
          <w:szCs w:val="26"/>
        </w:rPr>
      </w:pPr>
      <w:r>
        <w:rPr>
          <w:sz w:val="26"/>
          <w:szCs w:val="26"/>
        </w:rPr>
        <w:t>Spence, M. (1973). Job market signaling. The Quarterly Journal of Economics, 87(3), 355–374. https://doi.org/10.2307/1882010</w:t>
      </w:r>
    </w:p>
    <w:p w14:paraId="5B039E1E" w14:textId="77777777" w:rsidR="00BE4582" w:rsidRDefault="00BE4582">
      <w:pPr>
        <w:jc w:val="both"/>
        <w:rPr>
          <w:sz w:val="26"/>
          <w:szCs w:val="26"/>
        </w:rPr>
      </w:pPr>
    </w:p>
    <w:p w14:paraId="34D5BB5E" w14:textId="77777777" w:rsidR="00BE4582" w:rsidRDefault="00000000">
      <w:pPr>
        <w:pStyle w:val="ListParagraph"/>
        <w:numPr>
          <w:ilvl w:val="0"/>
          <w:numId w:val="12"/>
        </w:numPr>
        <w:jc w:val="both"/>
        <w:rPr>
          <w:sz w:val="26"/>
          <w:szCs w:val="26"/>
        </w:rPr>
      </w:pPr>
      <w:r>
        <w:rPr>
          <w:sz w:val="26"/>
          <w:szCs w:val="26"/>
        </w:rPr>
        <w:t>Sulaiman, N. A. (2017). Oversight of audit quality in the UK: Insights into audit committee conduct. Meditari Accountancy Research, 25(3), 351–367. https://doi.org/10.1108/MEDAR-08-2016-0074</w:t>
      </w:r>
    </w:p>
    <w:p w14:paraId="0681D028" w14:textId="77777777" w:rsidR="00BE4582" w:rsidRDefault="00BE4582">
      <w:pPr>
        <w:jc w:val="both"/>
        <w:rPr>
          <w:sz w:val="26"/>
          <w:szCs w:val="26"/>
        </w:rPr>
      </w:pPr>
    </w:p>
    <w:p w14:paraId="3D1B3B30" w14:textId="77777777" w:rsidR="00BE4582" w:rsidRDefault="00000000">
      <w:pPr>
        <w:pStyle w:val="ListParagraph"/>
        <w:numPr>
          <w:ilvl w:val="0"/>
          <w:numId w:val="12"/>
        </w:numPr>
        <w:jc w:val="both"/>
        <w:rPr>
          <w:sz w:val="26"/>
          <w:szCs w:val="26"/>
        </w:rPr>
      </w:pPr>
      <w:r>
        <w:rPr>
          <w:sz w:val="26"/>
          <w:szCs w:val="26"/>
        </w:rPr>
        <w:t>Syofyan, E., Septiari, D., Dwita, S., &amp; Rahmi, M. (2021). The characteristics of the audit committee affecting timeliness of the audit report in Indonesia. Cogent Business &amp; Management, 8(1), 1935183. https://doi.org/10.1080/23311975.2021.1935183</w:t>
      </w:r>
    </w:p>
    <w:p w14:paraId="58BA842A" w14:textId="77777777" w:rsidR="00BE4582" w:rsidRDefault="00BE4582">
      <w:pPr>
        <w:jc w:val="both"/>
        <w:rPr>
          <w:sz w:val="26"/>
          <w:szCs w:val="26"/>
        </w:rPr>
      </w:pPr>
    </w:p>
    <w:p w14:paraId="066D3666" w14:textId="77777777" w:rsidR="00BE4582" w:rsidRDefault="00000000">
      <w:pPr>
        <w:pStyle w:val="ListParagraph"/>
        <w:numPr>
          <w:ilvl w:val="0"/>
          <w:numId w:val="12"/>
        </w:numPr>
        <w:jc w:val="both"/>
        <w:rPr>
          <w:sz w:val="26"/>
          <w:szCs w:val="26"/>
        </w:rPr>
      </w:pPr>
      <w:r>
        <w:rPr>
          <w:sz w:val="26"/>
          <w:szCs w:val="26"/>
        </w:rPr>
        <w:t>Wijaya, A. L. (2020). The effect of audit quality on firm value: A case in Indonesian manufacturing firm. Journal of Accounting Finance and Auditing Studies, 6(1), 1–15. https://doi.org/10.32602/jafas.2020.001</w:t>
      </w:r>
    </w:p>
    <w:p w14:paraId="26CC9330" w14:textId="77777777" w:rsidR="00BE4582" w:rsidRDefault="00BE4582">
      <w:pPr>
        <w:jc w:val="both"/>
        <w:rPr>
          <w:sz w:val="26"/>
          <w:szCs w:val="26"/>
        </w:rPr>
      </w:pPr>
    </w:p>
    <w:p w14:paraId="113771C1" w14:textId="77777777" w:rsidR="00BE4582" w:rsidRDefault="00000000">
      <w:pPr>
        <w:pStyle w:val="ListParagraph"/>
        <w:numPr>
          <w:ilvl w:val="0"/>
          <w:numId w:val="12"/>
        </w:numPr>
        <w:jc w:val="both"/>
        <w:rPr>
          <w:sz w:val="26"/>
          <w:szCs w:val="26"/>
        </w:rPr>
      </w:pPr>
      <w:r>
        <w:rPr>
          <w:sz w:val="26"/>
          <w:szCs w:val="26"/>
        </w:rPr>
        <w:lastRenderedPageBreak/>
        <w:t>Zheng, X., &amp; Wang, Z. (2025). Impact of audit fee on financial reporting quality: Evidence from listed companies in China. Engineering Economics, 36(4), 399–412. https://doi.org/10.5755/j01.ee.36.4.26107</w:t>
      </w:r>
    </w:p>
    <w:p w14:paraId="1713C05F" w14:textId="77777777" w:rsidR="00BE4582" w:rsidRDefault="00BE4582">
      <w:pPr>
        <w:jc w:val="both"/>
        <w:rPr>
          <w:sz w:val="26"/>
          <w:szCs w:val="26"/>
        </w:rPr>
      </w:pPr>
    </w:p>
    <w:sectPr w:rsidR="00BE4582">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00FC" w14:textId="77777777" w:rsidR="003A23CC" w:rsidRDefault="003A23CC">
      <w:pPr>
        <w:spacing w:after="0" w:line="240" w:lineRule="auto"/>
      </w:pPr>
      <w:r>
        <w:separator/>
      </w:r>
    </w:p>
  </w:endnote>
  <w:endnote w:type="continuationSeparator" w:id="0">
    <w:p w14:paraId="60A4C66B" w14:textId="77777777" w:rsidR="003A23CC" w:rsidRDefault="003A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EDBF" w14:textId="77777777" w:rsidR="00BE4582" w:rsidRDefault="00BE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9C35" w14:textId="77777777" w:rsidR="00BE4582" w:rsidRDefault="00BE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4A0D" w14:textId="77777777" w:rsidR="003A23CC" w:rsidRDefault="003A23CC">
      <w:pPr>
        <w:spacing w:after="0" w:line="240" w:lineRule="auto"/>
      </w:pPr>
      <w:r>
        <w:separator/>
      </w:r>
    </w:p>
  </w:footnote>
  <w:footnote w:type="continuationSeparator" w:id="0">
    <w:p w14:paraId="3A4FFF4F" w14:textId="77777777" w:rsidR="003A23CC" w:rsidRDefault="003A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0F6F" w14:textId="0A6376EC" w:rsidR="00BE4582" w:rsidRDefault="003F7149">
    <w:pPr>
      <w:pStyle w:val="Header"/>
    </w:pPr>
    <w:r>
      <w:rPr>
        <w:noProof/>
      </w:rPr>
      <mc:AlternateContent>
        <mc:Choice Requires="wps">
          <w:drawing>
            <wp:anchor distT="0" distB="0" distL="0" distR="0" simplePos="0" relativeHeight="251657728" behindDoc="1" locked="0" layoutInCell="0" allowOverlap="1" wp14:anchorId="216EF73A" wp14:editId="25D8D4AB">
              <wp:simplePos x="0" y="0"/>
              <wp:positionH relativeFrom="margin">
                <wp:align>center</wp:align>
              </wp:positionH>
              <wp:positionV relativeFrom="margin">
                <wp:align>center</wp:align>
              </wp:positionV>
              <wp:extent cx="7049135" cy="1329055"/>
              <wp:effectExtent l="0" t="2190750" r="0" b="1928495"/>
              <wp:wrapNone/>
              <wp:docPr id="1186420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573367"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6EF73A"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B73RrR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18573367"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377D" w14:textId="50D9D11B" w:rsidR="00BE4582" w:rsidRDefault="003F7149">
    <w:pPr>
      <w:pStyle w:val="Header"/>
    </w:pPr>
    <w:r>
      <w:rPr>
        <w:noProof/>
      </w:rPr>
      <mc:AlternateContent>
        <mc:Choice Requires="wps">
          <w:drawing>
            <wp:anchor distT="0" distB="0" distL="0" distR="0" simplePos="0" relativeHeight="251658752" behindDoc="1" locked="0" layoutInCell="0" allowOverlap="1" wp14:anchorId="390F2B63" wp14:editId="0B4E2B25">
              <wp:simplePos x="0" y="0"/>
              <wp:positionH relativeFrom="margin">
                <wp:align>center</wp:align>
              </wp:positionH>
              <wp:positionV relativeFrom="margin">
                <wp:align>center</wp:align>
              </wp:positionV>
              <wp:extent cx="7049135" cy="1329055"/>
              <wp:effectExtent l="0" t="2190750" r="0" b="1928495"/>
              <wp:wrapNone/>
              <wp:docPr id="1081529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ED09D8"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0F2B63"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" o:allowincell="f" filled="f" stroked="f">
              <v:stroke joinstyle="round"/>
              <o:lock v:ext="edit" shapetype="t"/>
              <v:textbox style="mso-fit-shape-to-text:t">
                <w:txbxContent>
                  <w:p w14:paraId="7DED09D8"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6C52" w14:textId="5CCD82FF" w:rsidR="00BE4582" w:rsidRDefault="003F7149">
    <w:pPr>
      <w:pStyle w:val="Header"/>
    </w:pPr>
    <w:r>
      <w:rPr>
        <w:noProof/>
      </w:rPr>
      <mc:AlternateContent>
        <mc:Choice Requires="wps">
          <w:drawing>
            <wp:anchor distT="0" distB="0" distL="0" distR="0" simplePos="0" relativeHeight="251656704" behindDoc="1" locked="0" layoutInCell="0" allowOverlap="1" wp14:anchorId="16003B1A" wp14:editId="6FF31DDC">
              <wp:simplePos x="0" y="0"/>
              <wp:positionH relativeFrom="margin">
                <wp:align>center</wp:align>
              </wp:positionH>
              <wp:positionV relativeFrom="margin">
                <wp:align>center</wp:align>
              </wp:positionV>
              <wp:extent cx="7049135" cy="1329055"/>
              <wp:effectExtent l="0" t="2190750" r="0" b="1928495"/>
              <wp:wrapNone/>
              <wp:docPr id="496497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EC2C75"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003B1A" id="_x0000_t202" coordsize="21600,21600" o:spt="202" path="m,l,21600r21600,l21600,xe">
              <v:stroke joinstyle="miter"/>
              <v:path gradientshapeok="t" o:connecttype="rect"/>
            </v:shapetype>
            <v:shape id="Text Box 3" o:spid="_x0000_s1028" type="#_x0000_t202" style="position:absolute;margin-left:0;margin-top:0;width:555.05pt;height:104.6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" o:allowincell="f" filled="f" stroked="f">
              <v:stroke joinstyle="round"/>
              <o:lock v:ext="edit" shapetype="t"/>
              <v:textbox style="mso-fit-shape-to-text:t">
                <w:txbxContent>
                  <w:p w14:paraId="17EC2C75" w14:textId="77777777" w:rsidR="003F7149" w:rsidRDefault="003F7149" w:rsidP="003F7149">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24800A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1"/>
    <w:multiLevelType w:val="multilevel"/>
    <w:tmpl w:val="50E10F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2"/>
    <w:multiLevelType w:val="singleLevel"/>
    <w:tmpl w:val="63768E1A"/>
    <w:lvl w:ilvl="0">
      <w:start w:val="1"/>
      <w:numFmt w:val="decimal"/>
      <w:lvlText w:val="%1."/>
      <w:lvlJc w:val="left"/>
      <w:pPr>
        <w:tabs>
          <w:tab w:val="left" w:pos="425"/>
        </w:tabs>
        <w:ind w:left="425" w:hanging="425"/>
      </w:pPr>
      <w:rPr>
        <w:rFonts w:hint="default"/>
      </w:rPr>
    </w:lvl>
  </w:abstractNum>
  <w:abstractNum w:abstractNumId="3" w15:restartNumberingAfterBreak="0">
    <w:nsid w:val="00000003"/>
    <w:multiLevelType w:val="multilevel"/>
    <w:tmpl w:val="687B12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15:restartNumberingAfterBreak="0">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9"/>
    <w:multiLevelType w:val="multilevel"/>
    <w:tmpl w:val="068A7F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451977221">
    <w:abstractNumId w:val="4"/>
  </w:num>
  <w:num w:numId="2" w16cid:durableId="1768579362">
    <w:abstractNumId w:val="0"/>
  </w:num>
  <w:num w:numId="3" w16cid:durableId="726298891">
    <w:abstractNumId w:val="3"/>
  </w:num>
  <w:num w:numId="4" w16cid:durableId="2013028818">
    <w:abstractNumId w:val="9"/>
  </w:num>
  <w:num w:numId="5" w16cid:durableId="986201608">
    <w:abstractNumId w:val="1"/>
  </w:num>
  <w:num w:numId="6" w16cid:durableId="1169638451">
    <w:abstractNumId w:val="2"/>
  </w:num>
  <w:num w:numId="7" w16cid:durableId="911357099">
    <w:abstractNumId w:val="5"/>
  </w:num>
  <w:num w:numId="8" w16cid:durableId="1273168516">
    <w:abstractNumId w:val="6"/>
  </w:num>
  <w:num w:numId="9" w16cid:durableId="1805853424">
    <w:abstractNumId w:val="7"/>
  </w:num>
  <w:num w:numId="10" w16cid:durableId="1976060675">
    <w:abstractNumId w:val="8"/>
  </w:num>
  <w:num w:numId="11" w16cid:durableId="1090931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137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82"/>
    <w:rsid w:val="003A23CC"/>
    <w:rsid w:val="003F7149"/>
    <w:rsid w:val="005E379D"/>
    <w:rsid w:val="00BE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B95F"/>
  <w15:docId w15:val="{D179E7BC-F323-421A-AC89-298B17F5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597"/>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597"/>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597"/>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597"/>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597"/>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rPr>
      <w:rFonts w:ascii="Times New Roman" w:hAnsi="Times New Roman" w:cs="Times New Roman"/>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DengXian Light" w:hAnsi="Calibri Light" w:cs="SimSun"/>
      <w:color w:val="2F5597"/>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597"/>
      <w:sz w:val="32"/>
      <w:szCs w:val="32"/>
    </w:rPr>
  </w:style>
  <w:style w:type="character" w:customStyle="1" w:styleId="Heading3Char">
    <w:name w:val="Heading 3 Char"/>
    <w:basedOn w:val="DefaultParagraphFont"/>
    <w:link w:val="Heading3"/>
    <w:uiPriority w:val="9"/>
    <w:rPr>
      <w:rFonts w:eastAsia="DengXian Light" w:cs="SimSun"/>
      <w:color w:val="2F5597"/>
      <w:sz w:val="28"/>
      <w:szCs w:val="28"/>
    </w:rPr>
  </w:style>
  <w:style w:type="character" w:customStyle="1" w:styleId="Heading4Char">
    <w:name w:val="Heading 4 Char"/>
    <w:basedOn w:val="DefaultParagraphFont"/>
    <w:link w:val="Heading4"/>
    <w:uiPriority w:val="9"/>
    <w:rPr>
      <w:rFonts w:eastAsia="DengXian Light" w:cs="SimSun"/>
      <w:i/>
      <w:iCs/>
      <w:color w:val="2F5597"/>
    </w:rPr>
  </w:style>
  <w:style w:type="character" w:customStyle="1" w:styleId="Heading5Char">
    <w:name w:val="Heading 5 Char"/>
    <w:basedOn w:val="DefaultParagraphFont"/>
    <w:link w:val="Heading5"/>
    <w:uiPriority w:val="9"/>
    <w:rPr>
      <w:rFonts w:eastAsia="DengXian Light" w:cs="SimSun"/>
      <w:color w:val="2F5597"/>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rPr>
      <w:i/>
      <w:iCs/>
      <w:color w:val="3F3F3F"/>
    </w:rPr>
  </w:style>
  <w:style w:type="paragraph" w:styleId="ListParagraph">
    <w:name w:val="List Paragraph"/>
    <w:basedOn w:val="Normal"/>
    <w:uiPriority w:val="34"/>
    <w:qFormat/>
    <w:pPr>
      <w:ind w:left="720"/>
      <w:contextualSpacing/>
    </w:pPr>
  </w:style>
  <w:style w:type="character" w:customStyle="1" w:styleId="IntenseEmphasis4d08b7af-ea7e-4518-b59b-65b19dd12f34">
    <w:name w:val="Intense Emphasis_4d08b7af-ea7e-4518-b59b-65b19dd12f34"/>
    <w:basedOn w:val="DefaultParagraphFont"/>
    <w:uiPriority w:val="21"/>
    <w:qFormat/>
    <w:rPr>
      <w:i/>
      <w:iCs/>
      <w:color w:val="2F5597"/>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
    <w:name w:val="Intense Quote Char"/>
    <w:basedOn w:val="DefaultParagraphFont"/>
    <w:link w:val="IntenseQuote"/>
    <w:uiPriority w:val="30"/>
    <w:rPr>
      <w:i/>
      <w:iCs/>
      <w:color w:val="2F5597"/>
    </w:rPr>
  </w:style>
  <w:style w:type="character" w:customStyle="1" w:styleId="IntenseReference38db0f32-be67-443c-9b2c-7dcf1d650d63">
    <w:name w:val="Intense Reference_38db0f32-be67-443c-9b2c-7dcf1d650d63"/>
    <w:basedOn w:val="DefaultParagraphFont"/>
    <w:uiPriority w:val="32"/>
    <w:qFormat/>
    <w:rPr>
      <w:b/>
      <w:bCs/>
      <w:smallCaps/>
      <w:color w:val="2F5597"/>
      <w:spacing w:val="5"/>
    </w:rPr>
  </w:style>
  <w:style w:type="character" w:customStyle="1" w:styleId="url">
    <w:name w:val="url"/>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sz w:val="24"/>
      <w:szCs w:val="24"/>
      <w:lang w:val="en-US" w:eastAsia="en-US"/>
      <w14:ligatures w14:val="standardContextu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28</Pages>
  <Words>7409</Words>
  <Characters>42233</Characters>
  <Application>Microsoft Office Word</Application>
  <DocSecurity>0</DocSecurity>
  <Lines>351</Lines>
  <Paragraphs>99</Paragraphs>
  <ScaleCrop>false</ScaleCrop>
  <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Editor-90</cp:lastModifiedBy>
  <cp:revision>13</cp:revision>
  <dcterms:created xsi:type="dcterms:W3CDTF">2025-12-05T21:47:00Z</dcterms:created>
  <dcterms:modified xsi:type="dcterms:W3CDTF">2025-12-30T07:24:00Z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C7A68DB301A14434B2546F57D6DFC3DD_12</vt:lpwstr>
  </property>
</Properties>
</file>