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F182" w14:textId="7F6844C3" w:rsidR="00797C3D" w:rsidRDefault="00797C3D" w:rsidP="00FB0F72">
      <w:pPr>
        <w:pStyle w:val="Author"/>
        <w:spacing w:line="240" w:lineRule="auto"/>
        <w:jc w:val="center"/>
        <w:rPr>
          <w:rFonts w:ascii="Arial" w:hAnsi="Arial" w:cs="Arial"/>
          <w:bCs/>
          <w:iCs/>
          <w:kern w:val="28"/>
          <w:sz w:val="36"/>
        </w:rPr>
      </w:pPr>
    </w:p>
    <w:p w14:paraId="2F06BD34" w14:textId="77777777" w:rsidR="00797C3D" w:rsidRDefault="00797C3D" w:rsidP="00441B6F">
      <w:pPr>
        <w:pStyle w:val="Author"/>
        <w:spacing w:line="240" w:lineRule="auto"/>
        <w:rPr>
          <w:rFonts w:ascii="Arial" w:hAnsi="Arial" w:cs="Arial"/>
          <w:bCs/>
          <w:iCs/>
          <w:kern w:val="28"/>
          <w:sz w:val="36"/>
        </w:rPr>
      </w:pPr>
    </w:p>
    <w:p w14:paraId="3095377B" w14:textId="77777777" w:rsidR="00163BC4" w:rsidRPr="00163BC4" w:rsidRDefault="00482D5D" w:rsidP="00441B6F">
      <w:pPr>
        <w:pStyle w:val="Author"/>
        <w:spacing w:line="240" w:lineRule="auto"/>
        <w:rPr>
          <w:rFonts w:ascii="Arial" w:hAnsi="Arial" w:cs="Arial"/>
          <w:bCs/>
          <w:iCs/>
          <w:kern w:val="28"/>
          <w:sz w:val="36"/>
        </w:rPr>
      </w:pPr>
      <w:r w:rsidRPr="00482D5D">
        <w:rPr>
          <w:rFonts w:ascii="Arial" w:hAnsi="Arial" w:cs="Arial"/>
          <w:bCs/>
          <w:iCs/>
          <w:kern w:val="28"/>
          <w:sz w:val="36"/>
        </w:rPr>
        <w:t xml:space="preserve">Compliance with Segment Reporting and Interim Financial Reporting: A Case Study of </w:t>
      </w:r>
      <w:r w:rsidR="00650816" w:rsidRPr="00650816">
        <w:rPr>
          <w:rFonts w:ascii="Arial" w:hAnsi="Arial" w:cs="Arial"/>
          <w:bCs/>
          <w:iCs/>
          <w:kern w:val="28"/>
          <w:sz w:val="36"/>
        </w:rPr>
        <w:t>Cement Manufacturing</w:t>
      </w:r>
      <w:r w:rsidR="00650816">
        <w:rPr>
          <w:rFonts w:ascii="Arial" w:hAnsi="Arial" w:cs="Arial"/>
          <w:bCs/>
          <w:iCs/>
          <w:kern w:val="28"/>
          <w:sz w:val="36"/>
        </w:rPr>
        <w:t xml:space="preserve"> Company in Indonesia</w:t>
      </w:r>
    </w:p>
    <w:p w14:paraId="677E2566" w14:textId="77777777" w:rsidR="00A258C3" w:rsidRPr="00790ADA" w:rsidRDefault="00A258C3" w:rsidP="00441B6F">
      <w:pPr>
        <w:pStyle w:val="Author"/>
        <w:spacing w:line="240" w:lineRule="auto"/>
        <w:jc w:val="both"/>
        <w:rPr>
          <w:rFonts w:ascii="Arial" w:hAnsi="Arial" w:cs="Arial"/>
          <w:sz w:val="36"/>
        </w:rPr>
      </w:pPr>
    </w:p>
    <w:p w14:paraId="6D6DB157" w14:textId="77777777" w:rsidR="002C57D2" w:rsidRDefault="002C57D2" w:rsidP="00441B6F">
      <w:pPr>
        <w:pStyle w:val="Affiliation"/>
        <w:spacing w:after="0" w:line="240" w:lineRule="auto"/>
        <w:jc w:val="both"/>
        <w:rPr>
          <w:rFonts w:ascii="Arial" w:hAnsi="Arial" w:cs="Arial"/>
        </w:rPr>
      </w:pPr>
    </w:p>
    <w:p w14:paraId="2439370A" w14:textId="77777777" w:rsidR="00610BA9" w:rsidRPr="00FB3A86" w:rsidRDefault="00610BA9" w:rsidP="00441B6F">
      <w:pPr>
        <w:pStyle w:val="Affiliation"/>
        <w:spacing w:after="0" w:line="240" w:lineRule="auto"/>
        <w:jc w:val="both"/>
        <w:rPr>
          <w:rFonts w:ascii="Arial" w:hAnsi="Arial" w:cs="Arial"/>
        </w:rPr>
      </w:pPr>
    </w:p>
    <w:p w14:paraId="42014BC8" w14:textId="77777777" w:rsidR="00B01FCD" w:rsidRPr="00FB3A86" w:rsidRDefault="008F2CF7" w:rsidP="00441B6F">
      <w:pPr>
        <w:pStyle w:val="Copyright"/>
        <w:spacing w:after="0" w:line="240" w:lineRule="auto"/>
        <w:jc w:val="both"/>
        <w:rPr>
          <w:rFonts w:ascii="Arial" w:hAnsi="Arial" w:cs="Arial"/>
        </w:rPr>
        <w:sectPr w:rsidR="00B01FCD" w:rsidRPr="00FB3A86" w:rsidSect="009528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115CE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6C506A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E6C2C2E" w14:textId="77777777" w:rsidTr="001E44FE">
        <w:tc>
          <w:tcPr>
            <w:tcW w:w="9576" w:type="dxa"/>
            <w:shd w:val="clear" w:color="auto" w:fill="F2F2F2"/>
          </w:tcPr>
          <w:p w14:paraId="0F9C399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14A7C" w:rsidRPr="00D14A7C">
              <w:rPr>
                <w:rFonts w:ascii="Arial" w:eastAsia="Calibri" w:hAnsi="Arial" w:cs="Arial"/>
                <w:szCs w:val="22"/>
              </w:rPr>
              <w:t>In the context of increasing regulatory scrutiny and investor demand for transparent and timely financial information, this study aims to assess the degree of Company X’s adherence to key financial reporting standards, specifically PSAK 108 and PSAK 234, as well as their international counterparts, IFRS 8 and IAS 34. The research examines the identification of reportable segments based on revenue, asset, and profit or loss criteria and evaluates the alignment of interim financial reporting practices with established transparency and disclosure requirements.</w:t>
            </w:r>
            <w:r w:rsidR="007702F4">
              <w:rPr>
                <w:rFonts w:ascii="Arial" w:eastAsia="Calibri" w:hAnsi="Arial" w:cs="Arial"/>
                <w:szCs w:val="22"/>
              </w:rPr>
              <w:t xml:space="preserve"> </w:t>
            </w:r>
          </w:p>
          <w:p w14:paraId="77591271" w14:textId="77777777" w:rsidR="007702F4"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702F4" w:rsidRPr="007702F4">
              <w:rPr>
                <w:rFonts w:ascii="Arial" w:eastAsia="Calibri" w:hAnsi="Arial" w:cs="Arial"/>
                <w:szCs w:val="22"/>
              </w:rPr>
              <w:t>This research adopts a qualitative descriptive approach supported by a case study design.</w:t>
            </w:r>
          </w:p>
          <w:p w14:paraId="2F255DA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702F4" w:rsidRPr="007702F4">
              <w:rPr>
                <w:rFonts w:ascii="Arial" w:eastAsia="Calibri" w:hAnsi="Arial" w:cs="Arial"/>
                <w:szCs w:val="22"/>
              </w:rPr>
              <w:t>The study focuses on Company X, a state-owned cement manufacturing entity in Indonesia, utilizing financial data covering the 2024–2025 reporting period.</w:t>
            </w:r>
          </w:p>
          <w:p w14:paraId="4787B3F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7C73" w:rsidRPr="005A7C73">
              <w:rPr>
                <w:rFonts w:ascii="Arial" w:eastAsia="Calibri" w:hAnsi="Arial" w:cs="Arial"/>
                <w:szCs w:val="22"/>
              </w:rPr>
              <w:t>Secondary data were utilized as the primary source of evidence, comprising annual reports and interim financial statements obtained from the Indonesia Stock Exchange and the company’s official website. The analytical process integrated quantitative testing—applying the 10% threshold criteria for revenue, profit or loss, and assets—with qualitative content analysis to evaluate narrative disclosures against PSAK 108 and PSAK 234 requirements.</w:t>
            </w:r>
          </w:p>
          <w:p w14:paraId="3C0F660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7C73" w:rsidRPr="005A7C73">
              <w:rPr>
                <w:rFonts w:ascii="Arial" w:eastAsia="Calibri" w:hAnsi="Arial" w:cs="Arial"/>
                <w:szCs w:val="22"/>
              </w:rPr>
              <w:t>Quantitative assessment revealed that the "Cement Production" segment consistently met all materiality thresholds, contributing 68–71% of revenue, 105–186% of total profits, and 93% of total assets. The "Non-Cement Production" segment, while contributing 29–32% of revenue, did not meet profit or asset thresholds but was disclosed to satisfy the 75% consolidated revenue aggregation requirement (combined 100%). Regarding interim reporting, content analysis confirmed full compliance with PSAK 234, with all mandatory components—including condensed statements of financial position, comprehensive income, changes in equity, and cash flows—presented with required comparative figures.</w:t>
            </w:r>
          </w:p>
          <w:p w14:paraId="35C9812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14A7C" w:rsidRPr="00D14A7C">
              <w:rPr>
                <w:rFonts w:ascii="Arial" w:eastAsia="Calibri" w:hAnsi="Arial" w:cs="Arial"/>
                <w:szCs w:val="22"/>
              </w:rPr>
              <w:t>Company X demonstrates strong adherence to both national and international financial reporting standards, effectively identifying reportable segments and ensuring timely interim disclosures. Beyond the firm-level assessment, these findings have broader implications for state-owned and manufacturing enterprises in emerging markets, indicating that alignment with PSAK and IFRS-based standards can enhance transparency, improve comparability, and strengthen stakeholder confidence in corporate reporting practices.</w:t>
            </w:r>
          </w:p>
        </w:tc>
      </w:tr>
    </w:tbl>
    <w:p w14:paraId="66E79BFA" w14:textId="77777777" w:rsidR="00636EB2" w:rsidRDefault="00636EB2" w:rsidP="00441B6F">
      <w:pPr>
        <w:pStyle w:val="Body"/>
        <w:spacing w:after="0"/>
        <w:rPr>
          <w:rFonts w:ascii="Arial" w:hAnsi="Arial" w:cs="Arial"/>
          <w:i/>
        </w:rPr>
      </w:pPr>
    </w:p>
    <w:p w14:paraId="5E57B9A8" w14:textId="77777777" w:rsidR="00A24E7E" w:rsidRDefault="00A24E7E" w:rsidP="00441B6F">
      <w:pPr>
        <w:pStyle w:val="Body"/>
        <w:spacing w:after="0"/>
        <w:rPr>
          <w:rFonts w:ascii="Arial" w:hAnsi="Arial" w:cs="Arial"/>
          <w:i/>
        </w:rPr>
      </w:pPr>
      <w:r>
        <w:rPr>
          <w:rFonts w:ascii="Arial" w:hAnsi="Arial" w:cs="Arial"/>
          <w:i/>
        </w:rPr>
        <w:t xml:space="preserve">Keywords: </w:t>
      </w:r>
      <w:r w:rsidR="00320EC6" w:rsidRPr="00320EC6">
        <w:rPr>
          <w:rFonts w:ascii="Arial" w:hAnsi="Arial" w:cs="Arial"/>
          <w:i/>
        </w:rPr>
        <w:t>Segment Reporting, Interim Reporting, PSAK 108, PSAK 234, IFRS 8</w:t>
      </w:r>
      <w:r w:rsidR="00320EC6">
        <w:rPr>
          <w:rFonts w:ascii="Arial" w:hAnsi="Arial" w:cs="Arial"/>
          <w:i/>
        </w:rPr>
        <w:t xml:space="preserve">, IAS 34 </w:t>
      </w:r>
    </w:p>
    <w:p w14:paraId="667A5B30" w14:textId="77777777" w:rsidR="00790ADA" w:rsidRDefault="00790ADA" w:rsidP="00441B6F">
      <w:pPr>
        <w:pStyle w:val="Body"/>
        <w:spacing w:after="0"/>
        <w:rPr>
          <w:rFonts w:ascii="Arial" w:hAnsi="Arial" w:cs="Arial"/>
          <w:i/>
        </w:rPr>
      </w:pPr>
    </w:p>
    <w:p w14:paraId="7F09359F" w14:textId="77777777" w:rsidR="00557448" w:rsidRDefault="00557448">
      <w:pPr>
        <w:rPr>
          <w:rFonts w:ascii="Arial" w:hAnsi="Arial" w:cs="Arial"/>
          <w:b/>
          <w:caps/>
          <w:sz w:val="22"/>
        </w:rPr>
      </w:pPr>
      <w:r>
        <w:rPr>
          <w:rFonts w:ascii="Arial" w:hAnsi="Arial" w:cs="Arial"/>
        </w:rPr>
        <w:br w:type="page"/>
      </w:r>
    </w:p>
    <w:p w14:paraId="1F5B1843"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4BE93CA" w14:textId="77777777" w:rsidR="00790ADA" w:rsidRPr="00FB3A86" w:rsidRDefault="00790ADA" w:rsidP="00441B6F">
      <w:pPr>
        <w:pStyle w:val="AbstHead"/>
        <w:spacing w:after="0"/>
        <w:jc w:val="both"/>
        <w:rPr>
          <w:rFonts w:ascii="Arial" w:hAnsi="Arial" w:cs="Arial"/>
        </w:rPr>
      </w:pPr>
    </w:p>
    <w:p w14:paraId="1E3870DF" w14:textId="5B5526A2" w:rsidR="008E1D50" w:rsidRPr="008E1D50" w:rsidRDefault="008E1D50" w:rsidP="008E1D50">
      <w:pPr>
        <w:pStyle w:val="Body"/>
        <w:rPr>
          <w:rFonts w:ascii="Arial" w:hAnsi="Arial" w:cs="Arial"/>
        </w:rPr>
      </w:pPr>
      <w:r w:rsidRPr="008E1D50">
        <w:rPr>
          <w:rFonts w:ascii="Arial" w:hAnsi="Arial" w:cs="Arial"/>
        </w:rPr>
        <w:t>Financial statements are the final product of accounting activities and function as the primary medium through which an entity communicates its financial condition, performance, and economic position to stakeholders (</w:t>
      </w:r>
      <w:proofErr w:type="spellStart"/>
      <w:r w:rsidRPr="008E1D50">
        <w:rPr>
          <w:rFonts w:ascii="Arial" w:hAnsi="Arial" w:cs="Arial"/>
        </w:rPr>
        <w:t>Cioca</w:t>
      </w:r>
      <w:proofErr w:type="spellEnd"/>
      <w:r w:rsidRPr="008E1D50">
        <w:rPr>
          <w:rFonts w:ascii="Arial" w:hAnsi="Arial" w:cs="Arial"/>
        </w:rPr>
        <w:t xml:space="preserve">, 2020). They serve as the basis for financial analysis, ratio assessment, and benchmarking against industry competitors (Agrawal, 2023). The users of financial statements differ between non-listed and publicly listed companies: for non-public entities, business managers are the main users, whereas for publicly traded companies, financial statements must meet the information needs of diverse stakeholders such as investors, creditors, regulators, and government authorities (Cole et al., </w:t>
      </w:r>
      <w:r w:rsidR="00E86A43">
        <w:rPr>
          <w:rFonts w:ascii="Arial" w:hAnsi="Arial" w:cs="Arial"/>
        </w:rPr>
        <w:t>2009</w:t>
      </w:r>
      <w:r w:rsidRPr="008E1D50">
        <w:rPr>
          <w:rFonts w:ascii="Arial" w:hAnsi="Arial" w:cs="Arial"/>
        </w:rPr>
        <w:t>). To maintain transparency and fulfill regulatory obligations, listed companies are required to provide comprehensive and timely financial statements to stock exchanges, securities authorities, and shareholders. Accurate and transparent reporting enhances a company’s credibility, fosters stakeholder trust, and attracts potential investors, lenders, and business partners, as stakeholders rely on financial information to assess a company’s risk-management capability, performance, and ability to meet its commitments (Agrawal, 2023).</w:t>
      </w:r>
    </w:p>
    <w:p w14:paraId="764ECF3C" w14:textId="77777777" w:rsidR="008E1D50" w:rsidRPr="008E1D50" w:rsidRDefault="008E1D50" w:rsidP="008E1D50">
      <w:pPr>
        <w:pStyle w:val="Body"/>
        <w:rPr>
          <w:rFonts w:ascii="Arial" w:hAnsi="Arial" w:cs="Arial"/>
        </w:rPr>
      </w:pPr>
      <w:r w:rsidRPr="008E1D50">
        <w:rPr>
          <w:rFonts w:ascii="Arial" w:hAnsi="Arial" w:cs="Arial"/>
        </w:rPr>
        <w:t xml:space="preserve">Financial statements represent more than numerical summaries; they reflect an organization’s economic narrative, illustrating how resources are allocated, risks are managed, and value is created over time. They support essential managerial functions such as planning, coordination, control, and strategic decision-making, making compliance with applicable accounting standards crucial (Weygandt et al., 2018; </w:t>
      </w:r>
      <w:proofErr w:type="spellStart"/>
      <w:r w:rsidRPr="008E1D50">
        <w:rPr>
          <w:rFonts w:ascii="Arial" w:hAnsi="Arial" w:cs="Arial"/>
        </w:rPr>
        <w:t>Ikatan</w:t>
      </w:r>
      <w:proofErr w:type="spellEnd"/>
      <w:r w:rsidRPr="008E1D50">
        <w:rPr>
          <w:rFonts w:ascii="Arial" w:hAnsi="Arial" w:cs="Arial"/>
        </w:rPr>
        <w:t xml:space="preserve"> </w:t>
      </w:r>
      <w:proofErr w:type="spellStart"/>
      <w:r w:rsidRPr="008E1D50">
        <w:rPr>
          <w:rFonts w:ascii="Arial" w:hAnsi="Arial" w:cs="Arial"/>
        </w:rPr>
        <w:t>Akuntan</w:t>
      </w:r>
      <w:proofErr w:type="spellEnd"/>
      <w:r w:rsidRPr="008E1D50">
        <w:rPr>
          <w:rFonts w:ascii="Arial" w:hAnsi="Arial" w:cs="Arial"/>
        </w:rPr>
        <w:t xml:space="preserve"> Indonesia, 2019). PSAK (</w:t>
      </w:r>
      <w:proofErr w:type="spellStart"/>
      <w:r w:rsidRPr="008E1D50">
        <w:rPr>
          <w:rFonts w:ascii="Arial" w:hAnsi="Arial" w:cs="Arial"/>
        </w:rPr>
        <w:t>Pernyataan</w:t>
      </w:r>
      <w:proofErr w:type="spellEnd"/>
      <w:r w:rsidRPr="008E1D50">
        <w:rPr>
          <w:rFonts w:ascii="Arial" w:hAnsi="Arial" w:cs="Arial"/>
        </w:rPr>
        <w:t xml:space="preserve"> </w:t>
      </w:r>
      <w:proofErr w:type="spellStart"/>
      <w:r w:rsidRPr="008E1D50">
        <w:rPr>
          <w:rFonts w:ascii="Arial" w:hAnsi="Arial" w:cs="Arial"/>
        </w:rPr>
        <w:t>Standar</w:t>
      </w:r>
      <w:proofErr w:type="spellEnd"/>
      <w:r w:rsidRPr="008E1D50">
        <w:rPr>
          <w:rFonts w:ascii="Arial" w:hAnsi="Arial" w:cs="Arial"/>
        </w:rPr>
        <w:t xml:space="preserve"> </w:t>
      </w:r>
      <w:proofErr w:type="spellStart"/>
      <w:r w:rsidRPr="008E1D50">
        <w:rPr>
          <w:rFonts w:ascii="Arial" w:hAnsi="Arial" w:cs="Arial"/>
        </w:rPr>
        <w:t>Akuntansi</w:t>
      </w:r>
      <w:proofErr w:type="spellEnd"/>
      <w:r w:rsidRPr="008E1D50">
        <w:rPr>
          <w:rFonts w:ascii="Arial" w:hAnsi="Arial" w:cs="Arial"/>
        </w:rPr>
        <w:t xml:space="preserve"> </w:t>
      </w:r>
      <w:proofErr w:type="spellStart"/>
      <w:r w:rsidRPr="008E1D50">
        <w:rPr>
          <w:rFonts w:ascii="Arial" w:hAnsi="Arial" w:cs="Arial"/>
        </w:rPr>
        <w:t>Keuangan</w:t>
      </w:r>
      <w:proofErr w:type="spellEnd"/>
      <w:r w:rsidRPr="008E1D50">
        <w:rPr>
          <w:rFonts w:ascii="Arial" w:hAnsi="Arial" w:cs="Arial"/>
        </w:rPr>
        <w:t>) refers to Indonesian Financial Accounting Standards issued by the Indonesian Institute of Accountants. High-quality financial reporting, supported by adherence to generally accepted accounting principles in Indonesia (PSAK), demonstrates a commitment to transparency, accountability, and sound governance (</w:t>
      </w:r>
      <w:proofErr w:type="spellStart"/>
      <w:r w:rsidRPr="008E1D50">
        <w:rPr>
          <w:rFonts w:ascii="Arial" w:hAnsi="Arial" w:cs="Arial"/>
        </w:rPr>
        <w:t>Ikatan</w:t>
      </w:r>
      <w:proofErr w:type="spellEnd"/>
      <w:r w:rsidRPr="008E1D50">
        <w:rPr>
          <w:rFonts w:ascii="Arial" w:hAnsi="Arial" w:cs="Arial"/>
        </w:rPr>
        <w:t xml:space="preserve"> </w:t>
      </w:r>
      <w:proofErr w:type="spellStart"/>
      <w:r w:rsidRPr="008E1D50">
        <w:rPr>
          <w:rFonts w:ascii="Arial" w:hAnsi="Arial" w:cs="Arial"/>
        </w:rPr>
        <w:t>Akuntan</w:t>
      </w:r>
      <w:proofErr w:type="spellEnd"/>
      <w:r w:rsidRPr="008E1D50">
        <w:rPr>
          <w:rFonts w:ascii="Arial" w:hAnsi="Arial" w:cs="Arial"/>
        </w:rPr>
        <w:t xml:space="preserve"> Indonesia, 2019). At the international level, financial reporting is guided by International Financial Reporting Standards (IFRS) and International Accounting Standards (IAS), which are issued by the International Accounting Standards Board under the IFRS Foundation. IAS represents earlier international standards that remain effective unless superseded, while IFRS refers to newer standards developed to enhance comparability, transparency, and consistency of financial information across jurisdictions. Although some Indonesian studies indicate that investors do not always rely heavily on financial statement information when making capital market decisions (</w:t>
      </w:r>
      <w:proofErr w:type="spellStart"/>
      <w:r w:rsidRPr="008E1D50">
        <w:rPr>
          <w:rFonts w:ascii="Arial" w:hAnsi="Arial" w:cs="Arial"/>
        </w:rPr>
        <w:t>Septyanto</w:t>
      </w:r>
      <w:proofErr w:type="spellEnd"/>
      <w:r w:rsidRPr="008E1D50">
        <w:rPr>
          <w:rFonts w:ascii="Arial" w:hAnsi="Arial" w:cs="Arial"/>
        </w:rPr>
        <w:t>, 2013), the efficient market hypothesis asserts that public disclosures—including financial reports prepared in accordance with internationally recognized standards—remain vital components of market valuation and investor decision-making (Fama, 1970).</w:t>
      </w:r>
    </w:p>
    <w:p w14:paraId="487121CA" w14:textId="77777777" w:rsidR="008E1D50" w:rsidRPr="008E1D50" w:rsidRDefault="008E1D50" w:rsidP="008E1D50">
      <w:pPr>
        <w:pStyle w:val="Body"/>
        <w:rPr>
          <w:rFonts w:ascii="Arial" w:hAnsi="Arial" w:cs="Arial"/>
        </w:rPr>
      </w:pPr>
      <w:r w:rsidRPr="008E1D50">
        <w:rPr>
          <w:rFonts w:ascii="Arial" w:hAnsi="Arial" w:cs="Arial"/>
        </w:rPr>
        <w:t>To ensure clarity, comparability, and completeness, PSAK requires that financial statements include key components such as the Statement of Financial Position, Income Statement, Statement of Changes in Equity, Cash Flow Statement, and Notes to the Financial Statements, supported by adequate disclosures on material matters such as structure, form, and accounting policies (</w:t>
      </w:r>
      <w:proofErr w:type="spellStart"/>
      <w:r w:rsidRPr="008E1D50">
        <w:rPr>
          <w:rFonts w:ascii="Arial" w:hAnsi="Arial" w:cs="Arial"/>
        </w:rPr>
        <w:t>Situmorang</w:t>
      </w:r>
      <w:proofErr w:type="spellEnd"/>
      <w:r w:rsidRPr="008E1D50">
        <w:rPr>
          <w:rFonts w:ascii="Arial" w:hAnsi="Arial" w:cs="Arial"/>
        </w:rPr>
        <w:t>, 2023). Investors increasingly demand more detailed and timely information to gain a comprehensive understanding of a company’s performance (</w:t>
      </w:r>
      <w:proofErr w:type="spellStart"/>
      <w:r w:rsidRPr="008E1D50">
        <w:rPr>
          <w:rFonts w:ascii="Arial" w:hAnsi="Arial" w:cs="Arial"/>
        </w:rPr>
        <w:t>Mujitahid</w:t>
      </w:r>
      <w:proofErr w:type="spellEnd"/>
      <w:r w:rsidRPr="008E1D50">
        <w:rPr>
          <w:rFonts w:ascii="Arial" w:hAnsi="Arial" w:cs="Arial"/>
        </w:rPr>
        <w:t xml:space="preserve"> et al., 2024). As a result, segment reporting has become essential for disaggregating financial information to highlight the performance of individual business units, while interim reporting provides more frequent updates on financial results throughout the year. In response to these demands, international standards such as IFRS 8 on Operating Segments and IAS 34 on Interim Financial Reporting establish principles for identifying reportable segments and for presenting condensed interim financial information. Consistent with these global standards, the Indonesian Institute of Accountants has issued PSAK 108 and PSAK 234, which adopt and harmonize with IFRS 8 and IAS 34 respectively, thereby ensuring alignment between national reporting practices and international financial reporting frameworks (</w:t>
      </w:r>
      <w:proofErr w:type="spellStart"/>
      <w:r w:rsidRPr="008E1D50">
        <w:rPr>
          <w:rFonts w:ascii="Arial" w:hAnsi="Arial" w:cs="Arial"/>
        </w:rPr>
        <w:t>Ikatan</w:t>
      </w:r>
      <w:proofErr w:type="spellEnd"/>
      <w:r w:rsidRPr="008E1D50">
        <w:rPr>
          <w:rFonts w:ascii="Arial" w:hAnsi="Arial" w:cs="Arial"/>
        </w:rPr>
        <w:t xml:space="preserve"> </w:t>
      </w:r>
      <w:proofErr w:type="spellStart"/>
      <w:r w:rsidRPr="008E1D50">
        <w:rPr>
          <w:rFonts w:ascii="Arial" w:hAnsi="Arial" w:cs="Arial"/>
        </w:rPr>
        <w:t>Akuntan</w:t>
      </w:r>
      <w:proofErr w:type="spellEnd"/>
      <w:r w:rsidRPr="008E1D50">
        <w:rPr>
          <w:rFonts w:ascii="Arial" w:hAnsi="Arial" w:cs="Arial"/>
        </w:rPr>
        <w:t xml:space="preserve"> Indonesia, 2019).</w:t>
      </w:r>
    </w:p>
    <w:p w14:paraId="372A18ED" w14:textId="77777777" w:rsidR="00B01FCD" w:rsidRDefault="00FA3138" w:rsidP="008E1D50">
      <w:pPr>
        <w:pStyle w:val="Body"/>
        <w:rPr>
          <w:rFonts w:ascii="Arial" w:hAnsi="Arial" w:cs="Arial"/>
        </w:rPr>
      </w:pPr>
      <w:r>
        <w:t xml:space="preserve">Prior empirical evidence suggests that firms adopting international accounting standards exhibit higher accounting quality, characterized by reduced earnings management and more timely loss recognition, thereby enhancing the decision usefulness of financial reports (Barth et al., 2008). </w:t>
      </w:r>
      <w:r w:rsidR="00427611">
        <w:t xml:space="preserve">Within this context, </w:t>
      </w:r>
      <w:r w:rsidR="008E1D50" w:rsidRPr="008E1D50">
        <w:rPr>
          <w:rFonts w:ascii="Arial" w:hAnsi="Arial" w:cs="Arial"/>
        </w:rPr>
        <w:t>Company X, a large manufacturing entity with diverse operational segments, provides a relevant context for evaluating compliance with segment and interim reporting standards. As a complex organization with multiple business divisions, Company X is required to ensure that its financial reporting not only satisfies national regulations but also aligns with internationally recognized accounting practices. Evaluating the company’s compliance with PSAK 108, PSAK 234, IFRS 8, and IAS 34 is essential to understanding the extent to which its financial reports demonstrate transparency, reliability, and accountability to stakeholders.</w:t>
      </w:r>
      <w:r w:rsidR="008E1D50">
        <w:rPr>
          <w:rFonts w:ascii="Arial" w:hAnsi="Arial" w:cs="Arial"/>
        </w:rPr>
        <w:t xml:space="preserve"> </w:t>
      </w:r>
      <w:r w:rsidR="008E1D50" w:rsidRPr="008E1D50">
        <w:rPr>
          <w:rFonts w:ascii="Arial" w:hAnsi="Arial" w:cs="Arial"/>
        </w:rPr>
        <w:t>Considering the foregoing discussion, this study seeks to assess the degree of Company X’s adherence to key financial reporting standards. Specifically, the research examines: (a) whether the identification of reportable segments—based on revenue, asset, and profit or loss criteria—complies with PSAK 108; (b) the alignment of segment disclosures, through content analysis, with the requirements of PSAK 234; and (c) whether the company’s interim financial reporting practices conform to the provisions set forth in IFRS 8 and IAS 34. Through these objectives, the study aims to provide a comprehensive evaluation of Company X’s reporting practices and their consistency with applicable accounting standards.</w:t>
      </w:r>
    </w:p>
    <w:p w14:paraId="650B0E11" w14:textId="77777777" w:rsidR="00790ADA" w:rsidRPr="00FB3A86" w:rsidRDefault="00790ADA" w:rsidP="00441B6F">
      <w:pPr>
        <w:pStyle w:val="Body"/>
        <w:spacing w:after="0"/>
        <w:rPr>
          <w:rFonts w:ascii="Arial" w:hAnsi="Arial" w:cs="Arial"/>
        </w:rPr>
      </w:pPr>
    </w:p>
    <w:p w14:paraId="74279770"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2DE987CB" w14:textId="77777777" w:rsidR="00790ADA" w:rsidRPr="00FB3A86" w:rsidRDefault="00790ADA" w:rsidP="00441B6F">
      <w:pPr>
        <w:pStyle w:val="AbstHead"/>
        <w:spacing w:after="0"/>
        <w:jc w:val="both"/>
        <w:rPr>
          <w:rFonts w:ascii="Arial" w:hAnsi="Arial" w:cs="Arial"/>
        </w:rPr>
      </w:pPr>
    </w:p>
    <w:p w14:paraId="730B43FF" w14:textId="77777777" w:rsidR="00890697" w:rsidRPr="00925225" w:rsidRDefault="00890697" w:rsidP="00441B6F">
      <w:pPr>
        <w:pStyle w:val="Body"/>
        <w:spacing w:after="0"/>
        <w:rPr>
          <w:rFonts w:ascii="Arial" w:hAnsi="Arial" w:cs="Arial"/>
          <w:b/>
          <w:bCs/>
        </w:rPr>
      </w:pPr>
      <w:r w:rsidRPr="00925225">
        <w:rPr>
          <w:rFonts w:ascii="Arial" w:hAnsi="Arial" w:cs="Arial"/>
          <w:b/>
          <w:bCs/>
        </w:rPr>
        <w:t xml:space="preserve">2.1 Interim Reporting </w:t>
      </w:r>
    </w:p>
    <w:p w14:paraId="123C71E5" w14:textId="77777777" w:rsidR="00890697" w:rsidRDefault="00890697" w:rsidP="00441B6F">
      <w:pPr>
        <w:pStyle w:val="Body"/>
        <w:spacing w:after="0"/>
        <w:rPr>
          <w:rFonts w:ascii="Arial" w:hAnsi="Arial" w:cs="Arial"/>
        </w:rPr>
      </w:pPr>
    </w:p>
    <w:p w14:paraId="33EA132B" w14:textId="77777777" w:rsidR="00890697" w:rsidRDefault="00890697" w:rsidP="00441B6F">
      <w:pPr>
        <w:pStyle w:val="Body"/>
        <w:spacing w:after="0"/>
        <w:rPr>
          <w:rFonts w:ascii="Arial" w:hAnsi="Arial" w:cs="Arial"/>
        </w:rPr>
      </w:pPr>
      <w:r w:rsidRPr="00890697">
        <w:rPr>
          <w:rFonts w:ascii="Arial" w:hAnsi="Arial" w:cs="Arial"/>
        </w:rPr>
        <w:t>Interim reporting involves the preparation of financial statements for periods shorter than a full fiscal year, providing timely and relevant information to stakeholders. PSAK 234 defines interim financial statements as complete or summary reports prepared for an interim period (</w:t>
      </w:r>
      <w:proofErr w:type="spellStart"/>
      <w:r w:rsidRPr="00890697">
        <w:rPr>
          <w:rFonts w:ascii="Arial" w:hAnsi="Arial" w:cs="Arial"/>
        </w:rPr>
        <w:t>Ikatan</w:t>
      </w:r>
      <w:proofErr w:type="spellEnd"/>
      <w:r w:rsidRPr="00890697">
        <w:rPr>
          <w:rFonts w:ascii="Arial" w:hAnsi="Arial" w:cs="Arial"/>
        </w:rPr>
        <w:t xml:space="preserve"> </w:t>
      </w:r>
      <w:proofErr w:type="spellStart"/>
      <w:r w:rsidRPr="00890697">
        <w:rPr>
          <w:rFonts w:ascii="Arial" w:hAnsi="Arial" w:cs="Arial"/>
        </w:rPr>
        <w:t>Akuntan</w:t>
      </w:r>
      <w:proofErr w:type="spellEnd"/>
      <w:r w:rsidRPr="00890697">
        <w:rPr>
          <w:rFonts w:ascii="Arial" w:hAnsi="Arial" w:cs="Arial"/>
        </w:rPr>
        <w:t xml:space="preserve"> Indonesia, 2016). Required disclosures typically include quarterly and comparative income statements, cumulative performance reports, and period-end balance sheets (Christensen et al., 2014). IAS 34 mandates that entities apply the same accounting policies used in annual reporting and outlines the minimum content and measurement principles for complete or condensed interim financial statements (IAS 34 – Interim Financial Reporting, 2004). </w:t>
      </w:r>
    </w:p>
    <w:p w14:paraId="35EE1C35" w14:textId="77777777" w:rsidR="00890697" w:rsidRDefault="00890697" w:rsidP="00441B6F">
      <w:pPr>
        <w:pStyle w:val="Body"/>
        <w:spacing w:after="0"/>
        <w:rPr>
          <w:rFonts w:ascii="Arial" w:hAnsi="Arial" w:cs="Arial"/>
        </w:rPr>
      </w:pPr>
    </w:p>
    <w:p w14:paraId="0ABCF0F4" w14:textId="77777777" w:rsidR="00320C24" w:rsidRPr="00320C24" w:rsidRDefault="00320C24" w:rsidP="00441B6F">
      <w:pPr>
        <w:pStyle w:val="Body"/>
        <w:spacing w:after="0"/>
        <w:rPr>
          <w:rFonts w:ascii="Arial" w:hAnsi="Arial" w:cs="Arial"/>
          <w:b/>
          <w:bCs/>
        </w:rPr>
      </w:pPr>
      <w:r w:rsidRPr="00320C24">
        <w:rPr>
          <w:rFonts w:ascii="Arial" w:hAnsi="Arial" w:cs="Arial"/>
          <w:b/>
          <w:bCs/>
        </w:rPr>
        <w:t xml:space="preserve">2.2 Segment Reporting </w:t>
      </w:r>
    </w:p>
    <w:p w14:paraId="0D747000" w14:textId="77777777" w:rsidR="00320C24" w:rsidRDefault="00320C24" w:rsidP="00441B6F">
      <w:pPr>
        <w:pStyle w:val="Body"/>
        <w:spacing w:after="0"/>
        <w:rPr>
          <w:rFonts w:ascii="Arial" w:hAnsi="Arial" w:cs="Arial"/>
        </w:rPr>
      </w:pPr>
    </w:p>
    <w:p w14:paraId="46F95BAF" w14:textId="77777777" w:rsidR="00320C24" w:rsidRDefault="00320C24" w:rsidP="00441B6F">
      <w:pPr>
        <w:pStyle w:val="Body"/>
        <w:spacing w:after="0"/>
        <w:rPr>
          <w:rFonts w:ascii="Arial" w:hAnsi="Arial" w:cs="Arial"/>
        </w:rPr>
      </w:pPr>
      <w:r w:rsidRPr="00320C24">
        <w:rPr>
          <w:rFonts w:ascii="Arial" w:hAnsi="Arial" w:cs="Arial"/>
        </w:rPr>
        <w:t>A segment is defined as a component or activity within an organization for which management requires cost, revenue, or profit information (Garrison et al., 2012). Segments may include cost centers, profit centers, and investment centers, such as sales regions, individual retail outlets, service units, manufacturing facilities, marketing departments, customer groups, or product lines (Garrison et al., 2012). According to Hansen and Mowen (2007), segments represent subunits of a company that are sufficiently significant to warrant performance evaluation. These segments may take the form of divisions, departments, product categories, or customer classifications. Financial Accounting Standards further introduce the ten-percent significance rule to determine which operating segments must be reported separately in financial statements (</w:t>
      </w:r>
      <w:proofErr w:type="spellStart"/>
      <w:r w:rsidRPr="00320C24">
        <w:rPr>
          <w:rFonts w:ascii="Arial" w:hAnsi="Arial" w:cs="Arial"/>
        </w:rPr>
        <w:t>Ikatan</w:t>
      </w:r>
      <w:proofErr w:type="spellEnd"/>
      <w:r w:rsidRPr="00320C24">
        <w:rPr>
          <w:rFonts w:ascii="Arial" w:hAnsi="Arial" w:cs="Arial"/>
        </w:rPr>
        <w:t xml:space="preserve"> </w:t>
      </w:r>
      <w:proofErr w:type="spellStart"/>
      <w:r w:rsidRPr="00320C24">
        <w:rPr>
          <w:rFonts w:ascii="Arial" w:hAnsi="Arial" w:cs="Arial"/>
        </w:rPr>
        <w:t>Akuntan</w:t>
      </w:r>
      <w:proofErr w:type="spellEnd"/>
      <w:r w:rsidRPr="00320C24">
        <w:rPr>
          <w:rFonts w:ascii="Arial" w:hAnsi="Arial" w:cs="Arial"/>
        </w:rPr>
        <w:t xml:space="preserve"> Indonesia, </w:t>
      </w:r>
      <w:r w:rsidR="002B3548">
        <w:rPr>
          <w:rFonts w:ascii="Arial" w:hAnsi="Arial" w:cs="Arial"/>
        </w:rPr>
        <w:t>2016</w:t>
      </w:r>
      <w:r w:rsidRPr="00320C24">
        <w:rPr>
          <w:rFonts w:ascii="Arial" w:hAnsi="Arial" w:cs="Arial"/>
        </w:rPr>
        <w:t xml:space="preserve">). </w:t>
      </w:r>
    </w:p>
    <w:p w14:paraId="673F1E71" w14:textId="77777777" w:rsidR="00320C24" w:rsidRDefault="00320C24" w:rsidP="00441B6F">
      <w:pPr>
        <w:pStyle w:val="Body"/>
        <w:spacing w:after="0"/>
        <w:rPr>
          <w:rFonts w:ascii="Arial" w:hAnsi="Arial" w:cs="Arial"/>
        </w:rPr>
      </w:pPr>
    </w:p>
    <w:p w14:paraId="7B7FB508" w14:textId="77777777" w:rsidR="005D7265" w:rsidRPr="009102E7" w:rsidRDefault="009102E7" w:rsidP="00441B6F">
      <w:pPr>
        <w:pStyle w:val="Body"/>
        <w:spacing w:after="0"/>
        <w:rPr>
          <w:rFonts w:ascii="Arial" w:hAnsi="Arial" w:cs="Arial"/>
          <w:b/>
          <w:bCs/>
        </w:rPr>
      </w:pPr>
      <w:r w:rsidRPr="009102E7">
        <w:rPr>
          <w:rFonts w:ascii="Arial" w:hAnsi="Arial" w:cs="Arial"/>
          <w:b/>
          <w:bCs/>
        </w:rPr>
        <w:t xml:space="preserve">2.3 </w:t>
      </w:r>
      <w:r w:rsidR="005D7265" w:rsidRPr="009102E7">
        <w:rPr>
          <w:rFonts w:ascii="Arial" w:hAnsi="Arial" w:cs="Arial"/>
          <w:b/>
          <w:bCs/>
        </w:rPr>
        <w:t>PSAK 234 (formerly PSAK 3) &amp; PSAK 108 (formerly PSAK 5</w:t>
      </w:r>
      <w:r w:rsidR="007A297C">
        <w:rPr>
          <w:rFonts w:ascii="Arial" w:hAnsi="Arial" w:cs="Arial"/>
          <w:b/>
          <w:bCs/>
        </w:rPr>
        <w:t>)</w:t>
      </w:r>
    </w:p>
    <w:p w14:paraId="6D50E7E5" w14:textId="77777777" w:rsidR="005D7265" w:rsidRDefault="005D7265" w:rsidP="00441B6F">
      <w:pPr>
        <w:pStyle w:val="Body"/>
        <w:spacing w:after="0"/>
        <w:rPr>
          <w:rFonts w:ascii="Arial" w:hAnsi="Arial" w:cs="Arial"/>
        </w:rPr>
      </w:pPr>
    </w:p>
    <w:p w14:paraId="53DD1CEC" w14:textId="77777777" w:rsidR="000C2AB6" w:rsidRDefault="000C2AB6" w:rsidP="00441B6F">
      <w:pPr>
        <w:pStyle w:val="Body"/>
        <w:spacing w:after="0"/>
        <w:rPr>
          <w:rFonts w:ascii="Arial" w:hAnsi="Arial" w:cs="Arial"/>
        </w:rPr>
      </w:pPr>
      <w:r w:rsidRPr="000C2AB6">
        <w:rPr>
          <w:rFonts w:ascii="Arial" w:hAnsi="Arial" w:cs="Arial"/>
        </w:rPr>
        <w:t>PSAK 234 and PSAK 108 constitute key standards governing interim and segment reporting, both essential for entities with diversified operations (</w:t>
      </w:r>
      <w:proofErr w:type="spellStart"/>
      <w:r w:rsidRPr="000C2AB6">
        <w:rPr>
          <w:rFonts w:ascii="Arial" w:hAnsi="Arial" w:cs="Arial"/>
        </w:rPr>
        <w:t>Noviana</w:t>
      </w:r>
      <w:proofErr w:type="spellEnd"/>
      <w:r w:rsidRPr="000C2AB6">
        <w:rPr>
          <w:rFonts w:ascii="Arial" w:hAnsi="Arial" w:cs="Arial"/>
        </w:rPr>
        <w:t xml:space="preserve"> et al., 2024). PSAK 234, effective January 1, 2024 following its renumbering from PSAK 3, establishes the minimum content and the recognition and measurement principles for complete or condensed interim financial statements, defining an interim period as any reporting period shorter than a full fiscal year and applying only when an entity is required or elects to issue interim reports under SAK (</w:t>
      </w:r>
      <w:proofErr w:type="spellStart"/>
      <w:r w:rsidRPr="000C2AB6">
        <w:rPr>
          <w:rFonts w:ascii="Arial" w:hAnsi="Arial" w:cs="Arial"/>
        </w:rPr>
        <w:t>Ikatan</w:t>
      </w:r>
      <w:proofErr w:type="spellEnd"/>
      <w:r w:rsidRPr="000C2AB6">
        <w:rPr>
          <w:rFonts w:ascii="Arial" w:hAnsi="Arial" w:cs="Arial"/>
        </w:rPr>
        <w:t xml:space="preserve"> </w:t>
      </w:r>
      <w:proofErr w:type="spellStart"/>
      <w:r w:rsidRPr="000C2AB6">
        <w:rPr>
          <w:rFonts w:ascii="Arial" w:hAnsi="Arial" w:cs="Arial"/>
        </w:rPr>
        <w:t>Akuntan</w:t>
      </w:r>
      <w:proofErr w:type="spellEnd"/>
      <w:r w:rsidRPr="000C2AB6">
        <w:rPr>
          <w:rFonts w:ascii="Arial" w:hAnsi="Arial" w:cs="Arial"/>
        </w:rPr>
        <w:t xml:space="preserve"> Indonesia, 2016). Interim reports must include condensed financial statements and explanatory notes, supported by comparative information to ensure clarity and consistency. PSAK 108, replacing PSAK 5 as of January 1, 2024, requires entities to disclose information enabling users to assess the nature and financial effects of business activities, identifying reportable segments through qualitative definitions and quantitative tests, including the 10% thresholds for revenue, profit or loss, and assets, along with the 75% revenue aggregation requirement. </w:t>
      </w:r>
    </w:p>
    <w:p w14:paraId="64AB76C1" w14:textId="77777777" w:rsidR="00790ADA" w:rsidRDefault="00790ADA" w:rsidP="00441B6F">
      <w:pPr>
        <w:pStyle w:val="Body"/>
        <w:spacing w:after="0"/>
        <w:rPr>
          <w:rFonts w:ascii="Arial" w:hAnsi="Arial" w:cs="Arial"/>
        </w:rPr>
      </w:pPr>
    </w:p>
    <w:p w14:paraId="20F7AEF8" w14:textId="77777777" w:rsidR="000512AC" w:rsidRDefault="000512AC">
      <w:pPr>
        <w:rPr>
          <w:rFonts w:ascii="Arial" w:hAnsi="Arial" w:cs="Arial"/>
          <w:b/>
          <w:bCs/>
        </w:rPr>
      </w:pPr>
      <w:r>
        <w:rPr>
          <w:rFonts w:ascii="Arial" w:hAnsi="Arial" w:cs="Arial"/>
          <w:b/>
          <w:bCs/>
        </w:rPr>
        <w:br w:type="page"/>
      </w:r>
    </w:p>
    <w:p w14:paraId="5900264D" w14:textId="77777777" w:rsidR="005D7265" w:rsidRPr="009102E7" w:rsidRDefault="009102E7" w:rsidP="00441B6F">
      <w:pPr>
        <w:pStyle w:val="Body"/>
        <w:spacing w:after="0"/>
        <w:rPr>
          <w:rFonts w:ascii="Arial" w:hAnsi="Arial" w:cs="Arial"/>
          <w:b/>
          <w:bCs/>
        </w:rPr>
      </w:pPr>
      <w:r w:rsidRPr="009102E7">
        <w:rPr>
          <w:rFonts w:ascii="Arial" w:hAnsi="Arial" w:cs="Arial"/>
          <w:b/>
          <w:bCs/>
        </w:rPr>
        <w:lastRenderedPageBreak/>
        <w:t xml:space="preserve">2.4 </w:t>
      </w:r>
      <w:r w:rsidR="005D7265" w:rsidRPr="009102E7">
        <w:rPr>
          <w:rFonts w:ascii="Arial" w:hAnsi="Arial" w:cs="Arial"/>
          <w:b/>
          <w:bCs/>
        </w:rPr>
        <w:t xml:space="preserve">IFRS 8 &amp; IAS 34 </w:t>
      </w:r>
    </w:p>
    <w:p w14:paraId="75CA3960" w14:textId="77777777" w:rsidR="005D7265" w:rsidRDefault="005D7265" w:rsidP="00441B6F">
      <w:pPr>
        <w:pStyle w:val="Body"/>
        <w:spacing w:after="0"/>
        <w:rPr>
          <w:rFonts w:ascii="Arial" w:hAnsi="Arial" w:cs="Arial"/>
        </w:rPr>
      </w:pPr>
    </w:p>
    <w:p w14:paraId="6A081D2C" w14:textId="77777777" w:rsidR="00502516" w:rsidRDefault="00146306" w:rsidP="00441B6F">
      <w:pPr>
        <w:pStyle w:val="Body"/>
        <w:spacing w:after="0"/>
        <w:rPr>
          <w:rFonts w:ascii="Arial" w:hAnsi="Arial" w:cs="Arial"/>
        </w:rPr>
      </w:pPr>
      <w:r w:rsidRPr="00146306">
        <w:rPr>
          <w:rFonts w:ascii="Arial" w:hAnsi="Arial" w:cs="Arial"/>
        </w:rPr>
        <w:t>IFRS 8 requires entities to disclose information that enables users to assess the nature and financial effects of their business activities and operating environments, with segment information measured consistently with the data provided to the chief operating decision maker for resource allocation and performance evaluation (IFRS Foundation, 2022). Adjustments or eliminations are included in segment profit or loss only when they form part of the internal measures used by management. IFRS 8 and PSAK 108 share a management-approach framework, mandating segment identification through qualitative criteria and quantitative 10% thresholds for revenue, profit or loss, and assets, as well as the 75% revenue coverage rule. IAS 34 further establishes the minimum content and recognition and measurement principles for interim financial statements, requiring condensed financial statements with comparative information and explanatory notes focused on changes since the preceding annual reporting period (IFRS Foundation, 2024). PSAK 234, adopting IAS 34, upholds these principles by ensuring consistent, comparable, and timely interim reporting.</w:t>
      </w:r>
    </w:p>
    <w:p w14:paraId="54540038" w14:textId="77777777" w:rsidR="002E0D56" w:rsidRDefault="002E0D56" w:rsidP="00441B6F">
      <w:pPr>
        <w:pStyle w:val="Body"/>
        <w:spacing w:after="0"/>
        <w:rPr>
          <w:rFonts w:ascii="Arial" w:hAnsi="Arial" w:cs="Arial"/>
        </w:rPr>
      </w:pPr>
    </w:p>
    <w:p w14:paraId="35993904" w14:textId="77777777" w:rsidR="005D7265" w:rsidRPr="009102E7" w:rsidRDefault="005D7265" w:rsidP="00441B6F">
      <w:pPr>
        <w:pStyle w:val="Body"/>
        <w:spacing w:after="0"/>
        <w:rPr>
          <w:rFonts w:ascii="Arial" w:hAnsi="Arial" w:cs="Arial"/>
          <w:b/>
          <w:bCs/>
        </w:rPr>
      </w:pPr>
      <w:r w:rsidRPr="009102E7">
        <w:rPr>
          <w:rFonts w:ascii="Arial" w:hAnsi="Arial" w:cs="Arial"/>
          <w:b/>
          <w:bCs/>
        </w:rPr>
        <w:t xml:space="preserve">2.5 Previous Studies </w:t>
      </w:r>
    </w:p>
    <w:p w14:paraId="522D0BAB" w14:textId="77777777" w:rsidR="005D7265" w:rsidRDefault="005D7265" w:rsidP="00441B6F">
      <w:pPr>
        <w:pStyle w:val="Body"/>
        <w:spacing w:after="0"/>
        <w:rPr>
          <w:rFonts w:ascii="Arial" w:hAnsi="Arial" w:cs="Arial"/>
        </w:rPr>
      </w:pPr>
    </w:p>
    <w:p w14:paraId="25258853" w14:textId="77777777" w:rsidR="004970E6" w:rsidRDefault="004970E6" w:rsidP="00441B6F">
      <w:pPr>
        <w:pStyle w:val="Body"/>
        <w:spacing w:after="0"/>
        <w:rPr>
          <w:rFonts w:ascii="Arial" w:hAnsi="Arial" w:cs="Arial"/>
        </w:rPr>
      </w:pPr>
      <w:r w:rsidRPr="004970E6">
        <w:rPr>
          <w:rFonts w:ascii="Arial" w:hAnsi="Arial" w:cs="Arial"/>
        </w:rPr>
        <w:t xml:space="preserve">Halimah (2021) conducted an extensive assessment of segment and interim financial reporting compliance at </w:t>
      </w:r>
      <w:r w:rsidR="00BF0F44">
        <w:rPr>
          <w:rFonts w:ascii="Arial" w:hAnsi="Arial" w:cs="Arial"/>
        </w:rPr>
        <w:t>X Company</w:t>
      </w:r>
      <w:r w:rsidRPr="004970E6">
        <w:rPr>
          <w:rFonts w:ascii="Arial" w:hAnsi="Arial" w:cs="Arial"/>
        </w:rPr>
        <w:t xml:space="preserve"> for 2015–2019 with reference to PSAK No. 3 and PSAK No. 5. Using quantitative threshold tests on revenues, assets, and profit or loss, complemented by qualitative analysis of additional and dominant segments, the study found partial noncompliance in 2015 due to the inclusion of a component that failed to meet the ten-percent criterion. Full compliance was achieved from 2016 onward. The study also confirmed consistent adherence to PSAK No. 3’s minimum interim reporting requirements, reflecting strengthened disclosure quality and accountability. </w:t>
      </w:r>
    </w:p>
    <w:p w14:paraId="2BEB8C87" w14:textId="77777777" w:rsidR="00D73103" w:rsidRDefault="00D73103" w:rsidP="00441B6F">
      <w:pPr>
        <w:pStyle w:val="Body"/>
        <w:spacing w:after="0"/>
        <w:rPr>
          <w:rFonts w:ascii="Arial" w:hAnsi="Arial" w:cs="Arial"/>
        </w:rPr>
      </w:pPr>
    </w:p>
    <w:p w14:paraId="067AEF9D" w14:textId="77777777" w:rsidR="00D73103" w:rsidRPr="00481596" w:rsidRDefault="00D73103" w:rsidP="00441B6F">
      <w:pPr>
        <w:pStyle w:val="Body"/>
        <w:spacing w:after="0"/>
        <w:rPr>
          <w:rFonts w:ascii="Arial" w:hAnsi="Arial" w:cs="Arial"/>
          <w:b/>
          <w:bCs/>
        </w:rPr>
      </w:pPr>
      <w:r w:rsidRPr="00481596">
        <w:rPr>
          <w:rFonts w:ascii="Arial" w:hAnsi="Arial" w:cs="Arial"/>
          <w:b/>
          <w:bCs/>
        </w:rPr>
        <w:t xml:space="preserve">2.6 Methodology </w:t>
      </w:r>
    </w:p>
    <w:p w14:paraId="354701F9" w14:textId="77777777" w:rsidR="00D73103" w:rsidRDefault="00D73103" w:rsidP="00441B6F">
      <w:pPr>
        <w:pStyle w:val="Body"/>
        <w:spacing w:after="0"/>
        <w:rPr>
          <w:rFonts w:ascii="Arial" w:hAnsi="Arial" w:cs="Arial"/>
        </w:rPr>
      </w:pPr>
    </w:p>
    <w:p w14:paraId="0023802F" w14:textId="77777777" w:rsidR="00481596" w:rsidRPr="00481596" w:rsidRDefault="00481596" w:rsidP="00481596">
      <w:pPr>
        <w:pStyle w:val="Body"/>
        <w:rPr>
          <w:rFonts w:ascii="Arial" w:hAnsi="Arial" w:cs="Arial"/>
        </w:rPr>
      </w:pPr>
      <w:r w:rsidRPr="00481596">
        <w:rPr>
          <w:rFonts w:ascii="Arial" w:hAnsi="Arial" w:cs="Arial"/>
        </w:rPr>
        <w:t xml:space="preserve">This research adopts </w:t>
      </w:r>
      <w:r w:rsidR="005D5714">
        <w:rPr>
          <w:rFonts w:ascii="Arial" w:hAnsi="Arial" w:cs="Arial"/>
        </w:rPr>
        <w:t>both</w:t>
      </w:r>
      <w:r w:rsidRPr="00481596">
        <w:rPr>
          <w:rFonts w:ascii="Arial" w:hAnsi="Arial" w:cs="Arial"/>
        </w:rPr>
        <w:t xml:space="preserve"> qualitative </w:t>
      </w:r>
      <w:r w:rsidR="005D5714">
        <w:rPr>
          <w:rFonts w:ascii="Arial" w:hAnsi="Arial" w:cs="Arial"/>
        </w:rPr>
        <w:t xml:space="preserve">and quantitative </w:t>
      </w:r>
      <w:r w:rsidRPr="00481596">
        <w:rPr>
          <w:rFonts w:ascii="Arial" w:hAnsi="Arial" w:cs="Arial"/>
        </w:rPr>
        <w:t>descriptive approach supported by a case study design to provide an in-depth examination of financial reporting compliance within a real organizational context. The case study method enables a comprehensive evaluation of Company X’s application of PSAK 108, PSAK 234, IFRS 8, and IAS 34 in the preparation of its segment and interim financial reports. Secondary data serve as the primary source of evidence, comprising annual reports and interim financial statements for the 2024–2025 reporting period, obtained from publicly accessible platforms such as the Indonesia Stock Exchange and the company’s official website. The dataset includes segment disclosures, interim reporting components, and quantitative information related to segment revenues, operating profit or loss, and total assets, which are essential for conducting the 10 percent quantitative threshold tests prescribed under PSAK 108.</w:t>
      </w:r>
    </w:p>
    <w:p w14:paraId="6CF92C91" w14:textId="77777777" w:rsidR="00D73103" w:rsidRDefault="00481596" w:rsidP="00481596">
      <w:pPr>
        <w:pStyle w:val="Body"/>
        <w:spacing w:after="0"/>
        <w:rPr>
          <w:rFonts w:ascii="Arial" w:hAnsi="Arial" w:cs="Arial"/>
        </w:rPr>
      </w:pPr>
      <w:r w:rsidRPr="00481596">
        <w:rPr>
          <w:rFonts w:ascii="Arial" w:hAnsi="Arial" w:cs="Arial"/>
        </w:rPr>
        <w:t>The analytical process integrates quantitative testing and qualitative content analysis to ensure a robust evaluation of reporting compliance. The quantitative phase involves applying the 10 percent criteria to identify reportable segments based on revenue, profit or loss, and asset thresholds. Subsequently, the findings from these tests are interpreted using qualitative techniques, particularly content analysis, to assess the extent to which narrative disclosures and reporting formats conform to PSAK 108, PSAK 234, IFRS 8, and IAS 34. Through this combined analytical framework, the study provides a comprehensive assessment of Company X’s adherence to relevant financial reporting standards.</w:t>
      </w:r>
    </w:p>
    <w:p w14:paraId="2E2F97F0" w14:textId="77777777" w:rsidR="004970E6" w:rsidRDefault="004970E6" w:rsidP="00441B6F">
      <w:pPr>
        <w:pStyle w:val="Body"/>
        <w:spacing w:after="0"/>
        <w:rPr>
          <w:rFonts w:ascii="Arial" w:hAnsi="Arial" w:cs="Arial"/>
        </w:rPr>
      </w:pPr>
    </w:p>
    <w:p w14:paraId="72E48B35" w14:textId="77777777" w:rsidR="000512AC" w:rsidRDefault="000512AC">
      <w:pPr>
        <w:rPr>
          <w:rFonts w:ascii="Arial" w:hAnsi="Arial" w:cs="Arial"/>
          <w:b/>
          <w:caps/>
          <w:sz w:val="22"/>
        </w:rPr>
      </w:pPr>
      <w:r>
        <w:rPr>
          <w:rFonts w:ascii="Arial" w:hAnsi="Arial" w:cs="Arial"/>
        </w:rPr>
        <w:br w:type="page"/>
      </w:r>
    </w:p>
    <w:p w14:paraId="44BD52D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E209D43" w14:textId="77777777" w:rsidR="00790ADA" w:rsidRPr="00FB3A86" w:rsidRDefault="00790ADA" w:rsidP="00441B6F">
      <w:pPr>
        <w:pStyle w:val="Head1"/>
        <w:spacing w:after="0"/>
        <w:jc w:val="both"/>
        <w:rPr>
          <w:rFonts w:ascii="Arial" w:hAnsi="Arial" w:cs="Arial"/>
        </w:rPr>
      </w:pPr>
    </w:p>
    <w:p w14:paraId="343DD6ED" w14:textId="77777777" w:rsidR="005635B7" w:rsidRPr="00501AEE" w:rsidRDefault="005635B7" w:rsidP="00441B6F">
      <w:pPr>
        <w:pStyle w:val="Body"/>
        <w:spacing w:after="0"/>
        <w:rPr>
          <w:rFonts w:ascii="Arial" w:hAnsi="Arial" w:cs="Arial"/>
          <w:b/>
          <w:bCs/>
        </w:rPr>
      </w:pPr>
      <w:r w:rsidRPr="00501AEE">
        <w:rPr>
          <w:rFonts w:ascii="Arial" w:hAnsi="Arial" w:cs="Arial"/>
          <w:b/>
          <w:bCs/>
        </w:rPr>
        <w:t xml:space="preserve">3.1 Company Profile </w:t>
      </w:r>
    </w:p>
    <w:p w14:paraId="436B15CB" w14:textId="77777777" w:rsidR="005635B7" w:rsidRDefault="005635B7" w:rsidP="00441B6F">
      <w:pPr>
        <w:pStyle w:val="Body"/>
        <w:spacing w:after="0"/>
        <w:rPr>
          <w:rFonts w:ascii="Arial" w:hAnsi="Arial" w:cs="Arial"/>
        </w:rPr>
      </w:pPr>
    </w:p>
    <w:p w14:paraId="7E2FE276" w14:textId="77777777" w:rsidR="00E1453F" w:rsidRDefault="00623B1D" w:rsidP="004A2B88">
      <w:pPr>
        <w:pStyle w:val="Body"/>
        <w:rPr>
          <w:rFonts w:ascii="Arial" w:hAnsi="Arial" w:cs="Arial"/>
        </w:rPr>
      </w:pPr>
      <w:r>
        <w:rPr>
          <w:rFonts w:ascii="Arial" w:hAnsi="Arial" w:cs="Arial"/>
        </w:rPr>
        <w:t>X</w:t>
      </w:r>
      <w:r w:rsidR="00E1453F" w:rsidRPr="00E1453F">
        <w:rPr>
          <w:rFonts w:ascii="Arial" w:hAnsi="Arial" w:cs="Arial"/>
        </w:rPr>
        <w:t xml:space="preserve"> is a state-owned enterprise that has played a central role in the development of Indonesia’s cement and building materials industry since its establishment on August 7, 1957. Initially operating with an installed capacity of 250,000 tons per year, the company symbolized Indonesia’s early commitment to industrialization and national infrastructure development.</w:t>
      </w:r>
      <w:r w:rsidR="004A2B88">
        <w:rPr>
          <w:rFonts w:ascii="Arial" w:hAnsi="Arial" w:cs="Arial"/>
        </w:rPr>
        <w:t xml:space="preserve"> </w:t>
      </w:r>
      <w:r w:rsidR="00E1453F" w:rsidRPr="00E1453F">
        <w:rPr>
          <w:rFonts w:ascii="Arial" w:hAnsi="Arial" w:cs="Arial"/>
        </w:rPr>
        <w:t xml:space="preserve">Over time, SIG expanded significantly, marked by its 1991 Initial Public Offering on the Jakarta and Surabaya Stock Exchanges and its 2013 transformation into a strategic holding company. The 2020 rebranding </w:t>
      </w:r>
      <w:r w:rsidR="007055AD">
        <w:rPr>
          <w:rFonts w:ascii="Arial" w:hAnsi="Arial" w:cs="Arial"/>
        </w:rPr>
        <w:t>is</w:t>
      </w:r>
      <w:r w:rsidR="00E1453F" w:rsidRPr="00E1453F">
        <w:rPr>
          <w:rFonts w:ascii="Arial" w:hAnsi="Arial" w:cs="Arial"/>
        </w:rPr>
        <w:t xml:space="preserve"> strengthened its commitment to innovation, sustainability, and integrated digital and environmental strategies. </w:t>
      </w:r>
    </w:p>
    <w:p w14:paraId="0E0FC148" w14:textId="77777777" w:rsidR="005635B7" w:rsidRPr="00501AEE" w:rsidRDefault="005635B7" w:rsidP="00441B6F">
      <w:pPr>
        <w:pStyle w:val="Body"/>
        <w:spacing w:after="0"/>
        <w:rPr>
          <w:rFonts w:ascii="Arial" w:hAnsi="Arial" w:cs="Arial"/>
          <w:b/>
          <w:bCs/>
        </w:rPr>
      </w:pPr>
      <w:r w:rsidRPr="00501AEE">
        <w:rPr>
          <w:rFonts w:ascii="Arial" w:hAnsi="Arial" w:cs="Arial"/>
          <w:b/>
          <w:bCs/>
        </w:rPr>
        <w:t xml:space="preserve">3.2 Financial Highlights </w:t>
      </w:r>
    </w:p>
    <w:p w14:paraId="0D7696BD" w14:textId="77777777" w:rsidR="005635B7" w:rsidRDefault="005635B7" w:rsidP="00441B6F">
      <w:pPr>
        <w:pStyle w:val="Body"/>
        <w:spacing w:after="0"/>
        <w:rPr>
          <w:rFonts w:ascii="Arial" w:hAnsi="Arial" w:cs="Arial"/>
        </w:rPr>
      </w:pPr>
    </w:p>
    <w:p w14:paraId="19819140" w14:textId="77777777" w:rsidR="00B720F6" w:rsidRPr="00B720F6" w:rsidRDefault="00B720F6" w:rsidP="00B720F6">
      <w:pPr>
        <w:pStyle w:val="Body"/>
        <w:rPr>
          <w:rFonts w:ascii="Arial" w:hAnsi="Arial" w:cs="Arial"/>
        </w:rPr>
      </w:pPr>
      <w:r w:rsidRPr="00B720F6">
        <w:rPr>
          <w:rFonts w:ascii="Arial" w:hAnsi="Arial" w:cs="Arial"/>
        </w:rPr>
        <w:t>X Manufacturing Company exhibited financial stability throughout 2024, maintaining adequate liquidity and a sustainable capital structure despite a modest decline in profitability. Revenue and profit reductions were largely driven by heightened market competition, increased energy prices, and rising logistical costs. Nevertheless, the company upheld operational efficiency and continued advancing its strategic initiatives in innovation, digital transformation, and sustainability.</w:t>
      </w:r>
    </w:p>
    <w:p w14:paraId="1AAE0DC2" w14:textId="77777777" w:rsidR="00B720F6" w:rsidRDefault="00B720F6" w:rsidP="00B720F6">
      <w:pPr>
        <w:pStyle w:val="Body"/>
        <w:spacing w:after="0"/>
        <w:rPr>
          <w:rFonts w:ascii="Arial" w:hAnsi="Arial" w:cs="Arial"/>
        </w:rPr>
      </w:pPr>
      <w:r w:rsidRPr="00B720F6">
        <w:rPr>
          <w:rFonts w:ascii="Arial" w:hAnsi="Arial" w:cs="Arial"/>
        </w:rPr>
        <w:t>In the first quarter of 2025, X Manufacturing Company recorded consolidated revenues of Rp 7.65 trillion, down from Rp 8.38 trillion in the same period of 2024. Gross profit decreased to Rp 1.56 trillion due to reduced sales volumes and higher production costs, resulting in a significantly lower net profit of Rp 35.43 billion.</w:t>
      </w:r>
    </w:p>
    <w:p w14:paraId="22528639" w14:textId="77777777" w:rsidR="005C6353" w:rsidRDefault="005C6353" w:rsidP="00B720F6">
      <w:pPr>
        <w:pStyle w:val="Body"/>
        <w:spacing w:after="0"/>
        <w:rPr>
          <w:rFonts w:ascii="Arial" w:hAnsi="Arial" w:cs="Arial"/>
        </w:rPr>
      </w:pPr>
    </w:p>
    <w:p w14:paraId="52F3FBC4" w14:textId="77777777" w:rsidR="00B720F6" w:rsidRDefault="005C6353" w:rsidP="005C6353">
      <w:pPr>
        <w:pStyle w:val="Body"/>
        <w:spacing w:after="0"/>
        <w:jc w:val="center"/>
        <w:rPr>
          <w:rFonts w:ascii="Arial" w:hAnsi="Arial" w:cs="Arial"/>
        </w:rPr>
      </w:pPr>
      <w:r w:rsidRPr="005C6353">
        <w:rPr>
          <w:rFonts w:ascii="Arial" w:hAnsi="Arial" w:cs="Arial"/>
          <w:b/>
          <w:bCs/>
        </w:rPr>
        <w:t>Table 1.</w:t>
      </w:r>
      <w:r>
        <w:rPr>
          <w:rFonts w:ascii="Arial" w:hAnsi="Arial" w:cs="Arial"/>
        </w:rPr>
        <w:t xml:space="preserve"> </w:t>
      </w:r>
      <w:r w:rsidRPr="005C6353">
        <w:rPr>
          <w:rFonts w:ascii="Arial" w:hAnsi="Arial" w:cs="Arial"/>
        </w:rPr>
        <w:t>Key Financial Ratios</w:t>
      </w:r>
    </w:p>
    <w:p w14:paraId="750E7DD8" w14:textId="77777777" w:rsidR="005C6353" w:rsidRDefault="005C6353" w:rsidP="00B720F6">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951"/>
        <w:gridCol w:w="951"/>
        <w:gridCol w:w="6746"/>
      </w:tblGrid>
      <w:tr w:rsidR="005C6353" w:rsidRPr="005C6353" w14:paraId="221EB92B" w14:textId="77777777" w:rsidTr="00E066D7">
        <w:tc>
          <w:tcPr>
            <w:tcW w:w="0" w:type="auto"/>
            <w:tcBorders>
              <w:top w:val="single" w:sz="4" w:space="0" w:color="auto"/>
              <w:bottom w:val="single" w:sz="4" w:space="0" w:color="auto"/>
            </w:tcBorders>
            <w:vAlign w:val="center"/>
            <w:hideMark/>
          </w:tcPr>
          <w:p w14:paraId="47FEBA09" w14:textId="77777777" w:rsidR="005C6353" w:rsidRPr="005C6353" w:rsidRDefault="005C6353" w:rsidP="005C6353">
            <w:pPr>
              <w:jc w:val="center"/>
              <w:rPr>
                <w:rFonts w:ascii="Arial" w:hAnsi="Arial" w:cs="Arial"/>
                <w:b/>
                <w:bCs/>
                <w:lang w:val="en-ID"/>
              </w:rPr>
            </w:pPr>
            <w:r w:rsidRPr="005C6353">
              <w:rPr>
                <w:rFonts w:ascii="Arial" w:hAnsi="Arial" w:cs="Arial"/>
                <w:b/>
                <w:bCs/>
                <w:lang w:val="en-ID"/>
              </w:rPr>
              <w:t>Indicator</w:t>
            </w:r>
          </w:p>
        </w:tc>
        <w:tc>
          <w:tcPr>
            <w:tcW w:w="0" w:type="auto"/>
            <w:tcBorders>
              <w:top w:val="single" w:sz="4" w:space="0" w:color="auto"/>
              <w:bottom w:val="single" w:sz="4" w:space="0" w:color="auto"/>
            </w:tcBorders>
            <w:vAlign w:val="center"/>
            <w:hideMark/>
          </w:tcPr>
          <w:p w14:paraId="1233BAC6" w14:textId="77777777" w:rsidR="005C6353" w:rsidRPr="005C6353" w:rsidRDefault="005C6353" w:rsidP="005C6353">
            <w:pPr>
              <w:jc w:val="center"/>
              <w:rPr>
                <w:rFonts w:ascii="Arial" w:hAnsi="Arial" w:cs="Arial"/>
                <w:b/>
                <w:bCs/>
                <w:lang w:val="en-ID"/>
              </w:rPr>
            </w:pPr>
            <w:r w:rsidRPr="005C6353">
              <w:rPr>
                <w:rFonts w:ascii="Arial" w:hAnsi="Arial" w:cs="Arial"/>
                <w:b/>
                <w:bCs/>
                <w:lang w:val="en-ID"/>
              </w:rPr>
              <w:t>Q1 2025</w:t>
            </w:r>
          </w:p>
        </w:tc>
        <w:tc>
          <w:tcPr>
            <w:tcW w:w="0" w:type="auto"/>
            <w:tcBorders>
              <w:top w:val="single" w:sz="4" w:space="0" w:color="auto"/>
              <w:bottom w:val="single" w:sz="4" w:space="0" w:color="auto"/>
            </w:tcBorders>
            <w:vAlign w:val="center"/>
            <w:hideMark/>
          </w:tcPr>
          <w:p w14:paraId="6590E6B0" w14:textId="77777777" w:rsidR="005C6353" w:rsidRPr="005C6353" w:rsidRDefault="005C6353" w:rsidP="005C6353">
            <w:pPr>
              <w:jc w:val="center"/>
              <w:rPr>
                <w:rFonts w:ascii="Arial" w:hAnsi="Arial" w:cs="Arial"/>
                <w:b/>
                <w:bCs/>
                <w:lang w:val="en-ID"/>
              </w:rPr>
            </w:pPr>
            <w:r w:rsidRPr="005C6353">
              <w:rPr>
                <w:rFonts w:ascii="Arial" w:hAnsi="Arial" w:cs="Arial"/>
                <w:b/>
                <w:bCs/>
                <w:lang w:val="en-ID"/>
              </w:rPr>
              <w:t>Q4 2024</w:t>
            </w:r>
          </w:p>
        </w:tc>
        <w:tc>
          <w:tcPr>
            <w:tcW w:w="0" w:type="auto"/>
            <w:tcBorders>
              <w:top w:val="single" w:sz="4" w:space="0" w:color="auto"/>
              <w:bottom w:val="single" w:sz="4" w:space="0" w:color="auto"/>
            </w:tcBorders>
            <w:vAlign w:val="center"/>
            <w:hideMark/>
          </w:tcPr>
          <w:p w14:paraId="02EEE6F3" w14:textId="77777777" w:rsidR="005C6353" w:rsidRPr="005C6353" w:rsidRDefault="005C6353" w:rsidP="005C6353">
            <w:pPr>
              <w:jc w:val="center"/>
              <w:rPr>
                <w:rFonts w:ascii="Arial" w:hAnsi="Arial" w:cs="Arial"/>
                <w:b/>
                <w:bCs/>
                <w:lang w:val="en-ID"/>
              </w:rPr>
            </w:pPr>
            <w:r w:rsidRPr="005C6353">
              <w:rPr>
                <w:rFonts w:ascii="Arial" w:hAnsi="Arial" w:cs="Arial"/>
                <w:b/>
                <w:bCs/>
                <w:lang w:val="en-ID"/>
              </w:rPr>
              <w:t>Explanation</w:t>
            </w:r>
          </w:p>
        </w:tc>
      </w:tr>
      <w:tr w:rsidR="005C6353" w:rsidRPr="005C6353" w14:paraId="4C15A92F" w14:textId="77777777" w:rsidTr="00E066D7">
        <w:tc>
          <w:tcPr>
            <w:tcW w:w="0" w:type="auto"/>
            <w:tcBorders>
              <w:top w:val="single" w:sz="4" w:space="0" w:color="auto"/>
            </w:tcBorders>
            <w:vAlign w:val="center"/>
            <w:hideMark/>
          </w:tcPr>
          <w:p w14:paraId="0FB265A4" w14:textId="77777777" w:rsidR="005C6353" w:rsidRPr="005C6353" w:rsidRDefault="005C6353" w:rsidP="005C6353">
            <w:pPr>
              <w:rPr>
                <w:rFonts w:ascii="Arial" w:hAnsi="Arial" w:cs="Arial"/>
                <w:lang w:val="en-ID"/>
              </w:rPr>
            </w:pPr>
            <w:r w:rsidRPr="005C6353">
              <w:rPr>
                <w:rFonts w:ascii="Arial" w:hAnsi="Arial" w:cs="Arial"/>
                <w:lang w:val="en-ID"/>
              </w:rPr>
              <w:t>Return on Assets (ROA)</w:t>
            </w:r>
          </w:p>
        </w:tc>
        <w:tc>
          <w:tcPr>
            <w:tcW w:w="0" w:type="auto"/>
            <w:tcBorders>
              <w:top w:val="single" w:sz="4" w:space="0" w:color="auto"/>
            </w:tcBorders>
            <w:vAlign w:val="center"/>
            <w:hideMark/>
          </w:tcPr>
          <w:p w14:paraId="49F205D7" w14:textId="77777777" w:rsidR="005C6353" w:rsidRPr="005C6353" w:rsidRDefault="005C6353" w:rsidP="005C6353">
            <w:pPr>
              <w:jc w:val="center"/>
              <w:rPr>
                <w:rFonts w:ascii="Arial" w:hAnsi="Arial" w:cs="Arial"/>
                <w:lang w:val="en-ID"/>
              </w:rPr>
            </w:pPr>
            <w:r w:rsidRPr="005C6353">
              <w:rPr>
                <w:rFonts w:ascii="Arial" w:hAnsi="Arial" w:cs="Arial"/>
                <w:lang w:val="en-ID"/>
              </w:rPr>
              <w:t>0.05%</w:t>
            </w:r>
          </w:p>
        </w:tc>
        <w:tc>
          <w:tcPr>
            <w:tcW w:w="0" w:type="auto"/>
            <w:tcBorders>
              <w:top w:val="single" w:sz="4" w:space="0" w:color="auto"/>
            </w:tcBorders>
            <w:vAlign w:val="center"/>
            <w:hideMark/>
          </w:tcPr>
          <w:p w14:paraId="64D6EAF6" w14:textId="77777777" w:rsidR="005C6353" w:rsidRPr="005C6353" w:rsidRDefault="005C6353" w:rsidP="005C6353">
            <w:pPr>
              <w:jc w:val="center"/>
              <w:rPr>
                <w:rFonts w:ascii="Arial" w:hAnsi="Arial" w:cs="Arial"/>
                <w:lang w:val="en-ID"/>
              </w:rPr>
            </w:pPr>
            <w:r w:rsidRPr="005C6353">
              <w:rPr>
                <w:rFonts w:ascii="Arial" w:hAnsi="Arial" w:cs="Arial"/>
                <w:lang w:val="en-ID"/>
              </w:rPr>
              <w:t>1.22%</w:t>
            </w:r>
          </w:p>
        </w:tc>
        <w:tc>
          <w:tcPr>
            <w:tcW w:w="0" w:type="auto"/>
            <w:tcBorders>
              <w:top w:val="single" w:sz="4" w:space="0" w:color="auto"/>
            </w:tcBorders>
            <w:hideMark/>
          </w:tcPr>
          <w:p w14:paraId="2400C1C0" w14:textId="77777777" w:rsidR="005C6353" w:rsidRPr="005C6353" w:rsidRDefault="005C6353" w:rsidP="005C6353">
            <w:pPr>
              <w:rPr>
                <w:rFonts w:ascii="Arial" w:hAnsi="Arial" w:cs="Arial"/>
                <w:lang w:val="en-ID"/>
              </w:rPr>
            </w:pPr>
            <w:r w:rsidRPr="005C6353">
              <w:rPr>
                <w:rFonts w:ascii="Arial" w:hAnsi="Arial" w:cs="Arial"/>
                <w:lang w:val="en-ID"/>
              </w:rPr>
              <w:t>Indicates a temporary decline in asset profitability due to lower net income.</w:t>
            </w:r>
          </w:p>
        </w:tc>
      </w:tr>
      <w:tr w:rsidR="005C6353" w:rsidRPr="005C6353" w14:paraId="66B393F5" w14:textId="77777777" w:rsidTr="00E066D7">
        <w:tc>
          <w:tcPr>
            <w:tcW w:w="0" w:type="auto"/>
            <w:vAlign w:val="center"/>
            <w:hideMark/>
          </w:tcPr>
          <w:p w14:paraId="76084005" w14:textId="77777777" w:rsidR="005C6353" w:rsidRPr="005C6353" w:rsidRDefault="005C6353" w:rsidP="005C6353">
            <w:pPr>
              <w:rPr>
                <w:rFonts w:ascii="Arial" w:hAnsi="Arial" w:cs="Arial"/>
                <w:lang w:val="en-ID"/>
              </w:rPr>
            </w:pPr>
            <w:r w:rsidRPr="005C6353">
              <w:rPr>
                <w:rFonts w:ascii="Arial" w:hAnsi="Arial" w:cs="Arial"/>
                <w:lang w:val="en-ID"/>
              </w:rPr>
              <w:t>Return on Equity (ROE)</w:t>
            </w:r>
          </w:p>
        </w:tc>
        <w:tc>
          <w:tcPr>
            <w:tcW w:w="0" w:type="auto"/>
            <w:vAlign w:val="center"/>
            <w:hideMark/>
          </w:tcPr>
          <w:p w14:paraId="358CF8C0" w14:textId="77777777" w:rsidR="005C6353" w:rsidRPr="005C6353" w:rsidRDefault="005C6353" w:rsidP="005C6353">
            <w:pPr>
              <w:jc w:val="center"/>
              <w:rPr>
                <w:rFonts w:ascii="Arial" w:hAnsi="Arial" w:cs="Arial"/>
                <w:lang w:val="en-ID"/>
              </w:rPr>
            </w:pPr>
            <w:r w:rsidRPr="005C6353">
              <w:rPr>
                <w:rFonts w:ascii="Arial" w:hAnsi="Arial" w:cs="Arial"/>
                <w:lang w:val="en-ID"/>
              </w:rPr>
              <w:t>0.07%</w:t>
            </w:r>
          </w:p>
        </w:tc>
        <w:tc>
          <w:tcPr>
            <w:tcW w:w="0" w:type="auto"/>
            <w:vAlign w:val="center"/>
            <w:hideMark/>
          </w:tcPr>
          <w:p w14:paraId="7C2FBE2E" w14:textId="77777777" w:rsidR="005C6353" w:rsidRPr="005C6353" w:rsidRDefault="005C6353" w:rsidP="005C6353">
            <w:pPr>
              <w:jc w:val="center"/>
              <w:rPr>
                <w:rFonts w:ascii="Arial" w:hAnsi="Arial" w:cs="Arial"/>
                <w:lang w:val="en-ID"/>
              </w:rPr>
            </w:pPr>
            <w:r w:rsidRPr="005C6353">
              <w:rPr>
                <w:rFonts w:ascii="Arial" w:hAnsi="Arial" w:cs="Arial"/>
                <w:lang w:val="en-ID"/>
              </w:rPr>
              <w:t>1.00%</w:t>
            </w:r>
          </w:p>
        </w:tc>
        <w:tc>
          <w:tcPr>
            <w:tcW w:w="0" w:type="auto"/>
            <w:hideMark/>
          </w:tcPr>
          <w:p w14:paraId="4E9FE225" w14:textId="77777777" w:rsidR="005C6353" w:rsidRPr="005C6353" w:rsidRDefault="005C6353" w:rsidP="005C6353">
            <w:pPr>
              <w:rPr>
                <w:rFonts w:ascii="Arial" w:hAnsi="Arial" w:cs="Arial"/>
                <w:lang w:val="en-ID"/>
              </w:rPr>
            </w:pPr>
            <w:r w:rsidRPr="005C6353">
              <w:rPr>
                <w:rFonts w:ascii="Arial" w:hAnsi="Arial" w:cs="Arial"/>
                <w:lang w:val="en-ID"/>
              </w:rPr>
              <w:t>Reflects a moderate reduction in shareholder return, consistent with profit contraction.</w:t>
            </w:r>
          </w:p>
        </w:tc>
      </w:tr>
      <w:tr w:rsidR="005C6353" w:rsidRPr="005C6353" w14:paraId="1C31CCD7" w14:textId="77777777" w:rsidTr="00E066D7">
        <w:tc>
          <w:tcPr>
            <w:tcW w:w="0" w:type="auto"/>
            <w:vAlign w:val="center"/>
            <w:hideMark/>
          </w:tcPr>
          <w:p w14:paraId="12401B23" w14:textId="77777777" w:rsidR="005C6353" w:rsidRPr="005C6353" w:rsidRDefault="005C6353" w:rsidP="005C6353">
            <w:pPr>
              <w:rPr>
                <w:rFonts w:ascii="Arial" w:hAnsi="Arial" w:cs="Arial"/>
                <w:lang w:val="en-ID"/>
              </w:rPr>
            </w:pPr>
            <w:r w:rsidRPr="005C6353">
              <w:rPr>
                <w:rFonts w:ascii="Arial" w:hAnsi="Arial" w:cs="Arial"/>
                <w:lang w:val="en-ID"/>
              </w:rPr>
              <w:t>Debt-to-Equity Ratio (DER)</w:t>
            </w:r>
          </w:p>
        </w:tc>
        <w:tc>
          <w:tcPr>
            <w:tcW w:w="0" w:type="auto"/>
            <w:vAlign w:val="center"/>
            <w:hideMark/>
          </w:tcPr>
          <w:p w14:paraId="405DCE3A" w14:textId="77777777" w:rsidR="005C6353" w:rsidRPr="005C6353" w:rsidRDefault="005C6353" w:rsidP="005C6353">
            <w:pPr>
              <w:jc w:val="center"/>
              <w:rPr>
                <w:rFonts w:ascii="Arial" w:hAnsi="Arial" w:cs="Arial"/>
                <w:lang w:val="en-ID"/>
              </w:rPr>
            </w:pPr>
            <w:r w:rsidRPr="005C6353">
              <w:rPr>
                <w:rFonts w:ascii="Arial" w:hAnsi="Arial" w:cs="Arial"/>
                <w:lang w:val="en-ID"/>
              </w:rPr>
              <w:t>0.60x</w:t>
            </w:r>
          </w:p>
        </w:tc>
        <w:tc>
          <w:tcPr>
            <w:tcW w:w="0" w:type="auto"/>
            <w:vAlign w:val="center"/>
            <w:hideMark/>
          </w:tcPr>
          <w:p w14:paraId="69BD6FF8" w14:textId="77777777" w:rsidR="005C6353" w:rsidRPr="005C6353" w:rsidRDefault="005C6353" w:rsidP="005C6353">
            <w:pPr>
              <w:jc w:val="center"/>
              <w:rPr>
                <w:rFonts w:ascii="Arial" w:hAnsi="Arial" w:cs="Arial"/>
                <w:lang w:val="en-ID"/>
              </w:rPr>
            </w:pPr>
            <w:r w:rsidRPr="005C6353">
              <w:rPr>
                <w:rFonts w:ascii="Arial" w:hAnsi="Arial" w:cs="Arial"/>
                <w:lang w:val="en-ID"/>
              </w:rPr>
              <w:t>0.61x</w:t>
            </w:r>
          </w:p>
        </w:tc>
        <w:tc>
          <w:tcPr>
            <w:tcW w:w="0" w:type="auto"/>
            <w:hideMark/>
          </w:tcPr>
          <w:p w14:paraId="237D6253" w14:textId="77777777" w:rsidR="005C6353" w:rsidRPr="005C6353" w:rsidRDefault="005C6353" w:rsidP="005C6353">
            <w:pPr>
              <w:rPr>
                <w:rFonts w:ascii="Arial" w:hAnsi="Arial" w:cs="Arial"/>
                <w:lang w:val="en-ID"/>
              </w:rPr>
            </w:pPr>
            <w:r w:rsidRPr="005C6353">
              <w:rPr>
                <w:rFonts w:ascii="Arial" w:hAnsi="Arial" w:cs="Arial"/>
                <w:lang w:val="en-ID"/>
              </w:rPr>
              <w:t>Demonstrates a balanced capital structure with prudent leverage.</w:t>
            </w:r>
          </w:p>
        </w:tc>
      </w:tr>
      <w:tr w:rsidR="005C6353" w:rsidRPr="005C6353" w14:paraId="2C2FCD10" w14:textId="77777777" w:rsidTr="00E066D7">
        <w:tc>
          <w:tcPr>
            <w:tcW w:w="0" w:type="auto"/>
            <w:vAlign w:val="center"/>
            <w:hideMark/>
          </w:tcPr>
          <w:p w14:paraId="3D8C20E8" w14:textId="77777777" w:rsidR="005C6353" w:rsidRPr="005C6353" w:rsidRDefault="005C6353" w:rsidP="005C6353">
            <w:pPr>
              <w:rPr>
                <w:rFonts w:ascii="Arial" w:hAnsi="Arial" w:cs="Arial"/>
                <w:lang w:val="en-ID"/>
              </w:rPr>
            </w:pPr>
            <w:r w:rsidRPr="005C6353">
              <w:rPr>
                <w:rFonts w:ascii="Arial" w:hAnsi="Arial" w:cs="Arial"/>
                <w:lang w:val="en-ID"/>
              </w:rPr>
              <w:t>Gearing Ratio</w:t>
            </w:r>
          </w:p>
        </w:tc>
        <w:tc>
          <w:tcPr>
            <w:tcW w:w="0" w:type="auto"/>
            <w:vAlign w:val="center"/>
            <w:hideMark/>
          </w:tcPr>
          <w:p w14:paraId="43D74517" w14:textId="77777777" w:rsidR="005C6353" w:rsidRPr="005C6353" w:rsidRDefault="005C6353" w:rsidP="005C6353">
            <w:pPr>
              <w:jc w:val="center"/>
              <w:rPr>
                <w:rFonts w:ascii="Arial" w:hAnsi="Arial" w:cs="Arial"/>
                <w:lang w:val="en-ID"/>
              </w:rPr>
            </w:pPr>
            <w:r w:rsidRPr="005C6353">
              <w:rPr>
                <w:rFonts w:ascii="Arial" w:hAnsi="Arial" w:cs="Arial"/>
                <w:lang w:val="en-ID"/>
              </w:rPr>
              <w:t>0.16x</w:t>
            </w:r>
          </w:p>
        </w:tc>
        <w:tc>
          <w:tcPr>
            <w:tcW w:w="0" w:type="auto"/>
            <w:vAlign w:val="center"/>
            <w:hideMark/>
          </w:tcPr>
          <w:p w14:paraId="348250E8" w14:textId="77777777" w:rsidR="005C6353" w:rsidRPr="005C6353" w:rsidRDefault="005C6353" w:rsidP="005C6353">
            <w:pPr>
              <w:jc w:val="center"/>
              <w:rPr>
                <w:rFonts w:ascii="Arial" w:hAnsi="Arial" w:cs="Arial"/>
                <w:lang w:val="en-ID"/>
              </w:rPr>
            </w:pPr>
            <w:r w:rsidRPr="005C6353">
              <w:rPr>
                <w:rFonts w:ascii="Arial" w:hAnsi="Arial" w:cs="Arial"/>
                <w:lang w:val="en-ID"/>
              </w:rPr>
              <w:t>0.16x</w:t>
            </w:r>
          </w:p>
        </w:tc>
        <w:tc>
          <w:tcPr>
            <w:tcW w:w="0" w:type="auto"/>
            <w:hideMark/>
          </w:tcPr>
          <w:p w14:paraId="0666AE0D" w14:textId="77777777" w:rsidR="005C6353" w:rsidRPr="005C6353" w:rsidRDefault="005C6353" w:rsidP="005C6353">
            <w:pPr>
              <w:rPr>
                <w:rFonts w:ascii="Arial" w:hAnsi="Arial" w:cs="Arial"/>
                <w:lang w:val="en-ID"/>
              </w:rPr>
            </w:pPr>
            <w:r w:rsidRPr="005C6353">
              <w:rPr>
                <w:rFonts w:ascii="Arial" w:hAnsi="Arial" w:cs="Arial"/>
                <w:lang w:val="en-ID"/>
              </w:rPr>
              <w:t>Shows stable debt management and liquidity discipline across the company.</w:t>
            </w:r>
          </w:p>
        </w:tc>
      </w:tr>
    </w:tbl>
    <w:p w14:paraId="40DABC53" w14:textId="77777777" w:rsidR="00B720F6" w:rsidRDefault="00B720F6" w:rsidP="00B720F6">
      <w:pPr>
        <w:pStyle w:val="Body"/>
        <w:spacing w:after="0"/>
        <w:rPr>
          <w:rFonts w:ascii="Arial" w:hAnsi="Arial" w:cs="Arial"/>
        </w:rPr>
      </w:pPr>
    </w:p>
    <w:p w14:paraId="22778A01" w14:textId="77777777" w:rsidR="005635B7" w:rsidRPr="00501AEE" w:rsidRDefault="005635B7" w:rsidP="00441B6F">
      <w:pPr>
        <w:pStyle w:val="Body"/>
        <w:spacing w:after="0"/>
        <w:rPr>
          <w:rFonts w:ascii="Arial" w:hAnsi="Arial" w:cs="Arial"/>
          <w:b/>
          <w:bCs/>
        </w:rPr>
      </w:pPr>
      <w:r w:rsidRPr="00501AEE">
        <w:rPr>
          <w:rFonts w:ascii="Arial" w:hAnsi="Arial" w:cs="Arial"/>
          <w:b/>
          <w:bCs/>
        </w:rPr>
        <w:t>3.3 Compliance with PSAK 234 &amp; PSAK 108</w:t>
      </w:r>
    </w:p>
    <w:p w14:paraId="5EF617A3" w14:textId="77777777" w:rsidR="005635B7" w:rsidRDefault="005635B7" w:rsidP="00441B6F">
      <w:pPr>
        <w:pStyle w:val="Body"/>
        <w:spacing w:after="0"/>
        <w:rPr>
          <w:rFonts w:ascii="Arial" w:hAnsi="Arial" w:cs="Arial"/>
        </w:rPr>
      </w:pPr>
    </w:p>
    <w:p w14:paraId="21F5A8CD" w14:textId="77777777" w:rsidR="00C66982" w:rsidRPr="00733E53" w:rsidRDefault="00C66982" w:rsidP="00441B6F">
      <w:pPr>
        <w:pStyle w:val="Body"/>
        <w:spacing w:after="0"/>
        <w:rPr>
          <w:rFonts w:ascii="Arial" w:hAnsi="Arial" w:cs="Arial"/>
          <w:b/>
          <w:bCs/>
        </w:rPr>
      </w:pPr>
      <w:r w:rsidRPr="00733E53">
        <w:rPr>
          <w:rFonts w:ascii="Arial" w:hAnsi="Arial" w:cs="Arial"/>
          <w:b/>
          <w:bCs/>
        </w:rPr>
        <w:t>3.3.1 Compliance with PSAK 234: Interim Financial Reporting</w:t>
      </w:r>
    </w:p>
    <w:p w14:paraId="6859791E" w14:textId="77777777" w:rsidR="00C66982" w:rsidRDefault="00C66982" w:rsidP="00441B6F">
      <w:pPr>
        <w:pStyle w:val="Body"/>
        <w:spacing w:after="0"/>
        <w:rPr>
          <w:rFonts w:ascii="Arial" w:hAnsi="Arial" w:cs="Arial"/>
        </w:rPr>
      </w:pPr>
    </w:p>
    <w:p w14:paraId="4B885A06" w14:textId="77777777" w:rsidR="0065181F" w:rsidRPr="0065181F" w:rsidRDefault="0065181F" w:rsidP="0065181F">
      <w:pPr>
        <w:pStyle w:val="Body"/>
        <w:rPr>
          <w:rFonts w:ascii="Arial" w:hAnsi="Arial" w:cs="Arial"/>
        </w:rPr>
      </w:pPr>
      <w:r w:rsidRPr="0065181F">
        <w:rPr>
          <w:rFonts w:ascii="Arial" w:hAnsi="Arial" w:cs="Arial"/>
        </w:rPr>
        <w:t xml:space="preserve">Based on the examination of </w:t>
      </w:r>
      <w:r w:rsidR="007B1F44">
        <w:rPr>
          <w:rFonts w:ascii="Arial" w:hAnsi="Arial" w:cs="Arial"/>
        </w:rPr>
        <w:t>X Manufacturing</w:t>
      </w:r>
      <w:r w:rsidRPr="0065181F">
        <w:rPr>
          <w:rFonts w:ascii="Arial" w:hAnsi="Arial" w:cs="Arial"/>
        </w:rPr>
        <w:t xml:space="preserve"> Interim Financial Report for the first quarter of 2025, it can be concluded that the company has fully complied with the disclosure and presentation requirements stipulated in PSAK 234 Interim Financial Reporting. The interim report includes all mandatory components prescribed by the standard, namely the condensed statement of financial position, condensed statement of profit or loss and other comprehensive income, condensed statement of changes in equity, condensed statement of cash flows, and the required explanatory notes.</w:t>
      </w:r>
    </w:p>
    <w:p w14:paraId="48F2881F" w14:textId="77777777" w:rsidR="00502516" w:rsidRDefault="0065181F" w:rsidP="0065181F">
      <w:pPr>
        <w:pStyle w:val="Body"/>
        <w:spacing w:after="0"/>
        <w:rPr>
          <w:rFonts w:ascii="Arial" w:hAnsi="Arial" w:cs="Arial"/>
        </w:rPr>
      </w:pPr>
      <w:r w:rsidRPr="0065181F">
        <w:rPr>
          <w:rFonts w:ascii="Arial" w:hAnsi="Arial" w:cs="Arial"/>
        </w:rPr>
        <w:t>Each component is presented in a structured and coherent manner, supported by comparative figures from the corresponding period of the previous year. This practice aligns with the qualitative characteristics of financial reporting—such as comparability, consistency, and understandability—as emphasized in PSAK 1 Presentation of Financial Statements. Furthermore, PSAK 234 requires that if an entity presents complete financial statements in its interim reporting, such statements must adhere to the format and content requirements of PSAK 1 (</w:t>
      </w:r>
      <w:proofErr w:type="spellStart"/>
      <w:r w:rsidRPr="0065181F">
        <w:rPr>
          <w:rFonts w:ascii="Arial" w:hAnsi="Arial" w:cs="Arial"/>
        </w:rPr>
        <w:t>Ikatan</w:t>
      </w:r>
      <w:proofErr w:type="spellEnd"/>
      <w:r w:rsidRPr="0065181F">
        <w:rPr>
          <w:rFonts w:ascii="Arial" w:hAnsi="Arial" w:cs="Arial"/>
        </w:rPr>
        <w:t xml:space="preserve"> </w:t>
      </w:r>
      <w:proofErr w:type="spellStart"/>
      <w:r w:rsidRPr="0065181F">
        <w:rPr>
          <w:rFonts w:ascii="Arial" w:hAnsi="Arial" w:cs="Arial"/>
        </w:rPr>
        <w:t>Akuntan</w:t>
      </w:r>
      <w:proofErr w:type="spellEnd"/>
      <w:r w:rsidRPr="0065181F">
        <w:rPr>
          <w:rFonts w:ascii="Arial" w:hAnsi="Arial" w:cs="Arial"/>
        </w:rPr>
        <w:t xml:space="preserve"> Indonesia, 2016). By ensuring conformity with PSAK 234, SIG demonstrates its commitment to transparency, accuracy, and accountability, reinforcing its role as a leading state-owned enterprise with strong financial reporting governance</w:t>
      </w:r>
      <w:r w:rsidR="00502516" w:rsidRPr="00502516">
        <w:rPr>
          <w:rFonts w:ascii="Arial" w:hAnsi="Arial" w:cs="Arial"/>
        </w:rPr>
        <w:t>.</w:t>
      </w:r>
    </w:p>
    <w:p w14:paraId="1B5CF557" w14:textId="77777777" w:rsidR="00D14A7C" w:rsidRDefault="00D14A7C" w:rsidP="0065181F">
      <w:pPr>
        <w:pStyle w:val="Body"/>
        <w:spacing w:after="0"/>
        <w:rPr>
          <w:rFonts w:ascii="Arial" w:hAnsi="Arial" w:cs="Arial"/>
        </w:rPr>
      </w:pPr>
    </w:p>
    <w:p w14:paraId="583CC98B" w14:textId="77777777" w:rsidR="00D14A7C" w:rsidRDefault="00D14A7C" w:rsidP="0065181F">
      <w:pPr>
        <w:pStyle w:val="Body"/>
        <w:spacing w:after="0"/>
        <w:rPr>
          <w:rFonts w:ascii="Arial" w:hAnsi="Arial" w:cs="Arial"/>
        </w:rPr>
      </w:pPr>
      <w:r w:rsidRPr="00D14A7C">
        <w:rPr>
          <w:rFonts w:ascii="Arial" w:hAnsi="Arial" w:cs="Arial"/>
        </w:rPr>
        <w:t>From a theoretical perspective, this level of compliance can be explained through Agency Theory, which posits that information asymmetry exists between management (agents) and stakeholders such as shareholders and creditors (principals)</w:t>
      </w:r>
      <w:r w:rsidR="006C0171">
        <w:rPr>
          <w:rFonts w:ascii="Arial" w:hAnsi="Arial" w:cs="Arial"/>
        </w:rPr>
        <w:t xml:space="preserve"> (Jensen and Meckling, 1976)</w:t>
      </w:r>
      <w:r w:rsidRPr="00D14A7C">
        <w:rPr>
          <w:rFonts w:ascii="Arial" w:hAnsi="Arial" w:cs="Arial"/>
        </w:rPr>
        <w:t xml:space="preserve">. Interim financial reporting serves as a monitoring mechanism that reduces information gaps and mitigates agency costs by providing timely and reliable financial information between annual reporting periods. By fully adhering to PSAK 234, X Manufacturing demonstrates an effort to reduce uncertainty and opportunistic behavior, thereby strengthening investor confidence and reinforcing accountability. Furthermore, in the </w:t>
      </w:r>
      <w:r w:rsidRPr="00D14A7C">
        <w:rPr>
          <w:rFonts w:ascii="Arial" w:hAnsi="Arial" w:cs="Arial"/>
        </w:rPr>
        <w:lastRenderedPageBreak/>
        <w:t>context of a state-owned enterprise, transparent interim reporting also functions as a governance tool to assure public stakeholders and regulators that managerial actions are aligned with organizational objectives and public interest.</w:t>
      </w:r>
    </w:p>
    <w:p w14:paraId="2F0CC984" w14:textId="77777777" w:rsidR="00EB3A1E" w:rsidRDefault="00EB3A1E" w:rsidP="00441B6F">
      <w:pPr>
        <w:pStyle w:val="Body"/>
        <w:spacing w:after="0"/>
        <w:rPr>
          <w:rFonts w:ascii="Arial" w:hAnsi="Arial" w:cs="Arial"/>
        </w:rPr>
      </w:pPr>
    </w:p>
    <w:p w14:paraId="189B95A3" w14:textId="77777777" w:rsidR="00733E53" w:rsidRDefault="00733E53" w:rsidP="00733E53">
      <w:pPr>
        <w:pStyle w:val="Body"/>
        <w:spacing w:after="0"/>
        <w:rPr>
          <w:rFonts w:ascii="Arial" w:hAnsi="Arial" w:cs="Arial"/>
          <w:b/>
          <w:bCs/>
        </w:rPr>
      </w:pPr>
      <w:r w:rsidRPr="00733E53">
        <w:rPr>
          <w:rFonts w:ascii="Arial" w:hAnsi="Arial" w:cs="Arial"/>
          <w:b/>
          <w:bCs/>
        </w:rPr>
        <w:t>3.3.</w:t>
      </w:r>
      <w:r>
        <w:rPr>
          <w:rFonts w:ascii="Arial" w:hAnsi="Arial" w:cs="Arial"/>
          <w:b/>
          <w:bCs/>
        </w:rPr>
        <w:t>2</w:t>
      </w:r>
      <w:r w:rsidRPr="00733E53">
        <w:rPr>
          <w:rFonts w:ascii="Arial" w:hAnsi="Arial" w:cs="Arial"/>
          <w:b/>
          <w:bCs/>
        </w:rPr>
        <w:t xml:space="preserve"> </w:t>
      </w:r>
      <w:r w:rsidR="00E93215" w:rsidRPr="00E93215">
        <w:rPr>
          <w:rFonts w:ascii="Arial" w:hAnsi="Arial" w:cs="Arial"/>
          <w:b/>
          <w:bCs/>
        </w:rPr>
        <w:t>Compliance with PSAK 108: Segment Financial Reporting</w:t>
      </w:r>
    </w:p>
    <w:p w14:paraId="23C84909" w14:textId="77777777" w:rsidR="005D74B4" w:rsidRDefault="005D74B4" w:rsidP="00733E53">
      <w:pPr>
        <w:pStyle w:val="Body"/>
        <w:spacing w:after="0"/>
        <w:rPr>
          <w:rFonts w:ascii="Arial" w:hAnsi="Arial" w:cs="Arial"/>
          <w:b/>
          <w:bCs/>
        </w:rPr>
      </w:pPr>
    </w:p>
    <w:p w14:paraId="55A6A84C" w14:textId="77777777" w:rsidR="005D74B4" w:rsidRDefault="004C69E5" w:rsidP="00733E53">
      <w:pPr>
        <w:pStyle w:val="Body"/>
        <w:spacing w:after="0"/>
        <w:rPr>
          <w:rFonts w:ascii="Arial" w:hAnsi="Arial" w:cs="Arial"/>
        </w:rPr>
      </w:pPr>
      <w:r w:rsidRPr="004C69E5">
        <w:rPr>
          <w:rFonts w:ascii="Arial" w:hAnsi="Arial" w:cs="Arial"/>
        </w:rPr>
        <w:t xml:space="preserve">Based on the SIG Financial Statements, the group’s reportable segments under PSAK 108 consist of two primary operating segments: (1) Cement manufacturing and support activities, which include core cement production operations, and (2) Non-cement operations, which cover limestone and clay mining, cement bag manufacturing, industrial real estate, precast and </w:t>
      </w:r>
      <w:proofErr w:type="spellStart"/>
      <w:r w:rsidRPr="004C69E5">
        <w:rPr>
          <w:rFonts w:ascii="Arial" w:hAnsi="Arial" w:cs="Arial"/>
        </w:rPr>
        <w:t>readymix</w:t>
      </w:r>
      <w:proofErr w:type="spellEnd"/>
      <w:r w:rsidRPr="004C69E5">
        <w:rPr>
          <w:rFonts w:ascii="Arial" w:hAnsi="Arial" w:cs="Arial"/>
        </w:rPr>
        <w:t xml:space="preserve"> concrete, IT services, logistics, and trading. Using data obtained and processed from </w:t>
      </w:r>
      <w:r w:rsidR="00052220">
        <w:rPr>
          <w:rFonts w:ascii="Arial" w:hAnsi="Arial" w:cs="Arial"/>
        </w:rPr>
        <w:t>X Manufacturing</w:t>
      </w:r>
      <w:r w:rsidRPr="004C69E5">
        <w:rPr>
          <w:rFonts w:ascii="Arial" w:hAnsi="Arial" w:cs="Arial"/>
        </w:rPr>
        <w:t>’s Interim Financial Statements for the three-month periods ending March 31, 2024 and March 31, 2025 (Unaudited), detailed segment information was compiled to assess the performance, asset structure, and operational contributions of each segment in accordance with the reporting requirements of PSAK 108.</w:t>
      </w:r>
    </w:p>
    <w:p w14:paraId="75935721" w14:textId="77777777" w:rsidR="00052220" w:rsidRDefault="00052220" w:rsidP="00733E53">
      <w:pPr>
        <w:pStyle w:val="Body"/>
        <w:spacing w:after="0"/>
        <w:rPr>
          <w:rFonts w:ascii="Arial" w:hAnsi="Arial" w:cs="Arial"/>
        </w:rPr>
      </w:pPr>
    </w:p>
    <w:p w14:paraId="30827FEE" w14:textId="77777777" w:rsidR="00052220" w:rsidRPr="00232BE0" w:rsidRDefault="00052220" w:rsidP="00232BE0">
      <w:pPr>
        <w:pStyle w:val="Body"/>
        <w:spacing w:after="0"/>
        <w:jc w:val="center"/>
        <w:rPr>
          <w:rFonts w:ascii="Arial" w:hAnsi="Arial" w:cs="Arial"/>
          <w:b/>
          <w:bCs/>
        </w:rPr>
      </w:pPr>
      <w:r w:rsidRPr="00232BE0">
        <w:rPr>
          <w:rFonts w:ascii="Arial" w:hAnsi="Arial" w:cs="Arial"/>
          <w:b/>
          <w:bCs/>
        </w:rPr>
        <w:t xml:space="preserve">Table 2. Segmental Working Paper – </w:t>
      </w:r>
      <w:r w:rsidR="00232BE0" w:rsidRPr="00232BE0">
        <w:rPr>
          <w:rFonts w:ascii="Arial" w:hAnsi="Arial" w:cs="Arial"/>
          <w:b/>
          <w:bCs/>
        </w:rPr>
        <w:t>X Manufacturing</w:t>
      </w:r>
    </w:p>
    <w:p w14:paraId="19729984" w14:textId="77777777" w:rsidR="004C69E5" w:rsidRDefault="004C69E5" w:rsidP="00733E53">
      <w:pPr>
        <w:pStyle w:val="Body"/>
        <w:spacing w:after="0"/>
        <w:rPr>
          <w:rFonts w:ascii="Arial" w:hAnsi="Arial" w:cs="Arial"/>
        </w:rPr>
      </w:pPr>
    </w:p>
    <w:tbl>
      <w:tblPr>
        <w:tblStyle w:val="TableGridLight"/>
        <w:tblW w:w="0" w:type="auto"/>
        <w:tblLook w:val="04A0" w:firstRow="1" w:lastRow="0" w:firstColumn="1" w:lastColumn="0" w:noHBand="0" w:noVBand="1"/>
      </w:tblPr>
      <w:tblGrid>
        <w:gridCol w:w="2093"/>
        <w:gridCol w:w="1226"/>
        <w:gridCol w:w="1226"/>
        <w:gridCol w:w="1172"/>
        <w:gridCol w:w="1172"/>
        <w:gridCol w:w="968"/>
        <w:gridCol w:w="968"/>
        <w:gridCol w:w="1274"/>
        <w:gridCol w:w="917"/>
      </w:tblGrid>
      <w:tr w:rsidR="00052220" w:rsidRPr="00052220" w14:paraId="5548074A" w14:textId="77777777" w:rsidTr="00B15542">
        <w:trPr>
          <w:trHeight w:val="57"/>
        </w:trPr>
        <w:tc>
          <w:tcPr>
            <w:tcW w:w="0" w:type="auto"/>
            <w:vAlign w:val="center"/>
            <w:hideMark/>
          </w:tcPr>
          <w:p w14:paraId="5C781E7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Item</w:t>
            </w:r>
          </w:p>
        </w:tc>
        <w:tc>
          <w:tcPr>
            <w:tcW w:w="0" w:type="auto"/>
            <w:vAlign w:val="center"/>
            <w:hideMark/>
          </w:tcPr>
          <w:p w14:paraId="0734A57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Cement Prod Q1 2025</w:t>
            </w:r>
          </w:p>
        </w:tc>
        <w:tc>
          <w:tcPr>
            <w:tcW w:w="0" w:type="auto"/>
            <w:vAlign w:val="center"/>
            <w:hideMark/>
          </w:tcPr>
          <w:p w14:paraId="09BC02C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Cement Prod Q1 2024</w:t>
            </w:r>
          </w:p>
        </w:tc>
        <w:tc>
          <w:tcPr>
            <w:tcW w:w="0" w:type="auto"/>
            <w:vAlign w:val="center"/>
            <w:hideMark/>
          </w:tcPr>
          <w:p w14:paraId="0CC413A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Non-Cement Q1 2025</w:t>
            </w:r>
          </w:p>
        </w:tc>
        <w:tc>
          <w:tcPr>
            <w:tcW w:w="0" w:type="auto"/>
            <w:vAlign w:val="center"/>
            <w:hideMark/>
          </w:tcPr>
          <w:p w14:paraId="59334C8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Non-Cement Q1 2024</w:t>
            </w:r>
          </w:p>
        </w:tc>
        <w:tc>
          <w:tcPr>
            <w:tcW w:w="0" w:type="auto"/>
            <w:vAlign w:val="center"/>
            <w:hideMark/>
          </w:tcPr>
          <w:p w14:paraId="200AD25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Q1 2025</w:t>
            </w:r>
          </w:p>
        </w:tc>
        <w:tc>
          <w:tcPr>
            <w:tcW w:w="0" w:type="auto"/>
            <w:vAlign w:val="center"/>
            <w:hideMark/>
          </w:tcPr>
          <w:p w14:paraId="5A345FD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Q1 2024</w:t>
            </w:r>
          </w:p>
        </w:tc>
        <w:tc>
          <w:tcPr>
            <w:tcW w:w="1274" w:type="dxa"/>
            <w:vAlign w:val="center"/>
            <w:hideMark/>
          </w:tcPr>
          <w:p w14:paraId="264EC90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Increase (Decrease)</w:t>
            </w:r>
          </w:p>
        </w:tc>
        <w:tc>
          <w:tcPr>
            <w:tcW w:w="917" w:type="dxa"/>
            <w:vAlign w:val="center"/>
            <w:hideMark/>
          </w:tcPr>
          <w:p w14:paraId="3783C5C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Percentage (%)</w:t>
            </w:r>
          </w:p>
        </w:tc>
      </w:tr>
      <w:tr w:rsidR="00B15542" w:rsidRPr="00052220" w14:paraId="5B5BA394" w14:textId="77777777" w:rsidTr="003A2C0B">
        <w:trPr>
          <w:trHeight w:val="57"/>
        </w:trPr>
        <w:tc>
          <w:tcPr>
            <w:tcW w:w="8424" w:type="dxa"/>
            <w:gridSpan w:val="9"/>
            <w:vAlign w:val="center"/>
            <w:hideMark/>
          </w:tcPr>
          <w:p w14:paraId="474C761A" w14:textId="77777777" w:rsidR="00B15542" w:rsidRPr="00052220" w:rsidRDefault="00B15542" w:rsidP="009F520C">
            <w:pPr>
              <w:jc w:val="center"/>
              <w:rPr>
                <w:rFonts w:ascii="Arial" w:hAnsi="Arial" w:cs="Arial"/>
                <w:sz w:val="13"/>
                <w:szCs w:val="13"/>
                <w:lang w:val="en-ID"/>
              </w:rPr>
            </w:pPr>
            <w:r w:rsidRPr="00052220">
              <w:rPr>
                <w:rFonts w:ascii="Arial" w:hAnsi="Arial" w:cs="Arial"/>
                <w:b/>
                <w:bCs/>
                <w:color w:val="1F1F1F"/>
                <w:sz w:val="13"/>
                <w:szCs w:val="13"/>
                <w:bdr w:val="none" w:sz="0" w:space="0" w:color="auto" w:frame="1"/>
                <w:lang w:val="en-ID"/>
              </w:rPr>
              <w:t>A. Profit Segment</w:t>
            </w:r>
          </w:p>
        </w:tc>
      </w:tr>
      <w:tr w:rsidR="00052220" w:rsidRPr="00052220" w14:paraId="3E009D7F" w14:textId="77777777" w:rsidTr="00B15542">
        <w:trPr>
          <w:trHeight w:val="57"/>
        </w:trPr>
        <w:tc>
          <w:tcPr>
            <w:tcW w:w="0" w:type="auto"/>
            <w:vAlign w:val="center"/>
            <w:hideMark/>
          </w:tcPr>
          <w:p w14:paraId="659F405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Sales to third parties and related parties</w:t>
            </w:r>
          </w:p>
        </w:tc>
        <w:tc>
          <w:tcPr>
            <w:tcW w:w="0" w:type="auto"/>
            <w:vAlign w:val="center"/>
            <w:hideMark/>
          </w:tcPr>
          <w:p w14:paraId="2973AF0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5.238.641</w:t>
            </w:r>
          </w:p>
        </w:tc>
        <w:tc>
          <w:tcPr>
            <w:tcW w:w="0" w:type="auto"/>
            <w:vAlign w:val="center"/>
            <w:hideMark/>
          </w:tcPr>
          <w:p w14:paraId="560DA70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5.948.660</w:t>
            </w:r>
          </w:p>
        </w:tc>
        <w:tc>
          <w:tcPr>
            <w:tcW w:w="0" w:type="auto"/>
            <w:vAlign w:val="center"/>
            <w:hideMark/>
          </w:tcPr>
          <w:p w14:paraId="64CEC14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2.416.108</w:t>
            </w:r>
          </w:p>
        </w:tc>
        <w:tc>
          <w:tcPr>
            <w:tcW w:w="0" w:type="auto"/>
            <w:vAlign w:val="center"/>
            <w:hideMark/>
          </w:tcPr>
          <w:p w14:paraId="6ADA21B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2.426.405</w:t>
            </w:r>
          </w:p>
        </w:tc>
        <w:tc>
          <w:tcPr>
            <w:tcW w:w="0" w:type="auto"/>
            <w:vAlign w:val="center"/>
            <w:hideMark/>
          </w:tcPr>
          <w:p w14:paraId="4D4CC15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7.654.749</w:t>
            </w:r>
          </w:p>
        </w:tc>
        <w:tc>
          <w:tcPr>
            <w:tcW w:w="0" w:type="auto"/>
            <w:vAlign w:val="center"/>
            <w:hideMark/>
          </w:tcPr>
          <w:p w14:paraId="14A2590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8.375.065</w:t>
            </w:r>
          </w:p>
        </w:tc>
        <w:tc>
          <w:tcPr>
            <w:tcW w:w="1274" w:type="dxa"/>
            <w:vAlign w:val="center"/>
            <w:hideMark/>
          </w:tcPr>
          <w:p w14:paraId="333D8E3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(720.316)</w:t>
            </w:r>
          </w:p>
        </w:tc>
        <w:tc>
          <w:tcPr>
            <w:tcW w:w="917" w:type="dxa"/>
            <w:vAlign w:val="center"/>
            <w:hideMark/>
          </w:tcPr>
          <w:p w14:paraId="5B85FB2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-8,60%</w:t>
            </w:r>
          </w:p>
        </w:tc>
      </w:tr>
      <w:tr w:rsidR="00052220" w:rsidRPr="00052220" w14:paraId="2B20F847" w14:textId="77777777" w:rsidTr="00B15542">
        <w:trPr>
          <w:trHeight w:val="57"/>
        </w:trPr>
        <w:tc>
          <w:tcPr>
            <w:tcW w:w="0" w:type="auto"/>
            <w:vAlign w:val="center"/>
            <w:hideMark/>
          </w:tcPr>
          <w:p w14:paraId="38A6EFE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Inter-segment sales</w:t>
            </w:r>
          </w:p>
        </w:tc>
        <w:tc>
          <w:tcPr>
            <w:tcW w:w="0" w:type="auto"/>
            <w:vAlign w:val="center"/>
            <w:hideMark/>
          </w:tcPr>
          <w:p w14:paraId="774F01F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1.544.898</w:t>
            </w:r>
          </w:p>
        </w:tc>
        <w:tc>
          <w:tcPr>
            <w:tcW w:w="0" w:type="auto"/>
            <w:vAlign w:val="center"/>
            <w:hideMark/>
          </w:tcPr>
          <w:p w14:paraId="2D0AE9F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1.512.858</w:t>
            </w:r>
          </w:p>
        </w:tc>
        <w:tc>
          <w:tcPr>
            <w:tcW w:w="0" w:type="auto"/>
            <w:vAlign w:val="center"/>
            <w:hideMark/>
          </w:tcPr>
          <w:p w14:paraId="16BDCFF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785.258</w:t>
            </w:r>
          </w:p>
        </w:tc>
        <w:tc>
          <w:tcPr>
            <w:tcW w:w="0" w:type="auto"/>
            <w:vAlign w:val="center"/>
            <w:hideMark/>
          </w:tcPr>
          <w:p w14:paraId="0ADF210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669.933</w:t>
            </w:r>
          </w:p>
        </w:tc>
        <w:tc>
          <w:tcPr>
            <w:tcW w:w="0" w:type="auto"/>
            <w:vAlign w:val="center"/>
            <w:hideMark/>
          </w:tcPr>
          <w:p w14:paraId="2D02C02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2.330.156</w:t>
            </w:r>
          </w:p>
        </w:tc>
        <w:tc>
          <w:tcPr>
            <w:tcW w:w="0" w:type="auto"/>
            <w:vAlign w:val="center"/>
            <w:hideMark/>
          </w:tcPr>
          <w:p w14:paraId="5D92F50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2.182.791</w:t>
            </w:r>
          </w:p>
        </w:tc>
        <w:tc>
          <w:tcPr>
            <w:tcW w:w="1274" w:type="dxa"/>
            <w:vAlign w:val="center"/>
            <w:hideMark/>
          </w:tcPr>
          <w:p w14:paraId="69D0063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147.365</w:t>
            </w:r>
          </w:p>
        </w:tc>
        <w:tc>
          <w:tcPr>
            <w:tcW w:w="917" w:type="dxa"/>
            <w:vAlign w:val="center"/>
            <w:hideMark/>
          </w:tcPr>
          <w:p w14:paraId="6C8AFD3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6,75%</w:t>
            </w:r>
          </w:p>
        </w:tc>
      </w:tr>
      <w:tr w:rsidR="00052220" w:rsidRPr="00052220" w14:paraId="29B51073" w14:textId="77777777" w:rsidTr="00B15542">
        <w:trPr>
          <w:trHeight w:val="57"/>
        </w:trPr>
        <w:tc>
          <w:tcPr>
            <w:tcW w:w="0" w:type="auto"/>
            <w:vAlign w:val="center"/>
            <w:hideMark/>
          </w:tcPr>
          <w:p w14:paraId="2AE198C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revenue</w:t>
            </w:r>
          </w:p>
        </w:tc>
        <w:tc>
          <w:tcPr>
            <w:tcW w:w="0" w:type="auto"/>
            <w:vAlign w:val="center"/>
            <w:hideMark/>
          </w:tcPr>
          <w:p w14:paraId="2BAEF41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6.783.539</w:t>
            </w:r>
          </w:p>
        </w:tc>
        <w:tc>
          <w:tcPr>
            <w:tcW w:w="0" w:type="auto"/>
            <w:vAlign w:val="center"/>
            <w:hideMark/>
          </w:tcPr>
          <w:p w14:paraId="71D7027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7.461.518</w:t>
            </w:r>
          </w:p>
        </w:tc>
        <w:tc>
          <w:tcPr>
            <w:tcW w:w="0" w:type="auto"/>
            <w:vAlign w:val="center"/>
            <w:hideMark/>
          </w:tcPr>
          <w:p w14:paraId="6086E04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3.201.366</w:t>
            </w:r>
          </w:p>
        </w:tc>
        <w:tc>
          <w:tcPr>
            <w:tcW w:w="0" w:type="auto"/>
            <w:vAlign w:val="center"/>
            <w:hideMark/>
          </w:tcPr>
          <w:p w14:paraId="3156FB9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3.096.338</w:t>
            </w:r>
          </w:p>
        </w:tc>
        <w:tc>
          <w:tcPr>
            <w:tcW w:w="0" w:type="auto"/>
            <w:vAlign w:val="center"/>
            <w:hideMark/>
          </w:tcPr>
          <w:p w14:paraId="70FF2DC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9.984.905</w:t>
            </w:r>
          </w:p>
        </w:tc>
        <w:tc>
          <w:tcPr>
            <w:tcW w:w="0" w:type="auto"/>
            <w:vAlign w:val="center"/>
            <w:hideMark/>
          </w:tcPr>
          <w:p w14:paraId="088C9F5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10.557.856</w:t>
            </w:r>
          </w:p>
        </w:tc>
        <w:tc>
          <w:tcPr>
            <w:tcW w:w="1274" w:type="dxa"/>
            <w:vAlign w:val="center"/>
            <w:hideMark/>
          </w:tcPr>
          <w:p w14:paraId="15C970F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(572.951)</w:t>
            </w:r>
          </w:p>
        </w:tc>
        <w:tc>
          <w:tcPr>
            <w:tcW w:w="917" w:type="dxa"/>
            <w:vAlign w:val="center"/>
            <w:hideMark/>
          </w:tcPr>
          <w:p w14:paraId="6BFED16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-5,43%</w:t>
            </w:r>
          </w:p>
        </w:tc>
      </w:tr>
      <w:tr w:rsidR="00052220" w:rsidRPr="00052220" w14:paraId="782E7057" w14:textId="77777777" w:rsidTr="00B15542">
        <w:trPr>
          <w:trHeight w:val="57"/>
        </w:trPr>
        <w:tc>
          <w:tcPr>
            <w:tcW w:w="0" w:type="auto"/>
            <w:vAlign w:val="center"/>
            <w:hideMark/>
          </w:tcPr>
          <w:p w14:paraId="2244DB2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Operating Income Segment Result</w:t>
            </w:r>
          </w:p>
        </w:tc>
        <w:tc>
          <w:tcPr>
            <w:tcW w:w="0" w:type="auto"/>
            <w:vAlign w:val="center"/>
            <w:hideMark/>
          </w:tcPr>
          <w:p w14:paraId="4697422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308.725</w:t>
            </w:r>
          </w:p>
        </w:tc>
        <w:tc>
          <w:tcPr>
            <w:tcW w:w="0" w:type="auto"/>
            <w:vAlign w:val="center"/>
            <w:hideMark/>
          </w:tcPr>
          <w:p w14:paraId="33D2933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892.098</w:t>
            </w:r>
          </w:p>
        </w:tc>
        <w:tc>
          <w:tcPr>
            <w:tcW w:w="0" w:type="auto"/>
            <w:vAlign w:val="center"/>
            <w:hideMark/>
          </w:tcPr>
          <w:p w14:paraId="30674B4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(23.053)</w:t>
            </w:r>
          </w:p>
        </w:tc>
        <w:tc>
          <w:tcPr>
            <w:tcW w:w="0" w:type="auto"/>
            <w:vAlign w:val="center"/>
            <w:hideMark/>
          </w:tcPr>
          <w:p w14:paraId="05C08F0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(14.956)</w:t>
            </w:r>
          </w:p>
        </w:tc>
        <w:tc>
          <w:tcPr>
            <w:tcW w:w="0" w:type="auto"/>
            <w:vAlign w:val="center"/>
            <w:hideMark/>
          </w:tcPr>
          <w:p w14:paraId="473BF96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285.672</w:t>
            </w:r>
          </w:p>
        </w:tc>
        <w:tc>
          <w:tcPr>
            <w:tcW w:w="0" w:type="auto"/>
            <w:vAlign w:val="center"/>
            <w:hideMark/>
          </w:tcPr>
          <w:p w14:paraId="62DABF0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877.142</w:t>
            </w:r>
          </w:p>
        </w:tc>
        <w:tc>
          <w:tcPr>
            <w:tcW w:w="1274" w:type="dxa"/>
            <w:vAlign w:val="center"/>
            <w:hideMark/>
          </w:tcPr>
          <w:p w14:paraId="7CE0342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(591.470)</w:t>
            </w:r>
          </w:p>
        </w:tc>
        <w:tc>
          <w:tcPr>
            <w:tcW w:w="917" w:type="dxa"/>
            <w:vAlign w:val="center"/>
            <w:hideMark/>
          </w:tcPr>
          <w:p w14:paraId="403CD11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-67,43%</w:t>
            </w:r>
          </w:p>
        </w:tc>
      </w:tr>
      <w:tr w:rsidR="00052220" w:rsidRPr="00052220" w14:paraId="60D58CA0" w14:textId="77777777" w:rsidTr="00B15542">
        <w:trPr>
          <w:trHeight w:val="57"/>
        </w:trPr>
        <w:tc>
          <w:tcPr>
            <w:tcW w:w="0" w:type="auto"/>
            <w:vAlign w:val="center"/>
            <w:hideMark/>
          </w:tcPr>
          <w:p w14:paraId="2898A5A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Finance income</w:t>
            </w:r>
          </w:p>
        </w:tc>
        <w:tc>
          <w:tcPr>
            <w:tcW w:w="0" w:type="auto"/>
            <w:vAlign w:val="center"/>
            <w:hideMark/>
          </w:tcPr>
          <w:p w14:paraId="0317CED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34.566</w:t>
            </w:r>
          </w:p>
        </w:tc>
        <w:tc>
          <w:tcPr>
            <w:tcW w:w="0" w:type="auto"/>
            <w:vAlign w:val="center"/>
            <w:hideMark/>
          </w:tcPr>
          <w:p w14:paraId="4365BE8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72.416</w:t>
            </w:r>
          </w:p>
        </w:tc>
        <w:tc>
          <w:tcPr>
            <w:tcW w:w="0" w:type="auto"/>
            <w:vAlign w:val="center"/>
            <w:hideMark/>
          </w:tcPr>
          <w:p w14:paraId="314C21E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4.593</w:t>
            </w:r>
          </w:p>
        </w:tc>
        <w:tc>
          <w:tcPr>
            <w:tcW w:w="0" w:type="auto"/>
            <w:vAlign w:val="center"/>
            <w:hideMark/>
          </w:tcPr>
          <w:p w14:paraId="50BCB2D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4.737</w:t>
            </w:r>
          </w:p>
        </w:tc>
        <w:tc>
          <w:tcPr>
            <w:tcW w:w="0" w:type="auto"/>
            <w:vAlign w:val="center"/>
            <w:hideMark/>
          </w:tcPr>
          <w:p w14:paraId="7225D6D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39.159</w:t>
            </w:r>
          </w:p>
        </w:tc>
        <w:tc>
          <w:tcPr>
            <w:tcW w:w="0" w:type="auto"/>
            <w:vAlign w:val="center"/>
            <w:hideMark/>
          </w:tcPr>
          <w:p w14:paraId="30AFF62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77.153</w:t>
            </w:r>
          </w:p>
        </w:tc>
        <w:tc>
          <w:tcPr>
            <w:tcW w:w="1274" w:type="dxa"/>
            <w:vAlign w:val="center"/>
            <w:hideMark/>
          </w:tcPr>
          <w:p w14:paraId="698346B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(37.994)</w:t>
            </w:r>
          </w:p>
        </w:tc>
        <w:tc>
          <w:tcPr>
            <w:tcW w:w="917" w:type="dxa"/>
            <w:vAlign w:val="center"/>
            <w:hideMark/>
          </w:tcPr>
          <w:p w14:paraId="6C3C4FF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-49,25%</w:t>
            </w:r>
          </w:p>
        </w:tc>
      </w:tr>
      <w:tr w:rsidR="00052220" w:rsidRPr="00052220" w14:paraId="54BF3576" w14:textId="77777777" w:rsidTr="00B15542">
        <w:trPr>
          <w:trHeight w:val="57"/>
        </w:trPr>
        <w:tc>
          <w:tcPr>
            <w:tcW w:w="0" w:type="auto"/>
            <w:vAlign w:val="center"/>
            <w:hideMark/>
          </w:tcPr>
          <w:p w14:paraId="7B80CFB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Finance cost</w:t>
            </w:r>
          </w:p>
        </w:tc>
        <w:tc>
          <w:tcPr>
            <w:tcW w:w="0" w:type="auto"/>
            <w:vAlign w:val="center"/>
            <w:hideMark/>
          </w:tcPr>
          <w:p w14:paraId="17AE319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(208.397)</w:t>
            </w:r>
          </w:p>
        </w:tc>
        <w:tc>
          <w:tcPr>
            <w:tcW w:w="0" w:type="auto"/>
            <w:vAlign w:val="center"/>
            <w:hideMark/>
          </w:tcPr>
          <w:p w14:paraId="10B0729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(326.735)</w:t>
            </w:r>
          </w:p>
        </w:tc>
        <w:tc>
          <w:tcPr>
            <w:tcW w:w="0" w:type="auto"/>
            <w:vAlign w:val="center"/>
            <w:hideMark/>
          </w:tcPr>
          <w:p w14:paraId="5C29392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(10.072)</w:t>
            </w:r>
          </w:p>
        </w:tc>
        <w:tc>
          <w:tcPr>
            <w:tcW w:w="0" w:type="auto"/>
            <w:vAlign w:val="center"/>
            <w:hideMark/>
          </w:tcPr>
          <w:p w14:paraId="3481E09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(9.667)</w:t>
            </w:r>
          </w:p>
        </w:tc>
        <w:tc>
          <w:tcPr>
            <w:tcW w:w="0" w:type="auto"/>
            <w:vAlign w:val="center"/>
            <w:hideMark/>
          </w:tcPr>
          <w:p w14:paraId="7591B16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(218.469)</w:t>
            </w:r>
          </w:p>
        </w:tc>
        <w:tc>
          <w:tcPr>
            <w:tcW w:w="0" w:type="auto"/>
            <w:vAlign w:val="center"/>
            <w:hideMark/>
          </w:tcPr>
          <w:p w14:paraId="714FD79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(336.402)</w:t>
            </w:r>
          </w:p>
        </w:tc>
        <w:tc>
          <w:tcPr>
            <w:tcW w:w="1274" w:type="dxa"/>
            <w:vAlign w:val="center"/>
            <w:hideMark/>
          </w:tcPr>
          <w:p w14:paraId="1F0EC2F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117.933</w:t>
            </w:r>
          </w:p>
        </w:tc>
        <w:tc>
          <w:tcPr>
            <w:tcW w:w="917" w:type="dxa"/>
            <w:vAlign w:val="center"/>
            <w:hideMark/>
          </w:tcPr>
          <w:p w14:paraId="1459D14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-35,06%</w:t>
            </w:r>
          </w:p>
        </w:tc>
      </w:tr>
      <w:tr w:rsidR="00052220" w:rsidRPr="00052220" w14:paraId="001AF8E9" w14:textId="77777777" w:rsidTr="00B15542">
        <w:trPr>
          <w:trHeight w:val="57"/>
        </w:trPr>
        <w:tc>
          <w:tcPr>
            <w:tcW w:w="0" w:type="auto"/>
            <w:vAlign w:val="center"/>
            <w:hideMark/>
          </w:tcPr>
          <w:p w14:paraId="4672DC7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Share of result of associates and joint venture</w:t>
            </w:r>
          </w:p>
        </w:tc>
        <w:tc>
          <w:tcPr>
            <w:tcW w:w="0" w:type="auto"/>
            <w:vAlign w:val="center"/>
            <w:hideMark/>
          </w:tcPr>
          <w:p w14:paraId="3F7F961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(3.628)</w:t>
            </w:r>
          </w:p>
        </w:tc>
        <w:tc>
          <w:tcPr>
            <w:tcW w:w="0" w:type="auto"/>
            <w:vAlign w:val="center"/>
            <w:hideMark/>
          </w:tcPr>
          <w:p w14:paraId="1CADF5A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(4.085)</w:t>
            </w:r>
          </w:p>
        </w:tc>
        <w:tc>
          <w:tcPr>
            <w:tcW w:w="0" w:type="auto"/>
            <w:vAlign w:val="center"/>
            <w:hideMark/>
          </w:tcPr>
          <w:p w14:paraId="58B5E6D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14:paraId="556520B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14:paraId="23A4F42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(3.628)</w:t>
            </w:r>
          </w:p>
        </w:tc>
        <w:tc>
          <w:tcPr>
            <w:tcW w:w="0" w:type="auto"/>
            <w:vAlign w:val="center"/>
            <w:hideMark/>
          </w:tcPr>
          <w:p w14:paraId="0A38718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(4.085)</w:t>
            </w:r>
          </w:p>
        </w:tc>
        <w:tc>
          <w:tcPr>
            <w:tcW w:w="1274" w:type="dxa"/>
            <w:vAlign w:val="center"/>
            <w:hideMark/>
          </w:tcPr>
          <w:p w14:paraId="3268730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457</w:t>
            </w:r>
          </w:p>
        </w:tc>
        <w:tc>
          <w:tcPr>
            <w:tcW w:w="917" w:type="dxa"/>
            <w:vAlign w:val="center"/>
            <w:hideMark/>
          </w:tcPr>
          <w:p w14:paraId="6C11C0B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-11,19%</w:t>
            </w:r>
          </w:p>
        </w:tc>
      </w:tr>
      <w:tr w:rsidR="00052220" w:rsidRPr="00052220" w14:paraId="0EB709EA" w14:textId="77777777" w:rsidTr="00B15542">
        <w:trPr>
          <w:trHeight w:val="57"/>
        </w:trPr>
        <w:tc>
          <w:tcPr>
            <w:tcW w:w="0" w:type="auto"/>
            <w:vAlign w:val="center"/>
            <w:hideMark/>
          </w:tcPr>
          <w:p w14:paraId="25CBC09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Profit before income tax</w:t>
            </w:r>
          </w:p>
        </w:tc>
        <w:tc>
          <w:tcPr>
            <w:tcW w:w="0" w:type="auto"/>
            <w:vAlign w:val="center"/>
            <w:hideMark/>
          </w:tcPr>
          <w:p w14:paraId="14A902D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131.266</w:t>
            </w:r>
          </w:p>
        </w:tc>
        <w:tc>
          <w:tcPr>
            <w:tcW w:w="0" w:type="auto"/>
            <w:vAlign w:val="center"/>
            <w:hideMark/>
          </w:tcPr>
          <w:p w14:paraId="32DE654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633.694</w:t>
            </w:r>
          </w:p>
        </w:tc>
        <w:tc>
          <w:tcPr>
            <w:tcW w:w="0" w:type="auto"/>
            <w:vAlign w:val="center"/>
            <w:hideMark/>
          </w:tcPr>
          <w:p w14:paraId="18E0C5C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(28.532)</w:t>
            </w:r>
          </w:p>
        </w:tc>
        <w:tc>
          <w:tcPr>
            <w:tcW w:w="0" w:type="auto"/>
            <w:vAlign w:val="center"/>
            <w:hideMark/>
          </w:tcPr>
          <w:p w14:paraId="020FA9A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(19.886)</w:t>
            </w:r>
          </w:p>
        </w:tc>
        <w:tc>
          <w:tcPr>
            <w:tcW w:w="0" w:type="auto"/>
            <w:vAlign w:val="center"/>
            <w:hideMark/>
          </w:tcPr>
          <w:p w14:paraId="2DED118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102.734</w:t>
            </w:r>
          </w:p>
        </w:tc>
        <w:tc>
          <w:tcPr>
            <w:tcW w:w="0" w:type="auto"/>
            <w:vAlign w:val="center"/>
            <w:hideMark/>
          </w:tcPr>
          <w:p w14:paraId="7AC69DB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613.808</w:t>
            </w:r>
          </w:p>
        </w:tc>
        <w:tc>
          <w:tcPr>
            <w:tcW w:w="1274" w:type="dxa"/>
            <w:vAlign w:val="center"/>
            <w:hideMark/>
          </w:tcPr>
          <w:p w14:paraId="309E853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(511.074)</w:t>
            </w:r>
          </w:p>
        </w:tc>
        <w:tc>
          <w:tcPr>
            <w:tcW w:w="917" w:type="dxa"/>
            <w:vAlign w:val="center"/>
            <w:hideMark/>
          </w:tcPr>
          <w:p w14:paraId="4C69B7A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-83,26%</w:t>
            </w:r>
          </w:p>
        </w:tc>
      </w:tr>
      <w:tr w:rsidR="00052220" w:rsidRPr="00052220" w14:paraId="6E8E397E" w14:textId="77777777" w:rsidTr="00B15542">
        <w:trPr>
          <w:trHeight w:val="57"/>
        </w:trPr>
        <w:tc>
          <w:tcPr>
            <w:tcW w:w="0" w:type="auto"/>
            <w:vAlign w:val="center"/>
            <w:hideMark/>
          </w:tcPr>
          <w:p w14:paraId="1F0408B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Income tax expense</w:t>
            </w:r>
          </w:p>
        </w:tc>
        <w:tc>
          <w:tcPr>
            <w:tcW w:w="0" w:type="auto"/>
            <w:vAlign w:val="center"/>
            <w:hideMark/>
          </w:tcPr>
          <w:p w14:paraId="78CFED0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(63.129)</w:t>
            </w:r>
          </w:p>
        </w:tc>
        <w:tc>
          <w:tcPr>
            <w:tcW w:w="0" w:type="auto"/>
            <w:vAlign w:val="center"/>
            <w:hideMark/>
          </w:tcPr>
          <w:p w14:paraId="5BC4685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(176.464)</w:t>
            </w:r>
          </w:p>
        </w:tc>
        <w:tc>
          <w:tcPr>
            <w:tcW w:w="0" w:type="auto"/>
            <w:vAlign w:val="center"/>
            <w:hideMark/>
          </w:tcPr>
          <w:p w14:paraId="18E3291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(3.008)</w:t>
            </w:r>
          </w:p>
        </w:tc>
        <w:tc>
          <w:tcPr>
            <w:tcW w:w="0" w:type="auto"/>
            <w:vAlign w:val="center"/>
            <w:hideMark/>
          </w:tcPr>
          <w:p w14:paraId="5DAB671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(3.116)</w:t>
            </w:r>
          </w:p>
        </w:tc>
        <w:tc>
          <w:tcPr>
            <w:tcW w:w="0" w:type="auto"/>
            <w:vAlign w:val="center"/>
            <w:hideMark/>
          </w:tcPr>
          <w:p w14:paraId="139F99A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(66.137)</w:t>
            </w:r>
          </w:p>
        </w:tc>
        <w:tc>
          <w:tcPr>
            <w:tcW w:w="0" w:type="auto"/>
            <w:vAlign w:val="center"/>
            <w:hideMark/>
          </w:tcPr>
          <w:p w14:paraId="6CD5840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(179.580)</w:t>
            </w:r>
          </w:p>
        </w:tc>
        <w:tc>
          <w:tcPr>
            <w:tcW w:w="1274" w:type="dxa"/>
            <w:vAlign w:val="center"/>
            <w:hideMark/>
          </w:tcPr>
          <w:p w14:paraId="56364EB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113.443</w:t>
            </w:r>
          </w:p>
        </w:tc>
        <w:tc>
          <w:tcPr>
            <w:tcW w:w="917" w:type="dxa"/>
            <w:vAlign w:val="center"/>
            <w:hideMark/>
          </w:tcPr>
          <w:p w14:paraId="7C76A46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-63,17%</w:t>
            </w:r>
          </w:p>
        </w:tc>
      </w:tr>
      <w:tr w:rsidR="00052220" w:rsidRPr="00052220" w14:paraId="37E3DDEE" w14:textId="77777777" w:rsidTr="00B15542">
        <w:trPr>
          <w:trHeight w:val="57"/>
        </w:trPr>
        <w:tc>
          <w:tcPr>
            <w:tcW w:w="0" w:type="auto"/>
            <w:vAlign w:val="center"/>
            <w:hideMark/>
          </w:tcPr>
          <w:p w14:paraId="61407F9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Profit(loss) for the period</w:t>
            </w:r>
          </w:p>
        </w:tc>
        <w:tc>
          <w:tcPr>
            <w:tcW w:w="0" w:type="auto"/>
            <w:vAlign w:val="center"/>
            <w:hideMark/>
          </w:tcPr>
          <w:p w14:paraId="026BEEE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68.137</w:t>
            </w:r>
          </w:p>
        </w:tc>
        <w:tc>
          <w:tcPr>
            <w:tcW w:w="0" w:type="auto"/>
            <w:vAlign w:val="center"/>
            <w:hideMark/>
          </w:tcPr>
          <w:p w14:paraId="01B97B2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457.230</w:t>
            </w:r>
          </w:p>
        </w:tc>
        <w:tc>
          <w:tcPr>
            <w:tcW w:w="0" w:type="auto"/>
            <w:vAlign w:val="center"/>
            <w:hideMark/>
          </w:tcPr>
          <w:p w14:paraId="43B6291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(31.540)</w:t>
            </w:r>
          </w:p>
        </w:tc>
        <w:tc>
          <w:tcPr>
            <w:tcW w:w="0" w:type="auto"/>
            <w:vAlign w:val="center"/>
            <w:hideMark/>
          </w:tcPr>
          <w:p w14:paraId="3E5412E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(23.002)</w:t>
            </w:r>
          </w:p>
        </w:tc>
        <w:tc>
          <w:tcPr>
            <w:tcW w:w="0" w:type="auto"/>
            <w:vAlign w:val="center"/>
            <w:hideMark/>
          </w:tcPr>
          <w:p w14:paraId="3A64E94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36.597</w:t>
            </w:r>
          </w:p>
        </w:tc>
        <w:tc>
          <w:tcPr>
            <w:tcW w:w="0" w:type="auto"/>
            <w:vAlign w:val="center"/>
            <w:hideMark/>
          </w:tcPr>
          <w:p w14:paraId="4C57053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434.228</w:t>
            </w:r>
          </w:p>
        </w:tc>
        <w:tc>
          <w:tcPr>
            <w:tcW w:w="1274" w:type="dxa"/>
            <w:vAlign w:val="center"/>
            <w:hideMark/>
          </w:tcPr>
          <w:p w14:paraId="416FEB7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(397.631)</w:t>
            </w:r>
          </w:p>
        </w:tc>
        <w:tc>
          <w:tcPr>
            <w:tcW w:w="917" w:type="dxa"/>
            <w:vAlign w:val="center"/>
            <w:hideMark/>
          </w:tcPr>
          <w:p w14:paraId="7DA82D6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-91,57%</w:t>
            </w:r>
          </w:p>
        </w:tc>
      </w:tr>
      <w:tr w:rsidR="00052220" w:rsidRPr="00052220" w14:paraId="0DD444C9" w14:textId="77777777" w:rsidTr="00B15542">
        <w:trPr>
          <w:trHeight w:val="57"/>
        </w:trPr>
        <w:tc>
          <w:tcPr>
            <w:tcW w:w="0" w:type="auto"/>
            <w:vAlign w:val="center"/>
            <w:hideMark/>
          </w:tcPr>
          <w:p w14:paraId="3BC5CEC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i/>
                <w:iCs/>
                <w:color w:val="1F1F1F"/>
                <w:sz w:val="13"/>
                <w:szCs w:val="13"/>
                <w:bdr w:val="none" w:sz="0" w:space="0" w:color="auto" w:frame="1"/>
                <w:lang w:val="en-ID"/>
              </w:rPr>
              <w:t>Profit attributable to:</w:t>
            </w:r>
          </w:p>
        </w:tc>
        <w:tc>
          <w:tcPr>
            <w:tcW w:w="0" w:type="auto"/>
            <w:vAlign w:val="center"/>
            <w:hideMark/>
          </w:tcPr>
          <w:p w14:paraId="2E9B520F" w14:textId="77777777" w:rsidR="00052220" w:rsidRPr="00052220" w:rsidRDefault="00052220" w:rsidP="009F520C">
            <w:pPr>
              <w:jc w:val="center"/>
              <w:rPr>
                <w:rFonts w:ascii="Arial" w:hAnsi="Arial" w:cs="Arial"/>
                <w:color w:val="1F1F1F"/>
                <w:sz w:val="13"/>
                <w:szCs w:val="13"/>
                <w:lang w:val="en-ID"/>
              </w:rPr>
            </w:pPr>
          </w:p>
        </w:tc>
        <w:tc>
          <w:tcPr>
            <w:tcW w:w="0" w:type="auto"/>
            <w:vAlign w:val="center"/>
            <w:hideMark/>
          </w:tcPr>
          <w:p w14:paraId="17A7DD26"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1DDBAA29"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0F1BB8F2"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3592CB6B"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5B92A7DA" w14:textId="77777777" w:rsidR="00052220" w:rsidRPr="00052220" w:rsidRDefault="00052220" w:rsidP="009F520C">
            <w:pPr>
              <w:jc w:val="center"/>
              <w:rPr>
                <w:rFonts w:ascii="Arial" w:hAnsi="Arial" w:cs="Arial"/>
                <w:sz w:val="13"/>
                <w:szCs w:val="13"/>
                <w:lang w:val="en-ID"/>
              </w:rPr>
            </w:pPr>
          </w:p>
        </w:tc>
        <w:tc>
          <w:tcPr>
            <w:tcW w:w="1274" w:type="dxa"/>
            <w:vAlign w:val="center"/>
            <w:hideMark/>
          </w:tcPr>
          <w:p w14:paraId="243E4A30" w14:textId="77777777" w:rsidR="00052220" w:rsidRPr="00052220" w:rsidRDefault="00052220" w:rsidP="009F520C">
            <w:pPr>
              <w:jc w:val="center"/>
              <w:rPr>
                <w:rFonts w:ascii="Arial" w:hAnsi="Arial" w:cs="Arial"/>
                <w:sz w:val="13"/>
                <w:szCs w:val="13"/>
                <w:lang w:val="en-ID"/>
              </w:rPr>
            </w:pPr>
          </w:p>
        </w:tc>
        <w:tc>
          <w:tcPr>
            <w:tcW w:w="917" w:type="dxa"/>
            <w:vAlign w:val="center"/>
            <w:hideMark/>
          </w:tcPr>
          <w:p w14:paraId="04B0CDD0" w14:textId="77777777" w:rsidR="00052220" w:rsidRPr="00052220" w:rsidRDefault="00052220" w:rsidP="009F520C">
            <w:pPr>
              <w:jc w:val="center"/>
              <w:rPr>
                <w:rFonts w:ascii="Arial" w:hAnsi="Arial" w:cs="Arial"/>
                <w:sz w:val="13"/>
                <w:szCs w:val="13"/>
                <w:lang w:val="en-ID"/>
              </w:rPr>
            </w:pPr>
          </w:p>
        </w:tc>
      </w:tr>
      <w:tr w:rsidR="00052220" w:rsidRPr="00052220" w14:paraId="29B08A5D" w14:textId="77777777" w:rsidTr="00B15542">
        <w:trPr>
          <w:trHeight w:val="57"/>
        </w:trPr>
        <w:tc>
          <w:tcPr>
            <w:tcW w:w="0" w:type="auto"/>
            <w:vAlign w:val="center"/>
            <w:hideMark/>
          </w:tcPr>
          <w:p w14:paraId="235F8A8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 Owners of parent entity</w:t>
            </w:r>
          </w:p>
        </w:tc>
        <w:tc>
          <w:tcPr>
            <w:tcW w:w="0" w:type="auto"/>
            <w:vAlign w:val="center"/>
            <w:hideMark/>
          </w:tcPr>
          <w:p w14:paraId="2352C0D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68.876</w:t>
            </w:r>
          </w:p>
        </w:tc>
        <w:tc>
          <w:tcPr>
            <w:tcW w:w="0" w:type="auto"/>
            <w:vAlign w:val="center"/>
            <w:hideMark/>
          </w:tcPr>
          <w:p w14:paraId="38BC3FA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451.250</w:t>
            </w:r>
          </w:p>
        </w:tc>
        <w:tc>
          <w:tcPr>
            <w:tcW w:w="0" w:type="auto"/>
            <w:vAlign w:val="center"/>
            <w:hideMark/>
          </w:tcPr>
          <w:p w14:paraId="28E3FF0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(25.130)</w:t>
            </w:r>
          </w:p>
        </w:tc>
        <w:tc>
          <w:tcPr>
            <w:tcW w:w="0" w:type="auto"/>
            <w:vAlign w:val="center"/>
            <w:hideMark/>
          </w:tcPr>
          <w:p w14:paraId="4DBBA34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(16.043)</w:t>
            </w:r>
          </w:p>
        </w:tc>
        <w:tc>
          <w:tcPr>
            <w:tcW w:w="0" w:type="auto"/>
            <w:vAlign w:val="center"/>
            <w:hideMark/>
          </w:tcPr>
          <w:p w14:paraId="3274D98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43.746</w:t>
            </w:r>
          </w:p>
        </w:tc>
        <w:tc>
          <w:tcPr>
            <w:tcW w:w="0" w:type="auto"/>
            <w:vAlign w:val="center"/>
            <w:hideMark/>
          </w:tcPr>
          <w:p w14:paraId="47C9E2F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435.207</w:t>
            </w:r>
          </w:p>
        </w:tc>
        <w:tc>
          <w:tcPr>
            <w:tcW w:w="1274" w:type="dxa"/>
            <w:vAlign w:val="center"/>
            <w:hideMark/>
          </w:tcPr>
          <w:p w14:paraId="2715E0A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(391.461)</w:t>
            </w:r>
          </w:p>
        </w:tc>
        <w:tc>
          <w:tcPr>
            <w:tcW w:w="917" w:type="dxa"/>
            <w:vAlign w:val="center"/>
            <w:hideMark/>
          </w:tcPr>
          <w:p w14:paraId="0D58FB6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-89,95%</w:t>
            </w:r>
          </w:p>
        </w:tc>
      </w:tr>
      <w:tr w:rsidR="00052220" w:rsidRPr="00052220" w14:paraId="64237B68" w14:textId="77777777" w:rsidTr="00B15542">
        <w:trPr>
          <w:trHeight w:val="57"/>
        </w:trPr>
        <w:tc>
          <w:tcPr>
            <w:tcW w:w="0" w:type="auto"/>
            <w:vAlign w:val="center"/>
            <w:hideMark/>
          </w:tcPr>
          <w:p w14:paraId="74B8C84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 Non-controlling interest</w:t>
            </w:r>
          </w:p>
        </w:tc>
        <w:tc>
          <w:tcPr>
            <w:tcW w:w="0" w:type="auto"/>
            <w:vAlign w:val="center"/>
            <w:hideMark/>
          </w:tcPr>
          <w:p w14:paraId="6FE767D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(738)</w:t>
            </w:r>
          </w:p>
        </w:tc>
        <w:tc>
          <w:tcPr>
            <w:tcW w:w="0" w:type="auto"/>
            <w:vAlign w:val="center"/>
            <w:hideMark/>
          </w:tcPr>
          <w:p w14:paraId="1B87714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5.980</w:t>
            </w:r>
          </w:p>
        </w:tc>
        <w:tc>
          <w:tcPr>
            <w:tcW w:w="0" w:type="auto"/>
            <w:vAlign w:val="center"/>
            <w:hideMark/>
          </w:tcPr>
          <w:p w14:paraId="3610B5D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(6.410)</w:t>
            </w:r>
          </w:p>
        </w:tc>
        <w:tc>
          <w:tcPr>
            <w:tcW w:w="0" w:type="auto"/>
            <w:vAlign w:val="center"/>
            <w:hideMark/>
          </w:tcPr>
          <w:p w14:paraId="3A1CA9C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(6.959)</w:t>
            </w:r>
          </w:p>
        </w:tc>
        <w:tc>
          <w:tcPr>
            <w:tcW w:w="0" w:type="auto"/>
            <w:vAlign w:val="center"/>
            <w:hideMark/>
          </w:tcPr>
          <w:p w14:paraId="78AB469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(7.148)</w:t>
            </w:r>
          </w:p>
        </w:tc>
        <w:tc>
          <w:tcPr>
            <w:tcW w:w="0" w:type="auto"/>
            <w:vAlign w:val="center"/>
            <w:hideMark/>
          </w:tcPr>
          <w:p w14:paraId="5DBFC0E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(979)</w:t>
            </w:r>
          </w:p>
        </w:tc>
        <w:tc>
          <w:tcPr>
            <w:tcW w:w="1274" w:type="dxa"/>
            <w:vAlign w:val="center"/>
            <w:hideMark/>
          </w:tcPr>
          <w:p w14:paraId="20586B0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(6.169)</w:t>
            </w:r>
          </w:p>
        </w:tc>
        <w:tc>
          <w:tcPr>
            <w:tcW w:w="917" w:type="dxa"/>
            <w:vAlign w:val="center"/>
            <w:hideMark/>
          </w:tcPr>
          <w:p w14:paraId="7B0E06B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630,13%</w:t>
            </w:r>
          </w:p>
        </w:tc>
      </w:tr>
      <w:tr w:rsidR="00052220" w:rsidRPr="00052220" w14:paraId="32DC7BEA" w14:textId="77777777" w:rsidTr="00B15542">
        <w:trPr>
          <w:trHeight w:val="57"/>
        </w:trPr>
        <w:tc>
          <w:tcPr>
            <w:tcW w:w="0" w:type="auto"/>
            <w:vAlign w:val="center"/>
            <w:hideMark/>
          </w:tcPr>
          <w:p w14:paraId="40422D2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Profit (loss) for the period</w:t>
            </w:r>
          </w:p>
        </w:tc>
        <w:tc>
          <w:tcPr>
            <w:tcW w:w="0" w:type="auto"/>
            <w:vAlign w:val="center"/>
            <w:hideMark/>
          </w:tcPr>
          <w:p w14:paraId="45CB325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68.138</w:t>
            </w:r>
          </w:p>
        </w:tc>
        <w:tc>
          <w:tcPr>
            <w:tcW w:w="0" w:type="auto"/>
            <w:vAlign w:val="center"/>
            <w:hideMark/>
          </w:tcPr>
          <w:p w14:paraId="1F57398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457.230</w:t>
            </w:r>
          </w:p>
        </w:tc>
        <w:tc>
          <w:tcPr>
            <w:tcW w:w="0" w:type="auto"/>
            <w:vAlign w:val="center"/>
            <w:hideMark/>
          </w:tcPr>
          <w:p w14:paraId="7045D40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(31.540)</w:t>
            </w:r>
          </w:p>
        </w:tc>
        <w:tc>
          <w:tcPr>
            <w:tcW w:w="0" w:type="auto"/>
            <w:vAlign w:val="center"/>
            <w:hideMark/>
          </w:tcPr>
          <w:p w14:paraId="41E47D1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(23.002)</w:t>
            </w:r>
          </w:p>
        </w:tc>
        <w:tc>
          <w:tcPr>
            <w:tcW w:w="0" w:type="auto"/>
            <w:vAlign w:val="center"/>
            <w:hideMark/>
          </w:tcPr>
          <w:p w14:paraId="759FC62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36.598</w:t>
            </w:r>
          </w:p>
        </w:tc>
        <w:tc>
          <w:tcPr>
            <w:tcW w:w="0" w:type="auto"/>
            <w:vAlign w:val="center"/>
            <w:hideMark/>
          </w:tcPr>
          <w:p w14:paraId="0D80B39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434.228</w:t>
            </w:r>
          </w:p>
        </w:tc>
        <w:tc>
          <w:tcPr>
            <w:tcW w:w="1274" w:type="dxa"/>
            <w:vAlign w:val="center"/>
            <w:hideMark/>
          </w:tcPr>
          <w:p w14:paraId="1D77366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(397.630)</w:t>
            </w:r>
          </w:p>
        </w:tc>
        <w:tc>
          <w:tcPr>
            <w:tcW w:w="917" w:type="dxa"/>
            <w:vAlign w:val="center"/>
            <w:hideMark/>
          </w:tcPr>
          <w:p w14:paraId="016FA36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-91,57%</w:t>
            </w:r>
          </w:p>
        </w:tc>
      </w:tr>
      <w:tr w:rsidR="00B15542" w:rsidRPr="00052220" w14:paraId="0EF0088A" w14:textId="77777777" w:rsidTr="0054508A">
        <w:trPr>
          <w:trHeight w:val="57"/>
        </w:trPr>
        <w:tc>
          <w:tcPr>
            <w:tcW w:w="8424" w:type="dxa"/>
            <w:gridSpan w:val="9"/>
            <w:vAlign w:val="center"/>
            <w:hideMark/>
          </w:tcPr>
          <w:p w14:paraId="4F8A7D26" w14:textId="77777777" w:rsidR="00B15542" w:rsidRPr="00052220" w:rsidRDefault="00B15542" w:rsidP="009F520C">
            <w:pPr>
              <w:jc w:val="center"/>
              <w:rPr>
                <w:rFonts w:ascii="Arial" w:hAnsi="Arial" w:cs="Arial"/>
                <w:sz w:val="13"/>
                <w:szCs w:val="13"/>
                <w:lang w:val="en-ID"/>
              </w:rPr>
            </w:pPr>
            <w:r w:rsidRPr="00052220">
              <w:rPr>
                <w:rFonts w:ascii="Arial" w:hAnsi="Arial" w:cs="Arial"/>
                <w:b/>
                <w:bCs/>
                <w:color w:val="1F1F1F"/>
                <w:sz w:val="13"/>
                <w:szCs w:val="13"/>
                <w:bdr w:val="none" w:sz="0" w:space="0" w:color="auto" w:frame="1"/>
                <w:lang w:val="en-ID"/>
              </w:rPr>
              <w:t>B. Asset and Liability Segments</w:t>
            </w:r>
          </w:p>
        </w:tc>
      </w:tr>
      <w:tr w:rsidR="00052220" w:rsidRPr="00052220" w14:paraId="70EDF707" w14:textId="77777777" w:rsidTr="00B15542">
        <w:trPr>
          <w:trHeight w:val="57"/>
        </w:trPr>
        <w:tc>
          <w:tcPr>
            <w:tcW w:w="0" w:type="auto"/>
            <w:vAlign w:val="center"/>
            <w:hideMark/>
          </w:tcPr>
          <w:p w14:paraId="29845D5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Segment assets</w:t>
            </w:r>
          </w:p>
        </w:tc>
        <w:tc>
          <w:tcPr>
            <w:tcW w:w="0" w:type="auto"/>
            <w:vAlign w:val="center"/>
            <w:hideMark/>
          </w:tcPr>
          <w:p w14:paraId="55FCB55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80.674.780</w:t>
            </w:r>
          </w:p>
        </w:tc>
        <w:tc>
          <w:tcPr>
            <w:tcW w:w="0" w:type="auto"/>
            <w:vAlign w:val="center"/>
            <w:hideMark/>
          </w:tcPr>
          <w:p w14:paraId="5AC54D9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84.494.840</w:t>
            </w:r>
          </w:p>
        </w:tc>
        <w:tc>
          <w:tcPr>
            <w:tcW w:w="0" w:type="auto"/>
            <w:vAlign w:val="center"/>
            <w:hideMark/>
          </w:tcPr>
          <w:p w14:paraId="5E3EF0F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6.341.280</w:t>
            </w:r>
          </w:p>
        </w:tc>
        <w:tc>
          <w:tcPr>
            <w:tcW w:w="0" w:type="auto"/>
            <w:vAlign w:val="center"/>
            <w:hideMark/>
          </w:tcPr>
          <w:p w14:paraId="2FAF6D1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5.980.810</w:t>
            </w:r>
          </w:p>
        </w:tc>
        <w:tc>
          <w:tcPr>
            <w:tcW w:w="0" w:type="auto"/>
            <w:vAlign w:val="center"/>
            <w:hideMark/>
          </w:tcPr>
          <w:p w14:paraId="77F966D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87.016.060</w:t>
            </w:r>
          </w:p>
        </w:tc>
        <w:tc>
          <w:tcPr>
            <w:tcW w:w="0" w:type="auto"/>
            <w:vAlign w:val="center"/>
            <w:hideMark/>
          </w:tcPr>
          <w:p w14:paraId="35EA611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90.475.650</w:t>
            </w:r>
          </w:p>
        </w:tc>
        <w:tc>
          <w:tcPr>
            <w:tcW w:w="1274" w:type="dxa"/>
            <w:vAlign w:val="center"/>
            <w:hideMark/>
          </w:tcPr>
          <w:p w14:paraId="7B9C01F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(3.459.590)</w:t>
            </w:r>
          </w:p>
        </w:tc>
        <w:tc>
          <w:tcPr>
            <w:tcW w:w="917" w:type="dxa"/>
            <w:vAlign w:val="center"/>
            <w:hideMark/>
          </w:tcPr>
          <w:p w14:paraId="2B04C45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-3,82%</w:t>
            </w:r>
          </w:p>
        </w:tc>
      </w:tr>
      <w:tr w:rsidR="00052220" w:rsidRPr="00052220" w14:paraId="0F221171" w14:textId="77777777" w:rsidTr="00B15542">
        <w:trPr>
          <w:trHeight w:val="57"/>
        </w:trPr>
        <w:tc>
          <w:tcPr>
            <w:tcW w:w="0" w:type="auto"/>
            <w:vAlign w:val="center"/>
            <w:hideMark/>
          </w:tcPr>
          <w:p w14:paraId="742AC02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Investments in associates and joint venture</w:t>
            </w:r>
          </w:p>
        </w:tc>
        <w:tc>
          <w:tcPr>
            <w:tcW w:w="0" w:type="auto"/>
            <w:vAlign w:val="center"/>
            <w:hideMark/>
          </w:tcPr>
          <w:p w14:paraId="271B694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47.763</w:t>
            </w:r>
          </w:p>
        </w:tc>
        <w:tc>
          <w:tcPr>
            <w:tcW w:w="0" w:type="auto"/>
            <w:vAlign w:val="center"/>
            <w:hideMark/>
          </w:tcPr>
          <w:p w14:paraId="61A25DB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36.516</w:t>
            </w:r>
          </w:p>
        </w:tc>
        <w:tc>
          <w:tcPr>
            <w:tcW w:w="0" w:type="auto"/>
            <w:vAlign w:val="center"/>
            <w:hideMark/>
          </w:tcPr>
          <w:p w14:paraId="2CF1698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14:paraId="44694CA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124</w:t>
            </w:r>
          </w:p>
        </w:tc>
        <w:tc>
          <w:tcPr>
            <w:tcW w:w="0" w:type="auto"/>
            <w:vAlign w:val="center"/>
            <w:hideMark/>
          </w:tcPr>
          <w:p w14:paraId="16AEBE3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47.763</w:t>
            </w:r>
          </w:p>
        </w:tc>
        <w:tc>
          <w:tcPr>
            <w:tcW w:w="0" w:type="auto"/>
            <w:vAlign w:val="center"/>
            <w:hideMark/>
          </w:tcPr>
          <w:p w14:paraId="48C4477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36.640</w:t>
            </w:r>
          </w:p>
        </w:tc>
        <w:tc>
          <w:tcPr>
            <w:tcW w:w="1274" w:type="dxa"/>
            <w:vAlign w:val="center"/>
            <w:hideMark/>
          </w:tcPr>
          <w:p w14:paraId="2CF70B0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11.123</w:t>
            </w:r>
          </w:p>
        </w:tc>
        <w:tc>
          <w:tcPr>
            <w:tcW w:w="917" w:type="dxa"/>
            <w:vAlign w:val="center"/>
            <w:hideMark/>
          </w:tcPr>
          <w:p w14:paraId="1C6FFBF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30,36%</w:t>
            </w:r>
          </w:p>
        </w:tc>
      </w:tr>
      <w:tr w:rsidR="00052220" w:rsidRPr="00052220" w14:paraId="1A890C03" w14:textId="77777777" w:rsidTr="00B15542">
        <w:trPr>
          <w:trHeight w:val="57"/>
        </w:trPr>
        <w:tc>
          <w:tcPr>
            <w:tcW w:w="0" w:type="auto"/>
            <w:vAlign w:val="center"/>
            <w:hideMark/>
          </w:tcPr>
          <w:p w14:paraId="2903E64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assets</w:t>
            </w:r>
          </w:p>
        </w:tc>
        <w:tc>
          <w:tcPr>
            <w:tcW w:w="0" w:type="auto"/>
            <w:vAlign w:val="center"/>
            <w:hideMark/>
          </w:tcPr>
          <w:p w14:paraId="15A7186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80.722.543</w:t>
            </w:r>
          </w:p>
        </w:tc>
        <w:tc>
          <w:tcPr>
            <w:tcW w:w="0" w:type="auto"/>
            <w:vAlign w:val="center"/>
            <w:hideMark/>
          </w:tcPr>
          <w:p w14:paraId="465FE7A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84.531.356</w:t>
            </w:r>
          </w:p>
        </w:tc>
        <w:tc>
          <w:tcPr>
            <w:tcW w:w="0" w:type="auto"/>
            <w:vAlign w:val="center"/>
            <w:hideMark/>
          </w:tcPr>
          <w:p w14:paraId="6845FEE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6.341.280</w:t>
            </w:r>
          </w:p>
        </w:tc>
        <w:tc>
          <w:tcPr>
            <w:tcW w:w="0" w:type="auto"/>
            <w:vAlign w:val="center"/>
            <w:hideMark/>
          </w:tcPr>
          <w:p w14:paraId="604FCD1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5.980.934</w:t>
            </w:r>
          </w:p>
        </w:tc>
        <w:tc>
          <w:tcPr>
            <w:tcW w:w="0" w:type="auto"/>
            <w:vAlign w:val="center"/>
            <w:hideMark/>
          </w:tcPr>
          <w:p w14:paraId="707BAC8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87.063.823</w:t>
            </w:r>
          </w:p>
        </w:tc>
        <w:tc>
          <w:tcPr>
            <w:tcW w:w="0" w:type="auto"/>
            <w:vAlign w:val="center"/>
            <w:hideMark/>
          </w:tcPr>
          <w:p w14:paraId="53972B6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90.512.290</w:t>
            </w:r>
          </w:p>
        </w:tc>
        <w:tc>
          <w:tcPr>
            <w:tcW w:w="1274" w:type="dxa"/>
            <w:vAlign w:val="center"/>
            <w:hideMark/>
          </w:tcPr>
          <w:p w14:paraId="6968352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(3.448.467)</w:t>
            </w:r>
          </w:p>
        </w:tc>
        <w:tc>
          <w:tcPr>
            <w:tcW w:w="917" w:type="dxa"/>
            <w:vAlign w:val="center"/>
            <w:hideMark/>
          </w:tcPr>
          <w:p w14:paraId="5DCCF2B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-3,81%</w:t>
            </w:r>
          </w:p>
        </w:tc>
      </w:tr>
      <w:tr w:rsidR="00052220" w:rsidRPr="00052220" w14:paraId="4B24587A" w14:textId="77777777" w:rsidTr="00B15542">
        <w:trPr>
          <w:trHeight w:val="57"/>
        </w:trPr>
        <w:tc>
          <w:tcPr>
            <w:tcW w:w="0" w:type="auto"/>
            <w:vAlign w:val="center"/>
            <w:hideMark/>
          </w:tcPr>
          <w:p w14:paraId="169E904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Segment liabilities</w:t>
            </w:r>
          </w:p>
        </w:tc>
        <w:tc>
          <w:tcPr>
            <w:tcW w:w="0" w:type="auto"/>
            <w:vAlign w:val="center"/>
            <w:hideMark/>
          </w:tcPr>
          <w:p w14:paraId="5C11CEA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21.219.846</w:t>
            </w:r>
          </w:p>
        </w:tc>
        <w:tc>
          <w:tcPr>
            <w:tcW w:w="0" w:type="auto"/>
            <w:vAlign w:val="center"/>
            <w:hideMark/>
          </w:tcPr>
          <w:p w14:paraId="3232CFB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22.962.084</w:t>
            </w:r>
          </w:p>
        </w:tc>
        <w:tc>
          <w:tcPr>
            <w:tcW w:w="0" w:type="auto"/>
            <w:vAlign w:val="center"/>
            <w:hideMark/>
          </w:tcPr>
          <w:p w14:paraId="6257658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4.561.548</w:t>
            </w:r>
          </w:p>
        </w:tc>
        <w:tc>
          <w:tcPr>
            <w:tcW w:w="0" w:type="auto"/>
            <w:vAlign w:val="center"/>
            <w:hideMark/>
          </w:tcPr>
          <w:p w14:paraId="4DDF329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4.186.977</w:t>
            </w:r>
          </w:p>
        </w:tc>
        <w:tc>
          <w:tcPr>
            <w:tcW w:w="0" w:type="auto"/>
            <w:vAlign w:val="center"/>
            <w:hideMark/>
          </w:tcPr>
          <w:p w14:paraId="06A5252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25.781.394</w:t>
            </w:r>
          </w:p>
        </w:tc>
        <w:tc>
          <w:tcPr>
            <w:tcW w:w="0" w:type="auto"/>
            <w:vAlign w:val="center"/>
            <w:hideMark/>
          </w:tcPr>
          <w:p w14:paraId="088DF4AD"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27.149.061</w:t>
            </w:r>
          </w:p>
        </w:tc>
        <w:tc>
          <w:tcPr>
            <w:tcW w:w="1274" w:type="dxa"/>
            <w:vAlign w:val="center"/>
            <w:hideMark/>
          </w:tcPr>
          <w:p w14:paraId="48F03F3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(1.367.667)</w:t>
            </w:r>
          </w:p>
        </w:tc>
        <w:tc>
          <w:tcPr>
            <w:tcW w:w="917" w:type="dxa"/>
            <w:vAlign w:val="center"/>
            <w:hideMark/>
          </w:tcPr>
          <w:p w14:paraId="43B67E9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-5,04%</w:t>
            </w:r>
          </w:p>
        </w:tc>
      </w:tr>
      <w:tr w:rsidR="00052220" w:rsidRPr="00052220" w14:paraId="167256FC" w14:textId="77777777" w:rsidTr="00B15542">
        <w:trPr>
          <w:trHeight w:val="57"/>
        </w:trPr>
        <w:tc>
          <w:tcPr>
            <w:tcW w:w="0" w:type="auto"/>
            <w:vAlign w:val="center"/>
            <w:hideMark/>
          </w:tcPr>
          <w:p w14:paraId="4C631B6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 xml:space="preserve">Temporary </w:t>
            </w:r>
            <w:proofErr w:type="spellStart"/>
            <w:r w:rsidRPr="00052220">
              <w:rPr>
                <w:rFonts w:ascii="Arial" w:hAnsi="Arial" w:cs="Arial"/>
                <w:color w:val="1F1F1F"/>
                <w:sz w:val="13"/>
                <w:szCs w:val="13"/>
                <w:bdr w:val="none" w:sz="0" w:space="0" w:color="auto" w:frame="1"/>
                <w:lang w:val="en-ID"/>
              </w:rPr>
              <w:t>syirkah</w:t>
            </w:r>
            <w:proofErr w:type="spellEnd"/>
            <w:r w:rsidRPr="00052220">
              <w:rPr>
                <w:rFonts w:ascii="Arial" w:hAnsi="Arial" w:cs="Arial"/>
                <w:color w:val="1F1F1F"/>
                <w:sz w:val="13"/>
                <w:szCs w:val="13"/>
                <w:bdr w:val="none" w:sz="0" w:space="0" w:color="auto" w:frame="1"/>
                <w:lang w:val="en-ID"/>
              </w:rPr>
              <w:t xml:space="preserve"> funds</w:t>
            </w:r>
          </w:p>
        </w:tc>
        <w:tc>
          <w:tcPr>
            <w:tcW w:w="0" w:type="auto"/>
            <w:vAlign w:val="center"/>
            <w:hideMark/>
          </w:tcPr>
          <w:p w14:paraId="1120465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1.975.000</w:t>
            </w:r>
          </w:p>
        </w:tc>
        <w:tc>
          <w:tcPr>
            <w:tcW w:w="0" w:type="auto"/>
            <w:vAlign w:val="center"/>
            <w:hideMark/>
          </w:tcPr>
          <w:p w14:paraId="1E38643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2.200.000</w:t>
            </w:r>
          </w:p>
        </w:tc>
        <w:tc>
          <w:tcPr>
            <w:tcW w:w="0" w:type="auto"/>
            <w:vAlign w:val="center"/>
            <w:hideMark/>
          </w:tcPr>
          <w:p w14:paraId="746919D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14:paraId="7F117671"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14:paraId="5BF9BA5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1.975.000</w:t>
            </w:r>
          </w:p>
        </w:tc>
        <w:tc>
          <w:tcPr>
            <w:tcW w:w="0" w:type="auto"/>
            <w:vAlign w:val="center"/>
            <w:hideMark/>
          </w:tcPr>
          <w:p w14:paraId="166FA8F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2.200.000</w:t>
            </w:r>
          </w:p>
        </w:tc>
        <w:tc>
          <w:tcPr>
            <w:tcW w:w="1274" w:type="dxa"/>
            <w:vAlign w:val="center"/>
            <w:hideMark/>
          </w:tcPr>
          <w:p w14:paraId="54B1555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(225.000)</w:t>
            </w:r>
          </w:p>
        </w:tc>
        <w:tc>
          <w:tcPr>
            <w:tcW w:w="917" w:type="dxa"/>
            <w:vAlign w:val="center"/>
            <w:hideMark/>
          </w:tcPr>
          <w:p w14:paraId="32237CAA"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-10,23%</w:t>
            </w:r>
          </w:p>
        </w:tc>
      </w:tr>
      <w:tr w:rsidR="00052220" w:rsidRPr="00052220" w14:paraId="2EAA604B" w14:textId="77777777" w:rsidTr="00B15542">
        <w:trPr>
          <w:trHeight w:val="57"/>
        </w:trPr>
        <w:tc>
          <w:tcPr>
            <w:tcW w:w="0" w:type="auto"/>
            <w:vAlign w:val="center"/>
            <w:hideMark/>
          </w:tcPr>
          <w:p w14:paraId="3B7FB12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Other Information:</w:t>
            </w:r>
          </w:p>
        </w:tc>
        <w:tc>
          <w:tcPr>
            <w:tcW w:w="0" w:type="auto"/>
            <w:vAlign w:val="center"/>
            <w:hideMark/>
          </w:tcPr>
          <w:p w14:paraId="2CBAFF94" w14:textId="77777777" w:rsidR="00052220" w:rsidRPr="00052220" w:rsidRDefault="00052220" w:rsidP="009F520C">
            <w:pPr>
              <w:jc w:val="center"/>
              <w:rPr>
                <w:rFonts w:ascii="Arial" w:hAnsi="Arial" w:cs="Arial"/>
                <w:color w:val="1F1F1F"/>
                <w:sz w:val="13"/>
                <w:szCs w:val="13"/>
                <w:lang w:val="en-ID"/>
              </w:rPr>
            </w:pPr>
          </w:p>
        </w:tc>
        <w:tc>
          <w:tcPr>
            <w:tcW w:w="0" w:type="auto"/>
            <w:vAlign w:val="center"/>
            <w:hideMark/>
          </w:tcPr>
          <w:p w14:paraId="1CEB9A46"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158A2A2D"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7080C368"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16D55C6D" w14:textId="77777777" w:rsidR="00052220" w:rsidRPr="00052220" w:rsidRDefault="00052220" w:rsidP="009F520C">
            <w:pPr>
              <w:jc w:val="center"/>
              <w:rPr>
                <w:rFonts w:ascii="Arial" w:hAnsi="Arial" w:cs="Arial"/>
                <w:sz w:val="13"/>
                <w:szCs w:val="13"/>
                <w:lang w:val="en-ID"/>
              </w:rPr>
            </w:pPr>
          </w:p>
        </w:tc>
        <w:tc>
          <w:tcPr>
            <w:tcW w:w="0" w:type="auto"/>
            <w:vAlign w:val="center"/>
            <w:hideMark/>
          </w:tcPr>
          <w:p w14:paraId="12478DF4" w14:textId="77777777" w:rsidR="00052220" w:rsidRPr="00052220" w:rsidRDefault="00052220" w:rsidP="009F520C">
            <w:pPr>
              <w:jc w:val="center"/>
              <w:rPr>
                <w:rFonts w:ascii="Arial" w:hAnsi="Arial" w:cs="Arial"/>
                <w:sz w:val="13"/>
                <w:szCs w:val="13"/>
                <w:lang w:val="en-ID"/>
              </w:rPr>
            </w:pPr>
          </w:p>
        </w:tc>
        <w:tc>
          <w:tcPr>
            <w:tcW w:w="1274" w:type="dxa"/>
            <w:vAlign w:val="center"/>
            <w:hideMark/>
          </w:tcPr>
          <w:p w14:paraId="5E1D80A3" w14:textId="77777777" w:rsidR="00052220" w:rsidRPr="00052220" w:rsidRDefault="00052220" w:rsidP="009F520C">
            <w:pPr>
              <w:jc w:val="center"/>
              <w:rPr>
                <w:rFonts w:ascii="Arial" w:hAnsi="Arial" w:cs="Arial"/>
                <w:sz w:val="13"/>
                <w:szCs w:val="13"/>
                <w:lang w:val="en-ID"/>
              </w:rPr>
            </w:pPr>
          </w:p>
        </w:tc>
        <w:tc>
          <w:tcPr>
            <w:tcW w:w="917" w:type="dxa"/>
            <w:vAlign w:val="center"/>
            <w:hideMark/>
          </w:tcPr>
          <w:p w14:paraId="2CDCD37E" w14:textId="77777777" w:rsidR="00052220" w:rsidRPr="00052220" w:rsidRDefault="00052220" w:rsidP="009F520C">
            <w:pPr>
              <w:jc w:val="center"/>
              <w:rPr>
                <w:rFonts w:ascii="Arial" w:hAnsi="Arial" w:cs="Arial"/>
                <w:sz w:val="13"/>
                <w:szCs w:val="13"/>
                <w:lang w:val="en-ID"/>
              </w:rPr>
            </w:pPr>
          </w:p>
        </w:tc>
      </w:tr>
      <w:tr w:rsidR="00052220" w:rsidRPr="00052220" w14:paraId="4520FD0A" w14:textId="77777777" w:rsidTr="00B15542">
        <w:trPr>
          <w:trHeight w:val="57"/>
        </w:trPr>
        <w:tc>
          <w:tcPr>
            <w:tcW w:w="0" w:type="auto"/>
            <w:vAlign w:val="center"/>
            <w:hideMark/>
          </w:tcPr>
          <w:p w14:paraId="593CD6B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Capital expenditures</w:t>
            </w:r>
          </w:p>
        </w:tc>
        <w:tc>
          <w:tcPr>
            <w:tcW w:w="0" w:type="auto"/>
            <w:vAlign w:val="center"/>
            <w:hideMark/>
          </w:tcPr>
          <w:p w14:paraId="0E061089"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(5.562)</w:t>
            </w:r>
          </w:p>
        </w:tc>
        <w:tc>
          <w:tcPr>
            <w:tcW w:w="0" w:type="auto"/>
            <w:vAlign w:val="center"/>
            <w:hideMark/>
          </w:tcPr>
          <w:p w14:paraId="19B51A62"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151.349</w:t>
            </w:r>
          </w:p>
        </w:tc>
        <w:tc>
          <w:tcPr>
            <w:tcW w:w="0" w:type="auto"/>
            <w:vAlign w:val="center"/>
            <w:hideMark/>
          </w:tcPr>
          <w:p w14:paraId="53C1E76F"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115.617</w:t>
            </w:r>
          </w:p>
        </w:tc>
        <w:tc>
          <w:tcPr>
            <w:tcW w:w="0" w:type="auto"/>
            <w:vAlign w:val="center"/>
            <w:hideMark/>
          </w:tcPr>
          <w:p w14:paraId="50D87240"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46.924</w:t>
            </w:r>
          </w:p>
        </w:tc>
        <w:tc>
          <w:tcPr>
            <w:tcW w:w="0" w:type="auto"/>
            <w:vAlign w:val="center"/>
            <w:hideMark/>
          </w:tcPr>
          <w:p w14:paraId="1AA3F4CB"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110.055</w:t>
            </w:r>
          </w:p>
        </w:tc>
        <w:tc>
          <w:tcPr>
            <w:tcW w:w="0" w:type="auto"/>
            <w:vAlign w:val="center"/>
            <w:hideMark/>
          </w:tcPr>
          <w:p w14:paraId="1EF2C6A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198.273</w:t>
            </w:r>
          </w:p>
        </w:tc>
        <w:tc>
          <w:tcPr>
            <w:tcW w:w="1274" w:type="dxa"/>
            <w:vAlign w:val="center"/>
            <w:hideMark/>
          </w:tcPr>
          <w:p w14:paraId="62BC6D6E"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(88.218)</w:t>
            </w:r>
          </w:p>
        </w:tc>
        <w:tc>
          <w:tcPr>
            <w:tcW w:w="917" w:type="dxa"/>
            <w:vAlign w:val="center"/>
            <w:hideMark/>
          </w:tcPr>
          <w:p w14:paraId="71BEF098"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-44,49%</w:t>
            </w:r>
          </w:p>
        </w:tc>
      </w:tr>
      <w:tr w:rsidR="00052220" w:rsidRPr="00052220" w14:paraId="604806E7" w14:textId="77777777" w:rsidTr="00B15542">
        <w:trPr>
          <w:trHeight w:val="57"/>
        </w:trPr>
        <w:tc>
          <w:tcPr>
            <w:tcW w:w="0" w:type="auto"/>
            <w:vAlign w:val="center"/>
            <w:hideMark/>
          </w:tcPr>
          <w:p w14:paraId="1D98525C"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Depreciation, depletion, amortisation &amp; impairment</w:t>
            </w:r>
          </w:p>
        </w:tc>
        <w:tc>
          <w:tcPr>
            <w:tcW w:w="0" w:type="auto"/>
            <w:vAlign w:val="center"/>
            <w:hideMark/>
          </w:tcPr>
          <w:p w14:paraId="779C5235"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728.327</w:t>
            </w:r>
          </w:p>
        </w:tc>
        <w:tc>
          <w:tcPr>
            <w:tcW w:w="0" w:type="auto"/>
            <w:vAlign w:val="center"/>
            <w:hideMark/>
          </w:tcPr>
          <w:p w14:paraId="430AC3B3"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738.708</w:t>
            </w:r>
          </w:p>
        </w:tc>
        <w:tc>
          <w:tcPr>
            <w:tcW w:w="0" w:type="auto"/>
            <w:vAlign w:val="center"/>
            <w:hideMark/>
          </w:tcPr>
          <w:p w14:paraId="0F027B07"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73.511</w:t>
            </w:r>
          </w:p>
        </w:tc>
        <w:tc>
          <w:tcPr>
            <w:tcW w:w="0" w:type="auto"/>
            <w:vAlign w:val="center"/>
            <w:hideMark/>
          </w:tcPr>
          <w:p w14:paraId="6D367C9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73.595</w:t>
            </w:r>
          </w:p>
        </w:tc>
        <w:tc>
          <w:tcPr>
            <w:tcW w:w="0" w:type="auto"/>
            <w:vAlign w:val="center"/>
            <w:hideMark/>
          </w:tcPr>
          <w:p w14:paraId="5E562D14"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801.838</w:t>
            </w:r>
          </w:p>
        </w:tc>
        <w:tc>
          <w:tcPr>
            <w:tcW w:w="0" w:type="auto"/>
            <w:vAlign w:val="center"/>
            <w:hideMark/>
          </w:tcPr>
          <w:p w14:paraId="2B0C471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812.303</w:t>
            </w:r>
          </w:p>
        </w:tc>
        <w:tc>
          <w:tcPr>
            <w:tcW w:w="1274" w:type="dxa"/>
            <w:vAlign w:val="center"/>
            <w:hideMark/>
          </w:tcPr>
          <w:p w14:paraId="110FE34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(10.465)</w:t>
            </w:r>
          </w:p>
        </w:tc>
        <w:tc>
          <w:tcPr>
            <w:tcW w:w="917" w:type="dxa"/>
            <w:vAlign w:val="center"/>
            <w:hideMark/>
          </w:tcPr>
          <w:p w14:paraId="298EA476" w14:textId="77777777"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-1,29%</w:t>
            </w:r>
          </w:p>
        </w:tc>
      </w:tr>
    </w:tbl>
    <w:p w14:paraId="463DA30F" w14:textId="77777777" w:rsidR="004C69E5" w:rsidRDefault="004C69E5" w:rsidP="00733E53">
      <w:pPr>
        <w:pStyle w:val="Body"/>
        <w:spacing w:after="0"/>
        <w:rPr>
          <w:rFonts w:ascii="Arial" w:hAnsi="Arial" w:cs="Arial"/>
        </w:rPr>
      </w:pPr>
    </w:p>
    <w:p w14:paraId="45A559CE" w14:textId="77777777" w:rsidR="00922937" w:rsidRPr="005416A8" w:rsidRDefault="00922937" w:rsidP="00F630CD">
      <w:pPr>
        <w:pStyle w:val="Body"/>
        <w:rPr>
          <w:rFonts w:ascii="Arial" w:hAnsi="Arial" w:cs="Arial"/>
          <w:b/>
          <w:bCs/>
          <w:u w:val="single"/>
        </w:rPr>
      </w:pPr>
      <w:r w:rsidRPr="005416A8">
        <w:rPr>
          <w:rFonts w:ascii="Arial" w:hAnsi="Arial" w:cs="Arial"/>
          <w:b/>
          <w:bCs/>
          <w:u w:val="single"/>
        </w:rPr>
        <w:t>3.3.2</w:t>
      </w:r>
      <w:r w:rsidR="00E42598" w:rsidRPr="005416A8">
        <w:rPr>
          <w:rFonts w:ascii="Arial" w:hAnsi="Arial" w:cs="Arial"/>
          <w:b/>
          <w:bCs/>
          <w:u w:val="single"/>
        </w:rPr>
        <w:t>.1</w:t>
      </w:r>
      <w:r w:rsidRPr="005416A8">
        <w:rPr>
          <w:rFonts w:ascii="Arial" w:hAnsi="Arial" w:cs="Arial"/>
          <w:b/>
          <w:bCs/>
          <w:u w:val="single"/>
        </w:rPr>
        <w:t xml:space="preserve"> </w:t>
      </w:r>
      <w:r w:rsidR="005A053B" w:rsidRPr="005416A8">
        <w:rPr>
          <w:rFonts w:ascii="Arial" w:hAnsi="Arial" w:cs="Arial"/>
          <w:b/>
          <w:bCs/>
          <w:u w:val="single"/>
        </w:rPr>
        <w:t>Identification of Reporting Segments Based on Qualitative Criteria</w:t>
      </w:r>
    </w:p>
    <w:p w14:paraId="73730821" w14:textId="00C95D41" w:rsidR="005416A8" w:rsidRDefault="00D20ED1" w:rsidP="005416A8">
      <w:pPr>
        <w:pStyle w:val="Body"/>
        <w:rPr>
          <w:rFonts w:ascii="Arial" w:hAnsi="Arial" w:cs="Arial"/>
        </w:rPr>
      </w:pPr>
      <w:r w:rsidRPr="00D20ED1">
        <w:rPr>
          <w:rFonts w:ascii="Arial" w:hAnsi="Arial" w:cs="Arial"/>
        </w:rPr>
        <w:t>Under PSAK, segment financial reporting is considered to meet qualitative requirements when it aligns with the definition of operating segments as specified in PSAK 108 (</w:t>
      </w:r>
      <w:proofErr w:type="spellStart"/>
      <w:r w:rsidRPr="00D20ED1">
        <w:rPr>
          <w:rFonts w:ascii="Arial" w:hAnsi="Arial" w:cs="Arial"/>
        </w:rPr>
        <w:t>Ikatan</w:t>
      </w:r>
      <w:proofErr w:type="spellEnd"/>
      <w:r w:rsidRPr="00D20ED1">
        <w:rPr>
          <w:rFonts w:ascii="Arial" w:hAnsi="Arial" w:cs="Arial"/>
        </w:rPr>
        <w:t xml:space="preserve"> </w:t>
      </w:r>
      <w:proofErr w:type="spellStart"/>
      <w:r w:rsidRPr="00D20ED1">
        <w:rPr>
          <w:rFonts w:ascii="Arial" w:hAnsi="Arial" w:cs="Arial"/>
        </w:rPr>
        <w:t>Akuntan</w:t>
      </w:r>
      <w:proofErr w:type="spellEnd"/>
      <w:r w:rsidRPr="00D20ED1">
        <w:rPr>
          <w:rFonts w:ascii="Arial" w:hAnsi="Arial" w:cs="Arial"/>
        </w:rPr>
        <w:t xml:space="preserve"> Indonesia, 2014). According to the standard, an operating segment is a component of an entity that meets specific criteria related to its business activities, the review process by the chief operating decision maker (CODM), and the availability of discrete financial information. The assessment of </w:t>
      </w:r>
      <w:r w:rsidR="00083FFA">
        <w:rPr>
          <w:rFonts w:ascii="Arial" w:hAnsi="Arial" w:cs="Arial"/>
          <w:lang w:val="en-ID"/>
        </w:rPr>
        <w:t>X Manufacturing</w:t>
      </w:r>
      <w:r w:rsidR="00083FFA" w:rsidRPr="0087583E">
        <w:rPr>
          <w:rFonts w:ascii="Arial" w:hAnsi="Arial" w:cs="Arial"/>
          <w:lang w:val="en-ID"/>
        </w:rPr>
        <w:t xml:space="preserve"> </w:t>
      </w:r>
      <w:r w:rsidRPr="00D20ED1">
        <w:rPr>
          <w:rFonts w:ascii="Arial" w:hAnsi="Arial" w:cs="Arial"/>
        </w:rPr>
        <w:t>operating segments based on these qualitative criteria is presented in Table</w:t>
      </w:r>
      <w:r w:rsidR="001F3744">
        <w:rPr>
          <w:rFonts w:ascii="Arial" w:hAnsi="Arial" w:cs="Arial"/>
        </w:rPr>
        <w:t xml:space="preserve"> </w:t>
      </w:r>
      <w:r w:rsidR="0005237A">
        <w:rPr>
          <w:rFonts w:ascii="Arial" w:hAnsi="Arial" w:cs="Arial"/>
        </w:rPr>
        <w:t>3</w:t>
      </w:r>
      <w:r w:rsidRPr="00D20ED1">
        <w:rPr>
          <w:rFonts w:ascii="Arial" w:hAnsi="Arial" w:cs="Arial"/>
        </w:rPr>
        <w:t>.</w:t>
      </w:r>
    </w:p>
    <w:p w14:paraId="1F0BC118" w14:textId="792C5E1B" w:rsidR="0087583E" w:rsidRPr="007B1F44" w:rsidRDefault="007B1F44" w:rsidP="007B1F44">
      <w:pPr>
        <w:pStyle w:val="Body"/>
        <w:jc w:val="center"/>
        <w:rPr>
          <w:rFonts w:ascii="Arial" w:hAnsi="Arial" w:cs="Arial"/>
          <w:b/>
          <w:bCs/>
        </w:rPr>
      </w:pPr>
      <w:r w:rsidRPr="007B1F44">
        <w:rPr>
          <w:rFonts w:ascii="Arial" w:hAnsi="Arial" w:cs="Arial"/>
          <w:b/>
          <w:bCs/>
        </w:rPr>
        <w:t xml:space="preserve">Table </w:t>
      </w:r>
      <w:r w:rsidR="0005237A">
        <w:rPr>
          <w:rFonts w:ascii="Arial" w:hAnsi="Arial" w:cs="Arial"/>
          <w:b/>
          <w:bCs/>
        </w:rPr>
        <w:t>3</w:t>
      </w:r>
      <w:r w:rsidRPr="007B1F44">
        <w:rPr>
          <w:rFonts w:ascii="Arial" w:hAnsi="Arial" w:cs="Arial"/>
          <w:b/>
          <w:bCs/>
        </w:rPr>
        <w:t>. Testing Qualitative Requirements for Segment Financial Statements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968"/>
        <w:gridCol w:w="6565"/>
      </w:tblGrid>
      <w:tr w:rsidR="0087583E" w:rsidRPr="0087583E" w14:paraId="07F15318" w14:textId="77777777" w:rsidTr="0087583E">
        <w:tc>
          <w:tcPr>
            <w:tcW w:w="0" w:type="auto"/>
            <w:tcBorders>
              <w:top w:val="single" w:sz="4" w:space="0" w:color="auto"/>
              <w:bottom w:val="single" w:sz="4" w:space="0" w:color="auto"/>
            </w:tcBorders>
            <w:vAlign w:val="center"/>
            <w:hideMark/>
          </w:tcPr>
          <w:p w14:paraId="20FB66CD" w14:textId="77777777" w:rsidR="0087583E" w:rsidRPr="0087583E" w:rsidRDefault="0087583E" w:rsidP="00996271">
            <w:pPr>
              <w:jc w:val="center"/>
              <w:rPr>
                <w:rFonts w:ascii="Arial" w:hAnsi="Arial" w:cs="Arial"/>
                <w:b/>
                <w:bCs/>
                <w:lang w:val="en-ID"/>
              </w:rPr>
            </w:pPr>
            <w:r w:rsidRPr="0087583E">
              <w:rPr>
                <w:rFonts w:ascii="Arial" w:hAnsi="Arial" w:cs="Arial"/>
                <w:b/>
                <w:bCs/>
                <w:lang w:val="en-ID"/>
              </w:rPr>
              <w:t>No</w:t>
            </w:r>
          </w:p>
        </w:tc>
        <w:tc>
          <w:tcPr>
            <w:tcW w:w="0" w:type="auto"/>
            <w:tcBorders>
              <w:top w:val="single" w:sz="4" w:space="0" w:color="auto"/>
              <w:bottom w:val="single" w:sz="4" w:space="0" w:color="auto"/>
            </w:tcBorders>
            <w:vAlign w:val="center"/>
            <w:hideMark/>
          </w:tcPr>
          <w:p w14:paraId="67A378F9" w14:textId="77777777" w:rsidR="0087583E" w:rsidRPr="0087583E" w:rsidRDefault="0087583E" w:rsidP="0087583E">
            <w:pPr>
              <w:jc w:val="center"/>
              <w:rPr>
                <w:rFonts w:ascii="Arial" w:hAnsi="Arial" w:cs="Arial"/>
                <w:b/>
                <w:bCs/>
                <w:lang w:val="en-ID"/>
              </w:rPr>
            </w:pPr>
            <w:r w:rsidRPr="0087583E">
              <w:rPr>
                <w:rFonts w:ascii="Arial" w:hAnsi="Arial" w:cs="Arial"/>
                <w:b/>
                <w:bCs/>
                <w:lang w:val="en-ID"/>
              </w:rPr>
              <w:t>Qualitative Requirements (Definition of Operating Segment)</w:t>
            </w:r>
          </w:p>
        </w:tc>
        <w:tc>
          <w:tcPr>
            <w:tcW w:w="0" w:type="auto"/>
            <w:tcBorders>
              <w:top w:val="single" w:sz="4" w:space="0" w:color="auto"/>
              <w:bottom w:val="single" w:sz="4" w:space="0" w:color="auto"/>
            </w:tcBorders>
            <w:vAlign w:val="center"/>
            <w:hideMark/>
          </w:tcPr>
          <w:p w14:paraId="0564D2A2" w14:textId="77777777" w:rsidR="0087583E" w:rsidRPr="0087583E" w:rsidRDefault="0087583E" w:rsidP="0087583E">
            <w:pPr>
              <w:jc w:val="center"/>
              <w:rPr>
                <w:rFonts w:ascii="Arial" w:hAnsi="Arial" w:cs="Arial"/>
                <w:b/>
                <w:bCs/>
                <w:lang w:val="en-ID"/>
              </w:rPr>
            </w:pPr>
            <w:r w:rsidRPr="0087583E">
              <w:rPr>
                <w:rFonts w:ascii="Arial" w:hAnsi="Arial" w:cs="Arial"/>
                <w:b/>
                <w:bCs/>
                <w:lang w:val="en-ID"/>
              </w:rPr>
              <w:t>Compliance with PSAK 108</w:t>
            </w:r>
          </w:p>
        </w:tc>
      </w:tr>
      <w:tr w:rsidR="0087583E" w:rsidRPr="0087583E" w14:paraId="5D109EF7" w14:textId="77777777" w:rsidTr="00996271">
        <w:tc>
          <w:tcPr>
            <w:tcW w:w="0" w:type="auto"/>
            <w:tcBorders>
              <w:top w:val="single" w:sz="4" w:space="0" w:color="auto"/>
            </w:tcBorders>
            <w:vAlign w:val="center"/>
            <w:hideMark/>
          </w:tcPr>
          <w:p w14:paraId="500D62B6" w14:textId="77777777" w:rsidR="0087583E" w:rsidRPr="0087583E" w:rsidRDefault="0087583E" w:rsidP="00996271">
            <w:pPr>
              <w:jc w:val="center"/>
              <w:rPr>
                <w:rFonts w:ascii="Arial" w:hAnsi="Arial" w:cs="Arial"/>
                <w:lang w:val="en-ID"/>
              </w:rPr>
            </w:pPr>
            <w:r w:rsidRPr="0087583E">
              <w:rPr>
                <w:rFonts w:ascii="Arial" w:hAnsi="Arial" w:cs="Arial"/>
                <w:lang w:val="en-ID"/>
              </w:rPr>
              <w:t>1.</w:t>
            </w:r>
          </w:p>
        </w:tc>
        <w:tc>
          <w:tcPr>
            <w:tcW w:w="0" w:type="auto"/>
            <w:tcBorders>
              <w:top w:val="single" w:sz="4" w:space="0" w:color="auto"/>
            </w:tcBorders>
            <w:vAlign w:val="center"/>
            <w:hideMark/>
          </w:tcPr>
          <w:p w14:paraId="2C90B34A" w14:textId="77777777" w:rsidR="0087583E" w:rsidRPr="0087583E" w:rsidRDefault="0087583E" w:rsidP="00C53338">
            <w:pPr>
              <w:jc w:val="both"/>
              <w:rPr>
                <w:rFonts w:ascii="Arial" w:hAnsi="Arial" w:cs="Arial"/>
                <w:lang w:val="en-ID"/>
              </w:rPr>
            </w:pPr>
            <w:r w:rsidRPr="0087583E">
              <w:rPr>
                <w:rFonts w:ascii="Arial" w:hAnsi="Arial" w:cs="Arial"/>
                <w:lang w:val="en-ID"/>
              </w:rPr>
              <w:t>Entities engaged in business activities that generate revenues and incur expenses (including inter-segment transactions).</w:t>
            </w:r>
          </w:p>
        </w:tc>
        <w:tc>
          <w:tcPr>
            <w:tcW w:w="0" w:type="auto"/>
            <w:tcBorders>
              <w:top w:val="single" w:sz="4" w:space="0" w:color="auto"/>
            </w:tcBorders>
            <w:vAlign w:val="center"/>
            <w:hideMark/>
          </w:tcPr>
          <w:p w14:paraId="463AE930" w14:textId="77777777" w:rsidR="0087583E" w:rsidRPr="0087583E" w:rsidRDefault="0087583E" w:rsidP="00C53338">
            <w:pPr>
              <w:jc w:val="both"/>
              <w:rPr>
                <w:rFonts w:ascii="Arial" w:hAnsi="Arial" w:cs="Arial"/>
                <w:lang w:val="en-ID"/>
              </w:rPr>
            </w:pPr>
            <w:r w:rsidRPr="0087583E">
              <w:rPr>
                <w:rFonts w:ascii="Arial" w:hAnsi="Arial" w:cs="Arial"/>
                <w:lang w:val="en-ID"/>
              </w:rPr>
              <w:t xml:space="preserve">Listed. </w:t>
            </w:r>
            <w:r w:rsidR="0049394B">
              <w:rPr>
                <w:rFonts w:ascii="Arial" w:hAnsi="Arial" w:cs="Arial"/>
                <w:lang w:val="en-ID"/>
              </w:rPr>
              <w:t>X Manufacturing</w:t>
            </w:r>
            <w:r w:rsidRPr="0087583E">
              <w:rPr>
                <w:rFonts w:ascii="Arial" w:hAnsi="Arial" w:cs="Arial"/>
                <w:lang w:val="en-ID"/>
              </w:rPr>
              <w:t xml:space="preserve"> satisfies this criterion, as its subsidiaries</w:t>
            </w:r>
            <w:r w:rsidR="0049394B">
              <w:rPr>
                <w:rFonts w:ascii="Arial" w:hAnsi="Arial" w:cs="Arial"/>
                <w:lang w:val="en-ID"/>
              </w:rPr>
              <w:t xml:space="preserve">, </w:t>
            </w:r>
            <w:r w:rsidRPr="0087583E">
              <w:rPr>
                <w:rFonts w:ascii="Arial" w:hAnsi="Arial" w:cs="Arial"/>
                <w:lang w:val="en-ID"/>
              </w:rPr>
              <w:t>operate independently, generating revenue and incurring expenses. Each unit contributes to consolidated performance through cement production, distribution, and related services, in accordance with PSAK 108 paragraph 5.</w:t>
            </w:r>
          </w:p>
        </w:tc>
      </w:tr>
      <w:tr w:rsidR="0087583E" w:rsidRPr="0087583E" w14:paraId="2B1E736D" w14:textId="77777777" w:rsidTr="00996271">
        <w:tc>
          <w:tcPr>
            <w:tcW w:w="0" w:type="auto"/>
            <w:vAlign w:val="center"/>
            <w:hideMark/>
          </w:tcPr>
          <w:p w14:paraId="61AF6356" w14:textId="77777777" w:rsidR="0087583E" w:rsidRPr="0087583E" w:rsidRDefault="0087583E" w:rsidP="00996271">
            <w:pPr>
              <w:jc w:val="center"/>
              <w:rPr>
                <w:rFonts w:ascii="Arial" w:hAnsi="Arial" w:cs="Arial"/>
                <w:lang w:val="en-ID"/>
              </w:rPr>
            </w:pPr>
            <w:r w:rsidRPr="0087583E">
              <w:rPr>
                <w:rFonts w:ascii="Arial" w:hAnsi="Arial" w:cs="Arial"/>
                <w:lang w:val="en-ID"/>
              </w:rPr>
              <w:t>2.</w:t>
            </w:r>
          </w:p>
        </w:tc>
        <w:tc>
          <w:tcPr>
            <w:tcW w:w="0" w:type="auto"/>
            <w:vAlign w:val="center"/>
            <w:hideMark/>
          </w:tcPr>
          <w:p w14:paraId="2082D2E1" w14:textId="77777777" w:rsidR="0087583E" w:rsidRPr="0087583E" w:rsidRDefault="0087583E" w:rsidP="00C53338">
            <w:pPr>
              <w:jc w:val="both"/>
              <w:rPr>
                <w:rFonts w:ascii="Arial" w:hAnsi="Arial" w:cs="Arial"/>
                <w:lang w:val="en-ID"/>
              </w:rPr>
            </w:pPr>
            <w:r w:rsidRPr="0087583E">
              <w:rPr>
                <w:rFonts w:ascii="Arial" w:hAnsi="Arial" w:cs="Arial"/>
                <w:lang w:val="en-ID"/>
              </w:rPr>
              <w:t>The segment’s operating results are regularly reviewed by the chief operating decision maker for resource allocation and performance assessment.</w:t>
            </w:r>
          </w:p>
        </w:tc>
        <w:tc>
          <w:tcPr>
            <w:tcW w:w="0" w:type="auto"/>
            <w:vAlign w:val="center"/>
            <w:hideMark/>
          </w:tcPr>
          <w:p w14:paraId="55E0C626" w14:textId="77777777" w:rsidR="0087583E" w:rsidRPr="0087583E" w:rsidRDefault="0087583E" w:rsidP="00C53338">
            <w:pPr>
              <w:jc w:val="both"/>
              <w:rPr>
                <w:rFonts w:ascii="Arial" w:hAnsi="Arial" w:cs="Arial"/>
                <w:lang w:val="en-ID"/>
              </w:rPr>
            </w:pPr>
            <w:r w:rsidRPr="0087583E">
              <w:rPr>
                <w:rFonts w:ascii="Arial" w:hAnsi="Arial" w:cs="Arial"/>
                <w:lang w:val="en-ID"/>
              </w:rPr>
              <w:t>Listed. SIG meets this requirement since its Board of Directors functions as the CODM, routinely reviewing segment performance indicators such as sales, operating income, and asset utilization. This aligns with PSAK 108 paragraph 7 regarding managerial review of segment results.</w:t>
            </w:r>
          </w:p>
        </w:tc>
      </w:tr>
      <w:tr w:rsidR="0087583E" w:rsidRPr="0087583E" w14:paraId="70212DDA" w14:textId="77777777" w:rsidTr="00996271">
        <w:tc>
          <w:tcPr>
            <w:tcW w:w="0" w:type="auto"/>
            <w:vAlign w:val="center"/>
            <w:hideMark/>
          </w:tcPr>
          <w:p w14:paraId="4A3EEB59" w14:textId="77777777" w:rsidR="0087583E" w:rsidRPr="0087583E" w:rsidRDefault="0087583E" w:rsidP="00996271">
            <w:pPr>
              <w:jc w:val="center"/>
              <w:rPr>
                <w:rFonts w:ascii="Arial" w:hAnsi="Arial" w:cs="Arial"/>
                <w:lang w:val="en-ID"/>
              </w:rPr>
            </w:pPr>
            <w:r w:rsidRPr="0087583E">
              <w:rPr>
                <w:rFonts w:ascii="Arial" w:hAnsi="Arial" w:cs="Arial"/>
                <w:lang w:val="en-ID"/>
              </w:rPr>
              <w:t>3.</w:t>
            </w:r>
          </w:p>
        </w:tc>
        <w:tc>
          <w:tcPr>
            <w:tcW w:w="0" w:type="auto"/>
            <w:vAlign w:val="center"/>
            <w:hideMark/>
          </w:tcPr>
          <w:p w14:paraId="6AD78B7F" w14:textId="77777777" w:rsidR="0087583E" w:rsidRPr="0087583E" w:rsidRDefault="0087583E" w:rsidP="00C53338">
            <w:pPr>
              <w:jc w:val="both"/>
              <w:rPr>
                <w:rFonts w:ascii="Arial" w:hAnsi="Arial" w:cs="Arial"/>
                <w:lang w:val="en-ID"/>
              </w:rPr>
            </w:pPr>
            <w:r w:rsidRPr="0087583E">
              <w:rPr>
                <w:rFonts w:ascii="Arial" w:hAnsi="Arial" w:cs="Arial"/>
                <w:lang w:val="en-ID"/>
              </w:rPr>
              <w:t xml:space="preserve">Availability of discrete financial </w:t>
            </w:r>
            <w:r w:rsidRPr="0087583E">
              <w:rPr>
                <w:rFonts w:ascii="Arial" w:hAnsi="Arial" w:cs="Arial"/>
                <w:lang w:val="en-ID"/>
              </w:rPr>
              <w:lastRenderedPageBreak/>
              <w:t>information for each segment to enable users to assess the nature and financial impact of the entity’s activities.</w:t>
            </w:r>
          </w:p>
        </w:tc>
        <w:tc>
          <w:tcPr>
            <w:tcW w:w="0" w:type="auto"/>
            <w:vAlign w:val="center"/>
            <w:hideMark/>
          </w:tcPr>
          <w:p w14:paraId="6A0F82FE" w14:textId="77777777" w:rsidR="0087583E" w:rsidRPr="0087583E" w:rsidRDefault="0087583E" w:rsidP="00C53338">
            <w:pPr>
              <w:jc w:val="both"/>
              <w:rPr>
                <w:rFonts w:ascii="Arial" w:hAnsi="Arial" w:cs="Arial"/>
                <w:lang w:val="en-ID"/>
              </w:rPr>
            </w:pPr>
            <w:r w:rsidRPr="0087583E">
              <w:rPr>
                <w:rFonts w:ascii="Arial" w:hAnsi="Arial" w:cs="Arial"/>
                <w:lang w:val="en-ID"/>
              </w:rPr>
              <w:lastRenderedPageBreak/>
              <w:t xml:space="preserve">Listed. SIG provides segregated financial information—including </w:t>
            </w:r>
            <w:r w:rsidRPr="0087583E">
              <w:rPr>
                <w:rFonts w:ascii="Arial" w:hAnsi="Arial" w:cs="Arial"/>
                <w:lang w:val="en-ID"/>
              </w:rPr>
              <w:lastRenderedPageBreak/>
              <w:t>revenues, profit or loss, assets, and inter-segment transactions—consistent with PSAK 108 paragraph 12. These disclosures enhance transparency and support informed evaluation of each segment’s economic contribution.</w:t>
            </w:r>
          </w:p>
        </w:tc>
      </w:tr>
    </w:tbl>
    <w:p w14:paraId="43E8ED65" w14:textId="77777777" w:rsidR="00D20ED1" w:rsidRPr="00F630CD" w:rsidRDefault="00D20ED1" w:rsidP="005416A8">
      <w:pPr>
        <w:pStyle w:val="Body"/>
        <w:rPr>
          <w:rFonts w:ascii="Arial" w:hAnsi="Arial" w:cs="Arial"/>
        </w:rPr>
      </w:pPr>
    </w:p>
    <w:p w14:paraId="59E8166E" w14:textId="77777777" w:rsidR="00E41D5B" w:rsidRPr="005416A8" w:rsidRDefault="00283F29" w:rsidP="00F630CD">
      <w:pPr>
        <w:pStyle w:val="Body"/>
        <w:rPr>
          <w:rFonts w:ascii="Arial" w:hAnsi="Arial" w:cs="Arial"/>
          <w:b/>
          <w:bCs/>
          <w:u w:val="single"/>
        </w:rPr>
      </w:pPr>
      <w:r w:rsidRPr="005416A8">
        <w:rPr>
          <w:rFonts w:ascii="Arial" w:hAnsi="Arial" w:cs="Arial"/>
          <w:b/>
          <w:bCs/>
          <w:u w:val="single"/>
        </w:rPr>
        <w:t xml:space="preserve">3.3.2.2 </w:t>
      </w:r>
      <w:r w:rsidR="005A053B" w:rsidRPr="005416A8">
        <w:rPr>
          <w:rFonts w:ascii="Arial" w:hAnsi="Arial" w:cs="Arial"/>
          <w:b/>
          <w:bCs/>
          <w:u w:val="single"/>
        </w:rPr>
        <w:t>Identification of Reporting Segments Based on Quantitative Criteria</w:t>
      </w:r>
    </w:p>
    <w:p w14:paraId="37B15287" w14:textId="77777777" w:rsidR="00907D80" w:rsidRDefault="00162E04" w:rsidP="00162E04">
      <w:pPr>
        <w:pStyle w:val="Body"/>
        <w:rPr>
          <w:rFonts w:ascii="Arial" w:hAnsi="Arial" w:cs="Arial"/>
        </w:rPr>
      </w:pPr>
      <w:r w:rsidRPr="00162E04">
        <w:rPr>
          <w:rFonts w:ascii="Arial" w:hAnsi="Arial" w:cs="Arial"/>
        </w:rPr>
        <w:t xml:space="preserve">Based on the consolidated quantitative assessment, the Cement Production segment consistently meets all three 10% materiality thresholds—revenue, profit or loss, and assets—demonstrating its significance to the entity’s operational and financial structure. </w:t>
      </w:r>
    </w:p>
    <w:p w14:paraId="28B7D358" w14:textId="6F399320" w:rsidR="00294287" w:rsidRPr="008A66D0" w:rsidRDefault="00C367AB" w:rsidP="008A66D0">
      <w:pPr>
        <w:pStyle w:val="Body"/>
        <w:jc w:val="center"/>
        <w:rPr>
          <w:rFonts w:ascii="Arial" w:hAnsi="Arial" w:cs="Arial"/>
          <w:b/>
          <w:bCs/>
        </w:rPr>
      </w:pPr>
      <w:r w:rsidRPr="008A66D0">
        <w:rPr>
          <w:rFonts w:ascii="Arial" w:hAnsi="Arial" w:cs="Arial"/>
          <w:b/>
          <w:bCs/>
        </w:rPr>
        <w:t xml:space="preserve">Table </w:t>
      </w:r>
      <w:r w:rsidR="0005237A">
        <w:rPr>
          <w:rFonts w:ascii="Arial" w:hAnsi="Arial" w:cs="Arial"/>
          <w:b/>
          <w:bCs/>
        </w:rPr>
        <w:t>4</w:t>
      </w:r>
      <w:r w:rsidRPr="008A66D0">
        <w:rPr>
          <w:rFonts w:ascii="Arial" w:hAnsi="Arial" w:cs="Arial"/>
          <w:b/>
          <w:bCs/>
        </w:rPr>
        <w:t>. Summary of Quantitative Segment Tests (Revenue, Profit/Loss, and Assets)</w:t>
      </w:r>
    </w:p>
    <w:tbl>
      <w:tblPr>
        <w:tblStyle w:val="TableGridLight"/>
        <w:tblW w:w="0" w:type="auto"/>
        <w:tblLook w:val="04A0" w:firstRow="1" w:lastRow="0" w:firstColumn="1" w:lastColumn="0" w:noHBand="0" w:noVBand="1"/>
      </w:tblPr>
      <w:tblGrid>
        <w:gridCol w:w="430"/>
        <w:gridCol w:w="1636"/>
        <w:gridCol w:w="1300"/>
        <w:gridCol w:w="1300"/>
        <w:gridCol w:w="1459"/>
        <w:gridCol w:w="1459"/>
        <w:gridCol w:w="1716"/>
        <w:gridCol w:w="1716"/>
      </w:tblGrid>
      <w:tr w:rsidR="00207990" w:rsidRPr="00207990" w14:paraId="6C01B328" w14:textId="77777777" w:rsidTr="00E46CD2">
        <w:tc>
          <w:tcPr>
            <w:tcW w:w="0" w:type="auto"/>
            <w:gridSpan w:val="8"/>
            <w:vAlign w:val="center"/>
          </w:tcPr>
          <w:p w14:paraId="2F33A9B1" w14:textId="77777777" w:rsidR="00207990" w:rsidRPr="00207990" w:rsidRDefault="00A258D9" w:rsidP="008A66D0">
            <w:pPr>
              <w:jc w:val="center"/>
              <w:rPr>
                <w:rFonts w:ascii="Arial" w:hAnsi="Arial" w:cs="Arial"/>
                <w:b/>
                <w:bCs/>
                <w:sz w:val="16"/>
                <w:szCs w:val="16"/>
                <w:lang w:val="en-ID"/>
              </w:rPr>
            </w:pPr>
            <w:r w:rsidRPr="00207990">
              <w:rPr>
                <w:rFonts w:ascii="Arial" w:hAnsi="Arial" w:cs="Arial"/>
                <w:b/>
                <w:bCs/>
                <w:sz w:val="16"/>
                <w:szCs w:val="16"/>
                <w:lang w:val="en-ID"/>
              </w:rPr>
              <w:t>TEN PERCENT (10%) INCOME TEST</w:t>
            </w:r>
          </w:p>
        </w:tc>
      </w:tr>
      <w:tr w:rsidR="00294287" w:rsidRPr="00294287" w14:paraId="35EDE8C4" w14:textId="77777777" w:rsidTr="00951513">
        <w:tc>
          <w:tcPr>
            <w:tcW w:w="0" w:type="auto"/>
            <w:vAlign w:val="center"/>
            <w:hideMark/>
          </w:tcPr>
          <w:p w14:paraId="1842E6CA" w14:textId="77777777" w:rsidR="00924CE7" w:rsidRPr="00924CE7" w:rsidRDefault="00924CE7" w:rsidP="00951513">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14:paraId="599CA487" w14:textId="77777777" w:rsidR="00924CE7" w:rsidRPr="00924CE7" w:rsidRDefault="00924CE7" w:rsidP="00951513">
            <w:pPr>
              <w:jc w:val="center"/>
              <w:rPr>
                <w:rFonts w:ascii="Arial" w:hAnsi="Arial" w:cs="Arial"/>
                <w:b/>
                <w:bCs/>
                <w:sz w:val="16"/>
                <w:szCs w:val="16"/>
                <w:lang w:val="en-ID"/>
              </w:rPr>
            </w:pPr>
            <w:r w:rsidRPr="00924CE7">
              <w:rPr>
                <w:rFonts w:ascii="Arial" w:hAnsi="Arial" w:cs="Arial"/>
                <w:b/>
                <w:bCs/>
                <w:sz w:val="16"/>
                <w:szCs w:val="16"/>
                <w:lang w:val="en-ID"/>
              </w:rPr>
              <w:t>Segment</w:t>
            </w:r>
          </w:p>
        </w:tc>
        <w:tc>
          <w:tcPr>
            <w:tcW w:w="0" w:type="auto"/>
            <w:vAlign w:val="center"/>
            <w:hideMark/>
          </w:tcPr>
          <w:p w14:paraId="6960C461" w14:textId="77777777"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Profit (Q1 2025)</w:t>
            </w:r>
          </w:p>
        </w:tc>
        <w:tc>
          <w:tcPr>
            <w:tcW w:w="0" w:type="auto"/>
            <w:vAlign w:val="center"/>
            <w:hideMark/>
          </w:tcPr>
          <w:p w14:paraId="405AA850" w14:textId="77777777"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Profit (Q1 2024)</w:t>
            </w:r>
          </w:p>
        </w:tc>
        <w:tc>
          <w:tcPr>
            <w:tcW w:w="0" w:type="auto"/>
            <w:vAlign w:val="center"/>
            <w:hideMark/>
          </w:tcPr>
          <w:p w14:paraId="70F7CE31" w14:textId="77777777"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Percentage Q1 2025</w:t>
            </w:r>
          </w:p>
        </w:tc>
        <w:tc>
          <w:tcPr>
            <w:tcW w:w="0" w:type="auto"/>
            <w:vAlign w:val="center"/>
            <w:hideMark/>
          </w:tcPr>
          <w:p w14:paraId="6DAE126D" w14:textId="77777777"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Percentage Q1 2024</w:t>
            </w:r>
          </w:p>
        </w:tc>
        <w:tc>
          <w:tcPr>
            <w:tcW w:w="0" w:type="auto"/>
            <w:vAlign w:val="center"/>
            <w:hideMark/>
          </w:tcPr>
          <w:p w14:paraId="4A05DDB4" w14:textId="77777777"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Reported Segment Q1 2025</w:t>
            </w:r>
          </w:p>
        </w:tc>
        <w:tc>
          <w:tcPr>
            <w:tcW w:w="0" w:type="auto"/>
            <w:vAlign w:val="center"/>
            <w:hideMark/>
          </w:tcPr>
          <w:p w14:paraId="5E1710D7" w14:textId="77777777"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Reported Segment Q1 2024</w:t>
            </w:r>
          </w:p>
        </w:tc>
      </w:tr>
      <w:tr w:rsidR="00294287" w:rsidRPr="00294287" w14:paraId="66BAFAB1" w14:textId="77777777" w:rsidTr="00706B73">
        <w:tc>
          <w:tcPr>
            <w:tcW w:w="0" w:type="auto"/>
            <w:vAlign w:val="center"/>
            <w:hideMark/>
          </w:tcPr>
          <w:p w14:paraId="030766D2"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1</w:t>
            </w:r>
          </w:p>
        </w:tc>
        <w:tc>
          <w:tcPr>
            <w:tcW w:w="0" w:type="auto"/>
            <w:vAlign w:val="center"/>
            <w:hideMark/>
          </w:tcPr>
          <w:p w14:paraId="4E0041EE"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Cement Production</w:t>
            </w:r>
          </w:p>
        </w:tc>
        <w:tc>
          <w:tcPr>
            <w:tcW w:w="0" w:type="auto"/>
            <w:vAlign w:val="center"/>
            <w:hideMark/>
          </w:tcPr>
          <w:p w14:paraId="7AEE37C7"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6,783,539</w:t>
            </w:r>
          </w:p>
        </w:tc>
        <w:tc>
          <w:tcPr>
            <w:tcW w:w="0" w:type="auto"/>
            <w:vAlign w:val="center"/>
            <w:hideMark/>
          </w:tcPr>
          <w:p w14:paraId="1FDEC8DA"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7,461,518</w:t>
            </w:r>
          </w:p>
        </w:tc>
        <w:tc>
          <w:tcPr>
            <w:tcW w:w="0" w:type="auto"/>
            <w:vAlign w:val="center"/>
            <w:hideMark/>
          </w:tcPr>
          <w:p w14:paraId="40CC1AE7"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68%</w:t>
            </w:r>
          </w:p>
        </w:tc>
        <w:tc>
          <w:tcPr>
            <w:tcW w:w="0" w:type="auto"/>
            <w:vAlign w:val="center"/>
            <w:hideMark/>
          </w:tcPr>
          <w:p w14:paraId="7130E33C"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71%</w:t>
            </w:r>
          </w:p>
        </w:tc>
        <w:tc>
          <w:tcPr>
            <w:tcW w:w="0" w:type="auto"/>
            <w:vAlign w:val="center"/>
            <w:hideMark/>
          </w:tcPr>
          <w:p w14:paraId="7B8A7465"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c>
          <w:tcPr>
            <w:tcW w:w="0" w:type="auto"/>
            <w:vAlign w:val="center"/>
            <w:hideMark/>
          </w:tcPr>
          <w:p w14:paraId="09A053C9"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r>
      <w:tr w:rsidR="00294287" w:rsidRPr="00294287" w14:paraId="3E97F7B3" w14:textId="77777777" w:rsidTr="00706B73">
        <w:tc>
          <w:tcPr>
            <w:tcW w:w="0" w:type="auto"/>
            <w:vAlign w:val="center"/>
            <w:hideMark/>
          </w:tcPr>
          <w:p w14:paraId="2E304CBE"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2</w:t>
            </w:r>
          </w:p>
        </w:tc>
        <w:tc>
          <w:tcPr>
            <w:tcW w:w="0" w:type="auto"/>
            <w:vAlign w:val="center"/>
            <w:hideMark/>
          </w:tcPr>
          <w:p w14:paraId="0DFCD2D8"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Non-Cement Production</w:t>
            </w:r>
          </w:p>
        </w:tc>
        <w:tc>
          <w:tcPr>
            <w:tcW w:w="0" w:type="auto"/>
            <w:vAlign w:val="center"/>
            <w:hideMark/>
          </w:tcPr>
          <w:p w14:paraId="37315653"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3,201,366</w:t>
            </w:r>
          </w:p>
        </w:tc>
        <w:tc>
          <w:tcPr>
            <w:tcW w:w="0" w:type="auto"/>
            <w:vAlign w:val="center"/>
            <w:hideMark/>
          </w:tcPr>
          <w:p w14:paraId="7AC98E48"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3,096,338</w:t>
            </w:r>
          </w:p>
        </w:tc>
        <w:tc>
          <w:tcPr>
            <w:tcW w:w="0" w:type="auto"/>
            <w:vAlign w:val="center"/>
            <w:hideMark/>
          </w:tcPr>
          <w:p w14:paraId="21646216"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32%</w:t>
            </w:r>
          </w:p>
        </w:tc>
        <w:tc>
          <w:tcPr>
            <w:tcW w:w="0" w:type="auto"/>
            <w:vAlign w:val="center"/>
            <w:hideMark/>
          </w:tcPr>
          <w:p w14:paraId="23139845"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29%</w:t>
            </w:r>
          </w:p>
        </w:tc>
        <w:tc>
          <w:tcPr>
            <w:tcW w:w="0" w:type="auto"/>
            <w:vAlign w:val="center"/>
            <w:hideMark/>
          </w:tcPr>
          <w:p w14:paraId="41C56456"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c>
          <w:tcPr>
            <w:tcW w:w="0" w:type="auto"/>
            <w:vAlign w:val="center"/>
            <w:hideMark/>
          </w:tcPr>
          <w:p w14:paraId="4CA705D7"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r>
      <w:tr w:rsidR="00294287" w:rsidRPr="00A34265" w14:paraId="5A28576F" w14:textId="77777777" w:rsidTr="00706B73">
        <w:tc>
          <w:tcPr>
            <w:tcW w:w="0" w:type="auto"/>
            <w:vAlign w:val="center"/>
            <w:hideMark/>
          </w:tcPr>
          <w:p w14:paraId="67066BC3" w14:textId="77777777" w:rsidR="00924CE7" w:rsidRPr="00924CE7" w:rsidRDefault="00924CE7" w:rsidP="00706B73">
            <w:pPr>
              <w:jc w:val="center"/>
              <w:rPr>
                <w:rFonts w:ascii="Arial" w:hAnsi="Arial" w:cs="Arial"/>
                <w:b/>
                <w:bCs/>
                <w:sz w:val="16"/>
                <w:szCs w:val="16"/>
                <w:lang w:val="en-ID"/>
              </w:rPr>
            </w:pPr>
          </w:p>
        </w:tc>
        <w:tc>
          <w:tcPr>
            <w:tcW w:w="0" w:type="auto"/>
            <w:vAlign w:val="center"/>
            <w:hideMark/>
          </w:tcPr>
          <w:p w14:paraId="7C60FA98"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Total Revenue</w:t>
            </w:r>
          </w:p>
        </w:tc>
        <w:tc>
          <w:tcPr>
            <w:tcW w:w="0" w:type="auto"/>
            <w:vAlign w:val="center"/>
            <w:hideMark/>
          </w:tcPr>
          <w:p w14:paraId="2F7A827F"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9,984,905</w:t>
            </w:r>
          </w:p>
        </w:tc>
        <w:tc>
          <w:tcPr>
            <w:tcW w:w="0" w:type="auto"/>
            <w:vAlign w:val="center"/>
            <w:hideMark/>
          </w:tcPr>
          <w:p w14:paraId="09ECFD8F"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10,557,856</w:t>
            </w:r>
          </w:p>
        </w:tc>
        <w:tc>
          <w:tcPr>
            <w:tcW w:w="0" w:type="auto"/>
            <w:vAlign w:val="center"/>
            <w:hideMark/>
          </w:tcPr>
          <w:p w14:paraId="63C80BFF"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14:paraId="0C81268F"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14:paraId="51B0E529"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c>
          <w:tcPr>
            <w:tcW w:w="0" w:type="auto"/>
            <w:vAlign w:val="center"/>
            <w:hideMark/>
          </w:tcPr>
          <w:p w14:paraId="0A542BFE"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r>
      <w:tr w:rsidR="00207990" w:rsidRPr="00294287" w14:paraId="52296022" w14:textId="77777777" w:rsidTr="005645E9">
        <w:tc>
          <w:tcPr>
            <w:tcW w:w="0" w:type="auto"/>
            <w:gridSpan w:val="8"/>
          </w:tcPr>
          <w:p w14:paraId="58AF24F3" w14:textId="77777777" w:rsidR="00207990" w:rsidRPr="00924CE7" w:rsidRDefault="00A258D9" w:rsidP="00207990">
            <w:pPr>
              <w:jc w:val="center"/>
              <w:rPr>
                <w:rFonts w:ascii="Arial" w:hAnsi="Arial" w:cs="Arial"/>
                <w:b/>
                <w:bCs/>
                <w:sz w:val="16"/>
                <w:szCs w:val="16"/>
                <w:lang w:val="en-ID"/>
              </w:rPr>
            </w:pPr>
            <w:r w:rsidRPr="00207990">
              <w:rPr>
                <w:rFonts w:ascii="Arial" w:hAnsi="Arial" w:cs="Arial"/>
                <w:b/>
                <w:bCs/>
                <w:sz w:val="16"/>
                <w:szCs w:val="16"/>
                <w:lang w:val="en-ID"/>
              </w:rPr>
              <w:t>TEN PERCENT (10%) PROFIT OR LOSS TEST</w:t>
            </w:r>
          </w:p>
        </w:tc>
      </w:tr>
      <w:tr w:rsidR="00924CE7" w:rsidRPr="00294287" w14:paraId="6694F265" w14:textId="77777777" w:rsidTr="005D1059">
        <w:tc>
          <w:tcPr>
            <w:tcW w:w="0" w:type="auto"/>
            <w:vAlign w:val="center"/>
            <w:hideMark/>
          </w:tcPr>
          <w:p w14:paraId="1859DABC"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14:paraId="4A2924BB"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Segment</w:t>
            </w:r>
          </w:p>
        </w:tc>
        <w:tc>
          <w:tcPr>
            <w:tcW w:w="0" w:type="auto"/>
            <w:vAlign w:val="center"/>
            <w:hideMark/>
          </w:tcPr>
          <w:p w14:paraId="2772E9E2"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Profit (Q1 2025)</w:t>
            </w:r>
          </w:p>
        </w:tc>
        <w:tc>
          <w:tcPr>
            <w:tcW w:w="0" w:type="auto"/>
            <w:vAlign w:val="center"/>
            <w:hideMark/>
          </w:tcPr>
          <w:p w14:paraId="7E8355AB"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Profit (Q1 2024)</w:t>
            </w:r>
          </w:p>
        </w:tc>
        <w:tc>
          <w:tcPr>
            <w:tcW w:w="0" w:type="auto"/>
            <w:vAlign w:val="center"/>
            <w:hideMark/>
          </w:tcPr>
          <w:p w14:paraId="0F7A87C5"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2025</w:t>
            </w:r>
          </w:p>
        </w:tc>
        <w:tc>
          <w:tcPr>
            <w:tcW w:w="0" w:type="auto"/>
            <w:vAlign w:val="center"/>
            <w:hideMark/>
          </w:tcPr>
          <w:p w14:paraId="6AB753C6"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2024</w:t>
            </w:r>
          </w:p>
        </w:tc>
        <w:tc>
          <w:tcPr>
            <w:tcW w:w="0" w:type="auto"/>
            <w:vAlign w:val="center"/>
            <w:hideMark/>
          </w:tcPr>
          <w:p w14:paraId="1615D083"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2025</w:t>
            </w:r>
          </w:p>
        </w:tc>
        <w:tc>
          <w:tcPr>
            <w:tcW w:w="0" w:type="auto"/>
            <w:vAlign w:val="center"/>
            <w:hideMark/>
          </w:tcPr>
          <w:p w14:paraId="5DECF58C"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2024</w:t>
            </w:r>
          </w:p>
        </w:tc>
      </w:tr>
      <w:tr w:rsidR="00924CE7" w:rsidRPr="00294287" w14:paraId="1977BF09" w14:textId="77777777" w:rsidTr="00706B73">
        <w:tc>
          <w:tcPr>
            <w:tcW w:w="0" w:type="auto"/>
            <w:vAlign w:val="center"/>
            <w:hideMark/>
          </w:tcPr>
          <w:p w14:paraId="7B23F42A"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w:t>
            </w:r>
          </w:p>
        </w:tc>
        <w:tc>
          <w:tcPr>
            <w:tcW w:w="0" w:type="auto"/>
            <w:vAlign w:val="center"/>
            <w:hideMark/>
          </w:tcPr>
          <w:p w14:paraId="2D5AE98B"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Cement Production</w:t>
            </w:r>
          </w:p>
        </w:tc>
        <w:tc>
          <w:tcPr>
            <w:tcW w:w="0" w:type="auto"/>
            <w:vAlign w:val="center"/>
            <w:hideMark/>
          </w:tcPr>
          <w:p w14:paraId="13BE3DC2"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68,137</w:t>
            </w:r>
          </w:p>
        </w:tc>
        <w:tc>
          <w:tcPr>
            <w:tcW w:w="0" w:type="auto"/>
            <w:vAlign w:val="center"/>
            <w:hideMark/>
          </w:tcPr>
          <w:p w14:paraId="0454012A"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457,230</w:t>
            </w:r>
          </w:p>
        </w:tc>
        <w:tc>
          <w:tcPr>
            <w:tcW w:w="0" w:type="auto"/>
            <w:vAlign w:val="center"/>
            <w:hideMark/>
          </w:tcPr>
          <w:p w14:paraId="25BD58E3"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186%</w:t>
            </w:r>
          </w:p>
        </w:tc>
        <w:tc>
          <w:tcPr>
            <w:tcW w:w="0" w:type="auto"/>
            <w:vAlign w:val="center"/>
            <w:hideMark/>
          </w:tcPr>
          <w:p w14:paraId="6C07D1E1"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105%</w:t>
            </w:r>
          </w:p>
        </w:tc>
        <w:tc>
          <w:tcPr>
            <w:tcW w:w="0" w:type="auto"/>
            <w:vAlign w:val="center"/>
            <w:hideMark/>
          </w:tcPr>
          <w:p w14:paraId="030BA7A4"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Yes</w:t>
            </w:r>
          </w:p>
        </w:tc>
        <w:tc>
          <w:tcPr>
            <w:tcW w:w="0" w:type="auto"/>
            <w:vAlign w:val="center"/>
            <w:hideMark/>
          </w:tcPr>
          <w:p w14:paraId="712AFEA4"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Yes</w:t>
            </w:r>
          </w:p>
        </w:tc>
      </w:tr>
      <w:tr w:rsidR="00924CE7" w:rsidRPr="00294287" w14:paraId="1DD4B97E" w14:textId="77777777" w:rsidTr="00706B73">
        <w:tc>
          <w:tcPr>
            <w:tcW w:w="0" w:type="auto"/>
            <w:vAlign w:val="center"/>
            <w:hideMark/>
          </w:tcPr>
          <w:p w14:paraId="21E88494"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2</w:t>
            </w:r>
          </w:p>
        </w:tc>
        <w:tc>
          <w:tcPr>
            <w:tcW w:w="0" w:type="auto"/>
            <w:vAlign w:val="center"/>
            <w:hideMark/>
          </w:tcPr>
          <w:p w14:paraId="7032E01A"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Non-Cement Production</w:t>
            </w:r>
          </w:p>
        </w:tc>
        <w:tc>
          <w:tcPr>
            <w:tcW w:w="0" w:type="auto"/>
            <w:vAlign w:val="center"/>
            <w:hideMark/>
          </w:tcPr>
          <w:p w14:paraId="6ACC4A71"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(31,540)</w:t>
            </w:r>
          </w:p>
        </w:tc>
        <w:tc>
          <w:tcPr>
            <w:tcW w:w="0" w:type="auto"/>
            <w:vAlign w:val="center"/>
            <w:hideMark/>
          </w:tcPr>
          <w:p w14:paraId="3A50BAC6"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(23,002)</w:t>
            </w:r>
          </w:p>
        </w:tc>
        <w:tc>
          <w:tcPr>
            <w:tcW w:w="0" w:type="auto"/>
            <w:vAlign w:val="center"/>
            <w:hideMark/>
          </w:tcPr>
          <w:p w14:paraId="461A2328"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-86%</w:t>
            </w:r>
          </w:p>
        </w:tc>
        <w:tc>
          <w:tcPr>
            <w:tcW w:w="0" w:type="auto"/>
            <w:vAlign w:val="center"/>
            <w:hideMark/>
          </w:tcPr>
          <w:p w14:paraId="73C39E94"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-5%</w:t>
            </w:r>
          </w:p>
        </w:tc>
        <w:tc>
          <w:tcPr>
            <w:tcW w:w="0" w:type="auto"/>
            <w:vAlign w:val="center"/>
            <w:hideMark/>
          </w:tcPr>
          <w:p w14:paraId="32A786EE"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14:paraId="5FF03957"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No</w:t>
            </w:r>
          </w:p>
        </w:tc>
      </w:tr>
      <w:tr w:rsidR="00924CE7" w:rsidRPr="00294287" w14:paraId="0379B200" w14:textId="77777777" w:rsidTr="00706B73">
        <w:tc>
          <w:tcPr>
            <w:tcW w:w="0" w:type="auto"/>
            <w:vAlign w:val="center"/>
            <w:hideMark/>
          </w:tcPr>
          <w:p w14:paraId="04DCC60F" w14:textId="77777777" w:rsidR="00924CE7" w:rsidRPr="00924CE7" w:rsidRDefault="00924CE7" w:rsidP="00706B73">
            <w:pPr>
              <w:jc w:val="center"/>
              <w:rPr>
                <w:rFonts w:ascii="Arial" w:hAnsi="Arial" w:cs="Arial"/>
                <w:b/>
                <w:bCs/>
                <w:sz w:val="16"/>
                <w:szCs w:val="16"/>
                <w:lang w:val="en-ID"/>
              </w:rPr>
            </w:pPr>
          </w:p>
        </w:tc>
        <w:tc>
          <w:tcPr>
            <w:tcW w:w="0" w:type="auto"/>
            <w:vAlign w:val="center"/>
            <w:hideMark/>
          </w:tcPr>
          <w:p w14:paraId="24A6D22B"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Total Profit/Loss</w:t>
            </w:r>
          </w:p>
        </w:tc>
        <w:tc>
          <w:tcPr>
            <w:tcW w:w="0" w:type="auto"/>
            <w:vAlign w:val="center"/>
            <w:hideMark/>
          </w:tcPr>
          <w:p w14:paraId="2ED96F40"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36,597</w:t>
            </w:r>
          </w:p>
        </w:tc>
        <w:tc>
          <w:tcPr>
            <w:tcW w:w="0" w:type="auto"/>
            <w:vAlign w:val="center"/>
            <w:hideMark/>
          </w:tcPr>
          <w:p w14:paraId="668DA37E"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434,228</w:t>
            </w:r>
          </w:p>
        </w:tc>
        <w:tc>
          <w:tcPr>
            <w:tcW w:w="0" w:type="auto"/>
            <w:vAlign w:val="center"/>
            <w:hideMark/>
          </w:tcPr>
          <w:p w14:paraId="62C61048"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14:paraId="636B8F7E"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14:paraId="306CBFD9"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c>
          <w:tcPr>
            <w:tcW w:w="0" w:type="auto"/>
            <w:vAlign w:val="center"/>
            <w:hideMark/>
          </w:tcPr>
          <w:p w14:paraId="5708B0F6"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r>
      <w:tr w:rsidR="005D1059" w:rsidRPr="00294287" w14:paraId="31F186BE" w14:textId="77777777" w:rsidTr="00CF48D3">
        <w:tc>
          <w:tcPr>
            <w:tcW w:w="0" w:type="auto"/>
            <w:gridSpan w:val="8"/>
          </w:tcPr>
          <w:p w14:paraId="6EAE5B4D" w14:textId="77777777" w:rsidR="005D1059" w:rsidRPr="00924CE7" w:rsidRDefault="00A258D9" w:rsidP="008A66D0">
            <w:pPr>
              <w:jc w:val="center"/>
              <w:rPr>
                <w:rFonts w:ascii="Arial" w:hAnsi="Arial" w:cs="Arial"/>
                <w:b/>
                <w:bCs/>
                <w:sz w:val="16"/>
                <w:szCs w:val="16"/>
                <w:lang w:val="en-ID"/>
              </w:rPr>
            </w:pPr>
            <w:r w:rsidRPr="005D1059">
              <w:rPr>
                <w:rFonts w:ascii="Arial" w:hAnsi="Arial" w:cs="Arial"/>
                <w:b/>
                <w:bCs/>
                <w:sz w:val="16"/>
                <w:szCs w:val="16"/>
                <w:lang w:val="en-ID"/>
              </w:rPr>
              <w:t>TEN PERCENT (10%) ASSETS TEST</w:t>
            </w:r>
          </w:p>
        </w:tc>
      </w:tr>
      <w:tr w:rsidR="00924CE7" w:rsidRPr="00294287" w14:paraId="22DE407F" w14:textId="77777777" w:rsidTr="005D1059">
        <w:tc>
          <w:tcPr>
            <w:tcW w:w="0" w:type="auto"/>
            <w:vAlign w:val="center"/>
            <w:hideMark/>
          </w:tcPr>
          <w:p w14:paraId="19CB04E9"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14:paraId="1C8828FA"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Segment</w:t>
            </w:r>
          </w:p>
        </w:tc>
        <w:tc>
          <w:tcPr>
            <w:tcW w:w="0" w:type="auto"/>
            <w:vAlign w:val="center"/>
            <w:hideMark/>
          </w:tcPr>
          <w:p w14:paraId="2E98B97E"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Assets (Q1 2025)</w:t>
            </w:r>
          </w:p>
        </w:tc>
        <w:tc>
          <w:tcPr>
            <w:tcW w:w="0" w:type="auto"/>
            <w:vAlign w:val="center"/>
            <w:hideMark/>
          </w:tcPr>
          <w:p w14:paraId="3410D2DE"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Assets (Q1 2024)</w:t>
            </w:r>
          </w:p>
        </w:tc>
        <w:tc>
          <w:tcPr>
            <w:tcW w:w="0" w:type="auto"/>
            <w:vAlign w:val="center"/>
            <w:hideMark/>
          </w:tcPr>
          <w:p w14:paraId="04765C0E"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2025</w:t>
            </w:r>
          </w:p>
        </w:tc>
        <w:tc>
          <w:tcPr>
            <w:tcW w:w="0" w:type="auto"/>
            <w:vAlign w:val="center"/>
            <w:hideMark/>
          </w:tcPr>
          <w:p w14:paraId="4BB62A8D"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2024</w:t>
            </w:r>
          </w:p>
        </w:tc>
        <w:tc>
          <w:tcPr>
            <w:tcW w:w="0" w:type="auto"/>
            <w:vAlign w:val="center"/>
            <w:hideMark/>
          </w:tcPr>
          <w:p w14:paraId="268B362C"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2025</w:t>
            </w:r>
          </w:p>
        </w:tc>
        <w:tc>
          <w:tcPr>
            <w:tcW w:w="0" w:type="auto"/>
            <w:vAlign w:val="center"/>
            <w:hideMark/>
          </w:tcPr>
          <w:p w14:paraId="45A9EC62" w14:textId="77777777"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2024</w:t>
            </w:r>
          </w:p>
        </w:tc>
      </w:tr>
      <w:tr w:rsidR="00924CE7" w:rsidRPr="00294287" w14:paraId="28D19D7A" w14:textId="77777777" w:rsidTr="00706B73">
        <w:tc>
          <w:tcPr>
            <w:tcW w:w="0" w:type="auto"/>
            <w:vAlign w:val="center"/>
            <w:hideMark/>
          </w:tcPr>
          <w:p w14:paraId="435D1A42"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1</w:t>
            </w:r>
          </w:p>
        </w:tc>
        <w:tc>
          <w:tcPr>
            <w:tcW w:w="0" w:type="auto"/>
            <w:vAlign w:val="center"/>
            <w:hideMark/>
          </w:tcPr>
          <w:p w14:paraId="65C532D0"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Cement Production</w:t>
            </w:r>
          </w:p>
        </w:tc>
        <w:tc>
          <w:tcPr>
            <w:tcW w:w="0" w:type="auto"/>
            <w:vAlign w:val="center"/>
            <w:hideMark/>
          </w:tcPr>
          <w:p w14:paraId="593B316C"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80,722,543</w:t>
            </w:r>
          </w:p>
        </w:tc>
        <w:tc>
          <w:tcPr>
            <w:tcW w:w="0" w:type="auto"/>
            <w:vAlign w:val="center"/>
            <w:hideMark/>
          </w:tcPr>
          <w:p w14:paraId="4EE3F099"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84,531,356</w:t>
            </w:r>
          </w:p>
        </w:tc>
        <w:tc>
          <w:tcPr>
            <w:tcW w:w="0" w:type="auto"/>
            <w:vAlign w:val="center"/>
            <w:hideMark/>
          </w:tcPr>
          <w:p w14:paraId="1991FACC"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93%</w:t>
            </w:r>
          </w:p>
        </w:tc>
        <w:tc>
          <w:tcPr>
            <w:tcW w:w="0" w:type="auto"/>
            <w:vAlign w:val="center"/>
            <w:hideMark/>
          </w:tcPr>
          <w:p w14:paraId="104F1617"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93%</w:t>
            </w:r>
          </w:p>
        </w:tc>
        <w:tc>
          <w:tcPr>
            <w:tcW w:w="0" w:type="auto"/>
            <w:vAlign w:val="center"/>
            <w:hideMark/>
          </w:tcPr>
          <w:p w14:paraId="450F29C0"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c>
          <w:tcPr>
            <w:tcW w:w="0" w:type="auto"/>
            <w:vAlign w:val="center"/>
            <w:hideMark/>
          </w:tcPr>
          <w:p w14:paraId="71C189D5"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r>
      <w:tr w:rsidR="00924CE7" w:rsidRPr="00294287" w14:paraId="0B729E7C" w14:textId="77777777" w:rsidTr="00706B73">
        <w:tc>
          <w:tcPr>
            <w:tcW w:w="0" w:type="auto"/>
            <w:vAlign w:val="center"/>
            <w:hideMark/>
          </w:tcPr>
          <w:p w14:paraId="0C9316C8"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2</w:t>
            </w:r>
          </w:p>
        </w:tc>
        <w:tc>
          <w:tcPr>
            <w:tcW w:w="0" w:type="auto"/>
            <w:vAlign w:val="center"/>
            <w:hideMark/>
          </w:tcPr>
          <w:p w14:paraId="01DDB8BF"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Non-Cement Production</w:t>
            </w:r>
          </w:p>
        </w:tc>
        <w:tc>
          <w:tcPr>
            <w:tcW w:w="0" w:type="auto"/>
            <w:vAlign w:val="center"/>
            <w:hideMark/>
          </w:tcPr>
          <w:p w14:paraId="320532CE"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6,341,280</w:t>
            </w:r>
          </w:p>
        </w:tc>
        <w:tc>
          <w:tcPr>
            <w:tcW w:w="0" w:type="auto"/>
            <w:vAlign w:val="center"/>
            <w:hideMark/>
          </w:tcPr>
          <w:p w14:paraId="0C7AE441"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5,980,934</w:t>
            </w:r>
          </w:p>
        </w:tc>
        <w:tc>
          <w:tcPr>
            <w:tcW w:w="0" w:type="auto"/>
            <w:vAlign w:val="center"/>
            <w:hideMark/>
          </w:tcPr>
          <w:p w14:paraId="61934CCE"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w:t>
            </w:r>
          </w:p>
        </w:tc>
        <w:tc>
          <w:tcPr>
            <w:tcW w:w="0" w:type="auto"/>
            <w:vAlign w:val="center"/>
            <w:hideMark/>
          </w:tcPr>
          <w:p w14:paraId="6AF667B4"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w:t>
            </w:r>
          </w:p>
        </w:tc>
        <w:tc>
          <w:tcPr>
            <w:tcW w:w="0" w:type="auto"/>
            <w:vAlign w:val="center"/>
            <w:hideMark/>
          </w:tcPr>
          <w:p w14:paraId="09F561AD"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w:t>
            </w:r>
          </w:p>
        </w:tc>
        <w:tc>
          <w:tcPr>
            <w:tcW w:w="0" w:type="auto"/>
            <w:vAlign w:val="center"/>
            <w:hideMark/>
          </w:tcPr>
          <w:p w14:paraId="25B0D1F0" w14:textId="77777777"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w:t>
            </w:r>
          </w:p>
        </w:tc>
      </w:tr>
      <w:tr w:rsidR="00924CE7" w:rsidRPr="00A34265" w14:paraId="2C0F01F3" w14:textId="77777777" w:rsidTr="00706B73">
        <w:tc>
          <w:tcPr>
            <w:tcW w:w="0" w:type="auto"/>
            <w:vAlign w:val="center"/>
            <w:hideMark/>
          </w:tcPr>
          <w:p w14:paraId="4736BAA9" w14:textId="77777777" w:rsidR="00924CE7" w:rsidRPr="00924CE7" w:rsidRDefault="00924CE7" w:rsidP="00706B73">
            <w:pPr>
              <w:jc w:val="center"/>
              <w:rPr>
                <w:rFonts w:ascii="Arial" w:hAnsi="Arial" w:cs="Arial"/>
                <w:b/>
                <w:bCs/>
                <w:sz w:val="16"/>
                <w:szCs w:val="16"/>
                <w:lang w:val="en-ID"/>
              </w:rPr>
            </w:pPr>
          </w:p>
        </w:tc>
        <w:tc>
          <w:tcPr>
            <w:tcW w:w="0" w:type="auto"/>
            <w:vAlign w:val="center"/>
            <w:hideMark/>
          </w:tcPr>
          <w:p w14:paraId="19A3C767"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Total Assets</w:t>
            </w:r>
          </w:p>
        </w:tc>
        <w:tc>
          <w:tcPr>
            <w:tcW w:w="0" w:type="auto"/>
            <w:vAlign w:val="center"/>
            <w:hideMark/>
          </w:tcPr>
          <w:p w14:paraId="3B25845F"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87,063,823</w:t>
            </w:r>
          </w:p>
        </w:tc>
        <w:tc>
          <w:tcPr>
            <w:tcW w:w="0" w:type="auto"/>
            <w:vAlign w:val="center"/>
            <w:hideMark/>
          </w:tcPr>
          <w:p w14:paraId="29541511"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90,512,290</w:t>
            </w:r>
          </w:p>
        </w:tc>
        <w:tc>
          <w:tcPr>
            <w:tcW w:w="0" w:type="auto"/>
            <w:vAlign w:val="center"/>
            <w:hideMark/>
          </w:tcPr>
          <w:p w14:paraId="19B8FDE0"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14:paraId="68F045E7"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14:paraId="64B68C5A"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c>
          <w:tcPr>
            <w:tcW w:w="0" w:type="auto"/>
            <w:vAlign w:val="center"/>
            <w:hideMark/>
          </w:tcPr>
          <w:p w14:paraId="4A3345F1" w14:textId="77777777"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r>
    </w:tbl>
    <w:p w14:paraId="56CA811F" w14:textId="77777777" w:rsidR="001B6CE9" w:rsidRDefault="001B6CE9" w:rsidP="00162E04">
      <w:pPr>
        <w:pStyle w:val="Body"/>
        <w:rPr>
          <w:rFonts w:ascii="Arial" w:hAnsi="Arial" w:cs="Arial"/>
        </w:rPr>
      </w:pPr>
    </w:p>
    <w:p w14:paraId="31C864CB" w14:textId="77777777" w:rsidR="00162E04" w:rsidRDefault="00162E04" w:rsidP="00162E04">
      <w:pPr>
        <w:pStyle w:val="Body"/>
        <w:rPr>
          <w:rFonts w:ascii="Arial" w:hAnsi="Arial" w:cs="Arial"/>
        </w:rPr>
      </w:pPr>
      <w:r w:rsidRPr="00162E04">
        <w:rPr>
          <w:rFonts w:ascii="Arial" w:hAnsi="Arial" w:cs="Arial"/>
        </w:rPr>
        <w:t>This segment’s dominant contribution, comprising 68–71% of revenue, 186–105% of total profits, and 93% of total assets, underscores its classification as a primary reportable segment under PSAK 108.</w:t>
      </w:r>
      <w:r>
        <w:rPr>
          <w:rFonts w:ascii="Arial" w:hAnsi="Arial" w:cs="Arial"/>
        </w:rPr>
        <w:t xml:space="preserve"> </w:t>
      </w:r>
      <w:r w:rsidRPr="00162E04">
        <w:rPr>
          <w:rFonts w:ascii="Arial" w:hAnsi="Arial" w:cs="Arial"/>
        </w:rPr>
        <w:t>Conversely, the Non-Cement Production segment satisfies only the 10% revenue criterion. While it contributes a meaningful 29–32% share of total revenue, its negative or low profit results and relatively small asset base (only 7% of total assets) prevent it from qualifying under the profit/loss or asset tests. Nonetheless, because it surpasses the revenue threshold, it is still required to be disclosed as a reportable segment.</w:t>
      </w:r>
      <w:r w:rsidR="00684F4C">
        <w:rPr>
          <w:rFonts w:ascii="Arial" w:hAnsi="Arial" w:cs="Arial"/>
        </w:rPr>
        <w:t xml:space="preserve"> </w:t>
      </w:r>
      <w:r w:rsidRPr="00162E04">
        <w:rPr>
          <w:rFonts w:ascii="Arial" w:hAnsi="Arial" w:cs="Arial"/>
        </w:rPr>
        <w:t xml:space="preserve">Finally, when considering the 75% combined revenue coverage requirement, the two identified segments collectively represent 100% of total consolidated revenue. Therefore, no additional operating segments must be disclosed. The quantitative evaluation confirms that the current segment classification aligns with PSAK 108’s materiality principles and ensures comprehensive, relevant, and decision-useful segment reporting. </w:t>
      </w:r>
    </w:p>
    <w:p w14:paraId="6FCF941D" w14:textId="77777777" w:rsidR="00EB3A1E" w:rsidRPr="00501AEE" w:rsidRDefault="00EB3A1E" w:rsidP="00EB3A1E">
      <w:pPr>
        <w:pStyle w:val="Body"/>
        <w:spacing w:after="0"/>
        <w:rPr>
          <w:rFonts w:ascii="Arial" w:hAnsi="Arial" w:cs="Arial"/>
          <w:b/>
          <w:bCs/>
        </w:rPr>
      </w:pPr>
      <w:r w:rsidRPr="00501AEE">
        <w:rPr>
          <w:rFonts w:ascii="Arial" w:hAnsi="Arial" w:cs="Arial"/>
          <w:b/>
          <w:bCs/>
        </w:rPr>
        <w:t>3.</w:t>
      </w:r>
      <w:r w:rsidR="004239E7" w:rsidRPr="00501AEE">
        <w:rPr>
          <w:rFonts w:ascii="Arial" w:hAnsi="Arial" w:cs="Arial"/>
          <w:b/>
          <w:bCs/>
        </w:rPr>
        <w:t>4</w:t>
      </w:r>
      <w:r w:rsidRPr="00501AEE">
        <w:rPr>
          <w:rFonts w:ascii="Arial" w:hAnsi="Arial" w:cs="Arial"/>
          <w:b/>
          <w:bCs/>
        </w:rPr>
        <w:t xml:space="preserve"> </w:t>
      </w:r>
      <w:r w:rsidR="00AC0297" w:rsidRPr="00501AEE">
        <w:rPr>
          <w:rFonts w:ascii="Arial" w:hAnsi="Arial" w:cs="Arial"/>
          <w:b/>
          <w:bCs/>
        </w:rPr>
        <w:t>Compliance with IFRS 8 &amp; IAS 34</w:t>
      </w:r>
    </w:p>
    <w:p w14:paraId="09720A9C" w14:textId="77777777" w:rsidR="00EB3A1E" w:rsidRDefault="00EB3A1E" w:rsidP="00EB3A1E">
      <w:pPr>
        <w:pStyle w:val="Body"/>
        <w:spacing w:after="0"/>
        <w:rPr>
          <w:rFonts w:ascii="Arial" w:hAnsi="Arial" w:cs="Arial"/>
        </w:rPr>
      </w:pPr>
    </w:p>
    <w:p w14:paraId="770DAFB3" w14:textId="77777777" w:rsidR="00EB3A1E" w:rsidRDefault="00E8715E" w:rsidP="00EB3A1E">
      <w:pPr>
        <w:pStyle w:val="Body"/>
        <w:spacing w:after="0"/>
        <w:rPr>
          <w:rFonts w:ascii="Arial" w:hAnsi="Arial" w:cs="Arial"/>
        </w:rPr>
      </w:pPr>
      <w:r w:rsidRPr="00E8715E">
        <w:rPr>
          <w:rFonts w:ascii="Arial" w:hAnsi="Arial" w:cs="Arial"/>
        </w:rPr>
        <w:t xml:space="preserve">The assessment of </w:t>
      </w:r>
      <w:r w:rsidR="00B31828" w:rsidRPr="00B31828">
        <w:rPr>
          <w:rFonts w:ascii="Arial" w:hAnsi="Arial" w:cs="Arial"/>
        </w:rPr>
        <w:t xml:space="preserve">X Manufacturing </w:t>
      </w:r>
      <w:r w:rsidRPr="00E8715E">
        <w:rPr>
          <w:rFonts w:ascii="Arial" w:hAnsi="Arial" w:cs="Arial"/>
        </w:rPr>
        <w:t>adherence to IFRS 8 Operating Segments and IAS 34 Interim Financial Reporting is particularly relevant given the company’s position as a multinational corporate entity. Compliance with these international standards is expected to enhance the quality, comparability, and transparency of financial reporting for both domestic and international investors. As noted by Scott (2015), comprehensive and timely disclosure plays a critical role in reducing information asymmetry, thereby improving decision-usefulness for stakeholders.</w:t>
      </w:r>
    </w:p>
    <w:p w14:paraId="631A6C99" w14:textId="77777777" w:rsidR="00E8715E" w:rsidRDefault="00E8715E" w:rsidP="00EB3A1E">
      <w:pPr>
        <w:pStyle w:val="Body"/>
        <w:spacing w:after="0"/>
        <w:rPr>
          <w:rFonts w:ascii="Arial" w:hAnsi="Arial" w:cs="Arial"/>
        </w:rPr>
      </w:pPr>
    </w:p>
    <w:p w14:paraId="07C50C1E" w14:textId="77777777" w:rsidR="000512AC" w:rsidRDefault="000512AC">
      <w:pPr>
        <w:rPr>
          <w:rFonts w:ascii="Arial" w:hAnsi="Arial" w:cs="Arial"/>
          <w:b/>
          <w:bCs/>
        </w:rPr>
      </w:pPr>
      <w:r>
        <w:rPr>
          <w:rFonts w:ascii="Arial" w:hAnsi="Arial" w:cs="Arial"/>
          <w:b/>
          <w:bCs/>
        </w:rPr>
        <w:br w:type="page"/>
      </w:r>
    </w:p>
    <w:p w14:paraId="2D6E88E8" w14:textId="77777777" w:rsidR="00494133" w:rsidRPr="00F54187" w:rsidRDefault="00494133" w:rsidP="00494133">
      <w:pPr>
        <w:pStyle w:val="Body"/>
        <w:rPr>
          <w:rFonts w:ascii="Arial" w:hAnsi="Arial" w:cs="Arial"/>
          <w:b/>
          <w:bCs/>
        </w:rPr>
      </w:pPr>
      <w:r w:rsidRPr="00F54187">
        <w:rPr>
          <w:rFonts w:ascii="Arial" w:hAnsi="Arial" w:cs="Arial"/>
          <w:b/>
          <w:bCs/>
        </w:rPr>
        <w:lastRenderedPageBreak/>
        <w:t xml:space="preserve">3.4.1 Review of </w:t>
      </w:r>
      <w:r w:rsidR="00524F4E" w:rsidRPr="00524F4E">
        <w:rPr>
          <w:rFonts w:ascii="Arial" w:hAnsi="Arial" w:cs="Arial"/>
          <w:b/>
          <w:bCs/>
        </w:rPr>
        <w:t>X Manufacturing</w:t>
      </w:r>
      <w:r w:rsidRPr="00F54187">
        <w:rPr>
          <w:rFonts w:ascii="Arial" w:hAnsi="Arial" w:cs="Arial"/>
          <w:b/>
          <w:bCs/>
        </w:rPr>
        <w:t>’s Financial Statements in Relation to IFRS 8</w:t>
      </w:r>
    </w:p>
    <w:p w14:paraId="0486F3FE" w14:textId="77777777" w:rsidR="00E8715E" w:rsidRDefault="00494133" w:rsidP="00494133">
      <w:pPr>
        <w:pStyle w:val="Body"/>
        <w:spacing w:after="0"/>
        <w:rPr>
          <w:rFonts w:ascii="Arial" w:hAnsi="Arial" w:cs="Arial"/>
        </w:rPr>
      </w:pPr>
      <w:r w:rsidRPr="00494133">
        <w:rPr>
          <w:rFonts w:ascii="Arial" w:hAnsi="Arial" w:cs="Arial"/>
        </w:rPr>
        <w:t>IFRS 8 paragraphs 20–21 require entities to disclose segment information that enables stakeholders to evaluate the nature and financial effects of their business activities across different economic environments. This includes providing reconciliations between the aggregated financial information of reportable segments and the entity’s overall financial statements at each reporting date. Additionally, the requirements under IFRS 8 paragraph 22 guide the disclosure of general segment information.</w:t>
      </w:r>
    </w:p>
    <w:p w14:paraId="484B043B" w14:textId="77777777" w:rsidR="000512AC" w:rsidRDefault="000512AC" w:rsidP="00F54187">
      <w:pPr>
        <w:pStyle w:val="Body"/>
        <w:spacing w:after="0"/>
        <w:jc w:val="center"/>
        <w:rPr>
          <w:rFonts w:ascii="Arial" w:hAnsi="Arial" w:cs="Arial"/>
          <w:b/>
          <w:bCs/>
        </w:rPr>
      </w:pPr>
    </w:p>
    <w:p w14:paraId="00EE24AD" w14:textId="1461A4B8" w:rsidR="00494133" w:rsidRPr="007211C4" w:rsidRDefault="00494133" w:rsidP="00F54187">
      <w:pPr>
        <w:pStyle w:val="Body"/>
        <w:spacing w:after="0"/>
        <w:jc w:val="center"/>
        <w:rPr>
          <w:rFonts w:ascii="Arial" w:hAnsi="Arial" w:cs="Arial"/>
          <w:b/>
          <w:bCs/>
        </w:rPr>
      </w:pPr>
      <w:r w:rsidRPr="007211C4">
        <w:rPr>
          <w:rFonts w:ascii="Arial" w:hAnsi="Arial" w:cs="Arial"/>
          <w:b/>
          <w:bCs/>
        </w:rPr>
        <w:t xml:space="preserve">Table </w:t>
      </w:r>
      <w:r w:rsidR="0005237A">
        <w:rPr>
          <w:rFonts w:ascii="Arial" w:hAnsi="Arial" w:cs="Arial"/>
          <w:b/>
          <w:bCs/>
        </w:rPr>
        <w:t>5</w:t>
      </w:r>
      <w:r w:rsidRPr="007211C4">
        <w:rPr>
          <w:rFonts w:ascii="Arial" w:hAnsi="Arial" w:cs="Arial"/>
          <w:b/>
          <w:bCs/>
        </w:rPr>
        <w:t xml:space="preserve">. Compliance of </w:t>
      </w:r>
      <w:r w:rsidR="00B31828" w:rsidRPr="00B31828">
        <w:rPr>
          <w:rFonts w:ascii="Arial" w:hAnsi="Arial" w:cs="Arial"/>
          <w:b/>
          <w:bCs/>
        </w:rPr>
        <w:t xml:space="preserve">X Manufacturing </w:t>
      </w:r>
      <w:r w:rsidRPr="007211C4">
        <w:rPr>
          <w:rFonts w:ascii="Arial" w:hAnsi="Arial" w:cs="Arial"/>
          <w:b/>
          <w:bCs/>
        </w:rPr>
        <w:t>Operating Segment Disclosures with IFRS 8</w:t>
      </w:r>
    </w:p>
    <w:p w14:paraId="4B01C123" w14:textId="77777777" w:rsidR="00F54187" w:rsidRPr="007211C4" w:rsidRDefault="00F54187" w:rsidP="00F54187">
      <w:pPr>
        <w:pStyle w:val="Body"/>
        <w:spacing w:after="0"/>
        <w:jc w:val="center"/>
        <w:rPr>
          <w:rFonts w:ascii="Arial" w:hAnsi="Arial" w:cs="Arial"/>
          <w:b/>
          <w:bCs/>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2587"/>
        <w:gridCol w:w="7946"/>
      </w:tblGrid>
      <w:tr w:rsidR="00494133" w:rsidRPr="00494133" w14:paraId="5DAB10D4" w14:textId="77777777" w:rsidTr="00EA05D7">
        <w:tc>
          <w:tcPr>
            <w:tcW w:w="0" w:type="auto"/>
            <w:tcBorders>
              <w:top w:val="single" w:sz="4" w:space="0" w:color="auto"/>
              <w:bottom w:val="single" w:sz="4" w:space="0" w:color="auto"/>
            </w:tcBorders>
            <w:vAlign w:val="center"/>
            <w:hideMark/>
          </w:tcPr>
          <w:p w14:paraId="1D5B2FB7" w14:textId="77777777" w:rsidR="00494133" w:rsidRPr="00494133" w:rsidRDefault="00494133" w:rsidP="007211C4">
            <w:pPr>
              <w:jc w:val="center"/>
              <w:rPr>
                <w:rFonts w:ascii="Arial" w:hAnsi="Arial" w:cs="Arial"/>
                <w:b/>
                <w:bCs/>
                <w:lang w:val="en-ID"/>
              </w:rPr>
            </w:pPr>
            <w:r w:rsidRPr="00494133">
              <w:rPr>
                <w:rFonts w:ascii="Arial" w:hAnsi="Arial" w:cs="Arial"/>
                <w:b/>
                <w:bCs/>
                <w:lang w:val="en-ID"/>
              </w:rPr>
              <w:t>No</w:t>
            </w:r>
          </w:p>
        </w:tc>
        <w:tc>
          <w:tcPr>
            <w:tcW w:w="0" w:type="auto"/>
            <w:tcBorders>
              <w:top w:val="single" w:sz="4" w:space="0" w:color="auto"/>
              <w:bottom w:val="single" w:sz="4" w:space="0" w:color="auto"/>
            </w:tcBorders>
            <w:vAlign w:val="center"/>
            <w:hideMark/>
          </w:tcPr>
          <w:p w14:paraId="4E422FCF" w14:textId="77777777" w:rsidR="00494133" w:rsidRPr="00494133" w:rsidRDefault="00494133" w:rsidP="007211C4">
            <w:pPr>
              <w:jc w:val="center"/>
              <w:rPr>
                <w:rFonts w:ascii="Arial" w:hAnsi="Arial" w:cs="Arial"/>
                <w:b/>
                <w:bCs/>
                <w:lang w:val="en-ID"/>
              </w:rPr>
            </w:pPr>
            <w:r w:rsidRPr="00494133">
              <w:rPr>
                <w:rFonts w:ascii="Arial" w:hAnsi="Arial" w:cs="Arial"/>
                <w:b/>
                <w:bCs/>
                <w:lang w:val="en-ID"/>
              </w:rPr>
              <w:t>Criteria</w:t>
            </w:r>
          </w:p>
        </w:tc>
        <w:tc>
          <w:tcPr>
            <w:tcW w:w="0" w:type="auto"/>
            <w:tcBorders>
              <w:top w:val="single" w:sz="4" w:space="0" w:color="auto"/>
              <w:bottom w:val="single" w:sz="4" w:space="0" w:color="auto"/>
            </w:tcBorders>
            <w:hideMark/>
          </w:tcPr>
          <w:p w14:paraId="5C30F81B" w14:textId="77777777" w:rsidR="00494133" w:rsidRPr="00494133" w:rsidRDefault="00494133" w:rsidP="00494133">
            <w:pPr>
              <w:jc w:val="center"/>
              <w:rPr>
                <w:rFonts w:ascii="Arial" w:hAnsi="Arial" w:cs="Arial"/>
                <w:b/>
                <w:bCs/>
                <w:lang w:val="en-ID"/>
              </w:rPr>
            </w:pPr>
            <w:r w:rsidRPr="00494133">
              <w:rPr>
                <w:rFonts w:ascii="Arial" w:hAnsi="Arial" w:cs="Arial"/>
                <w:b/>
                <w:bCs/>
                <w:lang w:val="en-ID"/>
              </w:rPr>
              <w:t>Compliance with IFRS 8</w:t>
            </w:r>
          </w:p>
        </w:tc>
      </w:tr>
      <w:tr w:rsidR="00494133" w:rsidRPr="00494133" w14:paraId="1D928BB0" w14:textId="77777777" w:rsidTr="00EA05D7">
        <w:tc>
          <w:tcPr>
            <w:tcW w:w="0" w:type="auto"/>
            <w:tcBorders>
              <w:top w:val="single" w:sz="4" w:space="0" w:color="auto"/>
            </w:tcBorders>
            <w:vAlign w:val="center"/>
            <w:hideMark/>
          </w:tcPr>
          <w:p w14:paraId="06B179DF" w14:textId="77777777" w:rsidR="00494133" w:rsidRPr="00494133" w:rsidRDefault="00494133" w:rsidP="007211C4">
            <w:pPr>
              <w:jc w:val="center"/>
              <w:rPr>
                <w:rFonts w:ascii="Arial" w:hAnsi="Arial" w:cs="Arial"/>
                <w:lang w:val="en-ID"/>
              </w:rPr>
            </w:pPr>
            <w:r w:rsidRPr="00494133">
              <w:rPr>
                <w:rFonts w:ascii="Arial" w:hAnsi="Arial" w:cs="Arial"/>
                <w:lang w:val="en-ID"/>
              </w:rPr>
              <w:t>1</w:t>
            </w:r>
          </w:p>
        </w:tc>
        <w:tc>
          <w:tcPr>
            <w:tcW w:w="0" w:type="auto"/>
            <w:tcBorders>
              <w:top w:val="single" w:sz="4" w:space="0" w:color="auto"/>
            </w:tcBorders>
            <w:vAlign w:val="center"/>
            <w:hideMark/>
          </w:tcPr>
          <w:p w14:paraId="619D2638" w14:textId="77777777" w:rsidR="00494133" w:rsidRPr="00494133" w:rsidRDefault="00494133" w:rsidP="007211C4">
            <w:pPr>
              <w:jc w:val="center"/>
              <w:rPr>
                <w:rFonts w:ascii="Arial" w:hAnsi="Arial" w:cs="Arial"/>
                <w:lang w:val="en-ID"/>
              </w:rPr>
            </w:pPr>
            <w:r w:rsidRPr="00494133">
              <w:rPr>
                <w:rFonts w:ascii="Arial" w:hAnsi="Arial" w:cs="Arial"/>
                <w:lang w:val="en-ID"/>
              </w:rPr>
              <w:t>Factors used to identify reportable segments</w:t>
            </w:r>
          </w:p>
        </w:tc>
        <w:tc>
          <w:tcPr>
            <w:tcW w:w="0" w:type="auto"/>
            <w:tcBorders>
              <w:top w:val="single" w:sz="4" w:space="0" w:color="auto"/>
            </w:tcBorders>
            <w:hideMark/>
          </w:tcPr>
          <w:p w14:paraId="64D013C0" w14:textId="77777777" w:rsidR="00494133" w:rsidRPr="00494133" w:rsidRDefault="00494133" w:rsidP="00494133">
            <w:pPr>
              <w:rPr>
                <w:rFonts w:ascii="Arial" w:hAnsi="Arial" w:cs="Arial"/>
                <w:lang w:val="en-ID"/>
              </w:rPr>
            </w:pPr>
            <w:r w:rsidRPr="00494133">
              <w:rPr>
                <w:rFonts w:ascii="Arial" w:hAnsi="Arial" w:cs="Arial"/>
                <w:b/>
                <w:bCs/>
                <w:lang w:val="en-ID"/>
              </w:rPr>
              <w:t>Compliant.</w:t>
            </w:r>
            <w:r w:rsidRPr="00494133">
              <w:rPr>
                <w:rFonts w:ascii="Arial" w:hAnsi="Arial" w:cs="Arial"/>
                <w:lang w:val="en-ID"/>
              </w:rPr>
              <w:t xml:space="preserve"> The company identifies reportable segments based on the management approach, reflecting distinctions in operational activities and product categories. This is consistent with how management evaluates performance and allocates resources.</w:t>
            </w:r>
          </w:p>
        </w:tc>
      </w:tr>
      <w:tr w:rsidR="00494133" w:rsidRPr="00494133" w14:paraId="42342611" w14:textId="77777777" w:rsidTr="00EA05D7">
        <w:tc>
          <w:tcPr>
            <w:tcW w:w="0" w:type="auto"/>
            <w:vAlign w:val="center"/>
            <w:hideMark/>
          </w:tcPr>
          <w:p w14:paraId="1A0597BC" w14:textId="77777777" w:rsidR="00494133" w:rsidRPr="00494133" w:rsidRDefault="00494133" w:rsidP="007211C4">
            <w:pPr>
              <w:jc w:val="center"/>
              <w:rPr>
                <w:rFonts w:ascii="Arial" w:hAnsi="Arial" w:cs="Arial"/>
                <w:lang w:val="en-ID"/>
              </w:rPr>
            </w:pPr>
            <w:r w:rsidRPr="00494133">
              <w:rPr>
                <w:rFonts w:ascii="Arial" w:hAnsi="Arial" w:cs="Arial"/>
                <w:lang w:val="en-ID"/>
              </w:rPr>
              <w:t>2</w:t>
            </w:r>
          </w:p>
        </w:tc>
        <w:tc>
          <w:tcPr>
            <w:tcW w:w="0" w:type="auto"/>
            <w:vAlign w:val="center"/>
            <w:hideMark/>
          </w:tcPr>
          <w:p w14:paraId="639AD4FF" w14:textId="77777777" w:rsidR="00494133" w:rsidRPr="00494133" w:rsidRDefault="00494133" w:rsidP="007211C4">
            <w:pPr>
              <w:jc w:val="center"/>
              <w:rPr>
                <w:rFonts w:ascii="Arial" w:hAnsi="Arial" w:cs="Arial"/>
                <w:lang w:val="en-ID"/>
              </w:rPr>
            </w:pPr>
            <w:r w:rsidRPr="00494133">
              <w:rPr>
                <w:rFonts w:ascii="Arial" w:hAnsi="Arial" w:cs="Arial"/>
                <w:lang w:val="en-ID"/>
              </w:rPr>
              <w:t>Brief description of operating segments</w:t>
            </w:r>
          </w:p>
        </w:tc>
        <w:tc>
          <w:tcPr>
            <w:tcW w:w="0" w:type="auto"/>
            <w:hideMark/>
          </w:tcPr>
          <w:p w14:paraId="45EA2256" w14:textId="77777777" w:rsidR="00494133" w:rsidRPr="00494133" w:rsidRDefault="00494133" w:rsidP="00494133">
            <w:pPr>
              <w:rPr>
                <w:rFonts w:ascii="Arial" w:hAnsi="Arial" w:cs="Arial"/>
                <w:lang w:val="en-ID"/>
              </w:rPr>
            </w:pPr>
            <w:r w:rsidRPr="00494133">
              <w:rPr>
                <w:rFonts w:ascii="Arial" w:hAnsi="Arial" w:cs="Arial"/>
                <w:b/>
                <w:bCs/>
                <w:lang w:val="en-ID"/>
              </w:rPr>
              <w:t>Compliant.</w:t>
            </w:r>
            <w:r w:rsidRPr="00494133">
              <w:rPr>
                <w:rFonts w:ascii="Arial" w:hAnsi="Arial" w:cs="Arial"/>
                <w:lang w:val="en-ID"/>
              </w:rPr>
              <w:t xml:space="preserve"> As required by IFRS 8, the company discloses two principal business segments, corresponding to its major lines of operations.</w:t>
            </w:r>
          </w:p>
        </w:tc>
      </w:tr>
      <w:tr w:rsidR="00494133" w:rsidRPr="00494133" w14:paraId="34ECDBA4" w14:textId="77777777" w:rsidTr="00EA05D7">
        <w:tc>
          <w:tcPr>
            <w:tcW w:w="0" w:type="auto"/>
            <w:vAlign w:val="center"/>
            <w:hideMark/>
          </w:tcPr>
          <w:p w14:paraId="65A5386F" w14:textId="77777777" w:rsidR="00494133" w:rsidRPr="00494133" w:rsidRDefault="00494133" w:rsidP="007211C4">
            <w:pPr>
              <w:jc w:val="center"/>
              <w:rPr>
                <w:rFonts w:ascii="Arial" w:hAnsi="Arial" w:cs="Arial"/>
                <w:lang w:val="en-ID"/>
              </w:rPr>
            </w:pPr>
            <w:r w:rsidRPr="00494133">
              <w:rPr>
                <w:rFonts w:ascii="Arial" w:hAnsi="Arial" w:cs="Arial"/>
                <w:lang w:val="en-ID"/>
              </w:rPr>
              <w:t>3</w:t>
            </w:r>
          </w:p>
        </w:tc>
        <w:tc>
          <w:tcPr>
            <w:tcW w:w="0" w:type="auto"/>
            <w:vAlign w:val="center"/>
            <w:hideMark/>
          </w:tcPr>
          <w:p w14:paraId="0E72E780" w14:textId="77777777" w:rsidR="00494133" w:rsidRPr="00494133" w:rsidRDefault="00494133" w:rsidP="007211C4">
            <w:pPr>
              <w:jc w:val="center"/>
              <w:rPr>
                <w:rFonts w:ascii="Arial" w:hAnsi="Arial" w:cs="Arial"/>
                <w:lang w:val="en-ID"/>
              </w:rPr>
            </w:pPr>
            <w:r w:rsidRPr="00494133">
              <w:rPr>
                <w:rFonts w:ascii="Arial" w:hAnsi="Arial" w:cs="Arial"/>
                <w:lang w:val="en-ID"/>
              </w:rPr>
              <w:t>Types of products and services from which each segment derives revenue</w:t>
            </w:r>
          </w:p>
        </w:tc>
        <w:tc>
          <w:tcPr>
            <w:tcW w:w="0" w:type="auto"/>
            <w:hideMark/>
          </w:tcPr>
          <w:p w14:paraId="6927BF90" w14:textId="77777777" w:rsidR="00494133" w:rsidRPr="00494133" w:rsidRDefault="00494133" w:rsidP="00494133">
            <w:pPr>
              <w:rPr>
                <w:rFonts w:ascii="Arial" w:hAnsi="Arial" w:cs="Arial"/>
                <w:lang w:val="en-ID"/>
              </w:rPr>
            </w:pPr>
            <w:r w:rsidRPr="00494133">
              <w:rPr>
                <w:rFonts w:ascii="Arial" w:hAnsi="Arial" w:cs="Arial"/>
                <w:b/>
                <w:bCs/>
                <w:lang w:val="en-ID"/>
              </w:rPr>
              <w:t>Compliant.</w:t>
            </w:r>
            <w:r w:rsidRPr="00494133">
              <w:rPr>
                <w:rFonts w:ascii="Arial" w:hAnsi="Arial" w:cs="Arial"/>
                <w:lang w:val="en-ID"/>
              </w:rPr>
              <w:t xml:space="preserve"> The Cement Segment generates revenue from various cement products for domestic and export markets, while the Non-Cement Segment includes ready-mix concrete, clinker, packaging, and logistics services. This disclosure supports transparency regarding segment-specific revenue streams.</w:t>
            </w:r>
          </w:p>
        </w:tc>
      </w:tr>
    </w:tbl>
    <w:p w14:paraId="7DB304BB" w14:textId="77777777" w:rsidR="00494133" w:rsidRDefault="00494133" w:rsidP="00494133">
      <w:pPr>
        <w:pStyle w:val="Body"/>
        <w:spacing w:after="0"/>
        <w:rPr>
          <w:rFonts w:ascii="Arial" w:hAnsi="Arial" w:cs="Arial"/>
        </w:rPr>
      </w:pPr>
    </w:p>
    <w:p w14:paraId="57C97830" w14:textId="77777777" w:rsidR="007211C4" w:rsidRDefault="001A19FE" w:rsidP="00494133">
      <w:pPr>
        <w:pStyle w:val="Body"/>
        <w:spacing w:after="0"/>
        <w:rPr>
          <w:rFonts w:ascii="Arial" w:hAnsi="Arial" w:cs="Arial"/>
        </w:rPr>
      </w:pPr>
      <w:r w:rsidRPr="001A19FE">
        <w:rPr>
          <w:rFonts w:ascii="Arial" w:hAnsi="Arial" w:cs="Arial"/>
        </w:rPr>
        <w:t>Furthermore, IFRS 8 paragraphs 23, 24, 27, 28, 32, and 34 collectively require disclosures relating to segment profit or loss, segment assets, segment liabilities, and other relevant items. These disclosures enable users of the financial statements to obtain a more comprehensive understanding of segment performance, thereby enhancing overall comparability and decision usefulness.</w:t>
      </w:r>
    </w:p>
    <w:p w14:paraId="6714A5D2" w14:textId="77777777" w:rsidR="001A19FE" w:rsidRDefault="001A19FE" w:rsidP="00494133">
      <w:pPr>
        <w:pStyle w:val="Body"/>
        <w:spacing w:after="0"/>
        <w:rPr>
          <w:rFonts w:ascii="Arial" w:hAnsi="Arial" w:cs="Arial"/>
        </w:rPr>
      </w:pPr>
    </w:p>
    <w:p w14:paraId="1E2A6812" w14:textId="77777777" w:rsidR="00863517" w:rsidRPr="00551E96" w:rsidRDefault="004B7124" w:rsidP="00863517">
      <w:pPr>
        <w:pStyle w:val="Body"/>
        <w:rPr>
          <w:rFonts w:ascii="Arial" w:hAnsi="Arial" w:cs="Arial"/>
          <w:b/>
          <w:bCs/>
        </w:rPr>
      </w:pPr>
      <w:r w:rsidRPr="00551E96">
        <w:rPr>
          <w:rFonts w:ascii="Arial" w:hAnsi="Arial" w:cs="Arial"/>
          <w:b/>
          <w:bCs/>
        </w:rPr>
        <w:t xml:space="preserve">3.4.2 </w:t>
      </w:r>
      <w:r w:rsidR="00863517" w:rsidRPr="00551E96">
        <w:rPr>
          <w:rFonts w:ascii="Arial" w:hAnsi="Arial" w:cs="Arial"/>
          <w:b/>
          <w:bCs/>
        </w:rPr>
        <w:t xml:space="preserve">Review of </w:t>
      </w:r>
      <w:r w:rsidR="00B31828" w:rsidRPr="00B31828">
        <w:rPr>
          <w:rFonts w:ascii="Arial" w:hAnsi="Arial" w:cs="Arial"/>
          <w:b/>
          <w:bCs/>
        </w:rPr>
        <w:t>X Manufacturing</w:t>
      </w:r>
      <w:r w:rsidR="00863517" w:rsidRPr="00551E96">
        <w:rPr>
          <w:rFonts w:ascii="Arial" w:hAnsi="Arial" w:cs="Arial"/>
          <w:b/>
          <w:bCs/>
        </w:rPr>
        <w:t>’s Financial Statements in Relation to IAS 34</w:t>
      </w:r>
    </w:p>
    <w:p w14:paraId="5BE73AE7" w14:textId="77777777" w:rsidR="001A19FE" w:rsidRDefault="00863517" w:rsidP="00863517">
      <w:pPr>
        <w:pStyle w:val="Body"/>
        <w:spacing w:after="0"/>
        <w:rPr>
          <w:rFonts w:ascii="Arial" w:hAnsi="Arial" w:cs="Arial"/>
        </w:rPr>
      </w:pPr>
      <w:r w:rsidRPr="00863517">
        <w:rPr>
          <w:rFonts w:ascii="Arial" w:hAnsi="Arial" w:cs="Arial"/>
        </w:rPr>
        <w:t xml:space="preserve">IAS 34 establishes the minimum content requirements for interim financial reporting and outlines the recognition and measurement principles applicable to interim periods. While IAS 34.1 specifies the content and format of interim statements, it leaves the determination of reporting frequency and timing to local regulatory authorities. In Indonesia, the Indonesia Stock Exchange (IDX) mandates the submission of interim financial reports, with which </w:t>
      </w:r>
      <w:r w:rsidR="00B31828" w:rsidRPr="00B31828">
        <w:rPr>
          <w:rFonts w:ascii="Arial" w:hAnsi="Arial" w:cs="Arial"/>
        </w:rPr>
        <w:t>X Manufacturing</w:t>
      </w:r>
      <w:r w:rsidRPr="00863517">
        <w:rPr>
          <w:rFonts w:ascii="Arial" w:hAnsi="Arial" w:cs="Arial"/>
        </w:rPr>
        <w:t xml:space="preserve"> has complied.</w:t>
      </w:r>
    </w:p>
    <w:p w14:paraId="50CB8AE1" w14:textId="77777777" w:rsidR="00733E53" w:rsidRDefault="00733E53" w:rsidP="00863517">
      <w:pPr>
        <w:pStyle w:val="Body"/>
        <w:spacing w:after="0"/>
        <w:rPr>
          <w:rFonts w:ascii="Arial" w:hAnsi="Arial" w:cs="Arial"/>
        </w:rPr>
      </w:pPr>
    </w:p>
    <w:p w14:paraId="2B9BC736" w14:textId="660D2B43" w:rsidR="0033181A" w:rsidRPr="00733E53" w:rsidRDefault="007D0357" w:rsidP="001C4746">
      <w:pPr>
        <w:pStyle w:val="Body"/>
        <w:spacing w:after="0"/>
        <w:jc w:val="center"/>
        <w:rPr>
          <w:rFonts w:ascii="Arial" w:hAnsi="Arial" w:cs="Arial"/>
          <w:b/>
          <w:bCs/>
        </w:rPr>
      </w:pPr>
      <w:r w:rsidRPr="00733E53">
        <w:rPr>
          <w:rFonts w:ascii="Arial" w:hAnsi="Arial" w:cs="Arial"/>
          <w:b/>
          <w:bCs/>
        </w:rPr>
        <w:t xml:space="preserve">Table </w:t>
      </w:r>
      <w:r w:rsidR="0005237A">
        <w:rPr>
          <w:rFonts w:ascii="Arial" w:hAnsi="Arial" w:cs="Arial"/>
          <w:b/>
          <w:bCs/>
        </w:rPr>
        <w:t>6</w:t>
      </w:r>
      <w:r w:rsidRPr="00733E53">
        <w:rPr>
          <w:rFonts w:ascii="Arial" w:hAnsi="Arial" w:cs="Arial"/>
          <w:b/>
          <w:bCs/>
        </w:rPr>
        <w:t xml:space="preserve">. Compliance of </w:t>
      </w:r>
      <w:r w:rsidR="00B31828" w:rsidRPr="00B31828">
        <w:rPr>
          <w:rFonts w:ascii="Arial" w:hAnsi="Arial" w:cs="Arial"/>
          <w:b/>
          <w:bCs/>
        </w:rPr>
        <w:t>X Manufacturing</w:t>
      </w:r>
      <w:r w:rsidR="00B31828">
        <w:rPr>
          <w:rFonts w:ascii="Arial" w:hAnsi="Arial" w:cs="Arial"/>
          <w:b/>
          <w:bCs/>
        </w:rPr>
        <w:t xml:space="preserve">’s </w:t>
      </w:r>
      <w:r w:rsidRPr="00733E53">
        <w:rPr>
          <w:rFonts w:ascii="Arial" w:hAnsi="Arial" w:cs="Arial"/>
          <w:b/>
          <w:bCs/>
        </w:rPr>
        <w:t>Interim Financial Statements with IAS 34</w:t>
      </w:r>
    </w:p>
    <w:p w14:paraId="1236248F" w14:textId="77777777" w:rsidR="007D0357" w:rsidRDefault="007D0357" w:rsidP="00863517">
      <w:pPr>
        <w:pStyle w:val="Body"/>
        <w:spacing w:after="0"/>
        <w:rPr>
          <w:rFonts w:ascii="Arial" w:hAnsi="Arial" w:cs="Arial"/>
        </w:rPr>
      </w:pPr>
    </w:p>
    <w:tbl>
      <w:tblPr>
        <w:tblStyle w:val="TableGridLight"/>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966"/>
        <w:gridCol w:w="2719"/>
      </w:tblGrid>
      <w:tr w:rsidR="00990B32" w:rsidRPr="007D0357" w14:paraId="4FA25E82" w14:textId="77777777" w:rsidTr="001C4746">
        <w:trPr>
          <w:jc w:val="center"/>
        </w:trPr>
        <w:tc>
          <w:tcPr>
            <w:tcW w:w="2420" w:type="pct"/>
            <w:tcBorders>
              <w:top w:val="single" w:sz="4" w:space="0" w:color="auto"/>
              <w:bottom w:val="single" w:sz="4" w:space="0" w:color="auto"/>
            </w:tcBorders>
            <w:hideMark/>
          </w:tcPr>
          <w:p w14:paraId="42252F6E" w14:textId="77777777" w:rsidR="007D0357" w:rsidRPr="007D0357" w:rsidRDefault="007D0357" w:rsidP="001C4746">
            <w:pPr>
              <w:jc w:val="center"/>
              <w:rPr>
                <w:rFonts w:ascii="Arial" w:hAnsi="Arial" w:cs="Arial"/>
                <w:b/>
                <w:bCs/>
                <w:lang w:val="en-ID"/>
              </w:rPr>
            </w:pPr>
            <w:r w:rsidRPr="007D0357">
              <w:rPr>
                <w:rFonts w:ascii="Arial" w:hAnsi="Arial" w:cs="Arial"/>
                <w:b/>
                <w:bCs/>
                <w:lang w:val="en-ID"/>
              </w:rPr>
              <w:t>Component</w:t>
            </w:r>
          </w:p>
        </w:tc>
        <w:tc>
          <w:tcPr>
            <w:tcW w:w="1346" w:type="pct"/>
            <w:tcBorders>
              <w:top w:val="single" w:sz="4" w:space="0" w:color="auto"/>
              <w:bottom w:val="single" w:sz="4" w:space="0" w:color="auto"/>
            </w:tcBorders>
            <w:vAlign w:val="center"/>
            <w:hideMark/>
          </w:tcPr>
          <w:p w14:paraId="2799729E" w14:textId="77777777" w:rsidR="007D0357" w:rsidRPr="007D0357" w:rsidRDefault="007D0357" w:rsidP="00990B32">
            <w:pPr>
              <w:jc w:val="center"/>
              <w:rPr>
                <w:rFonts w:ascii="Arial" w:hAnsi="Arial" w:cs="Arial"/>
                <w:b/>
                <w:bCs/>
                <w:lang w:val="en-ID"/>
              </w:rPr>
            </w:pPr>
            <w:r w:rsidRPr="007D0357">
              <w:rPr>
                <w:rFonts w:ascii="Arial" w:hAnsi="Arial" w:cs="Arial"/>
                <w:b/>
                <w:bCs/>
                <w:lang w:val="en-ID"/>
              </w:rPr>
              <w:t xml:space="preserve">PT </w:t>
            </w:r>
            <w:r w:rsidR="00B31828" w:rsidRPr="00B31828">
              <w:rPr>
                <w:rFonts w:ascii="Arial" w:hAnsi="Arial" w:cs="Arial"/>
                <w:b/>
                <w:bCs/>
                <w:lang w:val="en-ID"/>
              </w:rPr>
              <w:t xml:space="preserve">X Manufacturing </w:t>
            </w:r>
            <w:r w:rsidRPr="007D0357">
              <w:rPr>
                <w:rFonts w:ascii="Arial" w:hAnsi="Arial" w:cs="Arial"/>
                <w:b/>
                <w:bCs/>
                <w:lang w:val="en-ID"/>
              </w:rPr>
              <w:t>Q1 Interim Report</w:t>
            </w:r>
          </w:p>
        </w:tc>
        <w:tc>
          <w:tcPr>
            <w:tcW w:w="1234" w:type="pct"/>
            <w:tcBorders>
              <w:top w:val="single" w:sz="4" w:space="0" w:color="auto"/>
              <w:bottom w:val="single" w:sz="4" w:space="0" w:color="auto"/>
            </w:tcBorders>
            <w:hideMark/>
          </w:tcPr>
          <w:p w14:paraId="44CEE134" w14:textId="77777777" w:rsidR="007D0357" w:rsidRPr="007D0357" w:rsidRDefault="007D0357" w:rsidP="007D0357">
            <w:pPr>
              <w:jc w:val="center"/>
              <w:rPr>
                <w:rFonts w:ascii="Arial" w:hAnsi="Arial" w:cs="Arial"/>
                <w:b/>
                <w:bCs/>
                <w:lang w:val="en-ID"/>
              </w:rPr>
            </w:pPr>
            <w:r w:rsidRPr="007D0357">
              <w:rPr>
                <w:rFonts w:ascii="Arial" w:hAnsi="Arial" w:cs="Arial"/>
                <w:b/>
                <w:bCs/>
                <w:lang w:val="en-ID"/>
              </w:rPr>
              <w:t>Compliance Status</w:t>
            </w:r>
          </w:p>
        </w:tc>
      </w:tr>
      <w:tr w:rsidR="00990B32" w:rsidRPr="007D0357" w14:paraId="7914287F" w14:textId="77777777" w:rsidTr="001C4746">
        <w:trPr>
          <w:jc w:val="center"/>
        </w:trPr>
        <w:tc>
          <w:tcPr>
            <w:tcW w:w="2420" w:type="pct"/>
            <w:tcBorders>
              <w:top w:val="single" w:sz="4" w:space="0" w:color="auto"/>
            </w:tcBorders>
            <w:vAlign w:val="center"/>
            <w:hideMark/>
          </w:tcPr>
          <w:p w14:paraId="23107A2B" w14:textId="77777777" w:rsidR="007D0357" w:rsidRPr="007D0357" w:rsidRDefault="007D0357" w:rsidP="002926FC">
            <w:pPr>
              <w:rPr>
                <w:rFonts w:ascii="Arial" w:hAnsi="Arial" w:cs="Arial"/>
                <w:lang w:val="en-ID"/>
              </w:rPr>
            </w:pPr>
            <w:r w:rsidRPr="007D0357">
              <w:rPr>
                <w:rFonts w:ascii="Arial" w:hAnsi="Arial" w:cs="Arial"/>
                <w:lang w:val="en-ID"/>
              </w:rPr>
              <w:t>Condensed statement of financial position</w:t>
            </w:r>
          </w:p>
        </w:tc>
        <w:tc>
          <w:tcPr>
            <w:tcW w:w="1346" w:type="pct"/>
            <w:tcBorders>
              <w:top w:val="single" w:sz="4" w:space="0" w:color="auto"/>
            </w:tcBorders>
            <w:vAlign w:val="center"/>
            <w:hideMark/>
          </w:tcPr>
          <w:p w14:paraId="4A2B8E66" w14:textId="77777777"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1234" w:type="pct"/>
            <w:tcBorders>
              <w:top w:val="single" w:sz="4" w:space="0" w:color="auto"/>
            </w:tcBorders>
            <w:vAlign w:val="center"/>
            <w:hideMark/>
          </w:tcPr>
          <w:p w14:paraId="0402C38A" w14:textId="77777777" w:rsidR="007D0357" w:rsidRPr="007D0357" w:rsidRDefault="007D0357" w:rsidP="001C4746">
            <w:pPr>
              <w:jc w:val="center"/>
              <w:rPr>
                <w:rFonts w:ascii="Arial" w:hAnsi="Arial" w:cs="Arial"/>
                <w:lang w:val="en-ID"/>
              </w:rPr>
            </w:pPr>
            <w:r w:rsidRPr="007D0357">
              <w:rPr>
                <w:rFonts w:ascii="Arial" w:hAnsi="Arial" w:cs="Arial"/>
                <w:lang w:val="en-ID"/>
              </w:rPr>
              <w:t>Complies with IAS 34.8(a)</w:t>
            </w:r>
          </w:p>
        </w:tc>
      </w:tr>
      <w:tr w:rsidR="00990B32" w:rsidRPr="007D0357" w14:paraId="7B4ED3C3" w14:textId="77777777" w:rsidTr="001C4746">
        <w:trPr>
          <w:jc w:val="center"/>
        </w:trPr>
        <w:tc>
          <w:tcPr>
            <w:tcW w:w="2420" w:type="pct"/>
            <w:vAlign w:val="center"/>
            <w:hideMark/>
          </w:tcPr>
          <w:p w14:paraId="15628627" w14:textId="77777777" w:rsidR="007D0357" w:rsidRPr="007D0357" w:rsidRDefault="007D0357" w:rsidP="002926FC">
            <w:pPr>
              <w:rPr>
                <w:rFonts w:ascii="Arial" w:hAnsi="Arial" w:cs="Arial"/>
                <w:lang w:val="en-ID"/>
              </w:rPr>
            </w:pPr>
            <w:r w:rsidRPr="007D0357">
              <w:rPr>
                <w:rFonts w:ascii="Arial" w:hAnsi="Arial" w:cs="Arial"/>
                <w:lang w:val="en-ID"/>
              </w:rPr>
              <w:t>Condensed statement of comprehensive income (including earnings per share)</w:t>
            </w:r>
          </w:p>
        </w:tc>
        <w:tc>
          <w:tcPr>
            <w:tcW w:w="1346" w:type="pct"/>
            <w:vAlign w:val="center"/>
            <w:hideMark/>
          </w:tcPr>
          <w:p w14:paraId="7FC13CF0" w14:textId="77777777"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1234" w:type="pct"/>
            <w:vAlign w:val="center"/>
            <w:hideMark/>
          </w:tcPr>
          <w:p w14:paraId="334BBAED" w14:textId="77777777" w:rsidR="007D0357" w:rsidRPr="007D0357" w:rsidRDefault="007D0357" w:rsidP="001C4746">
            <w:pPr>
              <w:jc w:val="center"/>
              <w:rPr>
                <w:rFonts w:ascii="Arial" w:hAnsi="Arial" w:cs="Arial"/>
                <w:lang w:val="en-ID"/>
              </w:rPr>
            </w:pPr>
            <w:r w:rsidRPr="007D0357">
              <w:rPr>
                <w:rFonts w:ascii="Arial" w:hAnsi="Arial" w:cs="Arial"/>
                <w:lang w:val="en-ID"/>
              </w:rPr>
              <w:t>Complies with IAS 34.11</w:t>
            </w:r>
          </w:p>
        </w:tc>
      </w:tr>
      <w:tr w:rsidR="00990B32" w:rsidRPr="007D0357" w14:paraId="24A042AD" w14:textId="77777777" w:rsidTr="001C4746">
        <w:trPr>
          <w:jc w:val="center"/>
        </w:trPr>
        <w:tc>
          <w:tcPr>
            <w:tcW w:w="2420" w:type="pct"/>
            <w:vAlign w:val="center"/>
            <w:hideMark/>
          </w:tcPr>
          <w:p w14:paraId="1A1ECC7D" w14:textId="77777777" w:rsidR="007D0357" w:rsidRPr="007D0357" w:rsidRDefault="007D0357" w:rsidP="002926FC">
            <w:pPr>
              <w:rPr>
                <w:rFonts w:ascii="Arial" w:hAnsi="Arial" w:cs="Arial"/>
                <w:lang w:val="en-ID"/>
              </w:rPr>
            </w:pPr>
            <w:r w:rsidRPr="007D0357">
              <w:rPr>
                <w:rFonts w:ascii="Arial" w:hAnsi="Arial" w:cs="Arial"/>
                <w:lang w:val="en-ID"/>
              </w:rPr>
              <w:t>Condensed statement of changes in equity</w:t>
            </w:r>
          </w:p>
        </w:tc>
        <w:tc>
          <w:tcPr>
            <w:tcW w:w="1346" w:type="pct"/>
            <w:vAlign w:val="center"/>
            <w:hideMark/>
          </w:tcPr>
          <w:p w14:paraId="2A979993" w14:textId="77777777"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1234" w:type="pct"/>
            <w:vAlign w:val="center"/>
            <w:hideMark/>
          </w:tcPr>
          <w:p w14:paraId="14EB5ECB" w14:textId="77777777" w:rsidR="007D0357" w:rsidRPr="007D0357" w:rsidRDefault="007D0357" w:rsidP="001C4746">
            <w:pPr>
              <w:jc w:val="center"/>
              <w:rPr>
                <w:rFonts w:ascii="Arial" w:hAnsi="Arial" w:cs="Arial"/>
                <w:lang w:val="en-ID"/>
              </w:rPr>
            </w:pPr>
            <w:r w:rsidRPr="007D0357">
              <w:rPr>
                <w:rFonts w:ascii="Arial" w:hAnsi="Arial" w:cs="Arial"/>
                <w:lang w:val="en-ID"/>
              </w:rPr>
              <w:t>Complies with IAS 34.8(c)</w:t>
            </w:r>
          </w:p>
        </w:tc>
      </w:tr>
      <w:tr w:rsidR="00990B32" w:rsidRPr="007D0357" w14:paraId="3D4A26B0" w14:textId="77777777" w:rsidTr="001C4746">
        <w:trPr>
          <w:jc w:val="center"/>
        </w:trPr>
        <w:tc>
          <w:tcPr>
            <w:tcW w:w="2420" w:type="pct"/>
            <w:vAlign w:val="center"/>
            <w:hideMark/>
          </w:tcPr>
          <w:p w14:paraId="332AB1C7" w14:textId="77777777" w:rsidR="007D0357" w:rsidRPr="007D0357" w:rsidRDefault="007D0357" w:rsidP="002926FC">
            <w:pPr>
              <w:rPr>
                <w:rFonts w:ascii="Arial" w:hAnsi="Arial" w:cs="Arial"/>
                <w:lang w:val="en-ID"/>
              </w:rPr>
            </w:pPr>
            <w:r w:rsidRPr="007D0357">
              <w:rPr>
                <w:rFonts w:ascii="Arial" w:hAnsi="Arial" w:cs="Arial"/>
                <w:lang w:val="en-ID"/>
              </w:rPr>
              <w:t>Selected cash flow information</w:t>
            </w:r>
          </w:p>
        </w:tc>
        <w:tc>
          <w:tcPr>
            <w:tcW w:w="1346" w:type="pct"/>
            <w:vAlign w:val="center"/>
            <w:hideMark/>
          </w:tcPr>
          <w:p w14:paraId="07F2EB59" w14:textId="77777777"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1234" w:type="pct"/>
            <w:vAlign w:val="center"/>
            <w:hideMark/>
          </w:tcPr>
          <w:p w14:paraId="0D3B76D3" w14:textId="77777777" w:rsidR="007D0357" w:rsidRPr="007D0357" w:rsidRDefault="007D0357" w:rsidP="001C4746">
            <w:pPr>
              <w:jc w:val="center"/>
              <w:rPr>
                <w:rFonts w:ascii="Arial" w:hAnsi="Arial" w:cs="Arial"/>
                <w:lang w:val="en-ID"/>
              </w:rPr>
            </w:pPr>
            <w:r w:rsidRPr="007D0357">
              <w:rPr>
                <w:rFonts w:ascii="Arial" w:hAnsi="Arial" w:cs="Arial"/>
                <w:lang w:val="en-ID"/>
              </w:rPr>
              <w:t>Complies with IAS 34.8(d)</w:t>
            </w:r>
          </w:p>
        </w:tc>
      </w:tr>
      <w:tr w:rsidR="00990B32" w:rsidRPr="007D0357" w14:paraId="6CB8E025" w14:textId="77777777" w:rsidTr="001C4746">
        <w:trPr>
          <w:jc w:val="center"/>
        </w:trPr>
        <w:tc>
          <w:tcPr>
            <w:tcW w:w="2420" w:type="pct"/>
            <w:vAlign w:val="center"/>
            <w:hideMark/>
          </w:tcPr>
          <w:p w14:paraId="60BB03F4" w14:textId="77777777" w:rsidR="007D0357" w:rsidRPr="007D0357" w:rsidRDefault="007D0357" w:rsidP="002926FC">
            <w:pPr>
              <w:rPr>
                <w:rFonts w:ascii="Arial" w:hAnsi="Arial" w:cs="Arial"/>
                <w:lang w:val="en-ID"/>
              </w:rPr>
            </w:pPr>
            <w:r w:rsidRPr="007D0357">
              <w:rPr>
                <w:rFonts w:ascii="Arial" w:hAnsi="Arial" w:cs="Arial"/>
                <w:lang w:val="en-ID"/>
              </w:rPr>
              <w:t>Explanatory notes</w:t>
            </w:r>
          </w:p>
        </w:tc>
        <w:tc>
          <w:tcPr>
            <w:tcW w:w="1346" w:type="pct"/>
            <w:vAlign w:val="center"/>
            <w:hideMark/>
          </w:tcPr>
          <w:p w14:paraId="01939591" w14:textId="77777777"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1234" w:type="pct"/>
            <w:vAlign w:val="center"/>
            <w:hideMark/>
          </w:tcPr>
          <w:p w14:paraId="15DD7AB3" w14:textId="77777777" w:rsidR="007D0357" w:rsidRPr="007D0357" w:rsidRDefault="007D0357" w:rsidP="001C4746">
            <w:pPr>
              <w:jc w:val="center"/>
              <w:rPr>
                <w:rFonts w:ascii="Arial" w:hAnsi="Arial" w:cs="Arial"/>
                <w:lang w:val="en-ID"/>
              </w:rPr>
            </w:pPr>
            <w:r w:rsidRPr="007D0357">
              <w:rPr>
                <w:rFonts w:ascii="Arial" w:hAnsi="Arial" w:cs="Arial"/>
                <w:lang w:val="en-ID"/>
              </w:rPr>
              <w:t>Complies with IAS 34.16A</w:t>
            </w:r>
          </w:p>
        </w:tc>
      </w:tr>
    </w:tbl>
    <w:p w14:paraId="0B7BDCD9" w14:textId="77777777" w:rsidR="007D0357" w:rsidRDefault="007D0357" w:rsidP="00863517">
      <w:pPr>
        <w:pStyle w:val="Body"/>
        <w:spacing w:after="0"/>
        <w:rPr>
          <w:rFonts w:ascii="Arial" w:hAnsi="Arial" w:cs="Arial"/>
        </w:rPr>
      </w:pPr>
    </w:p>
    <w:p w14:paraId="29D43432" w14:textId="77777777" w:rsidR="00790ADA" w:rsidRDefault="00010EC4" w:rsidP="00A43743">
      <w:pPr>
        <w:pStyle w:val="Body"/>
        <w:rPr>
          <w:rFonts w:ascii="Arial" w:hAnsi="Arial" w:cs="Arial"/>
        </w:rPr>
      </w:pPr>
      <w:r w:rsidRPr="00010EC4">
        <w:rPr>
          <w:rFonts w:ascii="Arial" w:hAnsi="Arial" w:cs="Arial"/>
        </w:rPr>
        <w:t xml:space="preserve">IAS 34 paragraphs 10 and 20 require entities to include all material items from the most recent annual financial statements and to provide comparative information for prior periods. </w:t>
      </w:r>
      <w:r w:rsidR="00B31828" w:rsidRPr="00B31828">
        <w:rPr>
          <w:rFonts w:ascii="Arial" w:hAnsi="Arial" w:cs="Arial"/>
        </w:rPr>
        <w:t xml:space="preserve">X Manufacturing </w:t>
      </w:r>
      <w:r w:rsidRPr="00010EC4">
        <w:rPr>
          <w:rFonts w:ascii="Arial" w:hAnsi="Arial" w:cs="Arial"/>
        </w:rPr>
        <w:t>meets these requirements by presenting comparative figures from Q1 of the previous year.</w:t>
      </w:r>
      <w:r w:rsidR="00A43743">
        <w:rPr>
          <w:rFonts w:ascii="Arial" w:hAnsi="Arial" w:cs="Arial"/>
        </w:rPr>
        <w:t xml:space="preserve"> </w:t>
      </w:r>
      <w:r w:rsidRPr="00010EC4">
        <w:rPr>
          <w:rFonts w:ascii="Arial" w:hAnsi="Arial" w:cs="Arial"/>
        </w:rPr>
        <w:t xml:space="preserve">Additionally, IAS 34.15 mandates the inclusion of explanatory notes addressing significant events and transactions that have occurred since the last annual reporting period. </w:t>
      </w:r>
      <w:r w:rsidR="00B31828" w:rsidRPr="00B31828">
        <w:rPr>
          <w:rFonts w:ascii="Arial" w:hAnsi="Arial" w:cs="Arial"/>
        </w:rPr>
        <w:t xml:space="preserve">X Manufacturing </w:t>
      </w:r>
      <w:r w:rsidRPr="00010EC4">
        <w:rPr>
          <w:rFonts w:ascii="Arial" w:hAnsi="Arial" w:cs="Arial"/>
        </w:rPr>
        <w:t>fulfills this requirement by providing relevant narrative disclosures.</w:t>
      </w:r>
      <w:r w:rsidR="00A43743">
        <w:rPr>
          <w:rFonts w:ascii="Arial" w:hAnsi="Arial" w:cs="Arial"/>
        </w:rPr>
        <w:t xml:space="preserve"> </w:t>
      </w:r>
      <w:r w:rsidRPr="00010EC4">
        <w:rPr>
          <w:rFonts w:ascii="Arial" w:hAnsi="Arial" w:cs="Arial"/>
        </w:rPr>
        <w:t xml:space="preserve">IAS 34.21 recommends that entities with highly seasonal operations disclose 12-month comparative financial information to enhance interpretability. </w:t>
      </w:r>
      <w:r w:rsidR="00B31828" w:rsidRPr="00B31828">
        <w:rPr>
          <w:rFonts w:ascii="Arial" w:hAnsi="Arial" w:cs="Arial"/>
        </w:rPr>
        <w:t>X Manufacturing</w:t>
      </w:r>
      <w:r w:rsidRPr="00010EC4">
        <w:rPr>
          <w:rFonts w:ascii="Arial" w:hAnsi="Arial" w:cs="Arial"/>
        </w:rPr>
        <w:t xml:space="preserve">’s practice of presenting Q1 2025 interim results alongside Q1 2024 comparative figures is in line with this recommendation. Further, IAS 34.28 requires consistency in accounting policies between interim and annual reporting periods unless changes have been implemented after the most recent annual statements. </w:t>
      </w:r>
      <w:r w:rsidR="00524F4E" w:rsidRPr="00524F4E">
        <w:rPr>
          <w:rFonts w:ascii="Arial" w:hAnsi="Arial" w:cs="Arial"/>
        </w:rPr>
        <w:t xml:space="preserve">X Manufacturing </w:t>
      </w:r>
      <w:r w:rsidRPr="00010EC4">
        <w:rPr>
          <w:rFonts w:ascii="Arial" w:hAnsi="Arial" w:cs="Arial"/>
        </w:rPr>
        <w:t>adheres to this requirement as well.</w:t>
      </w:r>
    </w:p>
    <w:p w14:paraId="4CE320F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7412B9" w14:textId="77777777" w:rsidR="00790ADA" w:rsidRPr="00FB3A86" w:rsidRDefault="00790ADA" w:rsidP="00441B6F">
      <w:pPr>
        <w:pStyle w:val="ConcHead"/>
        <w:spacing w:after="0"/>
        <w:jc w:val="both"/>
        <w:rPr>
          <w:rFonts w:ascii="Arial" w:hAnsi="Arial" w:cs="Arial"/>
        </w:rPr>
      </w:pPr>
    </w:p>
    <w:p w14:paraId="3FFF1421" w14:textId="77777777" w:rsidR="00A3796E" w:rsidRPr="00A3796E" w:rsidRDefault="00A3796E" w:rsidP="00A3796E">
      <w:pPr>
        <w:pStyle w:val="Body"/>
        <w:rPr>
          <w:rFonts w:ascii="Arial" w:hAnsi="Arial" w:cs="Arial"/>
        </w:rPr>
      </w:pPr>
      <w:r w:rsidRPr="00A3796E">
        <w:rPr>
          <w:rFonts w:ascii="Arial" w:hAnsi="Arial" w:cs="Arial"/>
        </w:rPr>
        <w:t xml:space="preserve">Based on the analysis of X Manufacturing Company’s segment and interim financial reporting practices, it can be concluded that the entity demonstrates strong adherence to both national and international financial reporting standards, </w:t>
      </w:r>
      <w:r w:rsidRPr="00A3796E">
        <w:rPr>
          <w:rFonts w:ascii="Arial" w:hAnsi="Arial" w:cs="Arial"/>
        </w:rPr>
        <w:lastRenderedPageBreak/>
        <w:t>particularly PSAK 108, PSAK 234, IFRS 8, and IAS 34. The company’s interim financial statements for the first quarter of the reporting year include all essential components required under IAS 34 and PSAK 234, such as the condensed statements of financial position, comprehensive income, changes in equity, cash flows, and detailed explanatory notes. These disclosures are presented in a structured and comparative manner, ensuring clarity, consistency, and alignment with the broader principles of PSAK 1 regarding financial statement presentation.</w:t>
      </w:r>
    </w:p>
    <w:p w14:paraId="37B4166C" w14:textId="77777777" w:rsidR="00A3796E" w:rsidRDefault="00A3796E" w:rsidP="00A3796E">
      <w:pPr>
        <w:pStyle w:val="Body"/>
        <w:rPr>
          <w:rFonts w:ascii="Arial" w:hAnsi="Arial" w:cs="Arial"/>
        </w:rPr>
      </w:pPr>
      <w:r w:rsidRPr="00A3796E">
        <w:rPr>
          <w:rFonts w:ascii="Arial" w:hAnsi="Arial" w:cs="Arial"/>
        </w:rPr>
        <w:t>In terms of segment reporting, X Manufacturing Company has appropriately identified and disclosed its operating segments in accordance with the management approach prescribed by IFRS 8 and PSAK 108. The classification of its primary business segments reflects similarities in economic characteristics, production processes, customer bases, and distribution methods, thereby fulfilling the aggregation criteria stipulated under PSAK 108. Furthermore, segmental financial information is regularly reviewed by the company’s Board of Directors acting as the chief operating decision maker (CODM), reinforcing its compliance with IFRS 8’s requirements for managerial oversight and decision-usefulness.</w:t>
      </w:r>
      <w:r>
        <w:rPr>
          <w:rFonts w:ascii="Arial" w:hAnsi="Arial" w:cs="Arial"/>
        </w:rPr>
        <w:t xml:space="preserve"> </w:t>
      </w:r>
      <w:r w:rsidRPr="00A3796E">
        <w:rPr>
          <w:rFonts w:ascii="Arial" w:hAnsi="Arial" w:cs="Arial"/>
        </w:rPr>
        <w:t xml:space="preserve">Overall, the company’s financial reporting practices illustrate a clear commitment to transparency, accountability, and global reporting alignment. Despite minor fluctuations in profitability, X Manufacturing Company maintains a stable financial position supported by prudent capital management and consistent disclosure quality, thereby strengthening stakeholder confidence and enhancing the reliability of financial decision-making. </w:t>
      </w:r>
    </w:p>
    <w:p w14:paraId="12CCFE4F"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D44E4B4" w14:textId="77777777" w:rsidR="00790ADA" w:rsidRPr="00FB3A86" w:rsidRDefault="00790ADA" w:rsidP="00441B6F">
      <w:pPr>
        <w:pStyle w:val="AcknHead"/>
        <w:spacing w:after="0"/>
        <w:jc w:val="both"/>
        <w:rPr>
          <w:rFonts w:ascii="Arial" w:hAnsi="Arial" w:cs="Arial"/>
        </w:rPr>
      </w:pPr>
    </w:p>
    <w:p w14:paraId="3706BC96" w14:textId="77777777" w:rsidR="00315186" w:rsidRDefault="00BD3169" w:rsidP="00441B6F">
      <w:pPr>
        <w:pStyle w:val="Body"/>
        <w:spacing w:after="0"/>
        <w:rPr>
          <w:rFonts w:ascii="Arial" w:hAnsi="Arial" w:cs="Arial"/>
        </w:rPr>
      </w:pPr>
      <w:r>
        <w:rPr>
          <w:rFonts w:ascii="Arial" w:hAnsi="Arial" w:cs="Arial"/>
        </w:rPr>
        <w:t>We would like to thank all the parties involved in this research.</w:t>
      </w:r>
    </w:p>
    <w:p w14:paraId="187D8F40" w14:textId="77777777" w:rsidR="00121C24" w:rsidRDefault="00121C24" w:rsidP="00441B6F">
      <w:pPr>
        <w:pStyle w:val="Body"/>
        <w:spacing w:after="0"/>
        <w:rPr>
          <w:rFonts w:ascii="Arial" w:hAnsi="Arial" w:cs="Arial"/>
        </w:rPr>
      </w:pPr>
    </w:p>
    <w:p w14:paraId="23ED4C0A" w14:textId="77777777" w:rsidR="00121C24" w:rsidRDefault="00121C24" w:rsidP="00441B6F">
      <w:pPr>
        <w:pStyle w:val="Body"/>
        <w:spacing w:after="0"/>
        <w:rPr>
          <w:rFonts w:ascii="Arial" w:hAnsi="Arial" w:cs="Arial"/>
        </w:rPr>
      </w:pPr>
    </w:p>
    <w:p w14:paraId="618AE18A" w14:textId="240ACEB2" w:rsidR="00121C24" w:rsidRDefault="008B4146" w:rsidP="00441B6F">
      <w:pPr>
        <w:pStyle w:val="Body"/>
        <w:spacing w:after="0"/>
        <w:rPr>
          <w:rFonts w:ascii="Arial" w:hAnsi="Arial" w:cs="Arial"/>
        </w:rPr>
      </w:pPr>
      <w:r w:rsidRPr="008B4146">
        <w:rPr>
          <w:rFonts w:ascii="Arial" w:hAnsi="Arial" w:cs="Arial"/>
        </w:rPr>
        <w:t>Disclaimer (Artificial intelligence)</w:t>
      </w:r>
    </w:p>
    <w:p w14:paraId="4DA851DD" w14:textId="77777777" w:rsidR="008B4146" w:rsidRDefault="008B4146" w:rsidP="00441B6F">
      <w:pPr>
        <w:pStyle w:val="Body"/>
        <w:spacing w:after="0"/>
        <w:rPr>
          <w:rFonts w:ascii="Arial" w:hAnsi="Arial" w:cs="Arial"/>
        </w:rPr>
      </w:pPr>
    </w:p>
    <w:p w14:paraId="51D002A6" w14:textId="047F55CA" w:rsidR="008B4146" w:rsidRDefault="008B4146" w:rsidP="00441B6F">
      <w:pPr>
        <w:pStyle w:val="Body"/>
        <w:spacing w:after="0"/>
        <w:rPr>
          <w:rFonts w:ascii="Arial" w:hAnsi="Arial" w:cs="Arial"/>
        </w:rPr>
      </w:pPr>
      <w:r w:rsidRPr="008B4146">
        <w:rPr>
          <w:rFonts w:ascii="Arial" w:hAnsi="Arial" w:cs="Arial"/>
        </w:rPr>
        <w:t>Author(s) hereby declare that NO generative AI technologies such as Large Language Models (</w:t>
      </w:r>
      <w:proofErr w:type="spellStart"/>
      <w:r w:rsidRPr="008B4146">
        <w:rPr>
          <w:rFonts w:ascii="Arial" w:hAnsi="Arial" w:cs="Arial"/>
        </w:rPr>
        <w:t>ChatGPT</w:t>
      </w:r>
      <w:proofErr w:type="spellEnd"/>
      <w:r w:rsidRPr="008B4146">
        <w:rPr>
          <w:rFonts w:ascii="Arial" w:hAnsi="Arial" w:cs="Arial"/>
        </w:rPr>
        <w:t xml:space="preserve">, COPILOT, </w:t>
      </w:r>
      <w:proofErr w:type="spellStart"/>
      <w:r w:rsidRPr="008B4146">
        <w:rPr>
          <w:rFonts w:ascii="Arial" w:hAnsi="Arial" w:cs="Arial"/>
        </w:rPr>
        <w:t>etc</w:t>
      </w:r>
      <w:proofErr w:type="spellEnd"/>
      <w:r w:rsidRPr="008B4146">
        <w:rPr>
          <w:rFonts w:ascii="Arial" w:hAnsi="Arial" w:cs="Arial"/>
        </w:rPr>
        <w:t>) and text-to-image generators have been used during writing or editing of manuscripts.</w:t>
      </w:r>
    </w:p>
    <w:p w14:paraId="27FB5708" w14:textId="47CB140D" w:rsidR="00121C24" w:rsidRDefault="00121C24" w:rsidP="00441B6F">
      <w:pPr>
        <w:pStyle w:val="Body"/>
        <w:spacing w:after="0"/>
        <w:rPr>
          <w:rFonts w:ascii="Arial" w:hAnsi="Arial" w:cs="Arial"/>
        </w:rPr>
      </w:pPr>
    </w:p>
    <w:p w14:paraId="704696F5" w14:textId="77777777" w:rsidR="00860000" w:rsidRDefault="00860000" w:rsidP="00441B6F">
      <w:pPr>
        <w:pStyle w:val="ReferHead"/>
        <w:spacing w:after="0"/>
        <w:jc w:val="both"/>
        <w:rPr>
          <w:rFonts w:ascii="Arial" w:hAnsi="Arial" w:cs="Arial"/>
        </w:rPr>
      </w:pPr>
    </w:p>
    <w:p w14:paraId="5F1A39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0A9D7C" w14:textId="77777777" w:rsidR="00790ADA" w:rsidRPr="00FB3A86" w:rsidRDefault="00790ADA" w:rsidP="00441B6F">
      <w:pPr>
        <w:pStyle w:val="ReferHead"/>
        <w:spacing w:after="0"/>
        <w:jc w:val="both"/>
        <w:rPr>
          <w:rFonts w:ascii="Arial" w:hAnsi="Arial" w:cs="Arial"/>
        </w:rPr>
      </w:pPr>
    </w:p>
    <w:p w14:paraId="0E484CA8" w14:textId="77777777" w:rsidR="00977277" w:rsidRDefault="00977277" w:rsidP="00E967A3">
      <w:pPr>
        <w:pStyle w:val="Body"/>
        <w:numPr>
          <w:ilvl w:val="0"/>
          <w:numId w:val="32"/>
        </w:numPr>
        <w:spacing w:after="0"/>
        <w:rPr>
          <w:lang w:val="en-ID"/>
        </w:rPr>
      </w:pPr>
      <w:r w:rsidRPr="00977277">
        <w:t xml:space="preserve">Agrawal, S. (2023). </w:t>
      </w:r>
      <w:r w:rsidRPr="00977277">
        <w:rPr>
          <w:i/>
          <w:iCs/>
        </w:rPr>
        <w:t>The role of financial statements in understanding a company’s financial position and preparing and analyzing such statements</w:t>
      </w:r>
      <w:r w:rsidRPr="00977277">
        <w:t xml:space="preserve">. </w:t>
      </w:r>
      <w:r w:rsidRPr="00977277">
        <w:rPr>
          <w:i/>
          <w:iCs/>
        </w:rPr>
        <w:t>International Journal of Social Science &amp; Economic Research, 8</w:t>
      </w:r>
      <w:r w:rsidRPr="00977277">
        <w:t xml:space="preserve">(7), 1833–1846. </w:t>
      </w:r>
      <w:hyperlink r:id="rId14" w:history="1">
        <w:r w:rsidR="001C4746" w:rsidRPr="004A7E99">
          <w:rPr>
            <w:rStyle w:val="Hyperlink"/>
          </w:rPr>
          <w:t>https://doi.org/10.46609/ijsser.2023.v08i07.012</w:t>
        </w:r>
      </w:hyperlink>
      <w:r w:rsidR="001C4746">
        <w:t xml:space="preserve"> </w:t>
      </w:r>
    </w:p>
    <w:p w14:paraId="06B17BC3" w14:textId="77777777" w:rsidR="002616A4" w:rsidRPr="0005237A" w:rsidRDefault="002616A4" w:rsidP="00E967A3">
      <w:pPr>
        <w:pStyle w:val="Body"/>
        <w:numPr>
          <w:ilvl w:val="0"/>
          <w:numId w:val="32"/>
        </w:numPr>
        <w:spacing w:after="0"/>
        <w:rPr>
          <w:lang w:val="nl-BE"/>
        </w:rPr>
      </w:pPr>
      <w:r w:rsidRPr="002616A4">
        <w:rPr>
          <w:lang w:val="en-ID"/>
        </w:rPr>
        <w:t xml:space="preserve">Arif, A., &amp; </w:t>
      </w:r>
      <w:proofErr w:type="spellStart"/>
      <w:r w:rsidRPr="002616A4">
        <w:rPr>
          <w:lang w:val="en-ID"/>
        </w:rPr>
        <w:t>Agustiningsih</w:t>
      </w:r>
      <w:proofErr w:type="spellEnd"/>
      <w:r w:rsidRPr="002616A4">
        <w:rPr>
          <w:lang w:val="en-ID"/>
        </w:rPr>
        <w:t xml:space="preserve">, W. (2024). </w:t>
      </w:r>
      <w:proofErr w:type="spellStart"/>
      <w:r w:rsidRPr="002616A4">
        <w:rPr>
          <w:lang w:val="en-ID"/>
        </w:rPr>
        <w:t>Analisis</w:t>
      </w:r>
      <w:proofErr w:type="spellEnd"/>
      <w:r w:rsidRPr="002616A4">
        <w:rPr>
          <w:lang w:val="en-ID"/>
        </w:rPr>
        <w:t xml:space="preserve"> </w:t>
      </w:r>
      <w:proofErr w:type="spellStart"/>
      <w:r w:rsidRPr="002616A4">
        <w:rPr>
          <w:lang w:val="en-ID"/>
        </w:rPr>
        <w:t>pengungkapan</w:t>
      </w:r>
      <w:proofErr w:type="spellEnd"/>
      <w:r w:rsidRPr="002616A4">
        <w:rPr>
          <w:lang w:val="en-ID"/>
        </w:rPr>
        <w:t xml:space="preserve"> </w:t>
      </w:r>
      <w:proofErr w:type="spellStart"/>
      <w:r w:rsidRPr="002616A4">
        <w:rPr>
          <w:lang w:val="en-ID"/>
        </w:rPr>
        <w:t>laporan</w:t>
      </w:r>
      <w:proofErr w:type="spellEnd"/>
      <w:r w:rsidRPr="002616A4">
        <w:rPr>
          <w:lang w:val="en-ID"/>
        </w:rPr>
        <w:t xml:space="preserve"> </w:t>
      </w:r>
      <w:proofErr w:type="spellStart"/>
      <w:r w:rsidRPr="002616A4">
        <w:rPr>
          <w:lang w:val="en-ID"/>
        </w:rPr>
        <w:t>keuangan</w:t>
      </w:r>
      <w:proofErr w:type="spellEnd"/>
      <w:r w:rsidRPr="002616A4">
        <w:rPr>
          <w:lang w:val="en-ID"/>
        </w:rPr>
        <w:t xml:space="preserve"> </w:t>
      </w:r>
      <w:proofErr w:type="spellStart"/>
      <w:r w:rsidRPr="002616A4">
        <w:rPr>
          <w:lang w:val="en-ID"/>
        </w:rPr>
        <w:t>segmentasi</w:t>
      </w:r>
      <w:proofErr w:type="spellEnd"/>
      <w:r w:rsidRPr="002616A4">
        <w:rPr>
          <w:lang w:val="en-ID"/>
        </w:rPr>
        <w:t xml:space="preserve">. </w:t>
      </w:r>
      <w:r w:rsidRPr="0005237A">
        <w:rPr>
          <w:i/>
          <w:iCs/>
          <w:lang w:val="nl-BE"/>
        </w:rPr>
        <w:t>KEUANGAN SEGMENTASI, 3</w:t>
      </w:r>
      <w:r w:rsidRPr="0005237A">
        <w:rPr>
          <w:lang w:val="nl-BE"/>
        </w:rPr>
        <w:t>(4), 222–232.</w:t>
      </w:r>
      <w:r w:rsidR="003644D3" w:rsidRPr="0005237A">
        <w:rPr>
          <w:lang w:val="nl-BE"/>
        </w:rPr>
        <w:t xml:space="preserve"> </w:t>
      </w:r>
      <w:hyperlink r:id="rId15" w:history="1">
        <w:r w:rsidR="003644D3" w:rsidRPr="0005237A">
          <w:rPr>
            <w:rStyle w:val="Hyperlink"/>
            <w:lang w:val="nl-BE"/>
          </w:rPr>
          <w:t>https://doi.org/10.54957/akuntansiku.v3i4.1137</w:t>
        </w:r>
      </w:hyperlink>
      <w:r w:rsidR="003644D3" w:rsidRPr="0005237A">
        <w:rPr>
          <w:lang w:val="nl-BE"/>
        </w:rPr>
        <w:t xml:space="preserve"> </w:t>
      </w:r>
    </w:p>
    <w:p w14:paraId="61E59A31" w14:textId="77777777" w:rsidR="00124743" w:rsidRDefault="00124743" w:rsidP="00E967A3">
      <w:pPr>
        <w:pStyle w:val="Body"/>
        <w:numPr>
          <w:ilvl w:val="0"/>
          <w:numId w:val="32"/>
        </w:numPr>
        <w:spacing w:after="0"/>
        <w:rPr>
          <w:bCs/>
        </w:rPr>
      </w:pPr>
      <w:r w:rsidRPr="0005237A">
        <w:rPr>
          <w:bCs/>
          <w:lang w:val="nl-BE"/>
        </w:rPr>
        <w:t xml:space="preserve">Barth, M. E., Landsman, W. R., &amp; Lang, M. H. (2008). </w:t>
      </w:r>
      <w:r w:rsidRPr="00124743">
        <w:rPr>
          <w:bCs/>
          <w:i/>
          <w:iCs/>
        </w:rPr>
        <w:t>International accounting standards and accounting quality</w:t>
      </w:r>
      <w:r w:rsidRPr="00124743">
        <w:rPr>
          <w:bCs/>
        </w:rPr>
        <w:t xml:space="preserve">. Journal of Accounting Research, 46(3), 467–498. </w:t>
      </w:r>
      <w:hyperlink r:id="rId16" w:history="1">
        <w:r w:rsidRPr="004A7E99">
          <w:rPr>
            <w:rStyle w:val="Hyperlink"/>
            <w:bCs/>
          </w:rPr>
          <w:t>https://doi.org/10.1111/j.1475-679X.2008.00287.x</w:t>
        </w:r>
      </w:hyperlink>
    </w:p>
    <w:p w14:paraId="4059260A" w14:textId="77777777" w:rsidR="00977277" w:rsidRDefault="00977277" w:rsidP="00E967A3">
      <w:pPr>
        <w:pStyle w:val="Body"/>
        <w:numPr>
          <w:ilvl w:val="0"/>
          <w:numId w:val="32"/>
        </w:numPr>
        <w:spacing w:after="0"/>
      </w:pPr>
      <w:proofErr w:type="spellStart"/>
      <w:r>
        <w:t>Cioca</w:t>
      </w:r>
      <w:proofErr w:type="spellEnd"/>
      <w:r>
        <w:t xml:space="preserve">, I. C. (2020). The importance of financial statements in the decision-making process. </w:t>
      </w:r>
      <w:r>
        <w:rPr>
          <w:rStyle w:val="Emphasis"/>
        </w:rPr>
        <w:t xml:space="preserve">Annales Universitatis </w:t>
      </w:r>
      <w:proofErr w:type="spellStart"/>
      <w:r>
        <w:rPr>
          <w:rStyle w:val="Emphasis"/>
        </w:rPr>
        <w:t>Apulensis</w:t>
      </w:r>
      <w:proofErr w:type="spellEnd"/>
      <w:r>
        <w:rPr>
          <w:rStyle w:val="Emphasis"/>
        </w:rPr>
        <w:t xml:space="preserve"> Series </w:t>
      </w:r>
      <w:proofErr w:type="spellStart"/>
      <w:r>
        <w:rPr>
          <w:rStyle w:val="Emphasis"/>
        </w:rPr>
        <w:t>Oeconomica</w:t>
      </w:r>
      <w:proofErr w:type="spellEnd"/>
      <w:r>
        <w:rPr>
          <w:rStyle w:val="Emphasis"/>
        </w:rPr>
        <w:t>, 22</w:t>
      </w:r>
      <w:r>
        <w:t xml:space="preserve">(1), 78–83. </w:t>
      </w:r>
      <w:hyperlink r:id="rId17" w:tgtFrame="_new" w:history="1">
        <w:r>
          <w:rPr>
            <w:rStyle w:val="Hyperlink"/>
          </w:rPr>
          <w:t>https://doi.org/10.29302/oeconomica.2020.22.1.7</w:t>
        </w:r>
      </w:hyperlink>
    </w:p>
    <w:p w14:paraId="31A61C8A" w14:textId="39B43085" w:rsidR="00E86A43" w:rsidRPr="00E86A43" w:rsidRDefault="00E86A43" w:rsidP="00E967A3">
      <w:pPr>
        <w:pStyle w:val="Body"/>
        <w:numPr>
          <w:ilvl w:val="0"/>
          <w:numId w:val="32"/>
        </w:numPr>
        <w:spacing w:after="0"/>
      </w:pPr>
      <w:r w:rsidRPr="00E86A43">
        <w:rPr>
          <w:lang w:val="nl-BE"/>
        </w:rPr>
        <w:t xml:space="preserve">Cole, V., Branson, J., &amp; Breesch, D. (2009). Are users of financial statements of publicly and non-publicly traded companies different or not? An empirical study. SSRN Electronic Journal. </w:t>
      </w:r>
      <w:r>
        <w:rPr>
          <w:lang w:val="nl-BE"/>
        </w:rPr>
        <w:fldChar w:fldCharType="begin"/>
      </w:r>
      <w:r>
        <w:rPr>
          <w:lang w:val="nl-BE"/>
        </w:rPr>
        <w:instrText xml:space="preserve"> HYPERLINK "</w:instrText>
      </w:r>
      <w:r w:rsidRPr="00E86A43">
        <w:rPr>
          <w:lang w:val="nl-BE"/>
        </w:rPr>
        <w:instrText>https://doi.org/10.2139/ssrn.1407566</w:instrText>
      </w:r>
      <w:r>
        <w:rPr>
          <w:lang w:val="nl-BE"/>
        </w:rPr>
        <w:instrText xml:space="preserve">" </w:instrText>
      </w:r>
      <w:r>
        <w:rPr>
          <w:lang w:val="nl-BE"/>
        </w:rPr>
        <w:fldChar w:fldCharType="separate"/>
      </w:r>
      <w:r w:rsidRPr="00C87D4C">
        <w:rPr>
          <w:rStyle w:val="Hyperlink"/>
          <w:lang w:val="nl-BE"/>
        </w:rPr>
        <w:t>https://doi.org/10.2139/ssrn.1407566</w:t>
      </w:r>
      <w:r>
        <w:rPr>
          <w:lang w:val="nl-BE"/>
        </w:rPr>
        <w:fldChar w:fldCharType="end"/>
      </w:r>
    </w:p>
    <w:p w14:paraId="3F4AD924" w14:textId="218620D4" w:rsidR="00DE5383" w:rsidRDefault="00DE5383" w:rsidP="00E967A3">
      <w:pPr>
        <w:pStyle w:val="Body"/>
        <w:numPr>
          <w:ilvl w:val="0"/>
          <w:numId w:val="32"/>
        </w:numPr>
        <w:spacing w:after="0"/>
      </w:pPr>
      <w:proofErr w:type="spellStart"/>
      <w:r w:rsidRPr="00DE5383">
        <w:t>Fama</w:t>
      </w:r>
      <w:proofErr w:type="spellEnd"/>
      <w:r w:rsidRPr="00DE5383">
        <w:t>, E. F. (1970). Efficient capital markets: A review of theory and empirical work. </w:t>
      </w:r>
      <w:r w:rsidRPr="00DE5383">
        <w:rPr>
          <w:i/>
          <w:iCs/>
        </w:rPr>
        <w:t>The journal of Finance</w:t>
      </w:r>
      <w:r w:rsidRPr="00DE5383">
        <w:t>, </w:t>
      </w:r>
      <w:r w:rsidRPr="00DE5383">
        <w:rPr>
          <w:i/>
          <w:iCs/>
        </w:rPr>
        <w:t>25</w:t>
      </w:r>
      <w:r w:rsidRPr="00DE5383">
        <w:t>(2), 383-417.</w:t>
      </w:r>
      <w:r w:rsidR="0052253F">
        <w:t xml:space="preserve"> </w:t>
      </w:r>
      <w:hyperlink r:id="rId18" w:history="1">
        <w:r w:rsidR="0052253F" w:rsidRPr="00BF3887">
          <w:rPr>
            <w:rStyle w:val="Hyperlink"/>
          </w:rPr>
          <w:t>https://doi.org/10.2307/2325486</w:t>
        </w:r>
      </w:hyperlink>
      <w:r w:rsidR="0052253F">
        <w:t xml:space="preserve"> </w:t>
      </w:r>
    </w:p>
    <w:p w14:paraId="3579144B" w14:textId="77777777" w:rsidR="002616A4" w:rsidRPr="002616A4" w:rsidRDefault="002616A4" w:rsidP="00E967A3">
      <w:pPr>
        <w:pStyle w:val="Body"/>
        <w:numPr>
          <w:ilvl w:val="0"/>
          <w:numId w:val="32"/>
        </w:numPr>
        <w:spacing w:after="0"/>
        <w:rPr>
          <w:lang w:val="en-ID"/>
        </w:rPr>
      </w:pPr>
      <w:r w:rsidRPr="002616A4">
        <w:rPr>
          <w:lang w:val="en-ID"/>
        </w:rPr>
        <w:t xml:space="preserve">Gisbert, A., </w:t>
      </w:r>
      <w:proofErr w:type="spellStart"/>
      <w:r w:rsidRPr="002616A4">
        <w:rPr>
          <w:lang w:val="en-ID"/>
        </w:rPr>
        <w:t>Navallas</w:t>
      </w:r>
      <w:proofErr w:type="spellEnd"/>
      <w:r w:rsidRPr="002616A4">
        <w:rPr>
          <w:lang w:val="en-ID"/>
        </w:rPr>
        <w:t xml:space="preserve">, B., &amp; Romero, D. (2024). </w:t>
      </w:r>
      <w:r w:rsidRPr="002616A4">
        <w:rPr>
          <w:i/>
          <w:iCs/>
          <w:lang w:val="en-ID"/>
        </w:rPr>
        <w:t>From IAS 14 to IFRS 8: The role of proprietary and agency costs in shaping financial reporting</w:t>
      </w:r>
      <w:r w:rsidRPr="002616A4">
        <w:rPr>
          <w:lang w:val="en-ID"/>
        </w:rPr>
        <w:t xml:space="preserve"> (pp. 1–40).</w:t>
      </w:r>
      <w:r w:rsidR="00F965DC">
        <w:rPr>
          <w:lang w:val="en-ID"/>
        </w:rPr>
        <w:t xml:space="preserve"> </w:t>
      </w:r>
      <w:hyperlink r:id="rId19" w:history="1">
        <w:r w:rsidR="00F965DC" w:rsidRPr="00BF3887">
          <w:rPr>
            <w:rStyle w:val="Hyperlink"/>
            <w:lang w:val="en-ID"/>
          </w:rPr>
          <w:t>https://dx.doi.org/10.1080/02102412.2024.2329502</w:t>
        </w:r>
      </w:hyperlink>
      <w:r w:rsidR="00F965DC">
        <w:rPr>
          <w:lang w:val="en-ID"/>
        </w:rPr>
        <w:t xml:space="preserve"> </w:t>
      </w:r>
    </w:p>
    <w:p w14:paraId="010C4F67" w14:textId="77777777" w:rsidR="002616A4" w:rsidRPr="002616A4" w:rsidRDefault="002616A4" w:rsidP="00E967A3">
      <w:pPr>
        <w:pStyle w:val="Body"/>
        <w:numPr>
          <w:ilvl w:val="0"/>
          <w:numId w:val="32"/>
        </w:numPr>
        <w:spacing w:after="0"/>
        <w:rPr>
          <w:lang w:val="en-ID"/>
        </w:rPr>
      </w:pPr>
      <w:r w:rsidRPr="002616A4">
        <w:rPr>
          <w:lang w:val="en-ID"/>
        </w:rPr>
        <w:t xml:space="preserve">IFRS Foundation. (2022). </w:t>
      </w:r>
      <w:r w:rsidRPr="002616A4">
        <w:rPr>
          <w:i/>
          <w:iCs/>
          <w:lang w:val="en-ID"/>
        </w:rPr>
        <w:t>IFRS 8: Operating segments</w:t>
      </w:r>
      <w:r w:rsidRPr="002616A4">
        <w:rPr>
          <w:lang w:val="en-ID"/>
        </w:rPr>
        <w:t xml:space="preserve">. </w:t>
      </w:r>
      <w:hyperlink r:id="rId20" w:history="1">
        <w:r w:rsidR="009B373B" w:rsidRPr="00BF3887">
          <w:rPr>
            <w:rStyle w:val="Hyperlink"/>
            <w:lang w:val="en-ID"/>
          </w:rPr>
          <w:t>https://www.ifrs.org/content/dam/ifrs/publications/pdf-standards/english/2022/issued/part-a/ifrs-8-operating-segments.pdf</w:t>
        </w:r>
      </w:hyperlink>
      <w:r w:rsidR="009B373B">
        <w:rPr>
          <w:lang w:val="en-ID"/>
        </w:rPr>
        <w:t xml:space="preserve"> </w:t>
      </w:r>
      <w:r w:rsidR="001E3BE5">
        <w:rPr>
          <w:lang w:val="en-ID"/>
        </w:rPr>
        <w:t xml:space="preserve"> </w:t>
      </w:r>
    </w:p>
    <w:p w14:paraId="5DC94EF0" w14:textId="25D5B8BC" w:rsidR="00E86A43" w:rsidRPr="00E86A43" w:rsidRDefault="00E86A43" w:rsidP="00E967A3">
      <w:pPr>
        <w:pStyle w:val="Body"/>
        <w:numPr>
          <w:ilvl w:val="0"/>
          <w:numId w:val="32"/>
        </w:numPr>
        <w:spacing w:after="0"/>
        <w:rPr>
          <w:b/>
          <w:bCs/>
        </w:rPr>
      </w:pPr>
      <w:proofErr w:type="spellStart"/>
      <w:r w:rsidRPr="00E86A43">
        <w:rPr>
          <w:lang w:val="en-ID"/>
        </w:rPr>
        <w:t>Ikatan</w:t>
      </w:r>
      <w:proofErr w:type="spellEnd"/>
      <w:r w:rsidRPr="00E86A43">
        <w:rPr>
          <w:lang w:val="en-ID"/>
        </w:rPr>
        <w:t xml:space="preserve"> </w:t>
      </w:r>
      <w:proofErr w:type="spellStart"/>
      <w:r w:rsidRPr="00E86A43">
        <w:rPr>
          <w:lang w:val="en-ID"/>
        </w:rPr>
        <w:t>Akuntan</w:t>
      </w:r>
      <w:proofErr w:type="spellEnd"/>
      <w:r w:rsidRPr="00E86A43">
        <w:rPr>
          <w:lang w:val="en-ID"/>
        </w:rPr>
        <w:t xml:space="preserve"> Indonesia. (2019). PSAK 1: </w:t>
      </w:r>
      <w:proofErr w:type="spellStart"/>
      <w:r w:rsidRPr="00E86A43">
        <w:rPr>
          <w:lang w:val="en-ID"/>
        </w:rPr>
        <w:t>Penyajian</w:t>
      </w:r>
      <w:proofErr w:type="spellEnd"/>
      <w:r w:rsidRPr="00E86A43">
        <w:rPr>
          <w:lang w:val="en-ID"/>
        </w:rPr>
        <w:t xml:space="preserve"> </w:t>
      </w:r>
      <w:proofErr w:type="spellStart"/>
      <w:r w:rsidRPr="00E86A43">
        <w:rPr>
          <w:lang w:val="en-ID"/>
        </w:rPr>
        <w:t>laporan</w:t>
      </w:r>
      <w:proofErr w:type="spellEnd"/>
      <w:r w:rsidRPr="00E86A43">
        <w:rPr>
          <w:lang w:val="en-ID"/>
        </w:rPr>
        <w:t xml:space="preserve"> </w:t>
      </w:r>
      <w:proofErr w:type="spellStart"/>
      <w:r w:rsidRPr="00E86A43">
        <w:rPr>
          <w:lang w:val="en-ID"/>
        </w:rPr>
        <w:t>keuangan</w:t>
      </w:r>
      <w:proofErr w:type="spellEnd"/>
      <w:r w:rsidRPr="00E86A43">
        <w:rPr>
          <w:lang w:val="en-ID"/>
        </w:rPr>
        <w:t xml:space="preserve">. In </w:t>
      </w:r>
      <w:proofErr w:type="spellStart"/>
      <w:r w:rsidRPr="00E86A43">
        <w:rPr>
          <w:lang w:val="en-ID"/>
        </w:rPr>
        <w:t>Standar</w:t>
      </w:r>
      <w:proofErr w:type="spellEnd"/>
      <w:r w:rsidRPr="00E86A43">
        <w:rPr>
          <w:lang w:val="en-ID"/>
        </w:rPr>
        <w:t xml:space="preserve"> </w:t>
      </w:r>
      <w:proofErr w:type="spellStart"/>
      <w:r w:rsidRPr="00E86A43">
        <w:rPr>
          <w:lang w:val="en-ID"/>
        </w:rPr>
        <w:t>Akuntansi</w:t>
      </w:r>
      <w:proofErr w:type="spellEnd"/>
      <w:r w:rsidRPr="00E86A43">
        <w:rPr>
          <w:lang w:val="en-ID"/>
        </w:rPr>
        <w:t xml:space="preserve"> </w:t>
      </w:r>
      <w:proofErr w:type="spellStart"/>
      <w:r w:rsidRPr="00E86A43">
        <w:rPr>
          <w:lang w:val="en-ID"/>
        </w:rPr>
        <w:t>Keuangan</w:t>
      </w:r>
      <w:proofErr w:type="spellEnd"/>
      <w:r w:rsidRPr="00E86A43">
        <w:rPr>
          <w:lang w:val="en-ID"/>
        </w:rPr>
        <w:t xml:space="preserve">. </w:t>
      </w:r>
      <w:hyperlink r:id="rId21" w:history="1">
        <w:r w:rsidRPr="00C87D4C">
          <w:rPr>
            <w:rStyle w:val="Hyperlink"/>
            <w:lang w:val="en-ID"/>
          </w:rPr>
          <w:t>https://www.iaiglobal.or.id/v03/standar-akuntansi-keuangan/sak-umum/sak-efektif-per-1-januari-2019</w:t>
        </w:r>
      </w:hyperlink>
    </w:p>
    <w:p w14:paraId="6A1BF0AB" w14:textId="3B7E71FD" w:rsidR="000E43CC" w:rsidRDefault="000E43CC" w:rsidP="00E967A3">
      <w:pPr>
        <w:pStyle w:val="ListParagraph"/>
        <w:numPr>
          <w:ilvl w:val="0"/>
          <w:numId w:val="32"/>
        </w:numPr>
        <w:rPr>
          <w:lang w:val="en-ID"/>
        </w:rPr>
      </w:pPr>
      <w:proofErr w:type="spellStart"/>
      <w:r w:rsidRPr="000E43CC">
        <w:rPr>
          <w:lang w:val="en-ID"/>
        </w:rPr>
        <w:t>Ikatan</w:t>
      </w:r>
      <w:proofErr w:type="spellEnd"/>
      <w:r w:rsidRPr="000E43CC">
        <w:rPr>
          <w:lang w:val="en-ID"/>
        </w:rPr>
        <w:t xml:space="preserve"> </w:t>
      </w:r>
      <w:proofErr w:type="spellStart"/>
      <w:r w:rsidRPr="000E43CC">
        <w:rPr>
          <w:lang w:val="en-ID"/>
        </w:rPr>
        <w:t>Akuntan</w:t>
      </w:r>
      <w:proofErr w:type="spellEnd"/>
      <w:r w:rsidRPr="000E43CC">
        <w:rPr>
          <w:lang w:val="en-ID"/>
        </w:rPr>
        <w:t xml:space="preserve"> Indonesia. (2016). PSAK 3: </w:t>
      </w:r>
      <w:proofErr w:type="spellStart"/>
      <w:r w:rsidRPr="000E43CC">
        <w:rPr>
          <w:lang w:val="en-ID"/>
        </w:rPr>
        <w:t>Laporan</w:t>
      </w:r>
      <w:proofErr w:type="spellEnd"/>
      <w:r w:rsidRPr="000E43CC">
        <w:rPr>
          <w:lang w:val="en-ID"/>
        </w:rPr>
        <w:t xml:space="preserve"> </w:t>
      </w:r>
      <w:proofErr w:type="spellStart"/>
      <w:r w:rsidRPr="000E43CC">
        <w:rPr>
          <w:lang w:val="en-ID"/>
        </w:rPr>
        <w:t>Keuangan</w:t>
      </w:r>
      <w:proofErr w:type="spellEnd"/>
      <w:r w:rsidRPr="000E43CC">
        <w:rPr>
          <w:lang w:val="en-ID"/>
        </w:rPr>
        <w:t xml:space="preserve"> Interim (</w:t>
      </w:r>
      <w:proofErr w:type="spellStart"/>
      <w:r w:rsidRPr="000E43CC">
        <w:rPr>
          <w:lang w:val="en-ID"/>
        </w:rPr>
        <w:t>Penyesuaian</w:t>
      </w:r>
      <w:proofErr w:type="spellEnd"/>
      <w:r w:rsidRPr="000E43CC">
        <w:rPr>
          <w:lang w:val="en-ID"/>
        </w:rPr>
        <w:t xml:space="preserve"> 2016). </w:t>
      </w:r>
      <w:hyperlink r:id="rId22" w:history="1">
        <w:r w:rsidRPr="00C87D4C">
          <w:rPr>
            <w:rStyle w:val="Hyperlink"/>
            <w:lang w:val="en-ID"/>
          </w:rPr>
          <w:t>https://www.iaiglobal.or.id/v03/standar-akuntansi-keuangan/sak-umum/sak-efektif-per-1-januari-2016</w:t>
        </w:r>
      </w:hyperlink>
    </w:p>
    <w:p w14:paraId="1B355EDD" w14:textId="47F3AC0B" w:rsidR="00A518F1" w:rsidRPr="00E967A3" w:rsidRDefault="00A518F1" w:rsidP="00E967A3">
      <w:pPr>
        <w:pStyle w:val="ListParagraph"/>
        <w:numPr>
          <w:ilvl w:val="0"/>
          <w:numId w:val="32"/>
        </w:numPr>
        <w:rPr>
          <w:lang w:val="en-ID"/>
        </w:rPr>
      </w:pPr>
      <w:r w:rsidRPr="00E967A3">
        <w:rPr>
          <w:lang w:val="nl-BE"/>
        </w:rPr>
        <w:t>Jensen, M. C., &amp; Meckling, W. H. (1976). </w:t>
      </w:r>
      <w:r w:rsidRPr="00E967A3">
        <w:rPr>
          <w:lang w:val="en-ID"/>
        </w:rPr>
        <w:t xml:space="preserve">Theory of the firm: Managerial </w:t>
      </w:r>
      <w:proofErr w:type="spellStart"/>
      <w:r w:rsidRPr="00E967A3">
        <w:rPr>
          <w:lang w:val="en-ID"/>
        </w:rPr>
        <w:t>behavior</w:t>
      </w:r>
      <w:proofErr w:type="spellEnd"/>
      <w:r w:rsidRPr="00E967A3">
        <w:rPr>
          <w:lang w:val="en-ID"/>
        </w:rPr>
        <w:t>, agency costs and ownership structure. </w:t>
      </w:r>
      <w:r w:rsidRPr="00E967A3">
        <w:rPr>
          <w:i/>
          <w:iCs/>
          <w:lang w:val="en-ID"/>
        </w:rPr>
        <w:t>Journal of Financial Economics</w:t>
      </w:r>
      <w:r w:rsidRPr="00E967A3">
        <w:rPr>
          <w:lang w:val="en-ID"/>
        </w:rPr>
        <w:t>, 3(4), 305-360. (This article establishes the core agency model in corporate finance). </w:t>
      </w:r>
      <w:hyperlink r:id="rId23" w:history="1">
        <w:r w:rsidR="00994919" w:rsidRPr="00E967A3">
          <w:rPr>
            <w:rStyle w:val="Hyperlink"/>
            <w:lang w:val="en-ID"/>
          </w:rPr>
          <w:t>http://dx.doi.org/10.1016/0304-405X(76)90026-X</w:t>
        </w:r>
      </w:hyperlink>
      <w:r w:rsidR="00994919" w:rsidRPr="00E967A3">
        <w:rPr>
          <w:lang w:val="en-ID"/>
        </w:rPr>
        <w:t xml:space="preserve">. </w:t>
      </w:r>
    </w:p>
    <w:p w14:paraId="69851462" w14:textId="77777777" w:rsidR="002616A4" w:rsidRPr="002616A4" w:rsidRDefault="002616A4" w:rsidP="00E967A3">
      <w:pPr>
        <w:pStyle w:val="Body"/>
        <w:numPr>
          <w:ilvl w:val="0"/>
          <w:numId w:val="32"/>
        </w:numPr>
        <w:spacing w:after="0"/>
        <w:rPr>
          <w:lang w:val="en-ID"/>
        </w:rPr>
      </w:pPr>
      <w:r w:rsidRPr="002616A4">
        <w:rPr>
          <w:lang w:val="en-ID"/>
        </w:rPr>
        <w:t xml:space="preserve">Leftwich, R. W., Watts, R. L., &amp; Zimmerman, J. L. (1981). Voluntary corporate disclosure: The case of interim reporting. </w:t>
      </w:r>
      <w:r w:rsidRPr="002616A4">
        <w:rPr>
          <w:i/>
          <w:iCs/>
          <w:lang w:val="en-ID"/>
        </w:rPr>
        <w:t>Journal of Accounting Research, 19</w:t>
      </w:r>
      <w:r w:rsidRPr="002616A4">
        <w:rPr>
          <w:lang w:val="en-ID"/>
        </w:rPr>
        <w:t xml:space="preserve">, 50–77. </w:t>
      </w:r>
      <w:hyperlink r:id="rId24" w:tgtFrame="_new" w:history="1">
        <w:r w:rsidRPr="002616A4">
          <w:rPr>
            <w:rStyle w:val="Hyperlink"/>
            <w:lang w:val="en-ID"/>
          </w:rPr>
          <w:t>https://doi.org/10.2307/2490984</w:t>
        </w:r>
      </w:hyperlink>
    </w:p>
    <w:p w14:paraId="30622E98" w14:textId="0EE81D2A" w:rsidR="005D4D66" w:rsidRPr="005D4D66" w:rsidRDefault="005D4D66" w:rsidP="00E967A3">
      <w:pPr>
        <w:pStyle w:val="Body"/>
        <w:numPr>
          <w:ilvl w:val="0"/>
          <w:numId w:val="32"/>
        </w:numPr>
        <w:spacing w:after="0"/>
      </w:pPr>
      <w:proofErr w:type="spellStart"/>
      <w:r w:rsidRPr="005D4D66">
        <w:rPr>
          <w:lang w:val="en-ID"/>
        </w:rPr>
        <w:t>Mappanyukki</w:t>
      </w:r>
      <w:proofErr w:type="spellEnd"/>
      <w:r w:rsidRPr="005D4D66">
        <w:rPr>
          <w:lang w:val="en-ID"/>
        </w:rPr>
        <w:t xml:space="preserve">, R., </w:t>
      </w:r>
      <w:proofErr w:type="spellStart"/>
      <w:r w:rsidRPr="005D4D66">
        <w:rPr>
          <w:lang w:val="en-ID"/>
        </w:rPr>
        <w:t>Nengsih</w:t>
      </w:r>
      <w:proofErr w:type="spellEnd"/>
      <w:r w:rsidRPr="005D4D66">
        <w:rPr>
          <w:lang w:val="en-ID"/>
        </w:rPr>
        <w:t xml:space="preserve">, </w:t>
      </w:r>
      <w:proofErr w:type="spellStart"/>
      <w:r w:rsidRPr="005D4D66">
        <w:rPr>
          <w:lang w:val="en-ID"/>
        </w:rPr>
        <w:t>Adiztie</w:t>
      </w:r>
      <w:proofErr w:type="spellEnd"/>
      <w:r w:rsidRPr="005D4D66">
        <w:rPr>
          <w:lang w:val="en-ID"/>
        </w:rPr>
        <w:t xml:space="preserve">, D., </w:t>
      </w:r>
      <w:proofErr w:type="spellStart"/>
      <w:r w:rsidRPr="005D4D66">
        <w:rPr>
          <w:lang w:val="en-ID"/>
        </w:rPr>
        <w:t>Azhar</w:t>
      </w:r>
      <w:proofErr w:type="spellEnd"/>
      <w:r w:rsidRPr="005D4D66">
        <w:rPr>
          <w:lang w:val="en-ID"/>
        </w:rPr>
        <w:t xml:space="preserve">, Z., &amp; </w:t>
      </w:r>
      <w:proofErr w:type="spellStart"/>
      <w:r w:rsidRPr="005D4D66">
        <w:rPr>
          <w:lang w:val="en-ID"/>
        </w:rPr>
        <w:t>Endri</w:t>
      </w:r>
      <w:proofErr w:type="spellEnd"/>
      <w:r w:rsidRPr="005D4D66">
        <w:rPr>
          <w:lang w:val="en-ID"/>
        </w:rPr>
        <w:t xml:space="preserve">, E. (2024). Litigation risk and good corporate governance on audit fees: Moderate role of financial reporting disclosure level. Quality - Access to Success, 25(202), 201–206. </w:t>
      </w:r>
      <w:hyperlink r:id="rId25" w:history="1">
        <w:r w:rsidRPr="00C87D4C">
          <w:rPr>
            <w:rStyle w:val="Hyperlink"/>
            <w:lang w:val="en-ID"/>
          </w:rPr>
          <w:t>https://doi.org/10.47750/QAS/25.202.21</w:t>
        </w:r>
      </w:hyperlink>
    </w:p>
    <w:p w14:paraId="10B50E37" w14:textId="585AD9CB" w:rsidR="00977277" w:rsidRDefault="00977277" w:rsidP="00E967A3">
      <w:pPr>
        <w:pStyle w:val="Body"/>
        <w:numPr>
          <w:ilvl w:val="0"/>
          <w:numId w:val="32"/>
        </w:numPr>
        <w:spacing w:after="0"/>
      </w:pPr>
      <w:proofErr w:type="spellStart"/>
      <w:r>
        <w:lastRenderedPageBreak/>
        <w:t>Mujitahid</w:t>
      </w:r>
      <w:proofErr w:type="spellEnd"/>
      <w:r>
        <w:t xml:space="preserve">, L. Z. M., Komala, I. I., Putra, K. Y. M., Rahmawati, I., </w:t>
      </w:r>
      <w:proofErr w:type="spellStart"/>
      <w:r>
        <w:t>Agustiningsih</w:t>
      </w:r>
      <w:proofErr w:type="spellEnd"/>
      <w:r>
        <w:t xml:space="preserve">, W., &amp; Sani, A. (2024). </w:t>
      </w:r>
      <w:proofErr w:type="spellStart"/>
      <w:r>
        <w:t>Analisis</w:t>
      </w:r>
      <w:proofErr w:type="spellEnd"/>
      <w:r>
        <w:t xml:space="preserve"> </w:t>
      </w:r>
      <w:proofErr w:type="spellStart"/>
      <w:r>
        <w:t>implementasi</w:t>
      </w:r>
      <w:proofErr w:type="spellEnd"/>
      <w:r>
        <w:t xml:space="preserve"> PSAK 108 &amp; PSAK 234 pada PT Indofood CBP </w:t>
      </w:r>
      <w:proofErr w:type="spellStart"/>
      <w:r>
        <w:t>Sukses</w:t>
      </w:r>
      <w:proofErr w:type="spellEnd"/>
      <w:r>
        <w:t xml:space="preserve"> </w:t>
      </w:r>
      <w:proofErr w:type="spellStart"/>
      <w:r>
        <w:t>Makmur</w:t>
      </w:r>
      <w:proofErr w:type="spellEnd"/>
      <w:r>
        <w:t xml:space="preserve"> </w:t>
      </w:r>
      <w:proofErr w:type="spellStart"/>
      <w:r>
        <w:t>Tbk</w:t>
      </w:r>
      <w:proofErr w:type="spellEnd"/>
      <w:r>
        <w:t xml:space="preserve">. </w:t>
      </w:r>
      <w:proofErr w:type="spellStart"/>
      <w:r>
        <w:rPr>
          <w:rStyle w:val="Emphasis"/>
        </w:rPr>
        <w:t>Jurnal</w:t>
      </w:r>
      <w:proofErr w:type="spellEnd"/>
      <w:r>
        <w:rPr>
          <w:rStyle w:val="Emphasis"/>
        </w:rPr>
        <w:t xml:space="preserve"> </w:t>
      </w:r>
      <w:proofErr w:type="spellStart"/>
      <w:r>
        <w:rPr>
          <w:rStyle w:val="Emphasis"/>
        </w:rPr>
        <w:t>Riset</w:t>
      </w:r>
      <w:proofErr w:type="spellEnd"/>
      <w:r>
        <w:rPr>
          <w:rStyle w:val="Emphasis"/>
        </w:rPr>
        <w:t xml:space="preserve"> </w:t>
      </w:r>
      <w:proofErr w:type="spellStart"/>
      <w:r>
        <w:rPr>
          <w:rStyle w:val="Emphasis"/>
        </w:rPr>
        <w:t>Mahasiswa</w:t>
      </w:r>
      <w:proofErr w:type="spellEnd"/>
      <w:r>
        <w:rPr>
          <w:rStyle w:val="Emphasis"/>
        </w:rPr>
        <w:t xml:space="preserve"> </w:t>
      </w:r>
      <w:proofErr w:type="spellStart"/>
      <w:r>
        <w:rPr>
          <w:rStyle w:val="Emphasis"/>
        </w:rPr>
        <w:t>Akuntansi</w:t>
      </w:r>
      <w:proofErr w:type="spellEnd"/>
      <w:r>
        <w:rPr>
          <w:rStyle w:val="Emphasis"/>
        </w:rPr>
        <w:t>, 4</w:t>
      </w:r>
      <w:r>
        <w:t xml:space="preserve">(4), 616–624. </w:t>
      </w:r>
      <w:hyperlink r:id="rId26" w:tgtFrame="_new" w:history="1">
        <w:r>
          <w:rPr>
            <w:rStyle w:val="Hyperlink"/>
          </w:rPr>
          <w:t>https://doi.org/10.29303/risma.v4i4.1398</w:t>
        </w:r>
      </w:hyperlink>
    </w:p>
    <w:p w14:paraId="31003CEF" w14:textId="77777777" w:rsidR="005163F7" w:rsidRPr="005163F7" w:rsidRDefault="005163F7" w:rsidP="00E967A3">
      <w:pPr>
        <w:pStyle w:val="Body"/>
        <w:numPr>
          <w:ilvl w:val="0"/>
          <w:numId w:val="32"/>
        </w:numPr>
        <w:spacing w:after="0"/>
      </w:pPr>
      <w:proofErr w:type="spellStart"/>
      <w:r w:rsidRPr="005163F7">
        <w:rPr>
          <w:lang w:val="en-ID"/>
        </w:rPr>
        <w:t>Noviana</w:t>
      </w:r>
      <w:proofErr w:type="spellEnd"/>
      <w:r w:rsidRPr="005163F7">
        <w:rPr>
          <w:lang w:val="en-ID"/>
        </w:rPr>
        <w:t xml:space="preserve">, Y., Aminah, S., </w:t>
      </w:r>
      <w:proofErr w:type="spellStart"/>
      <w:r w:rsidRPr="005163F7">
        <w:rPr>
          <w:lang w:val="en-ID"/>
        </w:rPr>
        <w:t>Golvanika</w:t>
      </w:r>
      <w:proofErr w:type="spellEnd"/>
      <w:r w:rsidRPr="005163F7">
        <w:rPr>
          <w:lang w:val="en-ID"/>
        </w:rPr>
        <w:t xml:space="preserve">, D., Kurniawan, L., </w:t>
      </w:r>
      <w:proofErr w:type="spellStart"/>
      <w:r w:rsidRPr="005163F7">
        <w:rPr>
          <w:lang w:val="en-ID"/>
        </w:rPr>
        <w:t>Sucipto</w:t>
      </w:r>
      <w:proofErr w:type="spellEnd"/>
      <w:r w:rsidRPr="005163F7">
        <w:rPr>
          <w:lang w:val="en-ID"/>
        </w:rPr>
        <w:t xml:space="preserve">, M., &amp; </w:t>
      </w:r>
      <w:proofErr w:type="spellStart"/>
      <w:r w:rsidRPr="005163F7">
        <w:rPr>
          <w:lang w:val="en-ID"/>
        </w:rPr>
        <w:t>Agustiningsih</w:t>
      </w:r>
      <w:proofErr w:type="spellEnd"/>
      <w:r w:rsidRPr="005163F7">
        <w:rPr>
          <w:lang w:val="en-ID"/>
        </w:rPr>
        <w:t xml:space="preserve">, W. (2024). </w:t>
      </w:r>
      <w:proofErr w:type="spellStart"/>
      <w:r w:rsidRPr="005163F7">
        <w:rPr>
          <w:lang w:val="en-ID"/>
        </w:rPr>
        <w:t>Analisis</w:t>
      </w:r>
      <w:proofErr w:type="spellEnd"/>
      <w:r w:rsidRPr="005163F7">
        <w:rPr>
          <w:lang w:val="en-ID"/>
        </w:rPr>
        <w:t xml:space="preserve"> </w:t>
      </w:r>
      <w:proofErr w:type="spellStart"/>
      <w:r w:rsidRPr="005163F7">
        <w:rPr>
          <w:lang w:val="en-ID"/>
        </w:rPr>
        <w:t>Kesesuaian</w:t>
      </w:r>
      <w:proofErr w:type="spellEnd"/>
      <w:r w:rsidRPr="005163F7">
        <w:rPr>
          <w:lang w:val="en-ID"/>
        </w:rPr>
        <w:t xml:space="preserve"> </w:t>
      </w:r>
      <w:proofErr w:type="spellStart"/>
      <w:r w:rsidRPr="005163F7">
        <w:rPr>
          <w:lang w:val="en-ID"/>
        </w:rPr>
        <w:t>Pelaporan</w:t>
      </w:r>
      <w:proofErr w:type="spellEnd"/>
      <w:r w:rsidRPr="005163F7">
        <w:rPr>
          <w:lang w:val="en-ID"/>
        </w:rPr>
        <w:t xml:space="preserve"> </w:t>
      </w:r>
      <w:proofErr w:type="spellStart"/>
      <w:r w:rsidRPr="005163F7">
        <w:rPr>
          <w:lang w:val="en-ID"/>
        </w:rPr>
        <w:t>Keuangan</w:t>
      </w:r>
      <w:proofErr w:type="spellEnd"/>
      <w:r w:rsidRPr="005163F7">
        <w:rPr>
          <w:lang w:val="en-ID"/>
        </w:rPr>
        <w:t xml:space="preserve"> </w:t>
      </w:r>
      <w:proofErr w:type="spellStart"/>
      <w:r w:rsidRPr="005163F7">
        <w:rPr>
          <w:lang w:val="en-ID"/>
        </w:rPr>
        <w:t>Segmen</w:t>
      </w:r>
      <w:proofErr w:type="spellEnd"/>
      <w:r w:rsidRPr="005163F7">
        <w:rPr>
          <w:lang w:val="en-ID"/>
        </w:rPr>
        <w:t xml:space="preserve"> dan Interim </w:t>
      </w:r>
      <w:proofErr w:type="spellStart"/>
      <w:r w:rsidRPr="005163F7">
        <w:rPr>
          <w:lang w:val="en-ID"/>
        </w:rPr>
        <w:t>Berdasarkan</w:t>
      </w:r>
      <w:proofErr w:type="spellEnd"/>
      <w:r w:rsidRPr="005163F7">
        <w:rPr>
          <w:lang w:val="en-ID"/>
        </w:rPr>
        <w:t xml:space="preserve"> PSAK 234, 108, IFRS 8, dan IAS 34: </w:t>
      </w:r>
      <w:proofErr w:type="spellStart"/>
      <w:r w:rsidRPr="005163F7">
        <w:rPr>
          <w:lang w:val="en-ID"/>
        </w:rPr>
        <w:t>Studi</w:t>
      </w:r>
      <w:proofErr w:type="spellEnd"/>
      <w:r w:rsidRPr="005163F7">
        <w:rPr>
          <w:lang w:val="en-ID"/>
        </w:rPr>
        <w:t xml:space="preserve"> </w:t>
      </w:r>
      <w:proofErr w:type="spellStart"/>
      <w:r w:rsidRPr="005163F7">
        <w:rPr>
          <w:lang w:val="en-ID"/>
        </w:rPr>
        <w:t>Kasus</w:t>
      </w:r>
      <w:proofErr w:type="spellEnd"/>
      <w:r w:rsidRPr="005163F7">
        <w:rPr>
          <w:lang w:val="en-ID"/>
        </w:rPr>
        <w:t xml:space="preserve"> PT </w:t>
      </w:r>
      <w:proofErr w:type="spellStart"/>
      <w:r w:rsidRPr="005163F7">
        <w:rPr>
          <w:lang w:val="en-ID"/>
        </w:rPr>
        <w:t>Pertamina</w:t>
      </w:r>
      <w:proofErr w:type="spellEnd"/>
      <w:r w:rsidRPr="005163F7">
        <w:rPr>
          <w:lang w:val="en-ID"/>
        </w:rPr>
        <w:t xml:space="preserve"> Geothermal Energy </w:t>
      </w:r>
      <w:proofErr w:type="spellStart"/>
      <w:r w:rsidRPr="005163F7">
        <w:rPr>
          <w:lang w:val="en-ID"/>
        </w:rPr>
        <w:t>Tahun</w:t>
      </w:r>
      <w:proofErr w:type="spellEnd"/>
      <w:r w:rsidRPr="005163F7">
        <w:rPr>
          <w:lang w:val="en-ID"/>
        </w:rPr>
        <w:t xml:space="preserve"> 2023. Journal of Macroeconomics and Social Development, 2(1), 10-10.</w:t>
      </w:r>
    </w:p>
    <w:p w14:paraId="75E94D43" w14:textId="77777777" w:rsidR="005163F7" w:rsidRPr="005163F7" w:rsidRDefault="005163F7" w:rsidP="00E967A3">
      <w:pPr>
        <w:pStyle w:val="Body"/>
        <w:numPr>
          <w:ilvl w:val="0"/>
          <w:numId w:val="32"/>
        </w:numPr>
        <w:spacing w:after="0"/>
        <w:rPr>
          <w:lang w:val="en-ID"/>
        </w:rPr>
      </w:pPr>
      <w:proofErr w:type="spellStart"/>
      <w:r w:rsidRPr="005163F7">
        <w:t>Septyanto</w:t>
      </w:r>
      <w:proofErr w:type="spellEnd"/>
      <w:r w:rsidRPr="005163F7">
        <w:t xml:space="preserve">, D. (2013). </w:t>
      </w:r>
      <w:proofErr w:type="spellStart"/>
      <w:r w:rsidRPr="005163F7">
        <w:t>faktor-faktor</w:t>
      </w:r>
      <w:proofErr w:type="spellEnd"/>
      <w:r w:rsidRPr="005163F7">
        <w:t xml:space="preserve"> yang </w:t>
      </w:r>
      <w:proofErr w:type="spellStart"/>
      <w:r w:rsidRPr="005163F7">
        <w:t>mempengaruhi</w:t>
      </w:r>
      <w:proofErr w:type="spellEnd"/>
      <w:r w:rsidRPr="005163F7">
        <w:t xml:space="preserve"> investor </w:t>
      </w:r>
      <w:proofErr w:type="spellStart"/>
      <w:r w:rsidRPr="005163F7">
        <w:t>individu</w:t>
      </w:r>
      <w:proofErr w:type="spellEnd"/>
      <w:r w:rsidRPr="005163F7">
        <w:t xml:space="preserve"> </w:t>
      </w:r>
      <w:proofErr w:type="spellStart"/>
      <w:r w:rsidRPr="005163F7">
        <w:t>dalam</w:t>
      </w:r>
      <w:proofErr w:type="spellEnd"/>
      <w:r w:rsidRPr="005163F7">
        <w:t xml:space="preserve"> </w:t>
      </w:r>
      <w:proofErr w:type="spellStart"/>
      <w:r w:rsidRPr="005163F7">
        <w:t>pengambilan</w:t>
      </w:r>
      <w:proofErr w:type="spellEnd"/>
      <w:r w:rsidRPr="005163F7">
        <w:t xml:space="preserve"> </w:t>
      </w:r>
      <w:proofErr w:type="spellStart"/>
      <w:r w:rsidRPr="005163F7">
        <w:t>keputusan</w:t>
      </w:r>
      <w:proofErr w:type="spellEnd"/>
      <w:r w:rsidRPr="005163F7">
        <w:t xml:space="preserve"> </w:t>
      </w:r>
      <w:proofErr w:type="spellStart"/>
      <w:r w:rsidRPr="005163F7">
        <w:t>investasi</w:t>
      </w:r>
      <w:proofErr w:type="spellEnd"/>
      <w:r w:rsidRPr="005163F7">
        <w:t xml:space="preserve"> </w:t>
      </w:r>
      <w:proofErr w:type="spellStart"/>
      <w:r w:rsidRPr="005163F7">
        <w:t>sekuritas</w:t>
      </w:r>
      <w:proofErr w:type="spellEnd"/>
      <w:r w:rsidRPr="005163F7">
        <w:t xml:space="preserve"> di bursa </w:t>
      </w:r>
      <w:proofErr w:type="spellStart"/>
      <w:r w:rsidRPr="005163F7">
        <w:t>efek</w:t>
      </w:r>
      <w:proofErr w:type="spellEnd"/>
      <w:r w:rsidRPr="005163F7">
        <w:t xml:space="preserve"> </w:t>
      </w:r>
      <w:proofErr w:type="spellStart"/>
      <w:r w:rsidRPr="005163F7">
        <w:t>indonesia</w:t>
      </w:r>
      <w:proofErr w:type="spellEnd"/>
      <w:r w:rsidRPr="005163F7">
        <w:t xml:space="preserve"> (BEI). </w:t>
      </w:r>
      <w:proofErr w:type="spellStart"/>
      <w:r w:rsidRPr="005163F7">
        <w:t>Jurnal</w:t>
      </w:r>
      <w:proofErr w:type="spellEnd"/>
      <w:r w:rsidRPr="005163F7">
        <w:t xml:space="preserve"> </w:t>
      </w:r>
      <w:proofErr w:type="spellStart"/>
      <w:r w:rsidRPr="005163F7">
        <w:t>Ekonomi</w:t>
      </w:r>
      <w:proofErr w:type="spellEnd"/>
      <w:r w:rsidRPr="005163F7">
        <w:t xml:space="preserve"> </w:t>
      </w:r>
      <w:proofErr w:type="spellStart"/>
      <w:r w:rsidRPr="005163F7">
        <w:t>Universitas</w:t>
      </w:r>
      <w:proofErr w:type="spellEnd"/>
      <w:r w:rsidRPr="005163F7">
        <w:t xml:space="preserve"> </w:t>
      </w:r>
      <w:proofErr w:type="spellStart"/>
      <w:r w:rsidRPr="005163F7">
        <w:t>Esa</w:t>
      </w:r>
      <w:proofErr w:type="spellEnd"/>
      <w:r w:rsidRPr="005163F7">
        <w:t xml:space="preserve"> </w:t>
      </w:r>
      <w:proofErr w:type="spellStart"/>
      <w:r w:rsidRPr="005163F7">
        <w:t>Unggul</w:t>
      </w:r>
      <w:proofErr w:type="spellEnd"/>
      <w:r w:rsidRPr="005163F7">
        <w:t>, 4(2), 17907.</w:t>
      </w:r>
    </w:p>
    <w:p w14:paraId="258A5ECB" w14:textId="0D1190B6" w:rsidR="00977277" w:rsidRDefault="002616A4" w:rsidP="00E967A3">
      <w:pPr>
        <w:pStyle w:val="Body"/>
        <w:numPr>
          <w:ilvl w:val="0"/>
          <w:numId w:val="32"/>
        </w:numPr>
        <w:spacing w:after="0"/>
        <w:rPr>
          <w:lang w:val="en-ID"/>
        </w:rPr>
      </w:pPr>
      <w:bookmarkStart w:id="0" w:name="_GoBack"/>
      <w:bookmarkEnd w:id="0"/>
      <w:r w:rsidRPr="002616A4">
        <w:rPr>
          <w:lang w:val="en-ID"/>
        </w:rPr>
        <w:t xml:space="preserve">Scott, W. R. (2015). </w:t>
      </w:r>
      <w:r w:rsidRPr="002616A4">
        <w:rPr>
          <w:i/>
          <w:iCs/>
          <w:lang w:val="en-ID"/>
        </w:rPr>
        <w:t>Financial accounting theory</w:t>
      </w:r>
      <w:r w:rsidRPr="002616A4">
        <w:rPr>
          <w:lang w:val="en-ID"/>
        </w:rPr>
        <w:t xml:space="preserve"> (7th ed.). Prentice-Hall</w:t>
      </w:r>
      <w:r w:rsidR="00BE4E21">
        <w:rPr>
          <w:lang w:val="en-ID"/>
        </w:rPr>
        <w:t xml:space="preserve">. </w:t>
      </w:r>
      <w:hyperlink r:id="rId27" w:history="1">
        <w:r w:rsidR="00793827" w:rsidRPr="00BF3887">
          <w:rPr>
            <w:rStyle w:val="Hyperlink"/>
            <w:lang w:val="en-ID"/>
          </w:rPr>
          <w:t>https://books.google.co.id/books/about/Financial_Accounting_Theory.html?hl=id&amp;id=4oZxngEACAAJ&amp;redir_esc=y</w:t>
        </w:r>
      </w:hyperlink>
      <w:r w:rsidR="00793827">
        <w:rPr>
          <w:lang w:val="en-ID"/>
        </w:rPr>
        <w:t xml:space="preserve"> </w:t>
      </w:r>
    </w:p>
    <w:p w14:paraId="4863654A" w14:textId="77777777" w:rsidR="002616A4" w:rsidRDefault="00977277" w:rsidP="00E967A3">
      <w:pPr>
        <w:pStyle w:val="Body"/>
        <w:numPr>
          <w:ilvl w:val="0"/>
          <w:numId w:val="32"/>
        </w:numPr>
        <w:spacing w:after="0"/>
        <w:rPr>
          <w:lang w:val="en-ID"/>
        </w:rPr>
      </w:pPr>
      <w:proofErr w:type="spellStart"/>
      <w:r>
        <w:t>Situmorang</w:t>
      </w:r>
      <w:proofErr w:type="spellEnd"/>
      <w:r>
        <w:t xml:space="preserve">, P. (2023). </w:t>
      </w:r>
      <w:r>
        <w:rPr>
          <w:rStyle w:val="Emphasis"/>
        </w:rPr>
        <w:t>Segment and interim financial reporting</w:t>
      </w:r>
      <w:r>
        <w:t xml:space="preserve">. </w:t>
      </w:r>
      <w:r>
        <w:rPr>
          <w:rStyle w:val="Emphasis"/>
        </w:rPr>
        <w:t>SSRN Electronic Journal</w:t>
      </w:r>
      <w:r>
        <w:t xml:space="preserve">. </w:t>
      </w:r>
      <w:hyperlink r:id="rId28" w:tgtFrame="_new" w:history="1">
        <w:r>
          <w:rPr>
            <w:rStyle w:val="Hyperlink"/>
          </w:rPr>
          <w:t>https://doi.org/10.2139/ssrn.4344686</w:t>
        </w:r>
      </w:hyperlink>
    </w:p>
    <w:p w14:paraId="2831B607" w14:textId="77777777" w:rsidR="0071265C" w:rsidRPr="002616A4" w:rsidRDefault="0071265C" w:rsidP="00E967A3">
      <w:pPr>
        <w:pStyle w:val="Body"/>
        <w:numPr>
          <w:ilvl w:val="0"/>
          <w:numId w:val="32"/>
        </w:numPr>
        <w:spacing w:after="0"/>
        <w:rPr>
          <w:lang w:val="en-ID"/>
        </w:rPr>
      </w:pPr>
      <w:r w:rsidRPr="0005237A">
        <w:rPr>
          <w:rFonts w:ascii="Arial" w:hAnsi="Arial" w:cs="Arial"/>
          <w:color w:val="222222"/>
          <w:shd w:val="clear" w:color="auto" w:fill="FFFFFF"/>
          <w:lang w:val="nl-BE"/>
        </w:rPr>
        <w:t>Weygandt, J. J., Kimmel, P. D., &amp; Kieso, D. E. (2018). </w:t>
      </w:r>
      <w:r>
        <w:rPr>
          <w:rFonts w:ascii="Arial" w:hAnsi="Arial" w:cs="Arial"/>
          <w:i/>
          <w:iCs/>
          <w:color w:val="222222"/>
          <w:shd w:val="clear" w:color="auto" w:fill="FFFFFF"/>
        </w:rPr>
        <w:t>Financial accounting with international financial reporting standards</w:t>
      </w:r>
      <w:r>
        <w:rPr>
          <w:rFonts w:ascii="Arial" w:hAnsi="Arial" w:cs="Arial"/>
          <w:color w:val="222222"/>
          <w:shd w:val="clear" w:color="auto" w:fill="FFFFFF"/>
        </w:rPr>
        <w:t xml:space="preserve">. John Wiley &amp; Sons. </w:t>
      </w:r>
      <w:hyperlink r:id="rId29" w:anchor="v=onepage&amp;q&amp;f=false" w:history="1">
        <w:r w:rsidRPr="00BF3887">
          <w:rPr>
            <w:rStyle w:val="Hyperlink"/>
            <w:rFonts w:ascii="Arial" w:hAnsi="Arial" w:cs="Arial"/>
            <w:shd w:val="clear" w:color="auto" w:fill="FFFFFF"/>
          </w:rPr>
          <w:t>https://books.google.co.id/books?id=aCDHDwAAQBAJ&amp;printsec=frontcover#v=onepage&amp;q&amp;f=false</w:t>
        </w:r>
      </w:hyperlink>
      <w:r>
        <w:rPr>
          <w:rFonts w:ascii="Arial" w:hAnsi="Arial" w:cs="Arial"/>
          <w:color w:val="222222"/>
          <w:shd w:val="clear" w:color="auto" w:fill="FFFFFF"/>
        </w:rPr>
        <w:t xml:space="preserve"> </w:t>
      </w:r>
    </w:p>
    <w:p w14:paraId="162104D6" w14:textId="77777777" w:rsidR="002616A4" w:rsidRDefault="002616A4" w:rsidP="00441B6F">
      <w:pPr>
        <w:pStyle w:val="Body"/>
        <w:spacing w:after="0"/>
      </w:pPr>
    </w:p>
    <w:p w14:paraId="0BC33480" w14:textId="77777777" w:rsidR="00790ADA" w:rsidRPr="00FB3A86" w:rsidRDefault="00790ADA" w:rsidP="00441B6F">
      <w:pPr>
        <w:pStyle w:val="Body"/>
        <w:spacing w:after="0"/>
        <w:rPr>
          <w:rFonts w:ascii="Arial" w:hAnsi="Arial" w:cs="Arial"/>
        </w:rPr>
      </w:pPr>
    </w:p>
    <w:p w14:paraId="5AC1D329" w14:textId="77777777" w:rsidR="00B01FCD" w:rsidRPr="00FB3A86" w:rsidRDefault="00B01FCD" w:rsidP="00441B6F">
      <w:pPr>
        <w:pStyle w:val="Appendix"/>
        <w:spacing w:after="0"/>
        <w:jc w:val="both"/>
        <w:rPr>
          <w:rFonts w:ascii="Arial" w:hAnsi="Arial" w:cs="Arial"/>
          <w:b w:val="0"/>
        </w:rPr>
      </w:pPr>
    </w:p>
    <w:sectPr w:rsidR="00B01FCD" w:rsidRPr="00FB3A86" w:rsidSect="00952833">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3DB57" w14:textId="77777777" w:rsidR="008F2CF7" w:rsidRDefault="008F2CF7" w:rsidP="00C37E61">
      <w:r>
        <w:separator/>
      </w:r>
    </w:p>
  </w:endnote>
  <w:endnote w:type="continuationSeparator" w:id="0">
    <w:p w14:paraId="599C7DC3" w14:textId="77777777" w:rsidR="008F2CF7" w:rsidRDefault="008F2C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331C" w14:textId="77777777" w:rsidR="006152D4" w:rsidRDefault="0061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AEDE" w14:textId="77777777" w:rsidR="00C37E61" w:rsidRPr="00797C3D" w:rsidRDefault="009E1D75" w:rsidP="00797C3D">
    <w:pPr>
      <w:pStyle w:val="Footer"/>
    </w:pPr>
    <w:r w:rsidRPr="00797C3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6BE0" w14:textId="77777777" w:rsidR="009E048A" w:rsidRDefault="009E048A">
    <w:pPr>
      <w:pStyle w:val="Footer"/>
      <w:rPr>
        <w:rFonts w:ascii="Arial" w:hAnsi="Arial" w:cs="Arial"/>
        <w:sz w:val="16"/>
      </w:rPr>
    </w:pPr>
  </w:p>
  <w:p w14:paraId="4FB53A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688AD32" w14:textId="77777777" w:rsidR="009E048A" w:rsidRDefault="009E048A">
    <w:pPr>
      <w:pStyle w:val="Footer"/>
      <w:rPr>
        <w:rFonts w:ascii="Arial" w:hAnsi="Arial" w:cs="Arial"/>
        <w:sz w:val="16"/>
      </w:rPr>
    </w:pPr>
  </w:p>
  <w:p w14:paraId="74695258" w14:textId="7777777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5D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7B03" w14:textId="77777777" w:rsidR="008F2CF7" w:rsidRDefault="008F2CF7" w:rsidP="00C37E61">
      <w:r>
        <w:separator/>
      </w:r>
    </w:p>
  </w:footnote>
  <w:footnote w:type="continuationSeparator" w:id="0">
    <w:p w14:paraId="2063541D" w14:textId="77777777" w:rsidR="008F2CF7" w:rsidRDefault="008F2C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7C21" w14:textId="77777777" w:rsidR="006152D4" w:rsidRDefault="008F2CF7">
    <w:pPr>
      <w:pStyle w:val="Header"/>
    </w:pPr>
    <w:r>
      <w:rPr>
        <w:noProof/>
      </w:rPr>
      <w:pict w14:anchorId="130A1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4"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45DE" w14:textId="77777777" w:rsidR="006152D4" w:rsidRDefault="008F2CF7">
    <w:pPr>
      <w:pStyle w:val="Header"/>
    </w:pPr>
    <w:r>
      <w:rPr>
        <w:noProof/>
      </w:rPr>
      <w:pict w14:anchorId="046D4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5"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EDCB" w14:textId="77777777" w:rsidR="00296529" w:rsidRPr="00296529" w:rsidRDefault="008F2CF7" w:rsidP="00296529">
    <w:pPr>
      <w:ind w:left="2160"/>
      <w:jc w:val="center"/>
      <w:rPr>
        <w:rFonts w:ascii="Times New Roman" w:eastAsia="Calibri" w:hAnsi="Times New Roman"/>
        <w:i/>
        <w:sz w:val="18"/>
        <w:szCs w:val="22"/>
      </w:rPr>
    </w:pPr>
    <w:r>
      <w:rPr>
        <w:noProof/>
      </w:rPr>
      <w:pict w14:anchorId="6EC1A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3"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A8058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C7FD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42CF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31B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B609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A85A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D515" w14:textId="77777777" w:rsidR="006152D4" w:rsidRDefault="008F2CF7">
    <w:pPr>
      <w:pStyle w:val="Header"/>
    </w:pPr>
    <w:r>
      <w:rPr>
        <w:noProof/>
      </w:rPr>
      <w:pict w14:anchorId="15809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7"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9809C" w14:textId="77777777" w:rsidR="006152D4" w:rsidRDefault="008F2CF7">
    <w:pPr>
      <w:pStyle w:val="Header"/>
    </w:pPr>
    <w:r>
      <w:rPr>
        <w:noProof/>
      </w:rPr>
      <w:pict w14:anchorId="02427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8"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F271" w14:textId="77777777" w:rsidR="006152D4" w:rsidRDefault="008F2CF7">
    <w:pPr>
      <w:pStyle w:val="Header"/>
    </w:pPr>
    <w:r>
      <w:rPr>
        <w:noProof/>
      </w:rPr>
      <w:pict w14:anchorId="4B12B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6"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4775673"/>
    <w:multiLevelType w:val="multilevel"/>
    <w:tmpl w:val="6D4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932FA8"/>
    <w:multiLevelType w:val="hybridMultilevel"/>
    <w:tmpl w:val="0826D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xtrAwNbGwNDE3MDBW0lEKTi0uzszPAykwrAUAoCL0DywAAAA="/>
  </w:docVars>
  <w:rsids>
    <w:rsidRoot w:val="00AA6219"/>
    <w:rsid w:val="00000F8F"/>
    <w:rsid w:val="00010EC4"/>
    <w:rsid w:val="00012988"/>
    <w:rsid w:val="00030174"/>
    <w:rsid w:val="0004135B"/>
    <w:rsid w:val="0004579C"/>
    <w:rsid w:val="00045D5E"/>
    <w:rsid w:val="00051291"/>
    <w:rsid w:val="000512AC"/>
    <w:rsid w:val="00052220"/>
    <w:rsid w:val="0005237A"/>
    <w:rsid w:val="00083FFA"/>
    <w:rsid w:val="000875EF"/>
    <w:rsid w:val="00094B96"/>
    <w:rsid w:val="000A47FA"/>
    <w:rsid w:val="000A65D3"/>
    <w:rsid w:val="000B1E33"/>
    <w:rsid w:val="000C173E"/>
    <w:rsid w:val="000C2AB6"/>
    <w:rsid w:val="000D515C"/>
    <w:rsid w:val="000D6396"/>
    <w:rsid w:val="000D689F"/>
    <w:rsid w:val="000E43CC"/>
    <w:rsid w:val="000E57FB"/>
    <w:rsid w:val="000E7B7B"/>
    <w:rsid w:val="000E7D62"/>
    <w:rsid w:val="000F3BA3"/>
    <w:rsid w:val="00103357"/>
    <w:rsid w:val="001115EF"/>
    <w:rsid w:val="00121C24"/>
    <w:rsid w:val="00123C9F"/>
    <w:rsid w:val="00124743"/>
    <w:rsid w:val="00126190"/>
    <w:rsid w:val="00130F17"/>
    <w:rsid w:val="001320BF"/>
    <w:rsid w:val="0013642D"/>
    <w:rsid w:val="00141970"/>
    <w:rsid w:val="00146306"/>
    <w:rsid w:val="00162E04"/>
    <w:rsid w:val="00163BC4"/>
    <w:rsid w:val="001674E9"/>
    <w:rsid w:val="00191062"/>
    <w:rsid w:val="00192B72"/>
    <w:rsid w:val="001931A3"/>
    <w:rsid w:val="001A19FE"/>
    <w:rsid w:val="001A29D8"/>
    <w:rsid w:val="001A5CAA"/>
    <w:rsid w:val="001B0427"/>
    <w:rsid w:val="001B6CE9"/>
    <w:rsid w:val="001C4746"/>
    <w:rsid w:val="001D3A51"/>
    <w:rsid w:val="001E10D2"/>
    <w:rsid w:val="001E25B4"/>
    <w:rsid w:val="001E345F"/>
    <w:rsid w:val="001E3BE5"/>
    <w:rsid w:val="001E44FE"/>
    <w:rsid w:val="001E5A59"/>
    <w:rsid w:val="001F3744"/>
    <w:rsid w:val="00200595"/>
    <w:rsid w:val="00204835"/>
    <w:rsid w:val="00207990"/>
    <w:rsid w:val="00217D07"/>
    <w:rsid w:val="00231920"/>
    <w:rsid w:val="0023195C"/>
    <w:rsid w:val="00232BE0"/>
    <w:rsid w:val="00240E64"/>
    <w:rsid w:val="0024282C"/>
    <w:rsid w:val="002460DC"/>
    <w:rsid w:val="00250985"/>
    <w:rsid w:val="002530F8"/>
    <w:rsid w:val="002556F6"/>
    <w:rsid w:val="002616A4"/>
    <w:rsid w:val="00261978"/>
    <w:rsid w:val="00283105"/>
    <w:rsid w:val="00283F29"/>
    <w:rsid w:val="00284C4C"/>
    <w:rsid w:val="00287E68"/>
    <w:rsid w:val="002926FC"/>
    <w:rsid w:val="00294287"/>
    <w:rsid w:val="00296529"/>
    <w:rsid w:val="00297C32"/>
    <w:rsid w:val="002B27FB"/>
    <w:rsid w:val="002B3548"/>
    <w:rsid w:val="002B58CD"/>
    <w:rsid w:val="002B685A"/>
    <w:rsid w:val="002C57D2"/>
    <w:rsid w:val="002E0D56"/>
    <w:rsid w:val="002E4B38"/>
    <w:rsid w:val="00315186"/>
    <w:rsid w:val="00320C24"/>
    <w:rsid w:val="00320EC6"/>
    <w:rsid w:val="0032650D"/>
    <w:rsid w:val="00326EF1"/>
    <w:rsid w:val="0033181A"/>
    <w:rsid w:val="0033343E"/>
    <w:rsid w:val="00337C00"/>
    <w:rsid w:val="003512C2"/>
    <w:rsid w:val="003542C7"/>
    <w:rsid w:val="00362777"/>
    <w:rsid w:val="003644D3"/>
    <w:rsid w:val="00371FB6"/>
    <w:rsid w:val="003763C1"/>
    <w:rsid w:val="003769D7"/>
    <w:rsid w:val="00376BBE"/>
    <w:rsid w:val="00390D8D"/>
    <w:rsid w:val="0039224F"/>
    <w:rsid w:val="003A43A4"/>
    <w:rsid w:val="003A6305"/>
    <w:rsid w:val="003A6435"/>
    <w:rsid w:val="003A7E18"/>
    <w:rsid w:val="003B563F"/>
    <w:rsid w:val="003C4C86"/>
    <w:rsid w:val="003C6258"/>
    <w:rsid w:val="003D02AE"/>
    <w:rsid w:val="003E2904"/>
    <w:rsid w:val="003E69F8"/>
    <w:rsid w:val="003F3F1D"/>
    <w:rsid w:val="003F4078"/>
    <w:rsid w:val="00401927"/>
    <w:rsid w:val="0041027F"/>
    <w:rsid w:val="00412475"/>
    <w:rsid w:val="00414DFC"/>
    <w:rsid w:val="0041681F"/>
    <w:rsid w:val="00423789"/>
    <w:rsid w:val="004239E7"/>
    <w:rsid w:val="00427611"/>
    <w:rsid w:val="0043460E"/>
    <w:rsid w:val="00440F43"/>
    <w:rsid w:val="00441B6F"/>
    <w:rsid w:val="00445B11"/>
    <w:rsid w:val="00446221"/>
    <w:rsid w:val="00450E62"/>
    <w:rsid w:val="004515D5"/>
    <w:rsid w:val="00452691"/>
    <w:rsid w:val="004539DB"/>
    <w:rsid w:val="00471A80"/>
    <w:rsid w:val="00481596"/>
    <w:rsid w:val="00482D5D"/>
    <w:rsid w:val="00482F8D"/>
    <w:rsid w:val="0049394B"/>
    <w:rsid w:val="00494133"/>
    <w:rsid w:val="004970E6"/>
    <w:rsid w:val="004A2B7D"/>
    <w:rsid w:val="004A2B88"/>
    <w:rsid w:val="004B6F47"/>
    <w:rsid w:val="004B7124"/>
    <w:rsid w:val="004C01F8"/>
    <w:rsid w:val="004C69E5"/>
    <w:rsid w:val="004D305E"/>
    <w:rsid w:val="004D4277"/>
    <w:rsid w:val="004E7827"/>
    <w:rsid w:val="005014C0"/>
    <w:rsid w:val="00501AEE"/>
    <w:rsid w:val="00502516"/>
    <w:rsid w:val="00505F06"/>
    <w:rsid w:val="00506828"/>
    <w:rsid w:val="00515257"/>
    <w:rsid w:val="005163F7"/>
    <w:rsid w:val="0052253F"/>
    <w:rsid w:val="00524F4E"/>
    <w:rsid w:val="00525E3B"/>
    <w:rsid w:val="00530017"/>
    <w:rsid w:val="0053056E"/>
    <w:rsid w:val="00530EF4"/>
    <w:rsid w:val="005416A8"/>
    <w:rsid w:val="00551E96"/>
    <w:rsid w:val="00554FDA"/>
    <w:rsid w:val="00555509"/>
    <w:rsid w:val="00557448"/>
    <w:rsid w:val="005635B7"/>
    <w:rsid w:val="005750F8"/>
    <w:rsid w:val="0058440A"/>
    <w:rsid w:val="005914D3"/>
    <w:rsid w:val="005A053B"/>
    <w:rsid w:val="005A3CF3"/>
    <w:rsid w:val="005A7C73"/>
    <w:rsid w:val="005C6353"/>
    <w:rsid w:val="005C784C"/>
    <w:rsid w:val="005D1059"/>
    <w:rsid w:val="005D17F6"/>
    <w:rsid w:val="005D4D66"/>
    <w:rsid w:val="005D5714"/>
    <w:rsid w:val="005D7265"/>
    <w:rsid w:val="005D74B4"/>
    <w:rsid w:val="005E5539"/>
    <w:rsid w:val="005F3F46"/>
    <w:rsid w:val="005F6678"/>
    <w:rsid w:val="00602BF5"/>
    <w:rsid w:val="00604E8F"/>
    <w:rsid w:val="00610BA9"/>
    <w:rsid w:val="00610DBB"/>
    <w:rsid w:val="006152D4"/>
    <w:rsid w:val="00617CD0"/>
    <w:rsid w:val="00617FDD"/>
    <w:rsid w:val="00623B1D"/>
    <w:rsid w:val="0063252A"/>
    <w:rsid w:val="00633614"/>
    <w:rsid w:val="00633F68"/>
    <w:rsid w:val="00636EB2"/>
    <w:rsid w:val="006375B8"/>
    <w:rsid w:val="00650816"/>
    <w:rsid w:val="0065181F"/>
    <w:rsid w:val="00651F7B"/>
    <w:rsid w:val="00663107"/>
    <w:rsid w:val="0066510A"/>
    <w:rsid w:val="00673F9F"/>
    <w:rsid w:val="006761F1"/>
    <w:rsid w:val="00684F4C"/>
    <w:rsid w:val="00686953"/>
    <w:rsid w:val="00687DEA"/>
    <w:rsid w:val="00687E67"/>
    <w:rsid w:val="00687F4C"/>
    <w:rsid w:val="006967F7"/>
    <w:rsid w:val="006977A7"/>
    <w:rsid w:val="006A250C"/>
    <w:rsid w:val="006B21D3"/>
    <w:rsid w:val="006B57D0"/>
    <w:rsid w:val="006B709D"/>
    <w:rsid w:val="006C0171"/>
    <w:rsid w:val="006C2B2B"/>
    <w:rsid w:val="006C4994"/>
    <w:rsid w:val="006D30FF"/>
    <w:rsid w:val="006D6940"/>
    <w:rsid w:val="006F11EC"/>
    <w:rsid w:val="0070082C"/>
    <w:rsid w:val="00701112"/>
    <w:rsid w:val="007055AD"/>
    <w:rsid w:val="00706B73"/>
    <w:rsid w:val="0071265C"/>
    <w:rsid w:val="007211C4"/>
    <w:rsid w:val="00733E53"/>
    <w:rsid w:val="0073433E"/>
    <w:rsid w:val="007369E6"/>
    <w:rsid w:val="00746E59"/>
    <w:rsid w:val="00752513"/>
    <w:rsid w:val="00754C9A"/>
    <w:rsid w:val="0075599A"/>
    <w:rsid w:val="0076144C"/>
    <w:rsid w:val="00761D52"/>
    <w:rsid w:val="007702F4"/>
    <w:rsid w:val="00773942"/>
    <w:rsid w:val="0077749E"/>
    <w:rsid w:val="00790ADA"/>
    <w:rsid w:val="0079369D"/>
    <w:rsid w:val="00793827"/>
    <w:rsid w:val="00797C3D"/>
    <w:rsid w:val="007A297C"/>
    <w:rsid w:val="007B0B6A"/>
    <w:rsid w:val="007B1F44"/>
    <w:rsid w:val="007D0357"/>
    <w:rsid w:val="007D2288"/>
    <w:rsid w:val="007E088F"/>
    <w:rsid w:val="007E63F1"/>
    <w:rsid w:val="007F7B32"/>
    <w:rsid w:val="00804BC2"/>
    <w:rsid w:val="0081431A"/>
    <w:rsid w:val="00822F90"/>
    <w:rsid w:val="00830943"/>
    <w:rsid w:val="0083216F"/>
    <w:rsid w:val="00832575"/>
    <w:rsid w:val="0083519F"/>
    <w:rsid w:val="00860000"/>
    <w:rsid w:val="00863517"/>
    <w:rsid w:val="00863BD3"/>
    <w:rsid w:val="008641ED"/>
    <w:rsid w:val="00866D66"/>
    <w:rsid w:val="008671C6"/>
    <w:rsid w:val="00870B82"/>
    <w:rsid w:val="00875803"/>
    <w:rsid w:val="0087583E"/>
    <w:rsid w:val="00890697"/>
    <w:rsid w:val="008A66D0"/>
    <w:rsid w:val="008B2B78"/>
    <w:rsid w:val="008B4146"/>
    <w:rsid w:val="008B459E"/>
    <w:rsid w:val="008C7959"/>
    <w:rsid w:val="008E13AE"/>
    <w:rsid w:val="008E1506"/>
    <w:rsid w:val="008E1D50"/>
    <w:rsid w:val="008E710C"/>
    <w:rsid w:val="008F2CF7"/>
    <w:rsid w:val="008F69D6"/>
    <w:rsid w:val="00902497"/>
    <w:rsid w:val="00902823"/>
    <w:rsid w:val="00907D80"/>
    <w:rsid w:val="009102E7"/>
    <w:rsid w:val="00915CA6"/>
    <w:rsid w:val="00922937"/>
    <w:rsid w:val="00924CE7"/>
    <w:rsid w:val="00925225"/>
    <w:rsid w:val="00927834"/>
    <w:rsid w:val="00946E40"/>
    <w:rsid w:val="009500A6"/>
    <w:rsid w:val="00951513"/>
    <w:rsid w:val="009520AD"/>
    <w:rsid w:val="00952833"/>
    <w:rsid w:val="00957C18"/>
    <w:rsid w:val="009659BA"/>
    <w:rsid w:val="00974040"/>
    <w:rsid w:val="00977277"/>
    <w:rsid w:val="00983040"/>
    <w:rsid w:val="009844BF"/>
    <w:rsid w:val="00990B32"/>
    <w:rsid w:val="00994919"/>
    <w:rsid w:val="00994BD6"/>
    <w:rsid w:val="00996271"/>
    <w:rsid w:val="009B373B"/>
    <w:rsid w:val="009B3FB9"/>
    <w:rsid w:val="009C2465"/>
    <w:rsid w:val="009C4EF1"/>
    <w:rsid w:val="009D35A0"/>
    <w:rsid w:val="009D7EB7"/>
    <w:rsid w:val="009E048A"/>
    <w:rsid w:val="009E08E9"/>
    <w:rsid w:val="009E1D75"/>
    <w:rsid w:val="009E3DB9"/>
    <w:rsid w:val="009E579D"/>
    <w:rsid w:val="009E6039"/>
    <w:rsid w:val="009E6E35"/>
    <w:rsid w:val="009F0EDA"/>
    <w:rsid w:val="009F520C"/>
    <w:rsid w:val="00A03B96"/>
    <w:rsid w:val="00A040E1"/>
    <w:rsid w:val="00A05B19"/>
    <w:rsid w:val="00A1134E"/>
    <w:rsid w:val="00A22BEE"/>
    <w:rsid w:val="00A24E7E"/>
    <w:rsid w:val="00A2563B"/>
    <w:rsid w:val="00A258C3"/>
    <w:rsid w:val="00A258D9"/>
    <w:rsid w:val="00A27309"/>
    <w:rsid w:val="00A34265"/>
    <w:rsid w:val="00A347C0"/>
    <w:rsid w:val="00A3796E"/>
    <w:rsid w:val="00A43743"/>
    <w:rsid w:val="00A51431"/>
    <w:rsid w:val="00A518F1"/>
    <w:rsid w:val="00A539AD"/>
    <w:rsid w:val="00A61878"/>
    <w:rsid w:val="00A75EAB"/>
    <w:rsid w:val="00A94063"/>
    <w:rsid w:val="00AA6219"/>
    <w:rsid w:val="00AA74E0"/>
    <w:rsid w:val="00AB703F"/>
    <w:rsid w:val="00AC0297"/>
    <w:rsid w:val="00AC2691"/>
    <w:rsid w:val="00AC269F"/>
    <w:rsid w:val="00AC6BB8"/>
    <w:rsid w:val="00AC7868"/>
    <w:rsid w:val="00AE008F"/>
    <w:rsid w:val="00AE5036"/>
    <w:rsid w:val="00AE799E"/>
    <w:rsid w:val="00AF1EED"/>
    <w:rsid w:val="00B01FCD"/>
    <w:rsid w:val="00B10DB8"/>
    <w:rsid w:val="00B15542"/>
    <w:rsid w:val="00B1776C"/>
    <w:rsid w:val="00B31828"/>
    <w:rsid w:val="00B32E53"/>
    <w:rsid w:val="00B413F8"/>
    <w:rsid w:val="00B47777"/>
    <w:rsid w:val="00B52583"/>
    <w:rsid w:val="00B52896"/>
    <w:rsid w:val="00B565D2"/>
    <w:rsid w:val="00B70A33"/>
    <w:rsid w:val="00B720F6"/>
    <w:rsid w:val="00B82B80"/>
    <w:rsid w:val="00B90E64"/>
    <w:rsid w:val="00B95236"/>
    <w:rsid w:val="00B96BD9"/>
    <w:rsid w:val="00B97E44"/>
    <w:rsid w:val="00BA1B01"/>
    <w:rsid w:val="00BA2641"/>
    <w:rsid w:val="00BB37AA"/>
    <w:rsid w:val="00BC53A0"/>
    <w:rsid w:val="00BD3169"/>
    <w:rsid w:val="00BD6265"/>
    <w:rsid w:val="00BE4E21"/>
    <w:rsid w:val="00BE62AD"/>
    <w:rsid w:val="00BF0F44"/>
    <w:rsid w:val="00BF121F"/>
    <w:rsid w:val="00BF1F80"/>
    <w:rsid w:val="00C074C9"/>
    <w:rsid w:val="00C10299"/>
    <w:rsid w:val="00C111D3"/>
    <w:rsid w:val="00C166EF"/>
    <w:rsid w:val="00C174F9"/>
    <w:rsid w:val="00C17EB0"/>
    <w:rsid w:val="00C2058A"/>
    <w:rsid w:val="00C27F5F"/>
    <w:rsid w:val="00C30A0F"/>
    <w:rsid w:val="00C367AB"/>
    <w:rsid w:val="00C37E61"/>
    <w:rsid w:val="00C52713"/>
    <w:rsid w:val="00C53338"/>
    <w:rsid w:val="00C55F73"/>
    <w:rsid w:val="00C61819"/>
    <w:rsid w:val="00C66982"/>
    <w:rsid w:val="00C70F1B"/>
    <w:rsid w:val="00C71A47"/>
    <w:rsid w:val="00C7464C"/>
    <w:rsid w:val="00C756CD"/>
    <w:rsid w:val="00C85588"/>
    <w:rsid w:val="00C859CF"/>
    <w:rsid w:val="00C92780"/>
    <w:rsid w:val="00C95BE7"/>
    <w:rsid w:val="00CD3A26"/>
    <w:rsid w:val="00CD441B"/>
    <w:rsid w:val="00CD6755"/>
    <w:rsid w:val="00CD6856"/>
    <w:rsid w:val="00CE0089"/>
    <w:rsid w:val="00CE793C"/>
    <w:rsid w:val="00CE7EED"/>
    <w:rsid w:val="00CF193C"/>
    <w:rsid w:val="00D036B0"/>
    <w:rsid w:val="00D14A7C"/>
    <w:rsid w:val="00D173F1"/>
    <w:rsid w:val="00D20B04"/>
    <w:rsid w:val="00D20ED1"/>
    <w:rsid w:val="00D73103"/>
    <w:rsid w:val="00D74CB0"/>
    <w:rsid w:val="00D76721"/>
    <w:rsid w:val="00D8295D"/>
    <w:rsid w:val="00D84815"/>
    <w:rsid w:val="00D85C8F"/>
    <w:rsid w:val="00D97A34"/>
    <w:rsid w:val="00DB2A88"/>
    <w:rsid w:val="00DB5D5A"/>
    <w:rsid w:val="00DC2A65"/>
    <w:rsid w:val="00DC715F"/>
    <w:rsid w:val="00DE15F0"/>
    <w:rsid w:val="00DE5383"/>
    <w:rsid w:val="00DE5663"/>
    <w:rsid w:val="00DE78AA"/>
    <w:rsid w:val="00DF674B"/>
    <w:rsid w:val="00E00592"/>
    <w:rsid w:val="00E053D0"/>
    <w:rsid w:val="00E066D7"/>
    <w:rsid w:val="00E1453F"/>
    <w:rsid w:val="00E15994"/>
    <w:rsid w:val="00E173B9"/>
    <w:rsid w:val="00E22C45"/>
    <w:rsid w:val="00E3114E"/>
    <w:rsid w:val="00E31A70"/>
    <w:rsid w:val="00E35B02"/>
    <w:rsid w:val="00E41D5B"/>
    <w:rsid w:val="00E42598"/>
    <w:rsid w:val="00E66496"/>
    <w:rsid w:val="00E66B35"/>
    <w:rsid w:val="00E66E10"/>
    <w:rsid w:val="00E7233D"/>
    <w:rsid w:val="00E769F6"/>
    <w:rsid w:val="00E8407C"/>
    <w:rsid w:val="00E84F3C"/>
    <w:rsid w:val="00E86A43"/>
    <w:rsid w:val="00E8715E"/>
    <w:rsid w:val="00E93215"/>
    <w:rsid w:val="00E967A3"/>
    <w:rsid w:val="00EA012C"/>
    <w:rsid w:val="00EA05D7"/>
    <w:rsid w:val="00EA352A"/>
    <w:rsid w:val="00EB3A1E"/>
    <w:rsid w:val="00EC6A55"/>
    <w:rsid w:val="00ED0288"/>
    <w:rsid w:val="00EE52CB"/>
    <w:rsid w:val="00EF0593"/>
    <w:rsid w:val="00EF45A8"/>
    <w:rsid w:val="00EF581D"/>
    <w:rsid w:val="00EF7FD8"/>
    <w:rsid w:val="00F0183B"/>
    <w:rsid w:val="00F06F59"/>
    <w:rsid w:val="00F17988"/>
    <w:rsid w:val="00F215A5"/>
    <w:rsid w:val="00F469F0"/>
    <w:rsid w:val="00F53273"/>
    <w:rsid w:val="00F54187"/>
    <w:rsid w:val="00F630CD"/>
    <w:rsid w:val="00F755E4"/>
    <w:rsid w:val="00F77D02"/>
    <w:rsid w:val="00F9298D"/>
    <w:rsid w:val="00F965DC"/>
    <w:rsid w:val="00FA209E"/>
    <w:rsid w:val="00FA3138"/>
    <w:rsid w:val="00FA57F3"/>
    <w:rsid w:val="00FB0F72"/>
    <w:rsid w:val="00FB3A86"/>
    <w:rsid w:val="00FC2A19"/>
    <w:rsid w:val="00FC7D16"/>
    <w:rsid w:val="00FD36C8"/>
    <w:rsid w:val="00FF73A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BAD3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94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5C63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49413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94133"/>
    <w:rPr>
      <w:b/>
      <w:bCs/>
    </w:rPr>
  </w:style>
  <w:style w:type="character" w:customStyle="1" w:styleId="UnresolvedMention2">
    <w:name w:val="Unresolved Mention2"/>
    <w:basedOn w:val="DefaultParagraphFont"/>
    <w:uiPriority w:val="99"/>
    <w:semiHidden/>
    <w:unhideWhenUsed/>
    <w:rsid w:val="001C4746"/>
    <w:rPr>
      <w:color w:val="605E5C"/>
      <w:shd w:val="clear" w:color="auto" w:fill="E1DFDD"/>
    </w:rPr>
  </w:style>
  <w:style w:type="paragraph" w:styleId="ListParagraph">
    <w:name w:val="List Paragraph"/>
    <w:basedOn w:val="Normal"/>
    <w:uiPriority w:val="34"/>
    <w:qFormat/>
    <w:rsid w:val="00E967A3"/>
    <w:pPr>
      <w:ind w:left="720"/>
      <w:contextualSpacing/>
    </w:pPr>
  </w:style>
  <w:style w:type="character" w:styleId="UnresolvedMention">
    <w:name w:val="Unresolved Mention"/>
    <w:basedOn w:val="DefaultParagraphFont"/>
    <w:uiPriority w:val="99"/>
    <w:semiHidden/>
    <w:unhideWhenUsed/>
    <w:rsid w:val="00E8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307/2325486" TargetMode="External"/><Relationship Id="rId26" Type="http://schemas.openxmlformats.org/officeDocument/2006/relationships/hyperlink" Target="https://doi.org/10.29303/risma.v4i4.1398" TargetMode="External"/><Relationship Id="rId3" Type="http://schemas.openxmlformats.org/officeDocument/2006/relationships/styles" Target="styles.xml"/><Relationship Id="rId21" Type="http://schemas.openxmlformats.org/officeDocument/2006/relationships/hyperlink" Target="https://www.iaiglobal.or.id/v03/standar-akuntansi-keuangan/sak-umum/sak-efektif-per-1-januari-20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302/oeconomica.2020.22.1.7" TargetMode="External"/><Relationship Id="rId25" Type="http://schemas.openxmlformats.org/officeDocument/2006/relationships/hyperlink" Target="https://doi.org/10.47750/QAS/25.202.2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11/j.1475-679X.2008.00287.x" TargetMode="External"/><Relationship Id="rId20" Type="http://schemas.openxmlformats.org/officeDocument/2006/relationships/hyperlink" Target="https://www.ifrs.org/content/dam/ifrs/publications/pdf-standards/english/2022/issued/part-a/ifrs-8-operating-segments.pdf" TargetMode="External"/><Relationship Id="rId29" Type="http://schemas.openxmlformats.org/officeDocument/2006/relationships/hyperlink" Target="https://books.google.co.id/books?id=aCDHDwAAQBAJ&amp;printsec=frontco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307/2490984"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54957/akuntansiku.v3i4.1137" TargetMode="External"/><Relationship Id="rId23" Type="http://schemas.openxmlformats.org/officeDocument/2006/relationships/hyperlink" Target="http://dx.doi.org/10.1016/0304-405X(76)90026-X" TargetMode="External"/><Relationship Id="rId28" Type="http://schemas.openxmlformats.org/officeDocument/2006/relationships/hyperlink" Target="https://doi.org/10.2139/ssrn.4344686" TargetMode="External"/><Relationship Id="rId10" Type="http://schemas.openxmlformats.org/officeDocument/2006/relationships/footer" Target="footer1.xml"/><Relationship Id="rId19" Type="http://schemas.openxmlformats.org/officeDocument/2006/relationships/hyperlink" Target="https://dx.doi.org/10.1080/02102412.2024.2329502"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609/ijsser.2023.v08i07.012" TargetMode="External"/><Relationship Id="rId22" Type="http://schemas.openxmlformats.org/officeDocument/2006/relationships/hyperlink" Target="https://www.iaiglobal.or.id/v03/standar-akuntansi-keuangan/sak-umum/sak-efektif-per-1-januari-2016" TargetMode="External"/><Relationship Id="rId27" Type="http://schemas.openxmlformats.org/officeDocument/2006/relationships/hyperlink" Target="https://books.google.co.id/books/about/Financial_Accounting_Theory.html?hl=id&amp;id=4oZxngEACAAJ&amp;redir_esc=y"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74E5-D3B9-4D3D-AFF0-75E97735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10</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392</cp:revision>
  <cp:lastPrinted>1999-07-06T11:00:00Z</cp:lastPrinted>
  <dcterms:created xsi:type="dcterms:W3CDTF">2014-10-25T14:34:00Z</dcterms:created>
  <dcterms:modified xsi:type="dcterms:W3CDTF">2026-01-09T13:30:00Z</dcterms:modified>
</cp:coreProperties>
</file>