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4BB63" w14:textId="77777777" w:rsidR="004433C1" w:rsidRDefault="00DF7963">
      <w:pPr>
        <w:widowControl w:val="0"/>
        <w:pBdr>
          <w:top w:val="nil"/>
          <w:left w:val="nil"/>
          <w:bottom w:val="nil"/>
          <w:right w:val="nil"/>
          <w:between w:val="nil"/>
        </w:pBdr>
      </w:pPr>
      <w:r>
        <w:pict w14:anchorId="00783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1FC8B61D">
          <v:shape id="_x0000_s1027" type="#_x0000_t136" style="position:absolute;margin-left:0;margin-top:0;width:50pt;height:50pt;z-index:251657728;visibility:hidden">
            <o:lock v:ext="edit" selection="t"/>
          </v:shape>
        </w:pict>
      </w:r>
      <w:r>
        <w:pict w14:anchorId="71FF4835">
          <v:shape id="_x0000_s1026" type="#_x0000_t136" style="position:absolute;margin-left:0;margin-top:0;width:50pt;height:50pt;z-index:251658752;visibility:hidden">
            <o:lock v:ext="edit" selection="t"/>
          </v:shape>
        </w:pict>
      </w:r>
    </w:p>
    <w:p w14:paraId="16857BBE" w14:textId="77777777" w:rsidR="004433C1" w:rsidRPr="00F97D6C" w:rsidRDefault="005804FC">
      <w:pPr>
        <w:spacing w:line="360" w:lineRule="auto"/>
        <w:jc w:val="center"/>
        <w:rPr>
          <w:rFonts w:ascii="Times New Roman" w:eastAsia="Times New Roman" w:hAnsi="Times New Roman" w:cs="Times New Roman"/>
          <w:b/>
          <w:bCs/>
          <w:sz w:val="36"/>
          <w:szCs w:val="36"/>
        </w:rPr>
      </w:pPr>
      <w:r w:rsidRPr="00F97D6C">
        <w:rPr>
          <w:rFonts w:ascii="Times New Roman" w:eastAsia="Times New Roman" w:hAnsi="Times New Roman" w:cs="Times New Roman"/>
          <w:b/>
          <w:bCs/>
          <w:sz w:val="36"/>
          <w:szCs w:val="36"/>
        </w:rPr>
        <w:t>Review Article</w:t>
      </w:r>
    </w:p>
    <w:p w14:paraId="19E8D309" w14:textId="77777777" w:rsidR="004433C1" w:rsidRDefault="004433C1">
      <w:pPr>
        <w:spacing w:line="360" w:lineRule="auto"/>
        <w:jc w:val="center"/>
        <w:rPr>
          <w:rFonts w:ascii="Times New Roman" w:eastAsia="Times New Roman" w:hAnsi="Times New Roman" w:cs="Times New Roman"/>
          <w:b/>
          <w:bCs/>
          <w:sz w:val="36"/>
          <w:szCs w:val="36"/>
          <w:highlight w:val="white"/>
        </w:rPr>
      </w:pPr>
    </w:p>
    <w:p w14:paraId="13F4BDCA" w14:textId="77777777" w:rsidR="004433C1" w:rsidRDefault="005804FC">
      <w:pPr>
        <w:spacing w:line="36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Digital Financial Inclusion and Economic Resilience in Sub-Saharan Africa: A Scoping Review</w:t>
      </w:r>
    </w:p>
    <w:p w14:paraId="2F21A6BB" w14:textId="77777777" w:rsidR="004433C1" w:rsidRDefault="004433C1">
      <w:pPr>
        <w:rPr>
          <w:rFonts w:ascii="Times New Roman" w:eastAsia="Times New Roman" w:hAnsi="Times New Roman" w:cs="Times New Roman"/>
          <w:sz w:val="20"/>
          <w:szCs w:val="20"/>
          <w:highlight w:val="white"/>
        </w:rPr>
      </w:pPr>
    </w:p>
    <w:p w14:paraId="39061E30" w14:textId="77777777" w:rsidR="004433C1" w:rsidRDefault="004433C1">
      <w:pPr>
        <w:pStyle w:val="Heading3"/>
        <w:keepNext w:val="0"/>
        <w:keepLines w:val="0"/>
        <w:spacing w:before="280" w:line="360" w:lineRule="auto"/>
        <w:jc w:val="both"/>
        <w:rPr>
          <w:rFonts w:ascii="Times New Roman" w:eastAsia="Times New Roman" w:hAnsi="Times New Roman" w:cs="Times New Roman"/>
          <w:color w:val="000000"/>
          <w:sz w:val="20"/>
          <w:szCs w:val="20"/>
          <w:highlight w:val="white"/>
        </w:rPr>
      </w:pPr>
      <w:bookmarkStart w:id="0" w:name="_heading=h.p1ijvjcyzgw9" w:colFirst="0" w:colLast="0"/>
      <w:bookmarkEnd w:id="0"/>
    </w:p>
    <w:p w14:paraId="3AC0F180" w14:textId="77777777" w:rsidR="004433C1" w:rsidRDefault="005804FC">
      <w:pPr>
        <w:pStyle w:val="Heading3"/>
        <w:keepNext w:val="0"/>
        <w:keepLines w:val="0"/>
        <w:spacing w:before="240" w:after="240" w:line="360" w:lineRule="auto"/>
        <w:rPr>
          <w:rFonts w:ascii="Times New Roman" w:eastAsia="Times New Roman" w:hAnsi="Times New Roman" w:cs="Times New Roman"/>
          <w:b/>
          <w:bCs/>
          <w:color w:val="000000"/>
          <w:sz w:val="32"/>
          <w:szCs w:val="32"/>
          <w:highlight w:val="white"/>
        </w:rPr>
      </w:pPr>
      <w:bookmarkStart w:id="1" w:name="_heading=h.j1ueh15rwtzf" w:colFirst="0" w:colLast="0"/>
      <w:bookmarkEnd w:id="1"/>
      <w:r>
        <w:rPr>
          <w:rFonts w:ascii="Times New Roman" w:eastAsia="Times New Roman" w:hAnsi="Times New Roman" w:cs="Times New Roman"/>
          <w:b/>
          <w:bCs/>
          <w:color w:val="000000"/>
          <w:sz w:val="32"/>
          <w:szCs w:val="32"/>
          <w:highlight w:val="white"/>
        </w:rPr>
        <w:t>Abstract</w:t>
      </w:r>
    </w:p>
    <w:p w14:paraId="16FDA214" w14:textId="77777777" w:rsidR="004433C1" w:rsidRDefault="005804FC">
      <w:pPr>
        <w:pStyle w:val="Heading3"/>
        <w:keepNext w:val="0"/>
        <w:keepLines w:val="0"/>
        <w:spacing w:before="240" w:after="24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Background: Digital financial inclusion has emerged as a key strategy to address economic challenges in Sub-Saharan Africa (SSA), where over 70% of the population remains unbanked. The rapid growth of mobile money, mobile banking, and fintech solutions has transformed financial access, especially in underserved and rural areas. However, despite these advancements, the region’s economic resilience remains fragile, with significant gaps in the effective usage of these digital tools.</w:t>
      </w:r>
    </w:p>
    <w:p w14:paraId="1B3FA64B" w14:textId="77777777" w:rsidR="004433C1" w:rsidRDefault="005804FC">
      <w:pPr>
        <w:pStyle w:val="Heading3"/>
        <w:keepNext w:val="0"/>
        <w:keepLines w:val="0"/>
        <w:spacing w:before="240" w:after="24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Objectives: The aim of this study was to assess the role of digital financial inclusion in enhancing economic resilience in SSA. It focuses on identifying the drivers, barriers, and outcomes of digital financial tools, and examining the role of policy and infrastructure in shaping their impact.</w:t>
      </w:r>
    </w:p>
    <w:p w14:paraId="73DB5A98" w14:textId="77777777" w:rsidR="004433C1" w:rsidRDefault="005804F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Methodology: A scoping review methodology was employed, with a comprehensive search conducted across Google Scholar, African Journals Online (AJOL), and SSRN. Studies published between 2020 and 2025 were selected, focusing on the relationship between digital financial inclusion tools and economic resilience in Sub-Saharan Africa. Data synthesis was performed through a narrative approach, organizing findings thematically.</w:t>
      </w:r>
    </w:p>
    <w:p w14:paraId="412F60C5" w14:textId="77777777" w:rsidR="004433C1" w:rsidRDefault="005804FC">
      <w:pPr>
        <w:pStyle w:val="Heading3"/>
        <w:keepNext w:val="0"/>
        <w:keepLines w:val="0"/>
        <w:spacing w:before="240" w:after="24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Findings: The review finds that mobile money and fintech solutions have improved financial access and supported poverty reduction, entrepreneurship, and risk mitigation. However, barriers such as low digital literacy, gender inequality, and regulatory challenges limit the full potential </w:t>
      </w:r>
      <w:r>
        <w:rPr>
          <w:rFonts w:ascii="Times New Roman" w:eastAsia="Times New Roman" w:hAnsi="Times New Roman" w:cs="Times New Roman"/>
          <w:color w:val="000000"/>
          <w:sz w:val="24"/>
          <w:szCs w:val="24"/>
          <w:highlight w:val="white"/>
        </w:rPr>
        <w:lastRenderedPageBreak/>
        <w:t>of these tools. The analysis shows that effective policy frameworks and institutional support are crucial in fostering broader economic resilience. The impact of these tools varies across SSA, influenced by local economic and institutional contexts.</w:t>
      </w:r>
    </w:p>
    <w:p w14:paraId="51A0409B" w14:textId="77777777" w:rsidR="004433C1" w:rsidRDefault="005804FC">
      <w:pPr>
        <w:pStyle w:val="Heading3"/>
        <w:keepNext w:val="0"/>
        <w:keepLines w:val="0"/>
        <w:spacing w:before="240" w:after="24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Conclusion: Digital financial inclusion has the potential to enhance economic resilience in SSA, but its effectiveness depends on complementary infrastructure, financial literacy, and regulatory support. Future research should focus on long-term impacts and macroeconomic resilience.</w:t>
      </w:r>
    </w:p>
    <w:p w14:paraId="0BDB4863" w14:textId="77777777" w:rsidR="004433C1" w:rsidRDefault="005804FC">
      <w:pPr>
        <w:pStyle w:val="Heading3"/>
        <w:keepNext w:val="0"/>
        <w:keepLines w:val="0"/>
        <w:spacing w:before="240" w:after="240" w:line="360" w:lineRule="auto"/>
        <w:jc w:val="both"/>
        <w:rPr>
          <w:rFonts w:ascii="Times New Roman" w:eastAsia="Times New Roman" w:hAnsi="Times New Roman" w:cs="Times New Roman"/>
          <w:color w:val="000000"/>
          <w:sz w:val="24"/>
          <w:szCs w:val="24"/>
          <w:highlight w:val="white"/>
        </w:rPr>
      </w:pPr>
      <w:bookmarkStart w:id="2" w:name="_heading=h.lxrrx9t2bczk" w:colFirst="0" w:colLast="0"/>
      <w:bookmarkEnd w:id="2"/>
      <w:r>
        <w:rPr>
          <w:rFonts w:ascii="Times New Roman" w:eastAsia="Times New Roman" w:hAnsi="Times New Roman" w:cs="Times New Roman"/>
          <w:b/>
          <w:bCs/>
          <w:color w:val="000000"/>
          <w:sz w:val="24"/>
          <w:szCs w:val="24"/>
          <w:highlight w:val="white"/>
        </w:rPr>
        <w:t>Keywords:</w:t>
      </w:r>
      <w:r>
        <w:rPr>
          <w:rFonts w:ascii="Times New Roman" w:eastAsia="Times New Roman" w:hAnsi="Times New Roman" w:cs="Times New Roman"/>
          <w:color w:val="000000"/>
          <w:sz w:val="24"/>
          <w:szCs w:val="24"/>
          <w:highlight w:val="white"/>
        </w:rPr>
        <w:t xml:space="preserve"> Digital financial inclusion, Economic resilience, Mobile money, Fintech, Sub-Saharan Africa, Policy frameworks, </w:t>
      </w:r>
      <w:proofErr w:type="gramStart"/>
      <w:r>
        <w:rPr>
          <w:rFonts w:ascii="Times New Roman" w:eastAsia="Times New Roman" w:hAnsi="Times New Roman" w:cs="Times New Roman"/>
          <w:color w:val="000000"/>
          <w:sz w:val="24"/>
          <w:szCs w:val="24"/>
          <w:highlight w:val="white"/>
        </w:rPr>
        <w:t>Financial</w:t>
      </w:r>
      <w:proofErr w:type="gramEnd"/>
      <w:r>
        <w:rPr>
          <w:rFonts w:ascii="Times New Roman" w:eastAsia="Times New Roman" w:hAnsi="Times New Roman" w:cs="Times New Roman"/>
          <w:color w:val="000000"/>
          <w:sz w:val="24"/>
          <w:szCs w:val="24"/>
          <w:highlight w:val="white"/>
        </w:rPr>
        <w:t xml:space="preserve"> inclusion</w:t>
      </w:r>
    </w:p>
    <w:p w14:paraId="7674BBC7" w14:textId="77777777" w:rsidR="004433C1" w:rsidRDefault="004433C1">
      <w:pPr>
        <w:pStyle w:val="Heading3"/>
        <w:keepNext w:val="0"/>
        <w:keepLines w:val="0"/>
        <w:spacing w:before="280" w:line="360" w:lineRule="auto"/>
        <w:jc w:val="both"/>
        <w:rPr>
          <w:rFonts w:ascii="Times New Roman" w:eastAsia="Times New Roman" w:hAnsi="Times New Roman" w:cs="Times New Roman"/>
          <w:b/>
          <w:bCs/>
          <w:color w:val="000000"/>
          <w:sz w:val="24"/>
          <w:szCs w:val="24"/>
          <w:highlight w:val="white"/>
        </w:rPr>
      </w:pPr>
    </w:p>
    <w:p w14:paraId="7754BBDF" w14:textId="77777777" w:rsidR="004433C1" w:rsidRDefault="005804FC">
      <w:pPr>
        <w:pStyle w:val="Heading3"/>
        <w:keepNext w:val="0"/>
        <w:keepLines w:val="0"/>
        <w:spacing w:before="280" w:line="360" w:lineRule="auto"/>
        <w:rPr>
          <w:rFonts w:ascii="Times New Roman" w:eastAsia="Times New Roman" w:hAnsi="Times New Roman" w:cs="Times New Roman"/>
          <w:b/>
          <w:bCs/>
          <w:color w:val="000000"/>
          <w:sz w:val="32"/>
          <w:szCs w:val="32"/>
          <w:highlight w:val="white"/>
        </w:rPr>
      </w:pPr>
      <w:bookmarkStart w:id="3" w:name="_heading=h.616kikecwta3" w:colFirst="0" w:colLast="0"/>
      <w:bookmarkEnd w:id="3"/>
      <w:r>
        <w:rPr>
          <w:rFonts w:ascii="Times New Roman" w:eastAsia="Times New Roman" w:hAnsi="Times New Roman" w:cs="Times New Roman"/>
          <w:b/>
          <w:bCs/>
          <w:color w:val="000000"/>
          <w:sz w:val="32"/>
          <w:szCs w:val="32"/>
          <w:highlight w:val="white"/>
        </w:rPr>
        <w:t>Introduction</w:t>
      </w:r>
    </w:p>
    <w:p w14:paraId="08B86083"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recent years, digital financial inclusion has become a vital strategy to address economic challenges in Sub-Saharan Africa (SSA), where over 70% of the population remains unbanked. The rapid growth of mobile money, mobile banking, and fintech solutions has expanded financial access, particularly in rural and underserved areas, transforming the region’s financial landscape (</w:t>
      </w:r>
      <w:proofErr w:type="spellStart"/>
      <w:r>
        <w:rPr>
          <w:rFonts w:ascii="Times New Roman" w:eastAsia="Times New Roman" w:hAnsi="Times New Roman" w:cs="Times New Roman"/>
          <w:sz w:val="24"/>
          <w:szCs w:val="24"/>
          <w:highlight w:val="white"/>
        </w:rPr>
        <w:t>Osuma</w:t>
      </w:r>
      <w:proofErr w:type="spellEnd"/>
      <w:r>
        <w:rPr>
          <w:rFonts w:ascii="Times New Roman" w:eastAsia="Times New Roman" w:hAnsi="Times New Roman" w:cs="Times New Roman"/>
          <w:sz w:val="24"/>
          <w:szCs w:val="24"/>
          <w:highlight w:val="white"/>
        </w:rPr>
        <w:t>, 2025). These tools have emerged as essential for fostering economic resilience, particularly in a region burdened by poverty, economic instability, and limited access to traditional banking (Bennani, 2025).</w:t>
      </w:r>
    </w:p>
    <w:p w14:paraId="245B36DE"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Digital financial inclusion refers to the ability of individuals, especially those in remote areas, to access affordable financial services through mobile platforms, such as mobile banking, mobile money, and fintech solutions. These technologies overcome geographic, infrastructural, and financial barriers that traditionally excluded large segments of the population from financial systems. Digital financial inclusion is now central to strategies aimed at improving economic outcomes, boosting entrepreneurship, and mitigating risks from economic shocks such as natural disasters or market downturns (Ma et al., 2025; Gao &amp; Gao, 2024; Zou et al., 2024).</w:t>
      </w:r>
    </w:p>
    <w:p w14:paraId="5A549BBE"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 SSA, digital financial inclusion is seen as a key lever in economic growth. Despite its potential, the region remains one of the least-banked in the world, with over 70% of its population lacking access to formal financial services (World Bank, 2025). According to the </w:t>
      </w:r>
      <w:r>
        <w:rPr>
          <w:rFonts w:ascii="Times New Roman" w:eastAsia="Times New Roman" w:hAnsi="Times New Roman" w:cs="Times New Roman"/>
          <w:sz w:val="24"/>
          <w:szCs w:val="24"/>
          <w:highlight w:val="white"/>
        </w:rPr>
        <w:lastRenderedPageBreak/>
        <w:t>World Bank (2024), mobile money has rapidly expanded, enabling millions to engage in digital transactions and savings without requiring a traditional bank account. This innovation has significantly improved financial inclusion, allowing individuals to manage financial risks and seize opportunities (World Bank, 2024).</w:t>
      </w:r>
    </w:p>
    <w:p w14:paraId="7AE7B198"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Mobile money, mobile banking, and fintech have played crucial roles in enhancing financial inclusion. Services like M-Pesa in Kenya have facilitated financial transactions and increased access to credit, contributing to poverty reduction and household savings (</w:t>
      </w:r>
      <w:proofErr w:type="spellStart"/>
      <w:r>
        <w:rPr>
          <w:rFonts w:ascii="Times New Roman" w:eastAsia="Times New Roman" w:hAnsi="Times New Roman" w:cs="Times New Roman"/>
          <w:sz w:val="24"/>
          <w:szCs w:val="24"/>
          <w:highlight w:val="white"/>
        </w:rPr>
        <w:t>Tiony</w:t>
      </w:r>
      <w:proofErr w:type="spellEnd"/>
      <w:r>
        <w:rPr>
          <w:rFonts w:ascii="Times New Roman" w:eastAsia="Times New Roman" w:hAnsi="Times New Roman" w:cs="Times New Roman"/>
          <w:sz w:val="24"/>
          <w:szCs w:val="24"/>
          <w:highlight w:val="white"/>
        </w:rPr>
        <w:t>, 2023). Likewise, fintech innovations, such as digital loans and savings products, have made financial services more accessible, further boosting economic participation and resilience (Mashoene et al., 2025).</w:t>
      </w:r>
    </w:p>
    <w:p w14:paraId="259511CD"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gaps persist. While access to digital financial services has grown, usage remains limited. </w:t>
      </w:r>
      <w:proofErr w:type="spellStart"/>
      <w:r>
        <w:rPr>
          <w:rFonts w:ascii="Times New Roman" w:eastAsia="Times New Roman" w:hAnsi="Times New Roman" w:cs="Times New Roman"/>
          <w:sz w:val="24"/>
          <w:szCs w:val="24"/>
          <w:highlight w:val="white"/>
        </w:rPr>
        <w:t>Mapurita</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Mayoukou</w:t>
      </w:r>
      <w:proofErr w:type="spellEnd"/>
      <w:r>
        <w:rPr>
          <w:rFonts w:ascii="Times New Roman" w:eastAsia="Times New Roman" w:hAnsi="Times New Roman" w:cs="Times New Roman"/>
          <w:sz w:val="24"/>
          <w:szCs w:val="24"/>
          <w:highlight w:val="white"/>
        </w:rPr>
        <w:t xml:space="preserve"> (2024) found that, while access to digital financial tools increased between 2014 and 2021, unequal usage persists, particularly in rural areas. Kamara and Yu (2024) also highlighted that fintech adoption has improved financial inclusion but left gaps in rural access, affecting economic resilience unevenly. Osabutey &amp; Jackson. (2024) noted that although mobile money has expanded accessibility, insufficient infrastructure and regulatory frameworks have hindered its ability to strengthen resilience.</w:t>
      </w:r>
    </w:p>
    <w:p w14:paraId="62D8A96E"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relationship between digital financial inclusion and economic resilience is complex. While these tools can improve financial access, entrepreneurship, and poverty reduction, their effectiveness depends on infrastructure, digital literacy, and regulatory support. </w:t>
      </w:r>
      <w:proofErr w:type="spellStart"/>
      <w:r>
        <w:rPr>
          <w:rFonts w:ascii="Times New Roman" w:eastAsia="Times New Roman" w:hAnsi="Times New Roman" w:cs="Times New Roman"/>
          <w:sz w:val="24"/>
          <w:szCs w:val="24"/>
          <w:highlight w:val="white"/>
        </w:rPr>
        <w:t>Gyeke-Dako</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Akolgo</w:t>
      </w:r>
      <w:proofErr w:type="spellEnd"/>
      <w:r>
        <w:rPr>
          <w:rFonts w:ascii="Times New Roman" w:eastAsia="Times New Roman" w:hAnsi="Times New Roman" w:cs="Times New Roman"/>
          <w:sz w:val="24"/>
          <w:szCs w:val="24"/>
          <w:highlight w:val="white"/>
        </w:rPr>
        <w:t>. (2025) found that digital finance positively impacted financial inclusion and household resilience but noted that low financial literacy and poor infrastructure limited these effects.</w:t>
      </w:r>
    </w:p>
    <w:p w14:paraId="2CE8D780"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Nigeria, </w:t>
      </w:r>
      <w:proofErr w:type="spellStart"/>
      <w:r>
        <w:rPr>
          <w:rFonts w:ascii="Times New Roman" w:eastAsia="Times New Roman" w:hAnsi="Times New Roman" w:cs="Times New Roman"/>
          <w:sz w:val="24"/>
          <w:szCs w:val="24"/>
          <w:highlight w:val="white"/>
        </w:rPr>
        <w:t>Adefabi</w:t>
      </w:r>
      <w:proofErr w:type="spellEnd"/>
      <w:r>
        <w:rPr>
          <w:rFonts w:ascii="Times New Roman" w:eastAsia="Times New Roman" w:hAnsi="Times New Roman" w:cs="Times New Roman"/>
          <w:sz w:val="24"/>
          <w:szCs w:val="24"/>
          <w:highlight w:val="white"/>
        </w:rPr>
        <w:t xml:space="preserve"> (2025) found that both access and frequent use of digital financial services could significantly reduce poverty, but barriers such as cost and complexity deter effective usage. Institutional support amplified the positive effects in regions with stronger enabling environments. </w:t>
      </w:r>
      <w:proofErr w:type="spellStart"/>
      <w:r>
        <w:rPr>
          <w:rFonts w:ascii="Times New Roman" w:eastAsia="Times New Roman" w:hAnsi="Times New Roman" w:cs="Times New Roman"/>
          <w:sz w:val="24"/>
          <w:szCs w:val="24"/>
          <w:highlight w:val="white"/>
        </w:rPr>
        <w:t>Osuma</w:t>
      </w:r>
      <w:proofErr w:type="spellEnd"/>
      <w:r>
        <w:rPr>
          <w:rFonts w:ascii="Times New Roman" w:eastAsia="Times New Roman" w:hAnsi="Times New Roman" w:cs="Times New Roman"/>
          <w:sz w:val="24"/>
          <w:szCs w:val="24"/>
          <w:highlight w:val="white"/>
        </w:rPr>
        <w:t xml:space="preserve"> (2025) found a positive correlation between digital inclusion and economic resilience indicators in SSA, further reinforcing the importance of policy support in enhancing resilience.</w:t>
      </w:r>
    </w:p>
    <w:p w14:paraId="7BA00A9C"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Infrastructure, particularly mobile network coverage and internet penetration, has been identified as a key driver of digital financial inclusion. Studies by Drama &amp; </w:t>
      </w:r>
      <w:proofErr w:type="spellStart"/>
      <w:r>
        <w:rPr>
          <w:rFonts w:ascii="Times New Roman" w:eastAsia="Times New Roman" w:hAnsi="Times New Roman" w:cs="Times New Roman"/>
          <w:sz w:val="24"/>
          <w:szCs w:val="24"/>
          <w:highlight w:val="white"/>
        </w:rPr>
        <w:t>Senou</w:t>
      </w:r>
      <w:proofErr w:type="spellEnd"/>
      <w:r>
        <w:rPr>
          <w:rFonts w:ascii="Times New Roman" w:eastAsia="Times New Roman" w:hAnsi="Times New Roman" w:cs="Times New Roman"/>
          <w:sz w:val="24"/>
          <w:szCs w:val="24"/>
          <w:highlight w:val="white"/>
        </w:rPr>
        <w:t xml:space="preserve">. (2025) show that mobile network expansion is crucial for increasing mobile money adoption, especially in underserved areas. However, digital inclusion’s impact on economic resilience is also shaped by broader socio-economic and governance factors (Drama &amp; </w:t>
      </w:r>
      <w:proofErr w:type="spellStart"/>
      <w:r>
        <w:rPr>
          <w:rFonts w:ascii="Times New Roman" w:eastAsia="Times New Roman" w:hAnsi="Times New Roman" w:cs="Times New Roman"/>
          <w:sz w:val="24"/>
          <w:szCs w:val="24"/>
          <w:highlight w:val="white"/>
        </w:rPr>
        <w:t>Senou</w:t>
      </w:r>
      <w:proofErr w:type="spellEnd"/>
      <w:r>
        <w:rPr>
          <w:rFonts w:ascii="Times New Roman" w:eastAsia="Times New Roman" w:hAnsi="Times New Roman" w:cs="Times New Roman"/>
          <w:sz w:val="24"/>
          <w:szCs w:val="24"/>
          <w:highlight w:val="white"/>
        </w:rPr>
        <w:t>, 2025).</w:t>
      </w:r>
    </w:p>
    <w:p w14:paraId="45C3FCF4"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aims to address a key gap in the literature: understanding how digital financial inclusion contributes to macroeconomic resilience in SSA. While many studies have focused on individual outcomes like poverty reduction or access, few have integrated these factors into broader resilience frameworks. This study will synthesize existing research and examine the long-term impacts of digital financial tools—such as mobile money, mobile banking, and fintech—on economic stability in SSA.</w:t>
      </w:r>
    </w:p>
    <w:p w14:paraId="0ACC0744"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By addressing these gaps, this scoping review will offer insights into how digital financial inclusion can effectively promote economic resilience in Sub-Saharan Africa. It will highlight key drivers, barriers, and outcomes, and suggest policy recommendations to maximize the impact of digital financial tools on economic resilience in the region.</w:t>
      </w:r>
    </w:p>
    <w:p w14:paraId="503F8163" w14:textId="77777777" w:rsidR="004433C1" w:rsidRDefault="004433C1">
      <w:pPr>
        <w:spacing w:before="240" w:after="240" w:line="360" w:lineRule="auto"/>
        <w:jc w:val="both"/>
        <w:rPr>
          <w:rFonts w:ascii="Times New Roman" w:eastAsia="Times New Roman" w:hAnsi="Times New Roman" w:cs="Times New Roman"/>
          <w:sz w:val="24"/>
          <w:szCs w:val="24"/>
          <w:highlight w:val="white"/>
        </w:rPr>
      </w:pPr>
    </w:p>
    <w:p w14:paraId="2F5389F5" w14:textId="77777777" w:rsidR="004433C1" w:rsidRDefault="005804FC">
      <w:pPr>
        <w:pStyle w:val="Heading3"/>
        <w:keepNext w:val="0"/>
        <w:keepLines w:val="0"/>
        <w:spacing w:before="280" w:line="360" w:lineRule="auto"/>
        <w:rPr>
          <w:rFonts w:ascii="Times New Roman" w:eastAsia="Times New Roman" w:hAnsi="Times New Roman" w:cs="Times New Roman"/>
          <w:b/>
          <w:bCs/>
          <w:color w:val="000000"/>
          <w:sz w:val="32"/>
          <w:szCs w:val="32"/>
          <w:highlight w:val="white"/>
        </w:rPr>
      </w:pPr>
      <w:bookmarkStart w:id="4" w:name="_heading=h.shfznozhm0a2" w:colFirst="0" w:colLast="0"/>
      <w:bookmarkEnd w:id="4"/>
      <w:r>
        <w:rPr>
          <w:rFonts w:ascii="Times New Roman" w:eastAsia="Times New Roman" w:hAnsi="Times New Roman" w:cs="Times New Roman"/>
          <w:b/>
          <w:bCs/>
          <w:color w:val="000000"/>
          <w:sz w:val="32"/>
          <w:szCs w:val="32"/>
          <w:highlight w:val="white"/>
        </w:rPr>
        <w:t>Methodology</w:t>
      </w:r>
    </w:p>
    <w:p w14:paraId="32E0516C"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5" w:name="_heading=h.xec96e4sjloo" w:colFirst="0" w:colLast="0"/>
      <w:bookmarkEnd w:id="5"/>
      <w:r>
        <w:rPr>
          <w:rFonts w:ascii="Times New Roman" w:eastAsia="Times New Roman" w:hAnsi="Times New Roman" w:cs="Times New Roman"/>
          <w:b/>
          <w:bCs/>
          <w:color w:val="000000"/>
          <w:sz w:val="28"/>
          <w:szCs w:val="28"/>
          <w:highlight w:val="white"/>
        </w:rPr>
        <w:t>Study Design</w:t>
      </w:r>
    </w:p>
    <w:p w14:paraId="62A078C5"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adopts a </w:t>
      </w:r>
      <w:r>
        <w:rPr>
          <w:rFonts w:ascii="Times New Roman" w:eastAsia="Times New Roman" w:hAnsi="Times New Roman" w:cs="Times New Roman"/>
          <w:highlight w:val="white"/>
        </w:rPr>
        <w:t>scoping review methodology</w:t>
      </w:r>
      <w:r>
        <w:rPr>
          <w:rFonts w:ascii="Times New Roman" w:eastAsia="Times New Roman" w:hAnsi="Times New Roman" w:cs="Times New Roman"/>
          <w:sz w:val="24"/>
          <w:szCs w:val="24"/>
          <w:highlight w:val="white"/>
        </w:rPr>
        <w:t xml:space="preserve"> to explore the role of digital financial inclusion in enhancing economic resilience in Sub-Saharan Africa (SSA). Scoping reviews are particularly suitable for mapping the existing literature on emerging or broad topics and identifying research gaps (Arksey &amp; O'Malley, 2005). </w:t>
      </w:r>
    </w:p>
    <w:p w14:paraId="414603EB"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theoretical framework guiding this review is based on financial inclusion theory and resilience theory. Financial inclusion theory focuses on the barriers to accessing financial services and the role of technology in overcoming these barriers. Resilience theory, in turn, emphasizes how individuals, households, and economies withstand, adapt, and recover from </w:t>
      </w:r>
      <w:r>
        <w:rPr>
          <w:rFonts w:ascii="Times New Roman" w:eastAsia="Times New Roman" w:hAnsi="Times New Roman" w:cs="Times New Roman"/>
          <w:sz w:val="24"/>
          <w:szCs w:val="24"/>
          <w:highlight w:val="white"/>
        </w:rPr>
        <w:lastRenderedPageBreak/>
        <w:t>external shocks, which is critical in understanding the role of digital financial services in promoting long-term economic stability and well-being in SSA.</w:t>
      </w:r>
    </w:p>
    <w:p w14:paraId="36112CDB"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6" w:name="_heading=h.w5petm3ld6xb" w:colFirst="0" w:colLast="0"/>
      <w:bookmarkEnd w:id="6"/>
      <w:r>
        <w:rPr>
          <w:rFonts w:ascii="Times New Roman" w:eastAsia="Times New Roman" w:hAnsi="Times New Roman" w:cs="Times New Roman"/>
          <w:b/>
          <w:bCs/>
          <w:color w:val="000000"/>
          <w:sz w:val="28"/>
          <w:szCs w:val="28"/>
          <w:highlight w:val="white"/>
        </w:rPr>
        <w:t>Information Sources and Search Strategy</w:t>
      </w:r>
    </w:p>
    <w:p w14:paraId="4BF2A945"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comprehensive literature search was conducted in African Journals Online (AJOL), Google Scholar, and SSRN on October 10, 2025. AJOL hosts a wide range of peer-reviewed journals from African countries, making it a valuable source for context-specific studies on financial inclusion and economic resilience in SSA. Google Scholar provides a comprehensive search across academic journals, conference proceedings, and reports, which can be crucial in identifying both published studies and grey literature relevant to the topic.</w:t>
      </w:r>
      <w:r>
        <w:rPr>
          <w:rFonts w:ascii="Times New Roman" w:eastAsia="Times New Roman" w:hAnsi="Times New Roman" w:cs="Times New Roman"/>
          <w:sz w:val="24"/>
          <w:szCs w:val="24"/>
          <w:highlight w:val="white"/>
        </w:rPr>
        <w:br/>
        <w:t>In addition SSRN was searched to retrieve studies related to health economics, policy papers, and working papers.</w:t>
      </w:r>
      <w:r>
        <w:rPr>
          <w:rFonts w:ascii="Times New Roman" w:eastAsia="Times New Roman" w:hAnsi="Times New Roman" w:cs="Times New Roman"/>
          <w:sz w:val="24"/>
          <w:szCs w:val="24"/>
          <w:highlight w:val="white"/>
        </w:rPr>
        <w:br/>
        <w:t xml:space="preserve">To refine the search and increase its precision, Boolean operators such as “AND” and “OR” were applied (Alharbi &amp; Stevenson, 2020). </w:t>
      </w:r>
    </w:p>
    <w:p w14:paraId="3754A27F"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Compiled search strategy for SSRN and Google Scholar is as follows: ("digital financial inclusion" AND "economic resilience" AND "Sub-Saharan Africa") and ("mobile money" OR "mobile banking" OR "fintech") AND "financial inclusion" AND "economic growth" and "policy framework" AND "digital finance" AND ("Africa" OR "SSA") while that of AJOL was: (digital financial inclusion OR fintech financial inclusion) AND (mobile money OR mobile banking) AND (economic growth) AND (policy framework)</w:t>
      </w:r>
      <w:r>
        <w:rPr>
          <w:rFonts w:ascii="Times New Roman" w:eastAsia="Times New Roman" w:hAnsi="Times New Roman" w:cs="Times New Roman"/>
          <w:sz w:val="24"/>
          <w:szCs w:val="24"/>
          <w:highlight w:val="white"/>
        </w:rPr>
        <w:br/>
        <w:t>Appropriate database filters were applied to narrow down search results to studies published in the last 5 years (studies published from 2020 to the search date) to ensure the relevance and timeliness of the data, with primary focus to studies published in English-language sources. Peer-reviewed journal articles, policy documents, working papers, and reports were prioritized.</w:t>
      </w:r>
    </w:p>
    <w:p w14:paraId="44EAA13A"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retrieve more studies, a reference list </w:t>
      </w:r>
      <w:proofErr w:type="gramStart"/>
      <w:r>
        <w:rPr>
          <w:rFonts w:ascii="Times New Roman" w:eastAsia="Times New Roman" w:hAnsi="Times New Roman" w:cs="Times New Roman"/>
          <w:sz w:val="24"/>
          <w:szCs w:val="24"/>
          <w:highlight w:val="white"/>
        </w:rPr>
        <w:t>of  a</w:t>
      </w:r>
      <w:proofErr w:type="gramEnd"/>
      <w:r>
        <w:rPr>
          <w:rFonts w:ascii="Times New Roman" w:eastAsia="Times New Roman" w:hAnsi="Times New Roman" w:cs="Times New Roman"/>
          <w:sz w:val="24"/>
          <w:szCs w:val="24"/>
          <w:highlight w:val="white"/>
        </w:rPr>
        <w:t xml:space="preserve"> systematic review and meta-analysis study was also searched. </w:t>
      </w:r>
    </w:p>
    <w:p w14:paraId="783805A9"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7" w:name="_heading=h.h0l71k27qsjo" w:colFirst="0" w:colLast="0"/>
      <w:bookmarkEnd w:id="7"/>
      <w:r>
        <w:rPr>
          <w:rFonts w:ascii="Times New Roman" w:eastAsia="Times New Roman" w:hAnsi="Times New Roman" w:cs="Times New Roman"/>
          <w:b/>
          <w:bCs/>
          <w:color w:val="000000"/>
          <w:sz w:val="28"/>
          <w:szCs w:val="28"/>
          <w:highlight w:val="white"/>
        </w:rPr>
        <w:t>Eligibility Criteria and Study Selection</w:t>
      </w:r>
    </w:p>
    <w:p w14:paraId="183E0B33"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inclusion and exclusion criteria for this study were based on the following:</w:t>
      </w:r>
    </w:p>
    <w:p w14:paraId="1F405F19" w14:textId="77777777" w:rsidR="004433C1" w:rsidRDefault="005804FC">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Inclusion Criteria:</w:t>
      </w:r>
    </w:p>
    <w:p w14:paraId="038D0512" w14:textId="77777777" w:rsidR="004433C1" w:rsidRDefault="005804FC">
      <w:pPr>
        <w:numPr>
          <w:ilvl w:val="0"/>
          <w:numId w:val="5"/>
        </w:numPr>
        <w:spacing w:before="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that investigate the relationship between digital financial inclusion (such as mobile money, mobile banking, and fintech) and economic resilience in SSA.</w:t>
      </w:r>
    </w:p>
    <w:p w14:paraId="540845DA" w14:textId="77777777" w:rsidR="004433C1" w:rsidRDefault="005804FC">
      <w:pPr>
        <w:numPr>
          <w:ilvl w:val="0"/>
          <w:numId w:val="5"/>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published between 2020 and 2025 to ensure recent and relevant data.</w:t>
      </w:r>
    </w:p>
    <w:p w14:paraId="5C6C8C84" w14:textId="77777777" w:rsidR="004433C1" w:rsidRDefault="005804FC">
      <w:pPr>
        <w:numPr>
          <w:ilvl w:val="0"/>
          <w:numId w:val="5"/>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Empirical studies, policy reports, and working papers that provide qualitative or quantitative analysis.</w:t>
      </w:r>
    </w:p>
    <w:p w14:paraId="4B57995E" w14:textId="77777777" w:rsidR="004433C1" w:rsidRDefault="005804FC">
      <w:pPr>
        <w:numPr>
          <w:ilvl w:val="0"/>
          <w:numId w:val="5"/>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that focus on Sub-Saharan African countries, either individually or as part of regional analyses.</w:t>
      </w:r>
    </w:p>
    <w:p w14:paraId="7AA376D3" w14:textId="77777777" w:rsidR="004433C1" w:rsidRDefault="005804FC">
      <w:pPr>
        <w:numPr>
          <w:ilvl w:val="0"/>
          <w:numId w:val="5"/>
        </w:numPr>
        <w:spacing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Publications in peer-reviewed journals or reputable working paper series.</w:t>
      </w:r>
    </w:p>
    <w:p w14:paraId="6C126806" w14:textId="77777777" w:rsidR="004433C1" w:rsidRDefault="005804FC">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Exclusion Criteria:</w:t>
      </w:r>
    </w:p>
    <w:p w14:paraId="192D9343" w14:textId="77777777" w:rsidR="004433C1" w:rsidRDefault="005804FC">
      <w:pPr>
        <w:numPr>
          <w:ilvl w:val="0"/>
          <w:numId w:val="2"/>
        </w:numPr>
        <w:spacing w:before="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that focus solely on non-SSA regions or high-income countries, as the research question pertains specifically to SSA.</w:t>
      </w:r>
    </w:p>
    <w:p w14:paraId="0477262B" w14:textId="77777777" w:rsidR="004433C1" w:rsidRDefault="005804FC">
      <w:pPr>
        <w:numPr>
          <w:ilvl w:val="0"/>
          <w:numId w:val="2"/>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Opinion pieces, editorials, or non-peer-reviewed articles.</w:t>
      </w:r>
    </w:p>
    <w:p w14:paraId="69FFF544" w14:textId="77777777" w:rsidR="004433C1" w:rsidRDefault="005804FC">
      <w:pPr>
        <w:numPr>
          <w:ilvl w:val="0"/>
          <w:numId w:val="2"/>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that do not address the economic resilience component of financial inclusion.</w:t>
      </w:r>
    </w:p>
    <w:p w14:paraId="1B713402" w14:textId="77777777" w:rsidR="004433C1" w:rsidRDefault="005804FC">
      <w:pPr>
        <w:numPr>
          <w:ilvl w:val="0"/>
          <w:numId w:val="2"/>
        </w:numPr>
        <w:spacing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Literature published prior to 2020.</w:t>
      </w:r>
    </w:p>
    <w:p w14:paraId="60E4DF55" w14:textId="77777777" w:rsidR="004433C1" w:rsidRDefault="005804FC">
      <w:pPr>
        <w:shd w:val="clear" w:color="auto" w:fill="FFFFFF"/>
        <w:spacing w:before="28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Search Results, Screening, and Study Selection</w:t>
      </w:r>
    </w:p>
    <w:p w14:paraId="475898F8" w14:textId="77777777" w:rsidR="004433C1" w:rsidRDefault="005804FC">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The screening and selection process followed a systematic approach to ensure transparency and reproducibility. Initially, all identified studies after filtering were imported into a reference manager (Zotero) to manage citations and track duplicates. The screening occurred in two phases. The first phase was Title and Abstract Screening in which the titles and abstracts of all identified studies were reviewed to assess their relevance based on the inclusion and exclusion criteria. Studies that clearly meet the criteria were included for full-text review.</w:t>
      </w:r>
      <w:r>
        <w:rPr>
          <w:rFonts w:ascii="Times New Roman" w:eastAsia="Times New Roman" w:hAnsi="Times New Roman" w:cs="Times New Roman"/>
          <w:sz w:val="24"/>
          <w:szCs w:val="24"/>
          <w:highlight w:val="white"/>
        </w:rPr>
        <w:br/>
        <w:t>The second phase was Full-Text Screening in which the full text of potentially relevant studies were assessed. Studies that meet all inclusion criteria were retained and included in data synthesis, while those that do not meet the inclusion criteria were excluded. The screening process of this study was carried out by two independent reviewers and any disagreements were resolved through discussion.</w:t>
      </w:r>
    </w:p>
    <w:p w14:paraId="2CF13ACF" w14:textId="77777777" w:rsidR="004433C1" w:rsidRDefault="005804FC">
      <w:pP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Following systematic search in Google Scholar, African Journal online (AJOL), SSRN and reference lists; 205 records were retrieved (49 from Google Scholar, 84 from AJOL and 5 from SSRN and 67 from reference lists). After applying appropriate filters, 194 articles remained then 9 duplicates were removed leaving 185 records screened during title and abstract screening. 152 were removed during title and abstract screening and of which four (4) articles were not retrieved. The full text of the remaining 33 articles were subjected to detailed eligibility assessment after which 16 articles were excluded that did not meet the inclusion criteria and the remaining 17 articles included in this review. The literature selection process is illustrated in the PRISMA (Preferred Reporting Items for Systematic Reviews and Meta-Analyses) flow diagram as shown in Figure 1.</w:t>
      </w:r>
    </w:p>
    <w:p w14:paraId="3D69F370"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IN" w:eastAsia="en-IN"/>
        </w:rPr>
        <w:drawing>
          <wp:inline distT="114300" distB="114300" distL="114300" distR="114300" wp14:anchorId="6981FE25" wp14:editId="3AFFAE6E">
            <wp:extent cx="5943600" cy="4864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864100"/>
                    </a:xfrm>
                    <a:prstGeom prst="rect">
                      <a:avLst/>
                    </a:prstGeom>
                    <a:ln/>
                  </pic:spPr>
                </pic:pic>
              </a:graphicData>
            </a:graphic>
          </wp:inline>
        </w:drawing>
      </w:r>
    </w:p>
    <w:p w14:paraId="24ACDA2B"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lastRenderedPageBreak/>
        <w:t>Figure 1: Preferred Reporting Items for Systematic Reviews and Meta-Analysis (PRISMA) Flow Diagram</w:t>
      </w:r>
    </w:p>
    <w:p w14:paraId="163A6C3B"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8" w:name="_heading=h.vj61i2wie1kn" w:colFirst="0" w:colLast="0"/>
      <w:bookmarkEnd w:id="8"/>
      <w:r>
        <w:rPr>
          <w:rFonts w:ascii="Times New Roman" w:eastAsia="Times New Roman" w:hAnsi="Times New Roman" w:cs="Times New Roman"/>
          <w:b/>
          <w:bCs/>
          <w:color w:val="000000"/>
          <w:sz w:val="28"/>
          <w:szCs w:val="28"/>
          <w:highlight w:val="white"/>
        </w:rPr>
        <w:t>Data Collection</w:t>
      </w:r>
    </w:p>
    <w:p w14:paraId="5A56C748"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data collection was primarily qualitative, focusing on synthesizing key findings and extracting relevant data from each selected study. Data management will be facilitated through a data collection table. The following data points were collected from each study:</w:t>
      </w:r>
    </w:p>
    <w:p w14:paraId="4E2809AB" w14:textId="77777777" w:rsidR="004433C1" w:rsidRDefault="005804FC">
      <w:pPr>
        <w:numPr>
          <w:ilvl w:val="0"/>
          <w:numId w:val="3"/>
        </w:numPr>
        <w:spacing w:before="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details: Author(s), year of publication, geographical focus (i.e., SSA countries or regions), and study design.</w:t>
      </w:r>
    </w:p>
    <w:p w14:paraId="7107D044" w14:textId="77777777" w:rsidR="004433C1" w:rsidRDefault="005804FC">
      <w:pPr>
        <w:numPr>
          <w:ilvl w:val="0"/>
          <w:numId w:val="3"/>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Key findings: Specific insights regarding the relationship between digital financial inclusion and economic resilience in SSA, including the role of mobile money, mobile banking, and fintech solutions.</w:t>
      </w:r>
    </w:p>
    <w:p w14:paraId="53CDB72A" w14:textId="77777777" w:rsidR="004433C1" w:rsidRDefault="005804FC">
      <w:pPr>
        <w:numPr>
          <w:ilvl w:val="0"/>
          <w:numId w:val="3"/>
        </w:numPr>
        <w:spacing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Methodological approach: Type of data analysis (e.g., econometric models, qualitative analysis), sample size, and any limitations noted by the authors.</w:t>
      </w:r>
      <w:r>
        <w:rPr>
          <w:rFonts w:ascii="Times New Roman" w:eastAsia="Times New Roman" w:hAnsi="Times New Roman" w:cs="Times New Roman"/>
          <w:sz w:val="24"/>
          <w:szCs w:val="24"/>
          <w:highlight w:val="white"/>
        </w:rPr>
        <w:br/>
      </w:r>
    </w:p>
    <w:p w14:paraId="15F8A6D8"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9" w:name="_heading=h.c4e5qvjymhpw" w:colFirst="0" w:colLast="0"/>
      <w:bookmarkEnd w:id="9"/>
      <w:r>
        <w:rPr>
          <w:rFonts w:ascii="Times New Roman" w:eastAsia="Times New Roman" w:hAnsi="Times New Roman" w:cs="Times New Roman"/>
          <w:b/>
          <w:bCs/>
          <w:color w:val="000000"/>
          <w:sz w:val="28"/>
          <w:szCs w:val="28"/>
          <w:highlight w:val="white"/>
        </w:rPr>
        <w:t>Data Synthesis</w:t>
      </w:r>
    </w:p>
    <w:p w14:paraId="7F25651C"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narrative synthesis approach was adopted. This approach involves thematically organizing the findings from the included studies and interpreting them within the context of the research questions based on the </w:t>
      </w:r>
      <w:proofErr w:type="gramStart"/>
      <w:r>
        <w:rPr>
          <w:rFonts w:ascii="Times New Roman" w:eastAsia="Times New Roman" w:hAnsi="Times New Roman" w:cs="Times New Roman"/>
          <w:sz w:val="24"/>
          <w:szCs w:val="24"/>
          <w:highlight w:val="white"/>
        </w:rPr>
        <w:t>emerging  themes</w:t>
      </w:r>
      <w:proofErr w:type="gramEnd"/>
      <w:r>
        <w:rPr>
          <w:rFonts w:ascii="Times New Roman" w:eastAsia="Times New Roman" w:hAnsi="Times New Roman" w:cs="Times New Roman"/>
          <w:sz w:val="24"/>
          <w:szCs w:val="24"/>
          <w:highlight w:val="white"/>
        </w:rPr>
        <w:t xml:space="preserve"> and patterns from the included studies (Popay et al., 2006). The synthesis focused on key drivers of digital financial inclusion and how they contribute to economic resilience in SSA, barriers and challenges that hinder the successful adoption and impact of digital financial tools as well as outcomes associated with digital financial inclusion, particularly in terms of economic stability and resilience at the individual, household, and national levels.</w:t>
      </w:r>
      <w:r>
        <w:rPr>
          <w:rFonts w:ascii="Times New Roman" w:eastAsia="Times New Roman" w:hAnsi="Times New Roman" w:cs="Times New Roman"/>
          <w:sz w:val="24"/>
          <w:szCs w:val="24"/>
          <w:highlight w:val="white"/>
        </w:rPr>
        <w:br/>
        <w:t xml:space="preserve">A conceptual framework guided the synthesis by linking the key variables—digital financial inclusion tools (e.g., mobile money, fintech), economic resilience indicators (e.g., poverty reduction, risk mitigation), and contextual factors (e.g., infrastructure, policy environment). This approach allowed for a comprehensive analysis of the literature, highlighting both the strengths </w:t>
      </w:r>
      <w:r>
        <w:rPr>
          <w:rFonts w:ascii="Times New Roman" w:eastAsia="Times New Roman" w:hAnsi="Times New Roman" w:cs="Times New Roman"/>
          <w:sz w:val="24"/>
          <w:szCs w:val="24"/>
          <w:highlight w:val="white"/>
        </w:rPr>
        <w:lastRenderedPageBreak/>
        <w:t>and limitations of existing research while providing new insights into the relationship between digital financial inclusion and economic resilience in SSA.</w:t>
      </w:r>
    </w:p>
    <w:p w14:paraId="58A4EFA9" w14:textId="77777777" w:rsidR="004433C1" w:rsidRDefault="004433C1">
      <w:pPr>
        <w:spacing w:before="240" w:after="240" w:line="360" w:lineRule="auto"/>
        <w:jc w:val="both"/>
        <w:rPr>
          <w:rFonts w:ascii="Times New Roman" w:eastAsia="Times New Roman" w:hAnsi="Times New Roman" w:cs="Times New Roman"/>
          <w:sz w:val="24"/>
          <w:szCs w:val="24"/>
          <w:highlight w:val="white"/>
        </w:rPr>
      </w:pPr>
    </w:p>
    <w:p w14:paraId="4A8B1669" w14:textId="77777777" w:rsidR="004433C1" w:rsidRDefault="005804FC">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w:t>
      </w:r>
    </w:p>
    <w:p w14:paraId="54E7A930" w14:textId="77777777" w:rsidR="004433C1" w:rsidRDefault="005804FC">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Characteristics</w:t>
      </w:r>
    </w:p>
    <w:p w14:paraId="5652779E"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17 studies included in this review encompass a diverse range of research designs and methodologies. Quantitative approaches, such as survey analysis, econometric modeling, and panel data analysis, dominate the studies, providing statistical evidence on the impact of digital financial tools like mobile money, mobile banking, and FinTech on financial inclusion and economic resilience. Additionally, several studies employ qualitative and mixed-methods approaches, including case studies and structured interviews, to capture the lived experiences of individuals and communities in SSA. The geographic scope is broad, with studies from multiple SSA countries, including Kenya, Ghana, Tanzania, and Ethiopia. Despite varying methods, all studies consistently highlight the transformative role of digital financial services in improving access to finance, fostering entrepreneurship, and enhancing economic stability in the region.</w:t>
      </w:r>
    </w:p>
    <w:p w14:paraId="34C3D8CB" w14:textId="77777777" w:rsidR="004433C1" w:rsidRDefault="005804FC">
      <w:pPr>
        <w:spacing w:before="240" w:after="240" w:line="36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1: Characteristics of included studies</w:t>
      </w:r>
    </w:p>
    <w:tbl>
      <w:tblPr>
        <w:tblStyle w:val="a3"/>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1155"/>
        <w:gridCol w:w="870"/>
        <w:gridCol w:w="1200"/>
        <w:gridCol w:w="1125"/>
        <w:gridCol w:w="1260"/>
        <w:gridCol w:w="2640"/>
      </w:tblGrid>
      <w:tr w:rsidR="004433C1" w14:paraId="587A95EF" w14:textId="77777777">
        <w:tc>
          <w:tcPr>
            <w:tcW w:w="990" w:type="dxa"/>
            <w:tcMar>
              <w:top w:w="100" w:type="dxa"/>
              <w:left w:w="100" w:type="dxa"/>
              <w:bottom w:w="100" w:type="dxa"/>
              <w:right w:w="100" w:type="dxa"/>
            </w:tcMar>
          </w:tcPr>
          <w:p w14:paraId="5860A8E7" w14:textId="77777777" w:rsidR="004433C1" w:rsidRDefault="005804FC">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ID</w:t>
            </w:r>
          </w:p>
        </w:tc>
        <w:tc>
          <w:tcPr>
            <w:tcW w:w="1155" w:type="dxa"/>
            <w:tcMar>
              <w:top w:w="100" w:type="dxa"/>
              <w:left w:w="100" w:type="dxa"/>
              <w:bottom w:w="100" w:type="dxa"/>
              <w:right w:w="100" w:type="dxa"/>
            </w:tcMar>
          </w:tcPr>
          <w:p w14:paraId="0F3C98DC" w14:textId="77777777" w:rsidR="004433C1" w:rsidRDefault="005804FC">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Country/Region</w:t>
            </w:r>
          </w:p>
        </w:tc>
        <w:tc>
          <w:tcPr>
            <w:tcW w:w="870" w:type="dxa"/>
            <w:tcMar>
              <w:top w:w="100" w:type="dxa"/>
              <w:left w:w="100" w:type="dxa"/>
              <w:bottom w:w="100" w:type="dxa"/>
              <w:right w:w="100" w:type="dxa"/>
            </w:tcMar>
          </w:tcPr>
          <w:p w14:paraId="22C0FBD4" w14:textId="77777777" w:rsidR="004433C1" w:rsidRDefault="005804FC">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tc>
        <w:tc>
          <w:tcPr>
            <w:tcW w:w="1200" w:type="dxa"/>
            <w:tcMar>
              <w:top w:w="100" w:type="dxa"/>
              <w:left w:w="100" w:type="dxa"/>
              <w:bottom w:w="100" w:type="dxa"/>
              <w:right w:w="100" w:type="dxa"/>
            </w:tcMar>
          </w:tcPr>
          <w:p w14:paraId="6089A791" w14:textId="77777777" w:rsidR="004433C1" w:rsidRDefault="005804FC">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Methodological Approach</w:t>
            </w:r>
          </w:p>
        </w:tc>
        <w:tc>
          <w:tcPr>
            <w:tcW w:w="1125" w:type="dxa"/>
            <w:tcMar>
              <w:top w:w="100" w:type="dxa"/>
              <w:left w:w="100" w:type="dxa"/>
              <w:bottom w:w="100" w:type="dxa"/>
              <w:right w:w="100" w:type="dxa"/>
            </w:tcMar>
          </w:tcPr>
          <w:p w14:paraId="1BEE3E52" w14:textId="77777777" w:rsidR="004433C1" w:rsidRDefault="005804FC">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Digital Financial Inclusion Tool(s)</w:t>
            </w:r>
          </w:p>
        </w:tc>
        <w:tc>
          <w:tcPr>
            <w:tcW w:w="1260" w:type="dxa"/>
            <w:tcMar>
              <w:top w:w="100" w:type="dxa"/>
              <w:left w:w="100" w:type="dxa"/>
              <w:bottom w:w="100" w:type="dxa"/>
              <w:right w:w="100" w:type="dxa"/>
            </w:tcMar>
          </w:tcPr>
          <w:p w14:paraId="1DD97EB2" w14:textId="77777777" w:rsidR="004433C1" w:rsidRDefault="005804FC">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Economic Resilience Indicator(s)</w:t>
            </w:r>
          </w:p>
        </w:tc>
        <w:tc>
          <w:tcPr>
            <w:tcW w:w="2640" w:type="dxa"/>
            <w:tcMar>
              <w:top w:w="100" w:type="dxa"/>
              <w:left w:w="100" w:type="dxa"/>
              <w:bottom w:w="100" w:type="dxa"/>
              <w:right w:w="100" w:type="dxa"/>
            </w:tcMar>
          </w:tcPr>
          <w:p w14:paraId="3BDE4144" w14:textId="77777777" w:rsidR="004433C1" w:rsidRDefault="005804FC">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Key Findings/Conclusions</w:t>
            </w:r>
          </w:p>
        </w:tc>
      </w:tr>
      <w:tr w:rsidR="004433C1" w14:paraId="5F025E50" w14:textId="77777777">
        <w:tc>
          <w:tcPr>
            <w:tcW w:w="990" w:type="dxa"/>
            <w:tcMar>
              <w:top w:w="100" w:type="dxa"/>
              <w:left w:w="100" w:type="dxa"/>
              <w:bottom w:w="100" w:type="dxa"/>
              <w:right w:w="100" w:type="dxa"/>
            </w:tcMar>
          </w:tcPr>
          <w:p w14:paraId="71D6CF8F" w14:textId="77777777" w:rsidR="004433C1" w:rsidRDefault="005804FC">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Wanzala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Obokoh</w:t>
            </w:r>
            <w:proofErr w:type="spellEnd"/>
            <w:r>
              <w:rPr>
                <w:rFonts w:ascii="Times New Roman" w:eastAsia="Times New Roman" w:hAnsi="Times New Roman" w:cs="Times New Roman"/>
                <w:sz w:val="24"/>
                <w:szCs w:val="24"/>
                <w:highlight w:val="white"/>
              </w:rPr>
              <w:t xml:space="preserve"> (2025) </w:t>
            </w:r>
          </w:p>
        </w:tc>
        <w:tc>
          <w:tcPr>
            <w:tcW w:w="1155" w:type="dxa"/>
            <w:tcMar>
              <w:top w:w="100" w:type="dxa"/>
              <w:left w:w="100" w:type="dxa"/>
              <w:bottom w:w="100" w:type="dxa"/>
              <w:right w:w="100" w:type="dxa"/>
            </w:tcMar>
          </w:tcPr>
          <w:p w14:paraId="58E583B4"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Kenya</w:t>
            </w:r>
          </w:p>
        </w:tc>
        <w:tc>
          <w:tcPr>
            <w:tcW w:w="870" w:type="dxa"/>
            <w:tcMar>
              <w:top w:w="100" w:type="dxa"/>
              <w:left w:w="100" w:type="dxa"/>
              <w:bottom w:w="100" w:type="dxa"/>
              <w:right w:w="100" w:type="dxa"/>
            </w:tcMar>
          </w:tcPr>
          <w:p w14:paraId="77FA79D0"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Empirical </w:t>
            </w:r>
            <w:r>
              <w:rPr>
                <w:rFonts w:ascii="Times New Roman" w:eastAsia="Times New Roman" w:hAnsi="Times New Roman" w:cs="Times New Roman"/>
                <w:sz w:val="24"/>
                <w:szCs w:val="24"/>
                <w:highlight w:val="white"/>
              </w:rPr>
              <w:lastRenderedPageBreak/>
              <w:t>Study</w:t>
            </w:r>
          </w:p>
        </w:tc>
        <w:tc>
          <w:tcPr>
            <w:tcW w:w="1200" w:type="dxa"/>
            <w:tcMar>
              <w:top w:w="100" w:type="dxa"/>
              <w:left w:w="100" w:type="dxa"/>
              <w:bottom w:w="100" w:type="dxa"/>
              <w:right w:w="100" w:type="dxa"/>
            </w:tcMar>
          </w:tcPr>
          <w:p w14:paraId="5F201034"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Quantitative: Survey </w:t>
            </w:r>
            <w:r>
              <w:rPr>
                <w:rFonts w:ascii="Times New Roman" w:eastAsia="Times New Roman" w:hAnsi="Times New Roman" w:cs="Times New Roman"/>
                <w:sz w:val="24"/>
                <w:szCs w:val="24"/>
                <w:highlight w:val="white"/>
              </w:rPr>
              <w:lastRenderedPageBreak/>
              <w:t>analysis and econometric modeling</w:t>
            </w:r>
          </w:p>
        </w:tc>
        <w:tc>
          <w:tcPr>
            <w:tcW w:w="1125" w:type="dxa"/>
            <w:tcMar>
              <w:top w:w="100" w:type="dxa"/>
              <w:left w:w="100" w:type="dxa"/>
              <w:bottom w:w="100" w:type="dxa"/>
              <w:right w:w="100" w:type="dxa"/>
            </w:tcMar>
          </w:tcPr>
          <w:p w14:paraId="6C1A8D9A"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Mobile Money (M-</w:t>
            </w:r>
            <w:r>
              <w:rPr>
                <w:rFonts w:ascii="Times New Roman" w:eastAsia="Times New Roman" w:hAnsi="Times New Roman" w:cs="Times New Roman"/>
                <w:sz w:val="24"/>
                <w:szCs w:val="24"/>
                <w:highlight w:val="white"/>
              </w:rPr>
              <w:lastRenderedPageBreak/>
              <w:t>Pesa), Mobile Banking</w:t>
            </w:r>
          </w:p>
        </w:tc>
        <w:tc>
          <w:tcPr>
            <w:tcW w:w="1260" w:type="dxa"/>
            <w:tcMar>
              <w:top w:w="100" w:type="dxa"/>
              <w:left w:w="100" w:type="dxa"/>
              <w:bottom w:w="100" w:type="dxa"/>
              <w:right w:w="100" w:type="dxa"/>
            </w:tcMar>
          </w:tcPr>
          <w:p w14:paraId="51B750AB"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Economic Inclusion, Household </w:t>
            </w:r>
            <w:r>
              <w:rPr>
                <w:rFonts w:ascii="Times New Roman" w:eastAsia="Times New Roman" w:hAnsi="Times New Roman" w:cs="Times New Roman"/>
                <w:sz w:val="24"/>
                <w:szCs w:val="24"/>
                <w:highlight w:val="white"/>
              </w:rPr>
              <w:lastRenderedPageBreak/>
              <w:t>Resilience</w:t>
            </w:r>
          </w:p>
        </w:tc>
        <w:tc>
          <w:tcPr>
            <w:tcW w:w="2640" w:type="dxa"/>
            <w:tcMar>
              <w:top w:w="100" w:type="dxa"/>
              <w:left w:w="100" w:type="dxa"/>
              <w:bottom w:w="100" w:type="dxa"/>
              <w:right w:w="100" w:type="dxa"/>
            </w:tcMar>
          </w:tcPr>
          <w:p w14:paraId="009E968D"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Mobile money adoption improves financial access, promotes </w:t>
            </w:r>
            <w:r>
              <w:rPr>
                <w:rFonts w:ascii="Times New Roman" w:eastAsia="Times New Roman" w:hAnsi="Times New Roman" w:cs="Times New Roman"/>
                <w:sz w:val="24"/>
                <w:szCs w:val="24"/>
                <w:highlight w:val="white"/>
              </w:rPr>
              <w:lastRenderedPageBreak/>
              <w:t>savings, and enhances resilience, especially in rural areas.</w:t>
            </w:r>
          </w:p>
        </w:tc>
      </w:tr>
      <w:tr w:rsidR="004433C1" w14:paraId="2994CC05" w14:textId="77777777">
        <w:tc>
          <w:tcPr>
            <w:tcW w:w="990" w:type="dxa"/>
            <w:tcMar>
              <w:top w:w="100" w:type="dxa"/>
              <w:left w:w="100" w:type="dxa"/>
              <w:bottom w:w="100" w:type="dxa"/>
              <w:right w:w="100" w:type="dxa"/>
            </w:tcMar>
          </w:tcPr>
          <w:p w14:paraId="78E8FAA7" w14:textId="77777777" w:rsidR="004433C1" w:rsidRDefault="005804FC">
            <w:pPr>
              <w:widowControl w:val="0"/>
              <w:pBdr>
                <w:top w:val="nil"/>
                <w:left w:val="nil"/>
                <w:bottom w:val="nil"/>
                <w:right w:val="nil"/>
                <w:between w:val="nil"/>
              </w:pBd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Ugulumu</w:t>
            </w:r>
            <w:proofErr w:type="spellEnd"/>
            <w:r>
              <w:rPr>
                <w:rFonts w:ascii="Times New Roman" w:eastAsia="Times New Roman" w:hAnsi="Times New Roman" w:cs="Times New Roman"/>
                <w:sz w:val="24"/>
                <w:szCs w:val="24"/>
                <w:highlight w:val="white"/>
              </w:rPr>
              <w:t xml:space="preserve"> et al. (2023) </w:t>
            </w:r>
          </w:p>
        </w:tc>
        <w:tc>
          <w:tcPr>
            <w:tcW w:w="1155" w:type="dxa"/>
            <w:tcMar>
              <w:top w:w="100" w:type="dxa"/>
              <w:left w:w="100" w:type="dxa"/>
              <w:bottom w:w="100" w:type="dxa"/>
              <w:right w:w="100" w:type="dxa"/>
            </w:tcMar>
          </w:tcPr>
          <w:p w14:paraId="1CE4CAF0"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Tanzania</w:t>
            </w:r>
          </w:p>
        </w:tc>
        <w:tc>
          <w:tcPr>
            <w:tcW w:w="870" w:type="dxa"/>
            <w:tcMar>
              <w:top w:w="100" w:type="dxa"/>
              <w:left w:w="100" w:type="dxa"/>
              <w:bottom w:w="100" w:type="dxa"/>
              <w:right w:w="100" w:type="dxa"/>
            </w:tcMar>
          </w:tcPr>
          <w:p w14:paraId="104A0CD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study</w:t>
            </w:r>
          </w:p>
        </w:tc>
        <w:tc>
          <w:tcPr>
            <w:tcW w:w="1200" w:type="dxa"/>
            <w:tcMar>
              <w:top w:w="100" w:type="dxa"/>
              <w:left w:w="100" w:type="dxa"/>
              <w:bottom w:w="100" w:type="dxa"/>
              <w:right w:w="100" w:type="dxa"/>
            </w:tcMar>
          </w:tcPr>
          <w:p w14:paraId="03DA672D"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Mixed-methods: Surveys, structured interviews</w:t>
            </w:r>
          </w:p>
        </w:tc>
        <w:tc>
          <w:tcPr>
            <w:tcW w:w="1125" w:type="dxa"/>
            <w:tcMar>
              <w:top w:w="100" w:type="dxa"/>
              <w:left w:w="100" w:type="dxa"/>
              <w:bottom w:w="100" w:type="dxa"/>
              <w:right w:w="100" w:type="dxa"/>
            </w:tcMar>
          </w:tcPr>
          <w:p w14:paraId="6CB4D42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Mobile Money, Informal Savings, Formal Credit</w:t>
            </w:r>
          </w:p>
        </w:tc>
        <w:tc>
          <w:tcPr>
            <w:tcW w:w="1260" w:type="dxa"/>
            <w:tcMar>
              <w:top w:w="100" w:type="dxa"/>
              <w:left w:w="100" w:type="dxa"/>
              <w:bottom w:w="100" w:type="dxa"/>
              <w:right w:w="100" w:type="dxa"/>
            </w:tcMar>
          </w:tcPr>
          <w:p w14:paraId="703AEB53"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Household Financial Resilience, Gender Equality</w:t>
            </w:r>
          </w:p>
        </w:tc>
        <w:tc>
          <w:tcPr>
            <w:tcW w:w="2640" w:type="dxa"/>
            <w:tcMar>
              <w:top w:w="100" w:type="dxa"/>
              <w:left w:w="100" w:type="dxa"/>
              <w:bottom w:w="100" w:type="dxa"/>
              <w:right w:w="100" w:type="dxa"/>
            </w:tcMar>
          </w:tcPr>
          <w:p w14:paraId="1F62BA6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Women petty traders rely heavily on mobile money; socio-economic factors limit access to formal financial services.</w:t>
            </w:r>
          </w:p>
        </w:tc>
      </w:tr>
      <w:tr w:rsidR="004433C1" w14:paraId="3C9CBCAA" w14:textId="77777777">
        <w:tc>
          <w:tcPr>
            <w:tcW w:w="990" w:type="dxa"/>
            <w:tcMar>
              <w:top w:w="100" w:type="dxa"/>
              <w:left w:w="100" w:type="dxa"/>
              <w:bottom w:w="100" w:type="dxa"/>
              <w:right w:w="100" w:type="dxa"/>
            </w:tcMar>
          </w:tcPr>
          <w:p w14:paraId="4C6398CF"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Kamara &amp; Yu (2024)</w:t>
            </w:r>
          </w:p>
        </w:tc>
        <w:tc>
          <w:tcPr>
            <w:tcW w:w="1155" w:type="dxa"/>
            <w:tcMar>
              <w:top w:w="100" w:type="dxa"/>
              <w:left w:w="100" w:type="dxa"/>
              <w:bottom w:w="100" w:type="dxa"/>
              <w:right w:w="100" w:type="dxa"/>
            </w:tcMar>
          </w:tcPr>
          <w:p w14:paraId="23EA117F"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Sub-Saharan Africa</w:t>
            </w:r>
          </w:p>
        </w:tc>
        <w:tc>
          <w:tcPr>
            <w:tcW w:w="870" w:type="dxa"/>
            <w:tcMar>
              <w:top w:w="100" w:type="dxa"/>
              <w:left w:w="100" w:type="dxa"/>
              <w:bottom w:w="100" w:type="dxa"/>
              <w:right w:w="100" w:type="dxa"/>
            </w:tcMar>
          </w:tcPr>
          <w:p w14:paraId="65ADF5DF"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Panel Data Analysis</w:t>
            </w:r>
          </w:p>
        </w:tc>
        <w:tc>
          <w:tcPr>
            <w:tcW w:w="1200" w:type="dxa"/>
            <w:tcMar>
              <w:top w:w="100" w:type="dxa"/>
              <w:left w:w="100" w:type="dxa"/>
              <w:bottom w:w="100" w:type="dxa"/>
              <w:right w:w="100" w:type="dxa"/>
            </w:tcMar>
          </w:tcPr>
          <w:p w14:paraId="5DBE69D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Quantitative: Dynamic panel data models</w:t>
            </w:r>
          </w:p>
        </w:tc>
        <w:tc>
          <w:tcPr>
            <w:tcW w:w="1125" w:type="dxa"/>
            <w:tcMar>
              <w:top w:w="100" w:type="dxa"/>
              <w:left w:w="100" w:type="dxa"/>
              <w:bottom w:w="100" w:type="dxa"/>
              <w:right w:w="100" w:type="dxa"/>
            </w:tcMar>
          </w:tcPr>
          <w:p w14:paraId="6CEE4FCA"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FinTech Platforms, Mobile Banking, Digital Loans</w:t>
            </w:r>
          </w:p>
        </w:tc>
        <w:tc>
          <w:tcPr>
            <w:tcW w:w="1260" w:type="dxa"/>
            <w:tcMar>
              <w:top w:w="100" w:type="dxa"/>
              <w:left w:w="100" w:type="dxa"/>
              <w:bottom w:w="100" w:type="dxa"/>
              <w:right w:w="100" w:type="dxa"/>
            </w:tcMar>
          </w:tcPr>
          <w:p w14:paraId="0D77E28F"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 Resilience, Financial Inclusion, Infrastructure</w:t>
            </w:r>
          </w:p>
        </w:tc>
        <w:tc>
          <w:tcPr>
            <w:tcW w:w="2640" w:type="dxa"/>
            <w:tcMar>
              <w:top w:w="100" w:type="dxa"/>
              <w:left w:w="100" w:type="dxa"/>
              <w:bottom w:w="100" w:type="dxa"/>
              <w:right w:w="100" w:type="dxa"/>
            </w:tcMar>
          </w:tcPr>
          <w:p w14:paraId="4B3B4A43"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FinTech adoption improves financial inclusion but may leave gaps in spatial access, impacting economic resilience unevenly.</w:t>
            </w:r>
          </w:p>
        </w:tc>
      </w:tr>
      <w:tr w:rsidR="004433C1" w14:paraId="35C23708" w14:textId="77777777">
        <w:tc>
          <w:tcPr>
            <w:tcW w:w="990" w:type="dxa"/>
            <w:tcMar>
              <w:top w:w="100" w:type="dxa"/>
              <w:left w:w="100" w:type="dxa"/>
              <w:bottom w:w="100" w:type="dxa"/>
              <w:right w:w="100" w:type="dxa"/>
            </w:tcMar>
          </w:tcPr>
          <w:p w14:paraId="63FE94CE"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xml:space="preserve"> (2021)</w:t>
            </w:r>
          </w:p>
        </w:tc>
        <w:tc>
          <w:tcPr>
            <w:tcW w:w="1155" w:type="dxa"/>
            <w:tcMar>
              <w:top w:w="100" w:type="dxa"/>
              <w:left w:w="100" w:type="dxa"/>
              <w:bottom w:w="100" w:type="dxa"/>
              <w:right w:w="100" w:type="dxa"/>
            </w:tcMar>
          </w:tcPr>
          <w:p w14:paraId="389F94E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Sub-Saharan Africa</w:t>
            </w:r>
          </w:p>
        </w:tc>
        <w:tc>
          <w:tcPr>
            <w:tcW w:w="870" w:type="dxa"/>
            <w:tcMar>
              <w:top w:w="100" w:type="dxa"/>
              <w:left w:w="100" w:type="dxa"/>
              <w:bottom w:w="100" w:type="dxa"/>
              <w:right w:w="100" w:type="dxa"/>
            </w:tcMar>
          </w:tcPr>
          <w:p w14:paraId="5D1F40BF"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Review Study</w:t>
            </w:r>
          </w:p>
        </w:tc>
        <w:tc>
          <w:tcPr>
            <w:tcW w:w="1200" w:type="dxa"/>
            <w:tcMar>
              <w:top w:w="100" w:type="dxa"/>
              <w:left w:w="100" w:type="dxa"/>
              <w:bottom w:w="100" w:type="dxa"/>
              <w:right w:w="100" w:type="dxa"/>
            </w:tcMar>
          </w:tcPr>
          <w:p w14:paraId="1303C465"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Systematic Literature Review</w:t>
            </w:r>
          </w:p>
        </w:tc>
        <w:tc>
          <w:tcPr>
            <w:tcW w:w="1125" w:type="dxa"/>
            <w:tcMar>
              <w:top w:w="100" w:type="dxa"/>
              <w:left w:w="100" w:type="dxa"/>
              <w:bottom w:w="100" w:type="dxa"/>
              <w:right w:w="100" w:type="dxa"/>
            </w:tcMar>
          </w:tcPr>
          <w:p w14:paraId="1292047A"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Mobile Banking, Digital Payments</w:t>
            </w:r>
          </w:p>
        </w:tc>
        <w:tc>
          <w:tcPr>
            <w:tcW w:w="1260" w:type="dxa"/>
            <w:tcMar>
              <w:top w:w="100" w:type="dxa"/>
              <w:left w:w="100" w:type="dxa"/>
              <w:bottom w:w="100" w:type="dxa"/>
              <w:right w:w="100" w:type="dxa"/>
            </w:tcMar>
          </w:tcPr>
          <w:p w14:paraId="06C26F20"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 Growth, Financial Resilience</w:t>
            </w:r>
          </w:p>
        </w:tc>
        <w:tc>
          <w:tcPr>
            <w:tcW w:w="2640" w:type="dxa"/>
            <w:tcMar>
              <w:top w:w="100" w:type="dxa"/>
              <w:left w:w="100" w:type="dxa"/>
              <w:bottom w:w="100" w:type="dxa"/>
              <w:right w:w="100" w:type="dxa"/>
            </w:tcMar>
          </w:tcPr>
          <w:p w14:paraId="6C2DD7F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Mobile banking fosters economic resilience by enabling access to savings, credit, and insurance, boosting financial stability in SSA.</w:t>
            </w:r>
          </w:p>
        </w:tc>
      </w:tr>
      <w:tr w:rsidR="004433C1" w14:paraId="17A02E58" w14:textId="77777777">
        <w:tc>
          <w:tcPr>
            <w:tcW w:w="990" w:type="dxa"/>
            <w:tcMar>
              <w:top w:w="100" w:type="dxa"/>
              <w:left w:w="100" w:type="dxa"/>
              <w:bottom w:w="100" w:type="dxa"/>
              <w:right w:w="100" w:type="dxa"/>
            </w:tcMar>
          </w:tcPr>
          <w:p w14:paraId="76C5F8C2"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Siano et al. (2020)</w:t>
            </w:r>
          </w:p>
        </w:tc>
        <w:tc>
          <w:tcPr>
            <w:tcW w:w="1155" w:type="dxa"/>
            <w:tcMar>
              <w:top w:w="100" w:type="dxa"/>
              <w:left w:w="100" w:type="dxa"/>
              <w:bottom w:w="100" w:type="dxa"/>
              <w:right w:w="100" w:type="dxa"/>
            </w:tcMar>
          </w:tcPr>
          <w:p w14:paraId="23E515ED"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14:paraId="2686EADC"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Empirical Study</w:t>
            </w:r>
          </w:p>
        </w:tc>
        <w:tc>
          <w:tcPr>
            <w:tcW w:w="1200" w:type="dxa"/>
            <w:tcMar>
              <w:top w:w="100" w:type="dxa"/>
              <w:left w:w="100" w:type="dxa"/>
              <w:bottom w:w="100" w:type="dxa"/>
              <w:right w:w="100" w:type="dxa"/>
            </w:tcMar>
          </w:tcPr>
          <w:p w14:paraId="20ECB185"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Qualitative, Case Study</w:t>
            </w:r>
          </w:p>
        </w:tc>
        <w:tc>
          <w:tcPr>
            <w:tcW w:w="1125" w:type="dxa"/>
            <w:tcMar>
              <w:top w:w="100" w:type="dxa"/>
              <w:left w:w="100" w:type="dxa"/>
              <w:bottom w:w="100" w:type="dxa"/>
              <w:right w:w="100" w:type="dxa"/>
            </w:tcMar>
          </w:tcPr>
          <w:p w14:paraId="33630C9D"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Mobile Money, FinTech</w:t>
            </w:r>
          </w:p>
        </w:tc>
        <w:tc>
          <w:tcPr>
            <w:tcW w:w="1260" w:type="dxa"/>
            <w:tcMar>
              <w:top w:w="100" w:type="dxa"/>
              <w:left w:w="100" w:type="dxa"/>
              <w:bottom w:w="100" w:type="dxa"/>
              <w:right w:w="100" w:type="dxa"/>
            </w:tcMar>
          </w:tcPr>
          <w:p w14:paraId="79E7BFF1"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Economic Growth, Financial Access</w:t>
            </w:r>
          </w:p>
        </w:tc>
        <w:tc>
          <w:tcPr>
            <w:tcW w:w="2640" w:type="dxa"/>
            <w:tcMar>
              <w:top w:w="100" w:type="dxa"/>
              <w:left w:w="100" w:type="dxa"/>
              <w:bottom w:w="100" w:type="dxa"/>
              <w:right w:w="100" w:type="dxa"/>
            </w:tcMar>
          </w:tcPr>
          <w:p w14:paraId="4ABB89BF"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Examines mobile money’s role in bridging financial access gaps, fostering economic stability.</w:t>
            </w:r>
          </w:p>
        </w:tc>
      </w:tr>
      <w:tr w:rsidR="004433C1" w14:paraId="4895A409" w14:textId="77777777">
        <w:tc>
          <w:tcPr>
            <w:tcW w:w="990" w:type="dxa"/>
            <w:tcMar>
              <w:top w:w="100" w:type="dxa"/>
              <w:left w:w="100" w:type="dxa"/>
              <w:bottom w:w="100" w:type="dxa"/>
              <w:right w:w="100" w:type="dxa"/>
            </w:tcMar>
          </w:tcPr>
          <w:p w14:paraId="771EA428"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Antwi-Boampong et al. (2022)</w:t>
            </w:r>
          </w:p>
        </w:tc>
        <w:tc>
          <w:tcPr>
            <w:tcW w:w="1155" w:type="dxa"/>
            <w:tcMar>
              <w:top w:w="100" w:type="dxa"/>
              <w:left w:w="100" w:type="dxa"/>
              <w:bottom w:w="100" w:type="dxa"/>
              <w:right w:w="100" w:type="dxa"/>
            </w:tcMar>
          </w:tcPr>
          <w:p w14:paraId="6D8C8997"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14:paraId="438757D2"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Survey Study</w:t>
            </w:r>
          </w:p>
        </w:tc>
        <w:tc>
          <w:tcPr>
            <w:tcW w:w="1200" w:type="dxa"/>
            <w:tcMar>
              <w:top w:w="100" w:type="dxa"/>
              <w:left w:w="100" w:type="dxa"/>
              <w:bottom w:w="100" w:type="dxa"/>
              <w:right w:w="100" w:type="dxa"/>
            </w:tcMar>
          </w:tcPr>
          <w:p w14:paraId="3A40F7C5"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Quantitative, Regression Analysis</w:t>
            </w:r>
          </w:p>
        </w:tc>
        <w:tc>
          <w:tcPr>
            <w:tcW w:w="1125" w:type="dxa"/>
            <w:tcMar>
              <w:top w:w="100" w:type="dxa"/>
              <w:left w:w="100" w:type="dxa"/>
              <w:bottom w:w="100" w:type="dxa"/>
              <w:right w:w="100" w:type="dxa"/>
            </w:tcMar>
          </w:tcPr>
          <w:p w14:paraId="696E0A4B"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w:t>
            </w:r>
          </w:p>
        </w:tc>
        <w:tc>
          <w:tcPr>
            <w:tcW w:w="1260" w:type="dxa"/>
            <w:tcMar>
              <w:top w:w="100" w:type="dxa"/>
              <w:left w:w="100" w:type="dxa"/>
              <w:bottom w:w="100" w:type="dxa"/>
              <w:right w:w="100" w:type="dxa"/>
            </w:tcMar>
          </w:tcPr>
          <w:p w14:paraId="3D8DD542"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Financial Inclusion</w:t>
            </w:r>
          </w:p>
        </w:tc>
        <w:tc>
          <w:tcPr>
            <w:tcW w:w="2640" w:type="dxa"/>
            <w:tcMar>
              <w:top w:w="100" w:type="dxa"/>
              <w:left w:w="100" w:type="dxa"/>
              <w:bottom w:w="100" w:type="dxa"/>
              <w:right w:w="100" w:type="dxa"/>
            </w:tcMar>
          </w:tcPr>
          <w:p w14:paraId="053B220B"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Finds that mobile money boosts financial access, particularly in rural areas, improving financial inclusion rates.</w:t>
            </w:r>
          </w:p>
        </w:tc>
      </w:tr>
      <w:tr w:rsidR="004433C1" w14:paraId="54F1B10A" w14:textId="77777777">
        <w:tc>
          <w:tcPr>
            <w:tcW w:w="990" w:type="dxa"/>
            <w:tcMar>
              <w:top w:w="100" w:type="dxa"/>
              <w:left w:w="100" w:type="dxa"/>
              <w:bottom w:w="100" w:type="dxa"/>
              <w:right w:w="100" w:type="dxa"/>
            </w:tcMar>
          </w:tcPr>
          <w:p w14:paraId="2FC2D545"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Koomson, Villano, &amp; Hadley (2020)</w:t>
            </w:r>
          </w:p>
        </w:tc>
        <w:tc>
          <w:tcPr>
            <w:tcW w:w="1155" w:type="dxa"/>
            <w:tcMar>
              <w:top w:w="100" w:type="dxa"/>
              <w:left w:w="100" w:type="dxa"/>
              <w:bottom w:w="100" w:type="dxa"/>
              <w:right w:w="100" w:type="dxa"/>
            </w:tcMar>
          </w:tcPr>
          <w:p w14:paraId="607C9666"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14:paraId="26A2BB32"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Empirical Study</w:t>
            </w:r>
          </w:p>
        </w:tc>
        <w:tc>
          <w:tcPr>
            <w:tcW w:w="1200" w:type="dxa"/>
            <w:tcMar>
              <w:top w:w="100" w:type="dxa"/>
              <w:left w:w="100" w:type="dxa"/>
              <w:bottom w:w="100" w:type="dxa"/>
              <w:right w:w="100" w:type="dxa"/>
            </w:tcMar>
          </w:tcPr>
          <w:p w14:paraId="4BF43578"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Mixed-methods</w:t>
            </w:r>
          </w:p>
        </w:tc>
        <w:tc>
          <w:tcPr>
            <w:tcW w:w="1125" w:type="dxa"/>
            <w:tcMar>
              <w:top w:w="100" w:type="dxa"/>
              <w:left w:w="100" w:type="dxa"/>
              <w:bottom w:w="100" w:type="dxa"/>
              <w:right w:w="100" w:type="dxa"/>
            </w:tcMar>
          </w:tcPr>
          <w:p w14:paraId="72B4214B"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Banking, Mobile Money</w:t>
            </w:r>
          </w:p>
        </w:tc>
        <w:tc>
          <w:tcPr>
            <w:tcW w:w="1260" w:type="dxa"/>
            <w:tcMar>
              <w:top w:w="100" w:type="dxa"/>
              <w:left w:w="100" w:type="dxa"/>
              <w:bottom w:w="100" w:type="dxa"/>
              <w:right w:w="100" w:type="dxa"/>
            </w:tcMar>
          </w:tcPr>
          <w:p w14:paraId="036E3F3F"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Household Resilience</w:t>
            </w:r>
          </w:p>
        </w:tc>
        <w:tc>
          <w:tcPr>
            <w:tcW w:w="2640" w:type="dxa"/>
            <w:tcMar>
              <w:top w:w="100" w:type="dxa"/>
              <w:left w:w="100" w:type="dxa"/>
              <w:bottom w:w="100" w:type="dxa"/>
              <w:right w:w="100" w:type="dxa"/>
            </w:tcMar>
          </w:tcPr>
          <w:p w14:paraId="377D1740"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 improves access to financial services, contributing to better household financial stability.</w:t>
            </w:r>
          </w:p>
        </w:tc>
      </w:tr>
      <w:tr w:rsidR="004433C1" w14:paraId="404E79E0" w14:textId="77777777">
        <w:tc>
          <w:tcPr>
            <w:tcW w:w="990" w:type="dxa"/>
            <w:tcMar>
              <w:top w:w="100" w:type="dxa"/>
              <w:left w:w="100" w:type="dxa"/>
              <w:bottom w:w="100" w:type="dxa"/>
              <w:right w:w="100" w:type="dxa"/>
            </w:tcMar>
          </w:tcPr>
          <w:p w14:paraId="5721AEB6"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Apiors</w:t>
            </w:r>
            <w:proofErr w:type="spellEnd"/>
            <w:r>
              <w:rPr>
                <w:rFonts w:ascii="Times New Roman" w:eastAsia="Times New Roman" w:hAnsi="Times New Roman" w:cs="Times New Roman"/>
                <w:sz w:val="24"/>
                <w:szCs w:val="24"/>
                <w:highlight w:val="white"/>
              </w:rPr>
              <w:t xml:space="preserve"> and Suzuki (2023) </w:t>
            </w:r>
          </w:p>
        </w:tc>
        <w:tc>
          <w:tcPr>
            <w:tcW w:w="1155" w:type="dxa"/>
            <w:tcMar>
              <w:top w:w="100" w:type="dxa"/>
              <w:left w:w="100" w:type="dxa"/>
              <w:bottom w:w="100" w:type="dxa"/>
              <w:right w:w="100" w:type="dxa"/>
            </w:tcMar>
          </w:tcPr>
          <w:p w14:paraId="42387367"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Ghana</w:t>
            </w:r>
          </w:p>
        </w:tc>
        <w:tc>
          <w:tcPr>
            <w:tcW w:w="870" w:type="dxa"/>
            <w:tcMar>
              <w:top w:w="100" w:type="dxa"/>
              <w:left w:w="100" w:type="dxa"/>
              <w:bottom w:w="100" w:type="dxa"/>
              <w:right w:w="100" w:type="dxa"/>
            </w:tcMar>
          </w:tcPr>
          <w:p w14:paraId="0AB016DB"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Case Study</w:t>
            </w:r>
          </w:p>
        </w:tc>
        <w:tc>
          <w:tcPr>
            <w:tcW w:w="1200" w:type="dxa"/>
            <w:tcMar>
              <w:top w:w="100" w:type="dxa"/>
              <w:left w:w="100" w:type="dxa"/>
              <w:bottom w:w="100" w:type="dxa"/>
              <w:right w:w="100" w:type="dxa"/>
            </w:tcMar>
          </w:tcPr>
          <w:p w14:paraId="20697A45"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Qualitative Analysis</w:t>
            </w:r>
          </w:p>
        </w:tc>
        <w:tc>
          <w:tcPr>
            <w:tcW w:w="1125" w:type="dxa"/>
            <w:tcMar>
              <w:top w:w="100" w:type="dxa"/>
              <w:left w:w="100" w:type="dxa"/>
              <w:bottom w:w="100" w:type="dxa"/>
              <w:right w:w="100" w:type="dxa"/>
            </w:tcMar>
          </w:tcPr>
          <w:p w14:paraId="09847113"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 Digital Banking</w:t>
            </w:r>
          </w:p>
        </w:tc>
        <w:tc>
          <w:tcPr>
            <w:tcW w:w="1260" w:type="dxa"/>
            <w:tcMar>
              <w:top w:w="100" w:type="dxa"/>
              <w:left w:w="100" w:type="dxa"/>
              <w:bottom w:w="100" w:type="dxa"/>
              <w:right w:w="100" w:type="dxa"/>
            </w:tcMar>
          </w:tcPr>
          <w:p w14:paraId="38F2AEBC"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Economic Growth</w:t>
            </w:r>
          </w:p>
        </w:tc>
        <w:tc>
          <w:tcPr>
            <w:tcW w:w="2640" w:type="dxa"/>
            <w:tcMar>
              <w:top w:w="100" w:type="dxa"/>
              <w:left w:w="100" w:type="dxa"/>
              <w:bottom w:w="100" w:type="dxa"/>
              <w:right w:w="100" w:type="dxa"/>
            </w:tcMar>
          </w:tcPr>
          <w:p w14:paraId="51262B0D"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Investigates how mobile money is reshaping financial services in Ghana, enhancing accessibility to credit.</w:t>
            </w:r>
          </w:p>
        </w:tc>
      </w:tr>
      <w:tr w:rsidR="004433C1" w14:paraId="0C7D5D60" w14:textId="77777777">
        <w:tc>
          <w:tcPr>
            <w:tcW w:w="990" w:type="dxa"/>
            <w:tcMar>
              <w:top w:w="100" w:type="dxa"/>
              <w:left w:w="100" w:type="dxa"/>
              <w:bottom w:w="100" w:type="dxa"/>
              <w:right w:w="100" w:type="dxa"/>
            </w:tcMar>
          </w:tcPr>
          <w:p w14:paraId="1DA64C49"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Asravor</w:t>
            </w:r>
            <w:proofErr w:type="spellEnd"/>
            <w:r>
              <w:rPr>
                <w:rFonts w:ascii="Times New Roman" w:eastAsia="Times New Roman" w:hAnsi="Times New Roman" w:cs="Times New Roman"/>
                <w:sz w:val="24"/>
                <w:szCs w:val="24"/>
                <w:highlight w:val="white"/>
              </w:rPr>
              <w:t xml:space="preserve"> et al. (2022)</w:t>
            </w:r>
          </w:p>
        </w:tc>
        <w:tc>
          <w:tcPr>
            <w:tcW w:w="1155" w:type="dxa"/>
            <w:tcMar>
              <w:top w:w="100" w:type="dxa"/>
              <w:left w:w="100" w:type="dxa"/>
              <w:bottom w:w="100" w:type="dxa"/>
              <w:right w:w="100" w:type="dxa"/>
            </w:tcMar>
          </w:tcPr>
          <w:p w14:paraId="0FC9520E"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Ghana</w:t>
            </w:r>
          </w:p>
        </w:tc>
        <w:tc>
          <w:tcPr>
            <w:tcW w:w="870" w:type="dxa"/>
            <w:tcMar>
              <w:top w:w="100" w:type="dxa"/>
              <w:left w:w="100" w:type="dxa"/>
              <w:bottom w:w="100" w:type="dxa"/>
              <w:right w:w="100" w:type="dxa"/>
            </w:tcMar>
          </w:tcPr>
          <w:p w14:paraId="395DAC24"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Quantitative Study</w:t>
            </w:r>
          </w:p>
        </w:tc>
        <w:tc>
          <w:tcPr>
            <w:tcW w:w="1200" w:type="dxa"/>
            <w:tcMar>
              <w:top w:w="100" w:type="dxa"/>
              <w:left w:w="100" w:type="dxa"/>
              <w:bottom w:w="100" w:type="dxa"/>
              <w:right w:w="100" w:type="dxa"/>
            </w:tcMar>
          </w:tcPr>
          <w:p w14:paraId="59A1BEBD"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Econometric Modeling</w:t>
            </w:r>
          </w:p>
        </w:tc>
        <w:tc>
          <w:tcPr>
            <w:tcW w:w="1125" w:type="dxa"/>
            <w:tcMar>
              <w:top w:w="100" w:type="dxa"/>
              <w:left w:w="100" w:type="dxa"/>
              <w:bottom w:w="100" w:type="dxa"/>
              <w:right w:w="100" w:type="dxa"/>
            </w:tcMar>
          </w:tcPr>
          <w:p w14:paraId="2D1F3473"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 FinTech</w:t>
            </w:r>
          </w:p>
        </w:tc>
        <w:tc>
          <w:tcPr>
            <w:tcW w:w="1260" w:type="dxa"/>
            <w:tcMar>
              <w:top w:w="100" w:type="dxa"/>
              <w:left w:w="100" w:type="dxa"/>
              <w:bottom w:w="100" w:type="dxa"/>
              <w:right w:w="100" w:type="dxa"/>
            </w:tcMar>
          </w:tcPr>
          <w:p w14:paraId="212BE6D0"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Economic Stability, Poverty </w:t>
            </w:r>
            <w:r>
              <w:rPr>
                <w:rFonts w:ascii="Times New Roman" w:eastAsia="Times New Roman" w:hAnsi="Times New Roman" w:cs="Times New Roman"/>
                <w:highlight w:val="white"/>
              </w:rPr>
              <w:lastRenderedPageBreak/>
              <w:t>Reduction</w:t>
            </w:r>
          </w:p>
        </w:tc>
        <w:tc>
          <w:tcPr>
            <w:tcW w:w="2640" w:type="dxa"/>
            <w:tcMar>
              <w:top w:w="100" w:type="dxa"/>
              <w:left w:w="100" w:type="dxa"/>
              <w:bottom w:w="100" w:type="dxa"/>
              <w:right w:w="100" w:type="dxa"/>
            </w:tcMar>
          </w:tcPr>
          <w:p w14:paraId="2C427488"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Mobile money adoption reduces financial exclusion and increases entrepreneurial activity in </w:t>
            </w:r>
            <w:r>
              <w:rPr>
                <w:rFonts w:ascii="Times New Roman" w:eastAsia="Times New Roman" w:hAnsi="Times New Roman" w:cs="Times New Roman"/>
                <w:highlight w:val="white"/>
              </w:rPr>
              <w:lastRenderedPageBreak/>
              <w:t>rural Ghana.</w:t>
            </w:r>
          </w:p>
        </w:tc>
      </w:tr>
      <w:tr w:rsidR="004433C1" w14:paraId="6E15622C" w14:textId="77777777">
        <w:tc>
          <w:tcPr>
            <w:tcW w:w="990" w:type="dxa"/>
            <w:tcMar>
              <w:top w:w="100" w:type="dxa"/>
              <w:left w:w="100" w:type="dxa"/>
              <w:bottom w:w="100" w:type="dxa"/>
              <w:right w:w="100" w:type="dxa"/>
            </w:tcMar>
          </w:tcPr>
          <w:p w14:paraId="4073E8CB"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Fall, Orozco, &amp; Akim (2020)</w:t>
            </w:r>
          </w:p>
        </w:tc>
        <w:tc>
          <w:tcPr>
            <w:tcW w:w="1155" w:type="dxa"/>
            <w:tcMar>
              <w:top w:w="100" w:type="dxa"/>
              <w:left w:w="100" w:type="dxa"/>
              <w:bottom w:w="100" w:type="dxa"/>
              <w:right w:w="100" w:type="dxa"/>
            </w:tcMar>
          </w:tcPr>
          <w:p w14:paraId="39B68113"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14:paraId="29827AC3"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Literature Review</w:t>
            </w:r>
          </w:p>
        </w:tc>
        <w:tc>
          <w:tcPr>
            <w:tcW w:w="1200" w:type="dxa"/>
            <w:tcMar>
              <w:top w:w="100" w:type="dxa"/>
              <w:left w:w="100" w:type="dxa"/>
              <w:bottom w:w="100" w:type="dxa"/>
              <w:right w:w="100" w:type="dxa"/>
            </w:tcMar>
          </w:tcPr>
          <w:p w14:paraId="0DAC61E9"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Narrative Review</w:t>
            </w:r>
          </w:p>
        </w:tc>
        <w:tc>
          <w:tcPr>
            <w:tcW w:w="1125" w:type="dxa"/>
            <w:tcMar>
              <w:top w:w="100" w:type="dxa"/>
              <w:left w:w="100" w:type="dxa"/>
              <w:bottom w:w="100" w:type="dxa"/>
              <w:right w:w="100" w:type="dxa"/>
            </w:tcMar>
          </w:tcPr>
          <w:p w14:paraId="2934DDAB"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w:t>
            </w:r>
          </w:p>
        </w:tc>
        <w:tc>
          <w:tcPr>
            <w:tcW w:w="1260" w:type="dxa"/>
            <w:tcMar>
              <w:top w:w="100" w:type="dxa"/>
              <w:left w:w="100" w:type="dxa"/>
              <w:bottom w:w="100" w:type="dxa"/>
              <w:right w:w="100" w:type="dxa"/>
            </w:tcMar>
          </w:tcPr>
          <w:p w14:paraId="6C28C189"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Economic Growth, Poverty Reduction</w:t>
            </w:r>
          </w:p>
        </w:tc>
        <w:tc>
          <w:tcPr>
            <w:tcW w:w="2640" w:type="dxa"/>
            <w:tcMar>
              <w:top w:w="100" w:type="dxa"/>
              <w:left w:w="100" w:type="dxa"/>
              <w:bottom w:w="100" w:type="dxa"/>
              <w:right w:w="100" w:type="dxa"/>
            </w:tcMar>
          </w:tcPr>
          <w:p w14:paraId="72958B7E"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Reviews mobile money’s potential in driving financial inclusion and economic development in SSA.</w:t>
            </w:r>
          </w:p>
        </w:tc>
      </w:tr>
      <w:tr w:rsidR="004433C1" w14:paraId="02EE23DE" w14:textId="77777777">
        <w:tc>
          <w:tcPr>
            <w:tcW w:w="990" w:type="dxa"/>
            <w:tcMar>
              <w:top w:w="100" w:type="dxa"/>
              <w:left w:w="100" w:type="dxa"/>
              <w:bottom w:w="100" w:type="dxa"/>
              <w:right w:w="100" w:type="dxa"/>
            </w:tcMar>
          </w:tcPr>
          <w:p w14:paraId="4564267F"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Tembo &amp; Okoro (2021)</w:t>
            </w:r>
          </w:p>
        </w:tc>
        <w:tc>
          <w:tcPr>
            <w:tcW w:w="1155" w:type="dxa"/>
            <w:tcMar>
              <w:top w:w="100" w:type="dxa"/>
              <w:left w:w="100" w:type="dxa"/>
              <w:bottom w:w="100" w:type="dxa"/>
              <w:right w:w="100" w:type="dxa"/>
            </w:tcMar>
          </w:tcPr>
          <w:p w14:paraId="2E25C15C"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14:paraId="7977BD7C"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Quantitative Study</w:t>
            </w:r>
          </w:p>
        </w:tc>
        <w:tc>
          <w:tcPr>
            <w:tcW w:w="1200" w:type="dxa"/>
            <w:tcMar>
              <w:top w:w="100" w:type="dxa"/>
              <w:left w:w="100" w:type="dxa"/>
              <w:bottom w:w="100" w:type="dxa"/>
              <w:right w:w="100" w:type="dxa"/>
            </w:tcMar>
          </w:tcPr>
          <w:p w14:paraId="01AD40CD"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Time-Series Analysis</w:t>
            </w:r>
          </w:p>
        </w:tc>
        <w:tc>
          <w:tcPr>
            <w:tcW w:w="1125" w:type="dxa"/>
            <w:tcMar>
              <w:top w:w="100" w:type="dxa"/>
              <w:left w:w="100" w:type="dxa"/>
              <w:bottom w:w="100" w:type="dxa"/>
              <w:right w:w="100" w:type="dxa"/>
            </w:tcMar>
          </w:tcPr>
          <w:p w14:paraId="6E9BAA99"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 Mobile Payments</w:t>
            </w:r>
          </w:p>
        </w:tc>
        <w:tc>
          <w:tcPr>
            <w:tcW w:w="1260" w:type="dxa"/>
            <w:tcMar>
              <w:top w:w="100" w:type="dxa"/>
              <w:left w:w="100" w:type="dxa"/>
              <w:bottom w:w="100" w:type="dxa"/>
              <w:right w:w="100" w:type="dxa"/>
            </w:tcMar>
          </w:tcPr>
          <w:p w14:paraId="64EC9D47"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Economic Integration, Growth</w:t>
            </w:r>
          </w:p>
        </w:tc>
        <w:tc>
          <w:tcPr>
            <w:tcW w:w="2640" w:type="dxa"/>
            <w:tcMar>
              <w:top w:w="100" w:type="dxa"/>
              <w:left w:w="100" w:type="dxa"/>
              <w:bottom w:w="100" w:type="dxa"/>
              <w:right w:w="100" w:type="dxa"/>
            </w:tcMar>
          </w:tcPr>
          <w:p w14:paraId="645A9AB6"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Examines the positive impact of mobile money on regional financial integration and cross-border remittances.</w:t>
            </w:r>
          </w:p>
        </w:tc>
      </w:tr>
      <w:tr w:rsidR="004433C1" w14:paraId="46D14F21" w14:textId="77777777">
        <w:tc>
          <w:tcPr>
            <w:tcW w:w="990" w:type="dxa"/>
            <w:tcMar>
              <w:top w:w="100" w:type="dxa"/>
              <w:left w:w="100" w:type="dxa"/>
              <w:bottom w:w="100" w:type="dxa"/>
              <w:right w:w="100" w:type="dxa"/>
            </w:tcMar>
          </w:tcPr>
          <w:p w14:paraId="04E2B6C5"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Ayeni (2025)</w:t>
            </w:r>
          </w:p>
        </w:tc>
        <w:tc>
          <w:tcPr>
            <w:tcW w:w="1155" w:type="dxa"/>
            <w:tcMar>
              <w:top w:w="100" w:type="dxa"/>
              <w:left w:w="100" w:type="dxa"/>
              <w:bottom w:w="100" w:type="dxa"/>
              <w:right w:w="100" w:type="dxa"/>
            </w:tcMar>
          </w:tcPr>
          <w:p w14:paraId="088A631D"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14:paraId="4008F4D7"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Case Study</w:t>
            </w:r>
          </w:p>
        </w:tc>
        <w:tc>
          <w:tcPr>
            <w:tcW w:w="1200" w:type="dxa"/>
            <w:tcMar>
              <w:top w:w="100" w:type="dxa"/>
              <w:left w:w="100" w:type="dxa"/>
              <w:bottom w:w="100" w:type="dxa"/>
              <w:right w:w="100" w:type="dxa"/>
            </w:tcMar>
          </w:tcPr>
          <w:p w14:paraId="32A5B839"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Qualitative Analysis</w:t>
            </w:r>
          </w:p>
        </w:tc>
        <w:tc>
          <w:tcPr>
            <w:tcW w:w="1125" w:type="dxa"/>
            <w:tcMar>
              <w:top w:w="100" w:type="dxa"/>
              <w:left w:w="100" w:type="dxa"/>
              <w:bottom w:w="100" w:type="dxa"/>
              <w:right w:w="100" w:type="dxa"/>
            </w:tcMar>
          </w:tcPr>
          <w:p w14:paraId="1A9926AB"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FinTech, Mobile Payments</w:t>
            </w:r>
          </w:p>
        </w:tc>
        <w:tc>
          <w:tcPr>
            <w:tcW w:w="1260" w:type="dxa"/>
            <w:tcMar>
              <w:top w:w="100" w:type="dxa"/>
              <w:left w:w="100" w:type="dxa"/>
              <w:bottom w:w="100" w:type="dxa"/>
              <w:right w:w="100" w:type="dxa"/>
            </w:tcMar>
          </w:tcPr>
          <w:p w14:paraId="006D3E4C"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Sustainable Economic Growth</w:t>
            </w:r>
          </w:p>
        </w:tc>
        <w:tc>
          <w:tcPr>
            <w:tcW w:w="2640" w:type="dxa"/>
            <w:tcMar>
              <w:top w:w="100" w:type="dxa"/>
              <w:left w:w="100" w:type="dxa"/>
              <w:bottom w:w="100" w:type="dxa"/>
              <w:right w:w="100" w:type="dxa"/>
            </w:tcMar>
          </w:tcPr>
          <w:p w14:paraId="79FBAAB8"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Explores the role of FinTech in financial inclusion and its contribution to sustainable economic growth.</w:t>
            </w:r>
          </w:p>
        </w:tc>
      </w:tr>
      <w:tr w:rsidR="004433C1" w14:paraId="3F627D2D" w14:textId="77777777">
        <w:tc>
          <w:tcPr>
            <w:tcW w:w="990" w:type="dxa"/>
            <w:tcMar>
              <w:top w:w="100" w:type="dxa"/>
              <w:left w:w="100" w:type="dxa"/>
              <w:bottom w:w="100" w:type="dxa"/>
              <w:right w:w="100" w:type="dxa"/>
            </w:tcMar>
          </w:tcPr>
          <w:p w14:paraId="66D574C9"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Mugoro</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Makhura</w:t>
            </w:r>
            <w:proofErr w:type="spellEnd"/>
            <w:r>
              <w:rPr>
                <w:rFonts w:ascii="Times New Roman" w:eastAsia="Times New Roman" w:hAnsi="Times New Roman" w:cs="Times New Roman"/>
                <w:sz w:val="24"/>
                <w:szCs w:val="24"/>
                <w:highlight w:val="white"/>
              </w:rPr>
              <w:t xml:space="preserve"> (2025)</w:t>
            </w:r>
          </w:p>
        </w:tc>
        <w:tc>
          <w:tcPr>
            <w:tcW w:w="1155" w:type="dxa"/>
            <w:tcMar>
              <w:top w:w="100" w:type="dxa"/>
              <w:left w:w="100" w:type="dxa"/>
              <w:bottom w:w="100" w:type="dxa"/>
              <w:right w:w="100" w:type="dxa"/>
            </w:tcMar>
          </w:tcPr>
          <w:p w14:paraId="25EE2E05"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Ethiopia</w:t>
            </w:r>
          </w:p>
        </w:tc>
        <w:tc>
          <w:tcPr>
            <w:tcW w:w="870" w:type="dxa"/>
            <w:tcMar>
              <w:top w:w="100" w:type="dxa"/>
              <w:left w:w="100" w:type="dxa"/>
              <w:bottom w:w="100" w:type="dxa"/>
              <w:right w:w="100" w:type="dxa"/>
            </w:tcMar>
          </w:tcPr>
          <w:p w14:paraId="3D6837FB"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Survey Study</w:t>
            </w:r>
          </w:p>
        </w:tc>
        <w:tc>
          <w:tcPr>
            <w:tcW w:w="1200" w:type="dxa"/>
            <w:tcMar>
              <w:top w:w="100" w:type="dxa"/>
              <w:left w:w="100" w:type="dxa"/>
              <w:bottom w:w="100" w:type="dxa"/>
              <w:right w:w="100" w:type="dxa"/>
            </w:tcMar>
          </w:tcPr>
          <w:p w14:paraId="62385A91"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Qualitative Analysis</w:t>
            </w:r>
          </w:p>
        </w:tc>
        <w:tc>
          <w:tcPr>
            <w:tcW w:w="1125" w:type="dxa"/>
            <w:tcMar>
              <w:top w:w="100" w:type="dxa"/>
              <w:left w:w="100" w:type="dxa"/>
              <w:bottom w:w="100" w:type="dxa"/>
              <w:right w:w="100" w:type="dxa"/>
            </w:tcMar>
          </w:tcPr>
          <w:p w14:paraId="26F76A55"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Mobile Money (CBE Birr, </w:t>
            </w:r>
            <w:proofErr w:type="spellStart"/>
            <w:r>
              <w:rPr>
                <w:rFonts w:ascii="Times New Roman" w:eastAsia="Times New Roman" w:hAnsi="Times New Roman" w:cs="Times New Roman"/>
                <w:highlight w:val="white"/>
              </w:rPr>
              <w:t>Telebirr</w:t>
            </w:r>
            <w:proofErr w:type="spellEnd"/>
            <w:r>
              <w:rPr>
                <w:rFonts w:ascii="Times New Roman" w:eastAsia="Times New Roman" w:hAnsi="Times New Roman" w:cs="Times New Roman"/>
                <w:highlight w:val="white"/>
              </w:rPr>
              <w:t>)</w:t>
            </w:r>
          </w:p>
        </w:tc>
        <w:tc>
          <w:tcPr>
            <w:tcW w:w="1260" w:type="dxa"/>
            <w:tcMar>
              <w:top w:w="100" w:type="dxa"/>
              <w:left w:w="100" w:type="dxa"/>
              <w:bottom w:w="100" w:type="dxa"/>
              <w:right w:w="100" w:type="dxa"/>
            </w:tcMar>
          </w:tcPr>
          <w:p w14:paraId="7CB709CE"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Financial Inclusion</w:t>
            </w:r>
          </w:p>
        </w:tc>
        <w:tc>
          <w:tcPr>
            <w:tcW w:w="2640" w:type="dxa"/>
            <w:tcMar>
              <w:top w:w="100" w:type="dxa"/>
              <w:left w:w="100" w:type="dxa"/>
              <w:bottom w:w="100" w:type="dxa"/>
              <w:right w:w="100" w:type="dxa"/>
            </w:tcMar>
          </w:tcPr>
          <w:p w14:paraId="15001641"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Identifies key drivers of digital finance adoption in rural Ethiopia, emphasizing the role of education and mobile ownership.</w:t>
            </w:r>
          </w:p>
        </w:tc>
      </w:tr>
      <w:tr w:rsidR="004433C1" w14:paraId="01729FAB" w14:textId="77777777">
        <w:tc>
          <w:tcPr>
            <w:tcW w:w="990" w:type="dxa"/>
            <w:tcMar>
              <w:top w:w="100" w:type="dxa"/>
              <w:left w:w="100" w:type="dxa"/>
              <w:bottom w:w="100" w:type="dxa"/>
              <w:right w:w="100" w:type="dxa"/>
            </w:tcMar>
          </w:tcPr>
          <w:p w14:paraId="4068FEB7"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Jama et al. </w:t>
            </w:r>
            <w:r>
              <w:rPr>
                <w:rFonts w:ascii="Times New Roman" w:eastAsia="Times New Roman" w:hAnsi="Times New Roman" w:cs="Times New Roman"/>
                <w:sz w:val="24"/>
                <w:szCs w:val="24"/>
                <w:highlight w:val="white"/>
              </w:rPr>
              <w:lastRenderedPageBreak/>
              <w:t>(2025)</w:t>
            </w:r>
          </w:p>
        </w:tc>
        <w:tc>
          <w:tcPr>
            <w:tcW w:w="1155" w:type="dxa"/>
            <w:tcMar>
              <w:top w:w="100" w:type="dxa"/>
              <w:left w:w="100" w:type="dxa"/>
              <w:bottom w:w="100" w:type="dxa"/>
              <w:right w:w="100" w:type="dxa"/>
            </w:tcMar>
          </w:tcPr>
          <w:p w14:paraId="17008461"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Sub-Saharan </w:t>
            </w:r>
            <w:r>
              <w:rPr>
                <w:rFonts w:ascii="Times New Roman" w:eastAsia="Times New Roman" w:hAnsi="Times New Roman" w:cs="Times New Roman"/>
                <w:highlight w:val="white"/>
              </w:rPr>
              <w:lastRenderedPageBreak/>
              <w:t>Africa</w:t>
            </w:r>
          </w:p>
        </w:tc>
        <w:tc>
          <w:tcPr>
            <w:tcW w:w="870" w:type="dxa"/>
            <w:tcMar>
              <w:top w:w="100" w:type="dxa"/>
              <w:left w:w="100" w:type="dxa"/>
              <w:bottom w:w="100" w:type="dxa"/>
              <w:right w:w="100" w:type="dxa"/>
            </w:tcMar>
          </w:tcPr>
          <w:p w14:paraId="09E3452C"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Cross-section</w:t>
            </w:r>
            <w:r>
              <w:rPr>
                <w:rFonts w:ascii="Times New Roman" w:eastAsia="Times New Roman" w:hAnsi="Times New Roman" w:cs="Times New Roman"/>
                <w:highlight w:val="white"/>
              </w:rPr>
              <w:lastRenderedPageBreak/>
              <w:t>al Study</w:t>
            </w:r>
          </w:p>
        </w:tc>
        <w:tc>
          <w:tcPr>
            <w:tcW w:w="1200" w:type="dxa"/>
            <w:tcMar>
              <w:top w:w="100" w:type="dxa"/>
              <w:left w:w="100" w:type="dxa"/>
              <w:bottom w:w="100" w:type="dxa"/>
              <w:right w:w="100" w:type="dxa"/>
            </w:tcMar>
          </w:tcPr>
          <w:p w14:paraId="6EE16AD8"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Multivariate Probit </w:t>
            </w:r>
            <w:r>
              <w:rPr>
                <w:rFonts w:ascii="Times New Roman" w:eastAsia="Times New Roman" w:hAnsi="Times New Roman" w:cs="Times New Roman"/>
                <w:highlight w:val="white"/>
              </w:rPr>
              <w:lastRenderedPageBreak/>
              <w:t>Model</w:t>
            </w:r>
          </w:p>
        </w:tc>
        <w:tc>
          <w:tcPr>
            <w:tcW w:w="1125" w:type="dxa"/>
            <w:tcMar>
              <w:top w:w="100" w:type="dxa"/>
              <w:left w:w="100" w:type="dxa"/>
              <w:bottom w:w="100" w:type="dxa"/>
              <w:right w:w="100" w:type="dxa"/>
            </w:tcMar>
          </w:tcPr>
          <w:p w14:paraId="58CCD3B5"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Mobile Money, </w:t>
            </w:r>
            <w:r>
              <w:rPr>
                <w:rFonts w:ascii="Times New Roman" w:eastAsia="Times New Roman" w:hAnsi="Times New Roman" w:cs="Times New Roman"/>
                <w:highlight w:val="white"/>
              </w:rPr>
              <w:lastRenderedPageBreak/>
              <w:t>Digital Payments</w:t>
            </w:r>
          </w:p>
        </w:tc>
        <w:tc>
          <w:tcPr>
            <w:tcW w:w="1260" w:type="dxa"/>
            <w:tcMar>
              <w:top w:w="100" w:type="dxa"/>
              <w:left w:w="100" w:type="dxa"/>
              <w:bottom w:w="100" w:type="dxa"/>
              <w:right w:w="100" w:type="dxa"/>
            </w:tcMar>
          </w:tcPr>
          <w:p w14:paraId="44E2AEAE"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Financial </w:t>
            </w:r>
            <w:r>
              <w:rPr>
                <w:rFonts w:ascii="Times New Roman" w:eastAsia="Times New Roman" w:hAnsi="Times New Roman" w:cs="Times New Roman"/>
                <w:highlight w:val="white"/>
              </w:rPr>
              <w:lastRenderedPageBreak/>
              <w:t>Inclusion</w:t>
            </w:r>
          </w:p>
        </w:tc>
        <w:tc>
          <w:tcPr>
            <w:tcW w:w="2640" w:type="dxa"/>
            <w:tcMar>
              <w:top w:w="100" w:type="dxa"/>
              <w:left w:w="100" w:type="dxa"/>
              <w:bottom w:w="100" w:type="dxa"/>
              <w:right w:w="100" w:type="dxa"/>
            </w:tcMar>
          </w:tcPr>
          <w:p w14:paraId="47542094"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Finds that mobile ownership and education </w:t>
            </w:r>
            <w:r>
              <w:rPr>
                <w:rFonts w:ascii="Times New Roman" w:eastAsia="Times New Roman" w:hAnsi="Times New Roman" w:cs="Times New Roman"/>
                <w:highlight w:val="white"/>
              </w:rPr>
              <w:lastRenderedPageBreak/>
              <w:t>are key drivers of financial inclusion in SSA countries.</w:t>
            </w:r>
          </w:p>
        </w:tc>
      </w:tr>
      <w:tr w:rsidR="004433C1" w14:paraId="2486CEAC" w14:textId="77777777">
        <w:tc>
          <w:tcPr>
            <w:tcW w:w="990" w:type="dxa"/>
            <w:tcMar>
              <w:top w:w="100" w:type="dxa"/>
              <w:left w:w="100" w:type="dxa"/>
              <w:bottom w:w="100" w:type="dxa"/>
              <w:right w:w="100" w:type="dxa"/>
            </w:tcMar>
          </w:tcPr>
          <w:p w14:paraId="256404B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Meniago</w:t>
            </w:r>
            <w:proofErr w:type="spellEnd"/>
            <w:r>
              <w:rPr>
                <w:rFonts w:ascii="Times New Roman" w:eastAsia="Times New Roman" w:hAnsi="Times New Roman" w:cs="Times New Roman"/>
                <w:sz w:val="24"/>
                <w:szCs w:val="24"/>
                <w:highlight w:val="white"/>
              </w:rPr>
              <w:t xml:space="preserve"> (2025)</w:t>
            </w:r>
          </w:p>
        </w:tc>
        <w:tc>
          <w:tcPr>
            <w:tcW w:w="1155" w:type="dxa"/>
            <w:tcMar>
              <w:top w:w="100" w:type="dxa"/>
              <w:left w:w="100" w:type="dxa"/>
              <w:bottom w:w="100" w:type="dxa"/>
              <w:right w:w="100" w:type="dxa"/>
            </w:tcMar>
          </w:tcPr>
          <w:p w14:paraId="0914BC2B"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Southern African Development Community (</w:t>
            </w:r>
            <w:r>
              <w:rPr>
                <w:rFonts w:ascii="Times New Roman" w:eastAsia="Times New Roman" w:hAnsi="Times New Roman" w:cs="Times New Roman"/>
                <w:highlight w:val="white"/>
              </w:rPr>
              <w:t>SADC) Countries</w:t>
            </w:r>
          </w:p>
        </w:tc>
        <w:tc>
          <w:tcPr>
            <w:tcW w:w="870" w:type="dxa"/>
            <w:tcMar>
              <w:top w:w="100" w:type="dxa"/>
              <w:left w:w="100" w:type="dxa"/>
              <w:bottom w:w="100" w:type="dxa"/>
              <w:right w:w="100" w:type="dxa"/>
            </w:tcMar>
          </w:tcPr>
          <w:p w14:paraId="7B836FA2"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Empirical Study</w:t>
            </w:r>
          </w:p>
        </w:tc>
        <w:tc>
          <w:tcPr>
            <w:tcW w:w="1200" w:type="dxa"/>
            <w:tcMar>
              <w:top w:w="100" w:type="dxa"/>
              <w:left w:w="100" w:type="dxa"/>
              <w:bottom w:w="100" w:type="dxa"/>
              <w:right w:w="100" w:type="dxa"/>
            </w:tcMar>
          </w:tcPr>
          <w:p w14:paraId="7C5E9046"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System GMM, Principal Component Analysis</w:t>
            </w:r>
          </w:p>
        </w:tc>
        <w:tc>
          <w:tcPr>
            <w:tcW w:w="1125" w:type="dxa"/>
            <w:tcMar>
              <w:top w:w="100" w:type="dxa"/>
              <w:left w:w="100" w:type="dxa"/>
              <w:bottom w:w="100" w:type="dxa"/>
              <w:right w:w="100" w:type="dxa"/>
            </w:tcMar>
          </w:tcPr>
          <w:p w14:paraId="52D1BDBF"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 Digital Banking</w:t>
            </w:r>
          </w:p>
        </w:tc>
        <w:tc>
          <w:tcPr>
            <w:tcW w:w="1260" w:type="dxa"/>
            <w:tcMar>
              <w:top w:w="100" w:type="dxa"/>
              <w:left w:w="100" w:type="dxa"/>
              <w:bottom w:w="100" w:type="dxa"/>
              <w:right w:w="100" w:type="dxa"/>
            </w:tcMar>
          </w:tcPr>
          <w:p w14:paraId="53692D04"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Economic Growth, Institutional Quality</w:t>
            </w:r>
          </w:p>
        </w:tc>
        <w:tc>
          <w:tcPr>
            <w:tcW w:w="2640" w:type="dxa"/>
            <w:tcMar>
              <w:top w:w="100" w:type="dxa"/>
              <w:left w:w="100" w:type="dxa"/>
              <w:bottom w:w="100" w:type="dxa"/>
              <w:right w:w="100" w:type="dxa"/>
            </w:tcMar>
          </w:tcPr>
          <w:p w14:paraId="04F0CA20"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Shows a positive relationship between digital financial inclusion and economic growth, moderated by institutional quality.</w:t>
            </w:r>
          </w:p>
        </w:tc>
      </w:tr>
      <w:tr w:rsidR="004433C1" w14:paraId="6048D9D5" w14:textId="77777777">
        <w:tc>
          <w:tcPr>
            <w:tcW w:w="990" w:type="dxa"/>
            <w:tcMar>
              <w:top w:w="100" w:type="dxa"/>
              <w:left w:w="100" w:type="dxa"/>
              <w:bottom w:w="100" w:type="dxa"/>
              <w:right w:w="100" w:type="dxa"/>
            </w:tcMar>
          </w:tcPr>
          <w:p w14:paraId="62B353EE"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Grzybowski et al. (2023) </w:t>
            </w:r>
          </w:p>
        </w:tc>
        <w:tc>
          <w:tcPr>
            <w:tcW w:w="1155" w:type="dxa"/>
            <w:tcMar>
              <w:top w:w="100" w:type="dxa"/>
              <w:left w:w="100" w:type="dxa"/>
              <w:bottom w:w="100" w:type="dxa"/>
              <w:right w:w="100" w:type="dxa"/>
            </w:tcMar>
          </w:tcPr>
          <w:p w14:paraId="14A7BB30"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Sub-Saharan Africa</w:t>
            </w:r>
          </w:p>
        </w:tc>
        <w:tc>
          <w:tcPr>
            <w:tcW w:w="870" w:type="dxa"/>
            <w:tcMar>
              <w:top w:w="100" w:type="dxa"/>
              <w:left w:w="100" w:type="dxa"/>
              <w:bottom w:w="100" w:type="dxa"/>
              <w:right w:w="100" w:type="dxa"/>
            </w:tcMar>
          </w:tcPr>
          <w:p w14:paraId="01C4DF3B"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Survey Study</w:t>
            </w:r>
          </w:p>
        </w:tc>
        <w:tc>
          <w:tcPr>
            <w:tcW w:w="1200" w:type="dxa"/>
            <w:tcMar>
              <w:top w:w="100" w:type="dxa"/>
              <w:left w:w="100" w:type="dxa"/>
              <w:bottom w:w="100" w:type="dxa"/>
              <w:right w:w="100" w:type="dxa"/>
            </w:tcMar>
          </w:tcPr>
          <w:p w14:paraId="78B49626"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Two-Stage Modeling</w:t>
            </w:r>
          </w:p>
        </w:tc>
        <w:tc>
          <w:tcPr>
            <w:tcW w:w="1125" w:type="dxa"/>
            <w:tcMar>
              <w:top w:w="100" w:type="dxa"/>
              <w:left w:w="100" w:type="dxa"/>
              <w:bottom w:w="100" w:type="dxa"/>
              <w:right w:w="100" w:type="dxa"/>
            </w:tcMar>
          </w:tcPr>
          <w:p w14:paraId="42F12718"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Money</w:t>
            </w:r>
          </w:p>
        </w:tc>
        <w:tc>
          <w:tcPr>
            <w:tcW w:w="1260" w:type="dxa"/>
            <w:tcMar>
              <w:top w:w="100" w:type="dxa"/>
              <w:left w:w="100" w:type="dxa"/>
              <w:bottom w:w="100" w:type="dxa"/>
              <w:right w:w="100" w:type="dxa"/>
            </w:tcMar>
          </w:tcPr>
          <w:p w14:paraId="387594DE"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Financial Inclusion, Remittances</w:t>
            </w:r>
          </w:p>
        </w:tc>
        <w:tc>
          <w:tcPr>
            <w:tcW w:w="2640" w:type="dxa"/>
            <w:tcMar>
              <w:top w:w="100" w:type="dxa"/>
              <w:left w:w="100" w:type="dxa"/>
              <w:bottom w:w="100" w:type="dxa"/>
              <w:right w:w="100" w:type="dxa"/>
            </w:tcMar>
          </w:tcPr>
          <w:p w14:paraId="11DCD7A0"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Investigates how mobile money adoption affects financial inclusion, particularly in remittance systems.</w:t>
            </w:r>
          </w:p>
        </w:tc>
      </w:tr>
      <w:tr w:rsidR="004433C1" w14:paraId="3957E163" w14:textId="77777777">
        <w:tc>
          <w:tcPr>
            <w:tcW w:w="990" w:type="dxa"/>
            <w:tcMar>
              <w:top w:w="100" w:type="dxa"/>
              <w:left w:w="100" w:type="dxa"/>
              <w:bottom w:w="100" w:type="dxa"/>
              <w:right w:w="100" w:type="dxa"/>
            </w:tcMar>
          </w:tcPr>
          <w:p w14:paraId="65D9AFDF"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Alhassan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Kolog</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Boateng</w:t>
            </w:r>
            <w:proofErr w:type="spellEnd"/>
            <w:r>
              <w:rPr>
                <w:rFonts w:ascii="Times New Roman" w:eastAsia="Times New Roman" w:hAnsi="Times New Roman" w:cs="Times New Roman"/>
                <w:sz w:val="24"/>
                <w:szCs w:val="24"/>
                <w:highlight w:val="white"/>
              </w:rPr>
              <w:t xml:space="preserve"> (2020) (2020)</w:t>
            </w:r>
          </w:p>
        </w:tc>
        <w:tc>
          <w:tcPr>
            <w:tcW w:w="1155" w:type="dxa"/>
            <w:tcMar>
              <w:top w:w="100" w:type="dxa"/>
              <w:left w:w="100" w:type="dxa"/>
              <w:bottom w:w="100" w:type="dxa"/>
              <w:right w:w="100" w:type="dxa"/>
            </w:tcMar>
          </w:tcPr>
          <w:p w14:paraId="6B3CE2A3"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Ghana</w:t>
            </w:r>
          </w:p>
        </w:tc>
        <w:tc>
          <w:tcPr>
            <w:tcW w:w="870" w:type="dxa"/>
            <w:tcMar>
              <w:top w:w="100" w:type="dxa"/>
              <w:left w:w="100" w:type="dxa"/>
              <w:bottom w:w="100" w:type="dxa"/>
              <w:right w:w="100" w:type="dxa"/>
            </w:tcMar>
          </w:tcPr>
          <w:p w14:paraId="19CF853F"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Empirical Study</w:t>
            </w:r>
          </w:p>
        </w:tc>
        <w:tc>
          <w:tcPr>
            <w:tcW w:w="1200" w:type="dxa"/>
            <w:tcMar>
              <w:top w:w="100" w:type="dxa"/>
              <w:left w:w="100" w:type="dxa"/>
              <w:bottom w:w="100" w:type="dxa"/>
              <w:right w:w="100" w:type="dxa"/>
            </w:tcMar>
          </w:tcPr>
          <w:p w14:paraId="49378971"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Structural Equation Modeling</w:t>
            </w:r>
          </w:p>
        </w:tc>
        <w:tc>
          <w:tcPr>
            <w:tcW w:w="1125" w:type="dxa"/>
            <w:tcMar>
              <w:top w:w="100" w:type="dxa"/>
              <w:left w:w="100" w:type="dxa"/>
              <w:bottom w:w="100" w:type="dxa"/>
              <w:right w:w="100" w:type="dxa"/>
            </w:tcMar>
          </w:tcPr>
          <w:p w14:paraId="72A09FCB"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Payments, Digital Banking</w:t>
            </w:r>
          </w:p>
        </w:tc>
        <w:tc>
          <w:tcPr>
            <w:tcW w:w="1260" w:type="dxa"/>
            <w:tcMar>
              <w:top w:w="100" w:type="dxa"/>
              <w:left w:w="100" w:type="dxa"/>
              <w:bottom w:w="100" w:type="dxa"/>
              <w:right w:w="100" w:type="dxa"/>
            </w:tcMar>
          </w:tcPr>
          <w:p w14:paraId="171F3698"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Financial Inclusion</w:t>
            </w:r>
          </w:p>
        </w:tc>
        <w:tc>
          <w:tcPr>
            <w:tcW w:w="2640" w:type="dxa"/>
            <w:tcMar>
              <w:top w:w="100" w:type="dxa"/>
              <w:left w:w="100" w:type="dxa"/>
              <w:bottom w:w="100" w:type="dxa"/>
              <w:right w:w="100" w:type="dxa"/>
            </w:tcMar>
          </w:tcPr>
          <w:p w14:paraId="237E24D6" w14:textId="77777777" w:rsidR="004433C1" w:rsidRDefault="005804FC">
            <w:pPr>
              <w:spacing w:before="240" w:after="24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Mobile payments in Ghana are driven by functional and non-functional benefits, boosting financial inclusion.</w:t>
            </w:r>
          </w:p>
        </w:tc>
      </w:tr>
    </w:tbl>
    <w:p w14:paraId="7B6E5CEA" w14:textId="77777777" w:rsidR="004433C1" w:rsidRDefault="004433C1">
      <w:pPr>
        <w:spacing w:before="240" w:after="240" w:line="360" w:lineRule="auto"/>
        <w:rPr>
          <w:rFonts w:ascii="Times New Roman" w:eastAsia="Times New Roman" w:hAnsi="Times New Roman" w:cs="Times New Roman"/>
          <w:highlight w:val="white"/>
        </w:rPr>
      </w:pPr>
    </w:p>
    <w:p w14:paraId="53EF87ED" w14:textId="77777777" w:rsidR="004433C1" w:rsidRDefault="005804FC">
      <w:pPr>
        <w:pStyle w:val="Heading3"/>
        <w:keepNext w:val="0"/>
        <w:keepLines w:val="0"/>
        <w:spacing w:before="280" w:line="360" w:lineRule="auto"/>
        <w:rPr>
          <w:rFonts w:ascii="Times New Roman" w:eastAsia="Times New Roman" w:hAnsi="Times New Roman" w:cs="Times New Roman"/>
          <w:b/>
          <w:bCs/>
          <w:color w:val="000000"/>
          <w:sz w:val="32"/>
          <w:szCs w:val="32"/>
          <w:highlight w:val="white"/>
        </w:rPr>
      </w:pPr>
      <w:bookmarkStart w:id="10" w:name="_heading=h.wd2pgrk998p2" w:colFirst="0" w:colLast="0"/>
      <w:bookmarkEnd w:id="10"/>
      <w:r>
        <w:rPr>
          <w:rFonts w:ascii="Times New Roman" w:eastAsia="Times New Roman" w:hAnsi="Times New Roman" w:cs="Times New Roman"/>
          <w:b/>
          <w:bCs/>
          <w:color w:val="000000"/>
          <w:sz w:val="32"/>
          <w:szCs w:val="32"/>
          <w:highlight w:val="white"/>
        </w:rPr>
        <w:lastRenderedPageBreak/>
        <w:t>Narrative Synthesis</w:t>
      </w:r>
    </w:p>
    <w:p w14:paraId="273E5FF2"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1" w:name="_heading=h.mf5gsci8izyr" w:colFirst="0" w:colLast="0"/>
      <w:bookmarkEnd w:id="11"/>
      <w:r>
        <w:rPr>
          <w:rFonts w:ascii="Times New Roman" w:eastAsia="Times New Roman" w:hAnsi="Times New Roman" w:cs="Times New Roman"/>
          <w:b/>
          <w:bCs/>
          <w:color w:val="000000"/>
          <w:sz w:val="28"/>
          <w:szCs w:val="28"/>
          <w:highlight w:val="white"/>
        </w:rPr>
        <w:t>Overview of Digital Financial Inclusion Tools in SSA</w:t>
      </w:r>
    </w:p>
    <w:p w14:paraId="1EF3A06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Digital financial inclusion tools, such as mobile money, mobile banking, and FinTech platforms, have revolutionized the financial landscape in Sub-Saharan Africa (SSA), offering innovative solutions to longstanding issues of financial exclusion. These tools have provided access to financial services to populations previously sidelined by traditional banking systems due to geographic, infrastructural, or financial barriers. Mobile money, exemplified by platforms like M-Pesa in Kenya and </w:t>
      </w:r>
      <w:proofErr w:type="spellStart"/>
      <w:r>
        <w:rPr>
          <w:rFonts w:ascii="Times New Roman" w:eastAsia="Times New Roman" w:hAnsi="Times New Roman" w:cs="Times New Roman"/>
          <w:sz w:val="24"/>
          <w:szCs w:val="24"/>
          <w:highlight w:val="white"/>
        </w:rPr>
        <w:t>MoMo</w:t>
      </w:r>
      <w:proofErr w:type="spellEnd"/>
      <w:r>
        <w:rPr>
          <w:rFonts w:ascii="Times New Roman" w:eastAsia="Times New Roman" w:hAnsi="Times New Roman" w:cs="Times New Roman"/>
          <w:sz w:val="24"/>
          <w:szCs w:val="24"/>
          <w:highlight w:val="white"/>
        </w:rPr>
        <w:t xml:space="preserve"> in Ghana, has become a cornerstone of digital financial inclusion, facilitating easy transactions and empowering individuals to manage their finances without the need for a physical bank account (</w:t>
      </w:r>
      <w:proofErr w:type="spellStart"/>
      <w:r>
        <w:rPr>
          <w:rFonts w:ascii="Times New Roman" w:eastAsia="Times New Roman" w:hAnsi="Times New Roman" w:cs="Times New Roman"/>
          <w:sz w:val="24"/>
          <w:szCs w:val="24"/>
          <w:highlight w:val="white"/>
        </w:rPr>
        <w:t>Siano</w:t>
      </w:r>
      <w:proofErr w:type="spellEnd"/>
      <w:r>
        <w:rPr>
          <w:rFonts w:ascii="Times New Roman" w:eastAsia="Times New Roman" w:hAnsi="Times New Roman" w:cs="Times New Roman"/>
          <w:sz w:val="24"/>
          <w:szCs w:val="24"/>
          <w:highlight w:val="white"/>
        </w:rPr>
        <w:t xml:space="preserve">, 2020; </w:t>
      </w:r>
      <w:proofErr w:type="spellStart"/>
      <w:r>
        <w:rPr>
          <w:rFonts w:ascii="Times New Roman" w:eastAsia="Times New Roman" w:hAnsi="Times New Roman" w:cs="Times New Roman"/>
          <w:sz w:val="24"/>
          <w:szCs w:val="24"/>
          <w:highlight w:val="white"/>
        </w:rPr>
        <w:t>Wamalwa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Obokoh</w:t>
      </w:r>
      <w:proofErr w:type="spellEnd"/>
      <w:r>
        <w:rPr>
          <w:rFonts w:ascii="Times New Roman" w:eastAsia="Times New Roman" w:hAnsi="Times New Roman" w:cs="Times New Roman"/>
          <w:sz w:val="24"/>
          <w:szCs w:val="24"/>
          <w:highlight w:val="white"/>
        </w:rPr>
        <w:t>, 2025).</w:t>
      </w:r>
    </w:p>
    <w:p w14:paraId="035C7E70"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Similarly, mobile banking and FinTech platforms have gained ground, offering products such as digital loans, insurance, and savings accounts, further enhancing the financial ecosystem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2021; </w:t>
      </w:r>
      <w:proofErr w:type="spellStart"/>
      <w:r>
        <w:rPr>
          <w:rFonts w:ascii="Times New Roman" w:eastAsia="Times New Roman" w:hAnsi="Times New Roman" w:cs="Times New Roman"/>
          <w:sz w:val="24"/>
          <w:szCs w:val="24"/>
          <w:highlight w:val="white"/>
        </w:rPr>
        <w:t>Tembo</w:t>
      </w:r>
      <w:proofErr w:type="spellEnd"/>
      <w:r>
        <w:rPr>
          <w:rFonts w:ascii="Times New Roman" w:eastAsia="Times New Roman" w:hAnsi="Times New Roman" w:cs="Times New Roman"/>
          <w:sz w:val="24"/>
          <w:szCs w:val="24"/>
          <w:highlight w:val="white"/>
        </w:rPr>
        <w:t xml:space="preserve"> &amp; Okoro, 2021). The proliferation of mobile phones across SSA, driven by affordable devices and increasing mobile network coverage, has enabled these services to reach even the most remote areas (Grzybowski et al., 2023; Fall, Orozco, &amp; Akim, 2020). These digital tools have not only brought financial services to underserved populations but have also contributed to the broader economic development agenda by promoting entrepreneurship and improving access to credit, savings, and remittances (</w:t>
      </w:r>
      <w:proofErr w:type="spellStart"/>
      <w:r>
        <w:rPr>
          <w:rFonts w:ascii="Times New Roman" w:eastAsia="Times New Roman" w:hAnsi="Times New Roman" w:cs="Times New Roman"/>
          <w:sz w:val="24"/>
          <w:szCs w:val="24"/>
          <w:highlight w:val="white"/>
        </w:rPr>
        <w:t>Ayeni</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2025).</w:t>
      </w:r>
    </w:p>
    <w:p w14:paraId="0E6B2FF6"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2" w:name="_heading=h.7d4la8nqll8t" w:colFirst="0" w:colLast="0"/>
      <w:bookmarkEnd w:id="12"/>
      <w:r>
        <w:rPr>
          <w:rFonts w:ascii="Times New Roman" w:eastAsia="Times New Roman" w:hAnsi="Times New Roman" w:cs="Times New Roman"/>
          <w:b/>
          <w:bCs/>
          <w:color w:val="000000"/>
          <w:sz w:val="28"/>
          <w:szCs w:val="28"/>
          <w:highlight w:val="white"/>
        </w:rPr>
        <w:t>Impact of Digital Financial Inclusion on Economic Participation</w:t>
      </w:r>
    </w:p>
    <w:p w14:paraId="411B965B"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transformative power of digital financial inclusion in SSA can be seen in its capacity to increase economic participation, especially for marginalized populations such as women, rural communities, and micro-entrepreneurs. Mobile money platforms like M-Pesa have demonstrated how mobile-based financial services can facilitate the flow of money, enabling users to send, receive, and store funds securely (Koomson, Villano, &amp; Hadley, 2020; </w:t>
      </w:r>
      <w:proofErr w:type="spellStart"/>
      <w:r>
        <w:rPr>
          <w:rFonts w:ascii="Times New Roman" w:eastAsia="Times New Roman" w:hAnsi="Times New Roman" w:cs="Times New Roman"/>
          <w:sz w:val="24"/>
          <w:szCs w:val="24"/>
          <w:highlight w:val="white"/>
        </w:rPr>
        <w:t>Wamalwa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Obokoh</w:t>
      </w:r>
      <w:proofErr w:type="spellEnd"/>
      <w:r>
        <w:rPr>
          <w:rFonts w:ascii="Times New Roman" w:eastAsia="Times New Roman" w:hAnsi="Times New Roman" w:cs="Times New Roman"/>
          <w:sz w:val="24"/>
          <w:szCs w:val="24"/>
          <w:highlight w:val="white"/>
        </w:rPr>
        <w:t>, 2025). In Kenya, for example, M-Pesa has facilitated the financial inclusion of millions, fostering economic resilience by enabling households to manage financial shocks, such as natural disasters or health crises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xml:space="preserve">, 2021). The same trend has been observed in other SSA countries like Tanzania, Uganda, and Ghana, where mobile money has contributed </w:t>
      </w:r>
      <w:r>
        <w:rPr>
          <w:rFonts w:ascii="Times New Roman" w:eastAsia="Times New Roman" w:hAnsi="Times New Roman" w:cs="Times New Roman"/>
          <w:sz w:val="24"/>
          <w:szCs w:val="24"/>
          <w:highlight w:val="white"/>
        </w:rPr>
        <w:lastRenderedPageBreak/>
        <w:t>to poverty reduction and economic participation by offering a reliable means of managing financial resources (</w:t>
      </w:r>
      <w:proofErr w:type="spellStart"/>
      <w:r>
        <w:rPr>
          <w:rFonts w:ascii="Times New Roman" w:eastAsia="Times New Roman" w:hAnsi="Times New Roman" w:cs="Times New Roman"/>
          <w:sz w:val="24"/>
          <w:szCs w:val="24"/>
          <w:highlight w:val="white"/>
        </w:rPr>
        <w:t>Ayeni</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Apiors</w:t>
      </w:r>
      <w:proofErr w:type="spellEnd"/>
      <w:r>
        <w:rPr>
          <w:rFonts w:ascii="Times New Roman" w:eastAsia="Times New Roman" w:hAnsi="Times New Roman" w:cs="Times New Roman"/>
          <w:sz w:val="24"/>
          <w:szCs w:val="24"/>
          <w:highlight w:val="white"/>
        </w:rPr>
        <w:t xml:space="preserve"> &amp; Suzuki, 2022).</w:t>
      </w:r>
    </w:p>
    <w:p w14:paraId="5A63FE6B"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adoption of mobile banking and digital payments has also extended beyond the individual, affecting broader sectors of the economy. In Ghana, mobile banking has improved financial accessibility for businesses, especially small and medium-sized enterprises (SMEs), allowing them to access loans, savings, and payment services that were previously out of reach (</w:t>
      </w:r>
      <w:proofErr w:type="spellStart"/>
      <w:r>
        <w:rPr>
          <w:rFonts w:ascii="Times New Roman" w:eastAsia="Times New Roman" w:hAnsi="Times New Roman" w:cs="Times New Roman"/>
          <w:sz w:val="24"/>
          <w:szCs w:val="24"/>
          <w:highlight w:val="white"/>
        </w:rPr>
        <w:t>Asravor</w:t>
      </w:r>
      <w:proofErr w:type="spellEnd"/>
      <w:r>
        <w:rPr>
          <w:rFonts w:ascii="Times New Roman" w:eastAsia="Times New Roman" w:hAnsi="Times New Roman" w:cs="Times New Roman"/>
          <w:sz w:val="24"/>
          <w:szCs w:val="24"/>
          <w:highlight w:val="white"/>
        </w:rPr>
        <w:t>, 2022). This shift has enabled increased participation in the formal economy by creating more efficient, cost-effective channels for financial transactions (Siano, 2020). Moreover, digital financial tools have allowed for enhanced economic integration across borders, as evidenced by studies on regional financial systems in SSA, where mobile money facilitates cross-border remittances and promotes regional trade (Tembo &amp; Okoro, 2021).</w:t>
      </w:r>
    </w:p>
    <w:p w14:paraId="49243526"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IN" w:eastAsia="en-IN"/>
        </w:rPr>
        <w:drawing>
          <wp:inline distT="114300" distB="114300" distL="114300" distR="114300" wp14:anchorId="7DD37565" wp14:editId="344B8FD0">
            <wp:extent cx="4572000" cy="324151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0576" t="2804" r="12500" b="15498"/>
                    <a:stretch>
                      <a:fillRect/>
                    </a:stretch>
                  </pic:blipFill>
                  <pic:spPr>
                    <a:xfrm>
                      <a:off x="0" y="0"/>
                      <a:ext cx="4572000" cy="3241514"/>
                    </a:xfrm>
                    <a:prstGeom prst="rect">
                      <a:avLst/>
                    </a:prstGeom>
                    <a:ln/>
                  </pic:spPr>
                </pic:pic>
              </a:graphicData>
            </a:graphic>
          </wp:inline>
        </w:drawing>
      </w:r>
    </w:p>
    <w:p w14:paraId="0D17CA53" w14:textId="77777777" w:rsidR="004433C1" w:rsidRDefault="005804FC">
      <w:pPr>
        <w:spacing w:before="240" w:after="240" w:line="36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2: The Impact of Digital Financial Inclusion on Economic Resilience</w:t>
      </w:r>
    </w:p>
    <w:p w14:paraId="64B98B9F"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3" w:name="_heading=h.t3ggi2yqlx27" w:colFirst="0" w:colLast="0"/>
      <w:bookmarkEnd w:id="13"/>
      <w:r>
        <w:rPr>
          <w:rFonts w:ascii="Times New Roman" w:eastAsia="Times New Roman" w:hAnsi="Times New Roman" w:cs="Times New Roman"/>
          <w:b/>
          <w:bCs/>
          <w:color w:val="000000"/>
          <w:sz w:val="28"/>
          <w:szCs w:val="28"/>
          <w:highlight w:val="white"/>
        </w:rPr>
        <w:t>Drivers of Digital Financial Inclusion</w:t>
      </w:r>
    </w:p>
    <w:p w14:paraId="3D2E38D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drivers of digital financial inclusion in SSA are multifaceted, encompassing technological, socio-economic, and regulatory factors. Technological advancements, especially the growth of </w:t>
      </w:r>
      <w:r>
        <w:rPr>
          <w:rFonts w:ascii="Times New Roman" w:eastAsia="Times New Roman" w:hAnsi="Times New Roman" w:cs="Times New Roman"/>
          <w:sz w:val="24"/>
          <w:szCs w:val="24"/>
          <w:highlight w:val="white"/>
        </w:rPr>
        <w:lastRenderedPageBreak/>
        <w:t>mobile networks and internet connectivity, have been pivotal in enabling the widespread adoption of mobile money and other digital financial tools. Research indicates that network coverage and proximity to mobile towers significantly impact mobile money adoption, as individuals in rural and underserved areas are more likely to adopt these technologies when mobile networks are accessible (Grzybowski et al., 2023; Ayeni, 2025).</w:t>
      </w:r>
    </w:p>
    <w:p w14:paraId="31466C8A"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to technological factors, regulatory frameworks play a crucial role in shaping the environment for digital financial inclusion. Policies that promote mobile banking, establish interoperable payment systems, and ensure consumer protection are essential for the successful implementation of digital financial services (Fall, Orozco, &amp; Akim, 2020; Kamara &amp; Yu, 2024). For example, in Tanzania, the government's introduction of a national financial inclusion framework has been instrumental in driving mobile money adoption and improving financial access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2021). However, despite these advances, regulatory gaps and a lack of digital literacy remain significant barriers to full inclusion, especially for rural populations (</w:t>
      </w:r>
      <w:proofErr w:type="spellStart"/>
      <w:r>
        <w:rPr>
          <w:rFonts w:ascii="Times New Roman" w:eastAsia="Times New Roman" w:hAnsi="Times New Roman" w:cs="Times New Roman"/>
          <w:sz w:val="24"/>
          <w:szCs w:val="24"/>
          <w:highlight w:val="white"/>
        </w:rPr>
        <w:t>Mugoro</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Makhura</w:t>
      </w:r>
      <w:proofErr w:type="spellEnd"/>
      <w:r>
        <w:rPr>
          <w:rFonts w:ascii="Times New Roman" w:eastAsia="Times New Roman" w:hAnsi="Times New Roman" w:cs="Times New Roman"/>
          <w:sz w:val="24"/>
          <w:szCs w:val="24"/>
          <w:highlight w:val="white"/>
        </w:rPr>
        <w:t>, 2025; Antwi-Boampong et al., 2022).</w:t>
      </w:r>
    </w:p>
    <w:p w14:paraId="75BEAFF7"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Socio-economic factors also play a critical role in determining who adopts digital financial services. Studies consistently show that education, income, and occupation are key determinants of mobile money adoption, with wealthier and more educated individuals more likely to use digital financial tools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Kamara</w:t>
      </w:r>
      <w:proofErr w:type="spellEnd"/>
      <w:r>
        <w:rPr>
          <w:rFonts w:ascii="Times New Roman" w:eastAsia="Times New Roman" w:hAnsi="Times New Roman" w:cs="Times New Roman"/>
          <w:sz w:val="24"/>
          <w:szCs w:val="24"/>
          <w:highlight w:val="white"/>
        </w:rPr>
        <w:t xml:space="preserve"> &amp; Yu, 2024). Furthermore, gender disparities continue to hinder the adoption of digital financial services, as women in many SSA countries face additional challenges, such as limited access to mobile phones and financial resources, which impede their ability to fully participate in digital financial ecosystems (</w:t>
      </w:r>
      <w:proofErr w:type="spellStart"/>
      <w:r>
        <w:rPr>
          <w:rFonts w:ascii="Times New Roman" w:eastAsia="Times New Roman" w:hAnsi="Times New Roman" w:cs="Times New Roman"/>
          <w:sz w:val="24"/>
          <w:szCs w:val="24"/>
          <w:highlight w:val="white"/>
        </w:rPr>
        <w:t>Ugulumu</w:t>
      </w:r>
      <w:proofErr w:type="spellEnd"/>
      <w:r>
        <w:rPr>
          <w:rFonts w:ascii="Times New Roman" w:eastAsia="Times New Roman" w:hAnsi="Times New Roman" w:cs="Times New Roman"/>
          <w:sz w:val="24"/>
          <w:szCs w:val="24"/>
          <w:highlight w:val="white"/>
        </w:rPr>
        <w:t xml:space="preserve"> et al., 2023; Antwi-Boampong et al., 2022).</w:t>
      </w:r>
    </w:p>
    <w:p w14:paraId="2F717BA9"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4" w:name="_heading=h.s45952qj0vj" w:colFirst="0" w:colLast="0"/>
      <w:bookmarkEnd w:id="14"/>
      <w:r>
        <w:rPr>
          <w:rFonts w:ascii="Times New Roman" w:eastAsia="Times New Roman" w:hAnsi="Times New Roman" w:cs="Times New Roman"/>
          <w:b/>
          <w:bCs/>
          <w:color w:val="000000"/>
          <w:sz w:val="28"/>
          <w:szCs w:val="28"/>
          <w:highlight w:val="white"/>
        </w:rPr>
        <w:t>Socio-Economic Determinants of Digital Financial Inclusion</w:t>
      </w:r>
    </w:p>
    <w:p w14:paraId="2FA1CFA6"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socio-economic determinants of digital financial inclusion are critical to understanding the barriers and opportunities for extending financial services to underserved populations. Research reveals that income, education, and gender are among the most significant socio-economic factors influencing the adoption of mobile money and other digital financial services (Jama et al., 2025; </w:t>
      </w:r>
      <w:proofErr w:type="spellStart"/>
      <w:r>
        <w:rPr>
          <w:rFonts w:ascii="Times New Roman" w:eastAsia="Times New Roman" w:hAnsi="Times New Roman" w:cs="Times New Roman"/>
          <w:sz w:val="24"/>
          <w:szCs w:val="24"/>
          <w:highlight w:val="white"/>
        </w:rPr>
        <w:t>Alhassan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Kolog</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Boateng</w:t>
      </w:r>
      <w:proofErr w:type="spellEnd"/>
      <w:r>
        <w:rPr>
          <w:rFonts w:ascii="Times New Roman" w:eastAsia="Times New Roman" w:hAnsi="Times New Roman" w:cs="Times New Roman"/>
          <w:sz w:val="24"/>
          <w:szCs w:val="24"/>
          <w:highlight w:val="white"/>
        </w:rPr>
        <w:t xml:space="preserve">, 2020). In rural areas, where poverty and low levels of education are prevalent, individuals face substantial barriers to adopting digital financial </w:t>
      </w:r>
      <w:r>
        <w:rPr>
          <w:rFonts w:ascii="Times New Roman" w:eastAsia="Times New Roman" w:hAnsi="Times New Roman" w:cs="Times New Roman"/>
          <w:sz w:val="24"/>
          <w:szCs w:val="24"/>
          <w:highlight w:val="white"/>
        </w:rPr>
        <w:lastRenderedPageBreak/>
        <w:t>services. These barriers include lack of access to mobile phones, limited internet connectivity, and financial illiteracy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Mugoro</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Makhura</w:t>
      </w:r>
      <w:proofErr w:type="spellEnd"/>
      <w:r>
        <w:rPr>
          <w:rFonts w:ascii="Times New Roman" w:eastAsia="Times New Roman" w:hAnsi="Times New Roman" w:cs="Times New Roman"/>
          <w:sz w:val="24"/>
          <w:szCs w:val="24"/>
          <w:highlight w:val="white"/>
        </w:rPr>
        <w:t>, 2025).</w:t>
      </w:r>
    </w:p>
    <w:p w14:paraId="6DA7D13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Moreover, gender plays a significant role in digital financial inclusion. Women, particularly in rural communities, face additional barriers to accessing mobile financial services, such as lower levels of mobile phone ownership, limited access to financial literacy programs, and socio-cultural norms that restrict their economic autonomy (</w:t>
      </w:r>
      <w:proofErr w:type="spellStart"/>
      <w:r>
        <w:rPr>
          <w:rFonts w:ascii="Times New Roman" w:eastAsia="Times New Roman" w:hAnsi="Times New Roman" w:cs="Times New Roman"/>
          <w:sz w:val="24"/>
          <w:szCs w:val="24"/>
          <w:highlight w:val="white"/>
        </w:rPr>
        <w:t>Ugulumu</w:t>
      </w:r>
      <w:proofErr w:type="spellEnd"/>
      <w:r>
        <w:rPr>
          <w:rFonts w:ascii="Times New Roman" w:eastAsia="Times New Roman" w:hAnsi="Times New Roman" w:cs="Times New Roman"/>
          <w:sz w:val="24"/>
          <w:szCs w:val="24"/>
          <w:highlight w:val="white"/>
        </w:rPr>
        <w:t xml:space="preserve"> et al., 2023; Siano, 2020). This gender gap in digital financial inclusion has profound implications for economic resilience, as women often play a central role in household income generation and financial management (Koomson, Villano, &amp; Hadley, 2020; Kamara &amp; Yu, 2024).</w:t>
      </w:r>
    </w:p>
    <w:p w14:paraId="5A11465A"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5" w:name="_heading=h.q8dulkjl764p" w:colFirst="0" w:colLast="0"/>
      <w:bookmarkEnd w:id="15"/>
      <w:r>
        <w:rPr>
          <w:rFonts w:ascii="Times New Roman" w:eastAsia="Times New Roman" w:hAnsi="Times New Roman" w:cs="Times New Roman"/>
          <w:b/>
          <w:bCs/>
          <w:color w:val="000000"/>
          <w:sz w:val="28"/>
          <w:szCs w:val="28"/>
          <w:highlight w:val="white"/>
        </w:rPr>
        <w:t>Barriers to Full Financial Inclusion and Their Impact on Economic Resilience</w:t>
      </w:r>
    </w:p>
    <w:p w14:paraId="63C4C6C8"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Despite the progress made in digital financial inclusion, several structural barriers still impede full access to digital financial services, particularly for marginalized groups in SSA. These barriers include insufficient infrastructure, digital illiteracy, and gender biases, all of which significantly hinder the economic resilience of households and communities (</w:t>
      </w:r>
      <w:proofErr w:type="spellStart"/>
      <w:r>
        <w:rPr>
          <w:rFonts w:ascii="Times New Roman" w:eastAsia="Times New Roman" w:hAnsi="Times New Roman" w:cs="Times New Roman"/>
          <w:sz w:val="24"/>
          <w:szCs w:val="24"/>
          <w:highlight w:val="white"/>
        </w:rPr>
        <w:t>Siano</w:t>
      </w:r>
      <w:proofErr w:type="spellEnd"/>
      <w:r>
        <w:rPr>
          <w:rFonts w:ascii="Times New Roman" w:eastAsia="Times New Roman" w:hAnsi="Times New Roman" w:cs="Times New Roman"/>
          <w:sz w:val="24"/>
          <w:szCs w:val="24"/>
          <w:highlight w:val="white"/>
        </w:rPr>
        <w:t xml:space="preserve">, 2020;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2021).</w:t>
      </w:r>
    </w:p>
    <w:p w14:paraId="0F0AC99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lack of reliable mobile networks and electricity in rural areas remains a major obstacle to mobile money adoption, as individuals in these areas often struggle to access mobile financial services (Grzybowski et al., 2023; </w:t>
      </w:r>
      <w:proofErr w:type="spellStart"/>
      <w:r>
        <w:rPr>
          <w:rFonts w:ascii="Times New Roman" w:eastAsia="Times New Roman" w:hAnsi="Times New Roman" w:cs="Times New Roman"/>
          <w:sz w:val="24"/>
          <w:szCs w:val="24"/>
          <w:highlight w:val="white"/>
        </w:rPr>
        <w:t>Mulugeta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Mugoro</w:t>
      </w:r>
      <w:proofErr w:type="spellEnd"/>
      <w:r>
        <w:rPr>
          <w:rFonts w:ascii="Times New Roman" w:eastAsia="Times New Roman" w:hAnsi="Times New Roman" w:cs="Times New Roman"/>
          <w:sz w:val="24"/>
          <w:szCs w:val="24"/>
          <w:highlight w:val="white"/>
        </w:rPr>
        <w:t>, 2025). Similarly, limited digital literacy and inadequate understanding of digital financial tools are significant barriers that prevent individuals from fully utilizing these services (Siano, 2020).</w:t>
      </w:r>
    </w:p>
    <w:p w14:paraId="2BE36A29"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gender gap in mobile money adoption further exacerbates the issue of financial exclusion. Women, particularly in rural SSA, are less likely to own mobile phones and access mobile financial services, which limits their ability to participate fully in the economy and protect themselves from financial shocks (</w:t>
      </w:r>
      <w:proofErr w:type="spellStart"/>
      <w:r>
        <w:rPr>
          <w:rFonts w:ascii="Times New Roman" w:eastAsia="Times New Roman" w:hAnsi="Times New Roman" w:cs="Times New Roman"/>
          <w:sz w:val="24"/>
          <w:szCs w:val="24"/>
          <w:highlight w:val="white"/>
        </w:rPr>
        <w:t>Ugulumu</w:t>
      </w:r>
      <w:proofErr w:type="spellEnd"/>
      <w:r>
        <w:rPr>
          <w:rFonts w:ascii="Times New Roman" w:eastAsia="Times New Roman" w:hAnsi="Times New Roman" w:cs="Times New Roman"/>
          <w:sz w:val="24"/>
          <w:szCs w:val="24"/>
          <w:highlight w:val="white"/>
        </w:rPr>
        <w:t xml:space="preserve"> et al., 2023; Kamara &amp; Yu, 2024). Addressing these barriers is critical to ensuring that digital financial inclusion contributes to broader economic resilience.</w:t>
      </w:r>
    </w:p>
    <w:p w14:paraId="4E6C805C" w14:textId="77777777" w:rsidR="004433C1" w:rsidRDefault="005804FC">
      <w:pPr>
        <w:spacing w:before="240" w:after="240" w:line="36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2: Barriers to Digital Financial Inclusion and Their Impact on Economic Resilience</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433C1" w14:paraId="4310D756" w14:textId="77777777">
        <w:tc>
          <w:tcPr>
            <w:tcW w:w="3120" w:type="dxa"/>
            <w:tcMar>
              <w:top w:w="100" w:type="dxa"/>
              <w:left w:w="100" w:type="dxa"/>
              <w:bottom w:w="100" w:type="dxa"/>
              <w:right w:w="100" w:type="dxa"/>
            </w:tcMar>
          </w:tcPr>
          <w:p w14:paraId="33851E9E" w14:textId="77777777" w:rsidR="004433C1" w:rsidRDefault="005804FC">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Barriers</w:t>
            </w:r>
          </w:p>
        </w:tc>
        <w:tc>
          <w:tcPr>
            <w:tcW w:w="3120" w:type="dxa"/>
            <w:tcMar>
              <w:top w:w="100" w:type="dxa"/>
              <w:left w:w="100" w:type="dxa"/>
              <w:bottom w:w="100" w:type="dxa"/>
              <w:right w:w="100" w:type="dxa"/>
            </w:tcMar>
          </w:tcPr>
          <w:p w14:paraId="14F45B08" w14:textId="77777777" w:rsidR="004433C1" w:rsidRDefault="005804FC">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Impact on Financial Inclusion</w:t>
            </w:r>
          </w:p>
        </w:tc>
        <w:tc>
          <w:tcPr>
            <w:tcW w:w="3120" w:type="dxa"/>
            <w:tcMar>
              <w:top w:w="100" w:type="dxa"/>
              <w:left w:w="100" w:type="dxa"/>
              <w:bottom w:w="100" w:type="dxa"/>
              <w:right w:w="100" w:type="dxa"/>
            </w:tcMar>
          </w:tcPr>
          <w:p w14:paraId="7D550E41" w14:textId="77777777" w:rsidR="004433C1" w:rsidRDefault="005804FC">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Impact on Economic Resilience</w:t>
            </w:r>
          </w:p>
        </w:tc>
      </w:tr>
      <w:tr w:rsidR="004433C1" w14:paraId="5F103DD1" w14:textId="77777777">
        <w:tc>
          <w:tcPr>
            <w:tcW w:w="3120" w:type="dxa"/>
            <w:tcMar>
              <w:top w:w="100" w:type="dxa"/>
              <w:left w:w="100" w:type="dxa"/>
              <w:bottom w:w="100" w:type="dxa"/>
              <w:right w:w="100" w:type="dxa"/>
            </w:tcMar>
          </w:tcPr>
          <w:p w14:paraId="7821E4AB"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Lack of Infrastructure</w:t>
            </w:r>
          </w:p>
        </w:tc>
        <w:tc>
          <w:tcPr>
            <w:tcW w:w="3120" w:type="dxa"/>
            <w:tcMar>
              <w:top w:w="100" w:type="dxa"/>
              <w:left w:w="100" w:type="dxa"/>
              <w:bottom w:w="100" w:type="dxa"/>
              <w:right w:w="100" w:type="dxa"/>
            </w:tcMar>
          </w:tcPr>
          <w:p w14:paraId="474E5993"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Limits access to mobile money and banking services.</w:t>
            </w:r>
          </w:p>
        </w:tc>
        <w:tc>
          <w:tcPr>
            <w:tcW w:w="3120" w:type="dxa"/>
            <w:tcMar>
              <w:top w:w="100" w:type="dxa"/>
              <w:left w:w="100" w:type="dxa"/>
              <w:bottom w:w="100" w:type="dxa"/>
              <w:right w:w="100" w:type="dxa"/>
            </w:tcMar>
          </w:tcPr>
          <w:p w14:paraId="23CF3425"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Restricts economic participation and exacerbates poverty.</w:t>
            </w:r>
          </w:p>
        </w:tc>
      </w:tr>
      <w:tr w:rsidR="004433C1" w14:paraId="60FB6305" w14:textId="77777777">
        <w:tc>
          <w:tcPr>
            <w:tcW w:w="3120" w:type="dxa"/>
            <w:tcMar>
              <w:top w:w="100" w:type="dxa"/>
              <w:left w:w="100" w:type="dxa"/>
              <w:bottom w:w="100" w:type="dxa"/>
              <w:right w:w="100" w:type="dxa"/>
            </w:tcMar>
          </w:tcPr>
          <w:p w14:paraId="0D20549E"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Digital Illiteracy</w:t>
            </w:r>
          </w:p>
        </w:tc>
        <w:tc>
          <w:tcPr>
            <w:tcW w:w="3120" w:type="dxa"/>
            <w:tcMar>
              <w:top w:w="100" w:type="dxa"/>
              <w:left w:w="100" w:type="dxa"/>
              <w:bottom w:w="100" w:type="dxa"/>
              <w:right w:w="100" w:type="dxa"/>
            </w:tcMar>
          </w:tcPr>
          <w:p w14:paraId="2C5AF523"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Prevents effective use of digital financial tools.</w:t>
            </w:r>
          </w:p>
        </w:tc>
        <w:tc>
          <w:tcPr>
            <w:tcW w:w="3120" w:type="dxa"/>
            <w:tcMar>
              <w:top w:w="100" w:type="dxa"/>
              <w:left w:w="100" w:type="dxa"/>
              <w:bottom w:w="100" w:type="dxa"/>
              <w:right w:w="100" w:type="dxa"/>
            </w:tcMar>
          </w:tcPr>
          <w:p w14:paraId="387AFAFC"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Reduces financial independence and exacerbates vulnerability.</w:t>
            </w:r>
          </w:p>
        </w:tc>
      </w:tr>
      <w:tr w:rsidR="004433C1" w14:paraId="17A043A4" w14:textId="77777777">
        <w:tc>
          <w:tcPr>
            <w:tcW w:w="3120" w:type="dxa"/>
            <w:tcMar>
              <w:top w:w="100" w:type="dxa"/>
              <w:left w:w="100" w:type="dxa"/>
              <w:bottom w:w="100" w:type="dxa"/>
              <w:right w:w="100" w:type="dxa"/>
            </w:tcMar>
          </w:tcPr>
          <w:p w14:paraId="2712AFFA"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Gender Disparities</w:t>
            </w:r>
          </w:p>
        </w:tc>
        <w:tc>
          <w:tcPr>
            <w:tcW w:w="3120" w:type="dxa"/>
            <w:tcMar>
              <w:top w:w="100" w:type="dxa"/>
              <w:left w:w="100" w:type="dxa"/>
              <w:bottom w:w="100" w:type="dxa"/>
              <w:right w:w="100" w:type="dxa"/>
            </w:tcMar>
          </w:tcPr>
          <w:p w14:paraId="12F5D8A6"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Women have less access to mobile phones and financial services.</w:t>
            </w:r>
          </w:p>
        </w:tc>
        <w:tc>
          <w:tcPr>
            <w:tcW w:w="3120" w:type="dxa"/>
            <w:tcMar>
              <w:top w:w="100" w:type="dxa"/>
              <w:left w:w="100" w:type="dxa"/>
              <w:bottom w:w="100" w:type="dxa"/>
              <w:right w:w="100" w:type="dxa"/>
            </w:tcMar>
          </w:tcPr>
          <w:p w14:paraId="7C850F13"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Limits household economic stability and resilience.</w:t>
            </w:r>
          </w:p>
        </w:tc>
      </w:tr>
      <w:tr w:rsidR="004433C1" w14:paraId="1B509D32" w14:textId="77777777">
        <w:tc>
          <w:tcPr>
            <w:tcW w:w="3120" w:type="dxa"/>
            <w:tcMar>
              <w:top w:w="100" w:type="dxa"/>
              <w:left w:w="100" w:type="dxa"/>
              <w:bottom w:w="100" w:type="dxa"/>
              <w:right w:w="100" w:type="dxa"/>
            </w:tcMar>
          </w:tcPr>
          <w:p w14:paraId="7A4FA83E"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Regulatory Gaps</w:t>
            </w:r>
          </w:p>
        </w:tc>
        <w:tc>
          <w:tcPr>
            <w:tcW w:w="3120" w:type="dxa"/>
            <w:tcMar>
              <w:top w:w="100" w:type="dxa"/>
              <w:left w:w="100" w:type="dxa"/>
              <w:bottom w:w="100" w:type="dxa"/>
              <w:right w:w="100" w:type="dxa"/>
            </w:tcMar>
          </w:tcPr>
          <w:p w14:paraId="5CF63F2B"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Hinders the development of secure, trustworthy platforms.</w:t>
            </w:r>
          </w:p>
        </w:tc>
        <w:tc>
          <w:tcPr>
            <w:tcW w:w="3120" w:type="dxa"/>
            <w:tcMar>
              <w:top w:w="100" w:type="dxa"/>
              <w:left w:w="100" w:type="dxa"/>
              <w:bottom w:w="100" w:type="dxa"/>
              <w:right w:w="100" w:type="dxa"/>
            </w:tcMar>
          </w:tcPr>
          <w:p w14:paraId="6DE23D25" w14:textId="77777777" w:rsidR="004433C1" w:rsidRDefault="005804FC">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Creates instability and trust issues, impeding economic growth.</w:t>
            </w:r>
          </w:p>
        </w:tc>
      </w:tr>
    </w:tbl>
    <w:p w14:paraId="7EAB383D" w14:textId="77777777" w:rsidR="004433C1" w:rsidRDefault="004433C1">
      <w:pPr>
        <w:spacing w:before="240" w:after="240" w:line="360" w:lineRule="auto"/>
        <w:rPr>
          <w:rFonts w:ascii="Times New Roman" w:eastAsia="Times New Roman" w:hAnsi="Times New Roman" w:cs="Times New Roman"/>
          <w:sz w:val="24"/>
          <w:szCs w:val="24"/>
          <w:highlight w:val="white"/>
        </w:rPr>
      </w:pPr>
    </w:p>
    <w:p w14:paraId="09997B64"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6" w:name="_heading=h.ez2205g38yse" w:colFirst="0" w:colLast="0"/>
      <w:bookmarkEnd w:id="16"/>
      <w:r>
        <w:rPr>
          <w:rFonts w:ascii="Times New Roman" w:eastAsia="Times New Roman" w:hAnsi="Times New Roman" w:cs="Times New Roman"/>
          <w:b/>
          <w:bCs/>
          <w:color w:val="000000"/>
          <w:sz w:val="28"/>
          <w:szCs w:val="28"/>
          <w:highlight w:val="white"/>
        </w:rPr>
        <w:t>FinTech Innovations and Their Role in Addressing Economic Inequality</w:t>
      </w:r>
    </w:p>
    <w:p w14:paraId="601F6F49"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FinTech innovations, such as digital loans, savings products, and insurance, have become increasingly important in addressing economic inequality in SSA. These innovations have provided underserved populations with access to financial services that were previously inaccessible through traditional banking systems (Jama et al., 2025; Kamara, 2024). Digital loans, for example, offer micro-entrepreneurs and low-income individuals the ability to access </w:t>
      </w:r>
      <w:r>
        <w:rPr>
          <w:rFonts w:ascii="Times New Roman" w:eastAsia="Times New Roman" w:hAnsi="Times New Roman" w:cs="Times New Roman"/>
          <w:sz w:val="24"/>
          <w:szCs w:val="24"/>
          <w:highlight w:val="white"/>
        </w:rPr>
        <w:lastRenderedPageBreak/>
        <w:t>credit without the need for collateral or a formal banking relationship, thereby promoting entrepreneurship and economic stability (</w:t>
      </w:r>
      <w:proofErr w:type="spellStart"/>
      <w:r>
        <w:rPr>
          <w:rFonts w:ascii="Times New Roman" w:eastAsia="Times New Roman" w:hAnsi="Times New Roman" w:cs="Times New Roman"/>
          <w:sz w:val="24"/>
          <w:szCs w:val="24"/>
          <w:highlight w:val="white"/>
        </w:rPr>
        <w:t>Ayeni</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Apiors</w:t>
      </w:r>
      <w:proofErr w:type="spellEnd"/>
      <w:r>
        <w:rPr>
          <w:rFonts w:ascii="Times New Roman" w:eastAsia="Times New Roman" w:hAnsi="Times New Roman" w:cs="Times New Roman"/>
          <w:sz w:val="24"/>
          <w:szCs w:val="24"/>
          <w:highlight w:val="white"/>
        </w:rPr>
        <w:t xml:space="preserve"> &amp; Suzuki, 2022).</w:t>
      </w:r>
    </w:p>
    <w:p w14:paraId="30FD3A0F"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FinTech platforms have also played a significant role in reducing financial inequalities by providing affordable and accessible insurance products, which help individuals and households manage risks associated with economic shocks (Siano, 2020; Kamara &amp; Yu, 2024). However, while FinTech innovations have shown promise in promoting financial inclusion, they also present new challenges, including data security risks and regulatory concerns, which need to be addressed to ensure their long-term sustainability (Grzybowski et al., 2023;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2025).</w:t>
      </w:r>
    </w:p>
    <w:p w14:paraId="7DA9128F"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7" w:name="_heading=h.h7pzu67ljdpr" w:colFirst="0" w:colLast="0"/>
      <w:bookmarkEnd w:id="17"/>
      <w:r>
        <w:rPr>
          <w:rFonts w:ascii="Times New Roman" w:eastAsia="Times New Roman" w:hAnsi="Times New Roman" w:cs="Times New Roman"/>
          <w:b/>
          <w:bCs/>
          <w:color w:val="000000"/>
          <w:sz w:val="28"/>
          <w:szCs w:val="28"/>
          <w:highlight w:val="white"/>
        </w:rPr>
        <w:t>Institutional and Policy Influences on Digital Inclusion and Resilience</w:t>
      </w:r>
    </w:p>
    <w:p w14:paraId="5A39F23B"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Institutional and policy frameworks are essential in fostering digital financial inclusion and supporting economic resilience. Government policies that encourage the adoption of mobile money, ensure the security of digital transactions, and promote financial literacy are crucial in enabling the success of digital financial services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2021).</w:t>
      </w:r>
    </w:p>
    <w:p w14:paraId="7C0EAC0E"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role of institutions in promoting digital financial inclusion has been particularly evident in countries like Tanzania, where the government has implemented a national financial inclusion framework that has significantly increased mobile money adoption and financial inclusion rates (Kamara &amp; Yu, 2024). Similarly, the establishment of robust regulatory frameworks in countries like Ghana and Kenya has helped create an enabling environment for the growth of mobile money services, fostering trust among users and enhancing economic resilience (Siano, 2020; Ayeni, 2025).</w:t>
      </w:r>
    </w:p>
    <w:p w14:paraId="59EB8122"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institutional challenges, such as weak regulatory frameworks and a lack of policy coordination, continue to hinder the full potential of digital financial inclusion in some SSA countries (Jama et al., 2025; Fall, Orozco, &amp; Akim, 2020). These challenges underscore the importance of strengthening institutional capacity and improving governance to ensure that digital financial services are accessible, secure, and effective in fostering economic resilience.</w:t>
      </w:r>
    </w:p>
    <w:p w14:paraId="3AC5CC7E" w14:textId="77777777" w:rsidR="004433C1" w:rsidRDefault="004433C1">
      <w:pPr>
        <w:spacing w:before="240" w:after="240" w:line="360" w:lineRule="auto"/>
        <w:jc w:val="both"/>
        <w:rPr>
          <w:rFonts w:ascii="Times New Roman" w:eastAsia="Times New Roman" w:hAnsi="Times New Roman" w:cs="Times New Roman"/>
          <w:sz w:val="24"/>
          <w:szCs w:val="24"/>
          <w:highlight w:val="white"/>
        </w:rPr>
      </w:pPr>
    </w:p>
    <w:p w14:paraId="5142E121" w14:textId="77777777" w:rsidR="004433C1" w:rsidRDefault="005804FC">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Discussion</w:t>
      </w:r>
    </w:p>
    <w:p w14:paraId="0DC38349"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8" w:name="_heading=h.t751cmxyuswa" w:colFirst="0" w:colLast="0"/>
      <w:bookmarkEnd w:id="18"/>
      <w:r>
        <w:rPr>
          <w:rFonts w:ascii="Times New Roman" w:eastAsia="Times New Roman" w:hAnsi="Times New Roman" w:cs="Times New Roman"/>
          <w:b/>
          <w:bCs/>
          <w:color w:val="000000"/>
          <w:sz w:val="28"/>
          <w:szCs w:val="28"/>
          <w:highlight w:val="white"/>
        </w:rPr>
        <w:lastRenderedPageBreak/>
        <w:t>Main Findings</w:t>
      </w:r>
    </w:p>
    <w:p w14:paraId="20904843"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scoping review reveal several key insights into the role of digital financial inclusion in enhancing economic resilience in Sub-Saharan Africa (SSA). Digital financial tools—specifically mobile money, mobile banking, and FinTech platforms—are pivotal in expanding access to financial services, especially for marginalized populations such as women, rural communities, and small-scale entrepreneurs. Mobile money, in particular, continues to play a central role in bridging financial exclusion, enabling millions to send, receive, and save money through mobile phones, often without the need for a traditional bank account (</w:t>
      </w:r>
      <w:proofErr w:type="spellStart"/>
      <w:r>
        <w:rPr>
          <w:rFonts w:ascii="Times New Roman" w:eastAsia="Times New Roman" w:hAnsi="Times New Roman" w:cs="Times New Roman"/>
          <w:sz w:val="24"/>
          <w:szCs w:val="24"/>
          <w:highlight w:val="white"/>
        </w:rPr>
        <w:t>Wamalwa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Obokoh</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Ayeni</w:t>
      </w:r>
      <w:proofErr w:type="spellEnd"/>
      <w:r>
        <w:rPr>
          <w:rFonts w:ascii="Times New Roman" w:eastAsia="Times New Roman" w:hAnsi="Times New Roman" w:cs="Times New Roman"/>
          <w:sz w:val="24"/>
          <w:szCs w:val="24"/>
          <w:highlight w:val="white"/>
        </w:rPr>
        <w:t>, 2025). This inclusion has led to improvements in household financial stability and resilience, particularly in the face of economic shocks (</w:t>
      </w:r>
      <w:proofErr w:type="spellStart"/>
      <w:r>
        <w:rPr>
          <w:rFonts w:ascii="Times New Roman" w:eastAsia="Times New Roman" w:hAnsi="Times New Roman" w:cs="Times New Roman"/>
          <w:sz w:val="24"/>
          <w:szCs w:val="24"/>
          <w:highlight w:val="white"/>
        </w:rPr>
        <w:t>Siano</w:t>
      </w:r>
      <w:proofErr w:type="spellEnd"/>
      <w:r>
        <w:rPr>
          <w:rFonts w:ascii="Times New Roman" w:eastAsia="Times New Roman" w:hAnsi="Times New Roman" w:cs="Times New Roman"/>
          <w:sz w:val="24"/>
          <w:szCs w:val="24"/>
          <w:highlight w:val="white"/>
        </w:rPr>
        <w:t xml:space="preserve">, 2020; </w:t>
      </w: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2025).</w:t>
      </w:r>
    </w:p>
    <w:p w14:paraId="5A30E36B" w14:textId="77777777" w:rsidR="004433C1" w:rsidRDefault="005804FC">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FinTech platforms, including digital loans, savings products, and insurance, have also become integral to financial inclusion efforts, offering underserved populations access to financial opportunities previously inaccessible. However, the study also identifies several critical factors that influence the effectiveness of these tools, including the level of technological infrastructure, socio-economic conditions (such as education and income), and regulatory frameworks. These factors determine how effectively digital financial tools contribute to economic resilience. While countries like Kenya and Tanzania have implemented successful policies and infrastructure developments to promote mobile money adoption, barriers remain in rural and underdeveloped regions, where digital literacy and mobile phone ownership are still low (</w:t>
      </w: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2021; Kamara &amp; Yu, 2024).</w:t>
      </w:r>
    </w:p>
    <w:p w14:paraId="209158BD"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align with existing literature highlighting the positive impact of digital financial inclusion on poverty reduction and economic growth (</w:t>
      </w:r>
      <w:proofErr w:type="spellStart"/>
      <w:r>
        <w:rPr>
          <w:rFonts w:ascii="Times New Roman" w:eastAsia="Times New Roman" w:hAnsi="Times New Roman" w:cs="Times New Roman"/>
          <w:sz w:val="24"/>
          <w:szCs w:val="24"/>
          <w:highlight w:val="white"/>
        </w:rPr>
        <w:t>Hussaini</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Dikko</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Osuma</w:t>
      </w:r>
      <w:proofErr w:type="spellEnd"/>
      <w:r>
        <w:rPr>
          <w:rFonts w:ascii="Times New Roman" w:eastAsia="Times New Roman" w:hAnsi="Times New Roman" w:cs="Times New Roman"/>
          <w:sz w:val="24"/>
          <w:szCs w:val="24"/>
          <w:highlight w:val="white"/>
        </w:rPr>
        <w:t>, 2025). Studies have shown that mobile money services, such as M-Pesa in Kenya, have improved financial access and promoted economic activity (</w:t>
      </w:r>
      <w:proofErr w:type="spellStart"/>
      <w:r>
        <w:rPr>
          <w:rFonts w:ascii="Times New Roman" w:eastAsia="Times New Roman" w:hAnsi="Times New Roman" w:cs="Times New Roman"/>
          <w:sz w:val="24"/>
          <w:szCs w:val="24"/>
          <w:highlight w:val="white"/>
        </w:rPr>
        <w:t>Tiony</w:t>
      </w:r>
      <w:proofErr w:type="spellEnd"/>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sz w:val="24"/>
          <w:szCs w:val="24"/>
          <w:highlight w:val="white"/>
        </w:rPr>
        <w:t>Wachira</w:t>
      </w:r>
      <w:proofErr w:type="spellEnd"/>
      <w:r>
        <w:rPr>
          <w:rFonts w:ascii="Times New Roman" w:eastAsia="Times New Roman" w:hAnsi="Times New Roman" w:cs="Times New Roman"/>
          <w:sz w:val="24"/>
          <w:szCs w:val="24"/>
          <w:highlight w:val="white"/>
        </w:rPr>
        <w:t xml:space="preserve"> &amp; Njuguna, 2023). Similarly, several research on FinTech platforms has demonstrated their potential to increase financial inclusion and promote economic growth (Girma &amp; Huseynov, 2024; Yakubu et al., 2025).</w:t>
      </w:r>
    </w:p>
    <w:p w14:paraId="03060E79"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However, our review also identifies significant socio-economic barriers, including gender disparities and low digital literacy, that hinder broader adoption. These findings are consistent with studies highlighting the importance of addressing these gaps to promote digital financial inclusion (Udo &amp; Jacob, 2025; </w:t>
      </w:r>
      <w:proofErr w:type="spellStart"/>
      <w:r>
        <w:rPr>
          <w:rFonts w:ascii="Times New Roman" w:eastAsia="Times New Roman" w:hAnsi="Times New Roman" w:cs="Times New Roman"/>
          <w:sz w:val="24"/>
          <w:szCs w:val="24"/>
          <w:highlight w:val="white"/>
        </w:rPr>
        <w:t>Mwakalila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Kasongwa</w:t>
      </w:r>
      <w:proofErr w:type="spellEnd"/>
      <w:r>
        <w:rPr>
          <w:rFonts w:ascii="Times New Roman" w:eastAsia="Times New Roman" w:hAnsi="Times New Roman" w:cs="Times New Roman"/>
          <w:sz w:val="24"/>
          <w:szCs w:val="24"/>
          <w:highlight w:val="white"/>
        </w:rPr>
        <w:t>, 2024).</w:t>
      </w:r>
    </w:p>
    <w:p w14:paraId="1A65FA32"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Furthermore, our review highlights the importance of institutional and policy frameworks in promoting digital financial inclusion. Studies have shown that countries with robust regulatory frameworks and supportive policies have witnessed greater adoption of digital financial services (Tuba &amp; </w:t>
      </w:r>
      <w:proofErr w:type="spellStart"/>
      <w:r>
        <w:rPr>
          <w:rFonts w:ascii="Times New Roman" w:eastAsia="Times New Roman" w:hAnsi="Times New Roman" w:cs="Times New Roman"/>
          <w:sz w:val="24"/>
          <w:szCs w:val="24"/>
          <w:highlight w:val="white"/>
        </w:rPr>
        <w:t>Lawack</w:t>
      </w:r>
      <w:proofErr w:type="spellEnd"/>
      <w:r>
        <w:rPr>
          <w:rFonts w:ascii="Times New Roman" w:eastAsia="Times New Roman" w:hAnsi="Times New Roman" w:cs="Times New Roman"/>
          <w:sz w:val="24"/>
          <w:szCs w:val="24"/>
          <w:highlight w:val="white"/>
        </w:rPr>
        <w:t xml:space="preserve">, 2023; </w:t>
      </w:r>
      <w:proofErr w:type="spellStart"/>
      <w:r>
        <w:rPr>
          <w:rFonts w:ascii="Times New Roman" w:eastAsia="Times New Roman" w:hAnsi="Times New Roman" w:cs="Times New Roman"/>
          <w:sz w:val="24"/>
          <w:szCs w:val="24"/>
          <w:highlight w:val="white"/>
        </w:rPr>
        <w:t>Tay</w:t>
      </w:r>
      <w:proofErr w:type="spellEnd"/>
      <w:r>
        <w:rPr>
          <w:rFonts w:ascii="Times New Roman" w:eastAsia="Times New Roman" w:hAnsi="Times New Roman" w:cs="Times New Roman"/>
          <w:sz w:val="24"/>
          <w:szCs w:val="24"/>
          <w:highlight w:val="white"/>
        </w:rPr>
        <w:t xml:space="preserve"> et al., 2022; </w:t>
      </w:r>
      <w:proofErr w:type="spellStart"/>
      <w:r>
        <w:rPr>
          <w:rFonts w:ascii="Times New Roman" w:eastAsia="Times New Roman" w:hAnsi="Times New Roman" w:cs="Times New Roman"/>
          <w:sz w:val="24"/>
          <w:szCs w:val="24"/>
          <w:highlight w:val="white"/>
        </w:rPr>
        <w:t>Vijayagopal</w:t>
      </w:r>
      <w:proofErr w:type="spellEnd"/>
      <w:r>
        <w:rPr>
          <w:rFonts w:ascii="Times New Roman" w:eastAsia="Times New Roman" w:hAnsi="Times New Roman" w:cs="Times New Roman"/>
          <w:sz w:val="24"/>
          <w:szCs w:val="24"/>
          <w:highlight w:val="white"/>
        </w:rPr>
        <w:t xml:space="preserve"> et al., 2024). In contrast, countries with weak regulatory frameworks and limited infrastructure have struggled to promote digital financial inclusion (Khan et al., 2024; Trotta et al., 2025).</w:t>
      </w:r>
    </w:p>
    <w:p w14:paraId="553C1985" w14:textId="77777777" w:rsidR="004433C1" w:rsidRDefault="005804FC">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9" w:name="_heading=h.tph4eiipcw91" w:colFirst="0" w:colLast="0"/>
      <w:bookmarkEnd w:id="19"/>
      <w:r>
        <w:rPr>
          <w:rFonts w:ascii="Times New Roman" w:eastAsia="Times New Roman" w:hAnsi="Times New Roman" w:cs="Times New Roman"/>
          <w:b/>
          <w:bCs/>
          <w:color w:val="000000"/>
          <w:highlight w:val="white"/>
        </w:rPr>
        <w:t>Gaps in Current Literature</w:t>
      </w:r>
    </w:p>
    <w:p w14:paraId="7DABED7D"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from this study reveal several key gaps in the current literature on digital financial inclusion and its role in economic resilience in Sub-Saharan Africa (SSA):</w:t>
      </w:r>
    </w:p>
    <w:p w14:paraId="47C2BD03" w14:textId="77777777" w:rsidR="004433C1" w:rsidRDefault="005804FC">
      <w:pPr>
        <w:numPr>
          <w:ilvl w:val="0"/>
          <w:numId w:val="1"/>
        </w:numPr>
        <w:spacing w:before="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Unequal Usage and Access: While access to digital financial services has increased, there remains a significant gap in usage across different population segments, particularly in rural and underserved areas (</w:t>
      </w:r>
      <w:proofErr w:type="spellStart"/>
      <w:r>
        <w:rPr>
          <w:rFonts w:ascii="Times New Roman" w:eastAsia="Times New Roman" w:hAnsi="Times New Roman" w:cs="Times New Roman"/>
          <w:sz w:val="24"/>
          <w:szCs w:val="24"/>
          <w:highlight w:val="white"/>
        </w:rPr>
        <w:t>Mapurita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Mayoukou</w:t>
      </w:r>
      <w:proofErr w:type="spellEnd"/>
      <w:r>
        <w:rPr>
          <w:rFonts w:ascii="Times New Roman" w:eastAsia="Times New Roman" w:hAnsi="Times New Roman" w:cs="Times New Roman"/>
          <w:sz w:val="24"/>
          <w:szCs w:val="24"/>
          <w:highlight w:val="white"/>
        </w:rPr>
        <w:t>, 2024). This gap between access and usage remains underexplored.</w:t>
      </w:r>
    </w:p>
    <w:p w14:paraId="14D9E573" w14:textId="77777777" w:rsidR="004433C1" w:rsidRDefault="005804FC">
      <w:pPr>
        <w:numPr>
          <w:ilvl w:val="0"/>
          <w:numId w:val="1"/>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Geographical Inequalities: Despite the growth of fintech adoption, its impact on rural regions remains limited, as some populations continue to face spatial barriers to accessing digital financial tools (Kamara &amp; Yu, 2024).</w:t>
      </w:r>
    </w:p>
    <w:p w14:paraId="06441997" w14:textId="77777777" w:rsidR="004433C1" w:rsidRDefault="005804FC">
      <w:pPr>
        <w:numPr>
          <w:ilvl w:val="0"/>
          <w:numId w:val="1"/>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Gender Disparities: Research on the gendered impact of digital financial tools is still insufficient. Gender disparities in mobile money adoption have yet to be fully addressed (Sulemana et al., 2025).</w:t>
      </w:r>
    </w:p>
    <w:p w14:paraId="7D965ACB" w14:textId="77777777" w:rsidR="004433C1" w:rsidRDefault="005804FC">
      <w:pPr>
        <w:numPr>
          <w:ilvl w:val="0"/>
          <w:numId w:val="1"/>
        </w:numPr>
        <w:spacing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Policy and Regulatory Gaps: The existing literature lacks in-depth analysis of how regulatory frameworks and institutional support influence the effectiveness of digital financial inclusion in fostering economic resilience (Osabutey et al., 2024).</w:t>
      </w:r>
    </w:p>
    <w:p w14:paraId="0C260CA5"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These gaps suggest that further research is needed to understand the nuances of digital financial inclusion’s impact on economic stability in SSA.</w:t>
      </w:r>
    </w:p>
    <w:p w14:paraId="2ABFC2D3"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20" w:name="_heading=h.ig0izk6jp7d2" w:colFirst="0" w:colLast="0"/>
      <w:bookmarkEnd w:id="20"/>
      <w:r>
        <w:rPr>
          <w:rFonts w:ascii="Times New Roman" w:eastAsia="Times New Roman" w:hAnsi="Times New Roman" w:cs="Times New Roman"/>
          <w:b/>
          <w:bCs/>
          <w:color w:val="000000"/>
          <w:sz w:val="28"/>
          <w:szCs w:val="28"/>
          <w:highlight w:val="white"/>
        </w:rPr>
        <w:lastRenderedPageBreak/>
        <w:t>Policy Recommendations</w:t>
      </w:r>
    </w:p>
    <w:p w14:paraId="19A1EAED"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review are highly relevant to ongoing efforts to enhance financial inclusion in SSA. As the region grapples with persistent issues of poverty, unemployment, and limited access to financial services, digital financial inclusion presents a powerful tool to address these challenges. The study’s findings reinforce the idea that mobile money, mobile banking, and FinTech have the potential to drive economic resilience by improving access to credit, savings, and remittances. However, for these tools to reach their full potential, they must be complemented by supportive infrastructure, digital literacy programs, and robust regulatory frameworks.</w:t>
      </w:r>
    </w:p>
    <w:p w14:paraId="73BE4A8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Based on these findings, the following policy recommendations are proposed:</w:t>
      </w:r>
    </w:p>
    <w:p w14:paraId="663D30D8" w14:textId="77777777" w:rsidR="004433C1" w:rsidRDefault="005804FC">
      <w:pPr>
        <w:numPr>
          <w:ilvl w:val="0"/>
          <w:numId w:val="4"/>
        </w:numPr>
        <w:spacing w:before="240" w:line="360" w:lineRule="auto"/>
        <w:jc w:val="both"/>
        <w:rPr>
          <w:sz w:val="24"/>
          <w:szCs w:val="24"/>
          <w:highlight w:val="white"/>
        </w:rPr>
      </w:pPr>
      <w:r>
        <w:rPr>
          <w:rFonts w:ascii="Times New Roman" w:eastAsia="Times New Roman" w:hAnsi="Times New Roman" w:cs="Times New Roman"/>
          <w:b/>
          <w:bCs/>
          <w:sz w:val="24"/>
          <w:szCs w:val="24"/>
          <w:highlight w:val="white"/>
        </w:rPr>
        <w:t>Increase Investment in Infrastructure</w:t>
      </w:r>
      <w:r>
        <w:rPr>
          <w:rFonts w:ascii="Times New Roman" w:eastAsia="Times New Roman" w:hAnsi="Times New Roman" w:cs="Times New Roman"/>
          <w:sz w:val="24"/>
          <w:szCs w:val="24"/>
          <w:highlight w:val="white"/>
        </w:rPr>
        <w:t>: Governments should prioritize improving mobile network coverage and internet access, particularly in rural and underserved regions. This is essential for facilitating broader access to mobile money and mobile banking services.</w:t>
      </w:r>
    </w:p>
    <w:p w14:paraId="5487C395" w14:textId="77777777" w:rsidR="004433C1" w:rsidRDefault="005804FC">
      <w:pPr>
        <w:numPr>
          <w:ilvl w:val="0"/>
          <w:numId w:val="4"/>
        </w:numPr>
        <w:spacing w:line="360" w:lineRule="auto"/>
        <w:jc w:val="both"/>
        <w:rPr>
          <w:sz w:val="24"/>
          <w:szCs w:val="24"/>
          <w:highlight w:val="white"/>
        </w:rPr>
      </w:pPr>
      <w:r>
        <w:rPr>
          <w:rFonts w:ascii="Times New Roman" w:eastAsia="Times New Roman" w:hAnsi="Times New Roman" w:cs="Times New Roman"/>
          <w:b/>
          <w:bCs/>
          <w:sz w:val="24"/>
          <w:szCs w:val="24"/>
          <w:highlight w:val="white"/>
        </w:rPr>
        <w:t>Enhance Financial Literacy Programs</w:t>
      </w:r>
      <w:r>
        <w:rPr>
          <w:rFonts w:ascii="Times New Roman" w:eastAsia="Times New Roman" w:hAnsi="Times New Roman" w:cs="Times New Roman"/>
          <w:sz w:val="24"/>
          <w:szCs w:val="24"/>
          <w:highlight w:val="white"/>
        </w:rPr>
        <w:t>: Governments and financial institutions should implement financial literacy campaigns to educate the population, especially rural and marginalized groups, on the benefits and usage of digital financial services. This would improve adoption rates and usage effectiveness.</w:t>
      </w:r>
    </w:p>
    <w:p w14:paraId="7767014B" w14:textId="77777777" w:rsidR="004433C1" w:rsidRDefault="005804FC">
      <w:pPr>
        <w:numPr>
          <w:ilvl w:val="0"/>
          <w:numId w:val="4"/>
        </w:numPr>
        <w:spacing w:line="360" w:lineRule="auto"/>
        <w:jc w:val="both"/>
        <w:rPr>
          <w:sz w:val="24"/>
          <w:szCs w:val="24"/>
          <w:highlight w:val="white"/>
        </w:rPr>
      </w:pPr>
      <w:r>
        <w:rPr>
          <w:rFonts w:ascii="Times New Roman" w:eastAsia="Times New Roman" w:hAnsi="Times New Roman" w:cs="Times New Roman"/>
          <w:b/>
          <w:bCs/>
          <w:sz w:val="24"/>
          <w:szCs w:val="24"/>
          <w:highlight w:val="white"/>
        </w:rPr>
        <w:t>Develop and Strengthen Regulatory Frameworks</w:t>
      </w:r>
      <w:r>
        <w:rPr>
          <w:rFonts w:ascii="Times New Roman" w:eastAsia="Times New Roman" w:hAnsi="Times New Roman" w:cs="Times New Roman"/>
          <w:sz w:val="24"/>
          <w:szCs w:val="24"/>
          <w:highlight w:val="white"/>
        </w:rPr>
        <w:t>: Policymakers should create and enforce clear regulatory frameworks for mobile money, mobile banking, and FinTech platforms to ensure consumer protection, security, and operational transparency. Regulatory support will help build trust in digital financial services.</w:t>
      </w:r>
    </w:p>
    <w:p w14:paraId="45A9961A" w14:textId="77777777" w:rsidR="004433C1" w:rsidRDefault="005804FC">
      <w:pPr>
        <w:numPr>
          <w:ilvl w:val="0"/>
          <w:numId w:val="4"/>
        </w:numPr>
        <w:spacing w:line="360" w:lineRule="auto"/>
        <w:jc w:val="both"/>
        <w:rPr>
          <w:sz w:val="24"/>
          <w:szCs w:val="24"/>
          <w:highlight w:val="white"/>
        </w:rPr>
      </w:pPr>
      <w:r>
        <w:rPr>
          <w:rFonts w:ascii="Times New Roman" w:eastAsia="Times New Roman" w:hAnsi="Times New Roman" w:cs="Times New Roman"/>
          <w:b/>
          <w:bCs/>
          <w:sz w:val="24"/>
          <w:szCs w:val="24"/>
          <w:highlight w:val="white"/>
        </w:rPr>
        <w:t>Targeted Policies for Women’s Financial Inclusion</w:t>
      </w:r>
      <w:r>
        <w:rPr>
          <w:rFonts w:ascii="Times New Roman" w:eastAsia="Times New Roman" w:hAnsi="Times New Roman" w:cs="Times New Roman"/>
          <w:sz w:val="24"/>
          <w:szCs w:val="24"/>
          <w:highlight w:val="white"/>
        </w:rPr>
        <w:t>: Given the gender disparities in mobile money adoption, policymakers should create targeted initiatives to empower women with access to mobile phones, digital financial services, and financial education, addressing the specific barriers women face.</w:t>
      </w:r>
    </w:p>
    <w:p w14:paraId="15F04707" w14:textId="77777777" w:rsidR="004433C1" w:rsidRDefault="005804FC">
      <w:pPr>
        <w:numPr>
          <w:ilvl w:val="0"/>
          <w:numId w:val="4"/>
        </w:numPr>
        <w:spacing w:line="360" w:lineRule="auto"/>
        <w:jc w:val="both"/>
        <w:rPr>
          <w:sz w:val="24"/>
          <w:szCs w:val="24"/>
          <w:highlight w:val="white"/>
        </w:rPr>
      </w:pPr>
      <w:r>
        <w:rPr>
          <w:rFonts w:ascii="Times New Roman" w:eastAsia="Times New Roman" w:hAnsi="Times New Roman" w:cs="Times New Roman"/>
          <w:b/>
          <w:bCs/>
          <w:sz w:val="24"/>
          <w:szCs w:val="24"/>
          <w:highlight w:val="white"/>
        </w:rPr>
        <w:t>Promote FinTech Innovations in Rural Areas</w:t>
      </w:r>
      <w:r>
        <w:rPr>
          <w:rFonts w:ascii="Times New Roman" w:eastAsia="Times New Roman" w:hAnsi="Times New Roman" w:cs="Times New Roman"/>
          <w:sz w:val="24"/>
          <w:szCs w:val="24"/>
          <w:highlight w:val="white"/>
        </w:rPr>
        <w:t xml:space="preserve">: Governments should incentivize FinTech innovations that cater specifically to the needs of rural populations, focusing on </w:t>
      </w:r>
      <w:r>
        <w:rPr>
          <w:rFonts w:ascii="Times New Roman" w:eastAsia="Times New Roman" w:hAnsi="Times New Roman" w:cs="Times New Roman"/>
          <w:sz w:val="24"/>
          <w:szCs w:val="24"/>
          <w:highlight w:val="white"/>
        </w:rPr>
        <w:lastRenderedPageBreak/>
        <w:t>affordable and accessible digital products such as micro-loans, savings, and insurance tailored to low-income households.</w:t>
      </w:r>
    </w:p>
    <w:p w14:paraId="3DE19A61" w14:textId="77777777" w:rsidR="004433C1" w:rsidRDefault="005804FC">
      <w:pPr>
        <w:numPr>
          <w:ilvl w:val="0"/>
          <w:numId w:val="4"/>
        </w:numPr>
        <w:spacing w:after="240" w:line="360" w:lineRule="auto"/>
        <w:jc w:val="both"/>
        <w:rPr>
          <w:sz w:val="24"/>
          <w:szCs w:val="24"/>
          <w:highlight w:val="white"/>
        </w:rPr>
      </w:pPr>
      <w:r>
        <w:rPr>
          <w:rFonts w:ascii="Times New Roman" w:eastAsia="Times New Roman" w:hAnsi="Times New Roman" w:cs="Times New Roman"/>
          <w:b/>
          <w:bCs/>
          <w:sz w:val="24"/>
          <w:szCs w:val="24"/>
          <w:highlight w:val="white"/>
        </w:rPr>
        <w:t>Encourage Public-Private Partnerships</w:t>
      </w:r>
      <w:r>
        <w:rPr>
          <w:rFonts w:ascii="Times New Roman" w:eastAsia="Times New Roman" w:hAnsi="Times New Roman" w:cs="Times New Roman"/>
          <w:sz w:val="24"/>
          <w:szCs w:val="24"/>
          <w:highlight w:val="white"/>
        </w:rPr>
        <w:t>: Governments should foster partnerships with private FinTech companies to develop innovative solutions tailored to the needs of underserved populations. Public-private collaboration can help expand the reach of digital financial services, overcome infrastructural barriers, and enhance financial inclusion in regions with limited access to traditional banking services. By leveraging both public resources and private sector innovations, such partnerships can contribute to sustainable growth and economic resilience in Sub-Saharan Africa.</w:t>
      </w:r>
      <w:r>
        <w:rPr>
          <w:rFonts w:ascii="Times New Roman" w:eastAsia="Times New Roman" w:hAnsi="Times New Roman" w:cs="Times New Roman"/>
          <w:sz w:val="24"/>
          <w:szCs w:val="24"/>
          <w:highlight w:val="white"/>
        </w:rPr>
        <w:br/>
      </w:r>
    </w:p>
    <w:p w14:paraId="12EC55FB" w14:textId="77777777" w:rsidR="004433C1" w:rsidRDefault="005804FC">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21" w:name="_heading=h.qrpgqlq74h7q" w:colFirst="0" w:colLast="0"/>
      <w:bookmarkEnd w:id="21"/>
      <w:r>
        <w:rPr>
          <w:rFonts w:ascii="Times New Roman" w:eastAsia="Times New Roman" w:hAnsi="Times New Roman" w:cs="Times New Roman"/>
          <w:b/>
          <w:bCs/>
          <w:color w:val="000000"/>
          <w:sz w:val="28"/>
          <w:szCs w:val="28"/>
          <w:highlight w:val="white"/>
        </w:rPr>
        <w:t>Strengths and Limitations</w:t>
      </w:r>
    </w:p>
    <w:p w14:paraId="0FAB3064"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scoping review has several strengths, particularly its comprehensive search strategy and rigorous methodology. The review followed a systematic approach, searching multiple databases (Google Scholar, African Journals Online, and SSRN) and including studies from various Sub-Saharan African countries, which enhances the generalizability of the findings. The use of a narrative synthesis approach allowed for a thorough examination of the literature, identifying patterns and themes across studies.</w:t>
      </w:r>
    </w:p>
    <w:p w14:paraId="356C1444"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this review also has some limitations. The search was limited to studies published in English between 2020 and 2025, which may have excluded relevant studies published in other languages or earlier. Additionally, the reliance on secondary data from existing studies may introduce biases, as the original studies may have had different research questions, methodologies, or sampling strategies.</w:t>
      </w:r>
    </w:p>
    <w:p w14:paraId="0E52476D"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From a methodological perspective, the review's inclusion of both quantitative and qualitative studies provides a richer understanding of the topic, but it also presents challenges in terms of synthesizing the findings. The heterogeneity of the included studies, in terms of their designs, populations, and outcomes, may have affected the comparability of the results.</w:t>
      </w:r>
    </w:p>
    <w:p w14:paraId="058AE875"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Furthermore, the review's focus on digital financial inclusion and economic resilience in SSA may limit its applicability to other regions or contexts. Future research should consider exploring </w:t>
      </w:r>
      <w:r>
        <w:rPr>
          <w:rFonts w:ascii="Times New Roman" w:eastAsia="Times New Roman" w:hAnsi="Times New Roman" w:cs="Times New Roman"/>
          <w:sz w:val="24"/>
          <w:szCs w:val="24"/>
          <w:highlight w:val="white"/>
        </w:rPr>
        <w:lastRenderedPageBreak/>
        <w:t>similar topics in other regions, using more diverse methodologies, such as mixed-methods approaches or longitudinal designs, to provide a more comprehensive understanding of the relationships between digital financial inclusion and economic outcomes.</w:t>
      </w:r>
    </w:p>
    <w:p w14:paraId="3D048B66"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methodology, future studies could also benefit from using more robust search strategies, such as searching grey literature or contacting authors for unpublished data, to reduce publication bias. Additionally, using more advanced synthesis methods, such as meta-analysis or realist synthesis, could provide more nuanced insights into the mechanisms underlying digital financial inclusion and economic resilience.</w:t>
      </w:r>
    </w:p>
    <w:p w14:paraId="7264990D" w14:textId="77777777" w:rsidR="004433C1" w:rsidRDefault="005804FC">
      <w:pPr>
        <w:pStyle w:val="Heading3"/>
        <w:keepNext w:val="0"/>
        <w:keepLines w:val="0"/>
        <w:spacing w:before="280" w:line="360" w:lineRule="auto"/>
        <w:rPr>
          <w:rFonts w:ascii="Times New Roman" w:eastAsia="Times New Roman" w:hAnsi="Times New Roman" w:cs="Times New Roman"/>
          <w:b/>
          <w:bCs/>
          <w:color w:val="000000"/>
          <w:highlight w:val="white"/>
        </w:rPr>
      </w:pPr>
      <w:bookmarkStart w:id="22" w:name="_heading=h.5yqs7ppwfb2l" w:colFirst="0" w:colLast="0"/>
      <w:bookmarkEnd w:id="22"/>
      <w:r>
        <w:rPr>
          <w:rFonts w:ascii="Times New Roman" w:eastAsia="Times New Roman" w:hAnsi="Times New Roman" w:cs="Times New Roman"/>
          <w:b/>
          <w:bCs/>
          <w:color w:val="000000"/>
          <w:highlight w:val="white"/>
        </w:rPr>
        <w:t>Future Directions</w:t>
      </w:r>
    </w:p>
    <w:p w14:paraId="18506F20"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Building on the findings of this study, future research should address several key areas to further enhance understanding of digital financial inclusion's role in economic resilience in Sub-Saharan Africa (SSA).</w:t>
      </w:r>
    </w:p>
    <w:p w14:paraId="60C3EB93"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Firstly, given the identified limitations of infrastructure and digital literacy, future research should focus on the barriers to usage of digital financial tools, especially in rural and underserved areas. While access to services has increased, usage remains uneven. Studies should explore targeted interventions to boost digital literacy and reduce infrastructural constraints, especially in remote regions.</w:t>
      </w:r>
    </w:p>
    <w:p w14:paraId="57315525"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Secondly, gender disparities in digital financial inclusion were noted as a significant challenge. Future research should focus on the gendered impacts of mobile money and fintech adoption, investigating strategies to empower women, particularly in rural communities, through tailored financial services and policies.</w:t>
      </w:r>
    </w:p>
    <w:p w14:paraId="1A9C581E"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this study found that institutional support and regulatory frameworks are crucial for the effective deployment of digital financial services. Future studies should explore how varying regulatory approaches across SSA impact digital inclusion and resilience. Comparative research could offer insights into best practices for policy development.</w:t>
      </w:r>
    </w:p>
    <w:p w14:paraId="7AED2B0C"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Finally, long-term studies on the macroeconomic impacts of digital financial inclusion are needed. Research should investigate the sustained effects of mobile money, mobile banking, and </w:t>
      </w:r>
      <w:r>
        <w:rPr>
          <w:rFonts w:ascii="Times New Roman" w:eastAsia="Times New Roman" w:hAnsi="Times New Roman" w:cs="Times New Roman"/>
          <w:sz w:val="24"/>
          <w:szCs w:val="24"/>
          <w:highlight w:val="white"/>
        </w:rPr>
        <w:lastRenderedPageBreak/>
        <w:t>fintech on poverty reduction, financial resilience, and regional economic integration. By addressing these gaps, future studies can provide a more comprehensive framework for fostering economic resilience through digital financial inclusion.</w:t>
      </w:r>
    </w:p>
    <w:p w14:paraId="77995561" w14:textId="77777777" w:rsidR="004433C1" w:rsidRDefault="004433C1">
      <w:pPr>
        <w:spacing w:before="240" w:after="240" w:line="360" w:lineRule="auto"/>
        <w:jc w:val="both"/>
        <w:rPr>
          <w:rFonts w:ascii="Times New Roman" w:eastAsia="Times New Roman" w:hAnsi="Times New Roman" w:cs="Times New Roman"/>
          <w:sz w:val="24"/>
          <w:szCs w:val="24"/>
          <w:highlight w:val="white"/>
        </w:rPr>
      </w:pPr>
    </w:p>
    <w:p w14:paraId="506D6B57" w14:textId="77777777" w:rsidR="004433C1" w:rsidRDefault="005804FC">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14:paraId="10BBC140"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scoping review reveals the pivotal role of digital financial inclusion in enhancing economic resilience in Sub-Saharan Africa. The analysis showed that mobile money, mobile banking, and FinTech platforms significantly improved financial access, promoted entrepreneurship, and mitigated risks. It was found that countries with robust regulatory frameworks and supportive policies witnessed greater adoption of digital financial services. However, barriers such as infrastructure gaps, digital illiteracy, and gender disparities hinder broader adoption. To unlock the full potential of digital finance, policymakers should prioritize investments in infrastructure and financial literacy programs. Future research should explore the long-term impacts of digital financial tools on macroeconomic stability and resilience.</w:t>
      </w:r>
    </w:p>
    <w:p w14:paraId="755A7896" w14:textId="77777777" w:rsidR="00E17DBB" w:rsidRDefault="00E17DBB">
      <w:pPr>
        <w:shd w:val="clear" w:color="auto" w:fill="FCFCFC"/>
        <w:spacing w:before="240" w:after="100"/>
        <w:rPr>
          <w:rFonts w:ascii="Times New Roman" w:eastAsia="Times New Roman" w:hAnsi="Times New Roman" w:cs="Times New Roman"/>
          <w:sz w:val="24"/>
          <w:szCs w:val="24"/>
          <w:highlight w:val="white"/>
        </w:rPr>
      </w:pPr>
      <w:bookmarkStart w:id="23" w:name="_GoBack"/>
      <w:bookmarkEnd w:id="23"/>
    </w:p>
    <w:p w14:paraId="220C75DE" w14:textId="77777777" w:rsidR="004433C1" w:rsidRDefault="005804FC">
      <w:pPr>
        <w:spacing w:line="360" w:lineRule="auto"/>
        <w:jc w:val="both"/>
        <w:rPr>
          <w:rFonts w:ascii="Times New Roman" w:eastAsia="Times New Roman" w:hAnsi="Times New Roman" w:cs="Times New Roman"/>
          <w:sz w:val="24"/>
          <w:szCs w:val="24"/>
          <w:highlight w:val="white"/>
        </w:rPr>
      </w:pPr>
      <w:bookmarkStart w:id="24" w:name="_heading=h.moe4ibqzdh61" w:colFirst="0" w:colLast="0"/>
      <w:bookmarkEnd w:id="24"/>
      <w:r>
        <w:rPr>
          <w:rFonts w:ascii="Times New Roman" w:eastAsia="Times New Roman" w:hAnsi="Times New Roman" w:cs="Times New Roman"/>
          <w:b/>
          <w:bCs/>
          <w:sz w:val="24"/>
          <w:szCs w:val="24"/>
          <w:highlight w:val="white"/>
        </w:rPr>
        <w:t xml:space="preserve">Disclaimer (Artificial intelligence): </w:t>
      </w:r>
      <w:r>
        <w:rPr>
          <w:rFonts w:ascii="Times New Roman" w:eastAsia="Times New Roman" w:hAnsi="Times New Roman" w:cs="Times New Roman"/>
          <w:sz w:val="24"/>
          <w:szCs w:val="24"/>
          <w:highlight w:val="white"/>
        </w:rPr>
        <w:t xml:space="preserve">Author(s) hereby declare that NO generative AI technologies such as Large Language Models (ChatGPT, COPILOT, etc.) and text-to-image generators have been used during the writing or editing of this manuscript. </w:t>
      </w:r>
    </w:p>
    <w:p w14:paraId="53128D81" w14:textId="77777777" w:rsidR="004433C1" w:rsidRDefault="004433C1">
      <w:pPr>
        <w:spacing w:before="240" w:after="240"/>
        <w:jc w:val="both"/>
        <w:rPr>
          <w:rFonts w:ascii="Times New Roman" w:eastAsia="Times New Roman" w:hAnsi="Times New Roman" w:cs="Times New Roman"/>
          <w:sz w:val="24"/>
          <w:szCs w:val="24"/>
          <w:highlight w:val="white"/>
        </w:rPr>
      </w:pPr>
    </w:p>
    <w:p w14:paraId="09CB6F20" w14:textId="77777777" w:rsidR="004433C1" w:rsidRDefault="005804FC">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14:paraId="5C72C942"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Adefabi</w:t>
      </w:r>
      <w:proofErr w:type="spellEnd"/>
      <w:r>
        <w:rPr>
          <w:rFonts w:ascii="Times New Roman" w:eastAsia="Times New Roman" w:hAnsi="Times New Roman" w:cs="Times New Roman"/>
          <w:sz w:val="24"/>
          <w:szCs w:val="24"/>
          <w:highlight w:val="white"/>
        </w:rPr>
        <w:t xml:space="preserve">, R. A. (2025). Digital financial inclusion and poverty reduction in Nigeria: A micro-level analysis. IOSR Journal of Economics and Finance, 16(4), 4-10.  </w:t>
      </w:r>
      <w:hyperlink r:id="rId11">
        <w:r>
          <w:rPr>
            <w:rFonts w:ascii="Times New Roman" w:eastAsia="Times New Roman" w:hAnsi="Times New Roman" w:cs="Times New Roman"/>
            <w:sz w:val="24"/>
            <w:szCs w:val="24"/>
            <w:highlight w:val="white"/>
            <w:u w:val="single"/>
          </w:rPr>
          <w:t>https://doi.org/10.9790/5933-1604040410</w:t>
        </w:r>
      </w:hyperlink>
    </w:p>
    <w:p w14:paraId="3A9FD06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Antwi-Boampong, A., </w:t>
      </w:r>
      <w:proofErr w:type="spellStart"/>
      <w:r>
        <w:rPr>
          <w:rFonts w:ascii="Times New Roman" w:eastAsia="Times New Roman" w:hAnsi="Times New Roman" w:cs="Times New Roman"/>
          <w:sz w:val="24"/>
          <w:szCs w:val="24"/>
          <w:highlight w:val="white"/>
        </w:rPr>
        <w:t>Boison</w:t>
      </w:r>
      <w:proofErr w:type="spellEnd"/>
      <w:r>
        <w:rPr>
          <w:rFonts w:ascii="Times New Roman" w:eastAsia="Times New Roman" w:hAnsi="Times New Roman" w:cs="Times New Roman"/>
          <w:sz w:val="24"/>
          <w:szCs w:val="24"/>
          <w:highlight w:val="white"/>
        </w:rPr>
        <w:t xml:space="preserve">, D. K., Doumbia, M. O., Boakye, A. N., </w:t>
      </w:r>
      <w:proofErr w:type="spellStart"/>
      <w:r>
        <w:rPr>
          <w:rFonts w:ascii="Times New Roman" w:eastAsia="Times New Roman" w:hAnsi="Times New Roman" w:cs="Times New Roman"/>
          <w:sz w:val="24"/>
          <w:szCs w:val="24"/>
          <w:highlight w:val="white"/>
        </w:rPr>
        <w:t>Osei-Fosua</w:t>
      </w:r>
      <w:proofErr w:type="spellEnd"/>
      <w:r>
        <w:rPr>
          <w:rFonts w:ascii="Times New Roman" w:eastAsia="Times New Roman" w:hAnsi="Times New Roman" w:cs="Times New Roman"/>
          <w:sz w:val="24"/>
          <w:szCs w:val="24"/>
          <w:highlight w:val="white"/>
        </w:rPr>
        <w:t xml:space="preserve">, L., &amp; </w:t>
      </w:r>
      <w:proofErr w:type="spellStart"/>
      <w:r>
        <w:rPr>
          <w:rFonts w:ascii="Times New Roman" w:eastAsia="Times New Roman" w:hAnsi="Times New Roman" w:cs="Times New Roman"/>
          <w:sz w:val="24"/>
          <w:szCs w:val="24"/>
          <w:highlight w:val="white"/>
        </w:rPr>
        <w:t>Owiredu</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Sarbeng</w:t>
      </w:r>
      <w:proofErr w:type="spellEnd"/>
      <w:r>
        <w:rPr>
          <w:rFonts w:ascii="Times New Roman" w:eastAsia="Times New Roman" w:hAnsi="Times New Roman" w:cs="Times New Roman"/>
          <w:sz w:val="24"/>
          <w:szCs w:val="24"/>
          <w:highlight w:val="white"/>
        </w:rPr>
        <w:t xml:space="preserve">, K. (2022). Factors Affecting Port Users’ Behavioral Intentions to Adopt </w:t>
      </w:r>
      <w:r>
        <w:rPr>
          <w:rFonts w:ascii="Times New Roman" w:eastAsia="Times New Roman" w:hAnsi="Times New Roman" w:cs="Times New Roman"/>
          <w:sz w:val="24"/>
          <w:szCs w:val="24"/>
          <w:highlight w:val="white"/>
        </w:rPr>
        <w:lastRenderedPageBreak/>
        <w:t xml:space="preserve">Financial Technology (Fintech) in Ports in Sub-Saharan Africa: A Case of Ports in Ghana. FinTech, 1(4), 362-375. </w:t>
      </w:r>
      <w:hyperlink r:id="rId12">
        <w:r>
          <w:rPr>
            <w:rFonts w:ascii="Times New Roman" w:eastAsia="Times New Roman" w:hAnsi="Times New Roman" w:cs="Times New Roman"/>
            <w:sz w:val="24"/>
            <w:szCs w:val="24"/>
            <w:highlight w:val="white"/>
            <w:u w:val="single"/>
          </w:rPr>
          <w:t>https://doi.org/10.3390/fintech1040027</w:t>
        </w:r>
      </w:hyperlink>
    </w:p>
    <w:p w14:paraId="2009E631"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Alharbi, A., &amp; Stevenson, M. (2020). Refining Boolean queries to identify relevant studies for systematic review updates. Journal of the American Medical Informatics Association, 27(11), 1658-1666. </w:t>
      </w:r>
      <w:hyperlink r:id="rId13">
        <w:r>
          <w:rPr>
            <w:rFonts w:ascii="Times New Roman" w:eastAsia="Times New Roman" w:hAnsi="Times New Roman" w:cs="Times New Roman"/>
            <w:sz w:val="24"/>
            <w:szCs w:val="24"/>
            <w:highlight w:val="white"/>
            <w:u w:val="single"/>
          </w:rPr>
          <w:t>https://doi.org/10.1093/jamia/ocac249</w:t>
        </w:r>
      </w:hyperlink>
    </w:p>
    <w:p w14:paraId="36D0AE2F"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7EB70661"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sidRPr="00F97D6C">
        <w:rPr>
          <w:rFonts w:ascii="Times New Roman" w:eastAsia="Times New Roman" w:hAnsi="Times New Roman" w:cs="Times New Roman"/>
          <w:sz w:val="24"/>
          <w:szCs w:val="24"/>
          <w:highlight w:val="white"/>
          <w:lang w:val="nl-BE"/>
        </w:rPr>
        <w:t xml:space="preserve">Alhassan, M. D., Kolog, E. A., &amp; Boateng, R. (2020). </w:t>
      </w:r>
      <w:r>
        <w:rPr>
          <w:rFonts w:ascii="Times New Roman" w:eastAsia="Times New Roman" w:hAnsi="Times New Roman" w:cs="Times New Roman"/>
          <w:sz w:val="24"/>
          <w:szCs w:val="24"/>
          <w:highlight w:val="white"/>
        </w:rPr>
        <w:t xml:space="preserve">Effect of gratification on user attitude and continuance use of mobile payment services: a developing country context. Journal of Systems and Information Technology, 22(4), 351-378. </w:t>
      </w:r>
      <w:hyperlink r:id="rId14">
        <w:r>
          <w:rPr>
            <w:rFonts w:ascii="Times New Roman" w:eastAsia="Times New Roman" w:hAnsi="Times New Roman" w:cs="Times New Roman"/>
            <w:sz w:val="24"/>
            <w:szCs w:val="24"/>
            <w:highlight w:val="white"/>
            <w:u w:val="single"/>
          </w:rPr>
          <w:t>https://doi.org/10.1108/JSIT-01-2020-0010</w:t>
        </w:r>
      </w:hyperlink>
    </w:p>
    <w:p w14:paraId="4E7CB81D" w14:textId="77777777" w:rsidR="004433C1" w:rsidRDefault="004433C1">
      <w:pPr>
        <w:tabs>
          <w:tab w:val="left" w:pos="384"/>
        </w:tabs>
        <w:spacing w:line="360" w:lineRule="auto"/>
        <w:ind w:left="720"/>
        <w:jc w:val="both"/>
        <w:rPr>
          <w:rFonts w:ascii="Times New Roman" w:eastAsia="Times New Roman" w:hAnsi="Times New Roman" w:cs="Times New Roman"/>
          <w:sz w:val="24"/>
          <w:szCs w:val="24"/>
          <w:highlight w:val="white"/>
        </w:rPr>
      </w:pPr>
    </w:p>
    <w:p w14:paraId="21B01A90"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Apiors</w:t>
      </w:r>
      <w:proofErr w:type="spellEnd"/>
      <w:r>
        <w:rPr>
          <w:rFonts w:ascii="Times New Roman" w:eastAsia="Times New Roman" w:hAnsi="Times New Roman" w:cs="Times New Roman"/>
          <w:sz w:val="24"/>
          <w:szCs w:val="24"/>
          <w:highlight w:val="white"/>
        </w:rPr>
        <w:t xml:space="preserve">, E. K., &amp; Suzuki, A. (2023). Effects of Mobile Money Education on Mobile Money Usage: Evidence from Ghana. The European journal of development research, 35(3), 715–742. </w:t>
      </w:r>
      <w:hyperlink r:id="rId15">
        <w:r>
          <w:rPr>
            <w:rFonts w:ascii="Times New Roman" w:eastAsia="Times New Roman" w:hAnsi="Times New Roman" w:cs="Times New Roman"/>
            <w:sz w:val="24"/>
            <w:szCs w:val="24"/>
            <w:highlight w:val="white"/>
            <w:u w:val="single"/>
          </w:rPr>
          <w:t>https://doi.org/10.1057/s41287-022-00529-x</w:t>
        </w:r>
      </w:hyperlink>
    </w:p>
    <w:p w14:paraId="7BF7BA9C"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Arksey, H. and O’Malley, L. (2005) Scoping Studies: Towards a Methodological Framework. International Journal of Social Research Methodology, 8, 19-32. </w:t>
      </w:r>
      <w:hyperlink r:id="rId16">
        <w:r>
          <w:rPr>
            <w:rFonts w:ascii="Times New Roman" w:eastAsia="Times New Roman" w:hAnsi="Times New Roman" w:cs="Times New Roman"/>
            <w:sz w:val="24"/>
            <w:szCs w:val="24"/>
            <w:highlight w:val="white"/>
            <w:u w:val="single"/>
          </w:rPr>
          <w:t>https://doi.org/10.1080/1364557032000119616</w:t>
        </w:r>
      </w:hyperlink>
    </w:p>
    <w:p w14:paraId="69BEEAA1"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Asravor</w:t>
      </w:r>
      <w:proofErr w:type="spellEnd"/>
      <w:r>
        <w:rPr>
          <w:rFonts w:ascii="Times New Roman" w:eastAsia="Times New Roman" w:hAnsi="Times New Roman" w:cs="Times New Roman"/>
          <w:sz w:val="24"/>
          <w:szCs w:val="24"/>
          <w:highlight w:val="white"/>
        </w:rPr>
        <w:t xml:space="preserve">, R. K., Boakye, A. N., &amp; </w:t>
      </w:r>
      <w:proofErr w:type="spellStart"/>
      <w:r>
        <w:rPr>
          <w:rFonts w:ascii="Times New Roman" w:eastAsia="Times New Roman" w:hAnsi="Times New Roman" w:cs="Times New Roman"/>
          <w:sz w:val="24"/>
          <w:szCs w:val="24"/>
          <w:highlight w:val="white"/>
        </w:rPr>
        <w:t>Essuman</w:t>
      </w:r>
      <w:proofErr w:type="spellEnd"/>
      <w:r>
        <w:rPr>
          <w:rFonts w:ascii="Times New Roman" w:eastAsia="Times New Roman" w:hAnsi="Times New Roman" w:cs="Times New Roman"/>
          <w:sz w:val="24"/>
          <w:szCs w:val="24"/>
          <w:highlight w:val="white"/>
        </w:rPr>
        <w:t xml:space="preserve">, J. (2022). Adoption and intensity of use of mobile money among smallholder farmers in rural Ghana. Information Development, 38(2), 204-217. </w:t>
      </w:r>
      <w:hyperlink r:id="rId17">
        <w:r>
          <w:rPr>
            <w:rFonts w:ascii="Times New Roman" w:eastAsia="Times New Roman" w:hAnsi="Times New Roman" w:cs="Times New Roman"/>
            <w:sz w:val="24"/>
            <w:szCs w:val="24"/>
            <w:highlight w:val="white"/>
            <w:u w:val="single"/>
          </w:rPr>
          <w:t>https://doi.org/10.1177/0266666921999089</w:t>
        </w:r>
      </w:hyperlink>
    </w:p>
    <w:p w14:paraId="5C3C1B59" w14:textId="77777777" w:rsidR="004433C1" w:rsidRDefault="004433C1">
      <w:pPr>
        <w:spacing w:line="360" w:lineRule="auto"/>
        <w:rPr>
          <w:rFonts w:ascii="Times New Roman" w:eastAsia="Times New Roman" w:hAnsi="Times New Roman" w:cs="Times New Roman"/>
          <w:sz w:val="24"/>
          <w:szCs w:val="24"/>
          <w:highlight w:val="white"/>
        </w:rPr>
      </w:pPr>
    </w:p>
    <w:p w14:paraId="08F1FEA6" w14:textId="77777777" w:rsidR="004433C1" w:rsidRDefault="005804F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Ayeni, G. J. A. (2025). FinTech Solutions, Financial Inclusion and Sustainable Economic Growth in Developing Countries. African Journal of Stability and Development (AJSD), 17(1), 265–295. </w:t>
      </w:r>
      <w:hyperlink r:id="rId18">
        <w:r>
          <w:rPr>
            <w:rFonts w:ascii="Times New Roman" w:eastAsia="Times New Roman" w:hAnsi="Times New Roman" w:cs="Times New Roman"/>
            <w:sz w:val="24"/>
            <w:szCs w:val="24"/>
            <w:highlight w:val="white"/>
            <w:u w:val="single"/>
          </w:rPr>
          <w:t>https://doi.org/10.53982/ajsd.2025.1701.13-j</w:t>
        </w:r>
      </w:hyperlink>
    </w:p>
    <w:p w14:paraId="46C2ED90" w14:textId="77777777" w:rsidR="004433C1" w:rsidRDefault="004433C1">
      <w:pPr>
        <w:spacing w:line="360" w:lineRule="auto"/>
        <w:rPr>
          <w:rFonts w:ascii="Times New Roman" w:eastAsia="Times New Roman" w:hAnsi="Times New Roman" w:cs="Times New Roman"/>
          <w:sz w:val="24"/>
          <w:szCs w:val="24"/>
          <w:highlight w:val="white"/>
        </w:rPr>
      </w:pPr>
    </w:p>
    <w:p w14:paraId="3F207D30" w14:textId="77777777" w:rsidR="004433C1" w:rsidRDefault="005804F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Bennani Smires, C. (2025). How digital wallets have transformed the lives of millions in Africa. SBS Insights. </w:t>
      </w:r>
      <w:hyperlink r:id="rId19">
        <w:r>
          <w:rPr>
            <w:rFonts w:ascii="Times New Roman" w:eastAsia="Times New Roman" w:hAnsi="Times New Roman" w:cs="Times New Roman"/>
            <w:sz w:val="24"/>
            <w:szCs w:val="24"/>
            <w:highlight w:val="white"/>
            <w:u w:val="single"/>
          </w:rPr>
          <w:t>https://sbs-software.com/insights/digital-wallets-in-africa/</w:t>
        </w:r>
      </w:hyperlink>
    </w:p>
    <w:p w14:paraId="5C6F660A"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38AA720A"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Chitimira</w:t>
      </w:r>
      <w:proofErr w:type="spellEnd"/>
      <w:r>
        <w:rPr>
          <w:rFonts w:ascii="Times New Roman" w:eastAsia="Times New Roman" w:hAnsi="Times New Roman" w:cs="Times New Roman"/>
          <w:sz w:val="24"/>
          <w:szCs w:val="24"/>
          <w:highlight w:val="white"/>
        </w:rPr>
        <w:t xml:space="preserve">, H., &amp; </w:t>
      </w:r>
      <w:proofErr w:type="spellStart"/>
      <w:r>
        <w:rPr>
          <w:rFonts w:ascii="Times New Roman" w:eastAsia="Times New Roman" w:hAnsi="Times New Roman" w:cs="Times New Roman"/>
          <w:sz w:val="24"/>
          <w:szCs w:val="24"/>
          <w:highlight w:val="white"/>
        </w:rPr>
        <w:t>Torerai</w:t>
      </w:r>
      <w:proofErr w:type="spellEnd"/>
      <w:r>
        <w:rPr>
          <w:rFonts w:ascii="Times New Roman" w:eastAsia="Times New Roman" w:hAnsi="Times New Roman" w:cs="Times New Roman"/>
          <w:sz w:val="24"/>
          <w:szCs w:val="24"/>
          <w:highlight w:val="white"/>
        </w:rPr>
        <w:t xml:space="preserve">, E. (2021). The nexus between mobile money regulation, innovative technology and the promotion of financial inclusion in Zimbabwe. Potchefstroom Electronic </w:t>
      </w:r>
      <w:r>
        <w:rPr>
          <w:rFonts w:ascii="Times New Roman" w:eastAsia="Times New Roman" w:hAnsi="Times New Roman" w:cs="Times New Roman"/>
          <w:sz w:val="24"/>
          <w:szCs w:val="24"/>
          <w:highlight w:val="white"/>
        </w:rPr>
        <w:lastRenderedPageBreak/>
        <w:t>Law Journal/</w:t>
      </w:r>
      <w:proofErr w:type="spellStart"/>
      <w:r>
        <w:rPr>
          <w:rFonts w:ascii="Times New Roman" w:eastAsia="Times New Roman" w:hAnsi="Times New Roman" w:cs="Times New Roman"/>
          <w:sz w:val="24"/>
          <w:szCs w:val="24"/>
          <w:highlight w:val="white"/>
        </w:rPr>
        <w:t>Potchefstroomse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Elektroniese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Regsblad</w:t>
      </w:r>
      <w:proofErr w:type="spellEnd"/>
      <w:r>
        <w:rPr>
          <w:rFonts w:ascii="Times New Roman" w:eastAsia="Times New Roman" w:hAnsi="Times New Roman" w:cs="Times New Roman"/>
          <w:sz w:val="24"/>
          <w:szCs w:val="24"/>
          <w:highlight w:val="white"/>
        </w:rPr>
        <w:t xml:space="preserve">, 24(1). </w:t>
      </w:r>
      <w:hyperlink r:id="rId20">
        <w:r>
          <w:rPr>
            <w:rFonts w:ascii="Times New Roman" w:eastAsia="Times New Roman" w:hAnsi="Times New Roman" w:cs="Times New Roman"/>
            <w:sz w:val="24"/>
            <w:szCs w:val="24"/>
            <w:highlight w:val="white"/>
            <w:u w:val="single"/>
          </w:rPr>
          <w:t>https://doi.org/10.17159/1727-3781/2021/v24i0a10739</w:t>
        </w:r>
      </w:hyperlink>
    </w:p>
    <w:p w14:paraId="7DE5AC64"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Drama, B. G. H., &amp; </w:t>
      </w:r>
      <w:proofErr w:type="spellStart"/>
      <w:r>
        <w:rPr>
          <w:rFonts w:ascii="Times New Roman" w:eastAsia="Times New Roman" w:hAnsi="Times New Roman" w:cs="Times New Roman"/>
          <w:sz w:val="24"/>
          <w:szCs w:val="24"/>
          <w:highlight w:val="white"/>
        </w:rPr>
        <w:t>Senou</w:t>
      </w:r>
      <w:proofErr w:type="spellEnd"/>
      <w:r>
        <w:rPr>
          <w:rFonts w:ascii="Times New Roman" w:eastAsia="Times New Roman" w:hAnsi="Times New Roman" w:cs="Times New Roman"/>
          <w:sz w:val="24"/>
          <w:szCs w:val="24"/>
          <w:highlight w:val="white"/>
        </w:rPr>
        <w:t>, M. M. (2025). Unraveling the digital technologies and banking inclusion nexus in Sub Saharan Africa: What causality for what heterogeneity</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Discover Sustainability, 6(1), 772. </w:t>
      </w:r>
      <w:hyperlink r:id="rId21">
        <w:r>
          <w:rPr>
            <w:rFonts w:ascii="Times New Roman" w:eastAsia="Times New Roman" w:hAnsi="Times New Roman" w:cs="Times New Roman"/>
            <w:sz w:val="24"/>
            <w:szCs w:val="24"/>
            <w:highlight w:val="white"/>
            <w:u w:val="single"/>
          </w:rPr>
          <w:t>https://doi.org/10.1007/s43621-025-01694-9</w:t>
        </w:r>
      </w:hyperlink>
    </w:p>
    <w:p w14:paraId="6F137275"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Fall, F. S., Orozco, L., &amp; Akim, A. M. (2020). Adoption and use of mobile banking by low‐income individuals in Senegal. Review of Development Economics, 24(2), 569-588. </w:t>
      </w:r>
      <w:hyperlink r:id="rId22">
        <w:r>
          <w:rPr>
            <w:rFonts w:ascii="Times New Roman" w:eastAsia="Times New Roman" w:hAnsi="Times New Roman" w:cs="Times New Roman"/>
            <w:sz w:val="24"/>
            <w:szCs w:val="24"/>
            <w:highlight w:val="white"/>
            <w:u w:val="single"/>
          </w:rPr>
          <w:t>https://doi.org/10.1111/rode.12658</w:t>
        </w:r>
      </w:hyperlink>
    </w:p>
    <w:p w14:paraId="581AF5B4" w14:textId="77777777" w:rsidR="004433C1" w:rsidRDefault="004433C1">
      <w:pPr>
        <w:spacing w:line="360" w:lineRule="auto"/>
        <w:rPr>
          <w:rFonts w:ascii="Times New Roman" w:eastAsia="Times New Roman" w:hAnsi="Times New Roman" w:cs="Times New Roman"/>
          <w:sz w:val="24"/>
          <w:szCs w:val="24"/>
          <w:highlight w:val="white"/>
        </w:rPr>
      </w:pPr>
    </w:p>
    <w:p w14:paraId="1D50D655" w14:textId="77777777" w:rsidR="004433C1" w:rsidRDefault="005804F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Gao, X., &amp; Gao, R. (2024). A study of the impact of digital financial inclusion on the resilience of the agricultural chain. Frontiers in Sustainable Food Systems, 8, 1448550. </w:t>
      </w:r>
      <w:hyperlink r:id="rId23">
        <w:r>
          <w:rPr>
            <w:rFonts w:ascii="Times New Roman" w:eastAsia="Times New Roman" w:hAnsi="Times New Roman" w:cs="Times New Roman"/>
            <w:sz w:val="24"/>
            <w:szCs w:val="24"/>
            <w:highlight w:val="white"/>
            <w:u w:val="single"/>
          </w:rPr>
          <w:t>https://doi.org/10.3389/fsufs.2024.1448550</w:t>
        </w:r>
      </w:hyperlink>
    </w:p>
    <w:p w14:paraId="413B297C"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15B35324"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Girma, A. G., &amp; Huseynov, F. (2024). The Causal Relationship between FinTech, Financial Inclusion, and Income Inequality in African Economies. Journal of Risk and Financial Management, 17(1), 2. </w:t>
      </w:r>
      <w:hyperlink r:id="rId24">
        <w:r>
          <w:rPr>
            <w:rFonts w:ascii="Times New Roman" w:eastAsia="Times New Roman" w:hAnsi="Times New Roman" w:cs="Times New Roman"/>
            <w:sz w:val="24"/>
            <w:szCs w:val="24"/>
            <w:highlight w:val="white"/>
            <w:u w:val="single"/>
          </w:rPr>
          <w:t>https://doi.org/10.3390/jrfm17010002</w:t>
        </w:r>
      </w:hyperlink>
    </w:p>
    <w:p w14:paraId="1B893E6F"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7B2CDE32"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Grzybowski, L., </w:t>
      </w:r>
      <w:proofErr w:type="spellStart"/>
      <w:r>
        <w:rPr>
          <w:rFonts w:ascii="Times New Roman" w:eastAsia="Times New Roman" w:hAnsi="Times New Roman" w:cs="Times New Roman"/>
          <w:sz w:val="24"/>
          <w:szCs w:val="24"/>
          <w:highlight w:val="white"/>
        </w:rPr>
        <w:t>Lindlacher</w:t>
      </w:r>
      <w:proofErr w:type="spellEnd"/>
      <w:r>
        <w:rPr>
          <w:rFonts w:ascii="Times New Roman" w:eastAsia="Times New Roman" w:hAnsi="Times New Roman" w:cs="Times New Roman"/>
          <w:sz w:val="24"/>
          <w:szCs w:val="24"/>
          <w:highlight w:val="white"/>
        </w:rPr>
        <w:t xml:space="preserve">, V., &amp; </w:t>
      </w:r>
      <w:proofErr w:type="spellStart"/>
      <w:r>
        <w:rPr>
          <w:rFonts w:ascii="Times New Roman" w:eastAsia="Times New Roman" w:hAnsi="Times New Roman" w:cs="Times New Roman"/>
          <w:sz w:val="24"/>
          <w:szCs w:val="24"/>
          <w:highlight w:val="white"/>
        </w:rPr>
        <w:t>Mothobi</w:t>
      </w:r>
      <w:proofErr w:type="spellEnd"/>
      <w:r>
        <w:rPr>
          <w:rFonts w:ascii="Times New Roman" w:eastAsia="Times New Roman" w:hAnsi="Times New Roman" w:cs="Times New Roman"/>
          <w:sz w:val="24"/>
          <w:szCs w:val="24"/>
          <w:highlight w:val="white"/>
        </w:rPr>
        <w:t xml:space="preserve">, O. (2023). Mobile money and financial inclusion in Sub-Saharan Africa. Information Economics and Policy, 65, 101064. </w:t>
      </w:r>
      <w:hyperlink r:id="rId25">
        <w:r>
          <w:rPr>
            <w:rFonts w:ascii="Times New Roman" w:eastAsia="Times New Roman" w:hAnsi="Times New Roman" w:cs="Times New Roman"/>
            <w:sz w:val="24"/>
            <w:szCs w:val="24"/>
            <w:highlight w:val="white"/>
            <w:u w:val="single"/>
          </w:rPr>
          <w:t>https://doi.org/10.1016/j.infoecopol.2023.101064</w:t>
        </w:r>
      </w:hyperlink>
    </w:p>
    <w:p w14:paraId="03551503"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7213B67B"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Hussaini, U., &amp; </w:t>
      </w:r>
      <w:proofErr w:type="spellStart"/>
      <w:r>
        <w:rPr>
          <w:rFonts w:ascii="Times New Roman" w:eastAsia="Times New Roman" w:hAnsi="Times New Roman" w:cs="Times New Roman"/>
          <w:sz w:val="24"/>
          <w:szCs w:val="24"/>
          <w:highlight w:val="white"/>
        </w:rPr>
        <w:t>Dikko</w:t>
      </w:r>
      <w:proofErr w:type="spellEnd"/>
      <w:r>
        <w:rPr>
          <w:rFonts w:ascii="Times New Roman" w:eastAsia="Times New Roman" w:hAnsi="Times New Roman" w:cs="Times New Roman"/>
          <w:sz w:val="24"/>
          <w:szCs w:val="24"/>
          <w:highlight w:val="white"/>
        </w:rPr>
        <w:t xml:space="preserve">, M. U. (2025). Impact of Digital Financial Inclusion on Poverty Reduction in North-Western Nigeria. African Journal of Management and Business Research, 20(1), 390-411. </w:t>
      </w:r>
      <w:hyperlink r:id="rId26">
        <w:r>
          <w:rPr>
            <w:rFonts w:ascii="Times New Roman" w:eastAsia="Times New Roman" w:hAnsi="Times New Roman" w:cs="Times New Roman"/>
            <w:sz w:val="24"/>
            <w:szCs w:val="24"/>
            <w:highlight w:val="white"/>
            <w:u w:val="single"/>
          </w:rPr>
          <w:t>https://doi.org/10.62154/ajmbr.2025.020.01031</w:t>
        </w:r>
      </w:hyperlink>
    </w:p>
    <w:p w14:paraId="794C74D5"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052B12BB"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Jama, A., Eshetu, F., &amp; Ali, H. (2025). Drivers of financial inclusion in sub-Saharan Africa countries. Cogent Social Sciences, 11(1). </w:t>
      </w:r>
      <w:hyperlink r:id="rId27">
        <w:r>
          <w:rPr>
            <w:rFonts w:ascii="Times New Roman" w:eastAsia="Times New Roman" w:hAnsi="Times New Roman" w:cs="Times New Roman"/>
            <w:sz w:val="24"/>
            <w:szCs w:val="24"/>
            <w:highlight w:val="white"/>
            <w:u w:val="single"/>
          </w:rPr>
          <w:t>https://doi.org/10.1080/23311886.2025.2590235</w:t>
        </w:r>
      </w:hyperlink>
    </w:p>
    <w:p w14:paraId="607A537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Kamara, A. K., &amp; Yu, B. (2024). The Impact of FinTech Adoption on Traditional Financial Inclusion in Sub-Saharan Africa. Risks, 12(7), 115. </w:t>
      </w:r>
      <w:hyperlink r:id="rId28">
        <w:r>
          <w:rPr>
            <w:rFonts w:ascii="Times New Roman" w:eastAsia="Times New Roman" w:hAnsi="Times New Roman" w:cs="Times New Roman"/>
            <w:sz w:val="24"/>
            <w:szCs w:val="24"/>
            <w:highlight w:val="white"/>
            <w:u w:val="single"/>
          </w:rPr>
          <w:t>https://doi.org/10.3390/risks12070115</w:t>
        </w:r>
      </w:hyperlink>
    </w:p>
    <w:p w14:paraId="4FE00924"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Khan, A. A. ., Ahmad, Z. ., Abbas, R. ., &amp; Ahmad, M</w:t>
      </w:r>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 xml:space="preserve"> (2024). Economic Empowerment: The Role of Digital Financial Inclusion in Boosting Gross National Income in Upper-Income Countries. Review of Education, Administration &amp; Law, 7(1), 01-17. </w:t>
      </w:r>
      <w:hyperlink r:id="rId29">
        <w:r>
          <w:rPr>
            <w:rFonts w:ascii="Times New Roman" w:eastAsia="Times New Roman" w:hAnsi="Times New Roman" w:cs="Times New Roman"/>
            <w:sz w:val="24"/>
            <w:szCs w:val="24"/>
            <w:highlight w:val="white"/>
            <w:u w:val="single"/>
          </w:rPr>
          <w:t>https://doi.org/10.47067/real.v7i1.362</w:t>
        </w:r>
      </w:hyperlink>
    </w:p>
    <w:p w14:paraId="60CB83EA"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7A90A00A"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Koomson, I., Villano, R. A., &amp; Hadley, D. (2020). Intensifying financial inclusion through the provision of financial literacy training: a gendered perspective. Applied Economics, 52(4), 375-387. https://doi.org/10.1080/00036846.2019.1645943</w:t>
      </w:r>
    </w:p>
    <w:p w14:paraId="19589F63" w14:textId="77777777" w:rsidR="004433C1" w:rsidRDefault="004433C1">
      <w:pPr>
        <w:spacing w:line="360" w:lineRule="auto"/>
        <w:rPr>
          <w:rFonts w:ascii="Times New Roman" w:eastAsia="Times New Roman" w:hAnsi="Times New Roman" w:cs="Times New Roman"/>
          <w:sz w:val="24"/>
          <w:szCs w:val="24"/>
          <w:highlight w:val="white"/>
        </w:rPr>
      </w:pPr>
    </w:p>
    <w:p w14:paraId="77E76743" w14:textId="77777777" w:rsidR="004433C1" w:rsidRDefault="005804F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 Y., Wei, R., &amp; Bi, H. (2025). How does digital inclusive finance enhance rural economic resilience?—A study based on provincial panel data in China. </w:t>
      </w:r>
      <w:proofErr w:type="spellStart"/>
      <w:r>
        <w:rPr>
          <w:rFonts w:ascii="Times New Roman" w:eastAsia="Times New Roman" w:hAnsi="Times New Roman" w:cs="Times New Roman"/>
          <w:sz w:val="24"/>
          <w:szCs w:val="24"/>
          <w:highlight w:val="white"/>
        </w:rPr>
        <w:t>PloS</w:t>
      </w:r>
      <w:proofErr w:type="spellEnd"/>
      <w:r>
        <w:rPr>
          <w:rFonts w:ascii="Times New Roman" w:eastAsia="Times New Roman" w:hAnsi="Times New Roman" w:cs="Times New Roman"/>
          <w:sz w:val="24"/>
          <w:szCs w:val="24"/>
          <w:highlight w:val="white"/>
        </w:rPr>
        <w:t xml:space="preserve"> one, 20(4), e0321630. </w:t>
      </w:r>
      <w:hyperlink r:id="rId30">
        <w:r>
          <w:rPr>
            <w:rFonts w:ascii="Times New Roman" w:eastAsia="Times New Roman" w:hAnsi="Times New Roman" w:cs="Times New Roman"/>
            <w:sz w:val="24"/>
            <w:szCs w:val="24"/>
            <w:highlight w:val="white"/>
            <w:u w:val="single"/>
          </w:rPr>
          <w:t>https://doi.org/10.1371/journal.pone.0321630</w:t>
        </w:r>
      </w:hyperlink>
    </w:p>
    <w:p w14:paraId="03716E6E"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31A61375"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Mashoene, M., </w:t>
      </w:r>
      <w:proofErr w:type="spellStart"/>
      <w:r>
        <w:rPr>
          <w:rFonts w:ascii="Times New Roman" w:eastAsia="Times New Roman" w:hAnsi="Times New Roman" w:cs="Times New Roman"/>
          <w:sz w:val="24"/>
          <w:szCs w:val="24"/>
          <w:highlight w:val="white"/>
        </w:rPr>
        <w:t>Tweneboah</w:t>
      </w:r>
      <w:proofErr w:type="spellEnd"/>
      <w:r>
        <w:rPr>
          <w:rFonts w:ascii="Times New Roman" w:eastAsia="Times New Roman" w:hAnsi="Times New Roman" w:cs="Times New Roman"/>
          <w:sz w:val="24"/>
          <w:szCs w:val="24"/>
          <w:highlight w:val="white"/>
        </w:rPr>
        <w:t xml:space="preserve">, G., &amp; </w:t>
      </w:r>
      <w:proofErr w:type="spellStart"/>
      <w:r>
        <w:rPr>
          <w:rFonts w:ascii="Times New Roman" w:eastAsia="Times New Roman" w:hAnsi="Times New Roman" w:cs="Times New Roman"/>
          <w:sz w:val="24"/>
          <w:szCs w:val="24"/>
          <w:highlight w:val="white"/>
        </w:rPr>
        <w:t>Schaling</w:t>
      </w:r>
      <w:proofErr w:type="spellEnd"/>
      <w:r>
        <w:rPr>
          <w:rFonts w:ascii="Times New Roman" w:eastAsia="Times New Roman" w:hAnsi="Times New Roman" w:cs="Times New Roman"/>
          <w:sz w:val="24"/>
          <w:szCs w:val="24"/>
          <w:highlight w:val="white"/>
        </w:rPr>
        <w:t>, E. (2025). FinTech and financial inclusion in emerging and developing economies: a system GMM model. Cogent Social Sciences, 11(1). https://doi.org/10.1080/23311886.2025.2491701</w:t>
      </w:r>
    </w:p>
    <w:p w14:paraId="4B452A66"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37785C0E"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Mapurita</w:t>
      </w:r>
      <w:proofErr w:type="spellEnd"/>
      <w:r>
        <w:rPr>
          <w:rFonts w:ascii="Times New Roman" w:eastAsia="Times New Roman" w:hAnsi="Times New Roman" w:cs="Times New Roman"/>
          <w:sz w:val="24"/>
          <w:szCs w:val="24"/>
          <w:highlight w:val="white"/>
        </w:rPr>
        <w:t xml:space="preserve">, C. K., &amp; </w:t>
      </w:r>
      <w:proofErr w:type="spellStart"/>
      <w:r>
        <w:rPr>
          <w:rFonts w:ascii="Times New Roman" w:eastAsia="Times New Roman" w:hAnsi="Times New Roman" w:cs="Times New Roman"/>
          <w:sz w:val="24"/>
          <w:szCs w:val="24"/>
          <w:highlight w:val="white"/>
        </w:rPr>
        <w:t>Mayoukou</w:t>
      </w:r>
      <w:proofErr w:type="spellEnd"/>
      <w:r>
        <w:rPr>
          <w:rFonts w:ascii="Times New Roman" w:eastAsia="Times New Roman" w:hAnsi="Times New Roman" w:cs="Times New Roman"/>
          <w:sz w:val="24"/>
          <w:szCs w:val="24"/>
          <w:highlight w:val="white"/>
        </w:rPr>
        <w:t xml:space="preserve">, C. (2024). Contribution to the measurement of digital financial inclusion in Sub-Saharan Africa. Borsa Istanbul Review, 24(6), 1227-1247. </w:t>
      </w:r>
      <w:hyperlink r:id="rId31">
        <w:r>
          <w:rPr>
            <w:rFonts w:ascii="Times New Roman" w:eastAsia="Times New Roman" w:hAnsi="Times New Roman" w:cs="Times New Roman"/>
            <w:sz w:val="24"/>
            <w:szCs w:val="24"/>
            <w:highlight w:val="white"/>
            <w:u w:val="single"/>
          </w:rPr>
          <w:t>https://doi.org/10.1016/j.bir.2024.07.007</w:t>
        </w:r>
      </w:hyperlink>
    </w:p>
    <w:p w14:paraId="1F704620"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313F0694"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Meniago</w:t>
      </w:r>
      <w:proofErr w:type="spellEnd"/>
      <w:r>
        <w:rPr>
          <w:rFonts w:ascii="Times New Roman" w:eastAsia="Times New Roman" w:hAnsi="Times New Roman" w:cs="Times New Roman"/>
          <w:sz w:val="24"/>
          <w:szCs w:val="24"/>
          <w:highlight w:val="white"/>
        </w:rPr>
        <w:t xml:space="preserve">, C. (2025). Digital Financial Inclusion and Economic Growth: The Moderating Role of Institutions in SADC Countries. International Journal of Financial Studies, 13(1), 4. </w:t>
      </w:r>
      <w:hyperlink r:id="rId32">
        <w:r>
          <w:rPr>
            <w:rFonts w:ascii="Times New Roman" w:eastAsia="Times New Roman" w:hAnsi="Times New Roman" w:cs="Times New Roman"/>
            <w:sz w:val="24"/>
            <w:szCs w:val="24"/>
            <w:highlight w:val="white"/>
            <w:u w:val="single"/>
          </w:rPr>
          <w:t>https://doi.org/10.3390/ijfs13010004</w:t>
        </w:r>
      </w:hyperlink>
    </w:p>
    <w:p w14:paraId="59EC2425"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53338B1D"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Mugoro</w:t>
      </w:r>
      <w:proofErr w:type="spellEnd"/>
      <w:r>
        <w:rPr>
          <w:rFonts w:ascii="Times New Roman" w:eastAsia="Times New Roman" w:hAnsi="Times New Roman" w:cs="Times New Roman"/>
          <w:sz w:val="24"/>
          <w:szCs w:val="24"/>
          <w:highlight w:val="white"/>
        </w:rPr>
        <w:t xml:space="preserve">, M. M., &amp; </w:t>
      </w:r>
      <w:proofErr w:type="spellStart"/>
      <w:r>
        <w:rPr>
          <w:rFonts w:ascii="Times New Roman" w:eastAsia="Times New Roman" w:hAnsi="Times New Roman" w:cs="Times New Roman"/>
          <w:sz w:val="24"/>
          <w:szCs w:val="24"/>
          <w:highlight w:val="white"/>
        </w:rPr>
        <w:t>Makhura</w:t>
      </w:r>
      <w:proofErr w:type="spellEnd"/>
      <w:r>
        <w:rPr>
          <w:rFonts w:ascii="Times New Roman" w:eastAsia="Times New Roman" w:hAnsi="Times New Roman" w:cs="Times New Roman"/>
          <w:sz w:val="24"/>
          <w:szCs w:val="24"/>
          <w:highlight w:val="white"/>
        </w:rPr>
        <w:t xml:space="preserve">, M. N. (2025). What drives digital finance use in rural Africa? Insights from Ethiopia. Innovation and Development, 1–18. </w:t>
      </w:r>
      <w:hyperlink r:id="rId33">
        <w:r>
          <w:rPr>
            <w:rFonts w:ascii="Times New Roman" w:eastAsia="Times New Roman" w:hAnsi="Times New Roman" w:cs="Times New Roman"/>
            <w:sz w:val="24"/>
            <w:szCs w:val="24"/>
            <w:highlight w:val="white"/>
            <w:u w:val="single"/>
          </w:rPr>
          <w:t>https://doi.org/10.1080/2157930X.2025.2542637</w:t>
        </w:r>
      </w:hyperlink>
    </w:p>
    <w:p w14:paraId="7B6CB20C"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13F76063"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Mwakalila</w:t>
      </w:r>
      <w:proofErr w:type="spellEnd"/>
      <w:r>
        <w:rPr>
          <w:rFonts w:ascii="Times New Roman" w:eastAsia="Times New Roman" w:hAnsi="Times New Roman" w:cs="Times New Roman"/>
          <w:sz w:val="24"/>
          <w:szCs w:val="24"/>
          <w:highlight w:val="white"/>
        </w:rPr>
        <w:t xml:space="preserve">, E., &amp; </w:t>
      </w:r>
      <w:proofErr w:type="spellStart"/>
      <w:r>
        <w:rPr>
          <w:rFonts w:ascii="Times New Roman" w:eastAsia="Times New Roman" w:hAnsi="Times New Roman" w:cs="Times New Roman"/>
          <w:sz w:val="24"/>
          <w:szCs w:val="24"/>
          <w:highlight w:val="white"/>
        </w:rPr>
        <w:t>Kasongwa</w:t>
      </w:r>
      <w:proofErr w:type="spellEnd"/>
      <w:r>
        <w:rPr>
          <w:rFonts w:ascii="Times New Roman" w:eastAsia="Times New Roman" w:hAnsi="Times New Roman" w:cs="Times New Roman"/>
          <w:sz w:val="24"/>
          <w:szCs w:val="24"/>
          <w:highlight w:val="white"/>
        </w:rPr>
        <w:t xml:space="preserve">, L. (2024). The transformative impact of digital financial inclusion among marginalized groups on economic growth. NG Journal of Social Development, 14(1), 135-153. </w:t>
      </w:r>
      <w:hyperlink r:id="rId34">
        <w:r>
          <w:rPr>
            <w:rFonts w:ascii="Times New Roman" w:eastAsia="Times New Roman" w:hAnsi="Times New Roman" w:cs="Times New Roman"/>
            <w:sz w:val="24"/>
            <w:szCs w:val="24"/>
            <w:highlight w:val="white"/>
            <w:u w:val="single"/>
          </w:rPr>
          <w:t>https://doi.org/10.4314/ngjsd.v14i1.10</w:t>
        </w:r>
      </w:hyperlink>
    </w:p>
    <w:p w14:paraId="14396A58"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79B1642B"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Osuma</w:t>
      </w:r>
      <w:proofErr w:type="spellEnd"/>
      <w:r>
        <w:rPr>
          <w:rFonts w:ascii="Times New Roman" w:eastAsia="Times New Roman" w:hAnsi="Times New Roman" w:cs="Times New Roman"/>
          <w:sz w:val="24"/>
          <w:szCs w:val="24"/>
          <w:highlight w:val="white"/>
        </w:rPr>
        <w:t xml:space="preserve">, G. (2025). The impact of financial inclusion on poverty reduction and economic growth in Sub-Saharan Africa: A comparative study of digital financial services. Social Sciences &amp; Humanities Open, 11, 101263. </w:t>
      </w:r>
      <w:hyperlink r:id="rId35">
        <w:r>
          <w:rPr>
            <w:rFonts w:ascii="Times New Roman" w:eastAsia="Times New Roman" w:hAnsi="Times New Roman" w:cs="Times New Roman"/>
            <w:sz w:val="24"/>
            <w:szCs w:val="24"/>
            <w:highlight w:val="white"/>
            <w:u w:val="single"/>
          </w:rPr>
          <w:t>https://doi.org/10.1016/j.ssaho.2024.101263</w:t>
        </w:r>
      </w:hyperlink>
    </w:p>
    <w:p w14:paraId="255CBA49"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71635550"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Siano, A., Raimi, L., Palazzo, M., &amp; Panait, M. C. (2020). Mobile Banking: An Innovative Solution for Increasing Financial Inclusion in Sub-Saharan African Countries: Evidence from Nigeria. Sustainability, 12(23), 10130. </w:t>
      </w:r>
      <w:hyperlink r:id="rId36">
        <w:r>
          <w:rPr>
            <w:rFonts w:ascii="Times New Roman" w:eastAsia="Times New Roman" w:hAnsi="Times New Roman" w:cs="Times New Roman"/>
            <w:sz w:val="24"/>
            <w:szCs w:val="24"/>
            <w:highlight w:val="white"/>
            <w:u w:val="single"/>
          </w:rPr>
          <w:t>https://doi.org/10.3390/su122310130</w:t>
        </w:r>
      </w:hyperlink>
    </w:p>
    <w:p w14:paraId="0ACCD341" w14:textId="77777777" w:rsidR="004433C1" w:rsidRDefault="005804FC">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Sulemana, S., Gyeke-Dako, A., &amp; </w:t>
      </w:r>
      <w:proofErr w:type="spellStart"/>
      <w:r>
        <w:rPr>
          <w:rFonts w:ascii="Times New Roman" w:eastAsia="Times New Roman" w:hAnsi="Times New Roman" w:cs="Times New Roman"/>
          <w:sz w:val="24"/>
          <w:szCs w:val="24"/>
          <w:highlight w:val="white"/>
        </w:rPr>
        <w:t>Akolgo</w:t>
      </w:r>
      <w:proofErr w:type="spellEnd"/>
      <w:r>
        <w:rPr>
          <w:rFonts w:ascii="Times New Roman" w:eastAsia="Times New Roman" w:hAnsi="Times New Roman" w:cs="Times New Roman"/>
          <w:sz w:val="24"/>
          <w:szCs w:val="24"/>
          <w:highlight w:val="white"/>
        </w:rPr>
        <w:t>, P. M. (2025). Digital finance, financial inclusion, and financial resilience in sub-Saharan Africa (APRWPS/2025/01). African Export-Import Bank. https://media.afreximbank.com/afrexim/APRWPS202501_Digital-Finance-Financial-Inclusion-and-Financial-Resilience-in-Sub-Saharan-Africa.pdf</w:t>
      </w:r>
    </w:p>
    <w:p w14:paraId="6ED11B62" w14:textId="77777777" w:rsidR="004433C1" w:rsidRPr="00F97D6C" w:rsidRDefault="005804FC">
      <w:pPr>
        <w:tabs>
          <w:tab w:val="left" w:pos="384"/>
        </w:tabs>
        <w:spacing w:line="360" w:lineRule="auto"/>
        <w:jc w:val="both"/>
        <w:rPr>
          <w:rFonts w:ascii="Times New Roman" w:eastAsia="Times New Roman" w:hAnsi="Times New Roman" w:cs="Times New Roman"/>
          <w:sz w:val="24"/>
          <w:szCs w:val="24"/>
          <w:highlight w:val="white"/>
          <w:lang w:val="nl-BE"/>
        </w:rPr>
      </w:pPr>
      <w:r>
        <w:rPr>
          <w:rFonts w:ascii="Times New Roman" w:eastAsia="Times New Roman" w:hAnsi="Times New Roman" w:cs="Times New Roman"/>
          <w:sz w:val="24"/>
          <w:szCs w:val="24"/>
          <w:highlight w:val="white"/>
        </w:rPr>
        <w:t xml:space="preserve">Tay, L. Y., Tai, H. T., &amp; Tan, G. S. (2022). Digital financial inclusion: A gateway to sustainable development. </w:t>
      </w:r>
      <w:r w:rsidRPr="00F97D6C">
        <w:rPr>
          <w:rFonts w:ascii="Times New Roman" w:eastAsia="Times New Roman" w:hAnsi="Times New Roman" w:cs="Times New Roman"/>
          <w:sz w:val="24"/>
          <w:szCs w:val="24"/>
          <w:highlight w:val="white"/>
          <w:lang w:val="nl-BE"/>
        </w:rPr>
        <w:t xml:space="preserve">Heliyon, 8(6), e09766. </w:t>
      </w:r>
      <w:hyperlink r:id="rId37">
        <w:r w:rsidRPr="00F97D6C">
          <w:rPr>
            <w:rFonts w:ascii="Times New Roman" w:eastAsia="Times New Roman" w:hAnsi="Times New Roman" w:cs="Times New Roman"/>
            <w:sz w:val="24"/>
            <w:szCs w:val="24"/>
            <w:highlight w:val="white"/>
            <w:u w:val="single"/>
            <w:lang w:val="nl-BE"/>
          </w:rPr>
          <w:t>https://doi.org/10.1016/j.heliyon.2022.e09766</w:t>
        </w:r>
      </w:hyperlink>
    </w:p>
    <w:p w14:paraId="67147656" w14:textId="77777777" w:rsidR="004433C1" w:rsidRPr="00F97D6C" w:rsidRDefault="004433C1">
      <w:pPr>
        <w:tabs>
          <w:tab w:val="left" w:pos="384"/>
        </w:tabs>
        <w:spacing w:line="360" w:lineRule="auto"/>
        <w:jc w:val="both"/>
        <w:rPr>
          <w:rFonts w:ascii="Times New Roman" w:eastAsia="Times New Roman" w:hAnsi="Times New Roman" w:cs="Times New Roman"/>
          <w:sz w:val="24"/>
          <w:szCs w:val="24"/>
          <w:highlight w:val="white"/>
          <w:lang w:val="nl-BE"/>
        </w:rPr>
      </w:pPr>
    </w:p>
    <w:p w14:paraId="170CA546"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sidRPr="00F97D6C">
        <w:rPr>
          <w:rFonts w:ascii="Times New Roman" w:eastAsia="Times New Roman" w:hAnsi="Times New Roman" w:cs="Times New Roman"/>
          <w:sz w:val="24"/>
          <w:szCs w:val="24"/>
          <w:highlight w:val="white"/>
          <w:lang w:val="nl-BE"/>
        </w:rPr>
        <w:t xml:space="preserve">Tembo, J., &amp; Okoro, C. (2021). </w:t>
      </w:r>
      <w:r>
        <w:rPr>
          <w:rFonts w:ascii="Times New Roman" w:eastAsia="Times New Roman" w:hAnsi="Times New Roman" w:cs="Times New Roman"/>
          <w:sz w:val="24"/>
          <w:szCs w:val="24"/>
          <w:highlight w:val="white"/>
        </w:rPr>
        <w:t xml:space="preserve">Mobile money and regional financial integration: Evidence from sub-Saharan Africa. Journal of Economic and Financial Sciences, 14(1), 13. </w:t>
      </w:r>
      <w:hyperlink r:id="rId38">
        <w:r>
          <w:rPr>
            <w:rFonts w:ascii="Times New Roman" w:eastAsia="Times New Roman" w:hAnsi="Times New Roman" w:cs="Times New Roman"/>
            <w:sz w:val="24"/>
            <w:szCs w:val="24"/>
            <w:highlight w:val="white"/>
            <w:u w:val="single"/>
          </w:rPr>
          <w:t>https://doi.org/10.4102/jef.v14i1.655</w:t>
        </w:r>
      </w:hyperlink>
    </w:p>
    <w:p w14:paraId="5B2D34B6"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704C127D"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Tiony</w:t>
      </w:r>
      <w:proofErr w:type="spellEnd"/>
      <w:r>
        <w:rPr>
          <w:rFonts w:ascii="Times New Roman" w:eastAsia="Times New Roman" w:hAnsi="Times New Roman" w:cs="Times New Roman"/>
          <w:sz w:val="24"/>
          <w:szCs w:val="24"/>
          <w:highlight w:val="white"/>
        </w:rPr>
        <w:t xml:space="preserve">, O. K. (2023). The impact of digital financial services on financial inclusion in Kenya. American Journal of Industrial and Business Management, 13(6), 593-628. </w:t>
      </w:r>
      <w:hyperlink r:id="rId39">
        <w:r>
          <w:rPr>
            <w:rFonts w:ascii="Times New Roman" w:eastAsia="Times New Roman" w:hAnsi="Times New Roman" w:cs="Times New Roman"/>
            <w:sz w:val="24"/>
            <w:szCs w:val="24"/>
            <w:highlight w:val="white"/>
            <w:u w:val="single"/>
          </w:rPr>
          <w:t>https://doi.org/10.4236/ajibm.2023.136035</w:t>
        </w:r>
      </w:hyperlink>
    </w:p>
    <w:p w14:paraId="316E4696"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6E96C806"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Tiony</w:t>
      </w:r>
      <w:proofErr w:type="spellEnd"/>
      <w:r>
        <w:rPr>
          <w:rFonts w:ascii="Times New Roman" w:eastAsia="Times New Roman" w:hAnsi="Times New Roman" w:cs="Times New Roman"/>
          <w:sz w:val="24"/>
          <w:szCs w:val="24"/>
          <w:highlight w:val="white"/>
        </w:rPr>
        <w:t xml:space="preserve">, O. K. (2024). Financial technology and its role in promoting financial inclusion and economic growth in Kenya. American Journal of Industrial and Business Management, 14(7), 943-968. </w:t>
      </w:r>
      <w:hyperlink r:id="rId40">
        <w:r>
          <w:rPr>
            <w:rFonts w:ascii="Times New Roman" w:eastAsia="Times New Roman" w:hAnsi="Times New Roman" w:cs="Times New Roman"/>
            <w:sz w:val="24"/>
            <w:szCs w:val="24"/>
            <w:highlight w:val="white"/>
            <w:u w:val="single"/>
          </w:rPr>
          <w:t>https://doi.org/10.4236/ajibm.2024.147049</w:t>
        </w:r>
      </w:hyperlink>
    </w:p>
    <w:p w14:paraId="29847EB9"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5AFE5273"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Trotta, A., Gallucci, C., Rania, F., Strano, E., &amp; </w:t>
      </w:r>
      <w:proofErr w:type="spellStart"/>
      <w:r>
        <w:rPr>
          <w:rFonts w:ascii="Times New Roman" w:eastAsia="Times New Roman" w:hAnsi="Times New Roman" w:cs="Times New Roman"/>
          <w:sz w:val="24"/>
          <w:szCs w:val="24"/>
          <w:highlight w:val="white"/>
        </w:rPr>
        <w:t>Tipaldi</w:t>
      </w:r>
      <w:proofErr w:type="spellEnd"/>
      <w:r>
        <w:rPr>
          <w:rFonts w:ascii="Times New Roman" w:eastAsia="Times New Roman" w:hAnsi="Times New Roman" w:cs="Times New Roman"/>
          <w:sz w:val="24"/>
          <w:szCs w:val="24"/>
          <w:highlight w:val="white"/>
        </w:rPr>
        <w:t xml:space="preserve">, R. (2025). The “black box” of digital finance: An umbrella review of the challenges and drawbacks in advancing financial inclusion. Research in International Business and Finance, 103188. </w:t>
      </w:r>
      <w:hyperlink r:id="rId41">
        <w:r>
          <w:rPr>
            <w:rFonts w:ascii="Times New Roman" w:eastAsia="Times New Roman" w:hAnsi="Times New Roman" w:cs="Times New Roman"/>
            <w:sz w:val="24"/>
            <w:szCs w:val="24"/>
            <w:highlight w:val="white"/>
            <w:u w:val="single"/>
          </w:rPr>
          <w:t>https://doi.org/10.1016/j.ribaf.2025.103188</w:t>
        </w:r>
      </w:hyperlink>
    </w:p>
    <w:p w14:paraId="69ADFE69"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5305ECEB"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Tuba, M. D., &amp; </w:t>
      </w:r>
      <w:proofErr w:type="spellStart"/>
      <w:r>
        <w:rPr>
          <w:rFonts w:ascii="Times New Roman" w:eastAsia="Times New Roman" w:hAnsi="Times New Roman" w:cs="Times New Roman"/>
          <w:sz w:val="24"/>
          <w:szCs w:val="24"/>
          <w:highlight w:val="white"/>
        </w:rPr>
        <w:t>Lawack</w:t>
      </w:r>
      <w:proofErr w:type="spellEnd"/>
      <w:r>
        <w:rPr>
          <w:rFonts w:ascii="Times New Roman" w:eastAsia="Times New Roman" w:hAnsi="Times New Roman" w:cs="Times New Roman"/>
          <w:sz w:val="24"/>
          <w:szCs w:val="24"/>
          <w:highlight w:val="white"/>
        </w:rPr>
        <w:t>, V. A. (2023). Towards an international financial inclusion strategy, institutional frameworks and enforcement: Setting regulatory benchmarks for the SADC countries. In Financial inclusion and digital transformation regulatory practices in selected SADC countries: South Africa, Namibia, Botswana and Zimbabwe (pp. 23-56). Cham: Springer International Publishing. https://doi.org/10.1007/978-3-031-23863-5_2</w:t>
      </w:r>
    </w:p>
    <w:p w14:paraId="255EC6FE"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4004CD06"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Udo, U. U., &amp; Jacob, A. O. (2025). Bridging the Gap: Exploring the Role of FinTech in Advancing Financial Inclusion in Nigeria. Management, 13(1), 22-34. </w:t>
      </w:r>
      <w:hyperlink r:id="rId42">
        <w:r>
          <w:rPr>
            <w:rFonts w:ascii="Times New Roman" w:eastAsia="Times New Roman" w:hAnsi="Times New Roman" w:cs="Times New Roman"/>
            <w:sz w:val="24"/>
            <w:szCs w:val="24"/>
            <w:highlight w:val="white"/>
            <w:u w:val="single"/>
          </w:rPr>
          <w:t>https://doi.org/10.26438/wajm/v13i1.2234</w:t>
        </w:r>
      </w:hyperlink>
    </w:p>
    <w:p w14:paraId="133A355A"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3B1D6CD3"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Ugulumu</w:t>
      </w:r>
      <w:proofErr w:type="spellEnd"/>
      <w:r>
        <w:rPr>
          <w:rFonts w:ascii="Times New Roman" w:eastAsia="Times New Roman" w:hAnsi="Times New Roman" w:cs="Times New Roman"/>
          <w:sz w:val="24"/>
          <w:szCs w:val="24"/>
          <w:highlight w:val="white"/>
        </w:rPr>
        <w:t xml:space="preserve">, E., Mpasa, O., &amp; </w:t>
      </w:r>
      <w:proofErr w:type="spellStart"/>
      <w:r>
        <w:rPr>
          <w:rFonts w:ascii="Times New Roman" w:eastAsia="Times New Roman" w:hAnsi="Times New Roman" w:cs="Times New Roman"/>
          <w:sz w:val="24"/>
          <w:szCs w:val="24"/>
          <w:highlight w:val="white"/>
        </w:rPr>
        <w:t>Nestory</w:t>
      </w:r>
      <w:proofErr w:type="spellEnd"/>
      <w:r>
        <w:rPr>
          <w:rFonts w:ascii="Times New Roman" w:eastAsia="Times New Roman" w:hAnsi="Times New Roman" w:cs="Times New Roman"/>
          <w:sz w:val="24"/>
          <w:szCs w:val="24"/>
          <w:highlight w:val="white"/>
        </w:rPr>
        <w:t xml:space="preserve">, M. Y. (2023). Determinants of financial inclusion among women petty traders in Dodoma City. Rural Planning Journal, 25(2), 14-29. </w:t>
      </w:r>
      <w:hyperlink r:id="rId43">
        <w:r>
          <w:rPr>
            <w:rFonts w:ascii="Times New Roman" w:eastAsia="Times New Roman" w:hAnsi="Times New Roman" w:cs="Times New Roman"/>
            <w:sz w:val="24"/>
            <w:szCs w:val="24"/>
            <w:highlight w:val="white"/>
            <w:u w:val="single"/>
          </w:rPr>
          <w:t>https://journals.irdp.ac.tz/index.php/rpj/article/view/37</w:t>
        </w:r>
      </w:hyperlink>
    </w:p>
    <w:p w14:paraId="72E4BE28"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4C5FE6C3"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Vijayagopal</w:t>
      </w:r>
      <w:proofErr w:type="spellEnd"/>
      <w:r>
        <w:rPr>
          <w:rFonts w:ascii="Times New Roman" w:eastAsia="Times New Roman" w:hAnsi="Times New Roman" w:cs="Times New Roman"/>
          <w:sz w:val="24"/>
          <w:szCs w:val="24"/>
          <w:highlight w:val="white"/>
        </w:rPr>
        <w:t xml:space="preserve">, P., Jain, B., &amp; </w:t>
      </w:r>
      <w:proofErr w:type="spellStart"/>
      <w:r>
        <w:rPr>
          <w:rFonts w:ascii="Times New Roman" w:eastAsia="Times New Roman" w:hAnsi="Times New Roman" w:cs="Times New Roman"/>
          <w:sz w:val="24"/>
          <w:szCs w:val="24"/>
          <w:highlight w:val="white"/>
        </w:rPr>
        <w:t>Ayinippully</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Viswanathan</w:t>
      </w:r>
      <w:proofErr w:type="spellEnd"/>
      <w:r>
        <w:rPr>
          <w:rFonts w:ascii="Times New Roman" w:eastAsia="Times New Roman" w:hAnsi="Times New Roman" w:cs="Times New Roman"/>
          <w:sz w:val="24"/>
          <w:szCs w:val="24"/>
          <w:highlight w:val="white"/>
        </w:rPr>
        <w:t xml:space="preserve">, S. (2024). Regulations and Fintech: A Comparative Study of the Developed and Developing Countries. Journal of Risk and Financial Management, 17(8), 324. </w:t>
      </w:r>
      <w:hyperlink r:id="rId44">
        <w:r>
          <w:rPr>
            <w:rFonts w:ascii="Times New Roman" w:eastAsia="Times New Roman" w:hAnsi="Times New Roman" w:cs="Times New Roman"/>
            <w:sz w:val="24"/>
            <w:szCs w:val="24"/>
            <w:highlight w:val="white"/>
            <w:u w:val="single"/>
          </w:rPr>
          <w:t>https://doi.org/10.3390/jrfm17080324</w:t>
        </w:r>
      </w:hyperlink>
    </w:p>
    <w:p w14:paraId="1624A5C7"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16F87C17"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Wachira, G., &amp; Njuguna, A. (2023). Enhancing growth and productivity through mobile money financial technology services: the case of m-</w:t>
      </w:r>
      <w:proofErr w:type="spellStart"/>
      <w:r>
        <w:rPr>
          <w:rFonts w:ascii="Times New Roman" w:eastAsia="Times New Roman" w:hAnsi="Times New Roman" w:cs="Times New Roman"/>
          <w:sz w:val="24"/>
          <w:szCs w:val="24"/>
          <w:highlight w:val="white"/>
        </w:rPr>
        <w:t>pesa</w:t>
      </w:r>
      <w:proofErr w:type="spellEnd"/>
      <w:r>
        <w:rPr>
          <w:rFonts w:ascii="Times New Roman" w:eastAsia="Times New Roman" w:hAnsi="Times New Roman" w:cs="Times New Roman"/>
          <w:sz w:val="24"/>
          <w:szCs w:val="24"/>
          <w:highlight w:val="white"/>
        </w:rPr>
        <w:t xml:space="preserve"> in </w:t>
      </w:r>
      <w:proofErr w:type="spellStart"/>
      <w:r>
        <w:rPr>
          <w:rFonts w:ascii="Times New Roman" w:eastAsia="Times New Roman" w:hAnsi="Times New Roman" w:cs="Times New Roman"/>
          <w:sz w:val="24"/>
          <w:szCs w:val="24"/>
          <w:highlight w:val="white"/>
        </w:rPr>
        <w:t>kenya</w:t>
      </w:r>
      <w:proofErr w:type="spellEnd"/>
      <w:r>
        <w:rPr>
          <w:rFonts w:ascii="Times New Roman" w:eastAsia="Times New Roman" w:hAnsi="Times New Roman" w:cs="Times New Roman"/>
          <w:sz w:val="24"/>
          <w:szCs w:val="24"/>
          <w:highlight w:val="white"/>
        </w:rPr>
        <w:t xml:space="preserve">. International Journal of Economics and Finance, 15(12), 1-91. </w:t>
      </w:r>
      <w:hyperlink r:id="rId45">
        <w:r>
          <w:rPr>
            <w:rFonts w:ascii="Times New Roman" w:eastAsia="Times New Roman" w:hAnsi="Times New Roman" w:cs="Times New Roman"/>
            <w:sz w:val="24"/>
            <w:szCs w:val="24"/>
            <w:highlight w:val="white"/>
            <w:u w:val="single"/>
          </w:rPr>
          <w:t>https://doi.org/10.5539/ijef.v15n12p91</w:t>
        </w:r>
      </w:hyperlink>
    </w:p>
    <w:p w14:paraId="55BD4C0E"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5A1B9CC9" w14:textId="77777777" w:rsidR="004433C1" w:rsidRDefault="005804FC">
      <w:pPr>
        <w:tabs>
          <w:tab w:val="left" w:pos="384"/>
        </w:tabs>
        <w:spacing w:line="360" w:lineRule="auto"/>
        <w:jc w:val="both"/>
        <w:rPr>
          <w:rFonts w:ascii="Times New Roman" w:eastAsia="Times New Roman" w:hAnsi="Times New Roman" w:cs="Times New Roman"/>
          <w:sz w:val="24"/>
          <w:szCs w:val="24"/>
          <w:highlight w:val="white"/>
        </w:rPr>
      </w:pPr>
      <w:r w:rsidRPr="00F97D6C">
        <w:rPr>
          <w:rFonts w:ascii="Times New Roman" w:eastAsia="Times New Roman" w:hAnsi="Times New Roman" w:cs="Times New Roman"/>
          <w:sz w:val="24"/>
          <w:szCs w:val="24"/>
          <w:highlight w:val="white"/>
          <w:lang w:val="nl-BE"/>
        </w:rPr>
        <w:t xml:space="preserve">Wanzala, R. W., &amp; Obokoh, L. O. (2025). </w:t>
      </w:r>
      <w:r>
        <w:rPr>
          <w:rFonts w:ascii="Times New Roman" w:eastAsia="Times New Roman" w:hAnsi="Times New Roman" w:cs="Times New Roman"/>
          <w:sz w:val="24"/>
          <w:szCs w:val="24"/>
          <w:highlight w:val="white"/>
        </w:rPr>
        <w:t xml:space="preserve">Financial inclusion of the informal sector of marginalized counties in Kenya. Cogent social sciences, 11(1), 2522291. </w:t>
      </w:r>
      <w:hyperlink r:id="rId46">
        <w:r>
          <w:rPr>
            <w:rFonts w:ascii="Times New Roman" w:eastAsia="Times New Roman" w:hAnsi="Times New Roman" w:cs="Times New Roman"/>
            <w:sz w:val="24"/>
            <w:szCs w:val="24"/>
            <w:highlight w:val="white"/>
            <w:u w:val="single"/>
          </w:rPr>
          <w:t>https://doi.org/10.1080/23311886.2025.2522291</w:t>
        </w:r>
      </w:hyperlink>
    </w:p>
    <w:p w14:paraId="705AB3D7" w14:textId="77777777" w:rsidR="004433C1" w:rsidRDefault="004433C1">
      <w:pPr>
        <w:spacing w:line="360" w:lineRule="auto"/>
        <w:rPr>
          <w:rFonts w:ascii="Times New Roman" w:eastAsia="Times New Roman" w:hAnsi="Times New Roman" w:cs="Times New Roman"/>
          <w:sz w:val="24"/>
          <w:szCs w:val="24"/>
          <w:highlight w:val="white"/>
        </w:rPr>
      </w:pPr>
    </w:p>
    <w:p w14:paraId="62B243BA" w14:textId="77777777" w:rsidR="004433C1" w:rsidRDefault="005804F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World Bank. (2024). Financial inclusion in Sub-Saharan Africa—Overview. The Global Findex Database 2025. </w:t>
      </w:r>
      <w:hyperlink r:id="rId47">
        <w:r>
          <w:rPr>
            <w:rFonts w:ascii="Times New Roman" w:eastAsia="Times New Roman" w:hAnsi="Times New Roman" w:cs="Times New Roman"/>
            <w:sz w:val="24"/>
            <w:szCs w:val="24"/>
            <w:highlight w:val="white"/>
            <w:u w:val="single"/>
          </w:rPr>
          <w:t>https://www.worldbank.org/en/publication/globalfindex/brief/financial-inclusion-in-sub-saharan-africa-overview</w:t>
        </w:r>
      </w:hyperlink>
    </w:p>
    <w:p w14:paraId="6BDD23E3" w14:textId="77777777" w:rsidR="004433C1" w:rsidRDefault="004433C1">
      <w:pPr>
        <w:spacing w:line="360" w:lineRule="auto"/>
        <w:rPr>
          <w:rFonts w:ascii="Times New Roman" w:eastAsia="Times New Roman" w:hAnsi="Times New Roman" w:cs="Times New Roman"/>
          <w:sz w:val="24"/>
          <w:szCs w:val="24"/>
          <w:highlight w:val="white"/>
        </w:rPr>
      </w:pPr>
    </w:p>
    <w:p w14:paraId="1DB6BC32" w14:textId="77777777" w:rsidR="004433C1" w:rsidRDefault="005804F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World Bank. (2025). The Global Findex Database 2025: Connectivity and Financial Inclusion in the Digital Economy. </w:t>
      </w:r>
      <w:hyperlink r:id="rId48">
        <w:r>
          <w:rPr>
            <w:rFonts w:ascii="Times New Roman" w:eastAsia="Times New Roman" w:hAnsi="Times New Roman" w:cs="Times New Roman"/>
            <w:sz w:val="24"/>
            <w:szCs w:val="24"/>
            <w:highlight w:val="white"/>
            <w:u w:val="single"/>
          </w:rPr>
          <w:t>https://www.cnbctv18.com/world/financial-inclusion-at-record-high-but-1-3-billion-still-unbanked-world-bank-global-findex-2025-report-19638086.htm</w:t>
        </w:r>
      </w:hyperlink>
    </w:p>
    <w:p w14:paraId="065E800B" w14:textId="77777777" w:rsidR="004433C1" w:rsidRDefault="004433C1">
      <w:pPr>
        <w:tabs>
          <w:tab w:val="left" w:pos="384"/>
        </w:tabs>
        <w:spacing w:line="360" w:lineRule="auto"/>
        <w:jc w:val="both"/>
        <w:rPr>
          <w:rFonts w:ascii="Times New Roman" w:eastAsia="Times New Roman" w:hAnsi="Times New Roman" w:cs="Times New Roman"/>
          <w:sz w:val="24"/>
          <w:szCs w:val="24"/>
          <w:highlight w:val="white"/>
        </w:rPr>
      </w:pPr>
    </w:p>
    <w:p w14:paraId="7262CA1C" w14:textId="77777777" w:rsidR="004433C1" w:rsidRPr="00F97D6C" w:rsidRDefault="005804FC">
      <w:pPr>
        <w:tabs>
          <w:tab w:val="left" w:pos="384"/>
        </w:tabs>
        <w:spacing w:line="360" w:lineRule="auto"/>
        <w:jc w:val="both"/>
        <w:rPr>
          <w:rFonts w:ascii="Times New Roman" w:eastAsia="Times New Roman" w:hAnsi="Times New Roman" w:cs="Times New Roman"/>
          <w:sz w:val="24"/>
          <w:szCs w:val="24"/>
          <w:highlight w:val="white"/>
          <w:lang w:val="nl-BE"/>
        </w:rPr>
      </w:pPr>
      <w:proofErr w:type="spellStart"/>
      <w:r>
        <w:rPr>
          <w:rFonts w:ascii="Times New Roman" w:eastAsia="Times New Roman" w:hAnsi="Times New Roman" w:cs="Times New Roman"/>
          <w:sz w:val="24"/>
          <w:szCs w:val="24"/>
          <w:highlight w:val="white"/>
        </w:rPr>
        <w:t>Yakubu</w:t>
      </w:r>
      <w:proofErr w:type="spellEnd"/>
      <w:r>
        <w:rPr>
          <w:rFonts w:ascii="Times New Roman" w:eastAsia="Times New Roman" w:hAnsi="Times New Roman" w:cs="Times New Roman"/>
          <w:sz w:val="24"/>
          <w:szCs w:val="24"/>
          <w:highlight w:val="white"/>
        </w:rPr>
        <w:t xml:space="preserve"> Hassan </w:t>
      </w:r>
      <w:proofErr w:type="spellStart"/>
      <w:r>
        <w:rPr>
          <w:rFonts w:ascii="Times New Roman" w:eastAsia="Times New Roman" w:hAnsi="Times New Roman" w:cs="Times New Roman"/>
          <w:sz w:val="24"/>
          <w:szCs w:val="24"/>
          <w:highlight w:val="white"/>
        </w:rPr>
        <w:t>Madugbe</w:t>
      </w:r>
      <w:proofErr w:type="spellEnd"/>
      <w:r>
        <w:rPr>
          <w:rFonts w:ascii="Times New Roman" w:eastAsia="Times New Roman" w:hAnsi="Times New Roman" w:cs="Times New Roman"/>
          <w:sz w:val="24"/>
          <w:szCs w:val="24"/>
          <w:highlight w:val="white"/>
        </w:rPr>
        <w:t xml:space="preserve">, Sylvester Monday </w:t>
      </w:r>
      <w:proofErr w:type="spellStart"/>
      <w:r>
        <w:rPr>
          <w:rFonts w:ascii="Times New Roman" w:eastAsia="Times New Roman" w:hAnsi="Times New Roman" w:cs="Times New Roman"/>
          <w:sz w:val="24"/>
          <w:szCs w:val="24"/>
          <w:highlight w:val="white"/>
        </w:rPr>
        <w:t>Onyeoma</w:t>
      </w:r>
      <w:proofErr w:type="spellEnd"/>
      <w:r>
        <w:rPr>
          <w:rFonts w:ascii="Times New Roman" w:eastAsia="Times New Roman" w:hAnsi="Times New Roman" w:cs="Times New Roman"/>
          <w:sz w:val="24"/>
          <w:szCs w:val="24"/>
          <w:highlight w:val="white"/>
        </w:rPr>
        <w:t xml:space="preserve">, Prof. Mercy Ada Anyiwe (2025). The Impact of Fintech- Driven Financial Inclusion on Economic Growth in Nigeria. International Journal of Research and Innovation in Social Science (IJRISS), 9(15), 924-933. </w:t>
      </w:r>
      <w:hyperlink r:id="rId49">
        <w:r w:rsidRPr="00F97D6C">
          <w:rPr>
            <w:rFonts w:ascii="Times New Roman" w:eastAsia="Times New Roman" w:hAnsi="Times New Roman" w:cs="Times New Roman"/>
            <w:sz w:val="24"/>
            <w:szCs w:val="24"/>
            <w:highlight w:val="white"/>
            <w:u w:val="single"/>
            <w:lang w:val="nl-BE"/>
          </w:rPr>
          <w:t>https://doi.org/https://dx.doi.org/10.47772/IJRISS.2025.915EC0069</w:t>
        </w:r>
      </w:hyperlink>
    </w:p>
    <w:p w14:paraId="52F08324" w14:textId="77777777" w:rsidR="004433C1" w:rsidRPr="00F97D6C" w:rsidRDefault="004433C1">
      <w:pPr>
        <w:spacing w:line="360" w:lineRule="auto"/>
        <w:rPr>
          <w:rFonts w:ascii="Times New Roman" w:eastAsia="Times New Roman" w:hAnsi="Times New Roman" w:cs="Times New Roman"/>
          <w:sz w:val="24"/>
          <w:szCs w:val="24"/>
          <w:highlight w:val="white"/>
          <w:lang w:val="nl-BE"/>
        </w:rPr>
      </w:pPr>
    </w:p>
    <w:p w14:paraId="6FE3D65D" w14:textId="77777777" w:rsidR="004433C1" w:rsidRDefault="005804FC">
      <w:pPr>
        <w:spacing w:line="360" w:lineRule="auto"/>
        <w:rPr>
          <w:rFonts w:ascii="Times New Roman" w:eastAsia="Times New Roman" w:hAnsi="Times New Roman" w:cs="Times New Roman"/>
          <w:sz w:val="24"/>
          <w:szCs w:val="24"/>
          <w:highlight w:val="white"/>
        </w:rPr>
      </w:pPr>
      <w:r w:rsidRPr="00F97D6C">
        <w:rPr>
          <w:rFonts w:ascii="Times New Roman" w:eastAsia="Times New Roman" w:hAnsi="Times New Roman" w:cs="Times New Roman"/>
          <w:sz w:val="24"/>
          <w:szCs w:val="24"/>
          <w:highlight w:val="white"/>
          <w:lang w:val="nl-BE"/>
        </w:rPr>
        <w:t xml:space="preserve">Zou, X., Dai, W., &amp; Meng, S. (2024). </w:t>
      </w:r>
      <w:r>
        <w:rPr>
          <w:rFonts w:ascii="Times New Roman" w:eastAsia="Times New Roman" w:hAnsi="Times New Roman" w:cs="Times New Roman"/>
          <w:sz w:val="24"/>
          <w:szCs w:val="24"/>
          <w:highlight w:val="white"/>
        </w:rPr>
        <w:t xml:space="preserve">The Impacts of Digital Finance on Economic Resilience. Sustainability, 16(17), 7305. </w:t>
      </w:r>
      <w:hyperlink r:id="rId50">
        <w:r>
          <w:rPr>
            <w:rFonts w:ascii="Times New Roman" w:eastAsia="Times New Roman" w:hAnsi="Times New Roman" w:cs="Times New Roman"/>
            <w:sz w:val="24"/>
            <w:szCs w:val="24"/>
            <w:highlight w:val="white"/>
            <w:u w:val="single"/>
          </w:rPr>
          <w:t>https://doi.org/10.3390/su16177305</w:t>
        </w:r>
      </w:hyperlink>
    </w:p>
    <w:p w14:paraId="12A3A945" w14:textId="77777777" w:rsidR="004433C1" w:rsidRDefault="004433C1">
      <w:pPr>
        <w:spacing w:before="240" w:after="240" w:line="360" w:lineRule="auto"/>
        <w:jc w:val="both"/>
        <w:rPr>
          <w:rFonts w:ascii="Times New Roman" w:eastAsia="Times New Roman" w:hAnsi="Times New Roman" w:cs="Times New Roman"/>
          <w:sz w:val="24"/>
          <w:szCs w:val="24"/>
          <w:highlight w:val="white"/>
        </w:rPr>
      </w:pPr>
    </w:p>
    <w:p w14:paraId="2BA17CBB" w14:textId="77777777" w:rsidR="004433C1" w:rsidRDefault="004433C1">
      <w:pPr>
        <w:spacing w:before="240" w:after="240" w:line="360" w:lineRule="auto"/>
        <w:jc w:val="both"/>
        <w:rPr>
          <w:rFonts w:ascii="Times New Roman" w:eastAsia="Times New Roman" w:hAnsi="Times New Roman" w:cs="Times New Roman"/>
          <w:sz w:val="24"/>
          <w:szCs w:val="24"/>
          <w:highlight w:val="white"/>
        </w:rPr>
      </w:pPr>
    </w:p>
    <w:p w14:paraId="6D3AE267" w14:textId="77777777" w:rsidR="004433C1" w:rsidRDefault="004433C1">
      <w:pPr>
        <w:spacing w:before="240" w:after="240" w:line="360" w:lineRule="auto"/>
        <w:jc w:val="both"/>
        <w:rPr>
          <w:rFonts w:ascii="Times New Roman" w:eastAsia="Times New Roman" w:hAnsi="Times New Roman" w:cs="Times New Roman"/>
          <w:sz w:val="24"/>
          <w:szCs w:val="24"/>
          <w:highlight w:val="white"/>
        </w:rPr>
      </w:pPr>
    </w:p>
    <w:p w14:paraId="070C8CC5" w14:textId="77777777" w:rsidR="004433C1" w:rsidRDefault="004433C1">
      <w:pPr>
        <w:spacing w:before="240" w:after="240" w:line="360" w:lineRule="auto"/>
        <w:jc w:val="both"/>
        <w:rPr>
          <w:rFonts w:ascii="Times New Roman" w:eastAsia="Times New Roman" w:hAnsi="Times New Roman" w:cs="Times New Roman"/>
          <w:sz w:val="24"/>
          <w:szCs w:val="24"/>
          <w:highlight w:val="white"/>
        </w:rPr>
      </w:pPr>
    </w:p>
    <w:p w14:paraId="07812515" w14:textId="77777777" w:rsidR="004433C1" w:rsidRDefault="004433C1"/>
    <w:sectPr w:rsidR="004433C1">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61F4C" w14:textId="77777777" w:rsidR="00DF7963" w:rsidRDefault="00DF7963">
      <w:pPr>
        <w:spacing w:line="240" w:lineRule="auto"/>
      </w:pPr>
      <w:r>
        <w:separator/>
      </w:r>
    </w:p>
  </w:endnote>
  <w:endnote w:type="continuationSeparator" w:id="0">
    <w:p w14:paraId="27CCF209" w14:textId="77777777" w:rsidR="00DF7963" w:rsidRDefault="00DF79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9834C08-BA8E-4FAB-A5C9-E775DD96E573}"/>
  </w:font>
  <w:font w:name="Calibri">
    <w:panose1 w:val="020F0502020204030204"/>
    <w:charset w:val="00"/>
    <w:family w:val="swiss"/>
    <w:pitch w:val="variable"/>
    <w:sig w:usb0="E4002EFF" w:usb1="C000247B" w:usb2="00000009" w:usb3="00000000" w:csb0="000001FF" w:csb1="00000000"/>
    <w:embedRegular r:id="rId2" w:fontKey="{770D2B03-56FA-4EDC-8988-C6017CE3206D}"/>
  </w:font>
  <w:font w:name="Cambria">
    <w:panose1 w:val="02040503050406030204"/>
    <w:charset w:val="00"/>
    <w:family w:val="roman"/>
    <w:pitch w:val="variable"/>
    <w:sig w:usb0="E00006FF" w:usb1="420024FF" w:usb2="02000000" w:usb3="00000000" w:csb0="0000019F" w:csb1="00000000"/>
    <w:embedRegular r:id="rId3" w:fontKey="{417F177C-8D9F-4578-89A5-E5FA4854C7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69B0D" w14:textId="77777777" w:rsidR="004433C1" w:rsidRDefault="004433C1">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A2D2" w14:textId="77777777" w:rsidR="004433C1" w:rsidRDefault="004433C1">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04255" w14:textId="77777777" w:rsidR="004433C1" w:rsidRDefault="004433C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D68BE" w14:textId="77777777" w:rsidR="00DF7963" w:rsidRDefault="00DF7963">
      <w:pPr>
        <w:spacing w:line="240" w:lineRule="auto"/>
      </w:pPr>
      <w:r>
        <w:separator/>
      </w:r>
    </w:p>
  </w:footnote>
  <w:footnote w:type="continuationSeparator" w:id="0">
    <w:p w14:paraId="60D9918C" w14:textId="77777777" w:rsidR="00DF7963" w:rsidRDefault="00DF796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E9898" w14:textId="77777777" w:rsidR="004433C1" w:rsidRDefault="00DF7963">
    <w:pPr>
      <w:pBdr>
        <w:top w:val="nil"/>
        <w:left w:val="nil"/>
        <w:bottom w:val="nil"/>
        <w:right w:val="nil"/>
        <w:between w:val="nil"/>
      </w:pBdr>
      <w:tabs>
        <w:tab w:val="center" w:pos="4680"/>
        <w:tab w:val="right" w:pos="9360"/>
      </w:tabs>
      <w:spacing w:line="240" w:lineRule="auto"/>
      <w:rPr>
        <w:color w:val="000000"/>
      </w:rPr>
    </w:pPr>
    <w:r>
      <w:rPr>
        <w:color w:val="000000"/>
      </w:rPr>
      <w:pict w14:anchorId="64008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6B570" w14:textId="77777777" w:rsidR="004433C1" w:rsidRDefault="00DF7963">
    <w:pPr>
      <w:pBdr>
        <w:top w:val="nil"/>
        <w:left w:val="nil"/>
        <w:bottom w:val="nil"/>
        <w:right w:val="nil"/>
        <w:between w:val="nil"/>
      </w:pBdr>
      <w:tabs>
        <w:tab w:val="center" w:pos="4680"/>
        <w:tab w:val="right" w:pos="9360"/>
      </w:tabs>
      <w:spacing w:line="240" w:lineRule="auto"/>
      <w:rPr>
        <w:color w:val="000000"/>
      </w:rPr>
    </w:pPr>
    <w:r>
      <w:rPr>
        <w:color w:val="000000"/>
      </w:rPr>
      <w:pict w14:anchorId="0445D3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3BFB8" w14:textId="77777777" w:rsidR="004433C1" w:rsidRDefault="00DF7963">
    <w:pPr>
      <w:pBdr>
        <w:top w:val="nil"/>
        <w:left w:val="nil"/>
        <w:bottom w:val="nil"/>
        <w:right w:val="nil"/>
        <w:between w:val="nil"/>
      </w:pBdr>
      <w:tabs>
        <w:tab w:val="center" w:pos="4680"/>
        <w:tab w:val="right" w:pos="9360"/>
      </w:tabs>
      <w:spacing w:line="240" w:lineRule="auto"/>
      <w:rPr>
        <w:color w:val="000000"/>
      </w:rPr>
    </w:pPr>
    <w:r>
      <w:rPr>
        <w:color w:val="000000"/>
      </w:rPr>
      <w:pict w14:anchorId="05C11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F1EE4"/>
    <w:multiLevelType w:val="multilevel"/>
    <w:tmpl w:val="7C52F2A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69F212B"/>
    <w:multiLevelType w:val="multilevel"/>
    <w:tmpl w:val="2D208A6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43D21FB3"/>
    <w:multiLevelType w:val="multilevel"/>
    <w:tmpl w:val="86142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4713B0A"/>
    <w:multiLevelType w:val="multilevel"/>
    <w:tmpl w:val="39526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A652E0B"/>
    <w:multiLevelType w:val="multilevel"/>
    <w:tmpl w:val="10201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3C1"/>
    <w:rsid w:val="004433C1"/>
    <w:rsid w:val="005804FC"/>
    <w:rsid w:val="009A760E"/>
    <w:rsid w:val="00DA11E8"/>
    <w:rsid w:val="00DA5C07"/>
    <w:rsid w:val="00DF7963"/>
    <w:rsid w:val="00E17DBB"/>
    <w:rsid w:val="00F97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1F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character" w:styleId="Hyperlink">
    <w:name w:val="Hyperlink"/>
    <w:basedOn w:val="DefaultParagraphFont"/>
    <w:uiPriority w:val="99"/>
    <w:unhideWhenUsed/>
    <w:rsid w:val="00A469F1"/>
    <w:rPr>
      <w:color w:val="0000FF" w:themeColor="hyperlink"/>
      <w:u w:val="single"/>
    </w:rPr>
  </w:style>
  <w:style w:type="character" w:customStyle="1" w:styleId="UnresolvedMention">
    <w:name w:val="Unresolved Mention"/>
    <w:basedOn w:val="DefaultParagraphFont"/>
    <w:uiPriority w:val="99"/>
    <w:semiHidden/>
    <w:unhideWhenUsed/>
    <w:rsid w:val="00A469F1"/>
    <w:rPr>
      <w:color w:val="605E5C"/>
      <w:shd w:val="clear" w:color="auto" w:fill="E1DFDD"/>
    </w:rPr>
  </w:style>
  <w:style w:type="paragraph" w:styleId="Header">
    <w:name w:val="header"/>
    <w:basedOn w:val="Normal"/>
    <w:link w:val="HeaderChar"/>
    <w:uiPriority w:val="99"/>
    <w:unhideWhenUsed/>
    <w:rsid w:val="001B1A7D"/>
    <w:pPr>
      <w:tabs>
        <w:tab w:val="center" w:pos="4680"/>
        <w:tab w:val="right" w:pos="9360"/>
      </w:tabs>
      <w:spacing w:line="240" w:lineRule="auto"/>
    </w:pPr>
  </w:style>
  <w:style w:type="character" w:customStyle="1" w:styleId="HeaderChar">
    <w:name w:val="Header Char"/>
    <w:basedOn w:val="DefaultParagraphFont"/>
    <w:link w:val="Header"/>
    <w:uiPriority w:val="99"/>
    <w:rsid w:val="001B1A7D"/>
  </w:style>
  <w:style w:type="paragraph" w:styleId="Footer">
    <w:name w:val="footer"/>
    <w:basedOn w:val="Normal"/>
    <w:link w:val="FooterChar"/>
    <w:uiPriority w:val="99"/>
    <w:unhideWhenUsed/>
    <w:rsid w:val="001B1A7D"/>
    <w:pPr>
      <w:tabs>
        <w:tab w:val="center" w:pos="4680"/>
        <w:tab w:val="right" w:pos="9360"/>
      </w:tabs>
      <w:spacing w:line="240" w:lineRule="auto"/>
    </w:pPr>
  </w:style>
  <w:style w:type="character" w:customStyle="1" w:styleId="FooterChar">
    <w:name w:val="Footer Char"/>
    <w:basedOn w:val="DefaultParagraphFont"/>
    <w:link w:val="Footer"/>
    <w:uiPriority w:val="99"/>
    <w:rsid w:val="001B1A7D"/>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DA11E8"/>
    <w:pPr>
      <w:ind w:left="720"/>
      <w:contextualSpacing/>
    </w:pPr>
  </w:style>
  <w:style w:type="paragraph" w:styleId="BalloonText">
    <w:name w:val="Balloon Text"/>
    <w:basedOn w:val="Normal"/>
    <w:link w:val="BalloonTextChar"/>
    <w:uiPriority w:val="99"/>
    <w:semiHidden/>
    <w:unhideWhenUsed/>
    <w:rsid w:val="00DA11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character" w:styleId="Hyperlink">
    <w:name w:val="Hyperlink"/>
    <w:basedOn w:val="DefaultParagraphFont"/>
    <w:uiPriority w:val="99"/>
    <w:unhideWhenUsed/>
    <w:rsid w:val="00A469F1"/>
    <w:rPr>
      <w:color w:val="0000FF" w:themeColor="hyperlink"/>
      <w:u w:val="single"/>
    </w:rPr>
  </w:style>
  <w:style w:type="character" w:customStyle="1" w:styleId="UnresolvedMention">
    <w:name w:val="Unresolved Mention"/>
    <w:basedOn w:val="DefaultParagraphFont"/>
    <w:uiPriority w:val="99"/>
    <w:semiHidden/>
    <w:unhideWhenUsed/>
    <w:rsid w:val="00A469F1"/>
    <w:rPr>
      <w:color w:val="605E5C"/>
      <w:shd w:val="clear" w:color="auto" w:fill="E1DFDD"/>
    </w:rPr>
  </w:style>
  <w:style w:type="paragraph" w:styleId="Header">
    <w:name w:val="header"/>
    <w:basedOn w:val="Normal"/>
    <w:link w:val="HeaderChar"/>
    <w:uiPriority w:val="99"/>
    <w:unhideWhenUsed/>
    <w:rsid w:val="001B1A7D"/>
    <w:pPr>
      <w:tabs>
        <w:tab w:val="center" w:pos="4680"/>
        <w:tab w:val="right" w:pos="9360"/>
      </w:tabs>
      <w:spacing w:line="240" w:lineRule="auto"/>
    </w:pPr>
  </w:style>
  <w:style w:type="character" w:customStyle="1" w:styleId="HeaderChar">
    <w:name w:val="Header Char"/>
    <w:basedOn w:val="DefaultParagraphFont"/>
    <w:link w:val="Header"/>
    <w:uiPriority w:val="99"/>
    <w:rsid w:val="001B1A7D"/>
  </w:style>
  <w:style w:type="paragraph" w:styleId="Footer">
    <w:name w:val="footer"/>
    <w:basedOn w:val="Normal"/>
    <w:link w:val="FooterChar"/>
    <w:uiPriority w:val="99"/>
    <w:unhideWhenUsed/>
    <w:rsid w:val="001B1A7D"/>
    <w:pPr>
      <w:tabs>
        <w:tab w:val="center" w:pos="4680"/>
        <w:tab w:val="right" w:pos="9360"/>
      </w:tabs>
      <w:spacing w:line="240" w:lineRule="auto"/>
    </w:pPr>
  </w:style>
  <w:style w:type="character" w:customStyle="1" w:styleId="FooterChar">
    <w:name w:val="Footer Char"/>
    <w:basedOn w:val="DefaultParagraphFont"/>
    <w:link w:val="Footer"/>
    <w:uiPriority w:val="99"/>
    <w:rsid w:val="001B1A7D"/>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DA11E8"/>
    <w:pPr>
      <w:ind w:left="720"/>
      <w:contextualSpacing/>
    </w:pPr>
  </w:style>
  <w:style w:type="paragraph" w:styleId="BalloonText">
    <w:name w:val="Balloon Text"/>
    <w:basedOn w:val="Normal"/>
    <w:link w:val="BalloonTextChar"/>
    <w:uiPriority w:val="99"/>
    <w:semiHidden/>
    <w:unhideWhenUsed/>
    <w:rsid w:val="00DA11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1093/jamia/ocac249" TargetMode="External"/><Relationship Id="rId18" Type="http://schemas.openxmlformats.org/officeDocument/2006/relationships/hyperlink" Target="https://doi.org/10.53982/ajsd.2025.1701.13-j" TargetMode="External"/><Relationship Id="rId26" Type="http://schemas.openxmlformats.org/officeDocument/2006/relationships/hyperlink" Target="https://doi.org/10.62154/ajmbr.2025.020.01031" TargetMode="External"/><Relationship Id="rId39" Type="http://schemas.openxmlformats.org/officeDocument/2006/relationships/hyperlink" Target="https://doi.org/10.4236/ajibm.2023.136035" TargetMode="External"/><Relationship Id="rId21" Type="http://schemas.openxmlformats.org/officeDocument/2006/relationships/hyperlink" Target="https://doi.org/10.1007/s43621-025-01694-9" TargetMode="External"/><Relationship Id="rId34" Type="http://schemas.openxmlformats.org/officeDocument/2006/relationships/hyperlink" Target="https://doi.org/10.4314/ngjsd.v14i1.10" TargetMode="External"/><Relationship Id="rId42" Type="http://schemas.openxmlformats.org/officeDocument/2006/relationships/hyperlink" Target="https://doi.org/10.26438/wajm/v13i1.2234" TargetMode="External"/><Relationship Id="rId47" Type="http://schemas.openxmlformats.org/officeDocument/2006/relationships/hyperlink" Target="https://www.worldbank.org/en/publication/globalfindex/brief/financial-inclusion-in-sub-saharan-africa-overview" TargetMode="External"/><Relationship Id="rId50" Type="http://schemas.openxmlformats.org/officeDocument/2006/relationships/hyperlink" Target="https://doi.org/10.3390/su16177305" TargetMode="External"/><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i.org/10.1080/1364557032000119616" TargetMode="External"/><Relationship Id="rId29" Type="http://schemas.openxmlformats.org/officeDocument/2006/relationships/hyperlink" Target="https://doi.org/10.47067/real.v7i1.362" TargetMode="External"/><Relationship Id="rId11" Type="http://schemas.openxmlformats.org/officeDocument/2006/relationships/hyperlink" Target="https://doi.org/10.9790/5933-1604040410" TargetMode="External"/><Relationship Id="rId24" Type="http://schemas.openxmlformats.org/officeDocument/2006/relationships/hyperlink" Target="https://doi.org/10.3390/jrfm17010002" TargetMode="External"/><Relationship Id="rId32" Type="http://schemas.openxmlformats.org/officeDocument/2006/relationships/hyperlink" Target="https://doi.org/10.3390/ijfs13010004" TargetMode="External"/><Relationship Id="rId37" Type="http://schemas.openxmlformats.org/officeDocument/2006/relationships/hyperlink" Target="https://doi.org/10.1016/j.heliyon.2022.e09766" TargetMode="External"/><Relationship Id="rId40" Type="http://schemas.openxmlformats.org/officeDocument/2006/relationships/hyperlink" Target="https://doi.org/10.4236/ajibm.2024.147049" TargetMode="External"/><Relationship Id="rId45" Type="http://schemas.openxmlformats.org/officeDocument/2006/relationships/hyperlink" Target="https://doi.org/10.5539/ijef.v15n12p91"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s://sbs-software.com/insights/digital-wallets-in-afric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1108/JSIT-01-2020-0010" TargetMode="External"/><Relationship Id="rId22" Type="http://schemas.openxmlformats.org/officeDocument/2006/relationships/hyperlink" Target="https://doi.org/10.1111/rode.12658" TargetMode="External"/><Relationship Id="rId27" Type="http://schemas.openxmlformats.org/officeDocument/2006/relationships/hyperlink" Target="https://doi.org/10.1080/23311886.2025.2590235" TargetMode="External"/><Relationship Id="rId30" Type="http://schemas.openxmlformats.org/officeDocument/2006/relationships/hyperlink" Target="https://doi.org/10.1371/journal.pone.0321630" TargetMode="External"/><Relationship Id="rId35" Type="http://schemas.openxmlformats.org/officeDocument/2006/relationships/hyperlink" Target="https://doi.org/10.1016/j.ssaho.2024.101263" TargetMode="External"/><Relationship Id="rId43" Type="http://schemas.openxmlformats.org/officeDocument/2006/relationships/hyperlink" Target="https://journals.irdp.ac.tz/index.php/rpj/article/view/37" TargetMode="External"/><Relationship Id="rId48" Type="http://schemas.openxmlformats.org/officeDocument/2006/relationships/hyperlink" Target="https://www.cnbctv18.com/world/financial-inclusion-at-record-high-but-1-3-billion-still-unbanked-world-bank-global-findex-2025-report-19638086.htm"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3390/fintech1040027" TargetMode="External"/><Relationship Id="rId17" Type="http://schemas.openxmlformats.org/officeDocument/2006/relationships/hyperlink" Target="https://doi.org/10.1177/0266666921999089" TargetMode="External"/><Relationship Id="rId25" Type="http://schemas.openxmlformats.org/officeDocument/2006/relationships/hyperlink" Target="https://doi.org/10.1016/j.infoecopol.2023.101064" TargetMode="External"/><Relationship Id="rId33" Type="http://schemas.openxmlformats.org/officeDocument/2006/relationships/hyperlink" Target="https://doi.org/10.1080/2157930X.2025.2542637" TargetMode="External"/><Relationship Id="rId38" Type="http://schemas.openxmlformats.org/officeDocument/2006/relationships/hyperlink" Target="https://doi.org/10.4102/jef.v14i1.655" TargetMode="External"/><Relationship Id="rId46" Type="http://schemas.openxmlformats.org/officeDocument/2006/relationships/hyperlink" Target="https://doi.org/10.1080/23311886.2025.2522291" TargetMode="External"/><Relationship Id="rId20" Type="http://schemas.openxmlformats.org/officeDocument/2006/relationships/hyperlink" Target="https://doi.org/10.17159/1727-3781/2021/v24i0a10739" TargetMode="External"/><Relationship Id="rId41" Type="http://schemas.openxmlformats.org/officeDocument/2006/relationships/hyperlink" Target="https://doi.org/10.1016/j.ribaf.2025.103188"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57/s41287-022-00529-x" TargetMode="External"/><Relationship Id="rId23" Type="http://schemas.openxmlformats.org/officeDocument/2006/relationships/hyperlink" Target="https://doi.org/10.3389/fsufs.2024.1448550" TargetMode="External"/><Relationship Id="rId28" Type="http://schemas.openxmlformats.org/officeDocument/2006/relationships/hyperlink" Target="https://doi.org/10.3390/risks12070115" TargetMode="External"/><Relationship Id="rId36" Type="http://schemas.openxmlformats.org/officeDocument/2006/relationships/hyperlink" Target="https://doi.org/10.3390/su122310130" TargetMode="External"/><Relationship Id="rId49" Type="http://schemas.openxmlformats.org/officeDocument/2006/relationships/hyperlink" Target="https://doi.org/https://dx.doi.org/10.47772/IJRISS.2025.915EC0069"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doi.org/10.1016/j.bir.2024.07.007" TargetMode="External"/><Relationship Id="rId44" Type="http://schemas.openxmlformats.org/officeDocument/2006/relationships/hyperlink" Target="https://doi.org/10.3390/jrfm17080324" TargetMode="External"/><Relationship Id="rId5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yoYe04KUW+1hU1HeUd+X84yz7A==">CgMxLjAyDmgucDFpanZqY3l6Z3c5Mg5oLmoxdWVoMTVyd3R6ZjIOaC5seHJyeDl0MmJjemsyDmguNjE2a2lrZWN3dGEzMg5oLnNoZnpub3pobTBhMjIOaC54ZWM5NmU0c2psb28yDmgudzVwZXRtM2xkNnhiMg5oLmgwbDcxazI3cXNqbzIOaC52ajYxaTJ3aWUxa24yDmguYzRlNXF2anltaHB3Mg5oLndkMnBncms5OThwMjIOaC5tZjVnc2NpOGl6eXIyDmguN2Q0bGE4bnFsbDh0Mg5oLnQzZ2dpMnlxbHgyNzINaC5zNDU5NTJxajB2ajIOaC5xOGR1bGtqbDc2NHAyDmguZXoyMjA1ZzM4eXNlMg5oLmg3cHp1NjdsamRwcjIOaC50NzUxY214eXVzd2EyDmgudHBoNGVpaXBjdzkxMg5oLmlnMGl6azZqcDdkMjIOaC5xcnBncWxxNzRoN3EyDmguNXlxczdwcHdmYjJsMg5oLm1vZTRpYnF6ZGg2MTgAciExWS1xNVpfMEY5cXhyOEU3VXF0NFk0OUlXbDZ3WFRie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8647</Words>
  <Characters>49288</Characters>
  <Application>Microsoft Office Word</Application>
  <DocSecurity>0</DocSecurity>
  <Lines>410</Lines>
  <Paragraphs>115</Paragraphs>
  <ScaleCrop>false</ScaleCrop>
  <Company/>
  <LinksUpToDate>false</LinksUpToDate>
  <CharactersWithSpaces>57820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1055</cp:lastModifiedBy>
  <cp:revision>4</cp:revision>
  <dcterms:created xsi:type="dcterms:W3CDTF">2025-12-26T07:46:00Z</dcterms:created>
  <dcterms:modified xsi:type="dcterms:W3CDTF">2025-12-31T10:38:00Z</dcterms:modified>
</cp:coreProperties>
</file>