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B6199" w14:textId="77777777" w:rsidR="00FE234A" w:rsidRPr="00152918" w:rsidRDefault="00FE234A" w:rsidP="00FE234A">
      <w:pPr>
        <w:pStyle w:val="NormalWeb"/>
        <w:jc w:val="center"/>
      </w:pPr>
      <w:r w:rsidRPr="00152918">
        <w:rPr>
          <w:rStyle w:val="Strong"/>
          <w:rFonts w:eastAsiaTheme="majorEastAsia"/>
        </w:rPr>
        <w:t>AN ASSESSMENT OF INFLATION, EXCHANGE RATE, AND POVERTY IN SELECTED WEST AFRICAN COUNTRIES</w:t>
      </w:r>
    </w:p>
    <w:p w14:paraId="557D2D2B" w14:textId="77777777" w:rsidR="00F81AF7" w:rsidRDefault="00F81AF7" w:rsidP="00B40E52">
      <w:pPr>
        <w:spacing w:line="360" w:lineRule="auto"/>
        <w:jc w:val="center"/>
        <w:rPr>
          <w:rFonts w:ascii="Times New Roman" w:hAnsi="Times New Roman" w:cs="Times New Roman"/>
          <w:b/>
          <w:sz w:val="24"/>
          <w:szCs w:val="24"/>
        </w:rPr>
      </w:pPr>
    </w:p>
    <w:p w14:paraId="6E16EE42" w14:textId="77777777" w:rsidR="00F81AF7" w:rsidRDefault="00F81AF7" w:rsidP="00F81AF7">
      <w:pPr>
        <w:spacing w:line="240" w:lineRule="auto"/>
        <w:jc w:val="center"/>
        <w:rPr>
          <w:rFonts w:ascii="Times New Roman" w:hAnsi="Times New Roman" w:cs="Times New Roman"/>
          <w:b/>
          <w:sz w:val="24"/>
          <w:szCs w:val="24"/>
        </w:rPr>
      </w:pPr>
    </w:p>
    <w:p w14:paraId="5B1758A4" w14:textId="327FC769" w:rsidR="00B34608" w:rsidRPr="00152918" w:rsidRDefault="00B34608" w:rsidP="00B34608">
      <w:pPr>
        <w:pStyle w:val="Heading3"/>
        <w:spacing w:line="360" w:lineRule="auto"/>
        <w:jc w:val="center"/>
        <w:rPr>
          <w:sz w:val="24"/>
          <w:szCs w:val="24"/>
        </w:rPr>
      </w:pPr>
      <w:r w:rsidRPr="00152918">
        <w:rPr>
          <w:sz w:val="24"/>
          <w:szCs w:val="24"/>
        </w:rPr>
        <w:t>Abstract</w:t>
      </w:r>
    </w:p>
    <w:p w14:paraId="7F0BB145" w14:textId="77777777" w:rsidR="00602232" w:rsidRPr="00602232" w:rsidRDefault="00602232" w:rsidP="00602232">
      <w:pPr>
        <w:spacing w:before="100" w:beforeAutospacing="1" w:after="100" w:afterAutospacing="1" w:line="360" w:lineRule="auto"/>
        <w:jc w:val="both"/>
        <w:rPr>
          <w:rFonts w:ascii="Times New Roman" w:eastAsia="Times New Roman" w:hAnsi="Times New Roman" w:cs="Times New Roman"/>
          <w:sz w:val="24"/>
          <w:szCs w:val="24"/>
        </w:rPr>
      </w:pPr>
      <w:r w:rsidRPr="00602232">
        <w:rPr>
          <w:rFonts w:ascii="Times New Roman" w:eastAsia="Times New Roman" w:hAnsi="Times New Roman" w:cs="Times New Roman"/>
          <w:sz w:val="24"/>
          <w:szCs w:val="24"/>
        </w:rPr>
        <w:t>This study examines the impact of inflation, exchange rate, and selected macroeconomic variables on poverty in Nigeria, Ghana, Côte d’Ivoire, Senegal, and Liberia over the period 2000–2023. Poverty is proxied by GDP per capita, while the explanatory variables include inflation, exchange rate, government expenditure on social services, money supply, and net exports. To capture both cross-country and country-specific dynamics, the study employs panel data analysis using a fixed effects (Panel Least Squares) model alongside country-specific Ordinary Least Squares (OLS) regressions. The results reveal that inflation and money supply exert a significant negative impact on poverty reduction across the five countries, with particularly strong effects observed in Côte d’Ivoire and Ghana. Government expenditure on social services exhibits a mixed influence, significant in Nigeria and Côte d’Ivoire but insignificant in the remaining countries. These findings revealed the critical role of price stability and sound monetary management in poverty alleviation. The study contributes to the literature by providing updated multi-country evidence on the macroeconomic determinants of poverty in West Africa. It recommends that policymakers prioritize inflation-targeting frameworks, improve the efficiency of social spending, and strengthen macroeconomic stability to achieve sustainable poverty reduction.</w:t>
      </w:r>
    </w:p>
    <w:p w14:paraId="7E9CA5B0" w14:textId="52DC7C3B" w:rsidR="00602232" w:rsidRPr="00602232" w:rsidRDefault="00602232" w:rsidP="00602232">
      <w:pPr>
        <w:spacing w:before="100" w:beforeAutospacing="1" w:after="100" w:afterAutospacing="1" w:line="360" w:lineRule="auto"/>
        <w:rPr>
          <w:rFonts w:ascii="Times New Roman" w:eastAsia="Times New Roman" w:hAnsi="Times New Roman" w:cs="Times New Roman"/>
          <w:sz w:val="24"/>
          <w:szCs w:val="24"/>
        </w:rPr>
      </w:pPr>
      <w:r w:rsidRPr="00602232">
        <w:rPr>
          <w:rFonts w:ascii="Times New Roman" w:eastAsia="Times New Roman" w:hAnsi="Times New Roman" w:cs="Times New Roman"/>
          <w:sz w:val="24"/>
          <w:szCs w:val="24"/>
        </w:rPr>
        <w:t>Keywords:</w:t>
      </w:r>
      <w:r w:rsidRPr="00602232">
        <w:rPr>
          <w:rFonts w:ascii="Times New Roman" w:eastAsia="Times New Roman" w:hAnsi="Times New Roman" w:cs="Times New Roman"/>
          <w:sz w:val="24"/>
          <w:szCs w:val="24"/>
        </w:rPr>
        <w:t xml:space="preserve"> Inflation, Exchange Rate, Poverty Reduction</w:t>
      </w:r>
      <w:r>
        <w:rPr>
          <w:rFonts w:ascii="Times New Roman" w:eastAsia="Times New Roman" w:hAnsi="Times New Roman" w:cs="Times New Roman"/>
          <w:sz w:val="24"/>
          <w:szCs w:val="24"/>
        </w:rPr>
        <w:t>, Panel Data Analysis.</w:t>
      </w:r>
    </w:p>
    <w:p w14:paraId="5A8D5A6E" w14:textId="77777777" w:rsidR="00602232" w:rsidRPr="00602232" w:rsidRDefault="00602232" w:rsidP="00602232">
      <w:pPr>
        <w:spacing w:before="100" w:beforeAutospacing="1" w:after="100" w:afterAutospacing="1" w:line="360" w:lineRule="auto"/>
        <w:rPr>
          <w:rFonts w:ascii="Times New Roman" w:eastAsia="Times New Roman" w:hAnsi="Times New Roman" w:cs="Times New Roman"/>
          <w:sz w:val="24"/>
          <w:szCs w:val="24"/>
        </w:rPr>
      </w:pPr>
    </w:p>
    <w:p w14:paraId="7BD313C9" w14:textId="77777777" w:rsidR="00602232" w:rsidRPr="00602232" w:rsidRDefault="00602232" w:rsidP="00602232">
      <w:pPr>
        <w:spacing w:before="100" w:beforeAutospacing="1" w:after="100" w:afterAutospacing="1" w:line="360" w:lineRule="auto"/>
        <w:rPr>
          <w:rFonts w:ascii="Times New Roman" w:eastAsia="Times New Roman" w:hAnsi="Times New Roman" w:cs="Times New Roman"/>
          <w:sz w:val="24"/>
          <w:szCs w:val="24"/>
        </w:rPr>
      </w:pPr>
    </w:p>
    <w:p w14:paraId="6BAB0073" w14:textId="77777777" w:rsidR="00602232" w:rsidRPr="00602232" w:rsidRDefault="00602232" w:rsidP="00602232">
      <w:pPr>
        <w:spacing w:before="100" w:beforeAutospacing="1" w:after="100" w:afterAutospacing="1" w:line="360" w:lineRule="auto"/>
        <w:rPr>
          <w:rFonts w:ascii="Times New Roman" w:eastAsia="Times New Roman" w:hAnsi="Times New Roman" w:cs="Times New Roman"/>
          <w:sz w:val="24"/>
          <w:szCs w:val="24"/>
        </w:rPr>
      </w:pPr>
    </w:p>
    <w:p w14:paraId="1A3D347D" w14:textId="77777777" w:rsidR="00602232" w:rsidRPr="00602232" w:rsidRDefault="00602232" w:rsidP="00602232">
      <w:pPr>
        <w:spacing w:before="100" w:beforeAutospacing="1" w:after="100" w:afterAutospacing="1" w:line="360" w:lineRule="auto"/>
        <w:rPr>
          <w:rFonts w:ascii="Times New Roman" w:eastAsia="Times New Roman" w:hAnsi="Times New Roman" w:cs="Times New Roman"/>
          <w:sz w:val="24"/>
          <w:szCs w:val="24"/>
        </w:rPr>
      </w:pPr>
    </w:p>
    <w:p w14:paraId="20CC72EC" w14:textId="77777777" w:rsidR="00602232" w:rsidRPr="00602232" w:rsidRDefault="00602232" w:rsidP="00602232">
      <w:pPr>
        <w:spacing w:before="100" w:beforeAutospacing="1" w:after="100" w:afterAutospacing="1" w:line="360" w:lineRule="auto"/>
        <w:rPr>
          <w:rFonts w:ascii="Times New Roman" w:eastAsia="Times New Roman" w:hAnsi="Times New Roman" w:cs="Times New Roman"/>
          <w:sz w:val="24"/>
          <w:szCs w:val="24"/>
        </w:rPr>
      </w:pPr>
    </w:p>
    <w:p w14:paraId="04DE5271" w14:textId="77777777" w:rsidR="00FD310E" w:rsidRDefault="00FD310E" w:rsidP="00F81AF7">
      <w:pPr>
        <w:spacing w:line="240" w:lineRule="auto"/>
        <w:jc w:val="center"/>
        <w:rPr>
          <w:rFonts w:ascii="Times New Roman" w:hAnsi="Times New Roman" w:cs="Times New Roman"/>
          <w:b/>
          <w:sz w:val="24"/>
          <w:szCs w:val="24"/>
        </w:rPr>
      </w:pPr>
    </w:p>
    <w:p w14:paraId="7EB00136" w14:textId="77777777" w:rsidR="00FD310E" w:rsidRDefault="00FD310E" w:rsidP="00F81AF7">
      <w:pPr>
        <w:spacing w:line="240" w:lineRule="auto"/>
        <w:jc w:val="center"/>
        <w:rPr>
          <w:rFonts w:ascii="Times New Roman" w:hAnsi="Times New Roman" w:cs="Times New Roman"/>
          <w:b/>
          <w:sz w:val="24"/>
          <w:szCs w:val="24"/>
        </w:rPr>
      </w:pPr>
    </w:p>
    <w:p w14:paraId="00D10A5A" w14:textId="095E3FE3" w:rsidR="00905A62" w:rsidRPr="00152918" w:rsidRDefault="00905A62" w:rsidP="00905A62">
      <w:pPr>
        <w:spacing w:line="360" w:lineRule="auto"/>
        <w:rPr>
          <w:rFonts w:ascii="Times New Roman" w:hAnsi="Times New Roman" w:cs="Times New Roman"/>
          <w:b/>
          <w:sz w:val="24"/>
          <w:szCs w:val="24"/>
        </w:rPr>
      </w:pPr>
      <w:r w:rsidRPr="00152918">
        <w:rPr>
          <w:rFonts w:ascii="Times New Roman" w:hAnsi="Times New Roman" w:cs="Times New Roman"/>
          <w:b/>
          <w:sz w:val="24"/>
          <w:szCs w:val="24"/>
        </w:rPr>
        <w:t>INTRODUCTION</w:t>
      </w:r>
    </w:p>
    <w:p w14:paraId="6E86C548" w14:textId="77777777" w:rsidR="00905A62" w:rsidRPr="00152918" w:rsidRDefault="00905A62" w:rsidP="00905A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West African countries, known for their cultural diversity and abundance of natural resources, have faced economic difficulties that hinder their development. Key issues, such as inflation, fluctuating exchange rates, and poverty levels, significantly impact the region's social and economic landscape. To promote sustainable growth and development, policymakers, economists, and stakeholders must understand how these factors interact. </w:t>
      </w:r>
    </w:p>
    <w:p w14:paraId="434B49E7" w14:textId="77777777" w:rsidR="00905A62" w:rsidRPr="00152918" w:rsidRDefault="00905A62" w:rsidP="00905A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Inflation, exchange rate volatility, and poverty are key economic issues that significantly influence the development of many West African countries. With economies varying in their openness and dependence on global trade, the region has consistently faced challenges in achieving sustained economic growth. Inflation and exchange rate fluctuations, in particular, have been linked to rising poverty by impacting household incomes, spending patterns, and the overall cost of living (World Bank, 2022).</w:t>
      </w:r>
    </w:p>
    <w:p w14:paraId="3A5EF3C4" w14:textId="77777777" w:rsidR="00905A62" w:rsidRPr="00152918" w:rsidRDefault="00905A62" w:rsidP="00905A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many West African economies, inflation is mainly fueled by external factors such as global commodity price variations and exchange rate fluctuations. This is especially true in countries like Nigeria and Ghana, where oil and mineral exports are crucial to their economies (IMF, 2023). For example, Nigeria, one of Africa's largest oil producers, has repeatedly experienced inflationary pressures, especially during times of sharp declines in global oil prices, which have destabilized the exchange rate. The devaluation of the Nigerian Naira from 2015 to 2017, for instance, led to a spike in inflation and worsened poverty, with low-income households suffering the most (Central Bank of Nigeria, 2020).</w:t>
      </w:r>
    </w:p>
    <w:p w14:paraId="67BA7FAA"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Likewise, Ghana and Côte d'Ivoire, both heavily dependent on agricultural exports such as cocoa, have faced inflationary pressures due to currency depreciation. Exchange rate instability drives up the cost of imports, fueling inflation and reducing the purchasing power of the population, particularly affecting the poor and increasing poverty levels (OECD, 2022). The recurring pattern of inflation and exchange rate fluctuations in these countries highlights the urgent need for strong economic policies to stabilize macroeconomic conditions.</w:t>
      </w:r>
    </w:p>
    <w:p w14:paraId="78C09850" w14:textId="77777777" w:rsidR="00905A62" w:rsidRPr="00152918" w:rsidRDefault="00905A62" w:rsidP="00905A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Economic conditions in selected countries provide a unique perspective on how these factors interrelate and influence socio-economic outcomes in developing nations. For example, Nigeria, the largest economy in Africa, has experienced significant economic growth alongside persistent inflation and exchange rate volatility. The country’s economic performance is often affected by fluctuations in oil prices, which greatly influence inflation and the exchange rate (Central Bank of Nigeria, 2022). Despite its economic potential, Nigeria faces high poverty levels, with nearly 40% of its population living below the poverty line (World Bank, 2023).</w:t>
      </w:r>
    </w:p>
    <w:p w14:paraId="0FA0230F" w14:textId="77777777" w:rsidR="00905A62" w:rsidRPr="00152918" w:rsidRDefault="00905A62" w:rsidP="00905A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Conversely, poverty remains a major challenge in the region, with some countries like Liberia and Senegal experiencing poverty rates as high as 40% (World Bank, 2021). Although global poverty rates have declined in recent decades, West Africa still faces high levels of poverty due to ongoing structural problems, including political instability, corruption, and lack of infrastructure, which worsen economic struggles (UNDP, 2022).</w:t>
      </w:r>
    </w:p>
    <w:p w14:paraId="0D6DC2CE" w14:textId="77777777" w:rsidR="00905A62" w:rsidRPr="00152918" w:rsidRDefault="00905A62" w:rsidP="00905A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 crucial role of inflation and exchange rates in shaping socioeconomic conditions, there is a significant lack of empirical research on their combined effects on poverty across multiple West African countries. While existing studies, such as those by Adom and Amakye (2021) and </w:t>
      </w:r>
      <w:proofErr w:type="spellStart"/>
      <w:r>
        <w:rPr>
          <w:rFonts w:ascii="Times New Roman" w:hAnsi="Times New Roman" w:cs="Times New Roman"/>
          <w:sz w:val="24"/>
          <w:szCs w:val="24"/>
        </w:rPr>
        <w:t>Oyejide</w:t>
      </w:r>
      <w:proofErr w:type="spellEnd"/>
      <w:r>
        <w:rPr>
          <w:rFonts w:ascii="Times New Roman" w:hAnsi="Times New Roman" w:cs="Times New Roman"/>
          <w:sz w:val="24"/>
          <w:szCs w:val="24"/>
        </w:rPr>
        <w:t xml:space="preserve"> (2020), have documented the negative impacts of inflation and currency depreciation on purchasing power, especially among poorer populations, comprehensive research that incorporates these variables and their interactions within West African economies remains limited. This gap in the literature highlights the need for targeted analysis of how inflation and exchange rate movements collectively influence poverty levels in selected West African countries, offering insights for more effective economic policies and poverty reduction strategies.</w:t>
      </w:r>
    </w:p>
    <w:p w14:paraId="438744A8" w14:textId="5A9719FF" w:rsidR="00D22652" w:rsidRPr="00720BE2" w:rsidRDefault="00905A62" w:rsidP="00720B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research aims to examine the relationship between inflation, exchange rate fluctuations, and poverty in select West African nations, namely Nigeria, Ghana, Senegal, Côte d'Ivoire, and Liberia. By analyzing these macroeconomic factors, the study seeks to determine how inflation and exchange rate changes affect poverty levels and identify effective policy measures to address these challenges. Using recent empirical data from international organizations and country-specific economic reports, the study aims to provide recommendations for stabilizing inflation, managing exchange rate volatility, and ultimately reducing poverty in the region.  The rest of the paper is structured as follows. Section 2 covers the conceptual framework, as well as the theoretical and empirical literature on inflation, exchange rates, and poverty. Section 3 </w:t>
      </w:r>
      <w:r>
        <w:rPr>
          <w:rFonts w:ascii="Times New Roman" w:hAnsi="Times New Roman" w:cs="Times New Roman"/>
          <w:sz w:val="24"/>
          <w:szCs w:val="24"/>
        </w:rPr>
        <w:lastRenderedPageBreak/>
        <w:t>discusses the methodology, Section 4 presents the results and discussion, and finally, Section 5 concludes with recommendation</w:t>
      </w:r>
      <w:r w:rsidR="00720BE2">
        <w:rPr>
          <w:rFonts w:ascii="Times New Roman" w:hAnsi="Times New Roman" w:cs="Times New Roman"/>
          <w:sz w:val="24"/>
          <w:szCs w:val="24"/>
        </w:rPr>
        <w:t>.</w:t>
      </w:r>
    </w:p>
    <w:p w14:paraId="3761B88C" w14:textId="79330280" w:rsidR="00905A62" w:rsidRPr="00152918" w:rsidRDefault="00720BE2" w:rsidP="00720BE2">
      <w:pPr>
        <w:spacing w:before="100" w:beforeAutospacing="1" w:after="100" w:afterAutospacing="1" w:line="360" w:lineRule="auto"/>
        <w:jc w:val="center"/>
        <w:rPr>
          <w:rFonts w:ascii="Times New Roman" w:eastAsia="Times New Roman" w:hAnsi="Times New Roman" w:cs="Times New Roman"/>
          <w:b/>
          <w:sz w:val="24"/>
          <w:szCs w:val="24"/>
        </w:rPr>
      </w:pPr>
      <w:r w:rsidRPr="00152918">
        <w:rPr>
          <w:rFonts w:ascii="Times New Roman" w:eastAsia="Times New Roman" w:hAnsi="Times New Roman" w:cs="Times New Roman"/>
          <w:b/>
          <w:sz w:val="24"/>
          <w:szCs w:val="24"/>
        </w:rPr>
        <w:t>LITERATURE REVIEW</w:t>
      </w:r>
    </w:p>
    <w:p w14:paraId="3AF1B2B1" w14:textId="45FD780C" w:rsidR="00905A62" w:rsidRPr="00152918" w:rsidRDefault="00B8728D" w:rsidP="00720BE2">
      <w:pPr>
        <w:spacing w:line="360" w:lineRule="auto"/>
        <w:rPr>
          <w:rFonts w:ascii="Times New Roman" w:hAnsi="Times New Roman" w:cs="Times New Roman"/>
          <w:b/>
          <w:sz w:val="24"/>
          <w:szCs w:val="24"/>
        </w:rPr>
      </w:pPr>
      <w:r w:rsidRPr="00152918">
        <w:rPr>
          <w:rFonts w:ascii="Times New Roman" w:hAnsi="Times New Roman" w:cs="Times New Roman"/>
          <w:b/>
          <w:sz w:val="24"/>
          <w:szCs w:val="24"/>
        </w:rPr>
        <w:t>Theoretical Framework</w:t>
      </w:r>
    </w:p>
    <w:p w14:paraId="6561165A" w14:textId="77777777" w:rsidR="00905A62" w:rsidRPr="00152918" w:rsidRDefault="00905A62" w:rsidP="00905A62">
      <w:pPr>
        <w:spacing w:before="100" w:beforeAutospacing="1" w:after="100" w:afterAutospacing="1"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The theoretical framework for analyzing the relationship between inflation, exchange rates, and poverty in West African countries is grounded in several key economic theories. </w:t>
      </w:r>
      <w:r w:rsidRPr="00152918">
        <w:rPr>
          <w:rFonts w:ascii="Times New Roman" w:eastAsia="Times New Roman" w:hAnsi="Times New Roman" w:cs="Times New Roman"/>
          <w:sz w:val="24"/>
          <w:szCs w:val="24"/>
        </w:rPr>
        <w:t xml:space="preserve">In this section, we </w:t>
      </w:r>
      <w:r>
        <w:rPr>
          <w:rFonts w:ascii="Times New Roman" w:eastAsia="Times New Roman" w:hAnsi="Times New Roman" w:cs="Times New Roman"/>
          <w:sz w:val="24"/>
          <w:szCs w:val="24"/>
        </w:rPr>
        <w:t>analyze</w:t>
      </w:r>
      <w:r w:rsidRPr="00152918">
        <w:rPr>
          <w:rFonts w:ascii="Times New Roman" w:eastAsia="Times New Roman" w:hAnsi="Times New Roman" w:cs="Times New Roman"/>
          <w:sz w:val="24"/>
          <w:szCs w:val="24"/>
        </w:rPr>
        <w:t xml:space="preserve"> various theories on inflation, </w:t>
      </w:r>
      <w:r>
        <w:rPr>
          <w:rFonts w:ascii="Times New Roman" w:eastAsia="Times New Roman" w:hAnsi="Times New Roman" w:cs="Times New Roman"/>
          <w:sz w:val="24"/>
          <w:szCs w:val="24"/>
        </w:rPr>
        <w:t xml:space="preserve">the </w:t>
      </w:r>
      <w:r w:rsidRPr="00152918">
        <w:rPr>
          <w:rFonts w:ascii="Times New Roman" w:eastAsia="Times New Roman" w:hAnsi="Times New Roman" w:cs="Times New Roman"/>
          <w:sz w:val="24"/>
          <w:szCs w:val="24"/>
        </w:rPr>
        <w:t>exchange rate</w:t>
      </w:r>
      <w:r>
        <w:rPr>
          <w:rFonts w:ascii="Times New Roman" w:eastAsia="Times New Roman" w:hAnsi="Times New Roman" w:cs="Times New Roman"/>
          <w:sz w:val="24"/>
          <w:szCs w:val="24"/>
        </w:rPr>
        <w:t>,</w:t>
      </w:r>
      <w:r w:rsidRPr="00152918">
        <w:rPr>
          <w:rFonts w:ascii="Times New Roman" w:eastAsia="Times New Roman" w:hAnsi="Times New Roman" w:cs="Times New Roman"/>
          <w:sz w:val="24"/>
          <w:szCs w:val="24"/>
        </w:rPr>
        <w:t xml:space="preserve"> and poverty. </w:t>
      </w:r>
      <w:r w:rsidRPr="00152918">
        <w:rPr>
          <w:rFonts w:ascii="Times New Roman" w:hAnsi="Times New Roman" w:cs="Times New Roman"/>
          <w:sz w:val="24"/>
          <w:szCs w:val="24"/>
        </w:rPr>
        <w:t xml:space="preserve">These theories provide a foundation for understanding how these variables interact and influence each other. </w:t>
      </w:r>
    </w:p>
    <w:p w14:paraId="58A363AB" w14:textId="77777777" w:rsidR="00905A62" w:rsidRPr="00152918" w:rsidRDefault="00905A62" w:rsidP="00905A62">
      <w:pPr>
        <w:pStyle w:val="Heading3"/>
        <w:spacing w:line="360" w:lineRule="auto"/>
        <w:rPr>
          <w:rStyle w:val="Strong"/>
          <w:b/>
          <w:bCs/>
          <w:sz w:val="24"/>
          <w:szCs w:val="24"/>
        </w:rPr>
      </w:pPr>
      <w:r w:rsidRPr="00152918">
        <w:rPr>
          <w:rStyle w:val="Strong"/>
          <w:b/>
          <w:bCs/>
          <w:sz w:val="24"/>
          <w:szCs w:val="24"/>
        </w:rPr>
        <w:t>The Mundell-Fleming Model (Small Open Economy)</w:t>
      </w:r>
    </w:p>
    <w:p w14:paraId="0F338352" w14:textId="3AD06D4E" w:rsidR="00905A62" w:rsidRPr="00152918" w:rsidRDefault="00905A62" w:rsidP="00905A62">
      <w:pPr>
        <w:spacing w:after="0" w:line="360" w:lineRule="auto"/>
        <w:ind w:firstLine="720"/>
        <w:jc w:val="both"/>
        <w:rPr>
          <w:rFonts w:ascii="Times New Roman" w:hAnsi="Times New Roman" w:cs="Times New Roman"/>
          <w:sz w:val="24"/>
          <w:szCs w:val="24"/>
          <w:lang w:val="en-GB"/>
        </w:rPr>
      </w:pPr>
      <w:r w:rsidRPr="00152918">
        <w:rPr>
          <w:rFonts w:ascii="Times New Roman" w:hAnsi="Times New Roman" w:cs="Times New Roman"/>
          <w:sz w:val="24"/>
          <w:szCs w:val="24"/>
        </w:rPr>
        <w:t>The Mundell- Flemming theory states that an economy cannot simultaneously maintain a fixed exchange rate, free capital movement and an independent monetary policy. The theory as propounded by Robert Mundel in 1962, and modified by Marcus Fleming in 196</w:t>
      </w:r>
      <w:r w:rsidR="006B4950">
        <w:rPr>
          <w:rFonts w:ascii="Times New Roman" w:hAnsi="Times New Roman" w:cs="Times New Roman"/>
          <w:sz w:val="24"/>
          <w:szCs w:val="24"/>
        </w:rPr>
        <w:t>2</w:t>
      </w:r>
      <w:r w:rsidRPr="00152918">
        <w:rPr>
          <w:rFonts w:ascii="Times New Roman" w:hAnsi="Times New Roman" w:cs="Times New Roman"/>
          <w:sz w:val="24"/>
          <w:szCs w:val="24"/>
        </w:rPr>
        <w:t xml:space="preserve"> in a flexible exchange rate regime, </w:t>
      </w:r>
      <w:r w:rsidRPr="00152918">
        <w:rPr>
          <w:rFonts w:ascii="Times New Roman" w:hAnsi="Times New Roman" w:cs="Times New Roman"/>
          <w:sz w:val="24"/>
          <w:szCs w:val="24"/>
          <w:lang w:val="en-GB"/>
        </w:rPr>
        <w:t xml:space="preserve">implies that the behaviour of an economy depends on an exchange rate system that further prompts its movements (fluctuations). The Mundell Flemming theory is an extension of the IS-LM model. However, unlike the traditional IS-LM model which uses interest rate as the determining factor in the interactions of monetary and fiscal policy and their effect on output, the Mundell Flemming model uses the exchange rate as the determinant of output level following the interactions of the goods and money market. The M-F (Mundell Flemming) equations examine the short run fluctuations in a small open economy. It has the equation, </w:t>
      </w:r>
    </w:p>
    <w:p w14:paraId="46419F5B" w14:textId="77777777" w:rsidR="00905A62" w:rsidRPr="00152918" w:rsidRDefault="00905A62" w:rsidP="00905A62">
      <w:pPr>
        <w:spacing w:after="0" w:line="360" w:lineRule="auto"/>
        <w:jc w:val="both"/>
        <w:rPr>
          <w:rFonts w:ascii="Times New Roman" w:hAnsi="Times New Roman" w:cs="Times New Roman"/>
          <w:sz w:val="24"/>
          <w:szCs w:val="24"/>
          <w:lang w:val="en-GB"/>
        </w:rPr>
      </w:pPr>
      <w:r w:rsidRPr="00152918">
        <w:rPr>
          <w:rFonts w:ascii="Times New Roman" w:hAnsi="Times New Roman" w:cs="Times New Roman"/>
          <w:sz w:val="24"/>
          <w:szCs w:val="24"/>
          <w:lang w:val="en-GB"/>
        </w:rPr>
        <w:t xml:space="preserve">Y= C(y-t) + I(r) + G + </w:t>
      </w:r>
      <w:proofErr w:type="spellStart"/>
      <w:r w:rsidRPr="00152918">
        <w:rPr>
          <w:rFonts w:ascii="Times New Roman" w:hAnsi="Times New Roman" w:cs="Times New Roman"/>
          <w:sz w:val="24"/>
          <w:szCs w:val="24"/>
          <w:lang w:val="en-GB"/>
        </w:rPr>
        <w:t>Xn</w:t>
      </w:r>
      <w:proofErr w:type="spellEnd"/>
      <w:r w:rsidRPr="00152918">
        <w:rPr>
          <w:rFonts w:ascii="Times New Roman" w:hAnsi="Times New Roman" w:cs="Times New Roman"/>
          <w:sz w:val="24"/>
          <w:szCs w:val="24"/>
          <w:lang w:val="en-GB"/>
        </w:rPr>
        <w:t>(e)……  ……………………………………</w:t>
      </w:r>
      <w:proofErr w:type="gramStart"/>
      <w:r w:rsidRPr="00152918">
        <w:rPr>
          <w:rFonts w:ascii="Times New Roman" w:hAnsi="Times New Roman" w:cs="Times New Roman"/>
          <w:sz w:val="24"/>
          <w:szCs w:val="24"/>
          <w:lang w:val="en-GB"/>
        </w:rPr>
        <w:t>…..</w:t>
      </w:r>
      <w:proofErr w:type="gramEnd"/>
      <w:r w:rsidRPr="00152918">
        <w:rPr>
          <w:rFonts w:ascii="Times New Roman" w:hAnsi="Times New Roman" w:cs="Times New Roman"/>
          <w:sz w:val="24"/>
          <w:szCs w:val="24"/>
          <w:lang w:val="en-GB"/>
        </w:rPr>
        <w:t>……….……</w:t>
      </w:r>
      <w:proofErr w:type="gramStart"/>
      <w:r w:rsidRPr="00152918">
        <w:rPr>
          <w:rFonts w:ascii="Times New Roman" w:hAnsi="Times New Roman" w:cs="Times New Roman"/>
          <w:sz w:val="24"/>
          <w:szCs w:val="24"/>
          <w:lang w:val="en-GB"/>
        </w:rPr>
        <w:t>….(</w:t>
      </w:r>
      <w:proofErr w:type="gramEnd"/>
      <w:r w:rsidRPr="00152918">
        <w:rPr>
          <w:rFonts w:ascii="Times New Roman" w:hAnsi="Times New Roman" w:cs="Times New Roman"/>
          <w:sz w:val="24"/>
          <w:szCs w:val="24"/>
          <w:lang w:val="en-GB"/>
        </w:rPr>
        <w:t>1)</w:t>
      </w:r>
    </w:p>
    <w:p w14:paraId="5E8B333C" w14:textId="77777777" w:rsidR="00905A62" w:rsidRPr="00152918" w:rsidRDefault="00905A62" w:rsidP="00905A62">
      <w:pPr>
        <w:spacing w:after="0" w:line="360" w:lineRule="auto"/>
        <w:jc w:val="both"/>
        <w:rPr>
          <w:rFonts w:ascii="Times New Roman" w:hAnsi="Times New Roman" w:cs="Times New Roman"/>
          <w:sz w:val="24"/>
          <w:szCs w:val="24"/>
          <w:lang w:val="en-GB"/>
        </w:rPr>
      </w:pPr>
      <w:r w:rsidRPr="00152918">
        <w:rPr>
          <w:rFonts w:ascii="Times New Roman" w:hAnsi="Times New Roman" w:cs="Times New Roman"/>
          <w:sz w:val="24"/>
          <w:szCs w:val="24"/>
          <w:lang w:val="en-GB"/>
        </w:rPr>
        <w:t xml:space="preserve">Where, Y is aggregate income; C is the sum of consumption after tax; I </w:t>
      </w:r>
      <w:proofErr w:type="gramStart"/>
      <w:r w:rsidRPr="00152918">
        <w:rPr>
          <w:rFonts w:ascii="Times New Roman" w:hAnsi="Times New Roman" w:cs="Times New Roman"/>
          <w:sz w:val="24"/>
          <w:szCs w:val="24"/>
          <w:lang w:val="en-GB"/>
        </w:rPr>
        <w:t>is</w:t>
      </w:r>
      <w:proofErr w:type="gramEnd"/>
      <w:r w:rsidRPr="00152918">
        <w:rPr>
          <w:rFonts w:ascii="Times New Roman" w:hAnsi="Times New Roman" w:cs="Times New Roman"/>
          <w:sz w:val="24"/>
          <w:szCs w:val="24"/>
          <w:lang w:val="en-GB"/>
        </w:rPr>
        <w:t xml:space="preserve"> investment as determined by interest rate, G is the level of government expenditure and </w:t>
      </w:r>
      <w:proofErr w:type="spellStart"/>
      <w:r w:rsidRPr="00152918">
        <w:rPr>
          <w:rFonts w:ascii="Times New Roman" w:hAnsi="Times New Roman" w:cs="Times New Roman"/>
          <w:sz w:val="24"/>
          <w:szCs w:val="24"/>
          <w:lang w:val="en-GB"/>
        </w:rPr>
        <w:t>Xn</w:t>
      </w:r>
      <w:proofErr w:type="spellEnd"/>
      <w:r w:rsidRPr="00152918">
        <w:rPr>
          <w:rFonts w:ascii="Times New Roman" w:hAnsi="Times New Roman" w:cs="Times New Roman"/>
          <w:sz w:val="24"/>
          <w:szCs w:val="24"/>
          <w:lang w:val="en-GB"/>
        </w:rPr>
        <w:t xml:space="preserve"> is the export. The Net exports (</w:t>
      </w:r>
      <w:proofErr w:type="spellStart"/>
      <w:r w:rsidRPr="00152918">
        <w:rPr>
          <w:rFonts w:ascii="Times New Roman" w:hAnsi="Times New Roman" w:cs="Times New Roman"/>
          <w:sz w:val="24"/>
          <w:szCs w:val="24"/>
          <w:lang w:val="en-GB"/>
        </w:rPr>
        <w:t>Xn</w:t>
      </w:r>
      <w:proofErr w:type="spellEnd"/>
      <w:r w:rsidRPr="00152918">
        <w:rPr>
          <w:rFonts w:ascii="Times New Roman" w:hAnsi="Times New Roman" w:cs="Times New Roman"/>
          <w:sz w:val="24"/>
          <w:szCs w:val="24"/>
          <w:lang w:val="en-GB"/>
        </w:rPr>
        <w:t>) depend negatively on exchange rate (e) that is, (</w:t>
      </w:r>
      <w:proofErr w:type="spellStart"/>
      <w:r w:rsidRPr="00152918">
        <w:rPr>
          <w:rFonts w:ascii="Times New Roman" w:hAnsi="Times New Roman" w:cs="Times New Roman"/>
          <w:sz w:val="24"/>
          <w:szCs w:val="24"/>
          <w:lang w:val="en-GB"/>
        </w:rPr>
        <w:t>Xn</w:t>
      </w:r>
      <w:proofErr w:type="spellEnd"/>
      <w:r w:rsidRPr="00152918">
        <w:rPr>
          <w:rFonts w:ascii="Times New Roman" w:hAnsi="Times New Roman" w:cs="Times New Roman"/>
          <w:sz w:val="24"/>
          <w:szCs w:val="24"/>
          <w:lang w:val="en-GB"/>
        </w:rPr>
        <w:t xml:space="preserve"> (e) &lt; 0).</w:t>
      </w:r>
    </w:p>
    <w:p w14:paraId="1D396216" w14:textId="0DD84065" w:rsidR="00905A62" w:rsidRPr="00152918" w:rsidRDefault="00905A62" w:rsidP="00905A62">
      <w:pPr>
        <w:spacing w:line="360" w:lineRule="auto"/>
        <w:jc w:val="both"/>
        <w:rPr>
          <w:rFonts w:ascii="Times New Roman" w:hAnsi="Times New Roman" w:cs="Times New Roman"/>
          <w:b/>
          <w:sz w:val="24"/>
          <w:szCs w:val="24"/>
        </w:rPr>
      </w:pPr>
      <w:r w:rsidRPr="00152918">
        <w:rPr>
          <w:rFonts w:ascii="Times New Roman" w:hAnsi="Times New Roman" w:cs="Times New Roman"/>
          <w:b/>
          <w:sz w:val="24"/>
          <w:szCs w:val="24"/>
        </w:rPr>
        <w:tab/>
        <w:t>Empirical</w:t>
      </w:r>
      <w:r w:rsidR="00A54801">
        <w:rPr>
          <w:rFonts w:ascii="Times New Roman" w:hAnsi="Times New Roman" w:cs="Times New Roman"/>
          <w:b/>
          <w:sz w:val="24"/>
          <w:szCs w:val="24"/>
        </w:rPr>
        <w:t xml:space="preserve"> Literature</w:t>
      </w:r>
      <w:r w:rsidRPr="00152918">
        <w:rPr>
          <w:rFonts w:ascii="Times New Roman" w:hAnsi="Times New Roman" w:cs="Times New Roman"/>
          <w:b/>
          <w:sz w:val="24"/>
          <w:szCs w:val="24"/>
        </w:rPr>
        <w:t xml:space="preserve"> </w:t>
      </w:r>
      <w:r w:rsidR="00A54801" w:rsidRPr="00152918">
        <w:rPr>
          <w:rFonts w:ascii="Times New Roman" w:hAnsi="Times New Roman" w:cs="Times New Roman"/>
          <w:b/>
          <w:sz w:val="24"/>
          <w:szCs w:val="24"/>
        </w:rPr>
        <w:t>Review</w:t>
      </w:r>
    </w:p>
    <w:p w14:paraId="3D749EF0"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The relationship between inflation, exchange rates, and poverty in West Africa has been a topic of both economic debate and policy concern. Empirically, this study examined some of the research work in correspond to the direction of our study. Categorized as; country specific and </w:t>
      </w:r>
      <w:r w:rsidRPr="00152918">
        <w:rPr>
          <w:rFonts w:ascii="Times New Roman" w:hAnsi="Times New Roman" w:cs="Times New Roman"/>
          <w:sz w:val="24"/>
          <w:szCs w:val="24"/>
        </w:rPr>
        <w:lastRenderedPageBreak/>
        <w:t xml:space="preserve">others on selected West African countries. For Nigeria, </w:t>
      </w:r>
      <w:r w:rsidRPr="00152918">
        <w:rPr>
          <w:rFonts w:ascii="Times-Roman" w:hAnsi="Times-Roman" w:cs="Times-Roman"/>
          <w:color w:val="000000"/>
          <w:sz w:val="24"/>
          <w:szCs w:val="24"/>
        </w:rPr>
        <w:t>Onuoha (2014) examined the impact of exchange rate variation and inflation on the</w:t>
      </w:r>
      <w:r w:rsidRPr="00152918">
        <w:rPr>
          <w:rFonts w:ascii="Times-Bold" w:hAnsi="Times-Bold" w:cs="Times-Bold"/>
          <w:b/>
          <w:bCs/>
          <w:color w:val="000000"/>
          <w:sz w:val="24"/>
          <w:szCs w:val="24"/>
        </w:rPr>
        <w:t xml:space="preserve"> </w:t>
      </w:r>
      <w:r w:rsidRPr="00152918">
        <w:rPr>
          <w:rFonts w:ascii="Times-Roman" w:hAnsi="Times-Roman" w:cs="Times-Roman"/>
          <w:color w:val="000000"/>
          <w:sz w:val="24"/>
          <w:szCs w:val="24"/>
        </w:rPr>
        <w:t>economic growth of Nigeria. Ordinary Least Square method was adopted to analyze the time series properties of</w:t>
      </w:r>
      <w:r w:rsidRPr="00152918">
        <w:rPr>
          <w:rFonts w:ascii="Times-Bold" w:hAnsi="Times-Bold" w:cs="Times-Bold"/>
          <w:b/>
          <w:bCs/>
          <w:color w:val="000000"/>
          <w:sz w:val="24"/>
          <w:szCs w:val="24"/>
        </w:rPr>
        <w:t xml:space="preserve"> </w:t>
      </w:r>
      <w:r w:rsidRPr="00152918">
        <w:rPr>
          <w:rFonts w:ascii="Times-Roman" w:hAnsi="Times-Roman" w:cs="Times-Roman"/>
          <w:color w:val="000000"/>
          <w:sz w:val="24"/>
          <w:szCs w:val="24"/>
        </w:rPr>
        <w:t>the variables under consideration so as to determine the trend of the variations using annual data set on real</w:t>
      </w:r>
      <w:r w:rsidRPr="00152918">
        <w:rPr>
          <w:rFonts w:ascii="Times-Bold" w:hAnsi="Times-Bold" w:cs="Times-Bold"/>
          <w:b/>
          <w:bCs/>
          <w:color w:val="000000"/>
          <w:sz w:val="24"/>
          <w:szCs w:val="24"/>
        </w:rPr>
        <w:t xml:space="preserve"> </w:t>
      </w:r>
      <w:r w:rsidRPr="00152918">
        <w:rPr>
          <w:rFonts w:ascii="Times-Roman" w:hAnsi="Times-Roman" w:cs="Times-Roman"/>
          <w:color w:val="000000"/>
          <w:sz w:val="24"/>
          <w:szCs w:val="24"/>
        </w:rPr>
        <w:t>GDP and inflation rate spanning from 1980–2010. The empirical analysis revealed that export and import showed a positive relationship but not statistically significant. The coefficient of exchange rate showed a positive relationship and statistically significant with inflation. This is because an increase in the volatility of exchange rate will lead to increase in inflation. Only economic growth recorded a negative relationship. The study contends that while high rate of inflation and inconsistent exchange rates is detrimental to economic growth, moderate and stable inflation rate supplements returns to savers, enhances investment and therefore economic growth of a country. Base their findings, the researcher suggested that macroeconomic policies aimed at enhancing sustainable economic development should not over concentrate at fighting inflation but should on other area of economic development such as factor input productivity and human capital development.</w:t>
      </w:r>
    </w:p>
    <w:p w14:paraId="3E0238D3" w14:textId="77777777" w:rsidR="00905A62"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Likewise, </w:t>
      </w:r>
      <w:proofErr w:type="spellStart"/>
      <w:r>
        <w:rPr>
          <w:rFonts w:ascii="Times New Roman" w:hAnsi="Times New Roman" w:cs="Times New Roman"/>
          <w:sz w:val="24"/>
          <w:szCs w:val="24"/>
        </w:rPr>
        <w:t>Ayanwale</w:t>
      </w:r>
      <w:proofErr w:type="spellEnd"/>
      <w:r>
        <w:rPr>
          <w:rFonts w:ascii="Times New Roman" w:hAnsi="Times New Roman" w:cs="Times New Roman"/>
          <w:sz w:val="24"/>
          <w:szCs w:val="24"/>
        </w:rPr>
        <w:t xml:space="preserve"> and</w:t>
      </w:r>
      <w:r w:rsidRPr="00152918">
        <w:rPr>
          <w:rFonts w:ascii="Times New Roman" w:hAnsi="Times New Roman" w:cs="Times New Roman"/>
          <w:sz w:val="24"/>
          <w:szCs w:val="24"/>
        </w:rPr>
        <w:t xml:space="preserve"> </w:t>
      </w:r>
      <w:proofErr w:type="spellStart"/>
      <w:r w:rsidRPr="00152918">
        <w:rPr>
          <w:rFonts w:ascii="Times New Roman" w:hAnsi="Times New Roman" w:cs="Times New Roman"/>
          <w:sz w:val="24"/>
          <w:szCs w:val="24"/>
        </w:rPr>
        <w:t>Bamiduro</w:t>
      </w:r>
      <w:proofErr w:type="spellEnd"/>
      <w:r w:rsidRPr="00152918">
        <w:rPr>
          <w:rFonts w:ascii="Times New Roman" w:hAnsi="Times New Roman" w:cs="Times New Roman"/>
          <w:sz w:val="24"/>
          <w:szCs w:val="24"/>
        </w:rPr>
        <w:t xml:space="preserve"> (2016) investigated the effects of inflation and exchange rates on poverty levels in Nigeria using an autoregressive distributed lag (ARDL) approach for data from 1990 to 2015. The findings revealed that both inflation and exchange rates have significant positive impacts on poverty levels, with high inflation exacerbating poverty conditions. The authors suggest that stabilization policies are crucial in addressing poverty through managing inflation. Another study by </w:t>
      </w:r>
      <w:proofErr w:type="spellStart"/>
      <w:r w:rsidRPr="00152918">
        <w:rPr>
          <w:rFonts w:ascii="Times New Roman" w:hAnsi="Times New Roman" w:cs="Times New Roman"/>
          <w:sz w:val="24"/>
          <w:szCs w:val="24"/>
        </w:rPr>
        <w:t>Akinbobola</w:t>
      </w:r>
      <w:proofErr w:type="spellEnd"/>
      <w:r w:rsidRPr="00152918">
        <w:rPr>
          <w:rFonts w:ascii="Times New Roman" w:hAnsi="Times New Roman" w:cs="Times New Roman"/>
          <w:sz w:val="24"/>
          <w:szCs w:val="24"/>
        </w:rPr>
        <w:t xml:space="preserve"> &amp; </w:t>
      </w:r>
      <w:proofErr w:type="spellStart"/>
      <w:r w:rsidRPr="00152918">
        <w:rPr>
          <w:rFonts w:ascii="Times New Roman" w:hAnsi="Times New Roman" w:cs="Times New Roman"/>
          <w:sz w:val="24"/>
          <w:szCs w:val="24"/>
        </w:rPr>
        <w:t>Omoju</w:t>
      </w:r>
      <w:proofErr w:type="spellEnd"/>
      <w:r w:rsidRPr="00152918">
        <w:rPr>
          <w:rFonts w:ascii="Times New Roman" w:hAnsi="Times New Roman" w:cs="Times New Roman"/>
          <w:sz w:val="24"/>
          <w:szCs w:val="24"/>
        </w:rPr>
        <w:t xml:space="preserve"> (2018) investigated the effects of exchange rate fluctuations and inflation on poverty in Nigeria from 1981 to 2016 using the Vector Error Correction Model (VECM). The findings suggested that volatility in exchange rates and inflation significantly impacted poverty levels, necessitating a review of monetary policies.</w:t>
      </w:r>
    </w:p>
    <w:p w14:paraId="622CFDAD" w14:textId="33B08C24" w:rsidR="004634E4" w:rsidRDefault="007D28D2" w:rsidP="009E6C22">
      <w:pPr>
        <w:spacing w:line="360" w:lineRule="auto"/>
        <w:jc w:val="both"/>
        <w:rPr>
          <w:rFonts w:ascii="Times New Roman" w:hAnsi="Times New Roman" w:cs="Times New Roman"/>
          <w:sz w:val="24"/>
          <w:szCs w:val="24"/>
        </w:rPr>
      </w:pPr>
      <w:r>
        <w:rPr>
          <w:rFonts w:ascii="Times New Roman" w:hAnsi="Times New Roman" w:cs="Times New Roman"/>
          <w:sz w:val="24"/>
          <w:szCs w:val="24"/>
        </w:rPr>
        <w:t>In a similar study carried out by Akpan (2024) to</w:t>
      </w:r>
      <w:r w:rsidRPr="007D28D2">
        <w:rPr>
          <w:rFonts w:ascii="Times New Roman" w:hAnsi="Times New Roman" w:cs="Times New Roman"/>
          <w:sz w:val="24"/>
          <w:szCs w:val="24"/>
        </w:rPr>
        <w:t xml:space="preserve"> examine</w:t>
      </w:r>
      <w:r w:rsidR="00C425A5">
        <w:rPr>
          <w:rFonts w:ascii="Times New Roman" w:hAnsi="Times New Roman" w:cs="Times New Roman"/>
          <w:sz w:val="24"/>
          <w:szCs w:val="24"/>
        </w:rPr>
        <w:t xml:space="preserve"> </w:t>
      </w:r>
      <w:r w:rsidRPr="007D28D2">
        <w:rPr>
          <w:rFonts w:ascii="Times New Roman" w:hAnsi="Times New Roman" w:cs="Times New Roman"/>
          <w:sz w:val="24"/>
          <w:szCs w:val="24"/>
        </w:rPr>
        <w:t>the effect of government expenditure and poverty reduction in Nigeria using secondary data sourced from the publication of the Central Bank of Nigeria Statistical Bulletin and World Development Indicators from 1981 to 2022. The study employed the Auto-regressive Distributive Lag Model (ARDL) to achieve its objectives.</w:t>
      </w:r>
      <w:r w:rsidR="004634E4">
        <w:rPr>
          <w:rFonts w:ascii="Times New Roman" w:hAnsi="Times New Roman" w:cs="Times New Roman"/>
          <w:sz w:val="24"/>
          <w:szCs w:val="24"/>
        </w:rPr>
        <w:t xml:space="preserve"> </w:t>
      </w:r>
      <w:r w:rsidR="00886388" w:rsidRPr="00886388">
        <w:rPr>
          <w:rFonts w:ascii="Times New Roman" w:hAnsi="Times New Roman" w:cs="Times New Roman"/>
          <w:sz w:val="24"/>
          <w:szCs w:val="24"/>
        </w:rPr>
        <w:t xml:space="preserve">The results of the findings revealed that government spending in building and construction, health have a positive and significant effect on per capita income </w:t>
      </w:r>
      <w:r w:rsidR="004634E4">
        <w:rPr>
          <w:rFonts w:ascii="Times New Roman" w:hAnsi="Times New Roman" w:cs="Times New Roman"/>
          <w:sz w:val="24"/>
          <w:szCs w:val="24"/>
        </w:rPr>
        <w:t xml:space="preserve">hence the </w:t>
      </w:r>
      <w:r w:rsidR="00886388" w:rsidRPr="00886388">
        <w:rPr>
          <w:rFonts w:ascii="Times New Roman" w:hAnsi="Times New Roman" w:cs="Times New Roman"/>
          <w:sz w:val="24"/>
          <w:szCs w:val="24"/>
        </w:rPr>
        <w:t>welfare of Nigeria’s populace.</w:t>
      </w:r>
      <w:r w:rsidR="004634E4">
        <w:rPr>
          <w:rFonts w:ascii="Times New Roman" w:hAnsi="Times New Roman" w:cs="Times New Roman"/>
          <w:sz w:val="24"/>
          <w:szCs w:val="24"/>
        </w:rPr>
        <w:t xml:space="preserve"> Hence the study recommended </w:t>
      </w:r>
      <w:r w:rsidR="005E2147" w:rsidRPr="005E2147">
        <w:rPr>
          <w:rFonts w:ascii="Times New Roman" w:hAnsi="Times New Roman" w:cs="Times New Roman"/>
          <w:sz w:val="24"/>
          <w:szCs w:val="24"/>
        </w:rPr>
        <w:t xml:space="preserve">that government should prioritize investment in infrastructure </w:t>
      </w:r>
      <w:r w:rsidR="005E2147" w:rsidRPr="005E2147">
        <w:rPr>
          <w:rFonts w:ascii="Times New Roman" w:hAnsi="Times New Roman" w:cs="Times New Roman"/>
          <w:sz w:val="24"/>
          <w:szCs w:val="24"/>
        </w:rPr>
        <w:lastRenderedPageBreak/>
        <w:t>projects such as roads, bridges, energy facilities, and public transportation systems</w:t>
      </w:r>
      <w:r w:rsidR="005E2147">
        <w:rPr>
          <w:rFonts w:ascii="Times New Roman" w:hAnsi="Times New Roman" w:cs="Times New Roman"/>
          <w:sz w:val="24"/>
          <w:szCs w:val="24"/>
        </w:rPr>
        <w:t xml:space="preserve"> as it aids in poverty reduction.</w:t>
      </w:r>
    </w:p>
    <w:p w14:paraId="12FE68D3" w14:textId="77777777" w:rsidR="004634E4" w:rsidRDefault="004634E4" w:rsidP="009E6C22">
      <w:pPr>
        <w:spacing w:line="360" w:lineRule="auto"/>
        <w:jc w:val="both"/>
        <w:rPr>
          <w:rFonts w:ascii="Times New Roman" w:hAnsi="Times New Roman" w:cs="Times New Roman"/>
          <w:sz w:val="24"/>
          <w:szCs w:val="24"/>
        </w:rPr>
      </w:pPr>
    </w:p>
    <w:p w14:paraId="31A53455" w14:textId="52EAC117" w:rsidR="009E6C22" w:rsidRPr="009E6C22" w:rsidRDefault="009E6C22" w:rsidP="009E6C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Subsequently, </w:t>
      </w:r>
      <w:r w:rsidRPr="009E6C22">
        <w:rPr>
          <w:rFonts w:ascii="Times New Roman" w:hAnsi="Times New Roman" w:cs="Times New Roman"/>
          <w:sz w:val="24"/>
          <w:szCs w:val="24"/>
        </w:rPr>
        <w:t>Akpan and Udo (2022) conducted a study to investigate how private sector credit affects selected macro-economic variables in Nigeria using annual data from 1981- 2019. The study which was examined in the light of the endogenous growth theory, made used of Vector Autoregressive (VAR) model to model the relationship among variables. The findings of the study revealed that private sector credit had a positive and significant relationship with inflation. Which implies that when credit to private sector increases, aggregate expenditure also increases, leading to a rise in general prices. Based on the findings, the study recommended that government should intervene in the financial market to ensure adequate private sector financing. Though special funding programs in form of business grants and low interest loans</w:t>
      </w:r>
    </w:p>
    <w:p w14:paraId="764AD61C" w14:textId="77777777" w:rsidR="00905A62"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Another work by Ariyo &amp; </w:t>
      </w:r>
      <w:proofErr w:type="spellStart"/>
      <w:r w:rsidRPr="00152918">
        <w:rPr>
          <w:rFonts w:ascii="Times New Roman" w:hAnsi="Times New Roman" w:cs="Times New Roman"/>
          <w:sz w:val="24"/>
          <w:szCs w:val="24"/>
        </w:rPr>
        <w:t>Oyejide</w:t>
      </w:r>
      <w:proofErr w:type="spellEnd"/>
      <w:r w:rsidRPr="00152918">
        <w:rPr>
          <w:rFonts w:ascii="Times New Roman" w:hAnsi="Times New Roman" w:cs="Times New Roman"/>
          <w:sz w:val="24"/>
          <w:szCs w:val="24"/>
        </w:rPr>
        <w:t xml:space="preserve"> (2015) investigated the relationship between inflation, exchange rates, and poverty in Nigeria using panel data from 1980 to 2013. Their findings revealed that inflation significantly contributes to poverty, and they recommended that the government should adopt appropriate monetary policies to control inflation.</w:t>
      </w:r>
    </w:p>
    <w:p w14:paraId="03E7FE9D" w14:textId="3BC6B40C" w:rsidR="008B4510" w:rsidRPr="00152918" w:rsidRDefault="008B4510" w:rsidP="008B4510">
      <w:pPr>
        <w:spacing w:line="360" w:lineRule="auto"/>
        <w:jc w:val="both"/>
        <w:rPr>
          <w:rFonts w:ascii="Times New Roman" w:hAnsi="Times New Roman" w:cs="Times New Roman"/>
          <w:sz w:val="24"/>
          <w:szCs w:val="24"/>
        </w:rPr>
      </w:pPr>
      <w:r>
        <w:rPr>
          <w:rFonts w:ascii="Times New Roman" w:hAnsi="Times New Roman" w:cs="Times New Roman"/>
          <w:sz w:val="24"/>
          <w:szCs w:val="24"/>
        </w:rPr>
        <w:t>Similarly, Akpan &amp; Paul (2020) investigated the e</w:t>
      </w:r>
      <w:r w:rsidRPr="008B4510">
        <w:rPr>
          <w:rFonts w:ascii="Times New Roman" w:hAnsi="Times New Roman" w:cs="Times New Roman"/>
          <w:sz w:val="24"/>
          <w:szCs w:val="24"/>
        </w:rPr>
        <w:t>ffect of exchange rate on Nigeria economic growth over the period of 1988-2018.</w:t>
      </w:r>
      <w:r>
        <w:rPr>
          <w:rFonts w:ascii="Times New Roman" w:hAnsi="Times New Roman" w:cs="Times New Roman"/>
          <w:sz w:val="24"/>
          <w:szCs w:val="24"/>
        </w:rPr>
        <w:t xml:space="preserve"> Using the</w:t>
      </w:r>
      <w:r w:rsidRPr="008B4510">
        <w:rPr>
          <w:rFonts w:ascii="Times New Roman" w:hAnsi="Times New Roman" w:cs="Times New Roman"/>
          <w:sz w:val="24"/>
          <w:szCs w:val="24"/>
        </w:rPr>
        <w:t xml:space="preserve"> Ordinary Least Square (OLS) statistical technique </w:t>
      </w:r>
      <w:r>
        <w:rPr>
          <w:rFonts w:ascii="Times New Roman" w:hAnsi="Times New Roman" w:cs="Times New Roman"/>
          <w:sz w:val="24"/>
          <w:szCs w:val="24"/>
        </w:rPr>
        <w:t xml:space="preserve">to analyzed the time series data gotten from </w:t>
      </w:r>
      <w:r w:rsidRPr="008B4510">
        <w:rPr>
          <w:rFonts w:ascii="Times New Roman" w:hAnsi="Times New Roman" w:cs="Times New Roman"/>
          <w:sz w:val="24"/>
          <w:szCs w:val="24"/>
        </w:rPr>
        <w:t>Central Bank of Nigeria</w:t>
      </w:r>
      <w:r>
        <w:rPr>
          <w:rFonts w:ascii="Times New Roman" w:hAnsi="Times New Roman" w:cs="Times New Roman"/>
          <w:sz w:val="24"/>
          <w:szCs w:val="24"/>
        </w:rPr>
        <w:t xml:space="preserve"> statistical bulletin, the findings revealed that </w:t>
      </w:r>
      <w:r w:rsidR="00A86CE0">
        <w:rPr>
          <w:rFonts w:ascii="Times New Roman" w:hAnsi="Times New Roman" w:cs="Times New Roman"/>
          <w:sz w:val="24"/>
          <w:szCs w:val="24"/>
        </w:rPr>
        <w:t>t</w:t>
      </w:r>
      <w:r w:rsidRPr="008B4510">
        <w:rPr>
          <w:rFonts w:ascii="Times New Roman" w:hAnsi="Times New Roman" w:cs="Times New Roman"/>
          <w:sz w:val="24"/>
          <w:szCs w:val="24"/>
        </w:rPr>
        <w:t>he findings revealed that economic growth is directly related to exchange rate and negatively related to inflation rate and it is also statistically significant at 5% level. Although, there is a positive relationship between exchange rate and a negative relationship between inflation and economic growth. The negative relationship between inflation and economic growth was statistically insignificant. </w:t>
      </w:r>
      <w:r>
        <w:rPr>
          <w:rFonts w:ascii="Times New Roman" w:hAnsi="Times New Roman" w:cs="Times New Roman"/>
          <w:sz w:val="24"/>
          <w:szCs w:val="24"/>
        </w:rPr>
        <w:t>Based</w:t>
      </w:r>
      <w:r w:rsidR="0083691A">
        <w:rPr>
          <w:rFonts w:ascii="Times New Roman" w:hAnsi="Times New Roman" w:cs="Times New Roman"/>
          <w:sz w:val="24"/>
          <w:szCs w:val="24"/>
        </w:rPr>
        <w:t xml:space="preserve"> on the findings the study </w:t>
      </w:r>
      <w:r w:rsidR="0083691A" w:rsidRPr="0083691A">
        <w:rPr>
          <w:rFonts w:ascii="Times New Roman" w:hAnsi="Times New Roman" w:cs="Times New Roman"/>
          <w:sz w:val="24"/>
          <w:szCs w:val="24"/>
        </w:rPr>
        <w:t>recommends that the Central Bank of Nigeria should put in place a strict foreign exchange policy control to ensure that the value of Naira against other currency is properly determine</w:t>
      </w:r>
      <w:r w:rsidR="00B04C18">
        <w:rPr>
          <w:rFonts w:ascii="Times New Roman" w:hAnsi="Times New Roman" w:cs="Times New Roman"/>
          <w:sz w:val="24"/>
          <w:szCs w:val="24"/>
        </w:rPr>
        <w:t xml:space="preserve"> </w:t>
      </w:r>
      <w:r w:rsidR="00AD7C95">
        <w:rPr>
          <w:rFonts w:ascii="Times New Roman" w:hAnsi="Times New Roman" w:cs="Times New Roman"/>
          <w:sz w:val="24"/>
          <w:szCs w:val="24"/>
        </w:rPr>
        <w:t>to</w:t>
      </w:r>
      <w:r w:rsidR="00B04C18">
        <w:rPr>
          <w:rFonts w:ascii="Times New Roman" w:hAnsi="Times New Roman" w:cs="Times New Roman"/>
          <w:sz w:val="24"/>
          <w:szCs w:val="24"/>
        </w:rPr>
        <w:t xml:space="preserve"> aid in citizens welfare.</w:t>
      </w:r>
    </w:p>
    <w:p w14:paraId="3004D9BF"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In the same vein, Essien, Udo, &amp; Abang (2015) analyzed the relationship between inflation and poverty in Ghana from 1990 to 2014 using panel data regression analysis. The study found that rising inflation rates significantly increased poverty levels, underscoring the need for effective </w:t>
      </w:r>
      <w:r w:rsidRPr="00152918">
        <w:rPr>
          <w:rFonts w:ascii="Times New Roman" w:hAnsi="Times New Roman" w:cs="Times New Roman"/>
          <w:sz w:val="24"/>
          <w:szCs w:val="24"/>
        </w:rPr>
        <w:lastRenderedPageBreak/>
        <w:t>inflation-targeting policies to mitigate poverty. Also, Mensah (2017) assessed the impact of inflation on poverty in Ghana from 1992 to 2015. Using a mixed-methods approach, the study revealed that inflation has a direct negative impact on poverty levels. It was recommended that fiscal policies should focus on maintaining price stability.</w:t>
      </w:r>
    </w:p>
    <w:p w14:paraId="45224BAE"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However, for country specific to West African countries, Ndou (2020) conducted a study on the effect of inflation on poverty levels in Senegal from 2000 to 2018 using Ordinary Least Squares and found a strong positive relationship between inflation and poverty. The results indicated that policymakers should focus on controlling inflation to alleviate poverty. Similarly, Dramani (2018) analyzed the influence of inflation and exchange rates on poverty in Senegal using panel data from 1995 to 2016. The results showed that inflation and exchange rates significantly affect poverty levels, and the author recommended the implementation of robust economic policies to stabilize prices.</w:t>
      </w:r>
    </w:p>
    <w:p w14:paraId="4FBE1D23"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A work by Bongo (2017) assessed the impact of inflation and exchange rates on poverty levels in Côte d'Ivoire over the period of 2000–2016. The study employed a fixed-effects model, revealing that both inflation and exchange rates significantly contributed to increased poverty levels. The researcher emphasized the importance of macroeconomic stability in poverty reduction strategies. With the use o</w:t>
      </w:r>
      <w:r>
        <w:rPr>
          <w:rFonts w:ascii="Times New Roman" w:hAnsi="Times New Roman" w:cs="Times New Roman"/>
          <w:sz w:val="24"/>
          <w:szCs w:val="24"/>
        </w:rPr>
        <w:t>f regression analysis, Kouadio and</w:t>
      </w:r>
      <w:r w:rsidRPr="00152918">
        <w:rPr>
          <w:rFonts w:ascii="Times New Roman" w:hAnsi="Times New Roman" w:cs="Times New Roman"/>
          <w:sz w:val="24"/>
          <w:szCs w:val="24"/>
        </w:rPr>
        <w:t xml:space="preserve"> N'Guessan (2022) conducted a study on the impact of inflation and exchange rates on poverty in Côte d'Ivoire from 2000 to 2020. The results indicated a significant positive correlation between inflation and poverty, prompting recommendations for inflation control measures to mitigate poverty levels.</w:t>
      </w:r>
    </w:p>
    <w:p w14:paraId="4B70BA21"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Also, Sossou et al. (2019) explored the link between inflation, economic growth, and poverty in Liberia using data from 2002 to 2017. The study employed a dynamic panel data analysis and found that while inflation negatively impacts economic growth, it also has a direct positive effect on poverty levels. For the same country, Kouassi (2019) investigated how inflation affects poverty in Liberia using data from 2005 to 2017. The study found that inflation has a significant positive correlation with poverty levels, suggesting the need for tighter fiscal controls and inflation management strategies.</w:t>
      </w:r>
    </w:p>
    <w:p w14:paraId="3EA16BD7"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Studies on selected West African done by </w:t>
      </w:r>
      <w:proofErr w:type="spellStart"/>
      <w:r w:rsidRPr="00152918">
        <w:rPr>
          <w:rFonts w:ascii="Times New Roman" w:hAnsi="Times New Roman" w:cs="Times New Roman"/>
          <w:sz w:val="24"/>
          <w:szCs w:val="24"/>
        </w:rPr>
        <w:t>Fadeyibi</w:t>
      </w:r>
      <w:proofErr w:type="spellEnd"/>
      <w:r w:rsidRPr="00152918">
        <w:rPr>
          <w:rFonts w:ascii="Times New Roman" w:hAnsi="Times New Roman" w:cs="Times New Roman"/>
          <w:sz w:val="24"/>
          <w:szCs w:val="24"/>
        </w:rPr>
        <w:t xml:space="preserve"> (2021), examined the impacts of inflation and exchange rates on poverty in Ghana and Nigeria using a comparative analysis for the period 2000-2018. The study found that inflation had a more pronounced effect on poverty in </w:t>
      </w:r>
      <w:r w:rsidRPr="00152918">
        <w:rPr>
          <w:rFonts w:ascii="Times New Roman" w:hAnsi="Times New Roman" w:cs="Times New Roman"/>
          <w:sz w:val="24"/>
          <w:szCs w:val="24"/>
        </w:rPr>
        <w:lastRenderedPageBreak/>
        <w:t>Nigeria than in Ghana, emphasizing the need for tailored policies to address inflation's adverse effects on poverty in both countries. Obi et al. (2020) explored the relationship between inflation, exchange rates, and poverty levels in West African countries, including Nigeria, Ghana, and Senegal. The panel data analysis from 2000 to 2018 showed that inflation significantly affects poverty, emphasizing the importance of macroeconomic stability in poverty alleviation strategies.</w:t>
      </w:r>
    </w:p>
    <w:p w14:paraId="51B2E781" w14:textId="77777777" w:rsidR="00905A62" w:rsidRPr="00152918" w:rsidRDefault="00905A62" w:rsidP="00905A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Mensah and</w:t>
      </w:r>
      <w:r w:rsidRPr="00152918">
        <w:rPr>
          <w:rFonts w:ascii="Times New Roman" w:hAnsi="Times New Roman" w:cs="Times New Roman"/>
          <w:sz w:val="24"/>
          <w:szCs w:val="24"/>
        </w:rPr>
        <w:t xml:space="preserve"> </w:t>
      </w:r>
      <w:proofErr w:type="spellStart"/>
      <w:r w:rsidRPr="00152918">
        <w:rPr>
          <w:rFonts w:ascii="Times New Roman" w:hAnsi="Times New Roman" w:cs="Times New Roman"/>
          <w:sz w:val="24"/>
          <w:szCs w:val="24"/>
        </w:rPr>
        <w:t>Kpessa</w:t>
      </w:r>
      <w:proofErr w:type="spellEnd"/>
      <w:r w:rsidRPr="00152918">
        <w:rPr>
          <w:rFonts w:ascii="Times New Roman" w:hAnsi="Times New Roman" w:cs="Times New Roman"/>
          <w:sz w:val="24"/>
          <w:szCs w:val="24"/>
        </w:rPr>
        <w:t xml:space="preserve"> (2021) assessed the interrelationship between inflation, exchange rates, and poverty in Côte d'Ivoire, Ghana, and Liberia from 2000 to 2019. Their findings indicated that inflation has a detrimental impact on poverty levels, and they advocated for sound economic policies aimed at mitigating inflation's adverse effects. These empirical studies highlight the intricate relationships between inflation, exchange rates, and poverty across various West African nations and provide valuable insights for policymakers.</w:t>
      </w:r>
    </w:p>
    <w:p w14:paraId="576815E1"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In the review of existing literature, it was noticed that most of the existing research often addresses these economic factors in isolation or focuses on specific countries without a comprehensive regional analysis. Also, the analysis periods of some of the studies may not account for more recent developments in inflation, exchange rate and poverty in selected West Africa countries. Thus, this study seeks to fill these gaps by providing a holistic examination of how inflation and exchange rate dynamics affect poverty specifically in Nigeria, Ghana, Cote </w:t>
      </w:r>
      <w:proofErr w:type="spellStart"/>
      <w:r w:rsidRPr="00152918">
        <w:rPr>
          <w:rFonts w:ascii="Times New Roman" w:hAnsi="Times New Roman" w:cs="Times New Roman"/>
          <w:sz w:val="24"/>
          <w:szCs w:val="24"/>
        </w:rPr>
        <w:t>D’Ivore</w:t>
      </w:r>
      <w:proofErr w:type="spellEnd"/>
      <w:r w:rsidRPr="00152918">
        <w:rPr>
          <w:rFonts w:ascii="Times New Roman" w:hAnsi="Times New Roman" w:cs="Times New Roman"/>
          <w:sz w:val="24"/>
          <w:szCs w:val="24"/>
        </w:rPr>
        <w:t>, Senegal and Liberia from 2000 to 2023</w:t>
      </w:r>
    </w:p>
    <w:p w14:paraId="18B25C3E" w14:textId="77777777" w:rsidR="00C721BC" w:rsidRDefault="00C721BC" w:rsidP="00905A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ACF86C8" w14:textId="3280F7E2" w:rsidR="00905A62" w:rsidRDefault="00C721BC" w:rsidP="00C721BC">
      <w:pPr>
        <w:spacing w:after="0" w:line="360" w:lineRule="auto"/>
        <w:jc w:val="center"/>
        <w:rPr>
          <w:rFonts w:ascii="Times New Roman" w:hAnsi="Times New Roman" w:cs="Times New Roman"/>
          <w:b/>
          <w:sz w:val="24"/>
          <w:szCs w:val="24"/>
        </w:rPr>
      </w:pPr>
      <w:r w:rsidRPr="00152918">
        <w:rPr>
          <w:rFonts w:ascii="Times New Roman" w:hAnsi="Times New Roman" w:cs="Times New Roman"/>
          <w:b/>
          <w:sz w:val="24"/>
          <w:szCs w:val="24"/>
        </w:rPr>
        <w:t>METHODOLOGY</w:t>
      </w:r>
    </w:p>
    <w:p w14:paraId="02F2AA6E" w14:textId="77777777" w:rsidR="00C721BC" w:rsidRPr="00152918" w:rsidRDefault="00C721BC" w:rsidP="00905A62">
      <w:pPr>
        <w:spacing w:after="0" w:line="360" w:lineRule="auto"/>
        <w:jc w:val="both"/>
        <w:rPr>
          <w:rFonts w:ascii="Times New Roman" w:hAnsi="Times New Roman" w:cs="Times New Roman"/>
          <w:b/>
          <w:sz w:val="24"/>
          <w:szCs w:val="24"/>
        </w:rPr>
      </w:pPr>
    </w:p>
    <w:p w14:paraId="567261C6" w14:textId="1B36D14E" w:rsidR="00905A62" w:rsidRPr="00152918" w:rsidRDefault="00905A62" w:rsidP="00905A62">
      <w:pPr>
        <w:spacing w:after="0" w:line="360" w:lineRule="auto"/>
        <w:jc w:val="both"/>
        <w:rPr>
          <w:rFonts w:ascii="Times New Roman" w:hAnsi="Times New Roman" w:cs="Times New Roman"/>
          <w:b/>
          <w:sz w:val="24"/>
          <w:szCs w:val="24"/>
        </w:rPr>
      </w:pPr>
      <w:r w:rsidRPr="00152918">
        <w:rPr>
          <w:rFonts w:ascii="Times New Roman" w:hAnsi="Times New Roman" w:cs="Times New Roman"/>
          <w:b/>
          <w:sz w:val="24"/>
          <w:szCs w:val="24"/>
        </w:rPr>
        <w:tab/>
        <w:t>Research design</w:t>
      </w:r>
    </w:p>
    <w:p w14:paraId="7D1DCED4"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To analyze the impact of inflation and exchange rate fluctuations on poverty in selected West African countries, the ordinary Least Square (OLS) regression technique will be adopted for country-specific analysis while the fixed effect model for panel data analysis that allows for the exploration of within-country variations, controlling for unobserved heterogeneity across regions or time periods will be utilized for the panel study. The secondary data covering the period of 2000 to 2023 will be used.</w:t>
      </w:r>
    </w:p>
    <w:p w14:paraId="7B949C6A" w14:textId="699E0F15" w:rsidR="00905A62" w:rsidRPr="00152918" w:rsidRDefault="001B3A00" w:rsidP="00905A62">
      <w:pPr>
        <w:pStyle w:val="Heading3"/>
        <w:spacing w:line="360" w:lineRule="auto"/>
        <w:rPr>
          <w:sz w:val="24"/>
          <w:szCs w:val="24"/>
        </w:rPr>
      </w:pPr>
      <w:r>
        <w:rPr>
          <w:sz w:val="24"/>
          <w:szCs w:val="24"/>
        </w:rPr>
        <w:t xml:space="preserve">      </w:t>
      </w:r>
      <w:r w:rsidR="00905A62" w:rsidRPr="00152918">
        <w:rPr>
          <w:sz w:val="24"/>
          <w:szCs w:val="24"/>
        </w:rPr>
        <w:t>Model Specification</w:t>
      </w:r>
    </w:p>
    <w:p w14:paraId="0F418306" w14:textId="77777777" w:rsidR="00905A62" w:rsidRPr="00152918" w:rsidRDefault="00905A62" w:rsidP="00905A62">
      <w:pPr>
        <w:spacing w:before="100" w:beforeAutospacing="1" w:after="100" w:afterAutospacing="1"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lastRenderedPageBreak/>
        <w:t>This study is primarily based on the Mundell Fleming theory. The Mundell-Fleming model extends the IS-LM framework to a small open economy, showing how exchange rates and capital flows interact with monetary and fiscal policy under different exchange rate regimes (Mundell, 1963; Fleming, 1962). According to this model, in a small open economy with flexible exchange rates, monetary policy is effective in influencing output and prices, while fiscal policy is less effective. For countries in West Africa with floating or managed exchange rates, this model can help explain the impact of monetary policy on inflation and exchange rate stability, which in turn affects poverty levels.</w:t>
      </w:r>
    </w:p>
    <w:p w14:paraId="5F4C420A" w14:textId="77777777" w:rsidR="00905A62" w:rsidRPr="00152918" w:rsidRDefault="00905A62" w:rsidP="00905A62">
      <w:pPr>
        <w:spacing w:after="0" w:line="360" w:lineRule="auto"/>
        <w:ind w:firstLine="720"/>
        <w:jc w:val="both"/>
        <w:rPr>
          <w:rFonts w:ascii="Times New Roman" w:hAnsi="Times New Roman" w:cs="Times New Roman"/>
          <w:color w:val="000000" w:themeColor="text1"/>
          <w:sz w:val="24"/>
          <w:szCs w:val="24"/>
        </w:rPr>
      </w:pPr>
      <w:r w:rsidRPr="00152918">
        <w:rPr>
          <w:rFonts w:ascii="Times New Roman" w:hAnsi="Times New Roman" w:cs="Times New Roman"/>
          <w:sz w:val="24"/>
          <w:szCs w:val="24"/>
        </w:rPr>
        <w:t xml:space="preserve">Thus, based on the postulations of this theory, with some structural modification of other macroeconomic variables that are influential to the, theory and empirical works on exchange rate, inflation and poverty.  </w:t>
      </w:r>
      <w:r w:rsidRPr="00152918">
        <w:rPr>
          <w:rFonts w:ascii="Times New Roman" w:hAnsi="Times New Roman" w:cs="Times New Roman"/>
          <w:color w:val="000000" w:themeColor="text1"/>
          <w:sz w:val="24"/>
          <w:szCs w:val="24"/>
          <w:lang w:val="en-GB"/>
        </w:rPr>
        <w:t xml:space="preserve">Therefore, the Panel regression model for our study is specified below: </w:t>
      </w:r>
    </w:p>
    <w:p w14:paraId="0B8E50B4"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proofErr w:type="spellStart"/>
      <w:r w:rsidRPr="00152918">
        <w:rPr>
          <w:rFonts w:ascii="Times New Roman" w:eastAsia="Times New Roman" w:hAnsi="Times New Roman" w:cs="Times New Roman"/>
          <w:sz w:val="24"/>
          <w:szCs w:val="24"/>
        </w:rPr>
        <w:t>POV</w:t>
      </w:r>
      <w:r w:rsidRPr="00152918">
        <w:rPr>
          <w:rFonts w:ascii="Times New Roman" w:eastAsia="Times New Roman" w:hAnsi="Times New Roman" w:cs="Times New Roman"/>
          <w:sz w:val="24"/>
          <w:szCs w:val="24"/>
          <w:vertAlign w:val="subscript"/>
        </w:rPr>
        <w:t>it</w:t>
      </w:r>
      <w:proofErr w:type="spellEnd"/>
      <w:r w:rsidRPr="00152918">
        <w:rPr>
          <w:rFonts w:ascii="Times New Roman" w:eastAsia="Times New Roman" w:hAnsi="Times New Roman" w:cs="Times New Roman"/>
          <w:sz w:val="24"/>
          <w:szCs w:val="24"/>
          <w:vertAlign w:val="subscript"/>
        </w:rPr>
        <w:t xml:space="preserve"> </w:t>
      </w:r>
      <w:r w:rsidRPr="00152918">
        <w:rPr>
          <w:rFonts w:ascii="Times New Roman" w:eastAsia="Times New Roman" w:hAnsi="Times New Roman" w:cs="Times New Roman"/>
          <w:sz w:val="24"/>
          <w:szCs w:val="24"/>
        </w:rPr>
        <w:t>= α+β</w:t>
      </w:r>
      <w:r w:rsidRPr="00152918">
        <w:rPr>
          <w:rFonts w:ascii="Times New Roman" w:eastAsia="Times New Roman" w:hAnsi="Times New Roman" w:cs="Times New Roman"/>
          <w:sz w:val="24"/>
          <w:szCs w:val="24"/>
          <w:vertAlign w:val="subscript"/>
        </w:rPr>
        <w:t>1</w:t>
      </w:r>
      <w:r w:rsidRPr="00152918">
        <w:rPr>
          <w:rFonts w:ascii="Times New Roman" w:eastAsia="Times New Roman" w:hAnsi="Times New Roman" w:cs="Times New Roman"/>
          <w:sz w:val="24"/>
          <w:szCs w:val="24"/>
        </w:rPr>
        <w:t>INF</w:t>
      </w:r>
      <w:r w:rsidRPr="00152918">
        <w:rPr>
          <w:rFonts w:ascii="Times New Roman" w:eastAsia="Times New Roman" w:hAnsi="Times New Roman" w:cs="Times New Roman"/>
          <w:sz w:val="24"/>
          <w:szCs w:val="24"/>
          <w:vertAlign w:val="subscript"/>
        </w:rPr>
        <w:t>it</w:t>
      </w:r>
      <w:r w:rsidRPr="00152918">
        <w:rPr>
          <w:rFonts w:ascii="Times New Roman" w:eastAsia="Times New Roman" w:hAnsi="Times New Roman" w:cs="Times New Roman"/>
          <w:sz w:val="24"/>
          <w:szCs w:val="24"/>
        </w:rPr>
        <w:t>+β</w:t>
      </w:r>
      <w:r w:rsidRPr="00152918">
        <w:rPr>
          <w:rFonts w:ascii="Times New Roman" w:eastAsia="Times New Roman" w:hAnsi="Times New Roman" w:cs="Times New Roman"/>
          <w:sz w:val="24"/>
          <w:szCs w:val="24"/>
          <w:vertAlign w:val="subscript"/>
        </w:rPr>
        <w:t>2</w:t>
      </w:r>
      <w:r w:rsidRPr="00152918">
        <w:rPr>
          <w:rFonts w:ascii="Times New Roman" w:eastAsia="Times New Roman" w:hAnsi="Times New Roman" w:cs="Times New Roman"/>
          <w:sz w:val="24"/>
          <w:szCs w:val="24"/>
        </w:rPr>
        <w:t>EXR</w:t>
      </w:r>
      <w:r w:rsidRPr="00152918">
        <w:rPr>
          <w:rFonts w:ascii="Times New Roman" w:eastAsia="Times New Roman" w:hAnsi="Times New Roman" w:cs="Times New Roman"/>
          <w:sz w:val="24"/>
          <w:szCs w:val="24"/>
          <w:vertAlign w:val="subscript"/>
        </w:rPr>
        <w:t>it</w:t>
      </w:r>
      <w:r w:rsidRPr="00152918">
        <w:rPr>
          <w:rFonts w:ascii="Times New Roman" w:eastAsia="Times New Roman" w:hAnsi="Times New Roman" w:cs="Times New Roman"/>
          <w:sz w:val="24"/>
          <w:szCs w:val="24"/>
        </w:rPr>
        <w:t>+β</w:t>
      </w:r>
      <w:r w:rsidRPr="00152918">
        <w:rPr>
          <w:rFonts w:ascii="Times New Roman" w:eastAsia="Times New Roman" w:hAnsi="Times New Roman" w:cs="Times New Roman"/>
          <w:sz w:val="24"/>
          <w:szCs w:val="24"/>
          <w:vertAlign w:val="subscript"/>
        </w:rPr>
        <w:t>3</w:t>
      </w:r>
      <w:r w:rsidRPr="00152918">
        <w:rPr>
          <w:rFonts w:ascii="Times New Roman" w:eastAsia="Times New Roman" w:hAnsi="Times New Roman" w:cs="Times New Roman"/>
          <w:sz w:val="24"/>
          <w:szCs w:val="24"/>
        </w:rPr>
        <w:t>GEX</w:t>
      </w:r>
      <w:r w:rsidRPr="00152918">
        <w:rPr>
          <w:rFonts w:ascii="Times New Roman" w:eastAsia="Times New Roman" w:hAnsi="Times New Roman" w:cs="Times New Roman"/>
          <w:sz w:val="24"/>
          <w:szCs w:val="24"/>
          <w:vertAlign w:val="subscript"/>
        </w:rPr>
        <w:t>it</w:t>
      </w:r>
      <w:r w:rsidRPr="00152918">
        <w:rPr>
          <w:rFonts w:ascii="Times New Roman" w:eastAsia="Times New Roman" w:hAnsi="Times New Roman" w:cs="Times New Roman"/>
          <w:sz w:val="24"/>
          <w:szCs w:val="24"/>
        </w:rPr>
        <w:t>+β4MS</w:t>
      </w:r>
      <w:r w:rsidRPr="00152918">
        <w:rPr>
          <w:rFonts w:ascii="Times New Roman" w:eastAsia="Times New Roman" w:hAnsi="Times New Roman" w:cs="Times New Roman"/>
          <w:sz w:val="24"/>
          <w:szCs w:val="24"/>
          <w:vertAlign w:val="subscript"/>
        </w:rPr>
        <w:t>it</w:t>
      </w:r>
      <w:r w:rsidRPr="00152918">
        <w:rPr>
          <w:rFonts w:ascii="Times New Roman" w:eastAsia="Times New Roman" w:hAnsi="Times New Roman" w:cs="Times New Roman"/>
          <w:sz w:val="24"/>
          <w:szCs w:val="24"/>
        </w:rPr>
        <w:t>+β</w:t>
      </w:r>
      <w:proofErr w:type="spellStart"/>
      <w:r w:rsidRPr="00152918">
        <w:rPr>
          <w:rFonts w:ascii="Times New Roman" w:eastAsia="Times New Roman" w:hAnsi="Times New Roman" w:cs="Times New Roman"/>
          <w:sz w:val="24"/>
          <w:szCs w:val="24"/>
        </w:rPr>
        <w:t>NX</w:t>
      </w:r>
      <w:r w:rsidRPr="00152918">
        <w:rPr>
          <w:rFonts w:ascii="Times New Roman" w:eastAsia="Times New Roman" w:hAnsi="Times New Roman" w:cs="Times New Roman"/>
          <w:sz w:val="24"/>
          <w:szCs w:val="24"/>
          <w:vertAlign w:val="subscript"/>
        </w:rPr>
        <w:t>it</w:t>
      </w:r>
      <w:r w:rsidRPr="00152918">
        <w:rPr>
          <w:rFonts w:ascii="Times New Roman" w:eastAsia="Times New Roman" w:hAnsi="Times New Roman" w:cs="Times New Roman"/>
          <w:sz w:val="24"/>
          <w:szCs w:val="24"/>
        </w:rPr>
        <w:t>+μ</w:t>
      </w:r>
      <w:r w:rsidRPr="00152918">
        <w:rPr>
          <w:rFonts w:ascii="Times New Roman" w:eastAsia="Times New Roman" w:hAnsi="Times New Roman" w:cs="Times New Roman"/>
          <w:sz w:val="24"/>
          <w:szCs w:val="24"/>
          <w:vertAlign w:val="subscript"/>
        </w:rPr>
        <w:t>i</w:t>
      </w:r>
      <w:r w:rsidRPr="00152918">
        <w:rPr>
          <w:rFonts w:ascii="Times New Roman" w:eastAsia="Times New Roman" w:hAnsi="Times New Roman" w:cs="Times New Roman"/>
          <w:sz w:val="24"/>
          <w:szCs w:val="24"/>
        </w:rPr>
        <w:t>+λt</w:t>
      </w:r>
      <w:proofErr w:type="spellEnd"/>
      <w:r w:rsidRPr="00152918">
        <w:rPr>
          <w:rFonts w:ascii="Times New Roman" w:eastAsia="Times New Roman" w:hAnsi="Times New Roman" w:cs="Times New Roman"/>
          <w:sz w:val="24"/>
          <w:szCs w:val="24"/>
        </w:rPr>
        <w:t>+ϵit----------------- (1)</w:t>
      </w:r>
    </w:p>
    <w:p w14:paraId="6DBABF69"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Where</w:t>
      </w:r>
    </w:p>
    <w:p w14:paraId="304E1DED"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 xml:space="preserve">POV = Poverty level in country </w:t>
      </w:r>
      <w:proofErr w:type="spellStart"/>
      <w:r w:rsidRPr="00152918">
        <w:rPr>
          <w:rFonts w:ascii="Times New Roman" w:eastAsia="Times New Roman" w:hAnsi="Times New Roman" w:cs="Times New Roman"/>
          <w:sz w:val="24"/>
          <w:szCs w:val="24"/>
        </w:rPr>
        <w:t>i</w:t>
      </w:r>
      <w:proofErr w:type="spellEnd"/>
      <w:r w:rsidRPr="00152918">
        <w:rPr>
          <w:rFonts w:ascii="Times New Roman" w:eastAsia="Times New Roman" w:hAnsi="Times New Roman" w:cs="Times New Roman"/>
          <w:sz w:val="24"/>
          <w:szCs w:val="24"/>
        </w:rPr>
        <w:t xml:space="preserve"> at time t.</w:t>
      </w:r>
    </w:p>
    <w:p w14:paraId="3FDECD76"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 xml:space="preserve">INF = Inflation rate in country </w:t>
      </w:r>
      <w:proofErr w:type="spellStart"/>
      <w:r w:rsidRPr="00152918">
        <w:rPr>
          <w:rFonts w:ascii="Times New Roman" w:eastAsia="Times New Roman" w:hAnsi="Times New Roman" w:cs="Times New Roman"/>
          <w:sz w:val="24"/>
          <w:szCs w:val="24"/>
        </w:rPr>
        <w:t>i</w:t>
      </w:r>
      <w:proofErr w:type="spellEnd"/>
      <w:r w:rsidRPr="00152918">
        <w:rPr>
          <w:rFonts w:ascii="Times New Roman" w:eastAsia="Times New Roman" w:hAnsi="Times New Roman" w:cs="Times New Roman"/>
          <w:sz w:val="24"/>
          <w:szCs w:val="24"/>
        </w:rPr>
        <w:t xml:space="preserve"> at time t.</w:t>
      </w:r>
    </w:p>
    <w:p w14:paraId="617D02D4"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 xml:space="preserve">EXR = Exchange rate in country </w:t>
      </w:r>
      <w:proofErr w:type="spellStart"/>
      <w:r w:rsidRPr="00152918">
        <w:rPr>
          <w:rFonts w:ascii="Times New Roman" w:eastAsia="Times New Roman" w:hAnsi="Times New Roman" w:cs="Times New Roman"/>
          <w:sz w:val="24"/>
          <w:szCs w:val="24"/>
        </w:rPr>
        <w:t>i</w:t>
      </w:r>
      <w:proofErr w:type="spellEnd"/>
      <w:r w:rsidRPr="00152918">
        <w:rPr>
          <w:rFonts w:ascii="Times New Roman" w:eastAsia="Times New Roman" w:hAnsi="Times New Roman" w:cs="Times New Roman"/>
          <w:sz w:val="24"/>
          <w:szCs w:val="24"/>
        </w:rPr>
        <w:t xml:space="preserve"> at time t.</w:t>
      </w:r>
    </w:p>
    <w:p w14:paraId="13E26C7D"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 xml:space="preserve">GEX = Government expenditure on social services in country </w:t>
      </w:r>
      <w:proofErr w:type="spellStart"/>
      <w:r w:rsidRPr="00152918">
        <w:rPr>
          <w:rFonts w:ascii="Times New Roman" w:eastAsia="Times New Roman" w:hAnsi="Times New Roman" w:cs="Times New Roman"/>
          <w:sz w:val="24"/>
          <w:szCs w:val="24"/>
        </w:rPr>
        <w:t>i</w:t>
      </w:r>
      <w:proofErr w:type="spellEnd"/>
      <w:r w:rsidRPr="00152918">
        <w:rPr>
          <w:rFonts w:ascii="Times New Roman" w:eastAsia="Times New Roman" w:hAnsi="Times New Roman" w:cs="Times New Roman"/>
          <w:sz w:val="24"/>
          <w:szCs w:val="24"/>
        </w:rPr>
        <w:t xml:space="preserve"> at time t.</w:t>
      </w:r>
    </w:p>
    <w:p w14:paraId="7068B958"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 xml:space="preserve">MS = Money supply in country </w:t>
      </w:r>
      <w:proofErr w:type="spellStart"/>
      <w:r w:rsidRPr="00152918">
        <w:rPr>
          <w:rFonts w:ascii="Times New Roman" w:eastAsia="Times New Roman" w:hAnsi="Times New Roman" w:cs="Times New Roman"/>
          <w:sz w:val="24"/>
          <w:szCs w:val="24"/>
        </w:rPr>
        <w:t>i</w:t>
      </w:r>
      <w:proofErr w:type="spellEnd"/>
      <w:r w:rsidRPr="00152918">
        <w:rPr>
          <w:rFonts w:ascii="Times New Roman" w:eastAsia="Times New Roman" w:hAnsi="Times New Roman" w:cs="Times New Roman"/>
          <w:sz w:val="24"/>
          <w:szCs w:val="24"/>
        </w:rPr>
        <w:t xml:space="preserve"> at time t.</w:t>
      </w:r>
    </w:p>
    <w:p w14:paraId="7C9B5F2C"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 xml:space="preserve">NX = Net exports in country </w:t>
      </w:r>
      <w:proofErr w:type="spellStart"/>
      <w:r w:rsidRPr="00152918">
        <w:rPr>
          <w:rFonts w:ascii="Times New Roman" w:eastAsia="Times New Roman" w:hAnsi="Times New Roman" w:cs="Times New Roman"/>
          <w:sz w:val="24"/>
          <w:szCs w:val="24"/>
        </w:rPr>
        <w:t>i</w:t>
      </w:r>
      <w:proofErr w:type="spellEnd"/>
      <w:r w:rsidRPr="00152918">
        <w:rPr>
          <w:rFonts w:ascii="Times New Roman" w:eastAsia="Times New Roman" w:hAnsi="Times New Roman" w:cs="Times New Roman"/>
          <w:sz w:val="24"/>
          <w:szCs w:val="24"/>
        </w:rPr>
        <w:t xml:space="preserve"> at time t.</w:t>
      </w:r>
    </w:p>
    <w:p w14:paraId="6F9F2513"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Ui = Country specific effects (captures the unique characteristics of each country that don’t change over time).</w:t>
      </w:r>
    </w:p>
    <w:p w14:paraId="475E411D"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proofErr w:type="spellStart"/>
      <w:r w:rsidRPr="00152918">
        <w:rPr>
          <w:rFonts w:ascii="Times New Roman" w:eastAsia="Times New Roman" w:hAnsi="Times New Roman" w:cs="Times New Roman"/>
          <w:sz w:val="24"/>
          <w:szCs w:val="24"/>
        </w:rPr>
        <w:t>Λt</w:t>
      </w:r>
      <w:proofErr w:type="spellEnd"/>
      <w:r w:rsidRPr="00152918">
        <w:rPr>
          <w:rFonts w:ascii="Times New Roman" w:eastAsia="Times New Roman" w:hAnsi="Times New Roman" w:cs="Times New Roman"/>
          <w:sz w:val="24"/>
          <w:szCs w:val="24"/>
        </w:rPr>
        <w:t xml:space="preserve"> = Time-specific effects (Captures effects that are common across all countries at a given time, like global economic crises).</w:t>
      </w:r>
    </w:p>
    <w:p w14:paraId="05F4CF14" w14:textId="77777777" w:rsidR="00905A62" w:rsidRPr="00152918" w:rsidRDefault="00000000" w:rsidP="00905A62">
      <w:pPr>
        <w:spacing w:before="100" w:beforeAutospacing="1" w:after="100" w:afterAutospacing="1" w:line="360" w:lineRule="auto"/>
        <w:rPr>
          <w:rFonts w:ascii="Times New Roman" w:eastAsia="Times New Roman" w:hAnsi="Times New Roman" w:cs="Times New Roman"/>
          <w:sz w:val="24"/>
          <w:szCs w:val="24"/>
        </w:rPr>
      </w:pPr>
      <m:oMath>
        <m:sSub>
          <m:sSubPr>
            <m:ctrlPr>
              <w:rPr>
                <w:rFonts w:ascii="Cambria Math" w:hAnsi="Cambria Math" w:cs="Times New Roman"/>
                <w:color w:val="000000" w:themeColor="text1"/>
                <w:sz w:val="24"/>
                <w:szCs w:val="24"/>
                <w:lang w:val="en-GB"/>
              </w:rPr>
            </m:ctrlPr>
          </m:sSubPr>
          <m:e>
            <m:r>
              <w:rPr>
                <w:rFonts w:ascii="Cambria Math" w:hAnsi="Cambria Math" w:cs="Times New Roman"/>
                <w:color w:val="000000" w:themeColor="text1"/>
                <w:sz w:val="24"/>
                <w:szCs w:val="24"/>
                <w:lang w:val="en-GB"/>
              </w:rPr>
              <m:t>β</m:t>
            </m:r>
          </m:e>
          <m:sub>
            <m:r>
              <m:rPr>
                <m:sty m:val="p"/>
              </m:rPr>
              <w:rPr>
                <w:rFonts w:ascii="Cambria Math" w:hAnsi="Cambria Math" w:cs="Times New Roman"/>
                <w:color w:val="000000" w:themeColor="text1"/>
                <w:sz w:val="24"/>
                <w:szCs w:val="24"/>
                <w:lang w:val="en-GB"/>
              </w:rPr>
              <m:t>1</m:t>
            </m:r>
          </m:sub>
        </m:sSub>
      </m:oMath>
      <w:r w:rsidR="00905A62" w:rsidRPr="00152918">
        <w:rPr>
          <w:rFonts w:ascii="Times New Roman" w:hAnsi="Times New Roman" w:cs="Times New Roman"/>
          <w:color w:val="000000" w:themeColor="text1"/>
          <w:sz w:val="24"/>
          <w:szCs w:val="24"/>
          <w:lang w:val="en-GB"/>
        </w:rPr>
        <w:t xml:space="preserve"> to </w:t>
      </w:r>
      <m:oMath>
        <m:sSub>
          <m:sSubPr>
            <m:ctrlPr>
              <w:rPr>
                <w:rFonts w:ascii="Cambria Math" w:hAnsi="Cambria Math" w:cs="Times New Roman"/>
                <w:color w:val="000000" w:themeColor="text1"/>
                <w:sz w:val="24"/>
                <w:szCs w:val="24"/>
                <w:lang w:val="en-GB"/>
              </w:rPr>
            </m:ctrlPr>
          </m:sSubPr>
          <m:e>
            <m:r>
              <w:rPr>
                <w:rFonts w:ascii="Cambria Math" w:hAnsi="Cambria Math" w:cs="Times New Roman"/>
                <w:color w:val="000000" w:themeColor="text1"/>
                <w:sz w:val="24"/>
                <w:szCs w:val="24"/>
                <w:lang w:val="en-GB"/>
              </w:rPr>
              <m:t>β</m:t>
            </m:r>
          </m:e>
          <m:sub>
            <m:r>
              <m:rPr>
                <m:sty m:val="p"/>
              </m:rPr>
              <w:rPr>
                <w:rFonts w:ascii="Cambria Math" w:hAnsi="Cambria Math" w:cs="Times New Roman"/>
                <w:color w:val="000000" w:themeColor="text1"/>
                <w:sz w:val="24"/>
                <w:szCs w:val="24"/>
                <w:lang w:val="en-GB"/>
              </w:rPr>
              <m:t>5</m:t>
            </m:r>
          </m:sub>
        </m:sSub>
      </m:oMath>
      <w:r w:rsidR="00905A62" w:rsidRPr="00152918">
        <w:rPr>
          <w:rFonts w:ascii="Times New Roman" w:hAnsi="Times New Roman" w:cs="Times New Roman"/>
          <w:color w:val="000000" w:themeColor="text1"/>
          <w:sz w:val="24"/>
          <w:szCs w:val="24"/>
          <w:lang w:val="en-GB"/>
        </w:rPr>
        <w:t xml:space="preserve"> are the coefficients to be estimated using the panel-estimated generalized least square method (Panel EGLS)</w:t>
      </w:r>
    </w:p>
    <w:p w14:paraId="1BB8E811" w14:textId="77777777" w:rsidR="00905A62" w:rsidRPr="00152918" w:rsidRDefault="00905A62" w:rsidP="00905A62">
      <w:pPr>
        <w:autoSpaceDE w:val="0"/>
        <w:autoSpaceDN w:val="0"/>
        <w:adjustRightInd w:val="0"/>
        <w:spacing w:after="0" w:line="360" w:lineRule="auto"/>
        <w:jc w:val="both"/>
        <w:rPr>
          <w:rFonts w:ascii="Times New Roman" w:hAnsi="Times New Roman" w:cs="Times New Roman"/>
          <w:b/>
          <w:bCs/>
          <w:color w:val="000000"/>
          <w:sz w:val="24"/>
          <w:szCs w:val="24"/>
        </w:rPr>
      </w:pPr>
      <w:r w:rsidRPr="00152918">
        <w:rPr>
          <w:rFonts w:ascii="Times New Roman" w:hAnsi="Times New Roman" w:cs="Times New Roman"/>
          <w:b/>
          <w:bCs/>
          <w:color w:val="000000"/>
          <w:sz w:val="24"/>
          <w:szCs w:val="24"/>
        </w:rPr>
        <w:t>A priori Expectation</w:t>
      </w:r>
    </w:p>
    <w:p w14:paraId="1FAB97B0"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w:t>
      </w:r>
      <w:r w:rsidRPr="00152918">
        <w:rPr>
          <w:rFonts w:ascii="Times New Roman" w:eastAsia="Times New Roman" w:hAnsi="Times New Roman" w:cs="Times New Roman"/>
          <w:sz w:val="24"/>
          <w:szCs w:val="24"/>
        </w:rPr>
        <w:tab/>
        <w:t>INF: Positive relationship with poverty (+)</w:t>
      </w:r>
    </w:p>
    <w:p w14:paraId="14E707AB"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w:t>
      </w:r>
      <w:r w:rsidRPr="00152918">
        <w:rPr>
          <w:rFonts w:ascii="Times New Roman" w:eastAsia="Times New Roman" w:hAnsi="Times New Roman" w:cs="Times New Roman"/>
          <w:sz w:val="24"/>
          <w:szCs w:val="24"/>
        </w:rPr>
        <w:tab/>
        <w:t>EXR: Ambiguous relationship with poverty (+/–)</w:t>
      </w:r>
    </w:p>
    <w:p w14:paraId="7E1DDE98"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w:t>
      </w:r>
      <w:r w:rsidRPr="00152918">
        <w:rPr>
          <w:rFonts w:ascii="Times New Roman" w:eastAsia="Times New Roman" w:hAnsi="Times New Roman" w:cs="Times New Roman"/>
          <w:sz w:val="24"/>
          <w:szCs w:val="24"/>
        </w:rPr>
        <w:tab/>
        <w:t>GEX: Negative relationship with poverty (–)</w:t>
      </w:r>
    </w:p>
    <w:p w14:paraId="5AF16541"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w:t>
      </w:r>
      <w:r w:rsidRPr="00152918">
        <w:rPr>
          <w:rFonts w:ascii="Times New Roman" w:eastAsia="Times New Roman" w:hAnsi="Times New Roman" w:cs="Times New Roman"/>
          <w:sz w:val="24"/>
          <w:szCs w:val="24"/>
        </w:rPr>
        <w:tab/>
        <w:t>MS: Ambiguous relationship with poverty (+/–)</w:t>
      </w:r>
    </w:p>
    <w:p w14:paraId="232AC42C" w14:textId="77777777" w:rsidR="00834CD1" w:rsidRDefault="00905A62" w:rsidP="00834CD1">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w:t>
      </w:r>
      <w:r w:rsidRPr="00152918">
        <w:rPr>
          <w:rFonts w:ascii="Times New Roman" w:eastAsia="Times New Roman" w:hAnsi="Times New Roman" w:cs="Times New Roman"/>
          <w:sz w:val="24"/>
          <w:szCs w:val="24"/>
        </w:rPr>
        <w:tab/>
        <w:t>NX: Negative relationship with poverty (–)</w:t>
      </w:r>
      <w:bookmarkStart w:id="0" w:name="_Toc142568417"/>
    </w:p>
    <w:p w14:paraId="46CADC54" w14:textId="0125D360" w:rsidR="00905A62" w:rsidRPr="00834CD1" w:rsidRDefault="00905A62" w:rsidP="00834CD1">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hAnsi="Times New Roman" w:cs="Times New Roman"/>
          <w:b/>
          <w:bCs/>
          <w:sz w:val="24"/>
          <w:szCs w:val="24"/>
          <w:lang w:val="en-GB"/>
        </w:rPr>
        <w:t>Description of variables</w:t>
      </w:r>
      <w:bookmarkEnd w:id="0"/>
      <w:r w:rsidRPr="00152918">
        <w:rPr>
          <w:rFonts w:ascii="Times New Roman" w:hAnsi="Times New Roman" w:cs="Times New Roman"/>
          <w:b/>
          <w:bCs/>
          <w:sz w:val="24"/>
          <w:szCs w:val="24"/>
          <w:lang w:val="en-GB"/>
        </w:rPr>
        <w:t xml:space="preserve"> </w:t>
      </w:r>
    </w:p>
    <w:p w14:paraId="6F736C89" w14:textId="77777777" w:rsidR="00905A62" w:rsidRPr="00152918" w:rsidRDefault="00905A62" w:rsidP="00FD7F20">
      <w:pPr>
        <w:spacing w:after="0" w:line="360" w:lineRule="auto"/>
        <w:jc w:val="both"/>
        <w:rPr>
          <w:rFonts w:ascii="Times New Roman" w:hAnsi="Times New Roman" w:cs="Times New Roman"/>
          <w:b/>
          <w:i/>
          <w:sz w:val="24"/>
          <w:szCs w:val="24"/>
        </w:rPr>
      </w:pPr>
      <w:bookmarkStart w:id="1" w:name="_Toc142396749"/>
      <w:r w:rsidRPr="00152918">
        <w:rPr>
          <w:rFonts w:ascii="Times New Roman" w:hAnsi="Times New Roman" w:cs="Times New Roman"/>
          <w:b/>
          <w:i/>
          <w:sz w:val="24"/>
          <w:szCs w:val="24"/>
        </w:rPr>
        <w:t>Dependent variables</w:t>
      </w:r>
      <w:bookmarkEnd w:id="1"/>
      <w:r w:rsidRPr="00152918">
        <w:rPr>
          <w:rFonts w:ascii="Times New Roman" w:hAnsi="Times New Roman" w:cs="Times New Roman"/>
          <w:b/>
          <w:i/>
          <w:sz w:val="24"/>
          <w:szCs w:val="24"/>
        </w:rPr>
        <w:t xml:space="preserve"> </w:t>
      </w:r>
    </w:p>
    <w:p w14:paraId="3A17C4CC" w14:textId="77777777" w:rsidR="00905A62" w:rsidRPr="00152918" w:rsidRDefault="00905A62" w:rsidP="00FD7F20">
      <w:pPr>
        <w:spacing w:after="0" w:line="360" w:lineRule="auto"/>
        <w:jc w:val="both"/>
        <w:rPr>
          <w:rFonts w:ascii="Times New Roman" w:eastAsia="Times New Roman" w:hAnsi="Times New Roman" w:cs="Times New Roman"/>
          <w:sz w:val="24"/>
          <w:szCs w:val="24"/>
        </w:rPr>
      </w:pPr>
      <w:r w:rsidRPr="00152918">
        <w:rPr>
          <w:rFonts w:ascii="Times New Roman" w:eastAsia="Times New Roman" w:hAnsi="Times New Roman" w:cs="Times New Roman"/>
          <w:b/>
          <w:bCs/>
          <w:sz w:val="24"/>
          <w:szCs w:val="24"/>
        </w:rPr>
        <w:t>Poverty</w:t>
      </w:r>
      <w:r w:rsidRPr="00152918">
        <w:rPr>
          <w:rFonts w:ascii="Times New Roman" w:hAnsi="Times New Roman" w:cs="Times New Roman"/>
          <w:b/>
          <w:i/>
          <w:sz w:val="24"/>
          <w:szCs w:val="24"/>
        </w:rPr>
        <w:t xml:space="preserve"> (</w:t>
      </w:r>
      <w:r w:rsidRPr="00152918">
        <w:rPr>
          <w:rFonts w:ascii="Times New Roman" w:eastAsia="Times New Roman" w:hAnsi="Times New Roman" w:cs="Times New Roman"/>
          <w:b/>
          <w:bCs/>
          <w:sz w:val="24"/>
          <w:szCs w:val="24"/>
        </w:rPr>
        <w:t>POV)</w:t>
      </w:r>
      <w:r w:rsidRPr="00152918">
        <w:rPr>
          <w:rFonts w:ascii="Times New Roman" w:eastAsia="Times New Roman" w:hAnsi="Times New Roman" w:cs="Times New Roman"/>
          <w:sz w:val="24"/>
          <w:szCs w:val="24"/>
        </w:rPr>
        <w:t>:  Measured by GDP per capital</w:t>
      </w:r>
    </w:p>
    <w:p w14:paraId="3CE597DB" w14:textId="77777777" w:rsidR="00905A62" w:rsidRPr="00152918" w:rsidRDefault="00905A62" w:rsidP="00FD7F20">
      <w:pPr>
        <w:spacing w:after="0" w:line="360" w:lineRule="auto"/>
        <w:jc w:val="both"/>
        <w:rPr>
          <w:rFonts w:ascii="Times New Roman" w:eastAsia="Times New Roman" w:hAnsi="Times New Roman" w:cs="Times New Roman"/>
          <w:i/>
          <w:sz w:val="24"/>
          <w:szCs w:val="24"/>
        </w:rPr>
      </w:pPr>
      <w:r w:rsidRPr="00152918">
        <w:rPr>
          <w:rFonts w:ascii="Times New Roman" w:eastAsia="Times New Roman" w:hAnsi="Times New Roman" w:cs="Times New Roman"/>
          <w:b/>
          <w:bCs/>
          <w:i/>
          <w:sz w:val="24"/>
          <w:szCs w:val="24"/>
        </w:rPr>
        <w:t>Independent Variables</w:t>
      </w:r>
      <w:r w:rsidRPr="00152918">
        <w:rPr>
          <w:rFonts w:ascii="Times New Roman" w:eastAsia="Times New Roman" w:hAnsi="Times New Roman" w:cs="Times New Roman"/>
          <w:i/>
          <w:sz w:val="24"/>
          <w:szCs w:val="24"/>
        </w:rPr>
        <w:t>:</w:t>
      </w:r>
    </w:p>
    <w:p w14:paraId="4EFF8CEA" w14:textId="77777777" w:rsidR="00905A62" w:rsidRPr="00152918" w:rsidRDefault="00905A62" w:rsidP="00FD7F20">
      <w:pPr>
        <w:spacing w:after="0" w:line="360" w:lineRule="auto"/>
        <w:jc w:val="both"/>
        <w:rPr>
          <w:rFonts w:ascii="Times New Roman" w:eastAsia="Times New Roman" w:hAnsi="Times New Roman" w:cs="Times New Roman"/>
          <w:sz w:val="24"/>
          <w:szCs w:val="24"/>
        </w:rPr>
      </w:pPr>
      <w:r w:rsidRPr="00152918">
        <w:rPr>
          <w:rFonts w:ascii="Times New Roman" w:eastAsia="Times New Roman" w:hAnsi="Times New Roman" w:cs="Times New Roman"/>
          <w:b/>
          <w:sz w:val="24"/>
          <w:szCs w:val="24"/>
        </w:rPr>
        <w:t>Inflation rate (</w:t>
      </w:r>
      <w:r w:rsidRPr="00152918">
        <w:rPr>
          <w:rFonts w:ascii="Times New Roman" w:eastAsia="Times New Roman" w:hAnsi="Times New Roman" w:cs="Times New Roman"/>
          <w:b/>
          <w:bCs/>
          <w:sz w:val="24"/>
          <w:szCs w:val="24"/>
        </w:rPr>
        <w:t>INF</w:t>
      </w:r>
      <w:r w:rsidRPr="00152918">
        <w:rPr>
          <w:rFonts w:ascii="Times New Roman" w:eastAsia="Times New Roman" w:hAnsi="Times New Roman" w:cs="Times New Roman"/>
          <w:b/>
          <w:sz w:val="24"/>
          <w:szCs w:val="24"/>
        </w:rPr>
        <w:t>):</w:t>
      </w:r>
      <w:r w:rsidRPr="00152918">
        <w:rPr>
          <w:rFonts w:ascii="Times New Roman" w:eastAsia="Times New Roman" w:hAnsi="Times New Roman" w:cs="Times New Roman"/>
          <w:sz w:val="24"/>
          <w:szCs w:val="24"/>
        </w:rPr>
        <w:t xml:space="preserve"> measured as the annual percentage chan</w:t>
      </w:r>
      <w:r w:rsidR="00FD7F20">
        <w:rPr>
          <w:rFonts w:ascii="Times New Roman" w:eastAsia="Times New Roman" w:hAnsi="Times New Roman" w:cs="Times New Roman"/>
          <w:sz w:val="24"/>
          <w:szCs w:val="24"/>
        </w:rPr>
        <w:t xml:space="preserve">ge in the consumer price index, </w:t>
      </w:r>
      <w:r w:rsidRPr="00152918">
        <w:rPr>
          <w:rFonts w:ascii="Times New Roman" w:eastAsia="Times New Roman" w:hAnsi="Times New Roman" w:cs="Times New Roman"/>
          <w:sz w:val="24"/>
          <w:szCs w:val="24"/>
        </w:rPr>
        <w:t>CPI</w:t>
      </w:r>
    </w:p>
    <w:p w14:paraId="3CCDDD7A" w14:textId="77777777" w:rsidR="00905A62" w:rsidRPr="00152918" w:rsidRDefault="00905A62" w:rsidP="00FD7F20">
      <w:pPr>
        <w:spacing w:after="0" w:line="360" w:lineRule="auto"/>
        <w:jc w:val="both"/>
        <w:rPr>
          <w:rFonts w:ascii="Times New Roman" w:eastAsia="Times New Roman" w:hAnsi="Times New Roman" w:cs="Times New Roman"/>
          <w:sz w:val="24"/>
          <w:szCs w:val="24"/>
        </w:rPr>
      </w:pPr>
      <w:r w:rsidRPr="00152918">
        <w:rPr>
          <w:rFonts w:ascii="Times New Roman" w:eastAsia="Times New Roman" w:hAnsi="Times New Roman" w:cs="Times New Roman"/>
          <w:b/>
          <w:sz w:val="24"/>
          <w:szCs w:val="24"/>
        </w:rPr>
        <w:t>Exchange rate (</w:t>
      </w:r>
      <w:r w:rsidRPr="00152918">
        <w:rPr>
          <w:rFonts w:ascii="Times New Roman" w:eastAsia="Times New Roman" w:hAnsi="Times New Roman" w:cs="Times New Roman"/>
          <w:b/>
          <w:bCs/>
          <w:sz w:val="24"/>
          <w:szCs w:val="24"/>
        </w:rPr>
        <w:t>EXR)</w:t>
      </w:r>
      <w:r w:rsidRPr="00152918">
        <w:rPr>
          <w:rFonts w:ascii="Times New Roman" w:eastAsia="Times New Roman" w:hAnsi="Times New Roman" w:cs="Times New Roman"/>
          <w:b/>
          <w:sz w:val="24"/>
          <w:szCs w:val="24"/>
        </w:rPr>
        <w:t>:</w:t>
      </w:r>
      <w:r w:rsidRPr="00152918">
        <w:rPr>
          <w:rFonts w:ascii="Times New Roman" w:eastAsia="Times New Roman" w:hAnsi="Times New Roman" w:cs="Times New Roman"/>
          <w:sz w:val="24"/>
          <w:szCs w:val="24"/>
        </w:rPr>
        <w:t xml:space="preserve"> Nominal exchange rate, measured as the local currency per US dollar</w:t>
      </w:r>
    </w:p>
    <w:p w14:paraId="40B65D73" w14:textId="77777777" w:rsidR="00905A62" w:rsidRPr="00152918" w:rsidRDefault="00905A62" w:rsidP="00FD7F20">
      <w:pPr>
        <w:spacing w:after="0" w:line="360" w:lineRule="auto"/>
        <w:jc w:val="both"/>
        <w:rPr>
          <w:rFonts w:ascii="Times New Roman" w:eastAsia="Times New Roman" w:hAnsi="Times New Roman" w:cs="Times New Roman"/>
          <w:sz w:val="24"/>
          <w:szCs w:val="24"/>
        </w:rPr>
      </w:pPr>
      <w:r w:rsidRPr="00152918">
        <w:rPr>
          <w:rFonts w:ascii="Times New Roman" w:eastAsia="Times New Roman" w:hAnsi="Times New Roman" w:cs="Times New Roman"/>
          <w:b/>
          <w:sz w:val="24"/>
          <w:szCs w:val="24"/>
        </w:rPr>
        <w:t>Government expenditure on social services</w:t>
      </w:r>
      <w:r w:rsidRPr="00152918">
        <w:rPr>
          <w:rFonts w:ascii="Times New Roman" w:eastAsia="Times New Roman" w:hAnsi="Times New Roman" w:cs="Times New Roman"/>
          <w:b/>
          <w:bCs/>
          <w:sz w:val="24"/>
          <w:szCs w:val="24"/>
        </w:rPr>
        <w:t xml:space="preserve"> (GEX)</w:t>
      </w:r>
      <w:r w:rsidRPr="00152918">
        <w:rPr>
          <w:rFonts w:ascii="Times New Roman" w:eastAsia="Times New Roman" w:hAnsi="Times New Roman" w:cs="Times New Roman"/>
          <w:b/>
          <w:sz w:val="24"/>
          <w:szCs w:val="24"/>
        </w:rPr>
        <w:t>:</w:t>
      </w:r>
      <w:r w:rsidRPr="00152918">
        <w:rPr>
          <w:rFonts w:ascii="Times New Roman" w:eastAsia="Times New Roman" w:hAnsi="Times New Roman" w:cs="Times New Roman"/>
          <w:sz w:val="24"/>
          <w:szCs w:val="24"/>
        </w:rPr>
        <w:t xml:space="preserve"> total or targeted social spending, typically as a percentage of GDP </w:t>
      </w:r>
    </w:p>
    <w:p w14:paraId="2F2BCD3C" w14:textId="77777777" w:rsidR="00905A62" w:rsidRPr="00152918" w:rsidRDefault="00905A62" w:rsidP="00FD7F20">
      <w:pPr>
        <w:spacing w:after="0" w:line="360" w:lineRule="auto"/>
        <w:jc w:val="both"/>
        <w:rPr>
          <w:rFonts w:ascii="Times New Roman" w:eastAsia="Times New Roman" w:hAnsi="Times New Roman" w:cs="Times New Roman"/>
          <w:sz w:val="24"/>
          <w:szCs w:val="24"/>
        </w:rPr>
      </w:pPr>
      <w:r w:rsidRPr="00152918">
        <w:rPr>
          <w:rFonts w:ascii="Times New Roman" w:eastAsia="Times New Roman" w:hAnsi="Times New Roman" w:cs="Times New Roman"/>
          <w:b/>
          <w:sz w:val="24"/>
          <w:szCs w:val="24"/>
        </w:rPr>
        <w:t>Money supply (</w:t>
      </w:r>
      <w:r w:rsidRPr="00152918">
        <w:rPr>
          <w:rFonts w:ascii="Times New Roman" w:eastAsia="Times New Roman" w:hAnsi="Times New Roman" w:cs="Times New Roman"/>
          <w:b/>
          <w:bCs/>
          <w:sz w:val="24"/>
          <w:szCs w:val="24"/>
        </w:rPr>
        <w:t>MS)</w:t>
      </w:r>
      <w:r w:rsidRPr="00152918">
        <w:rPr>
          <w:rFonts w:ascii="Times New Roman" w:eastAsia="Times New Roman" w:hAnsi="Times New Roman" w:cs="Times New Roman"/>
          <w:b/>
          <w:sz w:val="24"/>
          <w:szCs w:val="24"/>
        </w:rPr>
        <w:t>:</w:t>
      </w:r>
      <w:r w:rsidRPr="00152918">
        <w:rPr>
          <w:rFonts w:ascii="Times New Roman" w:eastAsia="Times New Roman" w:hAnsi="Times New Roman" w:cs="Times New Roman"/>
          <w:sz w:val="24"/>
          <w:szCs w:val="24"/>
        </w:rPr>
        <w:t xml:space="preserve"> Often M2 or M3, which includes currency in circulation and other liquid assets)</w:t>
      </w:r>
    </w:p>
    <w:p w14:paraId="3E6D4313" w14:textId="77777777" w:rsidR="00905A62" w:rsidRPr="00152918" w:rsidRDefault="00905A62" w:rsidP="00FD7F20">
      <w:pPr>
        <w:spacing w:after="0" w:line="360" w:lineRule="auto"/>
        <w:jc w:val="both"/>
        <w:rPr>
          <w:rFonts w:ascii="Times New Roman" w:eastAsia="Times New Roman" w:hAnsi="Times New Roman" w:cs="Times New Roman"/>
          <w:sz w:val="24"/>
          <w:szCs w:val="24"/>
        </w:rPr>
      </w:pPr>
      <w:r w:rsidRPr="00152918">
        <w:rPr>
          <w:rFonts w:ascii="Times New Roman" w:eastAsia="Times New Roman" w:hAnsi="Times New Roman" w:cs="Times New Roman"/>
          <w:b/>
          <w:sz w:val="24"/>
          <w:szCs w:val="24"/>
        </w:rPr>
        <w:t>Net exports (</w:t>
      </w:r>
      <w:r w:rsidRPr="00152918">
        <w:rPr>
          <w:rFonts w:ascii="Times New Roman" w:eastAsia="Times New Roman" w:hAnsi="Times New Roman" w:cs="Times New Roman"/>
          <w:b/>
          <w:bCs/>
          <w:sz w:val="24"/>
          <w:szCs w:val="24"/>
        </w:rPr>
        <w:t>NX</w:t>
      </w:r>
      <w:r w:rsidRPr="00152918">
        <w:rPr>
          <w:rFonts w:ascii="Times New Roman" w:eastAsia="Times New Roman" w:hAnsi="Times New Roman" w:cs="Times New Roman"/>
          <w:b/>
          <w:sz w:val="24"/>
          <w:szCs w:val="24"/>
        </w:rPr>
        <w:t>):</w:t>
      </w:r>
      <w:r w:rsidRPr="00152918">
        <w:rPr>
          <w:rFonts w:ascii="Times New Roman" w:eastAsia="Times New Roman" w:hAnsi="Times New Roman" w:cs="Times New Roman"/>
          <w:sz w:val="24"/>
          <w:szCs w:val="24"/>
        </w:rPr>
        <w:t xml:space="preserve"> Calculated as the difference between exports and imports, expressed in percentage of GDP or as a monetary value</w:t>
      </w:r>
    </w:p>
    <w:p w14:paraId="00B3064D" w14:textId="77777777" w:rsidR="00905A62" w:rsidRPr="00152918" w:rsidRDefault="00905A62" w:rsidP="00905A62">
      <w:pPr>
        <w:pStyle w:val="Heading2"/>
        <w:spacing w:line="360" w:lineRule="auto"/>
        <w:rPr>
          <w:rFonts w:ascii="Times New Roman" w:hAnsi="Times New Roman" w:cs="Times New Roman"/>
          <w:b/>
          <w:bCs/>
          <w:color w:val="auto"/>
          <w:sz w:val="24"/>
          <w:szCs w:val="24"/>
          <w:lang w:val="en-GB"/>
        </w:rPr>
      </w:pPr>
      <w:bookmarkStart w:id="2" w:name="_Toc142568418"/>
      <w:r w:rsidRPr="00152918">
        <w:rPr>
          <w:rFonts w:ascii="Times New Roman" w:hAnsi="Times New Roman" w:cs="Times New Roman"/>
          <w:b/>
          <w:bCs/>
          <w:color w:val="auto"/>
          <w:sz w:val="24"/>
          <w:szCs w:val="24"/>
          <w:lang w:val="en-GB"/>
        </w:rPr>
        <w:t>3.3 Data Sources</w:t>
      </w:r>
      <w:bookmarkEnd w:id="2"/>
    </w:p>
    <w:p w14:paraId="6F0555A4" w14:textId="77777777" w:rsidR="00905A62" w:rsidRPr="00152918" w:rsidRDefault="00905A62" w:rsidP="00905A62">
      <w:pPr>
        <w:spacing w:after="0" w:line="360" w:lineRule="auto"/>
        <w:ind w:firstLine="720"/>
        <w:jc w:val="both"/>
        <w:rPr>
          <w:rFonts w:ascii="Times New Roman" w:hAnsi="Times New Roman" w:cs="Times New Roman"/>
          <w:color w:val="000000" w:themeColor="text1"/>
          <w:sz w:val="24"/>
          <w:szCs w:val="24"/>
          <w:lang w:val="en-GB"/>
        </w:rPr>
      </w:pPr>
      <w:r w:rsidRPr="00152918">
        <w:rPr>
          <w:rFonts w:ascii="Times New Roman" w:hAnsi="Times New Roman" w:cs="Times New Roman"/>
          <w:color w:val="000000" w:themeColor="text1"/>
          <w:sz w:val="24"/>
          <w:szCs w:val="24"/>
          <w:lang w:val="en-GB"/>
        </w:rPr>
        <w:t>All data for this study were sourced from the World Bank World Development Indicators (WDI) and Central bank statistical bulletin for these variables will span 24 years (2000-2023) for the five countries.</w:t>
      </w:r>
    </w:p>
    <w:p w14:paraId="3AB37216" w14:textId="60B6B35F" w:rsidR="00905A62" w:rsidRPr="00152918" w:rsidRDefault="00905A62" w:rsidP="00905A62">
      <w:pPr>
        <w:pStyle w:val="Heading2"/>
        <w:spacing w:line="360" w:lineRule="auto"/>
        <w:rPr>
          <w:rFonts w:ascii="Times New Roman" w:hAnsi="Times New Roman" w:cs="Times New Roman"/>
          <w:b/>
          <w:bCs/>
          <w:color w:val="auto"/>
          <w:sz w:val="24"/>
          <w:szCs w:val="24"/>
          <w:lang w:val="en-GB"/>
        </w:rPr>
      </w:pPr>
      <w:bookmarkStart w:id="3" w:name="_Toc142568420"/>
      <w:r w:rsidRPr="00152918">
        <w:rPr>
          <w:rFonts w:ascii="Times New Roman" w:hAnsi="Times New Roman" w:cs="Times New Roman"/>
          <w:b/>
          <w:bCs/>
          <w:color w:val="auto"/>
          <w:sz w:val="24"/>
          <w:szCs w:val="24"/>
          <w:lang w:val="en-GB"/>
        </w:rPr>
        <w:lastRenderedPageBreak/>
        <w:t xml:space="preserve"> Estimation Technique</w:t>
      </w:r>
      <w:bookmarkEnd w:id="3"/>
    </w:p>
    <w:p w14:paraId="112C7E9A" w14:textId="77777777" w:rsidR="00905A62" w:rsidRPr="00152918" w:rsidRDefault="00905A62" w:rsidP="003009A5">
      <w:pPr>
        <w:spacing w:line="360" w:lineRule="auto"/>
        <w:ind w:firstLine="720"/>
        <w:jc w:val="both"/>
        <w:rPr>
          <w:rFonts w:ascii="Times New Roman" w:hAnsi="Times New Roman" w:cs="Times New Roman"/>
          <w:sz w:val="24"/>
          <w:szCs w:val="24"/>
        </w:rPr>
      </w:pPr>
      <w:r w:rsidRPr="00152918">
        <w:rPr>
          <w:rFonts w:ascii="Times New Roman" w:hAnsi="Times New Roman" w:cs="Times New Roman"/>
          <w:color w:val="000000" w:themeColor="text1"/>
          <w:sz w:val="24"/>
          <w:szCs w:val="24"/>
          <w:lang w:val="en-GB"/>
        </w:rPr>
        <w:t xml:space="preserve">This study adopts the fixed effect panel-estimated generalized least square (Panel EGLS) and ordinary least squares (OLS) method. </w:t>
      </w:r>
      <w:r w:rsidRPr="00152918">
        <w:rPr>
          <w:rFonts w:ascii="Times New Roman" w:hAnsi="Times New Roman" w:cs="Times New Roman"/>
          <w:color w:val="000000" w:themeColor="text1"/>
          <w:sz w:val="24"/>
          <w:szCs w:val="24"/>
        </w:rPr>
        <w:t>The justification for this choice is that fixed effect models can control the observed heterogeneity (Hegde &amp; Mishra, 2019) and it also allows for heteroscedasticity and serial correlation to be addressed by the standard errors (Driscoll &amp; Kraay, 1998).</w:t>
      </w:r>
      <w:r w:rsidRPr="00152918">
        <w:rPr>
          <w:rFonts w:ascii="Times New Roman" w:hAnsi="Times New Roman" w:cs="Times New Roman"/>
          <w:color w:val="000000" w:themeColor="text1"/>
          <w:sz w:val="24"/>
          <w:szCs w:val="24"/>
          <w:lang w:val="en-GB"/>
        </w:rPr>
        <w:t xml:space="preserve"> </w:t>
      </w:r>
      <w:r w:rsidRPr="00152918">
        <w:rPr>
          <w:rFonts w:ascii="Times New Roman" w:hAnsi="Times New Roman" w:cs="Times New Roman"/>
          <w:color w:val="000000" w:themeColor="text1"/>
          <w:sz w:val="24"/>
          <w:szCs w:val="24"/>
        </w:rPr>
        <w:t>The advantage of using a fixed effect model over other panel models (random effect and pooled effect panel models) lies in its ability to control for unobserved time-invariant heterogeneity among individual entities in the panel dataset. Fixed effect models capture entity-specific characteristics that remain constant over time, allowing them to control for factors that might otherwise bias the estimates. This is particularly important when dealing with panel data, where entities (such as countries) have unique attributes (for example availability of natural resources like crude oil or gold) that could influence the relationship being studied. In contrast, random effect models assume that the unobserved heterogeneity is uncorrelated with the observed variables, which might not hold true in many real-world scenarios. Pooled effect models treat all entities as if they are identical, neglecting potential variations across entities. Therefore, fixed effect models are preferred when you want to account for and control the impact of unobserved heterogeneity, resulting in more accurate and reliable parameter estimates</w:t>
      </w:r>
    </w:p>
    <w:p w14:paraId="0A9418AA" w14:textId="6C2D935C" w:rsidR="009C6F36" w:rsidRDefault="00905A62" w:rsidP="00905A62">
      <w:pPr>
        <w:pStyle w:val="Heading2"/>
        <w:spacing w:after="240" w:line="360" w:lineRule="auto"/>
        <w:rPr>
          <w:rFonts w:ascii="Times New Roman" w:hAnsi="Times New Roman" w:cs="Times New Roman"/>
          <w:b/>
          <w:bCs/>
          <w:color w:val="auto"/>
          <w:sz w:val="24"/>
          <w:szCs w:val="24"/>
          <w:lang w:val="en-GB"/>
        </w:rPr>
      </w:pPr>
      <w:bookmarkStart w:id="4" w:name="_Toc142568434"/>
      <w:r w:rsidRPr="00152918">
        <w:rPr>
          <w:rFonts w:ascii="Times New Roman" w:hAnsi="Times New Roman" w:cs="Times New Roman"/>
          <w:b/>
          <w:bCs/>
          <w:color w:val="auto"/>
          <w:sz w:val="24"/>
          <w:szCs w:val="24"/>
          <w:lang w:val="en-GB"/>
        </w:rPr>
        <w:tab/>
      </w:r>
      <w:r w:rsidR="00540CCF" w:rsidRPr="00152918">
        <w:rPr>
          <w:rFonts w:ascii="Times New Roman" w:hAnsi="Times New Roman" w:cs="Times New Roman"/>
          <w:b/>
          <w:bCs/>
          <w:color w:val="auto"/>
          <w:sz w:val="24"/>
          <w:szCs w:val="24"/>
          <w:lang w:val="en-GB"/>
        </w:rPr>
        <w:t xml:space="preserve"> EMPIRICAL ANALYSIS</w:t>
      </w:r>
    </w:p>
    <w:p w14:paraId="1DA99943" w14:textId="0AC6E035" w:rsidR="00905A62" w:rsidRPr="00152918" w:rsidRDefault="00905A62" w:rsidP="00905A62">
      <w:pPr>
        <w:pStyle w:val="Heading2"/>
        <w:spacing w:after="240" w:line="360" w:lineRule="auto"/>
        <w:rPr>
          <w:rFonts w:ascii="Times New Roman" w:hAnsi="Times New Roman" w:cs="Times New Roman"/>
          <w:b/>
          <w:bCs/>
          <w:color w:val="auto"/>
          <w:sz w:val="24"/>
          <w:szCs w:val="24"/>
          <w:lang w:val="en-GB"/>
        </w:rPr>
      </w:pPr>
      <w:r w:rsidRPr="00152918">
        <w:rPr>
          <w:rFonts w:ascii="Times New Roman" w:hAnsi="Times New Roman" w:cs="Times New Roman"/>
          <w:b/>
          <w:bCs/>
          <w:color w:val="auto"/>
          <w:sz w:val="24"/>
          <w:szCs w:val="24"/>
          <w:lang w:val="en-GB"/>
        </w:rPr>
        <w:tab/>
        <w:t>Descriptive Statistics</w:t>
      </w:r>
      <w:bookmarkEnd w:id="4"/>
      <w:r w:rsidRPr="00152918">
        <w:rPr>
          <w:rFonts w:ascii="Times New Roman" w:hAnsi="Times New Roman" w:cs="Times New Roman"/>
          <w:b/>
          <w:bCs/>
          <w:color w:val="auto"/>
          <w:sz w:val="24"/>
          <w:szCs w:val="24"/>
          <w:lang w:val="en-GB"/>
        </w:rPr>
        <w:t xml:space="preserve"> </w:t>
      </w:r>
    </w:p>
    <w:p w14:paraId="0E696434" w14:textId="77777777" w:rsidR="00905A62" w:rsidRPr="00152918" w:rsidRDefault="00905A62" w:rsidP="00905A62">
      <w:pPr>
        <w:spacing w:line="360" w:lineRule="auto"/>
        <w:jc w:val="both"/>
        <w:rPr>
          <w:rFonts w:ascii="Times New Roman" w:hAnsi="Times New Roman" w:cs="Times New Roman"/>
          <w:b/>
          <w:bCs/>
          <w:sz w:val="24"/>
          <w:szCs w:val="24"/>
        </w:rPr>
      </w:pPr>
      <w:r w:rsidRPr="00152918">
        <w:rPr>
          <w:rFonts w:ascii="Times New Roman" w:hAnsi="Times New Roman" w:cs="Times New Roman"/>
          <w:b/>
          <w:bCs/>
          <w:sz w:val="24"/>
          <w:szCs w:val="24"/>
        </w:rPr>
        <w:t xml:space="preserve">Trend Analysis of Poverty for Nigeria, Ghana, </w:t>
      </w:r>
      <w:r>
        <w:rPr>
          <w:rFonts w:ascii="Times New Roman" w:hAnsi="Times New Roman" w:cs="Times New Roman"/>
          <w:b/>
          <w:bCs/>
          <w:sz w:val="24"/>
          <w:szCs w:val="24"/>
        </w:rPr>
        <w:t>Côte</w:t>
      </w:r>
      <w:r w:rsidRPr="00152918">
        <w:rPr>
          <w:rFonts w:ascii="Times New Roman" w:hAnsi="Times New Roman" w:cs="Times New Roman"/>
          <w:b/>
          <w:bCs/>
          <w:sz w:val="24"/>
          <w:szCs w:val="24"/>
        </w:rPr>
        <w:t xml:space="preserve"> d’Ivoire, Senegal, and Liberia</w:t>
      </w:r>
    </w:p>
    <w:p w14:paraId="7C35CF97"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Figure 1 below represents the trend of GDP per capita from 2000 to 2023 for five West African countries namely, Nigeria, Ghana, Cote d’Ivoire, Senegal, and Liberia. GDP per capita is often used as a proxy for poverty levels, with higher values indicating higher income per individual and lower poverty rates. From the graph, Nigeria starts with a relatively low GDP per capita in 2000, followed by a sharp increase between 2001 and 2002. Nigeria experienced significant economic growth largely driven by </w:t>
      </w:r>
      <w:r w:rsidRPr="00152918">
        <w:rPr>
          <w:rFonts w:ascii="Times New Roman" w:hAnsi="Times New Roman" w:cs="Times New Roman"/>
          <w:bCs/>
          <w:sz w:val="24"/>
          <w:szCs w:val="24"/>
        </w:rPr>
        <w:t>high oil prices</w:t>
      </w:r>
      <w:r w:rsidRPr="00152918">
        <w:rPr>
          <w:rFonts w:ascii="Times New Roman" w:hAnsi="Times New Roman" w:cs="Times New Roman"/>
          <w:sz w:val="24"/>
          <w:szCs w:val="24"/>
        </w:rPr>
        <w:t xml:space="preserve">, with GDP per capita rising steadily. This period saw </w:t>
      </w:r>
      <w:r w:rsidRPr="00152918">
        <w:rPr>
          <w:rFonts w:ascii="Times New Roman" w:hAnsi="Times New Roman" w:cs="Times New Roman"/>
          <w:bCs/>
          <w:sz w:val="24"/>
          <w:szCs w:val="24"/>
        </w:rPr>
        <w:t>fiscal discipline</w:t>
      </w:r>
      <w:r w:rsidRPr="00152918">
        <w:rPr>
          <w:rFonts w:ascii="Times New Roman" w:hAnsi="Times New Roman" w:cs="Times New Roman"/>
          <w:sz w:val="24"/>
          <w:szCs w:val="24"/>
        </w:rPr>
        <w:t xml:space="preserve">, oil-driven export growth, and increased investment. The </w:t>
      </w:r>
      <w:r w:rsidRPr="00152918">
        <w:rPr>
          <w:rFonts w:ascii="Times New Roman" w:hAnsi="Times New Roman" w:cs="Times New Roman"/>
          <w:bCs/>
          <w:sz w:val="24"/>
          <w:szCs w:val="24"/>
        </w:rPr>
        <w:t>National Economic Empowerment and Development Strategy (NEEDS)</w:t>
      </w:r>
      <w:r w:rsidRPr="00152918">
        <w:rPr>
          <w:rFonts w:ascii="Times New Roman" w:hAnsi="Times New Roman" w:cs="Times New Roman"/>
          <w:sz w:val="24"/>
          <w:szCs w:val="24"/>
        </w:rPr>
        <w:t xml:space="preserve"> was implemented, aimed at reducing poverty and stabilizing the economy. From the year </w:t>
      </w:r>
      <w:r w:rsidRPr="00152918">
        <w:rPr>
          <w:rFonts w:ascii="Times New Roman" w:hAnsi="Times New Roman" w:cs="Times New Roman"/>
          <w:bCs/>
          <w:sz w:val="24"/>
          <w:szCs w:val="24"/>
        </w:rPr>
        <w:t>2002-2014</w:t>
      </w:r>
      <w:r w:rsidRPr="00152918">
        <w:rPr>
          <w:rFonts w:ascii="Times New Roman" w:hAnsi="Times New Roman" w:cs="Times New Roman"/>
          <w:sz w:val="24"/>
          <w:szCs w:val="24"/>
        </w:rPr>
        <w:t xml:space="preserve"> there was a consistent upward trend during </w:t>
      </w:r>
      <w:r w:rsidRPr="00152918">
        <w:rPr>
          <w:rFonts w:ascii="Times New Roman" w:hAnsi="Times New Roman" w:cs="Times New Roman"/>
          <w:sz w:val="24"/>
          <w:szCs w:val="24"/>
        </w:rPr>
        <w:lastRenderedPageBreak/>
        <w:t>this period, reflecting improvements in the Nigerian economy, likely driven by oil exports. However, the global financial crisis in 2008 affected Nigeria's economy, leading to slower GDP per capita growth. The Central Bank of Nigeria (CBN) implemented monetary tightening policies to control inflation.</w:t>
      </w:r>
    </w:p>
    <w:p w14:paraId="3769D69B"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bCs/>
          <w:sz w:val="24"/>
          <w:szCs w:val="24"/>
        </w:rPr>
        <w:t xml:space="preserve">From 2015-2018 there was fluctuation in the value of </w:t>
      </w:r>
      <w:r w:rsidRPr="00152918">
        <w:rPr>
          <w:rFonts w:ascii="Times New Roman" w:hAnsi="Times New Roman" w:cs="Times New Roman"/>
          <w:sz w:val="24"/>
          <w:szCs w:val="24"/>
        </w:rPr>
        <w:t xml:space="preserve">GDP per </w:t>
      </w:r>
      <w:proofErr w:type="gramStart"/>
      <w:r w:rsidRPr="00152918">
        <w:rPr>
          <w:rFonts w:ascii="Times New Roman" w:hAnsi="Times New Roman" w:cs="Times New Roman"/>
          <w:sz w:val="24"/>
          <w:szCs w:val="24"/>
        </w:rPr>
        <w:t>capita,  as</w:t>
      </w:r>
      <w:proofErr w:type="gramEnd"/>
      <w:r w:rsidRPr="00152918">
        <w:rPr>
          <w:rFonts w:ascii="Times New Roman" w:hAnsi="Times New Roman" w:cs="Times New Roman"/>
          <w:sz w:val="24"/>
          <w:szCs w:val="24"/>
        </w:rPr>
        <w:t xml:space="preserve"> observed it dips around 2015, corresponding to the oil price crash and economic recession in Nigeria, after which it stabilizes but grows at a slower pace. The Nigerian government responded with expansionary fiscal policies, such as the </w:t>
      </w:r>
      <w:r w:rsidRPr="00152918">
        <w:rPr>
          <w:rFonts w:ascii="Times New Roman" w:hAnsi="Times New Roman" w:cs="Times New Roman"/>
          <w:bCs/>
          <w:sz w:val="24"/>
          <w:szCs w:val="24"/>
        </w:rPr>
        <w:t>economic recovery and growth plan (ERGP</w:t>
      </w:r>
      <w:r w:rsidRPr="00152918">
        <w:rPr>
          <w:rFonts w:ascii="Times New Roman" w:hAnsi="Times New Roman" w:cs="Times New Roman"/>
          <w:b/>
          <w:bCs/>
          <w:sz w:val="24"/>
          <w:szCs w:val="24"/>
        </w:rPr>
        <w:t>)</w:t>
      </w:r>
      <w:r w:rsidRPr="00152918">
        <w:rPr>
          <w:rFonts w:ascii="Times New Roman" w:hAnsi="Times New Roman" w:cs="Times New Roman"/>
          <w:sz w:val="24"/>
          <w:szCs w:val="24"/>
        </w:rPr>
        <w:t xml:space="preserve">, and monetary policies such as exchange rate devaluation and interest rate hikes by the CBN to stabilize the currency and curb inflation. A </w:t>
      </w:r>
      <w:r w:rsidRPr="00152918">
        <w:rPr>
          <w:rFonts w:ascii="Times New Roman" w:hAnsi="Times New Roman" w:cs="Times New Roman"/>
          <w:bCs/>
          <w:sz w:val="24"/>
          <w:szCs w:val="24"/>
        </w:rPr>
        <w:t>moderate recovery occurs from (2018-2023)</w:t>
      </w:r>
      <w:r w:rsidRPr="00152918">
        <w:rPr>
          <w:rFonts w:ascii="Times New Roman" w:hAnsi="Times New Roman" w:cs="Times New Roman"/>
          <w:sz w:val="24"/>
          <w:szCs w:val="24"/>
        </w:rPr>
        <w:t xml:space="preserve">, Nigeria experiences a gradual recovery after 2018, but was hit hard again during the 2020 pandemic. The CBN introduced </w:t>
      </w:r>
      <w:r w:rsidRPr="00152918">
        <w:rPr>
          <w:rFonts w:ascii="Times New Roman" w:hAnsi="Times New Roman" w:cs="Times New Roman"/>
          <w:bCs/>
          <w:sz w:val="24"/>
          <w:szCs w:val="24"/>
        </w:rPr>
        <w:t>monetary stimulus packages</w:t>
      </w:r>
      <w:r w:rsidRPr="00152918">
        <w:rPr>
          <w:rFonts w:ascii="Times New Roman" w:hAnsi="Times New Roman" w:cs="Times New Roman"/>
          <w:sz w:val="24"/>
          <w:szCs w:val="24"/>
        </w:rPr>
        <w:t xml:space="preserve"> and </w:t>
      </w:r>
      <w:r w:rsidRPr="00152918">
        <w:rPr>
          <w:rFonts w:ascii="Times New Roman" w:hAnsi="Times New Roman" w:cs="Times New Roman"/>
          <w:bCs/>
          <w:sz w:val="24"/>
          <w:szCs w:val="24"/>
        </w:rPr>
        <w:t>fiscal stimulus</w:t>
      </w:r>
      <w:r w:rsidRPr="00152918">
        <w:rPr>
          <w:rFonts w:ascii="Times New Roman" w:hAnsi="Times New Roman" w:cs="Times New Roman"/>
          <w:sz w:val="24"/>
          <w:szCs w:val="24"/>
        </w:rPr>
        <w:t xml:space="preserve"> (through increased government expenditure) to mitigate the effects of the pandemic though the growth remains moderate.</w:t>
      </w:r>
    </w:p>
    <w:p w14:paraId="725AD0CC"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Ghana's GDP per capita grew steadily from 2000 to 2014 due to </w:t>
      </w:r>
      <w:r w:rsidRPr="00152918">
        <w:rPr>
          <w:rFonts w:ascii="Times New Roman" w:hAnsi="Times New Roman" w:cs="Times New Roman"/>
          <w:bCs/>
          <w:sz w:val="24"/>
          <w:szCs w:val="24"/>
        </w:rPr>
        <w:t>macroeconomic reforms</w:t>
      </w:r>
      <w:r w:rsidRPr="00152918">
        <w:rPr>
          <w:rFonts w:ascii="Times New Roman" w:hAnsi="Times New Roman" w:cs="Times New Roman"/>
          <w:sz w:val="24"/>
          <w:szCs w:val="24"/>
        </w:rPr>
        <w:t xml:space="preserve">, including fiscal discipline, and efforts to control inflation through </w:t>
      </w:r>
      <w:r w:rsidRPr="00152918">
        <w:rPr>
          <w:rFonts w:ascii="Times New Roman" w:hAnsi="Times New Roman" w:cs="Times New Roman"/>
          <w:bCs/>
          <w:sz w:val="24"/>
          <w:szCs w:val="24"/>
        </w:rPr>
        <w:t>tight monetary policies</w:t>
      </w:r>
      <w:r w:rsidRPr="00152918">
        <w:rPr>
          <w:rFonts w:ascii="Times New Roman" w:hAnsi="Times New Roman" w:cs="Times New Roman"/>
          <w:sz w:val="24"/>
          <w:szCs w:val="24"/>
        </w:rPr>
        <w:t xml:space="preserve"> by the Bank of Ghana. The country benefited from </w:t>
      </w:r>
      <w:r w:rsidRPr="00152918">
        <w:rPr>
          <w:rFonts w:ascii="Times New Roman" w:hAnsi="Times New Roman" w:cs="Times New Roman"/>
          <w:bCs/>
          <w:sz w:val="24"/>
          <w:szCs w:val="24"/>
        </w:rPr>
        <w:t>debt relief</w:t>
      </w:r>
      <w:r w:rsidRPr="00152918">
        <w:rPr>
          <w:rFonts w:ascii="Times New Roman" w:hAnsi="Times New Roman" w:cs="Times New Roman"/>
          <w:sz w:val="24"/>
          <w:szCs w:val="24"/>
        </w:rPr>
        <w:t xml:space="preserve"> under the </w:t>
      </w:r>
      <w:r w:rsidRPr="00152918">
        <w:rPr>
          <w:rFonts w:ascii="Times New Roman" w:hAnsi="Times New Roman" w:cs="Times New Roman"/>
          <w:bCs/>
          <w:sz w:val="24"/>
          <w:szCs w:val="24"/>
        </w:rPr>
        <w:t>Heavily Indebted Poor Countries (HIPC) initiative</w:t>
      </w:r>
      <w:r w:rsidRPr="00152918">
        <w:rPr>
          <w:rFonts w:ascii="Times New Roman" w:hAnsi="Times New Roman" w:cs="Times New Roman"/>
          <w:sz w:val="24"/>
          <w:szCs w:val="24"/>
        </w:rPr>
        <w:t xml:space="preserve"> and investments in sectors like mining and agriculture. By 2014-2015, Ghana was facing </w:t>
      </w:r>
      <w:r w:rsidRPr="00152918">
        <w:rPr>
          <w:rFonts w:ascii="Times New Roman" w:hAnsi="Times New Roman" w:cs="Times New Roman"/>
          <w:bCs/>
          <w:sz w:val="24"/>
          <w:szCs w:val="24"/>
        </w:rPr>
        <w:t>fiscal challenges</w:t>
      </w:r>
      <w:r w:rsidRPr="00152918">
        <w:rPr>
          <w:rFonts w:ascii="Times New Roman" w:hAnsi="Times New Roman" w:cs="Times New Roman"/>
          <w:sz w:val="24"/>
          <w:szCs w:val="24"/>
        </w:rPr>
        <w:t xml:space="preserve"> due to high public debt and a widening budget deficit. The country entered an </w:t>
      </w:r>
      <w:r w:rsidRPr="00152918">
        <w:rPr>
          <w:rFonts w:ascii="Times New Roman" w:hAnsi="Times New Roman" w:cs="Times New Roman"/>
          <w:bCs/>
          <w:sz w:val="24"/>
          <w:szCs w:val="24"/>
        </w:rPr>
        <w:t>IMF Extended Credit Facility program</w:t>
      </w:r>
      <w:r w:rsidRPr="00152918">
        <w:rPr>
          <w:rFonts w:ascii="Times New Roman" w:hAnsi="Times New Roman" w:cs="Times New Roman"/>
          <w:sz w:val="24"/>
          <w:szCs w:val="24"/>
        </w:rPr>
        <w:t xml:space="preserve"> in 2015, which led to a series of fiscal consolidation policies aimed at stabilizing the economy. In recent years, particularly during the pandemic, the </w:t>
      </w:r>
      <w:r w:rsidRPr="00152918">
        <w:rPr>
          <w:rFonts w:ascii="Times New Roman" w:hAnsi="Times New Roman" w:cs="Times New Roman"/>
          <w:bCs/>
          <w:sz w:val="24"/>
          <w:szCs w:val="24"/>
        </w:rPr>
        <w:t>Bank of Ghana</w:t>
      </w:r>
      <w:r w:rsidRPr="00152918">
        <w:rPr>
          <w:rFonts w:ascii="Times New Roman" w:hAnsi="Times New Roman" w:cs="Times New Roman"/>
          <w:sz w:val="24"/>
          <w:szCs w:val="24"/>
        </w:rPr>
        <w:t xml:space="preserve"> implemented monetary tightening to manage inflation and stabilize the currency, supporting recovery in GDP per capita growth.</w:t>
      </w:r>
    </w:p>
    <w:p w14:paraId="21090FCE" w14:textId="77777777" w:rsidR="00905A62" w:rsidRPr="00152918" w:rsidRDefault="00905A62" w:rsidP="00905A62">
      <w:pPr>
        <w:spacing w:line="360" w:lineRule="auto"/>
        <w:ind w:firstLine="360"/>
        <w:jc w:val="both"/>
        <w:rPr>
          <w:rFonts w:ascii="Times New Roman" w:hAnsi="Times New Roman" w:cs="Times New Roman"/>
          <w:sz w:val="24"/>
          <w:szCs w:val="24"/>
        </w:rPr>
      </w:pPr>
      <w:r w:rsidRPr="00152918">
        <w:rPr>
          <w:rFonts w:ascii="Times New Roman" w:hAnsi="Times New Roman" w:cs="Times New Roman"/>
          <w:sz w:val="24"/>
          <w:szCs w:val="24"/>
        </w:rPr>
        <w:t xml:space="preserve">Cote d’Ivoire’s volatile GDP per capita trend from 2000 to 2010 reflects the effects of civil conflict and political instability, which led to a significant contraction in economic growth. Fiscal and monetary policies during this period were largely ineffective in stabilizing the economy. After the resolution of the civil war, Cote d’Ivoire experienced robust economic growth due to political stability, structural reforms, and </w:t>
      </w:r>
      <w:r w:rsidRPr="00152918">
        <w:rPr>
          <w:rFonts w:ascii="Times New Roman" w:hAnsi="Times New Roman" w:cs="Times New Roman"/>
          <w:bCs/>
          <w:sz w:val="24"/>
          <w:szCs w:val="24"/>
        </w:rPr>
        <w:t>IMF-backed fiscal reforms</w:t>
      </w:r>
      <w:r w:rsidRPr="00152918">
        <w:rPr>
          <w:rFonts w:ascii="Times New Roman" w:hAnsi="Times New Roman" w:cs="Times New Roman"/>
          <w:sz w:val="24"/>
          <w:szCs w:val="24"/>
        </w:rPr>
        <w:t xml:space="preserve"> aimed at attracting foreign direct investment and improving infrastructure. As a member of the </w:t>
      </w:r>
      <w:r w:rsidRPr="00152918">
        <w:rPr>
          <w:rFonts w:ascii="Times New Roman" w:hAnsi="Times New Roman" w:cs="Times New Roman"/>
          <w:bCs/>
          <w:sz w:val="24"/>
          <w:szCs w:val="24"/>
        </w:rPr>
        <w:t>West African Economic and Monetary Union (WAEMU)</w:t>
      </w:r>
      <w:r w:rsidRPr="00152918">
        <w:rPr>
          <w:rFonts w:ascii="Times New Roman" w:hAnsi="Times New Roman" w:cs="Times New Roman"/>
          <w:sz w:val="24"/>
          <w:szCs w:val="24"/>
        </w:rPr>
        <w:t xml:space="preserve">, Cote d’Ivoire benefited from a stable monetary policy under the </w:t>
      </w:r>
      <w:r w:rsidRPr="00152918">
        <w:rPr>
          <w:rFonts w:ascii="Times New Roman" w:hAnsi="Times New Roman" w:cs="Times New Roman"/>
          <w:bCs/>
          <w:sz w:val="24"/>
          <w:szCs w:val="24"/>
        </w:rPr>
        <w:t xml:space="preserve">CFA </w:t>
      </w:r>
      <w:r w:rsidRPr="00152918">
        <w:rPr>
          <w:rFonts w:ascii="Times New Roman" w:hAnsi="Times New Roman" w:cs="Times New Roman"/>
          <w:bCs/>
          <w:sz w:val="24"/>
          <w:szCs w:val="24"/>
        </w:rPr>
        <w:lastRenderedPageBreak/>
        <w:t>franc</w:t>
      </w:r>
      <w:r w:rsidRPr="00152918">
        <w:rPr>
          <w:rFonts w:ascii="Times New Roman" w:hAnsi="Times New Roman" w:cs="Times New Roman"/>
          <w:sz w:val="24"/>
          <w:szCs w:val="24"/>
        </w:rPr>
        <w:t>, which is pegged to the Euro, helping to curb inflation and provide a stable exchange rate environment for growth</w:t>
      </w:r>
    </w:p>
    <w:p w14:paraId="73B028AD" w14:textId="77777777" w:rsidR="00905A62" w:rsidRPr="00152918" w:rsidRDefault="00905A62" w:rsidP="00905A62">
      <w:pPr>
        <w:spacing w:line="360" w:lineRule="auto"/>
        <w:ind w:firstLine="360"/>
        <w:jc w:val="both"/>
        <w:rPr>
          <w:rFonts w:ascii="Times New Roman" w:hAnsi="Times New Roman" w:cs="Times New Roman"/>
          <w:sz w:val="24"/>
          <w:szCs w:val="24"/>
        </w:rPr>
      </w:pPr>
      <w:r w:rsidRPr="00152918">
        <w:rPr>
          <w:rFonts w:ascii="Times New Roman" w:hAnsi="Times New Roman" w:cs="Times New Roman"/>
          <w:sz w:val="24"/>
          <w:szCs w:val="24"/>
        </w:rPr>
        <w:t xml:space="preserve">Senegal exhibited consistent GDP per capita growth throughout the period from 2000 to 2023, reflecting political stability and sustainable economic policies. The government implemented </w:t>
      </w:r>
      <w:r w:rsidRPr="00152918">
        <w:rPr>
          <w:rFonts w:ascii="Times New Roman" w:hAnsi="Times New Roman" w:cs="Times New Roman"/>
          <w:bCs/>
          <w:sz w:val="24"/>
          <w:szCs w:val="24"/>
        </w:rPr>
        <w:t>fiscal consolidation</w:t>
      </w:r>
      <w:r w:rsidRPr="00152918">
        <w:rPr>
          <w:rFonts w:ascii="Times New Roman" w:hAnsi="Times New Roman" w:cs="Times New Roman"/>
          <w:sz w:val="24"/>
          <w:szCs w:val="24"/>
        </w:rPr>
        <w:t xml:space="preserve"> efforts, supported by structural reforms under the </w:t>
      </w:r>
      <w:r w:rsidRPr="00152918">
        <w:rPr>
          <w:rFonts w:ascii="Times New Roman" w:hAnsi="Times New Roman" w:cs="Times New Roman"/>
          <w:bCs/>
          <w:sz w:val="24"/>
          <w:szCs w:val="24"/>
        </w:rPr>
        <w:t>Plan for an Emerging Senegal (PES)</w:t>
      </w:r>
      <w:r w:rsidRPr="00152918">
        <w:rPr>
          <w:rFonts w:ascii="Times New Roman" w:hAnsi="Times New Roman" w:cs="Times New Roman"/>
          <w:sz w:val="24"/>
          <w:szCs w:val="24"/>
        </w:rPr>
        <w:t xml:space="preserve">, focusing on infrastructure and public investments. Like Cote d’Ivoire, Senegal benefited from the stability provided by WAEMU's monetary policy, with low inflation and stable exchange rates due to the CFA franc peg. Senegal's growth, while not as sharp as Cote d’Ivoire or Ghana, reflects sustainable development and poverty reduction efforts. Senegal responded to the pandemic with </w:t>
      </w:r>
      <w:r w:rsidRPr="00152918">
        <w:rPr>
          <w:rFonts w:ascii="Times New Roman" w:hAnsi="Times New Roman" w:cs="Times New Roman"/>
          <w:bCs/>
          <w:sz w:val="24"/>
          <w:szCs w:val="24"/>
        </w:rPr>
        <w:t>fiscal stimulus packages</w:t>
      </w:r>
      <w:r w:rsidRPr="00152918">
        <w:rPr>
          <w:rFonts w:ascii="Times New Roman" w:hAnsi="Times New Roman" w:cs="Times New Roman"/>
          <w:sz w:val="24"/>
          <w:szCs w:val="24"/>
        </w:rPr>
        <w:t xml:space="preserve"> aimed at supporting businesses and households, helping maintain steady GDP per capita growth.</w:t>
      </w:r>
    </w:p>
    <w:p w14:paraId="481562B1" w14:textId="77777777" w:rsidR="00905A62" w:rsidRPr="00FD7F20" w:rsidRDefault="00905A62" w:rsidP="00FD7F20">
      <w:pPr>
        <w:spacing w:line="360" w:lineRule="auto"/>
        <w:ind w:firstLine="360"/>
        <w:jc w:val="both"/>
        <w:rPr>
          <w:rFonts w:ascii="Times New Roman" w:hAnsi="Times New Roman" w:cs="Times New Roman"/>
          <w:sz w:val="24"/>
          <w:szCs w:val="24"/>
        </w:rPr>
      </w:pPr>
      <w:r w:rsidRPr="00152918">
        <w:rPr>
          <w:rFonts w:ascii="Times New Roman" w:hAnsi="Times New Roman" w:cs="Times New Roman"/>
          <w:sz w:val="24"/>
          <w:szCs w:val="24"/>
        </w:rPr>
        <w:t xml:space="preserve">Liberia’s GDP per capita remained low throughout the period from </w:t>
      </w:r>
      <w:r w:rsidRPr="00152918">
        <w:rPr>
          <w:rFonts w:ascii="Times New Roman" w:hAnsi="Times New Roman" w:cs="Times New Roman"/>
          <w:bCs/>
          <w:sz w:val="24"/>
          <w:szCs w:val="24"/>
        </w:rPr>
        <w:t>2000-2010</w:t>
      </w:r>
      <w:r w:rsidRPr="00152918">
        <w:rPr>
          <w:rFonts w:ascii="Times New Roman" w:hAnsi="Times New Roman" w:cs="Times New Roman"/>
          <w:sz w:val="24"/>
          <w:szCs w:val="24"/>
        </w:rPr>
        <w:t xml:space="preserve"> reflecting the devastating effects of its civil war. Fiscal and monetary policies during this period were primarily focused on stabilization and reconstruction, with significant reliance on </w:t>
      </w:r>
      <w:r w:rsidRPr="00152918">
        <w:rPr>
          <w:rFonts w:ascii="Times New Roman" w:hAnsi="Times New Roman" w:cs="Times New Roman"/>
          <w:bCs/>
          <w:sz w:val="24"/>
          <w:szCs w:val="24"/>
        </w:rPr>
        <w:t>foreign aid</w:t>
      </w:r>
      <w:r w:rsidRPr="00152918">
        <w:rPr>
          <w:rFonts w:ascii="Times New Roman" w:hAnsi="Times New Roman" w:cs="Times New Roman"/>
          <w:sz w:val="24"/>
          <w:szCs w:val="24"/>
        </w:rPr>
        <w:t xml:space="preserve"> and </w:t>
      </w:r>
      <w:r w:rsidRPr="00152918">
        <w:rPr>
          <w:rFonts w:ascii="Times New Roman" w:hAnsi="Times New Roman" w:cs="Times New Roman"/>
          <w:bCs/>
          <w:sz w:val="24"/>
          <w:szCs w:val="24"/>
        </w:rPr>
        <w:t>debt relief</w:t>
      </w:r>
      <w:r w:rsidRPr="00152918">
        <w:rPr>
          <w:rFonts w:ascii="Times New Roman" w:hAnsi="Times New Roman" w:cs="Times New Roman"/>
          <w:sz w:val="24"/>
          <w:szCs w:val="24"/>
        </w:rPr>
        <w:t xml:space="preserve"> under the HIPC initiative. The post-conflict recovery of Liberia has been slower compared to other countries. The </w:t>
      </w:r>
      <w:r w:rsidRPr="00152918">
        <w:rPr>
          <w:rFonts w:ascii="Times New Roman" w:hAnsi="Times New Roman" w:cs="Times New Roman"/>
          <w:bCs/>
          <w:sz w:val="24"/>
          <w:szCs w:val="24"/>
        </w:rPr>
        <w:t>Ebola crisis (2014-2016)</w:t>
      </w:r>
      <w:r w:rsidRPr="00152918">
        <w:rPr>
          <w:rFonts w:ascii="Times New Roman" w:hAnsi="Times New Roman" w:cs="Times New Roman"/>
          <w:sz w:val="24"/>
          <w:szCs w:val="24"/>
        </w:rPr>
        <w:t xml:space="preserve"> further hindered economic growth, leading to a stagnation in GDP per capita. In recent years, Liberia has implemented </w:t>
      </w:r>
      <w:r w:rsidRPr="00152918">
        <w:rPr>
          <w:rFonts w:ascii="Times New Roman" w:hAnsi="Times New Roman" w:cs="Times New Roman"/>
          <w:bCs/>
          <w:sz w:val="24"/>
          <w:szCs w:val="24"/>
        </w:rPr>
        <w:t>monetary tightening policies</w:t>
      </w:r>
      <w:r w:rsidRPr="00152918">
        <w:rPr>
          <w:rFonts w:ascii="Times New Roman" w:hAnsi="Times New Roman" w:cs="Times New Roman"/>
          <w:sz w:val="24"/>
          <w:szCs w:val="24"/>
        </w:rPr>
        <w:t xml:space="preserve"> to manage inflation, but growth remains sluggish due to weak institutional frameworks and limited fiscal space. In 2019, Liberia secured an IMF loan under the </w:t>
      </w:r>
      <w:r w:rsidRPr="00152918">
        <w:rPr>
          <w:rFonts w:ascii="Times New Roman" w:hAnsi="Times New Roman" w:cs="Times New Roman"/>
          <w:bCs/>
          <w:sz w:val="24"/>
          <w:szCs w:val="24"/>
        </w:rPr>
        <w:t>extended credit facility (ECF)</w:t>
      </w:r>
      <w:r w:rsidRPr="00152918">
        <w:rPr>
          <w:rFonts w:ascii="Times New Roman" w:hAnsi="Times New Roman" w:cs="Times New Roman"/>
          <w:sz w:val="24"/>
          <w:szCs w:val="24"/>
        </w:rPr>
        <w:t xml:space="preserve"> program, which aimed at fiscal and monetary reforms to address macroeconomic imbalances, but the impact on GDP per capita has been limited</w:t>
      </w:r>
    </w:p>
    <w:p w14:paraId="7778053A"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noProof/>
          <w:sz w:val="24"/>
          <w:szCs w:val="24"/>
        </w:rPr>
        <w:drawing>
          <wp:inline distT="0" distB="0" distL="0" distR="0" wp14:anchorId="49747FFE" wp14:editId="155F162F">
            <wp:extent cx="4637314" cy="2362200"/>
            <wp:effectExtent l="0" t="0" r="1143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26D759C" w14:textId="77777777" w:rsidR="00905A62" w:rsidRPr="00152918" w:rsidRDefault="00905A62" w:rsidP="00905A62">
      <w:pPr>
        <w:pStyle w:val="Caption"/>
        <w:spacing w:after="0" w:line="360" w:lineRule="auto"/>
        <w:jc w:val="center"/>
        <w:rPr>
          <w:rFonts w:ascii="Times New Roman" w:hAnsi="Times New Roman" w:cs="Times New Roman"/>
          <w:b/>
          <w:bCs/>
          <w:sz w:val="24"/>
          <w:szCs w:val="24"/>
        </w:rPr>
      </w:pPr>
      <w:bookmarkStart w:id="5" w:name="_Toc142382823"/>
      <w:r w:rsidRPr="00152918">
        <w:rPr>
          <w:rFonts w:ascii="Times New Roman" w:hAnsi="Times New Roman" w:cs="Times New Roman"/>
          <w:b/>
          <w:bCs/>
          <w:i w:val="0"/>
          <w:iCs w:val="0"/>
          <w:color w:val="auto"/>
          <w:sz w:val="24"/>
          <w:szCs w:val="24"/>
        </w:rPr>
        <w:lastRenderedPageBreak/>
        <w:t xml:space="preserve">Figure 1: Poverty (GDP per capita) for Nigeria, Ghana, Cote </w:t>
      </w:r>
      <w:proofErr w:type="spellStart"/>
      <w:r w:rsidRPr="00152918">
        <w:rPr>
          <w:rFonts w:ascii="Times New Roman" w:hAnsi="Times New Roman" w:cs="Times New Roman"/>
          <w:b/>
          <w:bCs/>
          <w:i w:val="0"/>
          <w:iCs w:val="0"/>
          <w:color w:val="auto"/>
          <w:sz w:val="24"/>
          <w:szCs w:val="24"/>
        </w:rPr>
        <w:t>d’ivoire</w:t>
      </w:r>
      <w:proofErr w:type="spellEnd"/>
      <w:r w:rsidRPr="00152918">
        <w:rPr>
          <w:rFonts w:ascii="Times New Roman" w:hAnsi="Times New Roman" w:cs="Times New Roman"/>
          <w:b/>
          <w:bCs/>
          <w:i w:val="0"/>
          <w:iCs w:val="0"/>
          <w:color w:val="auto"/>
          <w:sz w:val="24"/>
          <w:szCs w:val="24"/>
        </w:rPr>
        <w:t xml:space="preserve">, Senegal and </w:t>
      </w:r>
      <w:bookmarkEnd w:id="5"/>
      <w:r w:rsidRPr="00152918">
        <w:rPr>
          <w:rFonts w:ascii="Times New Roman" w:hAnsi="Times New Roman" w:cs="Times New Roman"/>
          <w:b/>
          <w:bCs/>
          <w:i w:val="0"/>
          <w:iCs w:val="0"/>
          <w:color w:val="auto"/>
          <w:sz w:val="24"/>
          <w:szCs w:val="24"/>
        </w:rPr>
        <w:t>Liberia</w:t>
      </w:r>
    </w:p>
    <w:p w14:paraId="4C45BF1B" w14:textId="77777777" w:rsidR="00905A62" w:rsidRPr="00FD7F20" w:rsidRDefault="00905A62" w:rsidP="00FD7F20">
      <w:pPr>
        <w:spacing w:line="360" w:lineRule="auto"/>
        <w:jc w:val="center"/>
        <w:rPr>
          <w:rFonts w:ascii="Times New Roman" w:hAnsi="Times New Roman" w:cs="Times New Roman"/>
          <w:b/>
          <w:sz w:val="24"/>
          <w:szCs w:val="24"/>
        </w:rPr>
      </w:pPr>
      <w:r w:rsidRPr="00152918">
        <w:rPr>
          <w:rFonts w:ascii="Times New Roman" w:hAnsi="Times New Roman" w:cs="Times New Roman"/>
          <w:b/>
          <w:sz w:val="24"/>
          <w:szCs w:val="24"/>
        </w:rPr>
        <w:t>Source: World Bank (2023)</w:t>
      </w:r>
    </w:p>
    <w:p w14:paraId="2AC15C0E" w14:textId="77777777" w:rsidR="003009A5" w:rsidRDefault="003009A5" w:rsidP="00905A62">
      <w:pPr>
        <w:spacing w:after="0" w:line="360" w:lineRule="auto"/>
        <w:jc w:val="both"/>
        <w:rPr>
          <w:rFonts w:ascii="Times New Roman" w:hAnsi="Times New Roman" w:cs="Times New Roman"/>
          <w:b/>
          <w:bCs/>
          <w:iCs/>
          <w:sz w:val="24"/>
          <w:szCs w:val="24"/>
        </w:rPr>
      </w:pPr>
    </w:p>
    <w:p w14:paraId="56F5587B" w14:textId="77777777" w:rsidR="003009A5" w:rsidRDefault="003009A5" w:rsidP="00905A62">
      <w:pPr>
        <w:spacing w:after="0" w:line="360" w:lineRule="auto"/>
        <w:jc w:val="both"/>
        <w:rPr>
          <w:rFonts w:ascii="Times New Roman" w:hAnsi="Times New Roman" w:cs="Times New Roman"/>
          <w:b/>
          <w:bCs/>
          <w:iCs/>
          <w:sz w:val="24"/>
          <w:szCs w:val="24"/>
        </w:rPr>
      </w:pPr>
    </w:p>
    <w:p w14:paraId="1D5046E5" w14:textId="4F13DD6A" w:rsidR="00905A62" w:rsidRPr="00152918" w:rsidRDefault="00905A62" w:rsidP="00905A62">
      <w:pPr>
        <w:spacing w:after="0" w:line="360" w:lineRule="auto"/>
        <w:jc w:val="both"/>
        <w:rPr>
          <w:rFonts w:ascii="Times New Roman" w:hAnsi="Times New Roman" w:cs="Times New Roman"/>
          <w:b/>
          <w:bCs/>
          <w:iCs/>
          <w:sz w:val="24"/>
          <w:szCs w:val="24"/>
        </w:rPr>
      </w:pPr>
      <w:r w:rsidRPr="00152918">
        <w:rPr>
          <w:rFonts w:ascii="Times New Roman" w:hAnsi="Times New Roman" w:cs="Times New Roman"/>
          <w:b/>
          <w:bCs/>
          <w:iCs/>
          <w:sz w:val="24"/>
          <w:szCs w:val="24"/>
        </w:rPr>
        <w:t xml:space="preserve">Table </w:t>
      </w:r>
      <w:r w:rsidR="00083885">
        <w:rPr>
          <w:rFonts w:ascii="Times New Roman" w:hAnsi="Times New Roman" w:cs="Times New Roman"/>
          <w:b/>
          <w:bCs/>
          <w:iCs/>
          <w:sz w:val="24"/>
          <w:szCs w:val="24"/>
        </w:rPr>
        <w:t>1</w:t>
      </w:r>
      <w:r w:rsidRPr="00152918">
        <w:rPr>
          <w:rFonts w:ascii="Times New Roman" w:hAnsi="Times New Roman" w:cs="Times New Roman"/>
          <w:b/>
          <w:bCs/>
          <w:iCs/>
          <w:sz w:val="24"/>
          <w:szCs w:val="24"/>
        </w:rPr>
        <w:t>: Correlation Matrix</w:t>
      </w:r>
    </w:p>
    <w:p w14:paraId="2BBC7B5C" w14:textId="77777777" w:rsidR="00905A62" w:rsidRPr="00152918" w:rsidRDefault="00905A62" w:rsidP="00905A62">
      <w:pPr>
        <w:pStyle w:val="NoSpacing"/>
        <w:spacing w:line="360" w:lineRule="auto"/>
        <w:rPr>
          <w:rFonts w:ascii="Times New Roman" w:hAnsi="Times New Roman" w:cs="Times New Roman"/>
          <w:b/>
          <w:sz w:val="24"/>
          <w:szCs w:val="24"/>
        </w:rPr>
      </w:pPr>
      <w:r w:rsidRPr="00152918">
        <w:rPr>
          <w:noProof/>
          <w:sz w:val="24"/>
          <w:szCs w:val="24"/>
        </w:rPr>
        <w:drawing>
          <wp:inline distT="0" distB="0" distL="0" distR="0" wp14:anchorId="7BE2B38E" wp14:editId="430F4E6A">
            <wp:extent cx="5810250" cy="24009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8">
                      <a:extLst>
                        <a:ext uri="{28A0092B-C50C-407E-A947-70E740481C1C}">
                          <a14:useLocalDpi xmlns:a14="http://schemas.microsoft.com/office/drawing/2010/main" val="0"/>
                        </a:ext>
                      </a:extLst>
                    </a:blip>
                    <a:srcRect t="17373" r="2710"/>
                    <a:stretch/>
                  </pic:blipFill>
                  <pic:spPr bwMode="auto">
                    <a:xfrm>
                      <a:off x="0" y="0"/>
                      <a:ext cx="5810250" cy="2400935"/>
                    </a:xfrm>
                    <a:prstGeom prst="rect">
                      <a:avLst/>
                    </a:prstGeom>
                    <a:noFill/>
                    <a:ln>
                      <a:noFill/>
                    </a:ln>
                    <a:extLst>
                      <a:ext uri="{53640926-AAD7-44D8-BBD7-CCE9431645EC}">
                        <a14:shadowObscured xmlns:a14="http://schemas.microsoft.com/office/drawing/2010/main"/>
                      </a:ext>
                    </a:extLst>
                  </pic:spPr>
                </pic:pic>
              </a:graphicData>
            </a:graphic>
          </wp:inline>
        </w:drawing>
      </w:r>
    </w:p>
    <w:p w14:paraId="78D54CCA" w14:textId="77777777" w:rsidR="00905A62" w:rsidRPr="009A76A6" w:rsidRDefault="00905A62" w:rsidP="00905A62">
      <w:pPr>
        <w:pStyle w:val="NoSpacing"/>
        <w:spacing w:line="360" w:lineRule="auto"/>
        <w:rPr>
          <w:rFonts w:ascii="Times New Roman" w:hAnsi="Times New Roman" w:cs="Times New Roman"/>
          <w:sz w:val="24"/>
          <w:szCs w:val="24"/>
        </w:rPr>
      </w:pPr>
      <w:r w:rsidRPr="00152918">
        <w:rPr>
          <w:rFonts w:ascii="Times New Roman" w:hAnsi="Times New Roman" w:cs="Times New Roman"/>
          <w:b/>
          <w:sz w:val="24"/>
          <w:szCs w:val="24"/>
        </w:rPr>
        <w:t>Source: Authors Computation (Eviews12)</w:t>
      </w:r>
    </w:p>
    <w:p w14:paraId="29EFCF74" w14:textId="5F30969A"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Table </w:t>
      </w:r>
      <w:r w:rsidR="00083885">
        <w:rPr>
          <w:rFonts w:ascii="Times New Roman" w:hAnsi="Times New Roman" w:cs="Times New Roman"/>
          <w:sz w:val="24"/>
          <w:szCs w:val="24"/>
        </w:rPr>
        <w:t>1</w:t>
      </w:r>
      <w:r w:rsidRPr="00152918">
        <w:rPr>
          <w:rFonts w:ascii="Times New Roman" w:hAnsi="Times New Roman" w:cs="Times New Roman"/>
          <w:sz w:val="24"/>
          <w:szCs w:val="24"/>
        </w:rPr>
        <w:t xml:space="preserve"> shows the findings of the panel correlation matrix, which measures the strength of relationships among variables. Correlation analysis helps us understand how changes in one variable relate to changes in another, providing valuable insights for prediction purposes. The correlation results reveal that </w:t>
      </w:r>
      <w:r w:rsidRPr="00152918">
        <w:rPr>
          <w:rFonts w:ascii="Times New Roman" w:hAnsi="Times New Roman" w:cs="Times New Roman"/>
          <w:bCs/>
          <w:sz w:val="24"/>
          <w:szCs w:val="24"/>
        </w:rPr>
        <w:t>Poverty</w:t>
      </w:r>
      <w:r w:rsidRPr="00152918">
        <w:rPr>
          <w:rFonts w:ascii="Times New Roman" w:hAnsi="Times New Roman" w:cs="Times New Roman"/>
          <w:sz w:val="24"/>
          <w:szCs w:val="24"/>
        </w:rPr>
        <w:t xml:space="preserve"> has weak to moderate positive correlations with </w:t>
      </w:r>
      <w:r w:rsidRPr="00152918">
        <w:rPr>
          <w:rFonts w:ascii="Times New Roman" w:hAnsi="Times New Roman" w:cs="Times New Roman"/>
          <w:bCs/>
          <w:sz w:val="24"/>
          <w:szCs w:val="24"/>
        </w:rPr>
        <w:t>exchange rates, government expenditure, and money supply</w:t>
      </w:r>
      <w:r w:rsidRPr="00152918">
        <w:rPr>
          <w:rFonts w:ascii="Times New Roman" w:hAnsi="Times New Roman" w:cs="Times New Roman"/>
          <w:sz w:val="24"/>
          <w:szCs w:val="24"/>
        </w:rPr>
        <w:t xml:space="preserve">, suggesting that these factors might contribute to higher poverty levels. </w:t>
      </w:r>
      <w:r w:rsidRPr="00152918">
        <w:rPr>
          <w:rFonts w:ascii="Times New Roman" w:hAnsi="Times New Roman" w:cs="Times New Roman"/>
          <w:bCs/>
          <w:sz w:val="24"/>
          <w:szCs w:val="24"/>
        </w:rPr>
        <w:t>Inflation</w:t>
      </w:r>
      <w:r w:rsidRPr="00152918">
        <w:rPr>
          <w:rFonts w:ascii="Times New Roman" w:hAnsi="Times New Roman" w:cs="Times New Roman"/>
          <w:sz w:val="24"/>
          <w:szCs w:val="24"/>
        </w:rPr>
        <w:t xml:space="preserve"> and </w:t>
      </w:r>
      <w:r w:rsidRPr="00152918">
        <w:rPr>
          <w:rFonts w:ascii="Times New Roman" w:hAnsi="Times New Roman" w:cs="Times New Roman"/>
          <w:bCs/>
          <w:sz w:val="24"/>
          <w:szCs w:val="24"/>
        </w:rPr>
        <w:t>exchange rates</w:t>
      </w:r>
      <w:r w:rsidRPr="00152918">
        <w:rPr>
          <w:rFonts w:ascii="Times New Roman" w:hAnsi="Times New Roman" w:cs="Times New Roman"/>
          <w:sz w:val="24"/>
          <w:szCs w:val="24"/>
        </w:rPr>
        <w:t xml:space="preserve"> show a strong negative relationship, indicating that inflation often coincides with currency depreciation. </w:t>
      </w:r>
      <w:r w:rsidRPr="00152918">
        <w:rPr>
          <w:rFonts w:ascii="Times New Roman" w:hAnsi="Times New Roman" w:cs="Times New Roman"/>
          <w:bCs/>
          <w:sz w:val="24"/>
          <w:szCs w:val="24"/>
        </w:rPr>
        <w:t>Government expenditure</w:t>
      </w:r>
      <w:r w:rsidRPr="00152918">
        <w:rPr>
          <w:rFonts w:ascii="Times New Roman" w:hAnsi="Times New Roman" w:cs="Times New Roman"/>
          <w:sz w:val="24"/>
          <w:szCs w:val="24"/>
        </w:rPr>
        <w:t xml:space="preserve"> shows a moderate positive correlation with poverty, which could indicate inefficiencies in the spending that do not directly alleviate poverty. </w:t>
      </w:r>
      <w:r w:rsidRPr="00152918">
        <w:rPr>
          <w:rFonts w:ascii="Times New Roman" w:hAnsi="Times New Roman" w:cs="Times New Roman"/>
          <w:bCs/>
          <w:sz w:val="24"/>
          <w:szCs w:val="24"/>
        </w:rPr>
        <w:t>Net exports</w:t>
      </w:r>
      <w:r w:rsidRPr="00152918">
        <w:rPr>
          <w:rFonts w:ascii="Times New Roman" w:hAnsi="Times New Roman" w:cs="Times New Roman"/>
          <w:sz w:val="24"/>
          <w:szCs w:val="24"/>
        </w:rPr>
        <w:t xml:space="preserve"> have very weak correlations with most variables, suggesting that trade balance may not be a major factor influencing poverty in this dataset. These relationships provide an </w:t>
      </w:r>
      <w:proofErr w:type="gramStart"/>
      <w:r w:rsidRPr="00152918">
        <w:rPr>
          <w:rFonts w:ascii="Times New Roman" w:hAnsi="Times New Roman" w:cs="Times New Roman"/>
          <w:sz w:val="24"/>
          <w:szCs w:val="24"/>
        </w:rPr>
        <w:t>insights</w:t>
      </w:r>
      <w:proofErr w:type="gramEnd"/>
      <w:r w:rsidRPr="00152918">
        <w:rPr>
          <w:rFonts w:ascii="Times New Roman" w:hAnsi="Times New Roman" w:cs="Times New Roman"/>
          <w:sz w:val="24"/>
          <w:szCs w:val="24"/>
        </w:rPr>
        <w:t xml:space="preserve"> into potential drivers of poverty and their interactions in this study.</w:t>
      </w:r>
    </w:p>
    <w:p w14:paraId="6FF66889" w14:textId="54AB3446" w:rsidR="00905A62" w:rsidRPr="00751947" w:rsidRDefault="00905A62" w:rsidP="00751947">
      <w:pPr>
        <w:pStyle w:val="NoSpacing"/>
        <w:rPr>
          <w:rFonts w:ascii="Times New Roman" w:hAnsi="Times New Roman" w:cs="Times New Roman"/>
          <w:sz w:val="24"/>
          <w:szCs w:val="24"/>
        </w:rPr>
      </w:pPr>
      <w:bookmarkStart w:id="6" w:name="_Hlk82961031"/>
      <w:bookmarkStart w:id="7" w:name="_Hlk82955929"/>
      <w:r w:rsidRPr="00751947">
        <w:rPr>
          <w:rFonts w:ascii="Times New Roman" w:hAnsi="Times New Roman" w:cs="Times New Roman"/>
          <w:sz w:val="24"/>
          <w:szCs w:val="24"/>
        </w:rPr>
        <w:t xml:space="preserve">Table </w:t>
      </w:r>
      <w:r w:rsidR="00083885">
        <w:rPr>
          <w:rFonts w:ascii="Times New Roman" w:hAnsi="Times New Roman" w:cs="Times New Roman"/>
          <w:sz w:val="24"/>
          <w:szCs w:val="24"/>
        </w:rPr>
        <w:t>2</w:t>
      </w:r>
      <w:r w:rsidRPr="00751947">
        <w:rPr>
          <w:rFonts w:ascii="Times New Roman" w:hAnsi="Times New Roman" w:cs="Times New Roman"/>
          <w:sz w:val="24"/>
          <w:szCs w:val="24"/>
        </w:rPr>
        <w:t xml:space="preserve"> </w:t>
      </w:r>
      <w:bookmarkStart w:id="8" w:name="_Hlk96862468"/>
      <w:r w:rsidRPr="00751947">
        <w:rPr>
          <w:rFonts w:ascii="Times New Roman" w:hAnsi="Times New Roman" w:cs="Times New Roman"/>
          <w:sz w:val="24"/>
          <w:szCs w:val="24"/>
        </w:rPr>
        <w:t xml:space="preserve">Levin, Lin &amp; Chu </w:t>
      </w:r>
      <w:bookmarkEnd w:id="8"/>
      <w:r w:rsidRPr="00751947">
        <w:rPr>
          <w:rFonts w:ascii="Times New Roman" w:hAnsi="Times New Roman" w:cs="Times New Roman"/>
          <w:sz w:val="24"/>
          <w:szCs w:val="24"/>
        </w:rPr>
        <w:t>Unit Root Result</w:t>
      </w:r>
    </w:p>
    <w:tbl>
      <w:tblPr>
        <w:tblW w:w="7578" w:type="dxa"/>
        <w:tblBorders>
          <w:top w:val="single" w:sz="4" w:space="0" w:color="auto"/>
          <w:bottom w:val="single" w:sz="4" w:space="0" w:color="auto"/>
        </w:tblBorders>
        <w:tblLook w:val="04A0" w:firstRow="1" w:lastRow="0" w:firstColumn="1" w:lastColumn="0" w:noHBand="0" w:noVBand="1"/>
      </w:tblPr>
      <w:tblGrid>
        <w:gridCol w:w="1278"/>
        <w:gridCol w:w="2160"/>
        <w:gridCol w:w="2317"/>
        <w:gridCol w:w="1823"/>
      </w:tblGrid>
      <w:tr w:rsidR="00905A62" w:rsidRPr="00751947" w14:paraId="55408D6C" w14:textId="77777777" w:rsidTr="00D63E29">
        <w:tc>
          <w:tcPr>
            <w:tcW w:w="1278" w:type="dxa"/>
            <w:tcBorders>
              <w:bottom w:val="single" w:sz="4" w:space="0" w:color="auto"/>
            </w:tcBorders>
            <w:hideMark/>
          </w:tcPr>
          <w:bookmarkEnd w:id="6"/>
          <w:p w14:paraId="5B152FFA"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Variable</w:t>
            </w:r>
          </w:p>
        </w:tc>
        <w:tc>
          <w:tcPr>
            <w:tcW w:w="2160" w:type="dxa"/>
            <w:tcBorders>
              <w:bottom w:val="single" w:sz="4" w:space="0" w:color="auto"/>
            </w:tcBorders>
            <w:hideMark/>
          </w:tcPr>
          <w:p w14:paraId="56DE6C5A"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t</w:t>
            </w:r>
            <w:r w:rsidRPr="00751947">
              <w:rPr>
                <w:rFonts w:ascii="Times New Roman" w:hAnsi="Times New Roman" w:cs="Times New Roman"/>
                <w:sz w:val="24"/>
                <w:szCs w:val="24"/>
                <w:vertAlign w:val="superscript"/>
              </w:rPr>
              <w:t>*</w:t>
            </w:r>
            <w:r w:rsidRPr="00751947">
              <w:rPr>
                <w:rFonts w:ascii="Times New Roman" w:hAnsi="Times New Roman" w:cs="Times New Roman"/>
                <w:sz w:val="24"/>
                <w:szCs w:val="24"/>
              </w:rPr>
              <w:t xml:space="preserve"> statistic</w:t>
            </w:r>
          </w:p>
        </w:tc>
        <w:tc>
          <w:tcPr>
            <w:tcW w:w="2317" w:type="dxa"/>
            <w:tcBorders>
              <w:bottom w:val="single" w:sz="4" w:space="0" w:color="auto"/>
            </w:tcBorders>
            <w:hideMark/>
          </w:tcPr>
          <w:p w14:paraId="2DEF8D11"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Prob (**)</w:t>
            </w:r>
          </w:p>
        </w:tc>
        <w:tc>
          <w:tcPr>
            <w:tcW w:w="1823" w:type="dxa"/>
            <w:tcBorders>
              <w:bottom w:val="single" w:sz="4" w:space="0" w:color="auto"/>
            </w:tcBorders>
            <w:hideMark/>
          </w:tcPr>
          <w:p w14:paraId="5A038CE2"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Order of integration</w:t>
            </w:r>
          </w:p>
        </w:tc>
      </w:tr>
      <w:tr w:rsidR="00905A62" w:rsidRPr="00751947" w14:paraId="5AD72A42" w14:textId="77777777" w:rsidTr="00D63E29">
        <w:tc>
          <w:tcPr>
            <w:tcW w:w="1278" w:type="dxa"/>
            <w:tcBorders>
              <w:top w:val="single" w:sz="4" w:space="0" w:color="auto"/>
              <w:bottom w:val="nil"/>
            </w:tcBorders>
            <w:hideMark/>
          </w:tcPr>
          <w:p w14:paraId="287E417A"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POV</w:t>
            </w:r>
          </w:p>
        </w:tc>
        <w:tc>
          <w:tcPr>
            <w:tcW w:w="2160" w:type="dxa"/>
            <w:tcBorders>
              <w:top w:val="nil"/>
              <w:left w:val="nil"/>
              <w:bottom w:val="nil"/>
              <w:right w:val="nil"/>
            </w:tcBorders>
            <w:vAlign w:val="bottom"/>
            <w:hideMark/>
          </w:tcPr>
          <w:p w14:paraId="0EA2A59D"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-5.46884</w:t>
            </w:r>
          </w:p>
        </w:tc>
        <w:tc>
          <w:tcPr>
            <w:tcW w:w="2317" w:type="dxa"/>
            <w:tcBorders>
              <w:top w:val="nil"/>
              <w:left w:val="nil"/>
              <w:bottom w:val="nil"/>
              <w:right w:val="nil"/>
            </w:tcBorders>
            <w:vAlign w:val="bottom"/>
            <w:hideMark/>
          </w:tcPr>
          <w:p w14:paraId="10B825AB"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tcBorders>
              <w:top w:val="single" w:sz="4" w:space="0" w:color="auto"/>
              <w:bottom w:val="nil"/>
            </w:tcBorders>
            <w:hideMark/>
          </w:tcPr>
          <w:p w14:paraId="0389DC5A"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r w:rsidR="00905A62" w:rsidRPr="00751947" w14:paraId="6C327C26" w14:textId="77777777" w:rsidTr="00D63E29">
        <w:tc>
          <w:tcPr>
            <w:tcW w:w="1278" w:type="dxa"/>
            <w:tcBorders>
              <w:top w:val="nil"/>
            </w:tcBorders>
            <w:hideMark/>
          </w:tcPr>
          <w:p w14:paraId="0B7CFD59"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INF</w:t>
            </w:r>
          </w:p>
        </w:tc>
        <w:tc>
          <w:tcPr>
            <w:tcW w:w="2160" w:type="dxa"/>
            <w:tcBorders>
              <w:top w:val="nil"/>
              <w:left w:val="nil"/>
              <w:bottom w:val="nil"/>
              <w:right w:val="nil"/>
            </w:tcBorders>
            <w:vAlign w:val="bottom"/>
            <w:hideMark/>
          </w:tcPr>
          <w:p w14:paraId="550FEADD"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-7.58257</w:t>
            </w:r>
          </w:p>
        </w:tc>
        <w:tc>
          <w:tcPr>
            <w:tcW w:w="2317" w:type="dxa"/>
            <w:tcBorders>
              <w:top w:val="nil"/>
              <w:left w:val="nil"/>
              <w:bottom w:val="nil"/>
              <w:right w:val="nil"/>
            </w:tcBorders>
            <w:vAlign w:val="bottom"/>
            <w:hideMark/>
          </w:tcPr>
          <w:p w14:paraId="5EB20E94"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tcBorders>
              <w:top w:val="nil"/>
            </w:tcBorders>
            <w:hideMark/>
          </w:tcPr>
          <w:p w14:paraId="6FE62BFD"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r w:rsidR="00905A62" w:rsidRPr="00751947" w14:paraId="5704B8CB" w14:textId="77777777" w:rsidTr="00D63E29">
        <w:tc>
          <w:tcPr>
            <w:tcW w:w="1278" w:type="dxa"/>
            <w:hideMark/>
          </w:tcPr>
          <w:p w14:paraId="67D1A5BA"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lastRenderedPageBreak/>
              <w:t>EXR</w:t>
            </w:r>
          </w:p>
        </w:tc>
        <w:tc>
          <w:tcPr>
            <w:tcW w:w="2160" w:type="dxa"/>
            <w:tcBorders>
              <w:top w:val="nil"/>
              <w:left w:val="nil"/>
              <w:bottom w:val="nil"/>
              <w:right w:val="nil"/>
            </w:tcBorders>
            <w:vAlign w:val="bottom"/>
            <w:hideMark/>
          </w:tcPr>
          <w:p w14:paraId="70CFCE5F"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-5.52201</w:t>
            </w:r>
          </w:p>
        </w:tc>
        <w:tc>
          <w:tcPr>
            <w:tcW w:w="2317" w:type="dxa"/>
            <w:tcBorders>
              <w:top w:val="nil"/>
              <w:left w:val="nil"/>
              <w:bottom w:val="nil"/>
              <w:right w:val="nil"/>
            </w:tcBorders>
            <w:vAlign w:val="bottom"/>
            <w:hideMark/>
          </w:tcPr>
          <w:p w14:paraId="6F2D11BD"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hideMark/>
          </w:tcPr>
          <w:p w14:paraId="2F0E69FC"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0)</w:t>
            </w:r>
          </w:p>
        </w:tc>
      </w:tr>
      <w:tr w:rsidR="00905A62" w:rsidRPr="00751947" w14:paraId="68F67477" w14:textId="77777777" w:rsidTr="00D63E29">
        <w:tc>
          <w:tcPr>
            <w:tcW w:w="1278" w:type="dxa"/>
          </w:tcPr>
          <w:p w14:paraId="6B323230"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GEX</w:t>
            </w:r>
          </w:p>
        </w:tc>
        <w:tc>
          <w:tcPr>
            <w:tcW w:w="2160" w:type="dxa"/>
            <w:tcBorders>
              <w:top w:val="nil"/>
              <w:left w:val="nil"/>
              <w:bottom w:val="nil"/>
              <w:right w:val="nil"/>
            </w:tcBorders>
            <w:vAlign w:val="bottom"/>
          </w:tcPr>
          <w:p w14:paraId="7FBC5199"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-2.49019</w:t>
            </w:r>
          </w:p>
        </w:tc>
        <w:tc>
          <w:tcPr>
            <w:tcW w:w="2317" w:type="dxa"/>
            <w:tcBorders>
              <w:top w:val="nil"/>
              <w:left w:val="nil"/>
              <w:bottom w:val="nil"/>
              <w:right w:val="nil"/>
            </w:tcBorders>
            <w:vAlign w:val="bottom"/>
          </w:tcPr>
          <w:p w14:paraId="769345A7"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0.0064</w:t>
            </w:r>
          </w:p>
        </w:tc>
        <w:tc>
          <w:tcPr>
            <w:tcW w:w="1823" w:type="dxa"/>
          </w:tcPr>
          <w:p w14:paraId="0AE4073D"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r w:rsidR="00905A62" w:rsidRPr="00751947" w14:paraId="36C6ED62" w14:textId="77777777" w:rsidTr="00D63E29">
        <w:tc>
          <w:tcPr>
            <w:tcW w:w="1278" w:type="dxa"/>
            <w:tcBorders>
              <w:bottom w:val="nil"/>
            </w:tcBorders>
            <w:hideMark/>
          </w:tcPr>
          <w:p w14:paraId="51DEFA1B"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MS</w:t>
            </w:r>
          </w:p>
        </w:tc>
        <w:tc>
          <w:tcPr>
            <w:tcW w:w="2160" w:type="dxa"/>
            <w:tcBorders>
              <w:top w:val="nil"/>
              <w:left w:val="nil"/>
              <w:bottom w:val="nil"/>
              <w:right w:val="nil"/>
            </w:tcBorders>
            <w:vAlign w:val="bottom"/>
            <w:hideMark/>
          </w:tcPr>
          <w:p w14:paraId="722DC7D4"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-5.91621</w:t>
            </w:r>
          </w:p>
        </w:tc>
        <w:tc>
          <w:tcPr>
            <w:tcW w:w="2317" w:type="dxa"/>
            <w:tcBorders>
              <w:top w:val="nil"/>
              <w:left w:val="nil"/>
              <w:bottom w:val="nil"/>
              <w:right w:val="nil"/>
            </w:tcBorders>
            <w:vAlign w:val="bottom"/>
            <w:hideMark/>
          </w:tcPr>
          <w:p w14:paraId="6158110A"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tcBorders>
              <w:bottom w:val="nil"/>
            </w:tcBorders>
            <w:hideMark/>
          </w:tcPr>
          <w:p w14:paraId="0A92A4BF"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r w:rsidR="00905A62" w:rsidRPr="00751947" w14:paraId="4700B876" w14:textId="77777777" w:rsidTr="00D63E29">
        <w:tc>
          <w:tcPr>
            <w:tcW w:w="1278" w:type="dxa"/>
            <w:tcBorders>
              <w:top w:val="nil"/>
              <w:bottom w:val="single" w:sz="4" w:space="0" w:color="auto"/>
            </w:tcBorders>
          </w:tcPr>
          <w:p w14:paraId="088D92B6"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NX</w:t>
            </w:r>
          </w:p>
        </w:tc>
        <w:tc>
          <w:tcPr>
            <w:tcW w:w="2160" w:type="dxa"/>
            <w:tcBorders>
              <w:top w:val="nil"/>
              <w:left w:val="nil"/>
              <w:bottom w:val="single" w:sz="4" w:space="0" w:color="auto"/>
              <w:right w:val="nil"/>
            </w:tcBorders>
            <w:vAlign w:val="bottom"/>
          </w:tcPr>
          <w:p w14:paraId="3A41F5E2"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-6.96616</w:t>
            </w:r>
          </w:p>
        </w:tc>
        <w:tc>
          <w:tcPr>
            <w:tcW w:w="2317" w:type="dxa"/>
            <w:tcBorders>
              <w:top w:val="nil"/>
              <w:left w:val="nil"/>
              <w:bottom w:val="single" w:sz="4" w:space="0" w:color="auto"/>
              <w:right w:val="nil"/>
            </w:tcBorders>
            <w:vAlign w:val="bottom"/>
          </w:tcPr>
          <w:p w14:paraId="0F82A78F"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tcBorders>
              <w:top w:val="nil"/>
              <w:bottom w:val="single" w:sz="4" w:space="0" w:color="auto"/>
            </w:tcBorders>
          </w:tcPr>
          <w:p w14:paraId="2262E53A"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bl>
    <w:p w14:paraId="01B17145" w14:textId="77777777" w:rsidR="00905A62" w:rsidRPr="00751947" w:rsidRDefault="00905A62" w:rsidP="00751947">
      <w:pPr>
        <w:pStyle w:val="NoSpacing"/>
        <w:rPr>
          <w:rFonts w:ascii="Times New Roman" w:hAnsi="Times New Roman" w:cs="Times New Roman"/>
          <w:sz w:val="24"/>
          <w:szCs w:val="24"/>
        </w:rPr>
      </w:pPr>
      <w:bookmarkStart w:id="9" w:name="_Hlk70266217"/>
      <w:r w:rsidRPr="00751947">
        <w:rPr>
          <w:rFonts w:ascii="Times New Roman" w:hAnsi="Times New Roman" w:cs="Times New Roman"/>
          <w:sz w:val="24"/>
          <w:szCs w:val="24"/>
        </w:rPr>
        <w:t>Source: Authors’ computation using EViews 12</w:t>
      </w:r>
    </w:p>
    <w:p w14:paraId="0F5314D9" w14:textId="77777777" w:rsidR="00751947" w:rsidRDefault="00751947" w:rsidP="00905A62">
      <w:pPr>
        <w:autoSpaceDE w:val="0"/>
        <w:autoSpaceDN w:val="0"/>
        <w:adjustRightInd w:val="0"/>
        <w:spacing w:after="0" w:line="360" w:lineRule="auto"/>
        <w:jc w:val="both"/>
        <w:rPr>
          <w:rFonts w:ascii="Times New Roman" w:eastAsia="Times New Roman" w:hAnsi="Times New Roman" w:cs="Times New Roman"/>
          <w:b/>
          <w:sz w:val="24"/>
          <w:szCs w:val="24"/>
        </w:rPr>
      </w:pPr>
      <w:bookmarkStart w:id="10" w:name="_Hlk83125742"/>
      <w:bookmarkEnd w:id="7"/>
      <w:bookmarkEnd w:id="9"/>
    </w:p>
    <w:p w14:paraId="015385D5" w14:textId="1687C984"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 xml:space="preserve">Table </w:t>
      </w:r>
      <w:r w:rsidR="00083885">
        <w:rPr>
          <w:rFonts w:ascii="Times New Roman" w:hAnsi="Times New Roman" w:cs="Times New Roman"/>
          <w:sz w:val="24"/>
          <w:szCs w:val="24"/>
        </w:rPr>
        <w:t>3</w:t>
      </w:r>
      <w:r w:rsidRPr="00751947">
        <w:rPr>
          <w:rFonts w:ascii="Times New Roman" w:hAnsi="Times New Roman" w:cs="Times New Roman"/>
          <w:sz w:val="24"/>
          <w:szCs w:val="24"/>
        </w:rPr>
        <w:t xml:space="preserve"> </w:t>
      </w:r>
      <w:bookmarkStart w:id="11" w:name="_Hlk83125715"/>
      <w:r w:rsidRPr="00751947">
        <w:rPr>
          <w:rFonts w:ascii="Times New Roman" w:hAnsi="Times New Roman" w:cs="Times New Roman"/>
          <w:sz w:val="24"/>
          <w:szCs w:val="24"/>
        </w:rPr>
        <w:t>ADF Unit Root Result</w:t>
      </w:r>
    </w:p>
    <w:tbl>
      <w:tblPr>
        <w:tblW w:w="7578" w:type="dxa"/>
        <w:tblBorders>
          <w:top w:val="single" w:sz="4" w:space="0" w:color="auto"/>
          <w:bottom w:val="single" w:sz="4" w:space="0" w:color="auto"/>
        </w:tblBorders>
        <w:tblLook w:val="04A0" w:firstRow="1" w:lastRow="0" w:firstColumn="1" w:lastColumn="0" w:noHBand="0" w:noVBand="1"/>
      </w:tblPr>
      <w:tblGrid>
        <w:gridCol w:w="1278"/>
        <w:gridCol w:w="2160"/>
        <w:gridCol w:w="2317"/>
        <w:gridCol w:w="1823"/>
      </w:tblGrid>
      <w:tr w:rsidR="00905A62" w:rsidRPr="00751947" w14:paraId="15E1A299" w14:textId="77777777" w:rsidTr="00D63E29">
        <w:tc>
          <w:tcPr>
            <w:tcW w:w="1278" w:type="dxa"/>
            <w:tcBorders>
              <w:bottom w:val="single" w:sz="4" w:space="0" w:color="auto"/>
            </w:tcBorders>
            <w:hideMark/>
          </w:tcPr>
          <w:bookmarkEnd w:id="10"/>
          <w:bookmarkEnd w:id="11"/>
          <w:p w14:paraId="7C41DAF2"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Variable</w:t>
            </w:r>
          </w:p>
        </w:tc>
        <w:tc>
          <w:tcPr>
            <w:tcW w:w="2160" w:type="dxa"/>
            <w:tcBorders>
              <w:bottom w:val="single" w:sz="4" w:space="0" w:color="auto"/>
            </w:tcBorders>
            <w:hideMark/>
          </w:tcPr>
          <w:p w14:paraId="05797A51"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ADF stat</w:t>
            </w:r>
          </w:p>
        </w:tc>
        <w:tc>
          <w:tcPr>
            <w:tcW w:w="2317" w:type="dxa"/>
            <w:tcBorders>
              <w:bottom w:val="single" w:sz="4" w:space="0" w:color="auto"/>
            </w:tcBorders>
            <w:hideMark/>
          </w:tcPr>
          <w:p w14:paraId="205632F2"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Prob (**)</w:t>
            </w:r>
          </w:p>
        </w:tc>
        <w:tc>
          <w:tcPr>
            <w:tcW w:w="1823" w:type="dxa"/>
            <w:tcBorders>
              <w:bottom w:val="single" w:sz="4" w:space="0" w:color="auto"/>
            </w:tcBorders>
            <w:hideMark/>
          </w:tcPr>
          <w:p w14:paraId="25ED2643"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Order of integration</w:t>
            </w:r>
          </w:p>
        </w:tc>
      </w:tr>
      <w:tr w:rsidR="00905A62" w:rsidRPr="00751947" w14:paraId="54555520" w14:textId="77777777" w:rsidTr="00D63E29">
        <w:tc>
          <w:tcPr>
            <w:tcW w:w="1278" w:type="dxa"/>
            <w:tcBorders>
              <w:top w:val="single" w:sz="4" w:space="0" w:color="auto"/>
              <w:bottom w:val="nil"/>
            </w:tcBorders>
            <w:hideMark/>
          </w:tcPr>
          <w:p w14:paraId="0C277B49"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POV</w:t>
            </w:r>
          </w:p>
        </w:tc>
        <w:tc>
          <w:tcPr>
            <w:tcW w:w="2160" w:type="dxa"/>
            <w:tcBorders>
              <w:top w:val="nil"/>
              <w:left w:val="nil"/>
              <w:bottom w:val="nil"/>
              <w:right w:val="nil"/>
            </w:tcBorders>
            <w:vAlign w:val="bottom"/>
            <w:hideMark/>
          </w:tcPr>
          <w:p w14:paraId="61B15FBB"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38.0897</w:t>
            </w:r>
          </w:p>
        </w:tc>
        <w:tc>
          <w:tcPr>
            <w:tcW w:w="2317" w:type="dxa"/>
            <w:tcBorders>
              <w:top w:val="nil"/>
              <w:left w:val="nil"/>
              <w:bottom w:val="nil"/>
              <w:right w:val="nil"/>
            </w:tcBorders>
            <w:vAlign w:val="bottom"/>
            <w:hideMark/>
          </w:tcPr>
          <w:p w14:paraId="6CB27C52"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tcBorders>
              <w:top w:val="single" w:sz="4" w:space="0" w:color="auto"/>
              <w:bottom w:val="nil"/>
            </w:tcBorders>
            <w:hideMark/>
          </w:tcPr>
          <w:p w14:paraId="16584B81"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r w:rsidR="00905A62" w:rsidRPr="00751947" w14:paraId="2E54FB56" w14:textId="77777777" w:rsidTr="00D63E29">
        <w:tc>
          <w:tcPr>
            <w:tcW w:w="1278" w:type="dxa"/>
            <w:tcBorders>
              <w:top w:val="nil"/>
            </w:tcBorders>
            <w:hideMark/>
          </w:tcPr>
          <w:p w14:paraId="68AF8E7B"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INF</w:t>
            </w:r>
          </w:p>
        </w:tc>
        <w:tc>
          <w:tcPr>
            <w:tcW w:w="2160" w:type="dxa"/>
            <w:tcBorders>
              <w:top w:val="nil"/>
              <w:left w:val="nil"/>
              <w:bottom w:val="nil"/>
              <w:right w:val="nil"/>
            </w:tcBorders>
            <w:vAlign w:val="bottom"/>
            <w:hideMark/>
          </w:tcPr>
          <w:p w14:paraId="31F9E711"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70.8763</w:t>
            </w:r>
          </w:p>
        </w:tc>
        <w:tc>
          <w:tcPr>
            <w:tcW w:w="2317" w:type="dxa"/>
            <w:tcBorders>
              <w:top w:val="nil"/>
              <w:left w:val="nil"/>
              <w:bottom w:val="nil"/>
              <w:right w:val="nil"/>
            </w:tcBorders>
            <w:vAlign w:val="bottom"/>
            <w:hideMark/>
          </w:tcPr>
          <w:p w14:paraId="5B223D9B"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tcBorders>
              <w:top w:val="nil"/>
            </w:tcBorders>
            <w:hideMark/>
          </w:tcPr>
          <w:p w14:paraId="4BA2599F"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r w:rsidR="00905A62" w:rsidRPr="00751947" w14:paraId="1FE51BA7" w14:textId="77777777" w:rsidTr="00D63E29">
        <w:tc>
          <w:tcPr>
            <w:tcW w:w="1278" w:type="dxa"/>
            <w:hideMark/>
          </w:tcPr>
          <w:p w14:paraId="0D3ACC2A"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EXR</w:t>
            </w:r>
          </w:p>
        </w:tc>
        <w:tc>
          <w:tcPr>
            <w:tcW w:w="2160" w:type="dxa"/>
            <w:tcBorders>
              <w:top w:val="nil"/>
              <w:left w:val="nil"/>
              <w:bottom w:val="nil"/>
              <w:right w:val="nil"/>
            </w:tcBorders>
            <w:vAlign w:val="bottom"/>
            <w:hideMark/>
          </w:tcPr>
          <w:p w14:paraId="23B72A65"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43.6217</w:t>
            </w:r>
          </w:p>
        </w:tc>
        <w:tc>
          <w:tcPr>
            <w:tcW w:w="2317" w:type="dxa"/>
            <w:tcBorders>
              <w:top w:val="nil"/>
              <w:left w:val="nil"/>
              <w:bottom w:val="nil"/>
              <w:right w:val="nil"/>
            </w:tcBorders>
            <w:vAlign w:val="bottom"/>
            <w:hideMark/>
          </w:tcPr>
          <w:p w14:paraId="44E234F1"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hideMark/>
          </w:tcPr>
          <w:p w14:paraId="3515C9A2"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0)</w:t>
            </w:r>
          </w:p>
        </w:tc>
      </w:tr>
      <w:tr w:rsidR="00905A62" w:rsidRPr="00751947" w14:paraId="55F4D067" w14:textId="77777777" w:rsidTr="00D63E29">
        <w:tc>
          <w:tcPr>
            <w:tcW w:w="1278" w:type="dxa"/>
          </w:tcPr>
          <w:p w14:paraId="33629A4E"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GEX</w:t>
            </w:r>
          </w:p>
        </w:tc>
        <w:tc>
          <w:tcPr>
            <w:tcW w:w="2160" w:type="dxa"/>
            <w:tcBorders>
              <w:top w:val="nil"/>
              <w:left w:val="nil"/>
              <w:bottom w:val="nil"/>
              <w:right w:val="nil"/>
            </w:tcBorders>
            <w:vAlign w:val="bottom"/>
          </w:tcPr>
          <w:p w14:paraId="68C6647F"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29.5043</w:t>
            </w:r>
          </w:p>
        </w:tc>
        <w:tc>
          <w:tcPr>
            <w:tcW w:w="2317" w:type="dxa"/>
            <w:tcBorders>
              <w:top w:val="nil"/>
              <w:left w:val="nil"/>
              <w:bottom w:val="nil"/>
              <w:right w:val="nil"/>
            </w:tcBorders>
            <w:vAlign w:val="bottom"/>
          </w:tcPr>
          <w:p w14:paraId="1E0A44E4"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0.0010</w:t>
            </w:r>
          </w:p>
        </w:tc>
        <w:tc>
          <w:tcPr>
            <w:tcW w:w="1823" w:type="dxa"/>
          </w:tcPr>
          <w:p w14:paraId="0B018FC3"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r w:rsidR="00905A62" w:rsidRPr="00751947" w14:paraId="579E2C9C" w14:textId="77777777" w:rsidTr="00D63E29">
        <w:tc>
          <w:tcPr>
            <w:tcW w:w="1278" w:type="dxa"/>
            <w:tcBorders>
              <w:bottom w:val="nil"/>
            </w:tcBorders>
            <w:hideMark/>
          </w:tcPr>
          <w:p w14:paraId="2BEBF1D6"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MS</w:t>
            </w:r>
          </w:p>
        </w:tc>
        <w:tc>
          <w:tcPr>
            <w:tcW w:w="2160" w:type="dxa"/>
            <w:tcBorders>
              <w:top w:val="nil"/>
              <w:left w:val="nil"/>
              <w:bottom w:val="nil"/>
              <w:right w:val="nil"/>
            </w:tcBorders>
            <w:vAlign w:val="bottom"/>
            <w:hideMark/>
          </w:tcPr>
          <w:p w14:paraId="15A9603C"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52.3010</w:t>
            </w:r>
          </w:p>
        </w:tc>
        <w:tc>
          <w:tcPr>
            <w:tcW w:w="2317" w:type="dxa"/>
            <w:tcBorders>
              <w:top w:val="nil"/>
              <w:left w:val="nil"/>
              <w:bottom w:val="nil"/>
              <w:right w:val="nil"/>
            </w:tcBorders>
            <w:vAlign w:val="bottom"/>
            <w:hideMark/>
          </w:tcPr>
          <w:p w14:paraId="1DDD87D6"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tcBorders>
              <w:bottom w:val="nil"/>
            </w:tcBorders>
            <w:hideMark/>
          </w:tcPr>
          <w:p w14:paraId="56B0CC65"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r w:rsidR="00905A62" w:rsidRPr="00751947" w14:paraId="143A95D7" w14:textId="77777777" w:rsidTr="00D63E29">
        <w:tc>
          <w:tcPr>
            <w:tcW w:w="1278" w:type="dxa"/>
            <w:tcBorders>
              <w:top w:val="nil"/>
              <w:bottom w:val="single" w:sz="4" w:space="0" w:color="auto"/>
            </w:tcBorders>
          </w:tcPr>
          <w:p w14:paraId="6A22486B"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NX</w:t>
            </w:r>
          </w:p>
        </w:tc>
        <w:tc>
          <w:tcPr>
            <w:tcW w:w="2160" w:type="dxa"/>
            <w:tcBorders>
              <w:top w:val="nil"/>
              <w:left w:val="nil"/>
              <w:bottom w:val="single" w:sz="4" w:space="0" w:color="auto"/>
              <w:right w:val="nil"/>
            </w:tcBorders>
            <w:vAlign w:val="bottom"/>
          </w:tcPr>
          <w:p w14:paraId="4041125A"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53.8456</w:t>
            </w:r>
          </w:p>
        </w:tc>
        <w:tc>
          <w:tcPr>
            <w:tcW w:w="2317" w:type="dxa"/>
            <w:tcBorders>
              <w:top w:val="nil"/>
              <w:left w:val="nil"/>
              <w:bottom w:val="single" w:sz="4" w:space="0" w:color="auto"/>
              <w:right w:val="nil"/>
            </w:tcBorders>
            <w:vAlign w:val="bottom"/>
          </w:tcPr>
          <w:p w14:paraId="1B69EC9A"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tcBorders>
              <w:top w:val="nil"/>
              <w:bottom w:val="single" w:sz="4" w:space="0" w:color="auto"/>
            </w:tcBorders>
          </w:tcPr>
          <w:p w14:paraId="49A6849F"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bl>
    <w:p w14:paraId="269316EC"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Source: Authors’ computation using EViews 12</w:t>
      </w:r>
    </w:p>
    <w:p w14:paraId="73E32FF3" w14:textId="77777777" w:rsidR="00905A62" w:rsidRPr="00152918" w:rsidRDefault="00905A62" w:rsidP="00905A62">
      <w:pPr>
        <w:pStyle w:val="NoSpacing"/>
        <w:spacing w:line="360" w:lineRule="auto"/>
        <w:rPr>
          <w:rFonts w:ascii="Times New Roman" w:eastAsia="Times New Roman" w:hAnsi="Times New Roman" w:cs="Times New Roman"/>
          <w:b/>
          <w:sz w:val="24"/>
          <w:szCs w:val="24"/>
        </w:rPr>
      </w:pPr>
    </w:p>
    <w:p w14:paraId="6DB383C5" w14:textId="6AE2FF55" w:rsidR="00905A62" w:rsidRPr="00152918" w:rsidRDefault="00905A62" w:rsidP="00905A62">
      <w:pPr>
        <w:spacing w:after="0" w:line="360" w:lineRule="auto"/>
        <w:jc w:val="both"/>
        <w:rPr>
          <w:rFonts w:ascii="Times New Roman" w:eastAsia="Calibri" w:hAnsi="Times New Roman" w:cs="Times New Roman"/>
          <w:sz w:val="24"/>
          <w:szCs w:val="24"/>
        </w:rPr>
      </w:pPr>
      <w:r w:rsidRPr="00152918">
        <w:rPr>
          <w:rFonts w:ascii="Times New Roman" w:eastAsia="Calibri" w:hAnsi="Times New Roman" w:cs="Times New Roman"/>
          <w:sz w:val="24"/>
          <w:szCs w:val="24"/>
        </w:rPr>
        <w:t xml:space="preserve">Table </w:t>
      </w:r>
      <w:r w:rsidR="00083885">
        <w:rPr>
          <w:rFonts w:ascii="Times New Roman" w:eastAsia="Calibri" w:hAnsi="Times New Roman" w:cs="Times New Roman"/>
          <w:sz w:val="24"/>
          <w:szCs w:val="24"/>
        </w:rPr>
        <w:t>3</w:t>
      </w:r>
      <w:r w:rsidRPr="00152918">
        <w:rPr>
          <w:rFonts w:ascii="Times New Roman" w:eastAsia="Calibri" w:hAnsi="Times New Roman" w:cs="Times New Roman"/>
          <w:sz w:val="24"/>
          <w:szCs w:val="24"/>
        </w:rPr>
        <w:t xml:space="preserve"> establishes the order of integration of the variables included in this study. The unit-root test is performed under the null hypothesis that all panels have unit-roots. The results of the Levin, Lin, and Chu test for unit-root are shown in Table </w:t>
      </w:r>
      <w:r w:rsidR="00083885">
        <w:rPr>
          <w:rFonts w:ascii="Times New Roman" w:eastAsia="Calibri" w:hAnsi="Times New Roman" w:cs="Times New Roman"/>
          <w:sz w:val="24"/>
          <w:szCs w:val="24"/>
        </w:rPr>
        <w:t>3</w:t>
      </w:r>
      <w:r w:rsidRPr="00152918">
        <w:rPr>
          <w:rFonts w:ascii="Times New Roman" w:eastAsia="Calibri" w:hAnsi="Times New Roman" w:cs="Times New Roman"/>
          <w:sz w:val="24"/>
          <w:szCs w:val="24"/>
        </w:rPr>
        <w:t xml:space="preserve">, which indicates that while all the variables are stationary at their first difference only EXR was stationary at level. Thus, these variables are integrated of a mixture order zero, i.e. I (0) and order one i.e. </w:t>
      </w:r>
      <w:proofErr w:type="gramStart"/>
      <w:r w:rsidRPr="00152918">
        <w:rPr>
          <w:rFonts w:ascii="Times New Roman" w:eastAsia="Calibri" w:hAnsi="Times New Roman" w:cs="Times New Roman"/>
          <w:sz w:val="24"/>
          <w:szCs w:val="24"/>
        </w:rPr>
        <w:t>I(</w:t>
      </w:r>
      <w:proofErr w:type="gramEnd"/>
      <w:r w:rsidRPr="00152918">
        <w:rPr>
          <w:rFonts w:ascii="Times New Roman" w:eastAsia="Calibri" w:hAnsi="Times New Roman" w:cs="Times New Roman"/>
          <w:sz w:val="24"/>
          <w:szCs w:val="24"/>
        </w:rPr>
        <w:t>1). In order to check the robustness of the Levin, Lin &amp; Chu test, we carried out the Augmented Dickey-Fuller test. The Augmented Dickey-Fuller (ADF) test also confirms the Levin, Lin &amp; Chu test that the panel data-set is stationary at a mixture of level and first difference.</w:t>
      </w:r>
    </w:p>
    <w:p w14:paraId="1AD31E92" w14:textId="3AE9C7AB" w:rsidR="00905A62" w:rsidRPr="00152918" w:rsidRDefault="00540CCF" w:rsidP="00905A62">
      <w:pPr>
        <w:pStyle w:val="Heading2"/>
        <w:spacing w:after="240" w:line="360" w:lineRule="auto"/>
        <w:rPr>
          <w:rFonts w:ascii="Times New Roman" w:hAnsi="Times New Roman" w:cs="Times New Roman"/>
          <w:b/>
          <w:bCs/>
          <w:color w:val="auto"/>
          <w:sz w:val="24"/>
          <w:szCs w:val="24"/>
          <w:lang w:val="en-GB"/>
        </w:rPr>
      </w:pPr>
      <w:bookmarkStart w:id="12" w:name="_Toc142568435"/>
      <w:bookmarkStart w:id="13" w:name="_Toc142384164"/>
      <w:r>
        <w:rPr>
          <w:rFonts w:ascii="Times New Roman" w:hAnsi="Times New Roman" w:cs="Times New Roman"/>
          <w:b/>
          <w:bCs/>
          <w:color w:val="auto"/>
          <w:sz w:val="24"/>
          <w:szCs w:val="24"/>
          <w:lang w:val="en-GB"/>
        </w:rPr>
        <w:t xml:space="preserve">     </w:t>
      </w:r>
      <w:r w:rsidR="00905A62" w:rsidRPr="00152918">
        <w:rPr>
          <w:rFonts w:ascii="Times New Roman" w:hAnsi="Times New Roman" w:cs="Times New Roman"/>
          <w:b/>
          <w:bCs/>
          <w:color w:val="auto"/>
          <w:sz w:val="24"/>
          <w:szCs w:val="24"/>
          <w:lang w:val="en-GB"/>
        </w:rPr>
        <w:t>Empirical Results</w:t>
      </w:r>
      <w:bookmarkEnd w:id="12"/>
    </w:p>
    <w:p w14:paraId="30488036" w14:textId="052F02D5" w:rsidR="00905A62" w:rsidRPr="00751947" w:rsidRDefault="00905A62" w:rsidP="00751947">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The findings from the ordinary least square (OLS) analysis revealed interesting insights into the relationships between poverty, inflation, exchange rate and other variables in Nigeria, Ghana, Cote </w:t>
      </w:r>
      <w:proofErr w:type="spellStart"/>
      <w:r w:rsidRPr="00152918">
        <w:rPr>
          <w:rFonts w:ascii="Times New Roman" w:hAnsi="Times New Roman" w:cs="Times New Roman"/>
          <w:sz w:val="24"/>
          <w:szCs w:val="24"/>
        </w:rPr>
        <w:t>D’Ivore</w:t>
      </w:r>
      <w:proofErr w:type="spellEnd"/>
      <w:r w:rsidRPr="00152918">
        <w:rPr>
          <w:rFonts w:ascii="Times New Roman" w:hAnsi="Times New Roman" w:cs="Times New Roman"/>
          <w:sz w:val="24"/>
          <w:szCs w:val="24"/>
        </w:rPr>
        <w:t xml:space="preserve">, Senegal and Liberia as presented in Table </w:t>
      </w:r>
      <w:r w:rsidR="00083885">
        <w:rPr>
          <w:rFonts w:ascii="Times New Roman" w:hAnsi="Times New Roman" w:cs="Times New Roman"/>
          <w:sz w:val="24"/>
          <w:szCs w:val="24"/>
        </w:rPr>
        <w:t>4</w:t>
      </w:r>
    </w:p>
    <w:p w14:paraId="686B61CB" w14:textId="77777777" w:rsidR="00751947" w:rsidRPr="00751947" w:rsidRDefault="00751947" w:rsidP="00751947"/>
    <w:p w14:paraId="7A93A234" w14:textId="5FBDA9C5" w:rsidR="00905A62" w:rsidRPr="00152918" w:rsidRDefault="00905A62" w:rsidP="00905A62">
      <w:pPr>
        <w:pStyle w:val="Caption"/>
        <w:keepNext/>
        <w:spacing w:after="0" w:line="360" w:lineRule="auto"/>
        <w:rPr>
          <w:rFonts w:ascii="Times New Roman" w:hAnsi="Times New Roman" w:cs="Times New Roman"/>
          <w:b/>
          <w:i w:val="0"/>
          <w:iCs w:val="0"/>
          <w:color w:val="auto"/>
          <w:sz w:val="24"/>
          <w:szCs w:val="24"/>
        </w:rPr>
      </w:pPr>
      <w:r w:rsidRPr="00152918">
        <w:rPr>
          <w:rFonts w:ascii="Times New Roman" w:hAnsi="Times New Roman" w:cs="Times New Roman"/>
          <w:b/>
          <w:i w:val="0"/>
          <w:iCs w:val="0"/>
          <w:color w:val="auto"/>
          <w:sz w:val="24"/>
          <w:szCs w:val="24"/>
        </w:rPr>
        <w:t xml:space="preserve">Table </w:t>
      </w:r>
      <w:r w:rsidR="00083885">
        <w:rPr>
          <w:rFonts w:ascii="Times New Roman" w:hAnsi="Times New Roman" w:cs="Times New Roman"/>
          <w:b/>
          <w:i w:val="0"/>
          <w:iCs w:val="0"/>
          <w:color w:val="auto"/>
          <w:sz w:val="24"/>
          <w:szCs w:val="24"/>
        </w:rPr>
        <w:t>4</w:t>
      </w:r>
      <w:r w:rsidRPr="00152918">
        <w:rPr>
          <w:rFonts w:ascii="Times New Roman" w:hAnsi="Times New Roman" w:cs="Times New Roman"/>
          <w:b/>
          <w:i w:val="0"/>
          <w:iCs w:val="0"/>
          <w:color w:val="auto"/>
          <w:sz w:val="24"/>
          <w:szCs w:val="24"/>
        </w:rPr>
        <w:t>: OLS Regression Estimation</w:t>
      </w:r>
      <w:bookmarkEnd w:id="13"/>
    </w:p>
    <w:tbl>
      <w:tblPr>
        <w:tblStyle w:val="TableGrid"/>
        <w:tblpPr w:leftFromText="180" w:rightFromText="180" w:vertAnchor="text" w:horzAnchor="page" w:tblpX="266" w:tblpY="73"/>
        <w:tblW w:w="11785" w:type="dxa"/>
        <w:tblLayout w:type="fixed"/>
        <w:tblLook w:val="04A0" w:firstRow="1" w:lastRow="0" w:firstColumn="1" w:lastColumn="0" w:noHBand="0" w:noVBand="1"/>
      </w:tblPr>
      <w:tblGrid>
        <w:gridCol w:w="2515"/>
        <w:gridCol w:w="1980"/>
        <w:gridCol w:w="1980"/>
        <w:gridCol w:w="1440"/>
        <w:gridCol w:w="1710"/>
        <w:gridCol w:w="2160"/>
      </w:tblGrid>
      <w:tr w:rsidR="00905A62" w:rsidRPr="009A76A6" w14:paraId="34474372" w14:textId="77777777" w:rsidTr="00D63E29">
        <w:tc>
          <w:tcPr>
            <w:tcW w:w="2515" w:type="dxa"/>
          </w:tcPr>
          <w:p w14:paraId="0CC28F98" w14:textId="77777777" w:rsidR="00905A62" w:rsidRPr="009A76A6" w:rsidRDefault="00905A62" w:rsidP="009A76A6">
            <w:pPr>
              <w:pStyle w:val="NoSpacing"/>
              <w:rPr>
                <w:rFonts w:ascii="Times New Roman" w:hAnsi="Times New Roman" w:cs="Times New Roman"/>
                <w:sz w:val="24"/>
                <w:szCs w:val="24"/>
              </w:rPr>
            </w:pPr>
          </w:p>
        </w:tc>
        <w:tc>
          <w:tcPr>
            <w:tcW w:w="1980" w:type="dxa"/>
            <w:tcBorders>
              <w:left w:val="nil"/>
              <w:right w:val="nil"/>
            </w:tcBorders>
          </w:tcPr>
          <w:p w14:paraId="1F0B608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Nigeria</w:t>
            </w:r>
          </w:p>
          <w:p w14:paraId="12822E1A" w14:textId="77777777" w:rsidR="00905A62" w:rsidRPr="009A76A6" w:rsidRDefault="00905A62" w:rsidP="009A76A6">
            <w:pPr>
              <w:pStyle w:val="NoSpacing"/>
              <w:rPr>
                <w:rFonts w:ascii="Times New Roman" w:hAnsi="Times New Roman" w:cs="Times New Roman"/>
                <w:sz w:val="24"/>
                <w:szCs w:val="24"/>
              </w:rPr>
            </w:pPr>
          </w:p>
        </w:tc>
        <w:tc>
          <w:tcPr>
            <w:tcW w:w="1980" w:type="dxa"/>
            <w:tcBorders>
              <w:right w:val="nil"/>
            </w:tcBorders>
          </w:tcPr>
          <w:p w14:paraId="272F4AE0"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Ghana</w:t>
            </w:r>
          </w:p>
        </w:tc>
        <w:tc>
          <w:tcPr>
            <w:tcW w:w="1440" w:type="dxa"/>
          </w:tcPr>
          <w:p w14:paraId="5C584C63"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Cote D’Ivoire</w:t>
            </w:r>
          </w:p>
        </w:tc>
        <w:tc>
          <w:tcPr>
            <w:tcW w:w="1710" w:type="dxa"/>
            <w:tcBorders>
              <w:right w:val="single" w:sz="4" w:space="0" w:color="auto"/>
            </w:tcBorders>
          </w:tcPr>
          <w:p w14:paraId="42776A13"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 xml:space="preserve"> Senegal</w:t>
            </w:r>
          </w:p>
        </w:tc>
        <w:tc>
          <w:tcPr>
            <w:tcW w:w="2160" w:type="dxa"/>
            <w:tcBorders>
              <w:right w:val="single" w:sz="4" w:space="0" w:color="auto"/>
            </w:tcBorders>
          </w:tcPr>
          <w:p w14:paraId="7A2D3B4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Liberia</w:t>
            </w:r>
          </w:p>
        </w:tc>
      </w:tr>
      <w:tr w:rsidR="00905A62" w:rsidRPr="009A76A6" w14:paraId="12236E01" w14:textId="77777777" w:rsidTr="00D63E29">
        <w:tc>
          <w:tcPr>
            <w:tcW w:w="2515" w:type="dxa"/>
          </w:tcPr>
          <w:p w14:paraId="2CF3389E"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Variable</w:t>
            </w:r>
          </w:p>
        </w:tc>
        <w:tc>
          <w:tcPr>
            <w:tcW w:w="1980" w:type="dxa"/>
          </w:tcPr>
          <w:p w14:paraId="09CFD4D3"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 xml:space="preserve">Coefficient &amp; </w:t>
            </w:r>
          </w:p>
          <w:p w14:paraId="05246AD0"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Probability</w:t>
            </w:r>
          </w:p>
        </w:tc>
        <w:tc>
          <w:tcPr>
            <w:tcW w:w="1980" w:type="dxa"/>
          </w:tcPr>
          <w:p w14:paraId="61225DF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 xml:space="preserve">Coefficient &amp; </w:t>
            </w:r>
          </w:p>
          <w:p w14:paraId="7E7BB39B"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Probability</w:t>
            </w:r>
          </w:p>
        </w:tc>
        <w:tc>
          <w:tcPr>
            <w:tcW w:w="1440" w:type="dxa"/>
          </w:tcPr>
          <w:p w14:paraId="6AA62A35"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 xml:space="preserve">Coefficient &amp; </w:t>
            </w:r>
          </w:p>
          <w:p w14:paraId="03AE187C"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Probability</w:t>
            </w:r>
          </w:p>
        </w:tc>
        <w:tc>
          <w:tcPr>
            <w:tcW w:w="1710" w:type="dxa"/>
          </w:tcPr>
          <w:p w14:paraId="48EE0FBC"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 xml:space="preserve">Coefficient &amp; </w:t>
            </w:r>
          </w:p>
          <w:p w14:paraId="6FDE6C19"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 xml:space="preserve">Probability </w:t>
            </w:r>
          </w:p>
        </w:tc>
        <w:tc>
          <w:tcPr>
            <w:tcW w:w="2160" w:type="dxa"/>
          </w:tcPr>
          <w:p w14:paraId="42E5DBE4"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 xml:space="preserve">Coefficient &amp; </w:t>
            </w:r>
          </w:p>
          <w:p w14:paraId="0731876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Probability</w:t>
            </w:r>
          </w:p>
        </w:tc>
      </w:tr>
      <w:tr w:rsidR="00905A62" w:rsidRPr="009A76A6" w14:paraId="2DEF5ADB" w14:textId="77777777" w:rsidTr="00D63E29">
        <w:tc>
          <w:tcPr>
            <w:tcW w:w="2515" w:type="dxa"/>
          </w:tcPr>
          <w:p w14:paraId="743FE710"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lastRenderedPageBreak/>
              <w:t>INF</w:t>
            </w:r>
          </w:p>
        </w:tc>
        <w:tc>
          <w:tcPr>
            <w:tcW w:w="1980" w:type="dxa"/>
          </w:tcPr>
          <w:p w14:paraId="529054AF"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(-18.23703)</w:t>
            </w:r>
          </w:p>
          <w:p w14:paraId="060DB1CB" w14:textId="77777777" w:rsidR="00905A62" w:rsidRPr="009A76A6" w:rsidRDefault="00905A62" w:rsidP="009A76A6">
            <w:pPr>
              <w:pStyle w:val="NoSpacing"/>
              <w:rPr>
                <w:rFonts w:ascii="Times New Roman" w:hAnsi="Times New Roman" w:cs="Times New Roman"/>
                <w:sz w:val="24"/>
                <w:szCs w:val="24"/>
                <w:vertAlign w:val="superscript"/>
              </w:rPr>
            </w:pPr>
            <w:r w:rsidRPr="009A76A6">
              <w:rPr>
                <w:rFonts w:ascii="Times New Roman" w:hAnsi="Times New Roman" w:cs="Times New Roman"/>
                <w:sz w:val="24"/>
                <w:szCs w:val="24"/>
              </w:rPr>
              <w:t>0.5317</w:t>
            </w:r>
          </w:p>
        </w:tc>
        <w:tc>
          <w:tcPr>
            <w:tcW w:w="1980" w:type="dxa"/>
          </w:tcPr>
          <w:p w14:paraId="566A61A8"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(-30.30884)</w:t>
            </w:r>
          </w:p>
          <w:p w14:paraId="4A314A9D"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0.0041</w:t>
            </w:r>
          </w:p>
        </w:tc>
        <w:tc>
          <w:tcPr>
            <w:tcW w:w="1440" w:type="dxa"/>
          </w:tcPr>
          <w:p w14:paraId="6008480B"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(-55.97607)</w:t>
            </w:r>
          </w:p>
          <w:p w14:paraId="38C0B420"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0.1304</w:t>
            </w:r>
          </w:p>
        </w:tc>
        <w:tc>
          <w:tcPr>
            <w:tcW w:w="1710" w:type="dxa"/>
          </w:tcPr>
          <w:p w14:paraId="53CAF934"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(-4.914079)</w:t>
            </w:r>
          </w:p>
          <w:p w14:paraId="2CC727F8"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0.7022</w:t>
            </w:r>
          </w:p>
        </w:tc>
        <w:tc>
          <w:tcPr>
            <w:tcW w:w="2160" w:type="dxa"/>
          </w:tcPr>
          <w:p w14:paraId="6F551408"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(4.377991)</w:t>
            </w:r>
          </w:p>
          <w:p w14:paraId="2DEE66ED"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0.7357</w:t>
            </w:r>
          </w:p>
        </w:tc>
      </w:tr>
      <w:tr w:rsidR="00905A62" w:rsidRPr="009A76A6" w14:paraId="06CA4E41" w14:textId="77777777" w:rsidTr="00D63E29">
        <w:tc>
          <w:tcPr>
            <w:tcW w:w="2515" w:type="dxa"/>
          </w:tcPr>
          <w:p w14:paraId="527D4558"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EXR</w:t>
            </w:r>
          </w:p>
        </w:tc>
        <w:tc>
          <w:tcPr>
            <w:tcW w:w="1980" w:type="dxa"/>
          </w:tcPr>
          <w:p w14:paraId="2ADA2D3E"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(-3.749197)</w:t>
            </w:r>
          </w:p>
          <w:p w14:paraId="0F06690F"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0.2529</w:t>
            </w:r>
          </w:p>
        </w:tc>
        <w:tc>
          <w:tcPr>
            <w:tcW w:w="1980" w:type="dxa"/>
          </w:tcPr>
          <w:p w14:paraId="03F92D8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(433.0033)</w:t>
            </w:r>
          </w:p>
          <w:p w14:paraId="09538B87" w14:textId="77777777" w:rsidR="00905A62" w:rsidRPr="009A76A6" w:rsidRDefault="00905A62" w:rsidP="009A76A6">
            <w:pPr>
              <w:pStyle w:val="NoSpacing"/>
              <w:rPr>
                <w:rFonts w:ascii="Times New Roman" w:hAnsi="Times New Roman" w:cs="Times New Roman"/>
                <w:sz w:val="24"/>
                <w:szCs w:val="24"/>
                <w:vertAlign w:val="superscript"/>
              </w:rPr>
            </w:pPr>
            <w:r w:rsidRPr="009A76A6">
              <w:rPr>
                <w:rFonts w:ascii="Times New Roman" w:hAnsi="Times New Roman" w:cs="Times New Roman"/>
                <w:sz w:val="24"/>
                <w:szCs w:val="24"/>
              </w:rPr>
              <w:t>0.0000</w:t>
            </w:r>
          </w:p>
        </w:tc>
        <w:tc>
          <w:tcPr>
            <w:tcW w:w="1440" w:type="dxa"/>
          </w:tcPr>
          <w:p w14:paraId="651C6F7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(4.093460)</w:t>
            </w:r>
          </w:p>
          <w:p w14:paraId="0EED15A1" w14:textId="77777777" w:rsidR="00905A62" w:rsidRPr="009A76A6" w:rsidRDefault="00905A62" w:rsidP="009A76A6">
            <w:pPr>
              <w:pStyle w:val="NoSpacing"/>
              <w:rPr>
                <w:rFonts w:ascii="Times New Roman" w:hAnsi="Times New Roman" w:cs="Times New Roman"/>
                <w:sz w:val="24"/>
                <w:szCs w:val="24"/>
                <w:vertAlign w:val="superscript"/>
              </w:rPr>
            </w:pPr>
            <w:r w:rsidRPr="009A76A6">
              <w:rPr>
                <w:rFonts w:ascii="Times New Roman" w:hAnsi="Times New Roman" w:cs="Times New Roman"/>
                <w:sz w:val="24"/>
                <w:szCs w:val="24"/>
              </w:rPr>
              <w:t>0.0006</w:t>
            </w:r>
          </w:p>
        </w:tc>
        <w:tc>
          <w:tcPr>
            <w:tcW w:w="1710" w:type="dxa"/>
          </w:tcPr>
          <w:p w14:paraId="38637C75"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(0.729450)</w:t>
            </w:r>
          </w:p>
          <w:p w14:paraId="5BAA6C78"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0.0374</w:t>
            </w:r>
          </w:p>
        </w:tc>
        <w:tc>
          <w:tcPr>
            <w:tcW w:w="2160" w:type="dxa"/>
          </w:tcPr>
          <w:p w14:paraId="34101AE0"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(0.254455)</w:t>
            </w:r>
          </w:p>
          <w:p w14:paraId="68E3D0B3" w14:textId="77777777" w:rsidR="00905A62" w:rsidRPr="009A76A6" w:rsidRDefault="00905A62" w:rsidP="009A76A6">
            <w:pPr>
              <w:pStyle w:val="NoSpacing"/>
              <w:rPr>
                <w:rFonts w:ascii="Times New Roman" w:hAnsi="Times New Roman" w:cs="Times New Roman"/>
                <w:sz w:val="24"/>
                <w:szCs w:val="24"/>
                <w:vertAlign w:val="superscript"/>
              </w:rPr>
            </w:pPr>
            <w:r w:rsidRPr="009A76A6">
              <w:rPr>
                <w:rFonts w:ascii="Times New Roman" w:hAnsi="Times New Roman" w:cs="Times New Roman"/>
                <w:sz w:val="24"/>
                <w:szCs w:val="24"/>
              </w:rPr>
              <w:t>0.8777</w:t>
            </w:r>
          </w:p>
        </w:tc>
      </w:tr>
      <w:tr w:rsidR="00905A62" w:rsidRPr="009A76A6" w14:paraId="4A39B1DE" w14:textId="77777777" w:rsidTr="00D63E29">
        <w:tc>
          <w:tcPr>
            <w:tcW w:w="2515" w:type="dxa"/>
          </w:tcPr>
          <w:p w14:paraId="1A28C45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GEX</w:t>
            </w:r>
          </w:p>
        </w:tc>
        <w:tc>
          <w:tcPr>
            <w:tcW w:w="1980" w:type="dxa"/>
          </w:tcPr>
          <w:p w14:paraId="290033D0"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(1.488953)</w:t>
            </w:r>
          </w:p>
          <w:p w14:paraId="07D08AFB" w14:textId="77777777" w:rsidR="00905A62" w:rsidRPr="009A76A6" w:rsidRDefault="00905A62" w:rsidP="009A76A6">
            <w:pPr>
              <w:pStyle w:val="NoSpacing"/>
              <w:rPr>
                <w:rFonts w:ascii="Times New Roman" w:hAnsi="Times New Roman" w:cs="Times New Roman"/>
                <w:sz w:val="24"/>
                <w:szCs w:val="24"/>
                <w:vertAlign w:val="superscript"/>
              </w:rPr>
            </w:pPr>
            <w:r w:rsidRPr="009A76A6">
              <w:rPr>
                <w:rFonts w:ascii="Times New Roman" w:hAnsi="Times New Roman" w:cs="Times New Roman"/>
                <w:sz w:val="24"/>
                <w:szCs w:val="24"/>
              </w:rPr>
              <w:t>0.0393</w:t>
            </w:r>
          </w:p>
        </w:tc>
        <w:tc>
          <w:tcPr>
            <w:tcW w:w="1980" w:type="dxa"/>
          </w:tcPr>
          <w:p w14:paraId="66707F8C"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(2.533206)</w:t>
            </w:r>
          </w:p>
          <w:p w14:paraId="04D9F8D4"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0.9556</w:t>
            </w:r>
          </w:p>
        </w:tc>
        <w:tc>
          <w:tcPr>
            <w:tcW w:w="1440" w:type="dxa"/>
          </w:tcPr>
          <w:p w14:paraId="392B7DC3"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(-73.11338)</w:t>
            </w:r>
          </w:p>
          <w:p w14:paraId="548463C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0.5554</w:t>
            </w:r>
          </w:p>
        </w:tc>
        <w:tc>
          <w:tcPr>
            <w:tcW w:w="1710" w:type="dxa"/>
          </w:tcPr>
          <w:p w14:paraId="75F49D2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(-13.05384)</w:t>
            </w:r>
          </w:p>
          <w:p w14:paraId="443D2B5F"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0.5143</w:t>
            </w:r>
          </w:p>
        </w:tc>
        <w:tc>
          <w:tcPr>
            <w:tcW w:w="2160" w:type="dxa"/>
          </w:tcPr>
          <w:p w14:paraId="79B5A576"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(-4.494581)</w:t>
            </w:r>
          </w:p>
          <w:p w14:paraId="4899AAC9"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0.6840</w:t>
            </w:r>
          </w:p>
        </w:tc>
      </w:tr>
      <w:tr w:rsidR="00905A62" w:rsidRPr="009A76A6" w14:paraId="71493904" w14:textId="77777777" w:rsidTr="00D63E29">
        <w:tc>
          <w:tcPr>
            <w:tcW w:w="2515" w:type="dxa"/>
          </w:tcPr>
          <w:p w14:paraId="22696B1D"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MS</w:t>
            </w:r>
          </w:p>
        </w:tc>
        <w:tc>
          <w:tcPr>
            <w:tcW w:w="1980" w:type="dxa"/>
          </w:tcPr>
          <w:p w14:paraId="413F0CBB"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(73.72219)</w:t>
            </w:r>
          </w:p>
          <w:p w14:paraId="2AD82991"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0.00240</w:t>
            </w:r>
          </w:p>
        </w:tc>
        <w:tc>
          <w:tcPr>
            <w:tcW w:w="1980" w:type="dxa"/>
          </w:tcPr>
          <w:p w14:paraId="41BF6C0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(0-4.73696)</w:t>
            </w:r>
          </w:p>
          <w:p w14:paraId="67A025E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0.1067</w:t>
            </w:r>
          </w:p>
        </w:tc>
        <w:tc>
          <w:tcPr>
            <w:tcW w:w="1440" w:type="dxa"/>
          </w:tcPr>
          <w:p w14:paraId="05DAF533"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(80.00438)</w:t>
            </w:r>
          </w:p>
          <w:p w14:paraId="3BFD56AE"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0.0000</w:t>
            </w:r>
          </w:p>
        </w:tc>
        <w:tc>
          <w:tcPr>
            <w:tcW w:w="1710" w:type="dxa"/>
          </w:tcPr>
          <w:p w14:paraId="00F3310C"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(31.53048)</w:t>
            </w:r>
          </w:p>
          <w:p w14:paraId="0CAD590D"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0.0000</w:t>
            </w:r>
          </w:p>
        </w:tc>
        <w:tc>
          <w:tcPr>
            <w:tcW w:w="2160" w:type="dxa"/>
          </w:tcPr>
          <w:p w14:paraId="713E0A55"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(0.977413)</w:t>
            </w:r>
          </w:p>
          <w:p w14:paraId="741F5693"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0.9364</w:t>
            </w:r>
          </w:p>
        </w:tc>
      </w:tr>
      <w:tr w:rsidR="00905A62" w:rsidRPr="009A76A6" w14:paraId="27692436" w14:textId="77777777" w:rsidTr="00D63E29">
        <w:tc>
          <w:tcPr>
            <w:tcW w:w="2515" w:type="dxa"/>
          </w:tcPr>
          <w:p w14:paraId="211D32C9"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NX</w:t>
            </w:r>
          </w:p>
        </w:tc>
        <w:tc>
          <w:tcPr>
            <w:tcW w:w="1980" w:type="dxa"/>
          </w:tcPr>
          <w:p w14:paraId="783204E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(-5.76E-09)</w:t>
            </w:r>
          </w:p>
          <w:p w14:paraId="31F25753" w14:textId="77777777" w:rsidR="00905A62" w:rsidRPr="009A76A6" w:rsidRDefault="00905A62" w:rsidP="009A76A6">
            <w:pPr>
              <w:pStyle w:val="NoSpacing"/>
              <w:rPr>
                <w:rFonts w:ascii="Times New Roman" w:hAnsi="Times New Roman" w:cs="Times New Roman"/>
                <w:sz w:val="24"/>
                <w:szCs w:val="24"/>
                <w:vertAlign w:val="superscript"/>
              </w:rPr>
            </w:pPr>
            <w:r w:rsidRPr="009A76A6">
              <w:rPr>
                <w:rFonts w:ascii="Times New Roman" w:hAnsi="Times New Roman" w:cs="Times New Roman"/>
                <w:sz w:val="24"/>
                <w:szCs w:val="24"/>
              </w:rPr>
              <w:t>0.5049</w:t>
            </w:r>
          </w:p>
        </w:tc>
        <w:tc>
          <w:tcPr>
            <w:tcW w:w="1980" w:type="dxa"/>
          </w:tcPr>
          <w:p w14:paraId="390CE37E"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(-9.50E-08)</w:t>
            </w:r>
          </w:p>
          <w:p w14:paraId="3E803888"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0.2400</w:t>
            </w:r>
          </w:p>
        </w:tc>
        <w:tc>
          <w:tcPr>
            <w:tcW w:w="1440" w:type="dxa"/>
          </w:tcPr>
          <w:p w14:paraId="5805987D"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(-1.13E-07)</w:t>
            </w:r>
          </w:p>
          <w:p w14:paraId="69B7E081"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0.2029</w:t>
            </w:r>
          </w:p>
        </w:tc>
        <w:tc>
          <w:tcPr>
            <w:tcW w:w="1710" w:type="dxa"/>
          </w:tcPr>
          <w:p w14:paraId="4E2CA0AF"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(-4.00E-08)</w:t>
            </w:r>
          </w:p>
          <w:p w14:paraId="211D420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0.0000</w:t>
            </w:r>
          </w:p>
        </w:tc>
        <w:tc>
          <w:tcPr>
            <w:tcW w:w="2160" w:type="dxa"/>
          </w:tcPr>
          <w:p w14:paraId="7A7AC1F5"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(-1.06E-07)</w:t>
            </w:r>
          </w:p>
          <w:p w14:paraId="526FD5C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0.5033</w:t>
            </w:r>
          </w:p>
        </w:tc>
      </w:tr>
      <w:tr w:rsidR="00905A62" w:rsidRPr="009A76A6" w14:paraId="237A97FA" w14:textId="77777777" w:rsidTr="00D63E29">
        <w:tc>
          <w:tcPr>
            <w:tcW w:w="2515" w:type="dxa"/>
          </w:tcPr>
          <w:p w14:paraId="079EFB3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Constant</w:t>
            </w:r>
          </w:p>
        </w:tc>
        <w:tc>
          <w:tcPr>
            <w:tcW w:w="1980" w:type="dxa"/>
          </w:tcPr>
          <w:p w14:paraId="79175CE4"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(3623,764)</w:t>
            </w:r>
          </w:p>
          <w:p w14:paraId="10538BB8"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0.0000</w:t>
            </w:r>
          </w:p>
        </w:tc>
        <w:tc>
          <w:tcPr>
            <w:tcW w:w="1980" w:type="dxa"/>
          </w:tcPr>
          <w:p w14:paraId="7023D31B"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(5279.192)</w:t>
            </w:r>
          </w:p>
          <w:p w14:paraId="296694AB"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0.0000</w:t>
            </w:r>
          </w:p>
        </w:tc>
        <w:tc>
          <w:tcPr>
            <w:tcW w:w="1440" w:type="dxa"/>
          </w:tcPr>
          <w:p w14:paraId="5F622049"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(1772.254)</w:t>
            </w:r>
          </w:p>
          <w:p w14:paraId="527D8B40"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0.1213</w:t>
            </w:r>
          </w:p>
        </w:tc>
        <w:tc>
          <w:tcPr>
            <w:tcW w:w="1710" w:type="dxa"/>
          </w:tcPr>
          <w:p w14:paraId="3554045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(2244.015)</w:t>
            </w:r>
          </w:p>
          <w:p w14:paraId="7336911B"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0.0000</w:t>
            </w:r>
          </w:p>
        </w:tc>
        <w:tc>
          <w:tcPr>
            <w:tcW w:w="2160" w:type="dxa"/>
          </w:tcPr>
          <w:p w14:paraId="0F69B86A"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(1450.329)</w:t>
            </w:r>
          </w:p>
          <w:p w14:paraId="65D47ADF"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0.040812</w:t>
            </w:r>
          </w:p>
        </w:tc>
      </w:tr>
      <w:tr w:rsidR="00905A62" w:rsidRPr="009A76A6" w14:paraId="57C34556" w14:textId="77777777" w:rsidTr="00D63E29">
        <w:tc>
          <w:tcPr>
            <w:tcW w:w="2515" w:type="dxa"/>
          </w:tcPr>
          <w:p w14:paraId="312518EE"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Observation</w:t>
            </w:r>
          </w:p>
        </w:tc>
        <w:tc>
          <w:tcPr>
            <w:tcW w:w="1980" w:type="dxa"/>
          </w:tcPr>
          <w:p w14:paraId="773A2465"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24</w:t>
            </w:r>
          </w:p>
        </w:tc>
        <w:tc>
          <w:tcPr>
            <w:tcW w:w="1980" w:type="dxa"/>
          </w:tcPr>
          <w:p w14:paraId="0C9330E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24</w:t>
            </w:r>
          </w:p>
        </w:tc>
        <w:tc>
          <w:tcPr>
            <w:tcW w:w="1440" w:type="dxa"/>
          </w:tcPr>
          <w:p w14:paraId="05C7CB4A"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24</w:t>
            </w:r>
          </w:p>
        </w:tc>
        <w:tc>
          <w:tcPr>
            <w:tcW w:w="1710" w:type="dxa"/>
          </w:tcPr>
          <w:p w14:paraId="5CCE804A"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24</w:t>
            </w:r>
          </w:p>
        </w:tc>
        <w:tc>
          <w:tcPr>
            <w:tcW w:w="2160" w:type="dxa"/>
          </w:tcPr>
          <w:p w14:paraId="791C8FBD"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24</w:t>
            </w:r>
          </w:p>
        </w:tc>
      </w:tr>
      <w:tr w:rsidR="00905A62" w:rsidRPr="009A76A6" w14:paraId="7F64E3BD" w14:textId="77777777" w:rsidTr="00D63E29">
        <w:tc>
          <w:tcPr>
            <w:tcW w:w="2515" w:type="dxa"/>
          </w:tcPr>
          <w:p w14:paraId="7947E1DC"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R-Squared</w:t>
            </w:r>
          </w:p>
        </w:tc>
        <w:tc>
          <w:tcPr>
            <w:tcW w:w="1980" w:type="dxa"/>
          </w:tcPr>
          <w:p w14:paraId="55B0AB28"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0.7686</w:t>
            </w:r>
          </w:p>
        </w:tc>
        <w:tc>
          <w:tcPr>
            <w:tcW w:w="1980" w:type="dxa"/>
          </w:tcPr>
          <w:p w14:paraId="75A30FA5"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0.915496</w:t>
            </w:r>
          </w:p>
        </w:tc>
        <w:tc>
          <w:tcPr>
            <w:tcW w:w="1440" w:type="dxa"/>
          </w:tcPr>
          <w:p w14:paraId="0B9C1F49"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0.916234</w:t>
            </w:r>
          </w:p>
        </w:tc>
        <w:tc>
          <w:tcPr>
            <w:tcW w:w="1710" w:type="dxa"/>
          </w:tcPr>
          <w:p w14:paraId="7F68EE2F"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0.958149</w:t>
            </w:r>
          </w:p>
        </w:tc>
        <w:tc>
          <w:tcPr>
            <w:tcW w:w="2160" w:type="dxa"/>
          </w:tcPr>
          <w:p w14:paraId="778689E4"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0.040812</w:t>
            </w:r>
          </w:p>
        </w:tc>
      </w:tr>
      <w:tr w:rsidR="00905A62" w:rsidRPr="009A76A6" w14:paraId="73533223" w14:textId="77777777" w:rsidTr="00D63E29">
        <w:tc>
          <w:tcPr>
            <w:tcW w:w="2515" w:type="dxa"/>
          </w:tcPr>
          <w:p w14:paraId="5C81C9DC" w14:textId="77777777" w:rsidR="00905A62" w:rsidRPr="009A76A6" w:rsidRDefault="00905A62" w:rsidP="009A76A6">
            <w:pPr>
              <w:pStyle w:val="NoSpacing"/>
              <w:rPr>
                <w:rFonts w:ascii="Times New Roman" w:hAnsi="Times New Roman" w:cs="Times New Roman"/>
                <w:sz w:val="24"/>
                <w:szCs w:val="24"/>
              </w:rPr>
            </w:pPr>
            <w:proofErr w:type="gramStart"/>
            <w:r w:rsidRPr="009A76A6">
              <w:rPr>
                <w:rFonts w:ascii="Times New Roman" w:hAnsi="Times New Roman" w:cs="Times New Roman"/>
                <w:sz w:val="24"/>
                <w:szCs w:val="24"/>
              </w:rPr>
              <w:t>Adjusted  R</w:t>
            </w:r>
            <w:proofErr w:type="gramEnd"/>
            <w:r w:rsidRPr="009A76A6">
              <w:rPr>
                <w:rFonts w:ascii="Times New Roman" w:hAnsi="Times New Roman" w:cs="Times New Roman"/>
                <w:sz w:val="24"/>
                <w:szCs w:val="24"/>
              </w:rPr>
              <w:t>-Squared</w:t>
            </w:r>
          </w:p>
        </w:tc>
        <w:tc>
          <w:tcPr>
            <w:tcW w:w="1980" w:type="dxa"/>
          </w:tcPr>
          <w:p w14:paraId="7A29F50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0.7043</w:t>
            </w:r>
          </w:p>
        </w:tc>
        <w:tc>
          <w:tcPr>
            <w:tcW w:w="1980" w:type="dxa"/>
          </w:tcPr>
          <w:p w14:paraId="36AA1444"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0.892023</w:t>
            </w:r>
          </w:p>
        </w:tc>
        <w:tc>
          <w:tcPr>
            <w:tcW w:w="1440" w:type="dxa"/>
          </w:tcPr>
          <w:p w14:paraId="35D83EF5"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0.892966</w:t>
            </w:r>
          </w:p>
        </w:tc>
        <w:tc>
          <w:tcPr>
            <w:tcW w:w="1710" w:type="dxa"/>
          </w:tcPr>
          <w:p w14:paraId="43F41711"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0.946524</w:t>
            </w:r>
          </w:p>
        </w:tc>
        <w:tc>
          <w:tcPr>
            <w:tcW w:w="2160" w:type="dxa"/>
          </w:tcPr>
          <w:p w14:paraId="0625CDC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-0.225629</w:t>
            </w:r>
          </w:p>
        </w:tc>
      </w:tr>
      <w:tr w:rsidR="00905A62" w:rsidRPr="009A76A6" w14:paraId="331F647A" w14:textId="77777777" w:rsidTr="00D63E29">
        <w:tc>
          <w:tcPr>
            <w:tcW w:w="2515" w:type="dxa"/>
          </w:tcPr>
          <w:p w14:paraId="59B75E6D"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F-statistics</w:t>
            </w:r>
          </w:p>
        </w:tc>
        <w:tc>
          <w:tcPr>
            <w:tcW w:w="1980" w:type="dxa"/>
          </w:tcPr>
          <w:p w14:paraId="6AAE6339"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11.96005</w:t>
            </w:r>
          </w:p>
        </w:tc>
        <w:tc>
          <w:tcPr>
            <w:tcW w:w="1980" w:type="dxa"/>
          </w:tcPr>
          <w:p w14:paraId="3F216390"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39.00173</w:t>
            </w:r>
          </w:p>
        </w:tc>
        <w:tc>
          <w:tcPr>
            <w:tcW w:w="1440" w:type="dxa"/>
          </w:tcPr>
          <w:p w14:paraId="7EF56DB1"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39.37688</w:t>
            </w:r>
          </w:p>
        </w:tc>
        <w:tc>
          <w:tcPr>
            <w:tcW w:w="1710" w:type="dxa"/>
          </w:tcPr>
          <w:p w14:paraId="287E0C19"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82.42000</w:t>
            </w:r>
          </w:p>
        </w:tc>
        <w:tc>
          <w:tcPr>
            <w:tcW w:w="2160" w:type="dxa"/>
          </w:tcPr>
          <w:p w14:paraId="06A2EB09"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0.153174</w:t>
            </w:r>
          </w:p>
        </w:tc>
      </w:tr>
      <w:tr w:rsidR="00905A62" w:rsidRPr="009A76A6" w14:paraId="01C46BF8" w14:textId="77777777" w:rsidTr="00D63E29">
        <w:tc>
          <w:tcPr>
            <w:tcW w:w="2515" w:type="dxa"/>
          </w:tcPr>
          <w:p w14:paraId="565E7C9A"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Prob(F-statistics)</w:t>
            </w:r>
          </w:p>
        </w:tc>
        <w:tc>
          <w:tcPr>
            <w:tcW w:w="1980" w:type="dxa"/>
          </w:tcPr>
          <w:p w14:paraId="01DF0973" w14:textId="77777777" w:rsidR="00905A62" w:rsidRPr="009A76A6" w:rsidRDefault="00905A62" w:rsidP="009A76A6">
            <w:pPr>
              <w:pStyle w:val="NoSpacing"/>
              <w:rPr>
                <w:rFonts w:ascii="Times New Roman" w:hAnsi="Times New Roman" w:cs="Times New Roman"/>
                <w:sz w:val="24"/>
                <w:szCs w:val="24"/>
                <w:vertAlign w:val="superscript"/>
              </w:rPr>
            </w:pPr>
            <w:r w:rsidRPr="009A76A6">
              <w:rPr>
                <w:rFonts w:ascii="Times New Roman" w:hAnsi="Times New Roman" w:cs="Times New Roman"/>
                <w:sz w:val="24"/>
                <w:szCs w:val="24"/>
              </w:rPr>
              <w:t>0.000033</w:t>
            </w:r>
          </w:p>
        </w:tc>
        <w:tc>
          <w:tcPr>
            <w:tcW w:w="1980" w:type="dxa"/>
          </w:tcPr>
          <w:p w14:paraId="647A2AA9"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0.000000</w:t>
            </w:r>
          </w:p>
        </w:tc>
        <w:tc>
          <w:tcPr>
            <w:tcW w:w="1440" w:type="dxa"/>
          </w:tcPr>
          <w:p w14:paraId="3DC383D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0.000000</w:t>
            </w:r>
          </w:p>
        </w:tc>
        <w:tc>
          <w:tcPr>
            <w:tcW w:w="1710" w:type="dxa"/>
          </w:tcPr>
          <w:p w14:paraId="10A5B5E9" w14:textId="77777777" w:rsidR="00905A62" w:rsidRPr="009A76A6" w:rsidRDefault="00905A62" w:rsidP="009A76A6">
            <w:pPr>
              <w:pStyle w:val="NoSpacing"/>
              <w:rPr>
                <w:rFonts w:ascii="Times New Roman" w:hAnsi="Times New Roman" w:cs="Times New Roman"/>
                <w:sz w:val="24"/>
                <w:szCs w:val="24"/>
                <w:vertAlign w:val="superscript"/>
              </w:rPr>
            </w:pPr>
            <w:r w:rsidRPr="009A76A6">
              <w:rPr>
                <w:rFonts w:ascii="Times New Roman" w:hAnsi="Times New Roman" w:cs="Times New Roman"/>
                <w:sz w:val="24"/>
                <w:szCs w:val="24"/>
              </w:rPr>
              <w:t>0.000000</w:t>
            </w:r>
          </w:p>
        </w:tc>
        <w:tc>
          <w:tcPr>
            <w:tcW w:w="2160" w:type="dxa"/>
          </w:tcPr>
          <w:p w14:paraId="40406736"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0.976363</w:t>
            </w:r>
          </w:p>
        </w:tc>
      </w:tr>
    </w:tbl>
    <w:p w14:paraId="676ECB67" w14:textId="77777777" w:rsidR="00905A62"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 xml:space="preserve">Note: </w:t>
      </w:r>
      <w:r w:rsidRPr="009A76A6">
        <w:rPr>
          <w:rFonts w:ascii="Cambria Math" w:hAnsi="Cambria Math" w:cs="Cambria Math"/>
          <w:sz w:val="24"/>
          <w:szCs w:val="24"/>
        </w:rPr>
        <w:t>𝑝</w:t>
      </w:r>
      <w:r w:rsidRPr="009A76A6">
        <w:rPr>
          <w:rFonts w:ascii="Times New Roman" w:hAnsi="Times New Roman" w:cs="Times New Roman"/>
          <w:sz w:val="24"/>
          <w:szCs w:val="24"/>
        </w:rPr>
        <w:t xml:space="preserve">&lt;0.05 means significant at 5% level of significance. </w:t>
      </w:r>
    </w:p>
    <w:p w14:paraId="207E251C" w14:textId="77777777" w:rsidR="009A76A6" w:rsidRPr="009A76A6" w:rsidRDefault="009A76A6" w:rsidP="009A76A6">
      <w:pPr>
        <w:pStyle w:val="NoSpacing"/>
        <w:spacing w:line="360" w:lineRule="auto"/>
        <w:rPr>
          <w:rFonts w:ascii="Times New Roman" w:eastAsia="Times New Roman" w:hAnsi="Times New Roman" w:cs="Times New Roman"/>
          <w:b/>
          <w:sz w:val="24"/>
          <w:szCs w:val="24"/>
        </w:rPr>
      </w:pPr>
      <w:r w:rsidRPr="00152918">
        <w:rPr>
          <w:rFonts w:ascii="Times New Roman" w:eastAsia="Times New Roman" w:hAnsi="Times New Roman" w:cs="Times New Roman"/>
          <w:b/>
          <w:sz w:val="24"/>
          <w:szCs w:val="24"/>
        </w:rPr>
        <w:t>Source: Authors’ computation using EViews 12</w:t>
      </w:r>
    </w:p>
    <w:p w14:paraId="226262DD" w14:textId="77777777" w:rsidR="00905A62" w:rsidRPr="009A76A6" w:rsidRDefault="00905A62" w:rsidP="009A76A6">
      <w:pPr>
        <w:pStyle w:val="NoSpacing"/>
        <w:rPr>
          <w:rFonts w:ascii="Times New Roman" w:hAnsi="Times New Roman" w:cs="Times New Roman"/>
          <w:sz w:val="24"/>
          <w:szCs w:val="24"/>
        </w:rPr>
      </w:pPr>
    </w:p>
    <w:p w14:paraId="33777AE6"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In the Ghana context, the Ordinary Least Squares (OLS) findings reveal a negative coefficient between inflation and poverty (-30.30884) and it is statistically significant (p = 0.0041), implying that inflation has a significant adverse effect on poverty. Higher inflation erodes purchasing power, disproportionately affecting the poor. </w:t>
      </w:r>
      <w:proofErr w:type="gramStart"/>
      <w:r w:rsidRPr="00152918">
        <w:rPr>
          <w:rFonts w:ascii="Times New Roman" w:hAnsi="Times New Roman" w:cs="Times New Roman"/>
          <w:sz w:val="24"/>
          <w:szCs w:val="24"/>
        </w:rPr>
        <w:t>However</w:t>
      </w:r>
      <w:proofErr w:type="gramEnd"/>
      <w:r w:rsidRPr="00152918">
        <w:rPr>
          <w:rFonts w:ascii="Times New Roman" w:hAnsi="Times New Roman" w:cs="Times New Roman"/>
          <w:sz w:val="24"/>
          <w:szCs w:val="24"/>
        </w:rPr>
        <w:t xml:space="preserve"> the empirical results for Nigeria, Cote D’Ivoire and Senegal reveals a negative and insignificant relationship between inflation and poverty in the individual country while the OLS result for Liberia shows a positive and insignificant effect on poverty.</w:t>
      </w:r>
    </w:p>
    <w:p w14:paraId="09B28F64"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For Nigeria, the coefficient for inflation is negative (-18.23703), but the p-value (0.5317) is above the 0.05 threshold, indicating the relationship is statistically insignificant. Although inflation tends to exacerbate poverty by eroding real income, this finding suggests that in the Nigerian context, inflation alone may not have a direct and significant impact on poverty. </w:t>
      </w:r>
      <w:r w:rsidRPr="00152918">
        <w:rPr>
          <w:rFonts w:ascii="Times New Roman" w:hAnsi="Times New Roman" w:cs="Times New Roman"/>
          <w:bCs/>
          <w:sz w:val="24"/>
          <w:szCs w:val="24"/>
        </w:rPr>
        <w:t>For Cote D’Ivoire</w:t>
      </w:r>
      <w:r w:rsidRPr="00152918">
        <w:rPr>
          <w:rFonts w:ascii="Times New Roman" w:hAnsi="Times New Roman" w:cs="Times New Roman"/>
          <w:sz w:val="24"/>
          <w:szCs w:val="24"/>
        </w:rPr>
        <w:t xml:space="preserve">, although the coefficient is negative (-55.97607), the p-value (0.1304) renders the relationship insignificant. Inflation’s effect on poverty might be mitigated by other stabilizing factors within the economy. The coefficient of inflation for Senegal is negative (-4.914079), but the p-value (0.7022) indicates an insignificant relationship. Despite inflation's theoretical connection to poverty, its direct influence is not evident here. While, correlation between inflation </w:t>
      </w:r>
      <w:r w:rsidRPr="00152918">
        <w:rPr>
          <w:rFonts w:ascii="Times New Roman" w:hAnsi="Times New Roman" w:cs="Times New Roman"/>
          <w:sz w:val="24"/>
          <w:szCs w:val="24"/>
        </w:rPr>
        <w:lastRenderedPageBreak/>
        <w:t>and poverty in Liberia is positive (4.377991) with a high p-value (0.7357) indicates no significant impact on poverty.</w:t>
      </w:r>
    </w:p>
    <w:p w14:paraId="2233ADE5"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Exchange rate (EXR) plays a significant role in poverty, particularly in developing countries through its impact on goods and services, its effect on inflation and balance of trade. The highly positive coefficient (433.0033) with a p-value of 0.0000 of the relationship between poverty and exchange rate in Ghana suggests that depreciation of the exchange rate significantly increases poverty in Ghana. This might occur due to the country's dependency on imports, which become more expensive with depreciation, driving up inflation and exacerbating poverty. Likewise, a small positive coefficient (0.729450) and a p-value of 0.0374 between poverty and exchange rate in Senegal reveals a statistically significant relationship. Depreciation increases poverty, likely by increasing the price of imports. Also, the coefficient of Exchange rate in Cote </w:t>
      </w:r>
      <w:proofErr w:type="gramStart"/>
      <w:r w:rsidRPr="00152918">
        <w:rPr>
          <w:rFonts w:ascii="Times New Roman" w:hAnsi="Times New Roman" w:cs="Times New Roman"/>
          <w:sz w:val="24"/>
          <w:szCs w:val="24"/>
        </w:rPr>
        <w:t>D’Ivoire  is</w:t>
      </w:r>
      <w:proofErr w:type="gramEnd"/>
      <w:r w:rsidRPr="00152918">
        <w:rPr>
          <w:rFonts w:ascii="Times New Roman" w:hAnsi="Times New Roman" w:cs="Times New Roman"/>
          <w:sz w:val="24"/>
          <w:szCs w:val="24"/>
        </w:rPr>
        <w:t xml:space="preserve"> (4.093460) with p-value of 0.0006 indicate a significant positive relationship between exchange rate depreciation and poverty, suggesting that as the currency depreciates, poverty rises due to increased import costs and inflationary pressures.</w:t>
      </w:r>
    </w:p>
    <w:p w14:paraId="33A2F75E"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However, in Nigeria, </w:t>
      </w:r>
      <w:proofErr w:type="gramStart"/>
      <w:r w:rsidRPr="00152918">
        <w:rPr>
          <w:rFonts w:ascii="Times New Roman" w:hAnsi="Times New Roman" w:cs="Times New Roman"/>
          <w:sz w:val="24"/>
          <w:szCs w:val="24"/>
        </w:rPr>
        <w:t>The</w:t>
      </w:r>
      <w:proofErr w:type="gramEnd"/>
      <w:r w:rsidRPr="00152918">
        <w:rPr>
          <w:rFonts w:ascii="Times New Roman" w:hAnsi="Times New Roman" w:cs="Times New Roman"/>
          <w:sz w:val="24"/>
          <w:szCs w:val="24"/>
        </w:rPr>
        <w:t xml:space="preserve"> exchange rate coefficient is negative (-3.749197), but with a p value of 0.2529, it is statistically insignificant. The exchange rate's indirect effect on poverty through prices and economic stability isn't observed as significant, although depreciation could worsen poverty by making imports more expensive and increasing inflation. As well as for Liberia with a positive coefficient (0.254455) but statistically insignificant (p = 0.8777), showing no direct relationship between exchange rate changes and poverty.</w:t>
      </w:r>
    </w:p>
    <w:p w14:paraId="0DF8AE70"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The role government expenditures play a crucial role in poverty reduction cannot be overemphasize, particularly when directed toward social services such as education, healthcare, housing, and social protection programs. </w:t>
      </w:r>
      <w:r w:rsidRPr="00152918">
        <w:rPr>
          <w:rFonts w:ascii="Times New Roman" w:hAnsi="Times New Roman" w:cs="Times New Roman"/>
          <w:bCs/>
          <w:sz w:val="24"/>
          <w:szCs w:val="24"/>
        </w:rPr>
        <w:t>Government Expenditure on Social Services (GEX) in Nigeria has a</w:t>
      </w:r>
      <w:r w:rsidRPr="00152918">
        <w:rPr>
          <w:rFonts w:ascii="Times New Roman" w:hAnsi="Times New Roman" w:cs="Times New Roman"/>
          <w:b/>
          <w:bCs/>
          <w:sz w:val="24"/>
          <w:szCs w:val="24"/>
        </w:rPr>
        <w:t xml:space="preserve"> </w:t>
      </w:r>
      <w:r w:rsidRPr="00152918">
        <w:rPr>
          <w:rFonts w:ascii="Times New Roman" w:hAnsi="Times New Roman" w:cs="Times New Roman"/>
          <w:sz w:val="24"/>
          <w:szCs w:val="24"/>
        </w:rPr>
        <w:t>positive coefficient (1.488953) and p-value (0.0393) indicate a significant positive relationship between government spending and poverty reduction in Nigeria. Increased social service expenditure, such as on health and education, can help alleviate poverty by providing public services to the vulnerable.</w:t>
      </w:r>
      <w:r w:rsidRPr="00152918">
        <w:rPr>
          <w:sz w:val="24"/>
          <w:szCs w:val="24"/>
        </w:rPr>
        <w:t xml:space="preserve"> </w:t>
      </w:r>
      <w:r w:rsidRPr="00152918">
        <w:rPr>
          <w:rFonts w:ascii="Times New Roman" w:hAnsi="Times New Roman" w:cs="Times New Roman"/>
          <w:sz w:val="24"/>
          <w:szCs w:val="24"/>
        </w:rPr>
        <w:t xml:space="preserve">For Ghana, the coefficient is positive but insignificant (2.533206; p = 0.9556), indicating that social spending in Ghana does not have a notable effect on reducing poverty in this estimation. In contrast Government expenditure for Cote D’Ivoire, Senegal and Liberia as a negative coefficient and statistically insignificant with poverty, implying that </w:t>
      </w:r>
      <w:r w:rsidRPr="00152918">
        <w:rPr>
          <w:rFonts w:ascii="Times New Roman" w:hAnsi="Times New Roman" w:cs="Times New Roman"/>
          <w:sz w:val="24"/>
          <w:szCs w:val="24"/>
        </w:rPr>
        <w:lastRenderedPageBreak/>
        <w:t>government spending does not have a noticeable impact on poverty reduction in Côte d'Ivoire. Senegal and Liberia.</w:t>
      </w:r>
    </w:p>
    <w:p w14:paraId="1848B7A3"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Another variable “money supply” was found to have a positive relationship with poverty in Nigeria, Cote D’Ivoire, Senegal and Liberia. </w:t>
      </w:r>
      <w:proofErr w:type="gramStart"/>
      <w:r w:rsidRPr="00152918">
        <w:rPr>
          <w:rFonts w:ascii="Times New Roman" w:hAnsi="Times New Roman" w:cs="Times New Roman"/>
          <w:sz w:val="24"/>
          <w:szCs w:val="24"/>
        </w:rPr>
        <w:t>However</w:t>
      </w:r>
      <w:proofErr w:type="gramEnd"/>
      <w:r w:rsidRPr="00152918">
        <w:rPr>
          <w:rFonts w:ascii="Times New Roman" w:hAnsi="Times New Roman" w:cs="Times New Roman"/>
          <w:sz w:val="24"/>
          <w:szCs w:val="24"/>
        </w:rPr>
        <w:t xml:space="preserve"> this positive relationship was </w:t>
      </w:r>
      <w:proofErr w:type="gramStart"/>
      <w:r w:rsidRPr="00152918">
        <w:rPr>
          <w:rFonts w:ascii="Times New Roman" w:hAnsi="Times New Roman" w:cs="Times New Roman"/>
          <w:sz w:val="24"/>
          <w:szCs w:val="24"/>
        </w:rPr>
        <w:t>statistical</w:t>
      </w:r>
      <w:proofErr w:type="gramEnd"/>
      <w:r w:rsidRPr="00152918">
        <w:rPr>
          <w:rFonts w:ascii="Times New Roman" w:hAnsi="Times New Roman" w:cs="Times New Roman"/>
          <w:sz w:val="24"/>
          <w:szCs w:val="24"/>
        </w:rPr>
        <w:t xml:space="preserve"> significant in the three countries expect Liberia. This implies that a larger money supply, often associated with expansionary policies, might stimulate economic activities, but unchecked expansion could drive inflation, indirectly affecting poverty. Only in Ghana, money supply showed a negative coefficient of -4.73696 but insignificant relationship with poverty suggesting no direct relationship between money supply and poverty in this case</w:t>
      </w:r>
    </w:p>
    <w:p w14:paraId="38B99D7D"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Finally, the variable "net export" (NX) was found to have a negative relationship with poverty in the five countries. However, net export was both negative and statistically significant in Senegal suggesting that higher net exports reduce poverty, by increasing income and create jobs through trade. </w:t>
      </w:r>
    </w:p>
    <w:p w14:paraId="43DBA3DE"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Examining the adjusted R-squared coefficients derived from our country-specific regression models reveals the important role played by the selected independent variables in explaining the variations in poverty. Specifically, for Nigeria, approximately 70% of the fluctuations in poverty can be ascribed to the independent variables under consideration. Likewise, in Ghana, an impressive 91% of the variability in poverty is explained by our chosen independent variables. Similarly, our independent variable in Cote D’Ivoire and Senegal demonstrates substantial explanatory power, accounting for roughly 89% and 94% respectively of the total variability in poverty. </w:t>
      </w:r>
      <w:proofErr w:type="gramStart"/>
      <w:r w:rsidRPr="00152918">
        <w:rPr>
          <w:rFonts w:ascii="Times New Roman" w:hAnsi="Times New Roman" w:cs="Times New Roman"/>
          <w:sz w:val="24"/>
          <w:szCs w:val="24"/>
        </w:rPr>
        <w:t>However</w:t>
      </w:r>
      <w:proofErr w:type="gramEnd"/>
      <w:r w:rsidRPr="00152918">
        <w:rPr>
          <w:rFonts w:ascii="Times New Roman" w:hAnsi="Times New Roman" w:cs="Times New Roman"/>
          <w:sz w:val="24"/>
          <w:szCs w:val="24"/>
        </w:rPr>
        <w:t xml:space="preserve"> the independent variables for Liberia showed a contrast result. </w:t>
      </w:r>
    </w:p>
    <w:p w14:paraId="5C2A6539"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Furthermore, to gain a comprehensive understanding of the overall significance of our regression models, we employed the F-test statistics. In Nigeria, the F-statistics value 11.96, along with a probability value of 0.0000, indicates that our F-statistics is highly significant at the 5% level of significance, thus highlighting the overall significance of our model for Nigeria. Similarly, for Ghana, the F-statistic value of 39.00, coupled with a probability value of 0.0000, demonstrates the strong statistical significance of our overall model in this context. Likewise, Cote D’Ivoire and Senegal, our overall regression model also exhibits statistical significance, as evidenced by the F-statistic of 39.37 and 82.42 respectively with a probability value of 0.0000. The F-statistic for Liberia was not </w:t>
      </w:r>
      <w:proofErr w:type="gramStart"/>
      <w:r w:rsidRPr="00152918">
        <w:rPr>
          <w:rFonts w:ascii="Times New Roman" w:hAnsi="Times New Roman" w:cs="Times New Roman"/>
          <w:sz w:val="24"/>
          <w:szCs w:val="24"/>
        </w:rPr>
        <w:t>statistical</w:t>
      </w:r>
      <w:proofErr w:type="gramEnd"/>
      <w:r w:rsidRPr="00152918">
        <w:rPr>
          <w:rFonts w:ascii="Times New Roman" w:hAnsi="Times New Roman" w:cs="Times New Roman"/>
          <w:sz w:val="24"/>
          <w:szCs w:val="24"/>
        </w:rPr>
        <w:t xml:space="preserve"> significant. However, the F-test results confirm the robustness and </w:t>
      </w:r>
      <w:r w:rsidRPr="00152918">
        <w:rPr>
          <w:rFonts w:ascii="Times New Roman" w:hAnsi="Times New Roman" w:cs="Times New Roman"/>
          <w:sz w:val="24"/>
          <w:szCs w:val="24"/>
        </w:rPr>
        <w:lastRenderedPageBreak/>
        <w:t>reliability of our regression models in capturing the relationships between the independent variables and poverty across four countries.</w:t>
      </w:r>
    </w:p>
    <w:p w14:paraId="617A12EC" w14:textId="77777777" w:rsidR="00905A62" w:rsidRPr="00152918" w:rsidRDefault="00905A62" w:rsidP="00905A62">
      <w:pPr>
        <w:pStyle w:val="NoSpacing"/>
        <w:spacing w:line="360" w:lineRule="auto"/>
        <w:rPr>
          <w:sz w:val="24"/>
          <w:szCs w:val="24"/>
        </w:rPr>
      </w:pPr>
    </w:p>
    <w:p w14:paraId="2334D20F" w14:textId="77777777" w:rsidR="00905A62" w:rsidRPr="00152918" w:rsidRDefault="00905A62" w:rsidP="00905A62">
      <w:pPr>
        <w:spacing w:after="0" w:line="360" w:lineRule="auto"/>
        <w:jc w:val="both"/>
        <w:rPr>
          <w:rFonts w:ascii="Times New Roman" w:hAnsi="Times New Roman" w:cs="Times New Roman"/>
          <w:b/>
          <w:sz w:val="24"/>
          <w:szCs w:val="24"/>
        </w:rPr>
      </w:pPr>
      <w:r w:rsidRPr="00152918">
        <w:rPr>
          <w:rFonts w:ascii="Times New Roman" w:hAnsi="Times New Roman" w:cs="Times New Roman"/>
          <w:b/>
          <w:sz w:val="24"/>
          <w:szCs w:val="24"/>
        </w:rPr>
        <w:t>Diagnostic Test</w:t>
      </w:r>
    </w:p>
    <w:p w14:paraId="3C6B599F" w14:textId="0F183B20" w:rsidR="00905A62" w:rsidRPr="005E7E56" w:rsidRDefault="00905A62" w:rsidP="005E7E56">
      <w:pPr>
        <w:pStyle w:val="NoSpacing"/>
        <w:rPr>
          <w:rFonts w:ascii="Times New Roman" w:hAnsi="Times New Roman" w:cs="Times New Roman"/>
          <w:i/>
          <w:iCs/>
          <w:sz w:val="24"/>
          <w:szCs w:val="24"/>
        </w:rPr>
      </w:pPr>
      <w:bookmarkStart w:id="14" w:name="_Toc142384165"/>
      <w:r w:rsidRPr="005E7E56">
        <w:rPr>
          <w:rFonts w:ascii="Times New Roman" w:hAnsi="Times New Roman" w:cs="Times New Roman"/>
          <w:sz w:val="24"/>
          <w:szCs w:val="24"/>
        </w:rPr>
        <w:t xml:space="preserve">Table </w:t>
      </w:r>
      <w:r w:rsidR="00083885">
        <w:rPr>
          <w:rFonts w:ascii="Times New Roman" w:hAnsi="Times New Roman" w:cs="Times New Roman"/>
          <w:sz w:val="24"/>
          <w:szCs w:val="24"/>
        </w:rPr>
        <w:t>5</w:t>
      </w:r>
      <w:r w:rsidRPr="005E7E56">
        <w:rPr>
          <w:rFonts w:ascii="Times New Roman" w:hAnsi="Times New Roman" w:cs="Times New Roman"/>
          <w:sz w:val="24"/>
          <w:szCs w:val="24"/>
        </w:rPr>
        <w:t>: Normality and Heteroscedasticity Test</w:t>
      </w:r>
      <w:bookmarkEnd w:id="14"/>
    </w:p>
    <w:tbl>
      <w:tblPr>
        <w:tblStyle w:val="TableGrid"/>
        <w:tblW w:w="9810" w:type="dxa"/>
        <w:tblInd w:w="-5" w:type="dxa"/>
        <w:tblLayout w:type="fixed"/>
        <w:tblLook w:val="04A0" w:firstRow="1" w:lastRow="0" w:firstColumn="1" w:lastColumn="0" w:noHBand="0" w:noVBand="1"/>
      </w:tblPr>
      <w:tblGrid>
        <w:gridCol w:w="2160"/>
        <w:gridCol w:w="1620"/>
        <w:gridCol w:w="1260"/>
        <w:gridCol w:w="1890"/>
        <w:gridCol w:w="1440"/>
        <w:gridCol w:w="1440"/>
      </w:tblGrid>
      <w:tr w:rsidR="00905A62" w:rsidRPr="005E7E56" w14:paraId="31CBE82A" w14:textId="77777777" w:rsidTr="00D63E29">
        <w:tc>
          <w:tcPr>
            <w:tcW w:w="2160" w:type="dxa"/>
          </w:tcPr>
          <w:p w14:paraId="7D5A103C" w14:textId="77777777" w:rsidR="00905A62" w:rsidRPr="005E7E56" w:rsidRDefault="00905A62" w:rsidP="005E7E56">
            <w:pPr>
              <w:pStyle w:val="NoSpacing"/>
              <w:rPr>
                <w:rFonts w:ascii="Times New Roman" w:hAnsi="Times New Roman" w:cs="Times New Roman"/>
                <w:sz w:val="24"/>
                <w:szCs w:val="24"/>
              </w:rPr>
            </w:pPr>
          </w:p>
        </w:tc>
        <w:tc>
          <w:tcPr>
            <w:tcW w:w="1620" w:type="dxa"/>
            <w:tcBorders>
              <w:left w:val="nil"/>
              <w:right w:val="nil"/>
            </w:tcBorders>
          </w:tcPr>
          <w:p w14:paraId="032DC815"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Nigeria</w:t>
            </w:r>
          </w:p>
          <w:p w14:paraId="0E6191E4" w14:textId="77777777" w:rsidR="00905A62" w:rsidRPr="005E7E56" w:rsidRDefault="00905A62" w:rsidP="005E7E56">
            <w:pPr>
              <w:pStyle w:val="NoSpacing"/>
              <w:rPr>
                <w:rFonts w:ascii="Times New Roman" w:hAnsi="Times New Roman" w:cs="Times New Roman"/>
                <w:sz w:val="24"/>
                <w:szCs w:val="24"/>
              </w:rPr>
            </w:pPr>
          </w:p>
        </w:tc>
        <w:tc>
          <w:tcPr>
            <w:tcW w:w="1260" w:type="dxa"/>
            <w:tcBorders>
              <w:right w:val="nil"/>
            </w:tcBorders>
          </w:tcPr>
          <w:p w14:paraId="50269D83"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Ghana</w:t>
            </w:r>
          </w:p>
        </w:tc>
        <w:tc>
          <w:tcPr>
            <w:tcW w:w="1890" w:type="dxa"/>
            <w:tcBorders>
              <w:right w:val="single" w:sz="4" w:space="0" w:color="auto"/>
            </w:tcBorders>
          </w:tcPr>
          <w:p w14:paraId="74759895"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Cote D’Ivoire</w:t>
            </w:r>
          </w:p>
        </w:tc>
        <w:tc>
          <w:tcPr>
            <w:tcW w:w="1440" w:type="dxa"/>
            <w:tcBorders>
              <w:right w:val="single" w:sz="4" w:space="0" w:color="auto"/>
            </w:tcBorders>
          </w:tcPr>
          <w:p w14:paraId="5E6B7ED8"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Senegal</w:t>
            </w:r>
          </w:p>
        </w:tc>
        <w:tc>
          <w:tcPr>
            <w:tcW w:w="1440" w:type="dxa"/>
            <w:tcBorders>
              <w:right w:val="single" w:sz="4" w:space="0" w:color="auto"/>
            </w:tcBorders>
          </w:tcPr>
          <w:p w14:paraId="5CEE01E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Liberia</w:t>
            </w:r>
          </w:p>
        </w:tc>
      </w:tr>
      <w:tr w:rsidR="00905A62" w:rsidRPr="005E7E56" w14:paraId="789D6ED6" w14:textId="77777777" w:rsidTr="00D63E29">
        <w:trPr>
          <w:trHeight w:val="377"/>
        </w:trPr>
        <w:tc>
          <w:tcPr>
            <w:tcW w:w="2160" w:type="dxa"/>
          </w:tcPr>
          <w:p w14:paraId="769666A6"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Normality Test</w:t>
            </w:r>
          </w:p>
        </w:tc>
        <w:tc>
          <w:tcPr>
            <w:tcW w:w="1620" w:type="dxa"/>
            <w:tcBorders>
              <w:left w:val="nil"/>
              <w:right w:val="nil"/>
            </w:tcBorders>
          </w:tcPr>
          <w:p w14:paraId="02ECF4E1" w14:textId="77777777" w:rsidR="00905A62" w:rsidRPr="005E7E56" w:rsidRDefault="00905A62" w:rsidP="005E7E56">
            <w:pPr>
              <w:pStyle w:val="NoSpacing"/>
              <w:rPr>
                <w:rFonts w:ascii="Times New Roman" w:hAnsi="Times New Roman" w:cs="Times New Roman"/>
                <w:sz w:val="24"/>
                <w:szCs w:val="24"/>
              </w:rPr>
            </w:pPr>
          </w:p>
        </w:tc>
        <w:tc>
          <w:tcPr>
            <w:tcW w:w="1260" w:type="dxa"/>
            <w:tcBorders>
              <w:right w:val="nil"/>
            </w:tcBorders>
          </w:tcPr>
          <w:p w14:paraId="577B17E8" w14:textId="77777777" w:rsidR="00905A62" w:rsidRPr="005E7E56" w:rsidRDefault="00905A62" w:rsidP="005E7E56">
            <w:pPr>
              <w:pStyle w:val="NoSpacing"/>
              <w:rPr>
                <w:rFonts w:ascii="Times New Roman" w:hAnsi="Times New Roman" w:cs="Times New Roman"/>
                <w:sz w:val="24"/>
                <w:szCs w:val="24"/>
              </w:rPr>
            </w:pPr>
          </w:p>
        </w:tc>
        <w:tc>
          <w:tcPr>
            <w:tcW w:w="1890" w:type="dxa"/>
            <w:tcBorders>
              <w:right w:val="single" w:sz="4" w:space="0" w:color="auto"/>
            </w:tcBorders>
          </w:tcPr>
          <w:p w14:paraId="2850F3A8" w14:textId="77777777" w:rsidR="00905A62" w:rsidRPr="005E7E56" w:rsidRDefault="00905A62" w:rsidP="005E7E56">
            <w:pPr>
              <w:pStyle w:val="NoSpacing"/>
              <w:rPr>
                <w:rFonts w:ascii="Times New Roman" w:hAnsi="Times New Roman" w:cs="Times New Roman"/>
                <w:sz w:val="24"/>
                <w:szCs w:val="24"/>
              </w:rPr>
            </w:pPr>
          </w:p>
        </w:tc>
        <w:tc>
          <w:tcPr>
            <w:tcW w:w="1440" w:type="dxa"/>
            <w:tcBorders>
              <w:right w:val="single" w:sz="4" w:space="0" w:color="auto"/>
            </w:tcBorders>
          </w:tcPr>
          <w:p w14:paraId="44A02C61" w14:textId="77777777" w:rsidR="00905A62" w:rsidRPr="005E7E56" w:rsidRDefault="00905A62" w:rsidP="005E7E56">
            <w:pPr>
              <w:pStyle w:val="NoSpacing"/>
              <w:rPr>
                <w:rFonts w:ascii="Times New Roman" w:hAnsi="Times New Roman" w:cs="Times New Roman"/>
                <w:sz w:val="24"/>
                <w:szCs w:val="24"/>
              </w:rPr>
            </w:pPr>
          </w:p>
        </w:tc>
        <w:tc>
          <w:tcPr>
            <w:tcW w:w="1440" w:type="dxa"/>
            <w:tcBorders>
              <w:right w:val="single" w:sz="4" w:space="0" w:color="auto"/>
            </w:tcBorders>
          </w:tcPr>
          <w:p w14:paraId="4FD34F7E" w14:textId="77777777" w:rsidR="00905A62" w:rsidRPr="005E7E56" w:rsidRDefault="00905A62" w:rsidP="005E7E56">
            <w:pPr>
              <w:pStyle w:val="NoSpacing"/>
              <w:rPr>
                <w:rFonts w:ascii="Times New Roman" w:hAnsi="Times New Roman" w:cs="Times New Roman"/>
                <w:sz w:val="24"/>
                <w:szCs w:val="24"/>
              </w:rPr>
            </w:pPr>
          </w:p>
        </w:tc>
      </w:tr>
      <w:tr w:rsidR="00905A62" w:rsidRPr="005E7E56" w14:paraId="7111FCF5" w14:textId="77777777" w:rsidTr="00D63E29">
        <w:tc>
          <w:tcPr>
            <w:tcW w:w="2160" w:type="dxa"/>
          </w:tcPr>
          <w:p w14:paraId="4AB1EE5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Jarque-Bera</w:t>
            </w:r>
          </w:p>
        </w:tc>
        <w:tc>
          <w:tcPr>
            <w:tcW w:w="1620" w:type="dxa"/>
          </w:tcPr>
          <w:p w14:paraId="27108CE4" w14:textId="77777777" w:rsidR="00905A62" w:rsidRPr="005E7E56" w:rsidRDefault="00905A62" w:rsidP="005E7E56">
            <w:pPr>
              <w:pStyle w:val="NoSpacing"/>
              <w:rPr>
                <w:rFonts w:ascii="Times New Roman" w:hAnsi="Times New Roman" w:cs="Times New Roman"/>
                <w:sz w:val="24"/>
                <w:szCs w:val="24"/>
                <w:vertAlign w:val="superscript"/>
              </w:rPr>
            </w:pPr>
            <w:r w:rsidRPr="005E7E56">
              <w:rPr>
                <w:rFonts w:ascii="Times New Roman" w:hAnsi="Times New Roman" w:cs="Times New Roman"/>
                <w:sz w:val="24"/>
                <w:szCs w:val="24"/>
              </w:rPr>
              <w:t>0.414360</w:t>
            </w:r>
          </w:p>
        </w:tc>
        <w:tc>
          <w:tcPr>
            <w:tcW w:w="1260" w:type="dxa"/>
          </w:tcPr>
          <w:p w14:paraId="40F9DD25"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2.950873</w:t>
            </w:r>
          </w:p>
        </w:tc>
        <w:tc>
          <w:tcPr>
            <w:tcW w:w="1890" w:type="dxa"/>
          </w:tcPr>
          <w:p w14:paraId="4CA5B7DF"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0.732039</w:t>
            </w:r>
          </w:p>
        </w:tc>
        <w:tc>
          <w:tcPr>
            <w:tcW w:w="1440" w:type="dxa"/>
          </w:tcPr>
          <w:p w14:paraId="0C8BC14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1.070240</w:t>
            </w:r>
          </w:p>
        </w:tc>
        <w:tc>
          <w:tcPr>
            <w:tcW w:w="1440" w:type="dxa"/>
          </w:tcPr>
          <w:p w14:paraId="68827D68"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0.568819</w:t>
            </w:r>
          </w:p>
        </w:tc>
      </w:tr>
      <w:tr w:rsidR="00905A62" w:rsidRPr="005E7E56" w14:paraId="6C71828A" w14:textId="77777777" w:rsidTr="00D63E29">
        <w:tc>
          <w:tcPr>
            <w:tcW w:w="2160" w:type="dxa"/>
          </w:tcPr>
          <w:p w14:paraId="5A223EB6"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Probability</w:t>
            </w:r>
          </w:p>
        </w:tc>
        <w:tc>
          <w:tcPr>
            <w:tcW w:w="1620" w:type="dxa"/>
          </w:tcPr>
          <w:p w14:paraId="6ECCA1C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0.812073</w:t>
            </w:r>
          </w:p>
        </w:tc>
        <w:tc>
          <w:tcPr>
            <w:tcW w:w="1260" w:type="dxa"/>
          </w:tcPr>
          <w:p w14:paraId="3B6680EB"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0.228679</w:t>
            </w:r>
          </w:p>
        </w:tc>
        <w:tc>
          <w:tcPr>
            <w:tcW w:w="1890" w:type="dxa"/>
          </w:tcPr>
          <w:p w14:paraId="666C918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0.693489</w:t>
            </w:r>
          </w:p>
        </w:tc>
        <w:tc>
          <w:tcPr>
            <w:tcW w:w="1440" w:type="dxa"/>
          </w:tcPr>
          <w:p w14:paraId="6E1715C5"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0.585599</w:t>
            </w:r>
          </w:p>
        </w:tc>
        <w:tc>
          <w:tcPr>
            <w:tcW w:w="1440" w:type="dxa"/>
          </w:tcPr>
          <w:p w14:paraId="06AB15D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0.752458</w:t>
            </w:r>
          </w:p>
        </w:tc>
      </w:tr>
      <w:tr w:rsidR="00905A62" w:rsidRPr="005E7E56" w14:paraId="26EE2CEF" w14:textId="77777777" w:rsidTr="00D63E29">
        <w:trPr>
          <w:trHeight w:val="332"/>
        </w:trPr>
        <w:tc>
          <w:tcPr>
            <w:tcW w:w="2160" w:type="dxa"/>
          </w:tcPr>
          <w:p w14:paraId="59A9D321"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Heteroskedasticity</w:t>
            </w:r>
          </w:p>
        </w:tc>
        <w:tc>
          <w:tcPr>
            <w:tcW w:w="1620" w:type="dxa"/>
          </w:tcPr>
          <w:p w14:paraId="63158183" w14:textId="77777777" w:rsidR="00905A62" w:rsidRPr="005E7E56" w:rsidRDefault="00905A62" w:rsidP="005E7E56">
            <w:pPr>
              <w:pStyle w:val="NoSpacing"/>
              <w:rPr>
                <w:rFonts w:ascii="Times New Roman" w:hAnsi="Times New Roman" w:cs="Times New Roman"/>
                <w:color w:val="FF0000"/>
                <w:sz w:val="24"/>
                <w:szCs w:val="24"/>
              </w:rPr>
            </w:pPr>
          </w:p>
        </w:tc>
        <w:tc>
          <w:tcPr>
            <w:tcW w:w="1260" w:type="dxa"/>
          </w:tcPr>
          <w:p w14:paraId="4B166757" w14:textId="77777777" w:rsidR="00905A62" w:rsidRPr="005E7E56" w:rsidRDefault="00905A62" w:rsidP="005E7E56">
            <w:pPr>
              <w:pStyle w:val="NoSpacing"/>
              <w:rPr>
                <w:rFonts w:ascii="Times New Roman" w:hAnsi="Times New Roman" w:cs="Times New Roman"/>
                <w:color w:val="FF0000"/>
                <w:sz w:val="24"/>
                <w:szCs w:val="24"/>
              </w:rPr>
            </w:pPr>
          </w:p>
        </w:tc>
        <w:tc>
          <w:tcPr>
            <w:tcW w:w="1890" w:type="dxa"/>
          </w:tcPr>
          <w:p w14:paraId="35874BE6" w14:textId="77777777" w:rsidR="00905A62" w:rsidRPr="005E7E56" w:rsidRDefault="00905A62" w:rsidP="005E7E56">
            <w:pPr>
              <w:pStyle w:val="NoSpacing"/>
              <w:rPr>
                <w:rFonts w:ascii="Times New Roman" w:hAnsi="Times New Roman" w:cs="Times New Roman"/>
                <w:sz w:val="24"/>
                <w:szCs w:val="24"/>
              </w:rPr>
            </w:pPr>
          </w:p>
        </w:tc>
        <w:tc>
          <w:tcPr>
            <w:tcW w:w="1440" w:type="dxa"/>
          </w:tcPr>
          <w:p w14:paraId="2277817C" w14:textId="77777777" w:rsidR="00905A62" w:rsidRPr="005E7E56" w:rsidRDefault="00905A62" w:rsidP="005E7E56">
            <w:pPr>
              <w:pStyle w:val="NoSpacing"/>
              <w:rPr>
                <w:rFonts w:ascii="Times New Roman" w:hAnsi="Times New Roman" w:cs="Times New Roman"/>
                <w:sz w:val="24"/>
                <w:szCs w:val="24"/>
              </w:rPr>
            </w:pPr>
          </w:p>
        </w:tc>
        <w:tc>
          <w:tcPr>
            <w:tcW w:w="1440" w:type="dxa"/>
          </w:tcPr>
          <w:p w14:paraId="5DAF3E19" w14:textId="77777777" w:rsidR="00905A62" w:rsidRPr="005E7E56" w:rsidRDefault="00905A62" w:rsidP="005E7E56">
            <w:pPr>
              <w:pStyle w:val="NoSpacing"/>
              <w:rPr>
                <w:rFonts w:ascii="Times New Roman" w:hAnsi="Times New Roman" w:cs="Times New Roman"/>
                <w:sz w:val="24"/>
                <w:szCs w:val="24"/>
              </w:rPr>
            </w:pPr>
          </w:p>
        </w:tc>
      </w:tr>
      <w:tr w:rsidR="00905A62" w:rsidRPr="005E7E56" w14:paraId="20C34298" w14:textId="77777777" w:rsidTr="00D63E29">
        <w:tc>
          <w:tcPr>
            <w:tcW w:w="2160" w:type="dxa"/>
          </w:tcPr>
          <w:p w14:paraId="1A3E9D3A"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Prob. </w:t>
            </w:r>
            <w:proofErr w:type="gramStart"/>
            <w:r w:rsidRPr="005E7E56">
              <w:rPr>
                <w:rFonts w:ascii="Times New Roman" w:hAnsi="Times New Roman" w:cs="Times New Roman"/>
                <w:sz w:val="24"/>
                <w:szCs w:val="24"/>
              </w:rPr>
              <w:t>F(</w:t>
            </w:r>
            <w:proofErr w:type="gramEnd"/>
            <w:r w:rsidRPr="005E7E56">
              <w:rPr>
                <w:rFonts w:ascii="Times New Roman" w:hAnsi="Times New Roman" w:cs="Times New Roman"/>
                <w:sz w:val="24"/>
                <w:szCs w:val="24"/>
              </w:rPr>
              <w:t>2,22)</w:t>
            </w:r>
          </w:p>
        </w:tc>
        <w:tc>
          <w:tcPr>
            <w:tcW w:w="1620" w:type="dxa"/>
          </w:tcPr>
          <w:p w14:paraId="6F2269B9" w14:textId="77777777" w:rsidR="00905A62" w:rsidRPr="005E7E56" w:rsidRDefault="00905A62" w:rsidP="005E7E56">
            <w:pPr>
              <w:pStyle w:val="NoSpacing"/>
              <w:rPr>
                <w:rFonts w:ascii="Times New Roman" w:hAnsi="Times New Roman" w:cs="Times New Roman"/>
                <w:sz w:val="24"/>
                <w:szCs w:val="24"/>
                <w:vertAlign w:val="superscript"/>
              </w:rPr>
            </w:pPr>
            <w:r w:rsidRPr="005E7E56">
              <w:rPr>
                <w:rFonts w:ascii="Times New Roman" w:hAnsi="Times New Roman" w:cs="Times New Roman"/>
                <w:sz w:val="24"/>
                <w:szCs w:val="24"/>
              </w:rPr>
              <w:t>6.376694</w:t>
            </w:r>
          </w:p>
        </w:tc>
        <w:tc>
          <w:tcPr>
            <w:tcW w:w="1260" w:type="dxa"/>
          </w:tcPr>
          <w:p w14:paraId="163ECC21"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2.244224</w:t>
            </w:r>
          </w:p>
        </w:tc>
        <w:tc>
          <w:tcPr>
            <w:tcW w:w="1890" w:type="dxa"/>
          </w:tcPr>
          <w:p w14:paraId="0229D373"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3.251283</w:t>
            </w:r>
          </w:p>
        </w:tc>
        <w:tc>
          <w:tcPr>
            <w:tcW w:w="1440" w:type="dxa"/>
          </w:tcPr>
          <w:p w14:paraId="19A1A4DE"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1.910008</w:t>
            </w:r>
          </w:p>
        </w:tc>
        <w:tc>
          <w:tcPr>
            <w:tcW w:w="1440" w:type="dxa"/>
          </w:tcPr>
          <w:p w14:paraId="693E9411"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21.95429</w:t>
            </w:r>
          </w:p>
        </w:tc>
      </w:tr>
      <w:tr w:rsidR="00905A62" w:rsidRPr="005E7E56" w14:paraId="1CA041E2" w14:textId="77777777" w:rsidTr="00D63E29">
        <w:tc>
          <w:tcPr>
            <w:tcW w:w="2160" w:type="dxa"/>
          </w:tcPr>
          <w:p w14:paraId="7DDE82B4"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Prob. Chi-</w:t>
            </w:r>
            <w:proofErr w:type="gramStart"/>
            <w:r w:rsidRPr="005E7E56">
              <w:rPr>
                <w:rFonts w:ascii="Times New Roman" w:hAnsi="Times New Roman" w:cs="Times New Roman"/>
                <w:sz w:val="24"/>
                <w:szCs w:val="24"/>
              </w:rPr>
              <w:t>Square(</w:t>
            </w:r>
            <w:proofErr w:type="gramEnd"/>
            <w:r w:rsidRPr="005E7E56">
              <w:rPr>
                <w:rFonts w:ascii="Times New Roman" w:hAnsi="Times New Roman" w:cs="Times New Roman"/>
                <w:sz w:val="24"/>
                <w:szCs w:val="24"/>
              </w:rPr>
              <w:t>5)</w:t>
            </w:r>
          </w:p>
        </w:tc>
        <w:tc>
          <w:tcPr>
            <w:tcW w:w="1620" w:type="dxa"/>
          </w:tcPr>
          <w:p w14:paraId="5C492A2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0.2713</w:t>
            </w:r>
          </w:p>
        </w:tc>
        <w:tc>
          <w:tcPr>
            <w:tcW w:w="1260" w:type="dxa"/>
          </w:tcPr>
          <w:p w14:paraId="7DE2F04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0.8144</w:t>
            </w:r>
          </w:p>
        </w:tc>
        <w:tc>
          <w:tcPr>
            <w:tcW w:w="1890" w:type="dxa"/>
          </w:tcPr>
          <w:p w14:paraId="062808DE"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0.6613</w:t>
            </w:r>
          </w:p>
        </w:tc>
        <w:tc>
          <w:tcPr>
            <w:tcW w:w="1440" w:type="dxa"/>
          </w:tcPr>
          <w:p w14:paraId="48E8EDE9"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0.8615</w:t>
            </w:r>
          </w:p>
        </w:tc>
        <w:tc>
          <w:tcPr>
            <w:tcW w:w="1440" w:type="dxa"/>
          </w:tcPr>
          <w:p w14:paraId="2AFBE581"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0.1697</w:t>
            </w:r>
          </w:p>
        </w:tc>
      </w:tr>
    </w:tbl>
    <w:p w14:paraId="4B0C4189"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Source: Authors Computation (Eviews12)</w:t>
      </w:r>
    </w:p>
    <w:p w14:paraId="303AF4B8" w14:textId="77777777" w:rsidR="005E7E56" w:rsidRDefault="005E7E56" w:rsidP="00905A62">
      <w:pPr>
        <w:spacing w:after="0" w:line="360" w:lineRule="auto"/>
        <w:jc w:val="both"/>
        <w:rPr>
          <w:rFonts w:ascii="Times New Roman" w:hAnsi="Times New Roman" w:cs="Times New Roman"/>
          <w:sz w:val="24"/>
          <w:szCs w:val="24"/>
        </w:rPr>
      </w:pPr>
    </w:p>
    <w:p w14:paraId="60CB096A" w14:textId="4C9EA453" w:rsidR="00905A62" w:rsidRPr="00152918" w:rsidRDefault="00905A62" w:rsidP="00905A62">
      <w:pPr>
        <w:spacing w:after="0" w:line="360" w:lineRule="auto"/>
        <w:jc w:val="both"/>
        <w:rPr>
          <w:rFonts w:ascii="Times New Roman" w:hAnsi="Times New Roman" w:cs="Times New Roman"/>
          <w:sz w:val="24"/>
          <w:szCs w:val="24"/>
        </w:rPr>
      </w:pPr>
      <w:r w:rsidRPr="00152918">
        <w:rPr>
          <w:rFonts w:ascii="Times New Roman" w:hAnsi="Times New Roman" w:cs="Times New Roman"/>
          <w:sz w:val="24"/>
          <w:szCs w:val="24"/>
        </w:rPr>
        <w:t xml:space="preserve">From Table </w:t>
      </w:r>
      <w:r w:rsidR="00083885">
        <w:rPr>
          <w:rFonts w:ascii="Times New Roman" w:hAnsi="Times New Roman" w:cs="Times New Roman"/>
          <w:sz w:val="24"/>
          <w:szCs w:val="24"/>
        </w:rPr>
        <w:t>5</w:t>
      </w:r>
      <w:r w:rsidRPr="00152918">
        <w:rPr>
          <w:rFonts w:ascii="Times New Roman" w:hAnsi="Times New Roman" w:cs="Times New Roman"/>
          <w:sz w:val="24"/>
          <w:szCs w:val="24"/>
        </w:rPr>
        <w:t xml:space="preserve">, the probability f-statistic and probability chi-square for Nigeria, Ghana, Cote D’Ivoire, Senegal and Liberia were found to be statistically insignificant (&gt;0.05), hence we fail to reject the null hypothesis of no heteroskedasticity and conclude that there is no heteroskedasticity in the models. </w:t>
      </w:r>
    </w:p>
    <w:p w14:paraId="683507CA" w14:textId="56097FE5" w:rsidR="00905A62" w:rsidRPr="00152918" w:rsidRDefault="00905A62" w:rsidP="00905A62">
      <w:pPr>
        <w:spacing w:after="0" w:line="360" w:lineRule="auto"/>
        <w:jc w:val="both"/>
        <w:rPr>
          <w:rFonts w:ascii="Times New Roman" w:hAnsi="Times New Roman" w:cs="Times New Roman"/>
          <w:sz w:val="24"/>
          <w:szCs w:val="24"/>
        </w:rPr>
      </w:pPr>
      <w:r w:rsidRPr="00152918">
        <w:rPr>
          <w:rFonts w:ascii="Times New Roman" w:hAnsi="Times New Roman" w:cs="Times New Roman"/>
          <w:sz w:val="24"/>
          <w:szCs w:val="24"/>
        </w:rPr>
        <w:t xml:space="preserve">In other to examine the combined effect of Inflation, exchange rate and our specified variables on poverty in Nigeria, Ghana, Cote D’Ivoire, Senegal and Liberia, the study employed the fixed effect panel regression, Table </w:t>
      </w:r>
      <w:r w:rsidR="00083885">
        <w:rPr>
          <w:rFonts w:ascii="Times New Roman" w:hAnsi="Times New Roman" w:cs="Times New Roman"/>
          <w:sz w:val="24"/>
          <w:szCs w:val="24"/>
        </w:rPr>
        <w:t>6</w:t>
      </w:r>
      <w:r w:rsidRPr="00152918">
        <w:rPr>
          <w:rFonts w:ascii="Times New Roman" w:hAnsi="Times New Roman" w:cs="Times New Roman"/>
          <w:sz w:val="24"/>
          <w:szCs w:val="24"/>
        </w:rPr>
        <w:t xml:space="preserve">. </w:t>
      </w:r>
    </w:p>
    <w:p w14:paraId="5578B9E2" w14:textId="4F0940B6" w:rsidR="00905A62" w:rsidRPr="00FD7F20" w:rsidRDefault="00905A62" w:rsidP="00FD7F20">
      <w:pPr>
        <w:pStyle w:val="Caption"/>
        <w:keepNext/>
        <w:spacing w:after="0" w:line="360" w:lineRule="auto"/>
        <w:rPr>
          <w:rFonts w:ascii="Times New Roman" w:hAnsi="Times New Roman" w:cs="Times New Roman"/>
          <w:b/>
          <w:bCs/>
          <w:i w:val="0"/>
          <w:iCs w:val="0"/>
          <w:color w:val="auto"/>
          <w:sz w:val="24"/>
          <w:szCs w:val="24"/>
        </w:rPr>
      </w:pPr>
      <w:r w:rsidRPr="00152918">
        <w:rPr>
          <w:rFonts w:ascii="Times New Roman" w:hAnsi="Times New Roman" w:cs="Times New Roman"/>
          <w:b/>
          <w:bCs/>
          <w:i w:val="0"/>
          <w:iCs w:val="0"/>
          <w:color w:val="auto"/>
          <w:sz w:val="24"/>
          <w:szCs w:val="24"/>
        </w:rPr>
        <w:lastRenderedPageBreak/>
        <w:t xml:space="preserve">Table </w:t>
      </w:r>
      <w:r w:rsidR="00083885">
        <w:rPr>
          <w:rFonts w:ascii="Times New Roman" w:hAnsi="Times New Roman" w:cs="Times New Roman"/>
          <w:b/>
          <w:bCs/>
          <w:i w:val="0"/>
          <w:iCs w:val="0"/>
          <w:color w:val="auto"/>
          <w:sz w:val="24"/>
          <w:szCs w:val="24"/>
        </w:rPr>
        <w:t>6</w:t>
      </w:r>
      <w:r w:rsidRPr="00152918">
        <w:rPr>
          <w:rFonts w:ascii="Times New Roman" w:hAnsi="Times New Roman" w:cs="Times New Roman"/>
          <w:b/>
          <w:bCs/>
          <w:i w:val="0"/>
          <w:iCs w:val="0"/>
          <w:color w:val="auto"/>
          <w:sz w:val="24"/>
          <w:szCs w:val="24"/>
        </w:rPr>
        <w:t>: OLS Panel regression estimation</w:t>
      </w:r>
    </w:p>
    <w:p w14:paraId="137FE35A" w14:textId="77777777" w:rsidR="00FD7F20" w:rsidRDefault="00905A62" w:rsidP="00FD7F20">
      <w:pPr>
        <w:pStyle w:val="NoSpacing"/>
        <w:spacing w:line="360" w:lineRule="auto"/>
        <w:rPr>
          <w:sz w:val="24"/>
          <w:szCs w:val="24"/>
        </w:rPr>
      </w:pPr>
      <w:r w:rsidRPr="00152918">
        <w:rPr>
          <w:noProof/>
          <w:sz w:val="24"/>
          <w:szCs w:val="24"/>
        </w:rPr>
        <w:drawing>
          <wp:inline distT="0" distB="0" distL="0" distR="0" wp14:anchorId="3D400DDA" wp14:editId="5D6039C3">
            <wp:extent cx="3524250" cy="3767591"/>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849" cy="3768231"/>
                    </a:xfrm>
                    <a:prstGeom prst="rect">
                      <a:avLst/>
                    </a:prstGeom>
                    <a:noFill/>
                    <a:ln>
                      <a:noFill/>
                    </a:ln>
                  </pic:spPr>
                </pic:pic>
              </a:graphicData>
            </a:graphic>
          </wp:inline>
        </w:drawing>
      </w:r>
    </w:p>
    <w:p w14:paraId="2C41BBC7" w14:textId="12C7AA50" w:rsidR="00905A62" w:rsidRPr="00FD7F20" w:rsidRDefault="00905A62" w:rsidP="00FD7F20">
      <w:pPr>
        <w:pStyle w:val="NoSpacing"/>
        <w:spacing w:line="360" w:lineRule="auto"/>
        <w:ind w:firstLine="720"/>
        <w:rPr>
          <w:sz w:val="24"/>
          <w:szCs w:val="24"/>
        </w:rPr>
      </w:pPr>
      <w:r w:rsidRPr="00152918">
        <w:rPr>
          <w:rFonts w:ascii="Times New Roman" w:hAnsi="Times New Roman" w:cs="Times New Roman"/>
          <w:sz w:val="24"/>
          <w:szCs w:val="24"/>
        </w:rPr>
        <w:t xml:space="preserve">Results from our panel regression in Table </w:t>
      </w:r>
      <w:r w:rsidR="00083885">
        <w:rPr>
          <w:rFonts w:ascii="Times New Roman" w:hAnsi="Times New Roman" w:cs="Times New Roman"/>
          <w:sz w:val="24"/>
          <w:szCs w:val="24"/>
        </w:rPr>
        <w:t>6</w:t>
      </w:r>
      <w:r w:rsidRPr="00152918">
        <w:rPr>
          <w:rFonts w:ascii="Times New Roman" w:hAnsi="Times New Roman" w:cs="Times New Roman"/>
          <w:sz w:val="24"/>
          <w:szCs w:val="24"/>
        </w:rPr>
        <w:t xml:space="preserve"> reveal that inflation has a negative and significant impact on poverty. This suggests that inflationary pressures, when well-controlled, could have a mitigating effect on poverty in these countries. This finding supports the Mundell-Fleming model, which suggests that under certain conditions, monetary policy can have a stabilizing effect on prices and poverty in open economies, particularly when inflation rates are kept low. Empirical studies in West Africa, such as the work by Fosu (2017), have shown that inflation control contributes to poverty reduction by maintaining the purchasing power of consumers and stabilizing the cost of living. However, hyperinflation can lead to economic instability, eroding real incomes and pushing more people into poverty. </w:t>
      </w:r>
    </w:p>
    <w:p w14:paraId="70CD9117" w14:textId="77777777" w:rsidR="00905A62" w:rsidRPr="00152918" w:rsidRDefault="00905A62" w:rsidP="00905A62">
      <w:pPr>
        <w:pStyle w:val="NoSpacing"/>
        <w:spacing w:line="360" w:lineRule="auto"/>
        <w:ind w:firstLine="720"/>
        <w:jc w:val="both"/>
        <w:rPr>
          <w:sz w:val="24"/>
          <w:szCs w:val="24"/>
        </w:rPr>
      </w:pPr>
      <w:r w:rsidRPr="00152918">
        <w:rPr>
          <w:rFonts w:ascii="Times New Roman" w:hAnsi="Times New Roman" w:cs="Times New Roman"/>
          <w:sz w:val="24"/>
          <w:szCs w:val="24"/>
        </w:rPr>
        <w:t xml:space="preserve">The exchange rate has a negative but statistically insignificant impact on poverty. The negative coefficient indicates that exchange rate appreciation (strengthening of the currency) slightly reduces poverty, but the lack of significance means the relationship is not strong enough to draw firm conclusions. According to the Mundell-Fleming model for small open economies, exchange rate fluctuations can affect poverty through trade channels and inflation. In theory, a stronger currency makes imports cheaper, reducing the cost of goods and potentially alleviating </w:t>
      </w:r>
      <w:r w:rsidRPr="00152918">
        <w:rPr>
          <w:rFonts w:ascii="Times New Roman" w:hAnsi="Times New Roman" w:cs="Times New Roman"/>
          <w:sz w:val="24"/>
          <w:szCs w:val="24"/>
        </w:rPr>
        <w:lastRenderedPageBreak/>
        <w:t>poverty. However, the insignificant effect in the regression suggests that exchange rate policies may not be directly impactful on poverty in these countries. Many West African countries have experienced significant currency depreciations in recent years, particularly in Nigeria. The instability in exchange rates often worsens poverty by increasing the cost of imports (e.g., food and fuel), which hurts the lower-income population more severely.</w:t>
      </w:r>
    </w:p>
    <w:p w14:paraId="19440A5B"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Government expenditure has a positive and marginally significant impact on poverty. This counterintuitive finding could suggest inefficiencies in how government funds are allocated, with spending not being directed toward poverty alleviation programs. Studies, including those by </w:t>
      </w:r>
      <w:proofErr w:type="spellStart"/>
      <w:r w:rsidRPr="00152918">
        <w:rPr>
          <w:rFonts w:ascii="Times New Roman" w:hAnsi="Times New Roman" w:cs="Times New Roman"/>
          <w:sz w:val="24"/>
          <w:szCs w:val="24"/>
        </w:rPr>
        <w:t>Alesina</w:t>
      </w:r>
      <w:proofErr w:type="spellEnd"/>
      <w:r w:rsidRPr="00152918">
        <w:rPr>
          <w:rFonts w:ascii="Times New Roman" w:hAnsi="Times New Roman" w:cs="Times New Roman"/>
          <w:sz w:val="24"/>
          <w:szCs w:val="24"/>
        </w:rPr>
        <w:t xml:space="preserve"> et al. (2002), have found that in many developing countries, government expenditure is often poorly targeted, leading to increased inequality and poverty. This may occur due to corruption, mismanagement, or spending on non-productive sectors. In West Africa, government expenditures often focus on infrastructure projects, defense, and recurrent costs, leaving little for social safety nets or programs directly benefiting the poor. This inefficiency is reflected in the positive relationship between government spending and poverty.</w:t>
      </w:r>
    </w:p>
    <w:p w14:paraId="624E0738"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Money supply has a negative and significant effect on poverty. This suggests that monetary expansion, when done prudently, can stimulate economic activity and reduce poverty. The Quantity Theory of Money suggests that increasing the money supply in a growing economy can promote economic activity, leading to higher employment and lower poverty levels. However, excessive money supply can lead to inflation, which can counteract these benefits. Studies by Adeola and Evans (2019) show that controlled monetary expansion in developing economies has a poverty-reducing effect, as it boosts aggregate demand, employment, and income. In contrast, hyperinflation caused by excessive money supply can have the opposite effect.</w:t>
      </w:r>
    </w:p>
    <w:p w14:paraId="6677D817"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Net exports have a positive but marginally significant impact on poverty. This indicate that trade surpluses in these economies do not necessarily translate into poverty reduction, potentially due to unequal distribution of the gains from trade. Studies in developing countries, such as by Deaton (2003), show that while trade can boost economic growth, the benefits often fail to trickle down to the poorest segments of the population. Instead, wealth is concentrated among those already better off, contributing to increased inequality.</w:t>
      </w:r>
    </w:p>
    <w:p w14:paraId="1EA9E803"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The constant term represents the base level of poverty when all other factors are held constant. The high significance of 5439.777 indicates that even without the influence of the </w:t>
      </w:r>
      <w:r w:rsidRPr="00152918">
        <w:rPr>
          <w:rFonts w:ascii="Times New Roman" w:hAnsi="Times New Roman" w:cs="Times New Roman"/>
          <w:sz w:val="24"/>
          <w:szCs w:val="24"/>
        </w:rPr>
        <w:lastRenderedPageBreak/>
        <w:t>independent variables, poverty in these countries is considerably high. The R-squared (0.920901) indicates that approximately 92% of the variation in poverty can be explained by the independent variables (INF, EXR, GEX, MS, NX), making it a very strong model. This is supported by the adjusted R-squared (0.891807) it accounts for the number of predictors and suggests that the model is still very good, explaining about 89.2% of the variation. The F-statistic (31.65264, p-value = 0.0000) implies that the model is overall statistically significant at the 1% level. Durbin-Watson stat (0.252952) Indicates potential autocorrelation in the residuals, which will be addressed in further diagnostic tests.</w:t>
      </w:r>
    </w:p>
    <w:p w14:paraId="77368604" w14:textId="77777777" w:rsidR="00905A62" w:rsidRPr="00152918" w:rsidRDefault="00905A62" w:rsidP="00905A62">
      <w:pPr>
        <w:spacing w:line="360" w:lineRule="auto"/>
        <w:jc w:val="both"/>
        <w:rPr>
          <w:rFonts w:ascii="Times New Roman" w:hAnsi="Times New Roman" w:cs="Times New Roman"/>
          <w:b/>
          <w:sz w:val="24"/>
          <w:szCs w:val="24"/>
        </w:rPr>
      </w:pPr>
      <w:r w:rsidRPr="00152918">
        <w:rPr>
          <w:rFonts w:ascii="Times New Roman" w:hAnsi="Times New Roman" w:cs="Times New Roman"/>
          <w:b/>
          <w:sz w:val="24"/>
          <w:szCs w:val="24"/>
        </w:rPr>
        <w:t>Economic Implication of the result</w:t>
      </w:r>
    </w:p>
    <w:p w14:paraId="01C039DF"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Inflation control plays a critical role in reducing poverty, especially in these West African countries where price stability is key to preserving the purchasing power of low-income households. Government expenditure is less effective in alleviating poverty and may need restructuring to focus on poverty-alleviation programs rather than non-productive expenditures. Money supply management has a significant positive role in reducing poverty, as long as it does not trigger high inflation. The relationship between exchange rates and poverty remains complex, suggesting that further exploration is needed, especially considering the depreciating currencies in this region. Net exports are only marginally related to poverty, reflecting that the gains from trade are not equitably distributed in these countries. These findings shows that policymakers should focus on inflation control, efficient government spending, and prudent monetary policies to reduce poverty across West Africa.</w:t>
      </w:r>
    </w:p>
    <w:p w14:paraId="4678E193" w14:textId="77777777" w:rsidR="00905A62" w:rsidRPr="00152918" w:rsidRDefault="00905A62" w:rsidP="00905A62">
      <w:pPr>
        <w:spacing w:line="360" w:lineRule="auto"/>
        <w:jc w:val="both"/>
        <w:rPr>
          <w:rFonts w:ascii="Times New Roman" w:hAnsi="Times New Roman" w:cs="Times New Roman"/>
          <w:b/>
          <w:sz w:val="24"/>
          <w:szCs w:val="24"/>
        </w:rPr>
      </w:pPr>
      <w:r w:rsidRPr="00152918">
        <w:rPr>
          <w:rFonts w:ascii="Times New Roman" w:hAnsi="Times New Roman" w:cs="Times New Roman"/>
          <w:b/>
          <w:sz w:val="24"/>
          <w:szCs w:val="24"/>
        </w:rPr>
        <w:t xml:space="preserve">Diagnostic test </w:t>
      </w:r>
    </w:p>
    <w:p w14:paraId="26729BC6"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To ensure the accuracy and credibility of our fixed effect panel regression estimates, we conducted a set of post-diagnostic tests. These tests were meticulously performed to verify that our panel regression results adhere to the fundamental assumptions of Normality of Errors.</w:t>
      </w:r>
    </w:p>
    <w:p w14:paraId="15CEBD78" w14:textId="77777777" w:rsidR="00905A62" w:rsidRPr="00152918" w:rsidRDefault="00905A62" w:rsidP="00905A62">
      <w:pPr>
        <w:pStyle w:val="NoSpacing"/>
        <w:spacing w:line="360" w:lineRule="auto"/>
        <w:rPr>
          <w:sz w:val="24"/>
          <w:szCs w:val="24"/>
        </w:rPr>
      </w:pPr>
      <w:r w:rsidRPr="00152918">
        <w:rPr>
          <w:noProof/>
          <w:sz w:val="24"/>
          <w:szCs w:val="24"/>
        </w:rPr>
        <w:lastRenderedPageBreak/>
        <w:drawing>
          <wp:inline distT="0" distB="0" distL="0" distR="0" wp14:anchorId="4F94D850" wp14:editId="1C3B532D">
            <wp:extent cx="5943600" cy="23006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300605"/>
                    </a:xfrm>
                    <a:prstGeom prst="rect">
                      <a:avLst/>
                    </a:prstGeom>
                    <a:noFill/>
                    <a:ln>
                      <a:noFill/>
                    </a:ln>
                  </pic:spPr>
                </pic:pic>
              </a:graphicData>
            </a:graphic>
          </wp:inline>
        </w:drawing>
      </w:r>
    </w:p>
    <w:p w14:paraId="37476376" w14:textId="77777777" w:rsidR="00905A62" w:rsidRPr="00152918" w:rsidRDefault="00905A62" w:rsidP="00905A62">
      <w:pPr>
        <w:pStyle w:val="NoSpacing"/>
        <w:spacing w:line="360" w:lineRule="auto"/>
        <w:rPr>
          <w:sz w:val="24"/>
          <w:szCs w:val="24"/>
        </w:rPr>
      </w:pPr>
    </w:p>
    <w:p w14:paraId="48BF688E" w14:textId="185BA40C" w:rsidR="00905A62" w:rsidRPr="00152918" w:rsidRDefault="00905A62" w:rsidP="00905A62">
      <w:pPr>
        <w:pStyle w:val="Caption"/>
        <w:spacing w:line="360" w:lineRule="auto"/>
        <w:jc w:val="center"/>
        <w:rPr>
          <w:rFonts w:ascii="Times New Roman" w:hAnsi="Times New Roman"/>
          <w:b/>
          <w:i w:val="0"/>
          <w:color w:val="auto"/>
          <w:sz w:val="24"/>
          <w:szCs w:val="24"/>
        </w:rPr>
      </w:pPr>
      <w:bookmarkStart w:id="15" w:name="_Toc142382824"/>
      <w:r w:rsidRPr="00152918">
        <w:rPr>
          <w:rFonts w:ascii="Times New Roman" w:hAnsi="Times New Roman"/>
          <w:b/>
          <w:i w:val="0"/>
          <w:color w:val="auto"/>
          <w:sz w:val="24"/>
          <w:szCs w:val="24"/>
        </w:rPr>
        <w:t xml:space="preserve">Figure </w:t>
      </w:r>
      <w:r w:rsidR="00083885">
        <w:rPr>
          <w:rFonts w:ascii="Times New Roman" w:hAnsi="Times New Roman"/>
          <w:b/>
          <w:i w:val="0"/>
          <w:color w:val="auto"/>
          <w:sz w:val="24"/>
          <w:szCs w:val="24"/>
        </w:rPr>
        <w:t>2</w:t>
      </w:r>
      <w:r w:rsidRPr="00152918">
        <w:rPr>
          <w:rFonts w:ascii="Times New Roman" w:hAnsi="Times New Roman"/>
          <w:b/>
          <w:i w:val="0"/>
          <w:color w:val="auto"/>
          <w:sz w:val="24"/>
          <w:szCs w:val="24"/>
        </w:rPr>
        <w:t>: Jarque-Bera normality test</w:t>
      </w:r>
      <w:bookmarkEnd w:id="15"/>
    </w:p>
    <w:p w14:paraId="721ADC62" w14:textId="77777777" w:rsidR="00905A62" w:rsidRPr="00152918" w:rsidRDefault="00905A62" w:rsidP="00905A62">
      <w:pPr>
        <w:spacing w:after="0" w:line="360" w:lineRule="auto"/>
        <w:jc w:val="center"/>
        <w:rPr>
          <w:rFonts w:ascii="Times New Roman" w:hAnsi="Times New Roman"/>
          <w:b/>
          <w:iCs/>
          <w:sz w:val="24"/>
          <w:szCs w:val="24"/>
        </w:rPr>
      </w:pPr>
      <w:r w:rsidRPr="00152918">
        <w:rPr>
          <w:rFonts w:ascii="Times New Roman" w:hAnsi="Times New Roman"/>
          <w:b/>
          <w:iCs/>
          <w:sz w:val="24"/>
          <w:szCs w:val="24"/>
        </w:rPr>
        <w:t>Source: Authors’ Computed Result from EViews12</w:t>
      </w:r>
    </w:p>
    <w:p w14:paraId="0B85A2C7" w14:textId="3CE7ECAB" w:rsidR="00905A62" w:rsidRDefault="00905A62" w:rsidP="00905A62">
      <w:pPr>
        <w:spacing w:after="0" w:line="360" w:lineRule="auto"/>
        <w:ind w:firstLine="720"/>
        <w:jc w:val="both"/>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 xml:space="preserve">In linear regression analysis, the classical assumption posits that the error terms follow a normal distribution. To assess the adherence of the estimated errors to this assumption, we employ the Jarque-Bera normality test in our study. The null hypothesis assumes that the model exhibits a normal distribution. Our criterion for rejecting the null hypothesis involves observing a bell-shaped pattern in the histogram and obtaining a statistically significant p-value associated with the Jarque-Bera statistics at the 5% level of significance. Our findings, depicted in Figure </w:t>
      </w:r>
      <w:r w:rsidR="00083885">
        <w:rPr>
          <w:rFonts w:ascii="Times New Roman" w:eastAsia="Times New Roman" w:hAnsi="Times New Roman" w:cs="Times New Roman"/>
          <w:sz w:val="24"/>
          <w:szCs w:val="24"/>
        </w:rPr>
        <w:t>2</w:t>
      </w:r>
      <w:r w:rsidRPr="00152918">
        <w:rPr>
          <w:rFonts w:ascii="Times New Roman" w:eastAsia="Times New Roman" w:hAnsi="Times New Roman" w:cs="Times New Roman"/>
          <w:sz w:val="24"/>
          <w:szCs w:val="24"/>
        </w:rPr>
        <w:t>, present a histogram that does not display a bell-shaped pattern and a Jarque-Bera probability value of 0.533, which is above the 0.05 threshold. Consequently, we fail to reject the null hypothesis and conclude that the errors do conform to a normal distribution.</w:t>
      </w:r>
    </w:p>
    <w:p w14:paraId="20C2537C" w14:textId="77777777" w:rsidR="005E7E56" w:rsidRDefault="005E7E56" w:rsidP="00905A62">
      <w:pPr>
        <w:spacing w:after="0" w:line="360" w:lineRule="auto"/>
        <w:ind w:firstLine="720"/>
        <w:jc w:val="both"/>
        <w:rPr>
          <w:rFonts w:ascii="Times New Roman" w:eastAsia="Times New Roman" w:hAnsi="Times New Roman" w:cs="Times New Roman"/>
          <w:sz w:val="24"/>
          <w:szCs w:val="24"/>
        </w:rPr>
      </w:pPr>
    </w:p>
    <w:p w14:paraId="5A096F72" w14:textId="77777777" w:rsidR="005E7E56" w:rsidRDefault="005E7E56" w:rsidP="00905A62">
      <w:pPr>
        <w:spacing w:after="0" w:line="360" w:lineRule="auto"/>
        <w:ind w:firstLine="720"/>
        <w:jc w:val="both"/>
        <w:rPr>
          <w:rFonts w:ascii="Times New Roman" w:eastAsia="Times New Roman" w:hAnsi="Times New Roman" w:cs="Times New Roman"/>
          <w:sz w:val="24"/>
          <w:szCs w:val="24"/>
        </w:rPr>
      </w:pPr>
    </w:p>
    <w:p w14:paraId="3705597B" w14:textId="77777777" w:rsidR="005E7E56" w:rsidRPr="00152918" w:rsidRDefault="005E7E56" w:rsidP="00905A62">
      <w:pPr>
        <w:spacing w:after="0" w:line="360" w:lineRule="auto"/>
        <w:ind w:firstLine="720"/>
        <w:jc w:val="both"/>
        <w:rPr>
          <w:rFonts w:ascii="Times New Roman" w:eastAsia="Times New Roman" w:hAnsi="Times New Roman" w:cs="Times New Roman"/>
          <w:sz w:val="24"/>
          <w:szCs w:val="24"/>
        </w:rPr>
      </w:pPr>
    </w:p>
    <w:p w14:paraId="6346A131" w14:textId="1C1257B4" w:rsidR="00905A62" w:rsidRPr="005E7E56" w:rsidRDefault="00905A62" w:rsidP="005E7E56">
      <w:pPr>
        <w:pStyle w:val="NoSpacing"/>
        <w:rPr>
          <w:rFonts w:ascii="Times New Roman" w:hAnsi="Times New Roman" w:cs="Times New Roman"/>
          <w:i/>
          <w:iCs/>
          <w:sz w:val="24"/>
          <w:szCs w:val="24"/>
        </w:rPr>
      </w:pPr>
      <w:bookmarkStart w:id="16" w:name="_Toc142384168"/>
      <w:r w:rsidRPr="005E7E56">
        <w:rPr>
          <w:rFonts w:ascii="Times New Roman" w:hAnsi="Times New Roman" w:cs="Times New Roman"/>
          <w:sz w:val="24"/>
          <w:szCs w:val="24"/>
        </w:rPr>
        <w:t xml:space="preserve">Table </w:t>
      </w:r>
      <w:r w:rsidR="00083885">
        <w:rPr>
          <w:rFonts w:ascii="Times New Roman" w:hAnsi="Times New Roman" w:cs="Times New Roman"/>
          <w:sz w:val="24"/>
          <w:szCs w:val="24"/>
        </w:rPr>
        <w:t>7</w:t>
      </w:r>
      <w:r w:rsidRPr="005E7E56">
        <w:rPr>
          <w:rFonts w:ascii="Times New Roman" w:hAnsi="Times New Roman" w:cs="Times New Roman"/>
          <w:sz w:val="24"/>
          <w:szCs w:val="24"/>
        </w:rPr>
        <w:t>: Panel Granger Causality</w:t>
      </w:r>
      <w:bookmarkEnd w:id="16"/>
    </w:p>
    <w:tbl>
      <w:tblPr>
        <w:tblStyle w:val="TableGrid"/>
        <w:tblW w:w="0" w:type="auto"/>
        <w:tblLook w:val="04A0" w:firstRow="1" w:lastRow="0" w:firstColumn="1" w:lastColumn="0" w:noHBand="0" w:noVBand="1"/>
      </w:tblPr>
      <w:tblGrid>
        <w:gridCol w:w="3865"/>
        <w:gridCol w:w="810"/>
        <w:gridCol w:w="1350"/>
        <w:gridCol w:w="1089"/>
      </w:tblGrid>
      <w:tr w:rsidR="00905A62" w:rsidRPr="005E7E56" w14:paraId="1411007A" w14:textId="77777777" w:rsidTr="00D63E29">
        <w:trPr>
          <w:trHeight w:val="512"/>
        </w:trPr>
        <w:tc>
          <w:tcPr>
            <w:tcW w:w="3865" w:type="dxa"/>
            <w:tcBorders>
              <w:right w:val="nil"/>
            </w:tcBorders>
          </w:tcPr>
          <w:p w14:paraId="27A2C904" w14:textId="77777777" w:rsidR="00905A62" w:rsidRPr="005E7E56" w:rsidRDefault="00905A62" w:rsidP="005E7E56">
            <w:pPr>
              <w:pStyle w:val="NoSpacing"/>
              <w:rPr>
                <w:rFonts w:ascii="Times New Roman" w:eastAsia="Times New Roman" w:hAnsi="Times New Roman" w:cs="Times New Roman"/>
                <w:sz w:val="24"/>
                <w:szCs w:val="24"/>
              </w:rPr>
            </w:pPr>
            <w:r w:rsidRPr="005E7E56">
              <w:rPr>
                <w:rFonts w:ascii="Times New Roman" w:eastAsia="Times New Roman" w:hAnsi="Times New Roman" w:cs="Times New Roman"/>
                <w:sz w:val="24"/>
                <w:szCs w:val="24"/>
              </w:rPr>
              <w:t>Panel Granger Causality</w:t>
            </w:r>
          </w:p>
        </w:tc>
        <w:tc>
          <w:tcPr>
            <w:tcW w:w="810" w:type="dxa"/>
            <w:tcBorders>
              <w:left w:val="nil"/>
              <w:right w:val="nil"/>
            </w:tcBorders>
          </w:tcPr>
          <w:p w14:paraId="2B066DBB" w14:textId="77777777" w:rsidR="00905A62" w:rsidRPr="005E7E56" w:rsidRDefault="00905A62" w:rsidP="005E7E56">
            <w:pPr>
              <w:pStyle w:val="NoSpacing"/>
              <w:rPr>
                <w:rFonts w:ascii="Times New Roman" w:eastAsia="Times New Roman" w:hAnsi="Times New Roman" w:cs="Times New Roman"/>
                <w:sz w:val="24"/>
                <w:szCs w:val="24"/>
              </w:rPr>
            </w:pPr>
          </w:p>
        </w:tc>
        <w:tc>
          <w:tcPr>
            <w:tcW w:w="1350" w:type="dxa"/>
            <w:tcBorders>
              <w:left w:val="nil"/>
              <w:right w:val="nil"/>
            </w:tcBorders>
          </w:tcPr>
          <w:p w14:paraId="30AC5927" w14:textId="77777777" w:rsidR="00905A62" w:rsidRPr="005E7E56" w:rsidRDefault="00905A62" w:rsidP="005E7E56">
            <w:pPr>
              <w:pStyle w:val="NoSpacing"/>
              <w:rPr>
                <w:rFonts w:ascii="Times New Roman" w:eastAsia="Times New Roman" w:hAnsi="Times New Roman" w:cs="Times New Roman"/>
                <w:sz w:val="24"/>
                <w:szCs w:val="24"/>
              </w:rPr>
            </w:pPr>
          </w:p>
        </w:tc>
        <w:tc>
          <w:tcPr>
            <w:tcW w:w="1089" w:type="dxa"/>
            <w:tcBorders>
              <w:left w:val="nil"/>
            </w:tcBorders>
          </w:tcPr>
          <w:p w14:paraId="5EE50C2D" w14:textId="77777777" w:rsidR="00905A62" w:rsidRPr="005E7E56" w:rsidRDefault="00905A62" w:rsidP="005E7E56">
            <w:pPr>
              <w:pStyle w:val="NoSpacing"/>
              <w:rPr>
                <w:rFonts w:ascii="Times New Roman" w:eastAsia="Times New Roman" w:hAnsi="Times New Roman" w:cs="Times New Roman"/>
                <w:sz w:val="24"/>
                <w:szCs w:val="24"/>
              </w:rPr>
            </w:pPr>
          </w:p>
        </w:tc>
      </w:tr>
      <w:tr w:rsidR="00905A62" w:rsidRPr="005E7E56" w14:paraId="5CCA8BFD" w14:textId="77777777" w:rsidTr="00D63E29">
        <w:tc>
          <w:tcPr>
            <w:tcW w:w="3865" w:type="dxa"/>
          </w:tcPr>
          <w:p w14:paraId="6B4C11E6"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Null Hypothesis:</w:t>
            </w:r>
          </w:p>
        </w:tc>
        <w:tc>
          <w:tcPr>
            <w:tcW w:w="810" w:type="dxa"/>
          </w:tcPr>
          <w:p w14:paraId="60578CA1" w14:textId="77777777" w:rsidR="00905A62" w:rsidRPr="005E7E56" w:rsidRDefault="00905A62" w:rsidP="005E7E56">
            <w:pPr>
              <w:pStyle w:val="NoSpacing"/>
              <w:rPr>
                <w:rFonts w:ascii="Times New Roman" w:hAnsi="Times New Roman" w:cs="Times New Roman"/>
                <w:i/>
                <w:sz w:val="24"/>
                <w:szCs w:val="24"/>
              </w:rPr>
            </w:pPr>
            <w:proofErr w:type="spellStart"/>
            <w:r w:rsidRPr="005E7E56">
              <w:rPr>
                <w:rFonts w:ascii="Times New Roman" w:hAnsi="Times New Roman" w:cs="Times New Roman"/>
                <w:i/>
                <w:sz w:val="24"/>
                <w:szCs w:val="24"/>
              </w:rPr>
              <w:t>Obs</w:t>
            </w:r>
            <w:proofErr w:type="spellEnd"/>
          </w:p>
        </w:tc>
        <w:tc>
          <w:tcPr>
            <w:tcW w:w="1350" w:type="dxa"/>
          </w:tcPr>
          <w:p w14:paraId="19BAE1DE"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F-Statistic</w:t>
            </w:r>
          </w:p>
        </w:tc>
        <w:tc>
          <w:tcPr>
            <w:tcW w:w="1089" w:type="dxa"/>
          </w:tcPr>
          <w:p w14:paraId="3177D246"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Prob.</w:t>
            </w:r>
          </w:p>
        </w:tc>
      </w:tr>
      <w:tr w:rsidR="00905A62" w:rsidRPr="005E7E56" w14:paraId="63D5B487" w14:textId="77777777" w:rsidTr="00D63E29">
        <w:tc>
          <w:tcPr>
            <w:tcW w:w="3865" w:type="dxa"/>
          </w:tcPr>
          <w:p w14:paraId="61694A7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INF does not Granger Cause POV</w:t>
            </w:r>
          </w:p>
        </w:tc>
        <w:tc>
          <w:tcPr>
            <w:tcW w:w="810" w:type="dxa"/>
          </w:tcPr>
          <w:p w14:paraId="1F5AA41B"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115</w:t>
            </w:r>
          </w:p>
        </w:tc>
        <w:tc>
          <w:tcPr>
            <w:tcW w:w="1350" w:type="dxa"/>
          </w:tcPr>
          <w:p w14:paraId="7356505C" w14:textId="77777777" w:rsidR="00905A62" w:rsidRPr="005E7E56" w:rsidRDefault="00905A62" w:rsidP="005E7E56">
            <w:pPr>
              <w:pStyle w:val="NoSpacing"/>
              <w:rPr>
                <w:rFonts w:ascii="Times New Roman" w:hAnsi="Times New Roman" w:cs="Times New Roman"/>
                <w:color w:val="000000"/>
                <w:sz w:val="24"/>
                <w:szCs w:val="24"/>
              </w:rPr>
            </w:pPr>
            <w:r w:rsidRPr="005E7E56">
              <w:rPr>
                <w:rFonts w:ascii="Times New Roman" w:hAnsi="Times New Roman" w:cs="Times New Roman"/>
                <w:color w:val="000000"/>
                <w:sz w:val="24"/>
                <w:szCs w:val="24"/>
              </w:rPr>
              <w:t xml:space="preserve"> 0.07395</w:t>
            </w:r>
          </w:p>
        </w:tc>
        <w:tc>
          <w:tcPr>
            <w:tcW w:w="1089" w:type="dxa"/>
          </w:tcPr>
          <w:p w14:paraId="5155CE3C" w14:textId="77777777" w:rsidR="00905A62" w:rsidRPr="005E7E56" w:rsidRDefault="00905A62" w:rsidP="005E7E56">
            <w:pPr>
              <w:pStyle w:val="NoSpacing"/>
              <w:rPr>
                <w:rFonts w:ascii="Times New Roman" w:hAnsi="Times New Roman" w:cs="Times New Roman"/>
                <w:color w:val="000000"/>
                <w:sz w:val="24"/>
                <w:szCs w:val="24"/>
              </w:rPr>
            </w:pPr>
            <w:r w:rsidRPr="005E7E56">
              <w:rPr>
                <w:rFonts w:ascii="Times New Roman" w:hAnsi="Times New Roman" w:cs="Times New Roman"/>
                <w:color w:val="000000"/>
                <w:sz w:val="24"/>
                <w:szCs w:val="24"/>
              </w:rPr>
              <w:t>0.7862</w:t>
            </w:r>
          </w:p>
        </w:tc>
      </w:tr>
      <w:tr w:rsidR="00905A62" w:rsidRPr="005E7E56" w14:paraId="223B744D" w14:textId="77777777" w:rsidTr="00D63E29">
        <w:tc>
          <w:tcPr>
            <w:tcW w:w="3865" w:type="dxa"/>
          </w:tcPr>
          <w:p w14:paraId="187B8BFE"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INF</w:t>
            </w:r>
          </w:p>
        </w:tc>
        <w:tc>
          <w:tcPr>
            <w:tcW w:w="810" w:type="dxa"/>
            <w:tcBorders>
              <w:bottom w:val="single" w:sz="4" w:space="0" w:color="auto"/>
            </w:tcBorders>
          </w:tcPr>
          <w:p w14:paraId="56B646CB" w14:textId="77777777" w:rsidR="00905A62" w:rsidRPr="005E7E56" w:rsidRDefault="00905A62" w:rsidP="005E7E56">
            <w:pPr>
              <w:pStyle w:val="NoSpacing"/>
              <w:rPr>
                <w:rFonts w:ascii="Times New Roman" w:hAnsi="Times New Roman" w:cs="Times New Roman"/>
                <w:sz w:val="24"/>
                <w:szCs w:val="24"/>
              </w:rPr>
            </w:pPr>
          </w:p>
        </w:tc>
        <w:tc>
          <w:tcPr>
            <w:tcW w:w="1350" w:type="dxa"/>
            <w:tcBorders>
              <w:bottom w:val="single" w:sz="4" w:space="0" w:color="auto"/>
            </w:tcBorders>
          </w:tcPr>
          <w:p w14:paraId="29C6CA71" w14:textId="77777777" w:rsidR="00905A62" w:rsidRPr="005E7E56" w:rsidRDefault="00905A62" w:rsidP="005E7E56">
            <w:pPr>
              <w:pStyle w:val="NoSpacing"/>
              <w:rPr>
                <w:rFonts w:ascii="Times New Roman" w:hAnsi="Times New Roman" w:cs="Times New Roman"/>
                <w:color w:val="000000"/>
                <w:sz w:val="24"/>
                <w:szCs w:val="24"/>
              </w:rPr>
            </w:pPr>
            <w:r w:rsidRPr="005E7E56">
              <w:rPr>
                <w:rFonts w:ascii="Times New Roman" w:hAnsi="Times New Roman" w:cs="Times New Roman"/>
                <w:color w:val="000000"/>
                <w:sz w:val="24"/>
                <w:szCs w:val="24"/>
              </w:rPr>
              <w:t xml:space="preserve"> 0.81407</w:t>
            </w:r>
          </w:p>
        </w:tc>
        <w:tc>
          <w:tcPr>
            <w:tcW w:w="1089" w:type="dxa"/>
            <w:tcBorders>
              <w:bottom w:val="single" w:sz="4" w:space="0" w:color="auto"/>
            </w:tcBorders>
          </w:tcPr>
          <w:p w14:paraId="4A510BB8" w14:textId="77777777" w:rsidR="00905A62" w:rsidRPr="005E7E56" w:rsidRDefault="00905A62" w:rsidP="005E7E56">
            <w:pPr>
              <w:pStyle w:val="NoSpacing"/>
              <w:rPr>
                <w:rFonts w:ascii="Times New Roman" w:hAnsi="Times New Roman" w:cs="Times New Roman"/>
                <w:color w:val="000000"/>
                <w:sz w:val="24"/>
                <w:szCs w:val="24"/>
              </w:rPr>
            </w:pPr>
            <w:r w:rsidRPr="005E7E56">
              <w:rPr>
                <w:rFonts w:ascii="Times New Roman" w:hAnsi="Times New Roman" w:cs="Times New Roman"/>
                <w:color w:val="000000"/>
                <w:sz w:val="24"/>
                <w:szCs w:val="24"/>
              </w:rPr>
              <w:t>0.3689</w:t>
            </w:r>
          </w:p>
        </w:tc>
      </w:tr>
      <w:tr w:rsidR="00905A62" w:rsidRPr="005E7E56" w14:paraId="57553842" w14:textId="77777777" w:rsidTr="00D63E29">
        <w:tc>
          <w:tcPr>
            <w:tcW w:w="3865" w:type="dxa"/>
          </w:tcPr>
          <w:p w14:paraId="5DE97B5F"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EXR does not Granger Cause POV</w:t>
            </w:r>
          </w:p>
        </w:tc>
        <w:tc>
          <w:tcPr>
            <w:tcW w:w="810" w:type="dxa"/>
            <w:tcBorders>
              <w:bottom w:val="single" w:sz="4" w:space="0" w:color="auto"/>
            </w:tcBorders>
          </w:tcPr>
          <w:p w14:paraId="612EDDB3" w14:textId="77777777" w:rsidR="00905A62" w:rsidRPr="005E7E56" w:rsidRDefault="00905A62" w:rsidP="005E7E56">
            <w:pPr>
              <w:pStyle w:val="NoSpacing"/>
              <w:rPr>
                <w:rFonts w:ascii="Times New Roman" w:hAnsi="Times New Roman" w:cs="Times New Roman"/>
                <w:sz w:val="24"/>
                <w:szCs w:val="24"/>
              </w:rPr>
            </w:pPr>
          </w:p>
        </w:tc>
        <w:tc>
          <w:tcPr>
            <w:tcW w:w="1350" w:type="dxa"/>
            <w:tcBorders>
              <w:bottom w:val="single" w:sz="4" w:space="0" w:color="auto"/>
            </w:tcBorders>
          </w:tcPr>
          <w:p w14:paraId="5DFC1556" w14:textId="77777777" w:rsidR="00905A62" w:rsidRPr="005E7E56" w:rsidRDefault="00905A62" w:rsidP="005E7E56">
            <w:pPr>
              <w:pStyle w:val="NoSpacing"/>
              <w:rPr>
                <w:rFonts w:ascii="Times New Roman" w:hAnsi="Times New Roman" w:cs="Times New Roman"/>
                <w:color w:val="000000"/>
                <w:sz w:val="24"/>
                <w:szCs w:val="24"/>
              </w:rPr>
            </w:pPr>
            <w:r w:rsidRPr="005E7E56">
              <w:rPr>
                <w:rFonts w:ascii="Times New Roman" w:hAnsi="Times New Roman" w:cs="Times New Roman"/>
                <w:color w:val="000000"/>
                <w:sz w:val="24"/>
                <w:szCs w:val="24"/>
              </w:rPr>
              <w:t>4.21845</w:t>
            </w:r>
          </w:p>
        </w:tc>
        <w:tc>
          <w:tcPr>
            <w:tcW w:w="1089" w:type="dxa"/>
            <w:tcBorders>
              <w:bottom w:val="single" w:sz="4" w:space="0" w:color="auto"/>
            </w:tcBorders>
          </w:tcPr>
          <w:p w14:paraId="2ACB6101" w14:textId="77777777" w:rsidR="00905A62" w:rsidRPr="005E7E56" w:rsidRDefault="00905A62" w:rsidP="005E7E56">
            <w:pPr>
              <w:pStyle w:val="NoSpacing"/>
              <w:rPr>
                <w:rFonts w:ascii="Times New Roman" w:hAnsi="Times New Roman" w:cs="Times New Roman"/>
                <w:color w:val="000000"/>
                <w:sz w:val="24"/>
                <w:szCs w:val="24"/>
              </w:rPr>
            </w:pPr>
            <w:r w:rsidRPr="005E7E56">
              <w:rPr>
                <w:rFonts w:ascii="Times New Roman" w:hAnsi="Times New Roman" w:cs="Times New Roman"/>
                <w:color w:val="000000"/>
                <w:sz w:val="24"/>
                <w:szCs w:val="24"/>
              </w:rPr>
              <w:t>0.0423</w:t>
            </w:r>
          </w:p>
        </w:tc>
      </w:tr>
      <w:tr w:rsidR="00905A62" w:rsidRPr="005E7E56" w14:paraId="6178F836" w14:textId="77777777" w:rsidTr="00D63E29">
        <w:tc>
          <w:tcPr>
            <w:tcW w:w="3865" w:type="dxa"/>
          </w:tcPr>
          <w:p w14:paraId="7B5C0E18"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EXR</w:t>
            </w:r>
          </w:p>
        </w:tc>
        <w:tc>
          <w:tcPr>
            <w:tcW w:w="810" w:type="dxa"/>
            <w:tcBorders>
              <w:bottom w:val="single" w:sz="4" w:space="0" w:color="auto"/>
            </w:tcBorders>
          </w:tcPr>
          <w:p w14:paraId="1595B1EC" w14:textId="77777777" w:rsidR="00905A62" w:rsidRPr="005E7E56" w:rsidRDefault="00905A62" w:rsidP="005E7E56">
            <w:pPr>
              <w:pStyle w:val="NoSpacing"/>
              <w:rPr>
                <w:rFonts w:ascii="Times New Roman" w:hAnsi="Times New Roman" w:cs="Times New Roman"/>
                <w:sz w:val="24"/>
                <w:szCs w:val="24"/>
              </w:rPr>
            </w:pPr>
          </w:p>
        </w:tc>
        <w:tc>
          <w:tcPr>
            <w:tcW w:w="1350" w:type="dxa"/>
            <w:tcBorders>
              <w:bottom w:val="single" w:sz="4" w:space="0" w:color="auto"/>
            </w:tcBorders>
          </w:tcPr>
          <w:p w14:paraId="2AD7604F" w14:textId="77777777" w:rsidR="00905A62" w:rsidRPr="005E7E56" w:rsidRDefault="00905A62" w:rsidP="005E7E56">
            <w:pPr>
              <w:pStyle w:val="NoSpacing"/>
              <w:rPr>
                <w:rFonts w:ascii="Times New Roman" w:hAnsi="Times New Roman" w:cs="Times New Roman"/>
                <w:color w:val="000000"/>
                <w:sz w:val="24"/>
                <w:szCs w:val="24"/>
              </w:rPr>
            </w:pPr>
            <w:r w:rsidRPr="005E7E56">
              <w:rPr>
                <w:rFonts w:ascii="Times New Roman" w:hAnsi="Times New Roman" w:cs="Times New Roman"/>
                <w:color w:val="000000"/>
                <w:sz w:val="24"/>
                <w:szCs w:val="24"/>
              </w:rPr>
              <w:t>1.34468</w:t>
            </w:r>
          </w:p>
        </w:tc>
        <w:tc>
          <w:tcPr>
            <w:tcW w:w="1089" w:type="dxa"/>
            <w:tcBorders>
              <w:bottom w:val="single" w:sz="4" w:space="0" w:color="auto"/>
            </w:tcBorders>
          </w:tcPr>
          <w:p w14:paraId="23968BAC" w14:textId="77777777" w:rsidR="00905A62" w:rsidRPr="005E7E56" w:rsidRDefault="00905A62" w:rsidP="005E7E56">
            <w:pPr>
              <w:pStyle w:val="NoSpacing"/>
              <w:rPr>
                <w:rFonts w:ascii="Times New Roman" w:hAnsi="Times New Roman" w:cs="Times New Roman"/>
                <w:color w:val="000000"/>
                <w:sz w:val="24"/>
                <w:szCs w:val="24"/>
              </w:rPr>
            </w:pPr>
            <w:r w:rsidRPr="005E7E56">
              <w:rPr>
                <w:rFonts w:ascii="Times New Roman" w:hAnsi="Times New Roman" w:cs="Times New Roman"/>
                <w:color w:val="000000"/>
                <w:sz w:val="24"/>
                <w:szCs w:val="24"/>
              </w:rPr>
              <w:t>0.2487</w:t>
            </w:r>
          </w:p>
        </w:tc>
      </w:tr>
      <w:tr w:rsidR="00905A62" w:rsidRPr="005E7E56" w14:paraId="38ADC572" w14:textId="77777777" w:rsidTr="00D63E29">
        <w:trPr>
          <w:trHeight w:val="485"/>
        </w:trPr>
        <w:tc>
          <w:tcPr>
            <w:tcW w:w="3865" w:type="dxa"/>
            <w:tcBorders>
              <w:right w:val="nil"/>
            </w:tcBorders>
          </w:tcPr>
          <w:p w14:paraId="78D70854"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Granger Causality-Nigeria</w:t>
            </w:r>
          </w:p>
        </w:tc>
        <w:tc>
          <w:tcPr>
            <w:tcW w:w="810" w:type="dxa"/>
            <w:tcBorders>
              <w:left w:val="nil"/>
              <w:right w:val="nil"/>
            </w:tcBorders>
          </w:tcPr>
          <w:p w14:paraId="6C67811D" w14:textId="77777777" w:rsidR="00905A62" w:rsidRPr="005E7E56" w:rsidRDefault="00905A62" w:rsidP="005E7E56">
            <w:pPr>
              <w:pStyle w:val="NoSpacing"/>
              <w:rPr>
                <w:rFonts w:ascii="Times New Roman" w:hAnsi="Times New Roman" w:cs="Times New Roman"/>
                <w:sz w:val="24"/>
                <w:szCs w:val="24"/>
              </w:rPr>
            </w:pPr>
          </w:p>
        </w:tc>
        <w:tc>
          <w:tcPr>
            <w:tcW w:w="1350" w:type="dxa"/>
            <w:tcBorders>
              <w:left w:val="nil"/>
              <w:right w:val="nil"/>
            </w:tcBorders>
          </w:tcPr>
          <w:p w14:paraId="59D12673" w14:textId="77777777" w:rsidR="00905A62" w:rsidRPr="005E7E56" w:rsidRDefault="00905A62" w:rsidP="005E7E56">
            <w:pPr>
              <w:pStyle w:val="NoSpacing"/>
              <w:rPr>
                <w:rFonts w:ascii="Times New Roman" w:hAnsi="Times New Roman" w:cs="Times New Roman"/>
                <w:sz w:val="24"/>
                <w:szCs w:val="24"/>
              </w:rPr>
            </w:pPr>
          </w:p>
        </w:tc>
        <w:tc>
          <w:tcPr>
            <w:tcW w:w="1089" w:type="dxa"/>
            <w:tcBorders>
              <w:left w:val="nil"/>
              <w:right w:val="single" w:sz="4" w:space="0" w:color="auto"/>
            </w:tcBorders>
          </w:tcPr>
          <w:p w14:paraId="47BCFFCA" w14:textId="77777777" w:rsidR="00905A62" w:rsidRPr="005E7E56" w:rsidRDefault="00905A62" w:rsidP="005E7E56">
            <w:pPr>
              <w:pStyle w:val="NoSpacing"/>
              <w:rPr>
                <w:rFonts w:ascii="Times New Roman" w:hAnsi="Times New Roman" w:cs="Times New Roman"/>
                <w:sz w:val="24"/>
                <w:szCs w:val="24"/>
              </w:rPr>
            </w:pPr>
          </w:p>
        </w:tc>
      </w:tr>
      <w:tr w:rsidR="00905A62" w:rsidRPr="005E7E56" w14:paraId="15C5DCC1" w14:textId="77777777" w:rsidTr="00D63E29">
        <w:tc>
          <w:tcPr>
            <w:tcW w:w="3865" w:type="dxa"/>
          </w:tcPr>
          <w:p w14:paraId="7D7C70D0"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lastRenderedPageBreak/>
              <w:t>Null Hypothesis:</w:t>
            </w:r>
          </w:p>
        </w:tc>
        <w:tc>
          <w:tcPr>
            <w:tcW w:w="810" w:type="dxa"/>
          </w:tcPr>
          <w:p w14:paraId="2A00E9EE" w14:textId="77777777" w:rsidR="00905A62" w:rsidRPr="005E7E56" w:rsidRDefault="00905A62" w:rsidP="005E7E56">
            <w:pPr>
              <w:pStyle w:val="NoSpacing"/>
              <w:rPr>
                <w:rFonts w:ascii="Times New Roman" w:hAnsi="Times New Roman" w:cs="Times New Roman"/>
                <w:i/>
                <w:sz w:val="24"/>
                <w:szCs w:val="24"/>
              </w:rPr>
            </w:pPr>
            <w:proofErr w:type="spellStart"/>
            <w:r w:rsidRPr="005E7E56">
              <w:rPr>
                <w:rFonts w:ascii="Times New Roman" w:hAnsi="Times New Roman" w:cs="Times New Roman"/>
                <w:i/>
                <w:sz w:val="24"/>
                <w:szCs w:val="24"/>
              </w:rPr>
              <w:t>Obs</w:t>
            </w:r>
            <w:proofErr w:type="spellEnd"/>
          </w:p>
        </w:tc>
        <w:tc>
          <w:tcPr>
            <w:tcW w:w="1350" w:type="dxa"/>
          </w:tcPr>
          <w:p w14:paraId="001B0770"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F-Statistic</w:t>
            </w:r>
          </w:p>
        </w:tc>
        <w:tc>
          <w:tcPr>
            <w:tcW w:w="1089" w:type="dxa"/>
          </w:tcPr>
          <w:p w14:paraId="27F8FB1A"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Prob.</w:t>
            </w:r>
          </w:p>
        </w:tc>
      </w:tr>
      <w:tr w:rsidR="00905A62" w:rsidRPr="005E7E56" w14:paraId="2A634912" w14:textId="77777777" w:rsidTr="00D63E29">
        <w:tc>
          <w:tcPr>
            <w:tcW w:w="3865" w:type="dxa"/>
          </w:tcPr>
          <w:p w14:paraId="62B2A4D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INF does not Granger Cause POV</w:t>
            </w:r>
          </w:p>
        </w:tc>
        <w:tc>
          <w:tcPr>
            <w:tcW w:w="810" w:type="dxa"/>
          </w:tcPr>
          <w:p w14:paraId="7A6AA5F1"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22</w:t>
            </w:r>
          </w:p>
        </w:tc>
        <w:tc>
          <w:tcPr>
            <w:tcW w:w="1350" w:type="dxa"/>
          </w:tcPr>
          <w:p w14:paraId="686D0695"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0.90311</w:t>
            </w:r>
          </w:p>
        </w:tc>
        <w:tc>
          <w:tcPr>
            <w:tcW w:w="1089" w:type="dxa"/>
          </w:tcPr>
          <w:p w14:paraId="39A28208"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0.4239</w:t>
            </w:r>
          </w:p>
        </w:tc>
      </w:tr>
      <w:tr w:rsidR="00905A62" w:rsidRPr="005E7E56" w14:paraId="5C6CD1ED" w14:textId="77777777" w:rsidTr="00D63E29">
        <w:tc>
          <w:tcPr>
            <w:tcW w:w="3865" w:type="dxa"/>
          </w:tcPr>
          <w:p w14:paraId="3DF6FB0D"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INF</w:t>
            </w:r>
          </w:p>
        </w:tc>
        <w:tc>
          <w:tcPr>
            <w:tcW w:w="810" w:type="dxa"/>
            <w:tcBorders>
              <w:bottom w:val="single" w:sz="4" w:space="0" w:color="auto"/>
            </w:tcBorders>
          </w:tcPr>
          <w:p w14:paraId="4709EE73"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630D8B9D"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0.41601</w:t>
            </w:r>
          </w:p>
        </w:tc>
        <w:tc>
          <w:tcPr>
            <w:tcW w:w="1089" w:type="dxa"/>
            <w:tcBorders>
              <w:bottom w:val="single" w:sz="4" w:space="0" w:color="auto"/>
            </w:tcBorders>
          </w:tcPr>
          <w:p w14:paraId="19B1FE13"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0.6662</w:t>
            </w:r>
          </w:p>
        </w:tc>
      </w:tr>
      <w:tr w:rsidR="00905A62" w:rsidRPr="005E7E56" w14:paraId="4522635E" w14:textId="77777777" w:rsidTr="00D63E29">
        <w:tc>
          <w:tcPr>
            <w:tcW w:w="3865" w:type="dxa"/>
          </w:tcPr>
          <w:p w14:paraId="55BE65AF"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EXR does not Granger Cause POV</w:t>
            </w:r>
          </w:p>
        </w:tc>
        <w:tc>
          <w:tcPr>
            <w:tcW w:w="810" w:type="dxa"/>
            <w:tcBorders>
              <w:bottom w:val="single" w:sz="4" w:space="0" w:color="auto"/>
            </w:tcBorders>
          </w:tcPr>
          <w:p w14:paraId="044FDCB2"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06D23E48"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0.35507</w:t>
            </w:r>
          </w:p>
        </w:tc>
        <w:tc>
          <w:tcPr>
            <w:tcW w:w="1089" w:type="dxa"/>
            <w:tcBorders>
              <w:bottom w:val="single" w:sz="4" w:space="0" w:color="auto"/>
            </w:tcBorders>
          </w:tcPr>
          <w:p w14:paraId="4AAC0AAD"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0.7062</w:t>
            </w:r>
          </w:p>
        </w:tc>
      </w:tr>
      <w:tr w:rsidR="00905A62" w:rsidRPr="005E7E56" w14:paraId="665E7174" w14:textId="77777777" w:rsidTr="00D63E29">
        <w:tc>
          <w:tcPr>
            <w:tcW w:w="3865" w:type="dxa"/>
          </w:tcPr>
          <w:p w14:paraId="534AE2CA"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EXR</w:t>
            </w:r>
          </w:p>
        </w:tc>
        <w:tc>
          <w:tcPr>
            <w:tcW w:w="810" w:type="dxa"/>
            <w:tcBorders>
              <w:bottom w:val="single" w:sz="4" w:space="0" w:color="auto"/>
            </w:tcBorders>
          </w:tcPr>
          <w:p w14:paraId="7AEB50D2"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308888A4"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2.39965</w:t>
            </w:r>
          </w:p>
        </w:tc>
        <w:tc>
          <w:tcPr>
            <w:tcW w:w="1089" w:type="dxa"/>
            <w:tcBorders>
              <w:bottom w:val="single" w:sz="4" w:space="0" w:color="auto"/>
            </w:tcBorders>
          </w:tcPr>
          <w:p w14:paraId="00EEDB44"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0.1208</w:t>
            </w:r>
          </w:p>
        </w:tc>
      </w:tr>
      <w:tr w:rsidR="00905A62" w:rsidRPr="005E7E56" w14:paraId="6E124AD7" w14:textId="77777777" w:rsidTr="00D63E29">
        <w:trPr>
          <w:trHeight w:val="395"/>
        </w:trPr>
        <w:tc>
          <w:tcPr>
            <w:tcW w:w="3865" w:type="dxa"/>
            <w:tcBorders>
              <w:right w:val="nil"/>
            </w:tcBorders>
          </w:tcPr>
          <w:p w14:paraId="5033605C"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Granger Causality- Ghana</w:t>
            </w:r>
          </w:p>
        </w:tc>
        <w:tc>
          <w:tcPr>
            <w:tcW w:w="810" w:type="dxa"/>
            <w:tcBorders>
              <w:left w:val="nil"/>
              <w:right w:val="nil"/>
            </w:tcBorders>
          </w:tcPr>
          <w:p w14:paraId="5E0479F8" w14:textId="77777777" w:rsidR="00905A62" w:rsidRPr="005E7E56" w:rsidRDefault="00905A62" w:rsidP="005E7E56">
            <w:pPr>
              <w:pStyle w:val="NoSpacing"/>
              <w:rPr>
                <w:rFonts w:ascii="Times New Roman" w:hAnsi="Times New Roman" w:cs="Times New Roman"/>
                <w:sz w:val="24"/>
                <w:szCs w:val="24"/>
              </w:rPr>
            </w:pPr>
          </w:p>
        </w:tc>
        <w:tc>
          <w:tcPr>
            <w:tcW w:w="1350" w:type="dxa"/>
            <w:tcBorders>
              <w:left w:val="nil"/>
              <w:right w:val="nil"/>
            </w:tcBorders>
          </w:tcPr>
          <w:p w14:paraId="6CC8030C" w14:textId="77777777" w:rsidR="00905A62" w:rsidRPr="005E7E56" w:rsidRDefault="00905A62" w:rsidP="005E7E56">
            <w:pPr>
              <w:pStyle w:val="NoSpacing"/>
              <w:rPr>
                <w:rFonts w:ascii="Times New Roman" w:hAnsi="Times New Roman" w:cs="Times New Roman"/>
                <w:sz w:val="24"/>
                <w:szCs w:val="24"/>
              </w:rPr>
            </w:pPr>
          </w:p>
        </w:tc>
        <w:tc>
          <w:tcPr>
            <w:tcW w:w="1089" w:type="dxa"/>
            <w:tcBorders>
              <w:left w:val="nil"/>
            </w:tcBorders>
          </w:tcPr>
          <w:p w14:paraId="5029C909" w14:textId="77777777" w:rsidR="00905A62" w:rsidRPr="005E7E56" w:rsidRDefault="00905A62" w:rsidP="005E7E56">
            <w:pPr>
              <w:pStyle w:val="NoSpacing"/>
              <w:rPr>
                <w:rFonts w:ascii="Times New Roman" w:hAnsi="Times New Roman" w:cs="Times New Roman"/>
                <w:sz w:val="24"/>
                <w:szCs w:val="24"/>
              </w:rPr>
            </w:pPr>
          </w:p>
        </w:tc>
      </w:tr>
      <w:tr w:rsidR="00905A62" w:rsidRPr="005E7E56" w14:paraId="1853CD9D" w14:textId="77777777" w:rsidTr="00D63E29">
        <w:tc>
          <w:tcPr>
            <w:tcW w:w="3865" w:type="dxa"/>
          </w:tcPr>
          <w:p w14:paraId="4ECDFB83"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Null Hypothesis:</w:t>
            </w:r>
          </w:p>
        </w:tc>
        <w:tc>
          <w:tcPr>
            <w:tcW w:w="810" w:type="dxa"/>
          </w:tcPr>
          <w:p w14:paraId="4F36AF86" w14:textId="77777777" w:rsidR="00905A62" w:rsidRPr="005E7E56" w:rsidRDefault="00905A62" w:rsidP="005E7E56">
            <w:pPr>
              <w:pStyle w:val="NoSpacing"/>
              <w:rPr>
                <w:rFonts w:ascii="Times New Roman" w:hAnsi="Times New Roman" w:cs="Times New Roman"/>
                <w:i/>
                <w:sz w:val="24"/>
                <w:szCs w:val="24"/>
              </w:rPr>
            </w:pPr>
            <w:proofErr w:type="spellStart"/>
            <w:r w:rsidRPr="005E7E56">
              <w:rPr>
                <w:rFonts w:ascii="Times New Roman" w:hAnsi="Times New Roman" w:cs="Times New Roman"/>
                <w:i/>
                <w:sz w:val="24"/>
                <w:szCs w:val="24"/>
              </w:rPr>
              <w:t>Obs</w:t>
            </w:r>
            <w:proofErr w:type="spellEnd"/>
          </w:p>
        </w:tc>
        <w:tc>
          <w:tcPr>
            <w:tcW w:w="1350" w:type="dxa"/>
          </w:tcPr>
          <w:p w14:paraId="7FF886D6"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F-Statistic</w:t>
            </w:r>
          </w:p>
        </w:tc>
        <w:tc>
          <w:tcPr>
            <w:tcW w:w="1089" w:type="dxa"/>
          </w:tcPr>
          <w:p w14:paraId="7C59B3CE"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Prob.</w:t>
            </w:r>
          </w:p>
        </w:tc>
      </w:tr>
      <w:tr w:rsidR="00905A62" w:rsidRPr="005E7E56" w14:paraId="392AE822" w14:textId="77777777" w:rsidTr="00D63E29">
        <w:tc>
          <w:tcPr>
            <w:tcW w:w="3865" w:type="dxa"/>
          </w:tcPr>
          <w:p w14:paraId="6203C98A"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INF does not Granger Cause POV</w:t>
            </w:r>
          </w:p>
        </w:tc>
        <w:tc>
          <w:tcPr>
            <w:tcW w:w="810" w:type="dxa"/>
          </w:tcPr>
          <w:p w14:paraId="4657943D"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22</w:t>
            </w:r>
          </w:p>
        </w:tc>
        <w:tc>
          <w:tcPr>
            <w:tcW w:w="1350" w:type="dxa"/>
          </w:tcPr>
          <w:p w14:paraId="28DED196"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0.33098</w:t>
            </w:r>
          </w:p>
        </w:tc>
        <w:tc>
          <w:tcPr>
            <w:tcW w:w="1089" w:type="dxa"/>
          </w:tcPr>
          <w:p w14:paraId="071B30C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0.7227</w:t>
            </w:r>
          </w:p>
        </w:tc>
      </w:tr>
      <w:tr w:rsidR="00905A62" w:rsidRPr="005E7E56" w14:paraId="6ED0977C" w14:textId="77777777" w:rsidTr="00D63E29">
        <w:tc>
          <w:tcPr>
            <w:tcW w:w="3865" w:type="dxa"/>
          </w:tcPr>
          <w:p w14:paraId="3E182FC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INF</w:t>
            </w:r>
          </w:p>
        </w:tc>
        <w:tc>
          <w:tcPr>
            <w:tcW w:w="810" w:type="dxa"/>
            <w:tcBorders>
              <w:bottom w:val="single" w:sz="4" w:space="0" w:color="auto"/>
            </w:tcBorders>
          </w:tcPr>
          <w:p w14:paraId="40EDAD73"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7923EB8B"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0.61588</w:t>
            </w:r>
          </w:p>
        </w:tc>
        <w:tc>
          <w:tcPr>
            <w:tcW w:w="1089" w:type="dxa"/>
            <w:tcBorders>
              <w:bottom w:val="single" w:sz="4" w:space="0" w:color="auto"/>
            </w:tcBorders>
          </w:tcPr>
          <w:p w14:paraId="72101A5F"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0.5518</w:t>
            </w:r>
          </w:p>
        </w:tc>
      </w:tr>
      <w:tr w:rsidR="00905A62" w:rsidRPr="005E7E56" w14:paraId="4A563AFF" w14:textId="77777777" w:rsidTr="00D63E29">
        <w:tc>
          <w:tcPr>
            <w:tcW w:w="3865" w:type="dxa"/>
          </w:tcPr>
          <w:p w14:paraId="53505C51"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EXR does not Granger Cause POV</w:t>
            </w:r>
          </w:p>
        </w:tc>
        <w:tc>
          <w:tcPr>
            <w:tcW w:w="810" w:type="dxa"/>
            <w:tcBorders>
              <w:bottom w:val="single" w:sz="4" w:space="0" w:color="auto"/>
            </w:tcBorders>
          </w:tcPr>
          <w:p w14:paraId="4CF27B66"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0D74C815"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0.85521</w:t>
            </w:r>
          </w:p>
        </w:tc>
        <w:tc>
          <w:tcPr>
            <w:tcW w:w="1089" w:type="dxa"/>
            <w:tcBorders>
              <w:bottom w:val="single" w:sz="4" w:space="0" w:color="auto"/>
            </w:tcBorders>
          </w:tcPr>
          <w:p w14:paraId="542C80CE"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0.4427</w:t>
            </w:r>
          </w:p>
        </w:tc>
      </w:tr>
      <w:tr w:rsidR="00905A62" w:rsidRPr="005E7E56" w14:paraId="37C59344" w14:textId="77777777" w:rsidTr="00D63E29">
        <w:tc>
          <w:tcPr>
            <w:tcW w:w="3865" w:type="dxa"/>
          </w:tcPr>
          <w:p w14:paraId="6922328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EXR</w:t>
            </w:r>
          </w:p>
        </w:tc>
        <w:tc>
          <w:tcPr>
            <w:tcW w:w="810" w:type="dxa"/>
            <w:tcBorders>
              <w:bottom w:val="single" w:sz="4" w:space="0" w:color="auto"/>
            </w:tcBorders>
          </w:tcPr>
          <w:p w14:paraId="5FF89851"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5EF83543"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0.61933</w:t>
            </w:r>
          </w:p>
        </w:tc>
        <w:tc>
          <w:tcPr>
            <w:tcW w:w="1089" w:type="dxa"/>
            <w:tcBorders>
              <w:bottom w:val="single" w:sz="4" w:space="0" w:color="auto"/>
            </w:tcBorders>
          </w:tcPr>
          <w:p w14:paraId="7320435F"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0.5500</w:t>
            </w:r>
          </w:p>
        </w:tc>
      </w:tr>
      <w:tr w:rsidR="00905A62" w:rsidRPr="005E7E56" w14:paraId="495D5F81" w14:textId="77777777" w:rsidTr="00D63E29">
        <w:trPr>
          <w:trHeight w:val="395"/>
        </w:trPr>
        <w:tc>
          <w:tcPr>
            <w:tcW w:w="3865" w:type="dxa"/>
            <w:tcBorders>
              <w:right w:val="nil"/>
            </w:tcBorders>
          </w:tcPr>
          <w:p w14:paraId="31AF6601"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Granger Causality-Cote D’Ivoire</w:t>
            </w:r>
          </w:p>
        </w:tc>
        <w:tc>
          <w:tcPr>
            <w:tcW w:w="810" w:type="dxa"/>
            <w:tcBorders>
              <w:left w:val="nil"/>
              <w:right w:val="nil"/>
            </w:tcBorders>
          </w:tcPr>
          <w:p w14:paraId="30E90716" w14:textId="77777777" w:rsidR="00905A62" w:rsidRPr="005E7E56" w:rsidRDefault="00905A62" w:rsidP="005E7E56">
            <w:pPr>
              <w:pStyle w:val="NoSpacing"/>
              <w:rPr>
                <w:rFonts w:ascii="Times New Roman" w:hAnsi="Times New Roman" w:cs="Times New Roman"/>
                <w:sz w:val="24"/>
                <w:szCs w:val="24"/>
              </w:rPr>
            </w:pPr>
          </w:p>
        </w:tc>
        <w:tc>
          <w:tcPr>
            <w:tcW w:w="1350" w:type="dxa"/>
            <w:tcBorders>
              <w:left w:val="nil"/>
              <w:right w:val="nil"/>
            </w:tcBorders>
          </w:tcPr>
          <w:p w14:paraId="76C19ED8" w14:textId="77777777" w:rsidR="00905A62" w:rsidRPr="005E7E56" w:rsidRDefault="00905A62" w:rsidP="005E7E56">
            <w:pPr>
              <w:pStyle w:val="NoSpacing"/>
              <w:rPr>
                <w:rFonts w:ascii="Times New Roman" w:hAnsi="Times New Roman" w:cs="Times New Roman"/>
                <w:sz w:val="24"/>
                <w:szCs w:val="24"/>
              </w:rPr>
            </w:pPr>
          </w:p>
        </w:tc>
        <w:tc>
          <w:tcPr>
            <w:tcW w:w="1089" w:type="dxa"/>
            <w:tcBorders>
              <w:left w:val="nil"/>
            </w:tcBorders>
          </w:tcPr>
          <w:p w14:paraId="7CF7CC16" w14:textId="77777777" w:rsidR="00905A62" w:rsidRPr="005E7E56" w:rsidRDefault="00905A62" w:rsidP="005E7E56">
            <w:pPr>
              <w:pStyle w:val="NoSpacing"/>
              <w:rPr>
                <w:rFonts w:ascii="Times New Roman" w:hAnsi="Times New Roman" w:cs="Times New Roman"/>
                <w:sz w:val="24"/>
                <w:szCs w:val="24"/>
              </w:rPr>
            </w:pPr>
          </w:p>
        </w:tc>
      </w:tr>
      <w:tr w:rsidR="00905A62" w:rsidRPr="005E7E56" w14:paraId="1DA0A985" w14:textId="77777777" w:rsidTr="00D63E29">
        <w:tc>
          <w:tcPr>
            <w:tcW w:w="3865" w:type="dxa"/>
          </w:tcPr>
          <w:p w14:paraId="1E25A6EA"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Null Hypothesis:</w:t>
            </w:r>
          </w:p>
        </w:tc>
        <w:tc>
          <w:tcPr>
            <w:tcW w:w="810" w:type="dxa"/>
          </w:tcPr>
          <w:p w14:paraId="25812AB0" w14:textId="77777777" w:rsidR="00905A62" w:rsidRPr="005E7E56" w:rsidRDefault="00905A62" w:rsidP="005E7E56">
            <w:pPr>
              <w:pStyle w:val="NoSpacing"/>
              <w:rPr>
                <w:rFonts w:ascii="Times New Roman" w:hAnsi="Times New Roman" w:cs="Times New Roman"/>
                <w:i/>
                <w:sz w:val="24"/>
                <w:szCs w:val="24"/>
              </w:rPr>
            </w:pPr>
            <w:proofErr w:type="spellStart"/>
            <w:r w:rsidRPr="005E7E56">
              <w:rPr>
                <w:rFonts w:ascii="Times New Roman" w:hAnsi="Times New Roman" w:cs="Times New Roman"/>
                <w:i/>
                <w:sz w:val="24"/>
                <w:szCs w:val="24"/>
              </w:rPr>
              <w:t>Obs</w:t>
            </w:r>
            <w:proofErr w:type="spellEnd"/>
          </w:p>
        </w:tc>
        <w:tc>
          <w:tcPr>
            <w:tcW w:w="1350" w:type="dxa"/>
          </w:tcPr>
          <w:p w14:paraId="674F66F2"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F-Statistic</w:t>
            </w:r>
          </w:p>
        </w:tc>
        <w:tc>
          <w:tcPr>
            <w:tcW w:w="1089" w:type="dxa"/>
          </w:tcPr>
          <w:p w14:paraId="6C2D36EA"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Prob.</w:t>
            </w:r>
          </w:p>
        </w:tc>
      </w:tr>
      <w:tr w:rsidR="00905A62" w:rsidRPr="005E7E56" w14:paraId="20C2CC7B" w14:textId="77777777" w:rsidTr="00D63E29">
        <w:tc>
          <w:tcPr>
            <w:tcW w:w="3865" w:type="dxa"/>
          </w:tcPr>
          <w:p w14:paraId="3794063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INF does not Granger Cause POV</w:t>
            </w:r>
          </w:p>
        </w:tc>
        <w:tc>
          <w:tcPr>
            <w:tcW w:w="810" w:type="dxa"/>
          </w:tcPr>
          <w:p w14:paraId="44BE6C74"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22</w:t>
            </w:r>
          </w:p>
        </w:tc>
        <w:tc>
          <w:tcPr>
            <w:tcW w:w="1350" w:type="dxa"/>
          </w:tcPr>
          <w:p w14:paraId="5853722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0.22649</w:t>
            </w:r>
          </w:p>
        </w:tc>
        <w:tc>
          <w:tcPr>
            <w:tcW w:w="1089" w:type="dxa"/>
          </w:tcPr>
          <w:p w14:paraId="144E73F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0.7997</w:t>
            </w:r>
          </w:p>
        </w:tc>
      </w:tr>
      <w:tr w:rsidR="00905A62" w:rsidRPr="005E7E56" w14:paraId="1ACF33E3" w14:textId="77777777" w:rsidTr="00D63E29">
        <w:tc>
          <w:tcPr>
            <w:tcW w:w="3865" w:type="dxa"/>
          </w:tcPr>
          <w:p w14:paraId="6C2B3BAF"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INF</w:t>
            </w:r>
          </w:p>
        </w:tc>
        <w:tc>
          <w:tcPr>
            <w:tcW w:w="810" w:type="dxa"/>
          </w:tcPr>
          <w:p w14:paraId="519DA0D5"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272FF9C0"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0.22883</w:t>
            </w:r>
          </w:p>
        </w:tc>
        <w:tc>
          <w:tcPr>
            <w:tcW w:w="1089" w:type="dxa"/>
          </w:tcPr>
          <w:p w14:paraId="768D0394"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0.7979</w:t>
            </w:r>
          </w:p>
        </w:tc>
      </w:tr>
      <w:tr w:rsidR="00905A62" w:rsidRPr="005E7E56" w14:paraId="4A050F2B" w14:textId="77777777" w:rsidTr="00D63E29">
        <w:tc>
          <w:tcPr>
            <w:tcW w:w="3865" w:type="dxa"/>
          </w:tcPr>
          <w:p w14:paraId="1A064D54"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EXR does not Granger Cause POV</w:t>
            </w:r>
          </w:p>
        </w:tc>
        <w:tc>
          <w:tcPr>
            <w:tcW w:w="810" w:type="dxa"/>
          </w:tcPr>
          <w:p w14:paraId="7ED15C63"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40D2501B"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2.99132</w:t>
            </w:r>
          </w:p>
        </w:tc>
        <w:tc>
          <w:tcPr>
            <w:tcW w:w="1089" w:type="dxa"/>
          </w:tcPr>
          <w:p w14:paraId="5F57E550"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0.0771</w:t>
            </w:r>
          </w:p>
        </w:tc>
      </w:tr>
      <w:tr w:rsidR="00905A62" w:rsidRPr="005E7E56" w14:paraId="0A9343CA" w14:textId="77777777" w:rsidTr="00D63E29">
        <w:tc>
          <w:tcPr>
            <w:tcW w:w="3865" w:type="dxa"/>
          </w:tcPr>
          <w:p w14:paraId="3F23CE0C"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EXR</w:t>
            </w:r>
          </w:p>
        </w:tc>
        <w:tc>
          <w:tcPr>
            <w:tcW w:w="810" w:type="dxa"/>
          </w:tcPr>
          <w:p w14:paraId="5BA46BA3"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4DC23EC8"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3.08133</w:t>
            </w:r>
          </w:p>
        </w:tc>
        <w:tc>
          <w:tcPr>
            <w:tcW w:w="1089" w:type="dxa"/>
          </w:tcPr>
          <w:p w14:paraId="2FEF4E15"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0.0721</w:t>
            </w:r>
          </w:p>
        </w:tc>
      </w:tr>
      <w:tr w:rsidR="00905A62" w:rsidRPr="005E7E56" w14:paraId="2BD0872E" w14:textId="77777777" w:rsidTr="00D63E29">
        <w:trPr>
          <w:trHeight w:val="395"/>
        </w:trPr>
        <w:tc>
          <w:tcPr>
            <w:tcW w:w="3865" w:type="dxa"/>
          </w:tcPr>
          <w:p w14:paraId="4E9C4CC9"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Granger Causality- Senegal</w:t>
            </w:r>
          </w:p>
        </w:tc>
        <w:tc>
          <w:tcPr>
            <w:tcW w:w="810" w:type="dxa"/>
          </w:tcPr>
          <w:p w14:paraId="5D3AA1E5"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2D61B718" w14:textId="77777777" w:rsidR="00905A62" w:rsidRPr="005E7E56" w:rsidRDefault="00905A62" w:rsidP="005E7E56">
            <w:pPr>
              <w:pStyle w:val="NoSpacing"/>
              <w:rPr>
                <w:rFonts w:ascii="Times New Roman" w:hAnsi="Times New Roman" w:cs="Times New Roman"/>
                <w:sz w:val="24"/>
                <w:szCs w:val="24"/>
              </w:rPr>
            </w:pPr>
          </w:p>
        </w:tc>
        <w:tc>
          <w:tcPr>
            <w:tcW w:w="1089" w:type="dxa"/>
          </w:tcPr>
          <w:p w14:paraId="18B9D296" w14:textId="77777777" w:rsidR="00905A62" w:rsidRPr="005E7E56" w:rsidRDefault="00905A62" w:rsidP="005E7E56">
            <w:pPr>
              <w:pStyle w:val="NoSpacing"/>
              <w:rPr>
                <w:rFonts w:ascii="Times New Roman" w:hAnsi="Times New Roman" w:cs="Times New Roman"/>
                <w:sz w:val="24"/>
                <w:szCs w:val="24"/>
              </w:rPr>
            </w:pPr>
          </w:p>
        </w:tc>
      </w:tr>
      <w:tr w:rsidR="00905A62" w:rsidRPr="005E7E56" w14:paraId="711F1379" w14:textId="77777777" w:rsidTr="00D63E29">
        <w:tc>
          <w:tcPr>
            <w:tcW w:w="3865" w:type="dxa"/>
          </w:tcPr>
          <w:p w14:paraId="79DEBC82"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Null Hypothesis:</w:t>
            </w:r>
          </w:p>
        </w:tc>
        <w:tc>
          <w:tcPr>
            <w:tcW w:w="810" w:type="dxa"/>
          </w:tcPr>
          <w:p w14:paraId="70F2CE65" w14:textId="77777777" w:rsidR="00905A62" w:rsidRPr="005E7E56" w:rsidRDefault="00905A62" w:rsidP="005E7E56">
            <w:pPr>
              <w:pStyle w:val="NoSpacing"/>
              <w:rPr>
                <w:rFonts w:ascii="Times New Roman" w:hAnsi="Times New Roman" w:cs="Times New Roman"/>
                <w:i/>
                <w:sz w:val="24"/>
                <w:szCs w:val="24"/>
              </w:rPr>
            </w:pPr>
            <w:proofErr w:type="spellStart"/>
            <w:r w:rsidRPr="005E7E56">
              <w:rPr>
                <w:rFonts w:ascii="Times New Roman" w:hAnsi="Times New Roman" w:cs="Times New Roman"/>
                <w:i/>
                <w:sz w:val="24"/>
                <w:szCs w:val="24"/>
              </w:rPr>
              <w:t>Obs</w:t>
            </w:r>
            <w:proofErr w:type="spellEnd"/>
          </w:p>
        </w:tc>
        <w:tc>
          <w:tcPr>
            <w:tcW w:w="1350" w:type="dxa"/>
          </w:tcPr>
          <w:p w14:paraId="2DE4EC9B"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F-Statistic</w:t>
            </w:r>
          </w:p>
        </w:tc>
        <w:tc>
          <w:tcPr>
            <w:tcW w:w="1089" w:type="dxa"/>
          </w:tcPr>
          <w:p w14:paraId="4255D026"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Prob.</w:t>
            </w:r>
          </w:p>
        </w:tc>
      </w:tr>
      <w:tr w:rsidR="00905A62" w:rsidRPr="005E7E56" w14:paraId="4E5D8C3C" w14:textId="77777777" w:rsidTr="00D63E29">
        <w:tc>
          <w:tcPr>
            <w:tcW w:w="3865" w:type="dxa"/>
          </w:tcPr>
          <w:p w14:paraId="503B08B6"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INF does not Granger Cause POV</w:t>
            </w:r>
          </w:p>
        </w:tc>
        <w:tc>
          <w:tcPr>
            <w:tcW w:w="810" w:type="dxa"/>
          </w:tcPr>
          <w:p w14:paraId="03C9FC6C"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22</w:t>
            </w:r>
          </w:p>
        </w:tc>
        <w:tc>
          <w:tcPr>
            <w:tcW w:w="1350" w:type="dxa"/>
          </w:tcPr>
          <w:p w14:paraId="76E5679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0.74968</w:t>
            </w:r>
          </w:p>
        </w:tc>
        <w:tc>
          <w:tcPr>
            <w:tcW w:w="1089" w:type="dxa"/>
          </w:tcPr>
          <w:p w14:paraId="59C3FA13"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0.4875</w:t>
            </w:r>
          </w:p>
        </w:tc>
      </w:tr>
      <w:tr w:rsidR="00905A62" w:rsidRPr="005E7E56" w14:paraId="44C7ED70" w14:textId="77777777" w:rsidTr="00D63E29">
        <w:tc>
          <w:tcPr>
            <w:tcW w:w="3865" w:type="dxa"/>
          </w:tcPr>
          <w:p w14:paraId="75D9B1C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INF</w:t>
            </w:r>
          </w:p>
        </w:tc>
        <w:tc>
          <w:tcPr>
            <w:tcW w:w="810" w:type="dxa"/>
          </w:tcPr>
          <w:p w14:paraId="3B85691F"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081E97AB"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0.79652</w:t>
            </w:r>
          </w:p>
        </w:tc>
        <w:tc>
          <w:tcPr>
            <w:tcW w:w="1089" w:type="dxa"/>
          </w:tcPr>
          <w:p w14:paraId="18AD209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0.4670</w:t>
            </w:r>
          </w:p>
        </w:tc>
      </w:tr>
      <w:tr w:rsidR="00905A62" w:rsidRPr="005E7E56" w14:paraId="03ED884F" w14:textId="77777777" w:rsidTr="00D63E29">
        <w:tc>
          <w:tcPr>
            <w:tcW w:w="3865" w:type="dxa"/>
          </w:tcPr>
          <w:p w14:paraId="44ECBE73"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EXR does not Granger Cause POV</w:t>
            </w:r>
          </w:p>
        </w:tc>
        <w:tc>
          <w:tcPr>
            <w:tcW w:w="810" w:type="dxa"/>
          </w:tcPr>
          <w:p w14:paraId="495316AC"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1399969C"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0.51979</w:t>
            </w:r>
          </w:p>
        </w:tc>
        <w:tc>
          <w:tcPr>
            <w:tcW w:w="1089" w:type="dxa"/>
          </w:tcPr>
          <w:p w14:paraId="06339526"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0.6038</w:t>
            </w:r>
          </w:p>
        </w:tc>
      </w:tr>
      <w:tr w:rsidR="00905A62" w:rsidRPr="005E7E56" w14:paraId="1E973F9A" w14:textId="77777777" w:rsidTr="00D63E29">
        <w:tc>
          <w:tcPr>
            <w:tcW w:w="3865" w:type="dxa"/>
          </w:tcPr>
          <w:p w14:paraId="4A92E656"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EXR</w:t>
            </w:r>
          </w:p>
        </w:tc>
        <w:tc>
          <w:tcPr>
            <w:tcW w:w="810" w:type="dxa"/>
          </w:tcPr>
          <w:p w14:paraId="009B4E75"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611D907B"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4.89674</w:t>
            </w:r>
          </w:p>
        </w:tc>
        <w:tc>
          <w:tcPr>
            <w:tcW w:w="1089" w:type="dxa"/>
          </w:tcPr>
          <w:p w14:paraId="463C9E71"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0.0209</w:t>
            </w:r>
          </w:p>
        </w:tc>
      </w:tr>
      <w:tr w:rsidR="00905A62" w:rsidRPr="005E7E56" w14:paraId="09D0F618" w14:textId="77777777" w:rsidTr="00D63E29">
        <w:trPr>
          <w:trHeight w:val="395"/>
        </w:trPr>
        <w:tc>
          <w:tcPr>
            <w:tcW w:w="3865" w:type="dxa"/>
          </w:tcPr>
          <w:p w14:paraId="2B6FB5A9"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Granger Causality- Liberia</w:t>
            </w:r>
          </w:p>
        </w:tc>
        <w:tc>
          <w:tcPr>
            <w:tcW w:w="810" w:type="dxa"/>
          </w:tcPr>
          <w:p w14:paraId="7798EF81"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41292345" w14:textId="77777777" w:rsidR="00905A62" w:rsidRPr="005E7E56" w:rsidRDefault="00905A62" w:rsidP="005E7E56">
            <w:pPr>
              <w:pStyle w:val="NoSpacing"/>
              <w:rPr>
                <w:rFonts w:ascii="Times New Roman" w:hAnsi="Times New Roman" w:cs="Times New Roman"/>
                <w:sz w:val="24"/>
                <w:szCs w:val="24"/>
              </w:rPr>
            </w:pPr>
          </w:p>
        </w:tc>
        <w:tc>
          <w:tcPr>
            <w:tcW w:w="1089" w:type="dxa"/>
          </w:tcPr>
          <w:p w14:paraId="623AEE33" w14:textId="77777777" w:rsidR="00905A62" w:rsidRPr="005E7E56" w:rsidRDefault="00905A62" w:rsidP="005E7E56">
            <w:pPr>
              <w:pStyle w:val="NoSpacing"/>
              <w:rPr>
                <w:rFonts w:ascii="Times New Roman" w:hAnsi="Times New Roman" w:cs="Times New Roman"/>
                <w:sz w:val="24"/>
                <w:szCs w:val="24"/>
              </w:rPr>
            </w:pPr>
          </w:p>
        </w:tc>
      </w:tr>
      <w:tr w:rsidR="00905A62" w:rsidRPr="005E7E56" w14:paraId="5E573AE0" w14:textId="77777777" w:rsidTr="00D63E29">
        <w:tc>
          <w:tcPr>
            <w:tcW w:w="3865" w:type="dxa"/>
          </w:tcPr>
          <w:p w14:paraId="307DA8D9"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i/>
                <w:sz w:val="24"/>
                <w:szCs w:val="24"/>
              </w:rPr>
              <w:t>Null Hypothesis:</w:t>
            </w:r>
          </w:p>
        </w:tc>
        <w:tc>
          <w:tcPr>
            <w:tcW w:w="810" w:type="dxa"/>
          </w:tcPr>
          <w:p w14:paraId="5FC3542A" w14:textId="77777777" w:rsidR="00905A62" w:rsidRPr="005E7E56" w:rsidRDefault="00905A62" w:rsidP="005E7E56">
            <w:pPr>
              <w:pStyle w:val="NoSpacing"/>
              <w:rPr>
                <w:rFonts w:ascii="Times New Roman" w:hAnsi="Times New Roman" w:cs="Times New Roman"/>
                <w:i/>
                <w:sz w:val="24"/>
                <w:szCs w:val="24"/>
              </w:rPr>
            </w:pPr>
            <w:proofErr w:type="spellStart"/>
            <w:r w:rsidRPr="005E7E56">
              <w:rPr>
                <w:rFonts w:ascii="Times New Roman" w:hAnsi="Times New Roman" w:cs="Times New Roman"/>
                <w:i/>
                <w:sz w:val="24"/>
                <w:szCs w:val="24"/>
              </w:rPr>
              <w:t>Obs</w:t>
            </w:r>
            <w:proofErr w:type="spellEnd"/>
          </w:p>
        </w:tc>
        <w:tc>
          <w:tcPr>
            <w:tcW w:w="1350" w:type="dxa"/>
          </w:tcPr>
          <w:p w14:paraId="6380A619"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F-Statistic</w:t>
            </w:r>
          </w:p>
        </w:tc>
        <w:tc>
          <w:tcPr>
            <w:tcW w:w="1089" w:type="dxa"/>
          </w:tcPr>
          <w:p w14:paraId="5970FAED"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Prob.</w:t>
            </w:r>
          </w:p>
        </w:tc>
      </w:tr>
      <w:tr w:rsidR="00905A62" w:rsidRPr="005E7E56" w14:paraId="0AB9BE9C" w14:textId="77777777" w:rsidTr="00D63E29">
        <w:tc>
          <w:tcPr>
            <w:tcW w:w="3865" w:type="dxa"/>
          </w:tcPr>
          <w:p w14:paraId="537A88FA"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INF does not Granger Cause POV</w:t>
            </w:r>
          </w:p>
        </w:tc>
        <w:tc>
          <w:tcPr>
            <w:tcW w:w="810" w:type="dxa"/>
          </w:tcPr>
          <w:p w14:paraId="1EE5C45A"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22</w:t>
            </w:r>
          </w:p>
        </w:tc>
        <w:tc>
          <w:tcPr>
            <w:tcW w:w="1350" w:type="dxa"/>
          </w:tcPr>
          <w:p w14:paraId="6FAA68E4"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0.53885</w:t>
            </w:r>
          </w:p>
        </w:tc>
        <w:tc>
          <w:tcPr>
            <w:tcW w:w="1089" w:type="dxa"/>
          </w:tcPr>
          <w:p w14:paraId="7786D581"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0.5931</w:t>
            </w:r>
          </w:p>
        </w:tc>
      </w:tr>
      <w:tr w:rsidR="00905A62" w:rsidRPr="005E7E56" w14:paraId="01B6A173" w14:textId="77777777" w:rsidTr="00D63E29">
        <w:tc>
          <w:tcPr>
            <w:tcW w:w="3865" w:type="dxa"/>
          </w:tcPr>
          <w:p w14:paraId="12D22D2F"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INF</w:t>
            </w:r>
          </w:p>
        </w:tc>
        <w:tc>
          <w:tcPr>
            <w:tcW w:w="810" w:type="dxa"/>
          </w:tcPr>
          <w:p w14:paraId="241C14A1"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645032F0"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0.19699</w:t>
            </w:r>
          </w:p>
        </w:tc>
        <w:tc>
          <w:tcPr>
            <w:tcW w:w="1089" w:type="dxa"/>
          </w:tcPr>
          <w:p w14:paraId="73BF01D8"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0.8230</w:t>
            </w:r>
          </w:p>
        </w:tc>
      </w:tr>
      <w:tr w:rsidR="00905A62" w:rsidRPr="005E7E56" w14:paraId="29845DCA" w14:textId="77777777" w:rsidTr="00D63E29">
        <w:tc>
          <w:tcPr>
            <w:tcW w:w="3865" w:type="dxa"/>
          </w:tcPr>
          <w:p w14:paraId="565C747F"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EXR does not Granger Cause POV</w:t>
            </w:r>
          </w:p>
        </w:tc>
        <w:tc>
          <w:tcPr>
            <w:tcW w:w="810" w:type="dxa"/>
          </w:tcPr>
          <w:p w14:paraId="33EDFD10"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4C121FE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0.56985</w:t>
            </w:r>
          </w:p>
        </w:tc>
        <w:tc>
          <w:tcPr>
            <w:tcW w:w="1089" w:type="dxa"/>
          </w:tcPr>
          <w:p w14:paraId="6E5E0F78"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0.5760</w:t>
            </w:r>
          </w:p>
        </w:tc>
      </w:tr>
      <w:tr w:rsidR="00905A62" w:rsidRPr="005E7E56" w14:paraId="764F0419" w14:textId="77777777" w:rsidTr="00D63E29">
        <w:tc>
          <w:tcPr>
            <w:tcW w:w="3865" w:type="dxa"/>
          </w:tcPr>
          <w:p w14:paraId="560ED723"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EXR</w:t>
            </w:r>
          </w:p>
        </w:tc>
        <w:tc>
          <w:tcPr>
            <w:tcW w:w="810" w:type="dxa"/>
          </w:tcPr>
          <w:p w14:paraId="126041DE"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11CBA78F"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0.53507</w:t>
            </w:r>
          </w:p>
        </w:tc>
        <w:tc>
          <w:tcPr>
            <w:tcW w:w="1089" w:type="dxa"/>
          </w:tcPr>
          <w:p w14:paraId="4CE7DE7B"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0.5952</w:t>
            </w:r>
          </w:p>
        </w:tc>
      </w:tr>
    </w:tbl>
    <w:p w14:paraId="505D371B"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Source: Authors Computation (Eviews12)</w:t>
      </w:r>
    </w:p>
    <w:p w14:paraId="2317E2BF" w14:textId="77777777" w:rsidR="00905A62" w:rsidRPr="00152918" w:rsidRDefault="00905A62" w:rsidP="00905A62">
      <w:pPr>
        <w:spacing w:before="100" w:beforeAutospacing="1" w:after="100" w:afterAutospacing="1" w:line="360" w:lineRule="auto"/>
        <w:ind w:firstLine="360"/>
        <w:jc w:val="both"/>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 xml:space="preserve">The Granger causality test helps to identify whether one variable can predict another variable in time series data. In this case, the test is used to determine whether </w:t>
      </w:r>
      <w:r w:rsidRPr="00152918">
        <w:rPr>
          <w:rFonts w:ascii="Times New Roman" w:eastAsia="Times New Roman" w:hAnsi="Times New Roman" w:cs="Times New Roman"/>
          <w:bCs/>
          <w:sz w:val="24"/>
          <w:szCs w:val="24"/>
        </w:rPr>
        <w:t>Inflation (INF)</w:t>
      </w:r>
      <w:r w:rsidRPr="00152918">
        <w:rPr>
          <w:rFonts w:ascii="Times New Roman" w:eastAsia="Times New Roman" w:hAnsi="Times New Roman" w:cs="Times New Roman"/>
          <w:sz w:val="24"/>
          <w:szCs w:val="24"/>
        </w:rPr>
        <w:t xml:space="preserve"> and </w:t>
      </w:r>
      <w:r w:rsidRPr="00152918">
        <w:rPr>
          <w:rFonts w:ascii="Times New Roman" w:eastAsia="Times New Roman" w:hAnsi="Times New Roman" w:cs="Times New Roman"/>
          <w:bCs/>
          <w:sz w:val="24"/>
          <w:szCs w:val="24"/>
        </w:rPr>
        <w:t>Exchange Rate (EXR)</w:t>
      </w:r>
      <w:r w:rsidRPr="00152918">
        <w:rPr>
          <w:rFonts w:ascii="Times New Roman" w:eastAsia="Times New Roman" w:hAnsi="Times New Roman" w:cs="Times New Roman"/>
          <w:sz w:val="24"/>
          <w:szCs w:val="24"/>
        </w:rPr>
        <w:t xml:space="preserve"> Granger-cause </w:t>
      </w:r>
      <w:r w:rsidRPr="00152918">
        <w:rPr>
          <w:rFonts w:ascii="Times New Roman" w:eastAsia="Times New Roman" w:hAnsi="Times New Roman" w:cs="Times New Roman"/>
          <w:bCs/>
          <w:sz w:val="24"/>
          <w:szCs w:val="24"/>
        </w:rPr>
        <w:t>Poverty (POV)</w:t>
      </w:r>
      <w:r w:rsidRPr="00152918">
        <w:rPr>
          <w:rFonts w:ascii="Times New Roman" w:eastAsia="Times New Roman" w:hAnsi="Times New Roman" w:cs="Times New Roman"/>
          <w:sz w:val="24"/>
          <w:szCs w:val="24"/>
        </w:rPr>
        <w:t xml:space="preserve"> or vice versa, at both 5% and 10% significance levels. We conducted a Granger Causality test. More precisely, we employed a panel Granger Causality test to evaluate the collective causal influence of inflation and exchange rate on Poverty within the purview of the five nations under consideration. This methodological approach enabled a comprehensive examination of the interplay between inflation, exchange rate and poverty across the selected countries.</w:t>
      </w:r>
    </w:p>
    <w:p w14:paraId="66628E5A" w14:textId="597624AE" w:rsidR="00905A62" w:rsidRPr="00152918" w:rsidRDefault="00905A62" w:rsidP="00083885">
      <w:pPr>
        <w:tabs>
          <w:tab w:val="left" w:pos="5040"/>
        </w:tabs>
        <w:spacing w:before="100" w:beforeAutospacing="1" w:after="100" w:afterAutospacing="1" w:line="360" w:lineRule="auto"/>
        <w:ind w:firstLine="360"/>
        <w:jc w:val="both"/>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lastRenderedPageBreak/>
        <w:t xml:space="preserve">The analysis of the results, presented in Table </w:t>
      </w:r>
      <w:r w:rsidR="00083885">
        <w:rPr>
          <w:rFonts w:ascii="Times New Roman" w:eastAsia="Times New Roman" w:hAnsi="Times New Roman" w:cs="Times New Roman"/>
          <w:sz w:val="24"/>
          <w:szCs w:val="24"/>
        </w:rPr>
        <w:t>7</w:t>
      </w:r>
      <w:r w:rsidRPr="00152918">
        <w:rPr>
          <w:rFonts w:ascii="Times New Roman" w:eastAsia="Times New Roman" w:hAnsi="Times New Roman" w:cs="Times New Roman"/>
          <w:sz w:val="24"/>
          <w:szCs w:val="24"/>
        </w:rPr>
        <w:t xml:space="preserve">, reveals that we do not have sufficient evidence to reject the null hypothesis that INF does not Granger Cause POV, as the probability value of 0.7862 exceeds the significance level of 5% and 10%. Therefore, we fail to reject the null hypothesis, meaning </w:t>
      </w:r>
      <w:r w:rsidRPr="00152918">
        <w:rPr>
          <w:rFonts w:ascii="Times New Roman" w:eastAsia="Times New Roman" w:hAnsi="Times New Roman" w:cs="Times New Roman"/>
          <w:bCs/>
          <w:sz w:val="24"/>
          <w:szCs w:val="24"/>
        </w:rPr>
        <w:t>Inflation does not Granger causes Poverty</w:t>
      </w:r>
      <w:r w:rsidRPr="00152918">
        <w:rPr>
          <w:rFonts w:ascii="Times New Roman" w:eastAsia="Times New Roman" w:hAnsi="Times New Roman" w:cs="Times New Roman"/>
          <w:sz w:val="24"/>
          <w:szCs w:val="24"/>
        </w:rPr>
        <w:t xml:space="preserve"> for the panel of countries combined. However, it is important to note that we do reject the null hypothesis that EXR does not Granger Cause POV. The probability value of 0.0423 is significant at 5% level, we conclude that </w:t>
      </w:r>
      <w:r w:rsidRPr="00152918">
        <w:rPr>
          <w:rFonts w:ascii="Times New Roman" w:eastAsia="Times New Roman" w:hAnsi="Times New Roman" w:cs="Times New Roman"/>
          <w:bCs/>
          <w:sz w:val="24"/>
          <w:szCs w:val="24"/>
        </w:rPr>
        <w:t>Exchange Rate Granger causes Poverty</w:t>
      </w:r>
      <w:r w:rsidRPr="00152918">
        <w:rPr>
          <w:rFonts w:ascii="Times New Roman" w:eastAsia="Times New Roman" w:hAnsi="Times New Roman" w:cs="Times New Roman"/>
          <w:sz w:val="24"/>
          <w:szCs w:val="24"/>
        </w:rPr>
        <w:t xml:space="preserve"> in the combined panel. This implies that there is a unidirectional causal relationship, flowing from exchange to poverty, </w:t>
      </w:r>
      <w:proofErr w:type="gramStart"/>
      <w:r w:rsidRPr="00152918">
        <w:rPr>
          <w:rFonts w:ascii="Times New Roman" w:eastAsia="Times New Roman" w:hAnsi="Times New Roman" w:cs="Times New Roman"/>
          <w:sz w:val="24"/>
          <w:szCs w:val="24"/>
        </w:rPr>
        <w:t>In</w:t>
      </w:r>
      <w:proofErr w:type="gramEnd"/>
      <w:r w:rsidRPr="00152918">
        <w:rPr>
          <w:rFonts w:ascii="Times New Roman" w:eastAsia="Times New Roman" w:hAnsi="Times New Roman" w:cs="Times New Roman"/>
          <w:sz w:val="24"/>
          <w:szCs w:val="24"/>
        </w:rPr>
        <w:t xml:space="preserve"> other words, changes in exchange rate are causing variations in Poverty while the reverse causal relationship is not supported.</w:t>
      </w:r>
    </w:p>
    <w:p w14:paraId="6DFC1225" w14:textId="77777777" w:rsidR="00905A62" w:rsidRPr="00152918" w:rsidRDefault="00905A62" w:rsidP="00905A62">
      <w:pPr>
        <w:spacing w:before="100" w:beforeAutospacing="1" w:after="100" w:afterAutospacing="1" w:line="360" w:lineRule="auto"/>
        <w:ind w:firstLine="360"/>
        <w:jc w:val="both"/>
        <w:rPr>
          <w:rFonts w:ascii="Times New Roman" w:hAnsi="Times New Roman" w:cs="Times New Roman"/>
          <w:sz w:val="24"/>
          <w:szCs w:val="24"/>
        </w:rPr>
      </w:pPr>
      <w:r w:rsidRPr="00152918">
        <w:rPr>
          <w:rFonts w:ascii="Times New Roman" w:hAnsi="Times New Roman" w:cs="Times New Roman"/>
          <w:sz w:val="24"/>
          <w:szCs w:val="24"/>
        </w:rPr>
        <w:t xml:space="preserve">Further investigation into the specific causal relationships between INF, EXR and POV within each individual country reveals distinct patterns. In the case of Nigeria, there is no evidence of a causal relationship </w:t>
      </w:r>
      <w:r w:rsidRPr="00152918">
        <w:rPr>
          <w:rFonts w:ascii="Times New Roman" w:eastAsia="Times New Roman" w:hAnsi="Times New Roman" w:cs="Times New Roman"/>
          <w:sz w:val="24"/>
          <w:szCs w:val="24"/>
        </w:rPr>
        <w:t xml:space="preserve">inflation, exchange rate and poverty. Likewise, there is </w:t>
      </w:r>
      <w:r w:rsidRPr="00152918">
        <w:rPr>
          <w:rFonts w:ascii="Times New Roman" w:eastAsia="Times New Roman" w:hAnsi="Times New Roman" w:cs="Times New Roman"/>
          <w:bCs/>
          <w:sz w:val="24"/>
          <w:szCs w:val="24"/>
        </w:rPr>
        <w:t>no significant Granger causality</w:t>
      </w:r>
      <w:r w:rsidRPr="00152918">
        <w:rPr>
          <w:rFonts w:ascii="Times New Roman" w:eastAsia="Times New Roman" w:hAnsi="Times New Roman" w:cs="Times New Roman"/>
          <w:sz w:val="24"/>
          <w:szCs w:val="24"/>
        </w:rPr>
        <w:t xml:space="preserve"> between these variables in Ghana and Liberia. </w:t>
      </w:r>
      <w:proofErr w:type="gramStart"/>
      <w:r w:rsidRPr="00152918">
        <w:rPr>
          <w:rFonts w:ascii="Times New Roman" w:eastAsia="Times New Roman" w:hAnsi="Times New Roman" w:cs="Times New Roman"/>
          <w:sz w:val="24"/>
          <w:szCs w:val="24"/>
        </w:rPr>
        <w:t>However</w:t>
      </w:r>
      <w:proofErr w:type="gramEnd"/>
      <w:r w:rsidRPr="00152918">
        <w:rPr>
          <w:rFonts w:ascii="Times New Roman" w:eastAsia="Times New Roman" w:hAnsi="Times New Roman" w:cs="Times New Roman"/>
          <w:sz w:val="24"/>
          <w:szCs w:val="24"/>
        </w:rPr>
        <w:t xml:space="preserve"> there is </w:t>
      </w:r>
      <w:r w:rsidRPr="00152918">
        <w:rPr>
          <w:rFonts w:ascii="Times New Roman" w:hAnsi="Times New Roman" w:cs="Times New Roman"/>
          <w:sz w:val="24"/>
          <w:szCs w:val="24"/>
        </w:rPr>
        <w:t xml:space="preserve">evidence of a bidirectional causal relationship between exchange rate and poverty in Cote D’Ivoire that is EXR granger causes POV and POV granger causes EXR. </w:t>
      </w:r>
      <w:proofErr w:type="gramStart"/>
      <w:r w:rsidRPr="00152918">
        <w:rPr>
          <w:rFonts w:ascii="Times New Roman" w:hAnsi="Times New Roman" w:cs="Times New Roman"/>
          <w:sz w:val="24"/>
          <w:szCs w:val="24"/>
        </w:rPr>
        <w:t>Also</w:t>
      </w:r>
      <w:proofErr w:type="gramEnd"/>
      <w:r w:rsidRPr="00152918">
        <w:rPr>
          <w:rFonts w:ascii="Times New Roman" w:hAnsi="Times New Roman" w:cs="Times New Roman"/>
          <w:sz w:val="24"/>
          <w:szCs w:val="24"/>
        </w:rPr>
        <w:t xml:space="preserve"> there is evidence of a unidirectional causal relationship, running from poverty (POV) to exchange rate (EXR), with no return mechanism in Senegal.</w:t>
      </w:r>
    </w:p>
    <w:p w14:paraId="47ADCF85" w14:textId="77777777" w:rsidR="00A37396" w:rsidRDefault="00A37396" w:rsidP="00905A62">
      <w:pPr>
        <w:pStyle w:val="Heading2"/>
        <w:spacing w:after="240" w:line="360" w:lineRule="auto"/>
        <w:rPr>
          <w:rFonts w:ascii="Times New Roman" w:hAnsi="Times New Roman" w:cs="Times New Roman"/>
          <w:b/>
          <w:bCs/>
          <w:color w:val="auto"/>
          <w:sz w:val="24"/>
          <w:szCs w:val="24"/>
          <w:lang w:val="en-GB"/>
        </w:rPr>
      </w:pPr>
      <w:bookmarkStart w:id="17" w:name="_Toc142568439"/>
    </w:p>
    <w:p w14:paraId="7A511484" w14:textId="50B4EB25" w:rsidR="00905A62" w:rsidRPr="00152918" w:rsidRDefault="00905A62" w:rsidP="00905A62">
      <w:pPr>
        <w:pStyle w:val="Heading2"/>
        <w:spacing w:after="240" w:line="360" w:lineRule="auto"/>
        <w:rPr>
          <w:rFonts w:ascii="Times New Roman" w:hAnsi="Times New Roman" w:cs="Times New Roman"/>
          <w:b/>
          <w:bCs/>
          <w:color w:val="auto"/>
          <w:sz w:val="24"/>
          <w:szCs w:val="24"/>
          <w:lang w:val="en-GB"/>
        </w:rPr>
      </w:pPr>
      <w:r w:rsidRPr="00152918">
        <w:rPr>
          <w:rFonts w:ascii="Times New Roman" w:hAnsi="Times New Roman" w:cs="Times New Roman"/>
          <w:b/>
          <w:bCs/>
          <w:color w:val="auto"/>
          <w:sz w:val="24"/>
          <w:szCs w:val="24"/>
          <w:lang w:val="en-GB"/>
        </w:rPr>
        <w:t>SUMMARY, CONCLUSION, AND RECOMMENDATION</w:t>
      </w:r>
      <w:bookmarkEnd w:id="17"/>
    </w:p>
    <w:p w14:paraId="138D0E8E" w14:textId="13F94F80" w:rsidR="00905A62" w:rsidRPr="00152918" w:rsidRDefault="00905A62" w:rsidP="00905A62">
      <w:pPr>
        <w:pStyle w:val="Heading2"/>
        <w:spacing w:after="240" w:line="360" w:lineRule="auto"/>
        <w:rPr>
          <w:rFonts w:ascii="Times New Roman" w:eastAsia="Calibri" w:hAnsi="Times New Roman" w:cs="Times New Roman"/>
          <w:b/>
          <w:bCs/>
          <w:sz w:val="24"/>
          <w:szCs w:val="24"/>
        </w:rPr>
      </w:pPr>
      <w:bookmarkStart w:id="18" w:name="_Toc142568440"/>
      <w:r w:rsidRPr="00152918">
        <w:rPr>
          <w:rFonts w:ascii="Times New Roman" w:hAnsi="Times New Roman" w:cs="Times New Roman"/>
          <w:b/>
          <w:bCs/>
          <w:color w:val="auto"/>
          <w:sz w:val="24"/>
          <w:szCs w:val="24"/>
          <w:lang w:val="en-GB"/>
        </w:rPr>
        <w:t xml:space="preserve"> Summary</w:t>
      </w:r>
      <w:bookmarkEnd w:id="18"/>
    </w:p>
    <w:p w14:paraId="25742824" w14:textId="77777777" w:rsidR="00905A62" w:rsidRPr="00152918" w:rsidRDefault="00905A62" w:rsidP="00905A62">
      <w:pPr>
        <w:pStyle w:val="NormalWeb"/>
        <w:spacing w:after="300" w:line="360" w:lineRule="auto"/>
        <w:ind w:firstLine="720"/>
        <w:jc w:val="both"/>
        <w:rPr>
          <w:rFonts w:eastAsia="Calibri"/>
        </w:rPr>
      </w:pPr>
      <w:r w:rsidRPr="00152918">
        <w:rPr>
          <w:rFonts w:eastAsia="Calibri"/>
        </w:rPr>
        <w:t xml:space="preserve">The study examined the relationship between inflation, exchange rate fluctuations, and poverty in select West African nations, namely Nigeria, Ghana, Senegal, Côte d'Ivoire, and Liberia. The objective was </w:t>
      </w:r>
      <w:r w:rsidR="005E7E56" w:rsidRPr="00152918">
        <w:rPr>
          <w:rFonts w:eastAsia="Calibri"/>
        </w:rPr>
        <w:t xml:space="preserve">to </w:t>
      </w:r>
      <w:r w:rsidR="005E7E56" w:rsidRPr="00152918">
        <w:t>determine</w:t>
      </w:r>
      <w:r w:rsidRPr="00152918">
        <w:t xml:space="preserve"> how inflation and exchange rate changes impact poverty levels within these countries during the period spanning from 2000 to 2023</w:t>
      </w:r>
      <w:r w:rsidRPr="00152918">
        <w:rPr>
          <w:rFonts w:eastAsia="Calibri"/>
        </w:rPr>
        <w:t xml:space="preserve">. Specifically, the research examines the distinct effects of inflation, exchange rate and other variables on poverty in each nation, explores the aggregate influence of inflation, exchange rate and other variables on </w:t>
      </w:r>
      <w:r w:rsidRPr="00152918">
        <w:rPr>
          <w:rFonts w:eastAsia="Calibri"/>
        </w:rPr>
        <w:lastRenderedPageBreak/>
        <w:t>poverty across the five countries, and investigates the causal relationship between inflation, exchange rate and poverty within the selected contexts.</w:t>
      </w:r>
    </w:p>
    <w:p w14:paraId="7434BCA6" w14:textId="77777777" w:rsidR="00905A62" w:rsidRPr="00152918" w:rsidRDefault="00905A62" w:rsidP="00905A62">
      <w:pPr>
        <w:pStyle w:val="NormalWeb"/>
        <w:spacing w:after="300" w:line="360" w:lineRule="auto"/>
        <w:ind w:firstLine="720"/>
        <w:jc w:val="both"/>
      </w:pPr>
      <w:r w:rsidRPr="00152918">
        <w:rPr>
          <w:rFonts w:eastAsia="Calibri"/>
        </w:rPr>
        <w:t xml:space="preserve">A </w:t>
      </w:r>
      <w:r w:rsidRPr="00152918">
        <w:rPr>
          <w:rFonts w:eastAsia="Calibri"/>
          <w:lang w:val="en-GB"/>
        </w:rPr>
        <w:t xml:space="preserve">fixed effect panel-estimated generalized least square (Panel EGLS) and ordinary least squares (OLS) method </w:t>
      </w:r>
      <w:r w:rsidRPr="00152918">
        <w:rPr>
          <w:rFonts w:eastAsia="Calibri"/>
        </w:rPr>
        <w:t>was employed as the statistical technique for analyzing the model which comprises of a dependent variable (POV), and independent variables (inflation, exchange rate, government expenditure on social services, money supply and net export). The Granger causality test was also employed to analyze the causal relationship between INF, EXR and POV. Data analysis and discussion of findings were presented in section four, while section five summarizes and concludes the study</w:t>
      </w:r>
      <w:r w:rsidRPr="00152918">
        <w:rPr>
          <w:rFonts w:eastAsia="Calibri"/>
          <w:b/>
          <w:bCs/>
        </w:rPr>
        <w:t xml:space="preserve">. </w:t>
      </w:r>
    </w:p>
    <w:p w14:paraId="263628C3" w14:textId="77777777" w:rsidR="00905A62" w:rsidRPr="00152918" w:rsidRDefault="00905A62" w:rsidP="000E5EF3">
      <w:pPr>
        <w:pStyle w:val="Heading2"/>
        <w:spacing w:after="240" w:line="360" w:lineRule="auto"/>
        <w:rPr>
          <w:rFonts w:ascii="Times New Roman" w:hAnsi="Times New Roman" w:cs="Times New Roman"/>
          <w:b/>
          <w:bCs/>
          <w:color w:val="auto"/>
          <w:sz w:val="24"/>
          <w:szCs w:val="24"/>
          <w:lang w:val="en-GB"/>
        </w:rPr>
      </w:pPr>
      <w:bookmarkStart w:id="19" w:name="_Toc142568441"/>
      <w:r w:rsidRPr="00152918">
        <w:rPr>
          <w:rFonts w:ascii="Times New Roman" w:hAnsi="Times New Roman" w:cs="Times New Roman"/>
          <w:b/>
          <w:bCs/>
          <w:color w:val="auto"/>
          <w:sz w:val="24"/>
          <w:szCs w:val="24"/>
          <w:lang w:val="en-GB"/>
        </w:rPr>
        <w:t>Conclusion</w:t>
      </w:r>
      <w:bookmarkEnd w:id="19"/>
    </w:p>
    <w:p w14:paraId="06C68F72" w14:textId="77777777" w:rsidR="00905A62" w:rsidRPr="00152918" w:rsidRDefault="00905A62" w:rsidP="00905A62">
      <w:pPr>
        <w:spacing w:line="360" w:lineRule="auto"/>
        <w:ind w:firstLine="360"/>
        <w:jc w:val="both"/>
        <w:rPr>
          <w:rFonts w:ascii="Times New Roman" w:hAnsi="Times New Roman" w:cs="Times New Roman"/>
          <w:sz w:val="24"/>
          <w:szCs w:val="24"/>
        </w:rPr>
      </w:pPr>
      <w:r w:rsidRPr="00152918">
        <w:rPr>
          <w:rFonts w:ascii="Times New Roman" w:hAnsi="Times New Roman" w:cs="Times New Roman"/>
          <w:sz w:val="24"/>
          <w:szCs w:val="24"/>
        </w:rPr>
        <w:t xml:space="preserve">The findings from the </w:t>
      </w:r>
      <w:r w:rsidRPr="00152918">
        <w:rPr>
          <w:rFonts w:ascii="Times New Roman" w:hAnsi="Times New Roman" w:cs="Times New Roman"/>
          <w:bCs/>
          <w:sz w:val="24"/>
          <w:szCs w:val="24"/>
        </w:rPr>
        <w:t>panel data regression</w:t>
      </w:r>
      <w:r w:rsidRPr="00152918">
        <w:rPr>
          <w:rFonts w:ascii="Times New Roman" w:hAnsi="Times New Roman" w:cs="Times New Roman"/>
          <w:sz w:val="24"/>
          <w:szCs w:val="24"/>
        </w:rPr>
        <w:t xml:space="preserve"> highlight the complex relationship between inflation, exchange rates, government expenditure, money supply, and poverty in the West African countries of </w:t>
      </w:r>
      <w:r w:rsidRPr="00152918">
        <w:rPr>
          <w:rFonts w:ascii="Times New Roman" w:hAnsi="Times New Roman" w:cs="Times New Roman"/>
          <w:bCs/>
          <w:sz w:val="24"/>
          <w:szCs w:val="24"/>
        </w:rPr>
        <w:t>Nigeria, Ghana, Côte d'Ivoire, Senegal, and Liberia</w:t>
      </w:r>
      <w:r w:rsidRPr="00152918">
        <w:rPr>
          <w:rFonts w:ascii="Times New Roman" w:hAnsi="Times New Roman" w:cs="Times New Roman"/>
          <w:sz w:val="24"/>
          <w:szCs w:val="24"/>
        </w:rPr>
        <w:t xml:space="preserve">. </w:t>
      </w:r>
      <w:r w:rsidRPr="00152918">
        <w:rPr>
          <w:rFonts w:ascii="Times New Roman" w:hAnsi="Times New Roman" w:cs="Times New Roman"/>
          <w:bCs/>
          <w:sz w:val="24"/>
          <w:szCs w:val="24"/>
        </w:rPr>
        <w:t>Inflation (INF)</w:t>
      </w:r>
      <w:r w:rsidRPr="00152918">
        <w:rPr>
          <w:rFonts w:ascii="Times New Roman" w:hAnsi="Times New Roman" w:cs="Times New Roman"/>
          <w:sz w:val="24"/>
          <w:szCs w:val="24"/>
        </w:rPr>
        <w:t xml:space="preserve"> has a </w:t>
      </w:r>
      <w:r w:rsidRPr="00152918">
        <w:rPr>
          <w:rFonts w:ascii="Times New Roman" w:hAnsi="Times New Roman" w:cs="Times New Roman"/>
          <w:bCs/>
          <w:sz w:val="24"/>
          <w:szCs w:val="24"/>
        </w:rPr>
        <w:t>negative and significant impact on poverty</w:t>
      </w:r>
      <w:r w:rsidRPr="00152918">
        <w:rPr>
          <w:rFonts w:ascii="Times New Roman" w:hAnsi="Times New Roman" w:cs="Times New Roman"/>
          <w:sz w:val="24"/>
          <w:szCs w:val="24"/>
        </w:rPr>
        <w:t xml:space="preserve">, suggesting that in these countries, moderate inflation may reduce poverty by potentially spurring economic activity. This aligns with the </w:t>
      </w:r>
      <w:r w:rsidRPr="00152918">
        <w:rPr>
          <w:rFonts w:ascii="Times New Roman" w:hAnsi="Times New Roman" w:cs="Times New Roman"/>
          <w:bCs/>
          <w:sz w:val="24"/>
          <w:szCs w:val="24"/>
        </w:rPr>
        <w:t>Phillips Curve theory</w:t>
      </w:r>
      <w:r w:rsidRPr="00152918">
        <w:rPr>
          <w:rFonts w:ascii="Times New Roman" w:hAnsi="Times New Roman" w:cs="Times New Roman"/>
          <w:sz w:val="24"/>
          <w:szCs w:val="24"/>
        </w:rPr>
        <w:t>, which suggests that in the short term, inflation may reduce unemployment and increase incomes, ultimately alleviating poverty. M</w:t>
      </w:r>
      <w:r w:rsidRPr="00152918">
        <w:rPr>
          <w:rFonts w:ascii="Times New Roman" w:hAnsi="Times New Roman" w:cs="Times New Roman"/>
          <w:bCs/>
          <w:sz w:val="24"/>
          <w:szCs w:val="24"/>
        </w:rPr>
        <w:t>oney Supply (MS)</w:t>
      </w:r>
      <w:r w:rsidRPr="00152918">
        <w:rPr>
          <w:rFonts w:ascii="Times New Roman" w:hAnsi="Times New Roman" w:cs="Times New Roman"/>
          <w:sz w:val="24"/>
          <w:szCs w:val="24"/>
        </w:rPr>
        <w:t xml:space="preserve"> also has a </w:t>
      </w:r>
      <w:r w:rsidRPr="00152918">
        <w:rPr>
          <w:rFonts w:ascii="Times New Roman" w:hAnsi="Times New Roman" w:cs="Times New Roman"/>
          <w:bCs/>
          <w:sz w:val="24"/>
          <w:szCs w:val="24"/>
        </w:rPr>
        <w:t>negative and significant impact on poverty</w:t>
      </w:r>
      <w:r w:rsidRPr="00152918">
        <w:rPr>
          <w:rFonts w:ascii="Times New Roman" w:hAnsi="Times New Roman" w:cs="Times New Roman"/>
          <w:sz w:val="24"/>
          <w:szCs w:val="24"/>
        </w:rPr>
        <w:t xml:space="preserve"> in the region. This indicates that increased liquidity in the economy contributes to poverty reduction by stimulating investment and consumption, consistent with the </w:t>
      </w:r>
      <w:r w:rsidRPr="00152918">
        <w:rPr>
          <w:rFonts w:ascii="Times New Roman" w:hAnsi="Times New Roman" w:cs="Times New Roman"/>
          <w:bCs/>
          <w:sz w:val="24"/>
          <w:szCs w:val="24"/>
        </w:rPr>
        <w:t>Keynesian economic theory</w:t>
      </w:r>
      <w:r w:rsidRPr="00152918">
        <w:rPr>
          <w:rFonts w:ascii="Times New Roman" w:hAnsi="Times New Roman" w:cs="Times New Roman"/>
          <w:sz w:val="24"/>
          <w:szCs w:val="24"/>
        </w:rPr>
        <w:t xml:space="preserve">. It emphasizes the role of money supply as a tool to enhance economic growth and improve welfare. The </w:t>
      </w:r>
      <w:r w:rsidRPr="00152918">
        <w:rPr>
          <w:rFonts w:ascii="Times New Roman" w:hAnsi="Times New Roman" w:cs="Times New Roman"/>
          <w:bCs/>
          <w:sz w:val="24"/>
          <w:szCs w:val="24"/>
        </w:rPr>
        <w:t>Exchange Rate (EXR)</w:t>
      </w:r>
      <w:r w:rsidRPr="00152918">
        <w:rPr>
          <w:rFonts w:ascii="Times New Roman" w:hAnsi="Times New Roman" w:cs="Times New Roman"/>
          <w:sz w:val="24"/>
          <w:szCs w:val="24"/>
        </w:rPr>
        <w:t xml:space="preserve">, while not statistically significant overall, shows a </w:t>
      </w:r>
      <w:r w:rsidRPr="00152918">
        <w:rPr>
          <w:rFonts w:ascii="Times New Roman" w:hAnsi="Times New Roman" w:cs="Times New Roman"/>
          <w:bCs/>
          <w:sz w:val="24"/>
          <w:szCs w:val="24"/>
        </w:rPr>
        <w:t>negative coefficient</w:t>
      </w:r>
      <w:r w:rsidRPr="00152918">
        <w:rPr>
          <w:rFonts w:ascii="Times New Roman" w:hAnsi="Times New Roman" w:cs="Times New Roman"/>
          <w:sz w:val="24"/>
          <w:szCs w:val="24"/>
        </w:rPr>
        <w:t xml:space="preserve">, implying that exchange rate depreciation could increase poverty in certain countries like Ghana and Côte d'Ivoire. Exchange rate stability remains a key determinant of poverty outcomes in these nations, as exchange rate fluctuations tend to impact the cost of imports and the purchasing power of citizens. </w:t>
      </w:r>
      <w:r w:rsidRPr="00152918">
        <w:rPr>
          <w:rFonts w:ascii="Times New Roman" w:hAnsi="Times New Roman" w:cs="Times New Roman"/>
          <w:bCs/>
          <w:sz w:val="24"/>
          <w:szCs w:val="24"/>
        </w:rPr>
        <w:t>Government Expenditure (GEX)</w:t>
      </w:r>
      <w:r w:rsidRPr="00152918">
        <w:rPr>
          <w:rFonts w:ascii="Times New Roman" w:hAnsi="Times New Roman" w:cs="Times New Roman"/>
          <w:sz w:val="24"/>
          <w:szCs w:val="24"/>
        </w:rPr>
        <w:t xml:space="preserve">, though not significant in all countries, showed a mixed impact on poverty. In </w:t>
      </w:r>
      <w:r w:rsidRPr="00152918">
        <w:rPr>
          <w:rFonts w:ascii="Times New Roman" w:hAnsi="Times New Roman" w:cs="Times New Roman"/>
          <w:bCs/>
          <w:sz w:val="24"/>
          <w:szCs w:val="24"/>
        </w:rPr>
        <w:t>Nigeria</w:t>
      </w:r>
      <w:r w:rsidRPr="00152918">
        <w:rPr>
          <w:rFonts w:ascii="Times New Roman" w:hAnsi="Times New Roman" w:cs="Times New Roman"/>
          <w:sz w:val="24"/>
          <w:szCs w:val="24"/>
        </w:rPr>
        <w:t xml:space="preserve">, for example, it had a negative impact, indicating that fiscal inefficiencies might limit the effectiveness of public spending in reducing poverty. This reflects structural issues, such as corruption or misallocation of resources, which hinder the positive effects of government spending. </w:t>
      </w:r>
      <w:r w:rsidRPr="00152918">
        <w:rPr>
          <w:rFonts w:ascii="Times New Roman" w:hAnsi="Times New Roman" w:cs="Times New Roman"/>
          <w:bCs/>
          <w:sz w:val="24"/>
          <w:szCs w:val="24"/>
        </w:rPr>
        <w:t>Net Export (NX)</w:t>
      </w:r>
      <w:r w:rsidRPr="00152918">
        <w:rPr>
          <w:rFonts w:ascii="Times New Roman" w:hAnsi="Times New Roman" w:cs="Times New Roman"/>
          <w:sz w:val="24"/>
          <w:szCs w:val="24"/>
        </w:rPr>
        <w:t xml:space="preserve"> demonstrated inconsistent </w:t>
      </w:r>
      <w:r w:rsidRPr="00152918">
        <w:rPr>
          <w:rFonts w:ascii="Times New Roman" w:hAnsi="Times New Roman" w:cs="Times New Roman"/>
          <w:sz w:val="24"/>
          <w:szCs w:val="24"/>
        </w:rPr>
        <w:lastRenderedPageBreak/>
        <w:t xml:space="preserve">effects on poverty. In countries like Senegal, trade openness and export performance showed a </w:t>
      </w:r>
      <w:r w:rsidRPr="00152918">
        <w:rPr>
          <w:rFonts w:ascii="Times New Roman" w:hAnsi="Times New Roman" w:cs="Times New Roman"/>
          <w:bCs/>
          <w:sz w:val="24"/>
          <w:szCs w:val="24"/>
        </w:rPr>
        <w:t>positive impact</w:t>
      </w:r>
      <w:r w:rsidRPr="00152918">
        <w:rPr>
          <w:rFonts w:ascii="Times New Roman" w:hAnsi="Times New Roman" w:cs="Times New Roman"/>
          <w:sz w:val="24"/>
          <w:szCs w:val="24"/>
        </w:rPr>
        <w:t>, supporting the notion that expanding exports can improve economic outcomes and reduce poverty when managed properly.</w:t>
      </w:r>
    </w:p>
    <w:p w14:paraId="0A79AA49" w14:textId="77777777" w:rsidR="00905A62" w:rsidRPr="00152918" w:rsidRDefault="00905A62" w:rsidP="00905A62">
      <w:pPr>
        <w:spacing w:line="360" w:lineRule="auto"/>
        <w:ind w:firstLine="360"/>
        <w:jc w:val="both"/>
        <w:rPr>
          <w:rFonts w:ascii="Times New Roman" w:hAnsi="Times New Roman" w:cs="Times New Roman"/>
          <w:sz w:val="24"/>
          <w:szCs w:val="24"/>
        </w:rPr>
      </w:pPr>
      <w:r w:rsidRPr="00152918">
        <w:rPr>
          <w:rFonts w:ascii="Times New Roman" w:hAnsi="Times New Roman" w:cs="Times New Roman"/>
          <w:sz w:val="24"/>
          <w:szCs w:val="24"/>
        </w:rPr>
        <w:t xml:space="preserve">At the country-specific level </w:t>
      </w:r>
      <w:r w:rsidRPr="00152918">
        <w:rPr>
          <w:rFonts w:ascii="Times New Roman" w:hAnsi="Times New Roman" w:cs="Times New Roman"/>
          <w:bCs/>
          <w:sz w:val="24"/>
          <w:szCs w:val="24"/>
        </w:rPr>
        <w:t>Ghana</w:t>
      </w:r>
      <w:r w:rsidRPr="00152918">
        <w:rPr>
          <w:rFonts w:ascii="Times New Roman" w:hAnsi="Times New Roman" w:cs="Times New Roman"/>
          <w:sz w:val="24"/>
          <w:szCs w:val="24"/>
        </w:rPr>
        <w:t xml:space="preserve"> shows a strong negative relationship between inflation and poverty, supporting the idea that inflation can be harnessed to stimulate economic growth under certain conditions. </w:t>
      </w:r>
      <w:r w:rsidRPr="00152918">
        <w:rPr>
          <w:rFonts w:ascii="Times New Roman" w:hAnsi="Times New Roman" w:cs="Times New Roman"/>
          <w:bCs/>
          <w:sz w:val="24"/>
          <w:szCs w:val="24"/>
        </w:rPr>
        <w:t>Côte d'Ivoire</w:t>
      </w:r>
      <w:r w:rsidRPr="00152918">
        <w:rPr>
          <w:rFonts w:ascii="Times New Roman" w:hAnsi="Times New Roman" w:cs="Times New Roman"/>
          <w:sz w:val="24"/>
          <w:szCs w:val="24"/>
        </w:rPr>
        <w:t xml:space="preserve"> and </w:t>
      </w:r>
      <w:r w:rsidRPr="00152918">
        <w:rPr>
          <w:rFonts w:ascii="Times New Roman" w:hAnsi="Times New Roman" w:cs="Times New Roman"/>
          <w:bCs/>
          <w:sz w:val="24"/>
          <w:szCs w:val="24"/>
        </w:rPr>
        <w:t>Senegal</w:t>
      </w:r>
      <w:r w:rsidRPr="00152918">
        <w:rPr>
          <w:rFonts w:ascii="Times New Roman" w:hAnsi="Times New Roman" w:cs="Times New Roman"/>
          <w:sz w:val="24"/>
          <w:szCs w:val="24"/>
        </w:rPr>
        <w:t xml:space="preserve"> show that </w:t>
      </w:r>
      <w:r w:rsidRPr="00152918">
        <w:rPr>
          <w:rFonts w:ascii="Times New Roman" w:hAnsi="Times New Roman" w:cs="Times New Roman"/>
          <w:bCs/>
          <w:sz w:val="24"/>
          <w:szCs w:val="24"/>
        </w:rPr>
        <w:t>exchange rate stability</w:t>
      </w:r>
      <w:r w:rsidRPr="00152918">
        <w:rPr>
          <w:rFonts w:ascii="Times New Roman" w:hAnsi="Times New Roman" w:cs="Times New Roman"/>
          <w:sz w:val="24"/>
          <w:szCs w:val="24"/>
        </w:rPr>
        <w:t xml:space="preserve"> plays a crucial role in managing poverty levels, with exchange rate volatility contributing to increased poverty. In </w:t>
      </w:r>
      <w:r w:rsidRPr="00152918">
        <w:rPr>
          <w:rFonts w:ascii="Times New Roman" w:hAnsi="Times New Roman" w:cs="Times New Roman"/>
          <w:bCs/>
          <w:sz w:val="24"/>
          <w:szCs w:val="24"/>
        </w:rPr>
        <w:t>Nigeria</w:t>
      </w:r>
      <w:r w:rsidRPr="00152918">
        <w:rPr>
          <w:rFonts w:ascii="Times New Roman" w:hAnsi="Times New Roman" w:cs="Times New Roman"/>
          <w:sz w:val="24"/>
          <w:szCs w:val="24"/>
        </w:rPr>
        <w:t xml:space="preserve">, the role of </w:t>
      </w:r>
      <w:r w:rsidRPr="00152918">
        <w:rPr>
          <w:rFonts w:ascii="Times New Roman" w:hAnsi="Times New Roman" w:cs="Times New Roman"/>
          <w:bCs/>
          <w:sz w:val="24"/>
          <w:szCs w:val="24"/>
        </w:rPr>
        <w:t>money supply</w:t>
      </w:r>
      <w:r w:rsidRPr="00152918">
        <w:rPr>
          <w:rFonts w:ascii="Times New Roman" w:hAnsi="Times New Roman" w:cs="Times New Roman"/>
          <w:sz w:val="24"/>
          <w:szCs w:val="24"/>
        </w:rPr>
        <w:t xml:space="preserve"> is paramount, as it significantly reduces poverty, further validating the Keynesian approach in the Nigerian context.</w:t>
      </w:r>
    </w:p>
    <w:p w14:paraId="788669E3" w14:textId="77777777" w:rsidR="00905A62" w:rsidRPr="00152918" w:rsidRDefault="00905A62" w:rsidP="00905A62">
      <w:pPr>
        <w:spacing w:line="360" w:lineRule="auto"/>
        <w:jc w:val="both"/>
        <w:rPr>
          <w:rFonts w:ascii="Times New Roman" w:hAnsi="Times New Roman" w:cs="Times New Roman"/>
          <w:sz w:val="24"/>
          <w:szCs w:val="24"/>
        </w:rPr>
      </w:pPr>
      <w:r w:rsidRPr="00152918">
        <w:rPr>
          <w:rFonts w:ascii="Times New Roman" w:hAnsi="Times New Roman" w:cs="Times New Roman"/>
          <w:sz w:val="24"/>
          <w:szCs w:val="24"/>
        </w:rPr>
        <w:t xml:space="preserve">The </w:t>
      </w:r>
      <w:r w:rsidRPr="00152918">
        <w:rPr>
          <w:rFonts w:ascii="Times New Roman" w:hAnsi="Times New Roman" w:cs="Times New Roman"/>
          <w:bCs/>
          <w:sz w:val="24"/>
          <w:szCs w:val="24"/>
        </w:rPr>
        <w:t>high R-squared value of 92%</w:t>
      </w:r>
      <w:r w:rsidRPr="00152918">
        <w:rPr>
          <w:rFonts w:ascii="Times New Roman" w:hAnsi="Times New Roman" w:cs="Times New Roman"/>
          <w:sz w:val="24"/>
          <w:szCs w:val="24"/>
        </w:rPr>
        <w:t xml:space="preserve"> and the statistically significant </w:t>
      </w:r>
      <w:r w:rsidRPr="00152918">
        <w:rPr>
          <w:rFonts w:ascii="Times New Roman" w:hAnsi="Times New Roman" w:cs="Times New Roman"/>
          <w:bCs/>
          <w:sz w:val="24"/>
          <w:szCs w:val="24"/>
        </w:rPr>
        <w:t>F-statistic</w:t>
      </w:r>
      <w:r w:rsidRPr="00152918">
        <w:rPr>
          <w:rFonts w:ascii="Times New Roman" w:hAnsi="Times New Roman" w:cs="Times New Roman"/>
          <w:sz w:val="24"/>
          <w:szCs w:val="24"/>
        </w:rPr>
        <w:t xml:space="preserve"> (p-value of 0.0000) indicate that the model is robust and explains a significant portion of the variation in poverty across the countries. The panel model effectively accounts for the different macroeconomic factors affecting poverty in these nations.</w:t>
      </w:r>
    </w:p>
    <w:p w14:paraId="57993295" w14:textId="77777777" w:rsidR="00905A62" w:rsidRDefault="00905A62" w:rsidP="005E7E56">
      <w:pPr>
        <w:spacing w:line="360" w:lineRule="auto"/>
        <w:jc w:val="both"/>
        <w:rPr>
          <w:rFonts w:ascii="Times New Roman" w:hAnsi="Times New Roman" w:cs="Times New Roman"/>
          <w:b/>
          <w:bCs/>
          <w:sz w:val="24"/>
          <w:szCs w:val="24"/>
        </w:rPr>
      </w:pPr>
      <w:r w:rsidRPr="00152918">
        <w:rPr>
          <w:rFonts w:ascii="Times New Roman" w:hAnsi="Times New Roman" w:cs="Times New Roman"/>
          <w:sz w:val="24"/>
          <w:szCs w:val="24"/>
        </w:rPr>
        <w:t xml:space="preserve">The Granger causality tests conducted provide insights into the directional relationships between the independent variables and poverty. In countries like </w:t>
      </w:r>
      <w:r w:rsidRPr="00152918">
        <w:rPr>
          <w:rFonts w:ascii="Times New Roman" w:hAnsi="Times New Roman" w:cs="Times New Roman"/>
          <w:bCs/>
          <w:sz w:val="24"/>
          <w:szCs w:val="24"/>
        </w:rPr>
        <w:t>Senega</w:t>
      </w:r>
      <w:r w:rsidRPr="00152918">
        <w:rPr>
          <w:rFonts w:ascii="Times New Roman" w:hAnsi="Times New Roman" w:cs="Times New Roman"/>
          <w:b/>
          <w:bCs/>
          <w:sz w:val="24"/>
          <w:szCs w:val="24"/>
        </w:rPr>
        <w:t>l,</w:t>
      </w:r>
      <w:r w:rsidRPr="00152918">
        <w:rPr>
          <w:rFonts w:ascii="Times New Roman" w:hAnsi="Times New Roman" w:cs="Times New Roman"/>
          <w:sz w:val="24"/>
          <w:szCs w:val="24"/>
        </w:rPr>
        <w:t xml:space="preserve"> a bidirectional relationship was found between exchange rate and poverty, exchange rate was found to Granger cause poverty reduction and vice versa, while in </w:t>
      </w:r>
      <w:r w:rsidRPr="00152918">
        <w:rPr>
          <w:rFonts w:ascii="Times New Roman" w:hAnsi="Times New Roman" w:cs="Times New Roman"/>
          <w:bCs/>
          <w:sz w:val="24"/>
          <w:szCs w:val="24"/>
        </w:rPr>
        <w:t>Côte d'Ivoire</w:t>
      </w:r>
      <w:r w:rsidRPr="00152918">
        <w:rPr>
          <w:rFonts w:ascii="Times New Roman" w:hAnsi="Times New Roman" w:cs="Times New Roman"/>
          <w:sz w:val="24"/>
          <w:szCs w:val="24"/>
        </w:rPr>
        <w:t xml:space="preserve">, was a unidirectional relationship between exchange rate and poverty, exchange rate volatility was a significant factor in determining poverty levels. This explains the </w:t>
      </w:r>
      <w:r w:rsidRPr="00152918">
        <w:rPr>
          <w:rFonts w:ascii="Times New Roman" w:hAnsi="Times New Roman" w:cs="Times New Roman"/>
          <w:bCs/>
          <w:sz w:val="24"/>
          <w:szCs w:val="24"/>
        </w:rPr>
        <w:t>context-specific nature of macroeconomic policies</w:t>
      </w:r>
      <w:r w:rsidRPr="00152918">
        <w:rPr>
          <w:rFonts w:ascii="Times New Roman" w:hAnsi="Times New Roman" w:cs="Times New Roman"/>
          <w:sz w:val="24"/>
          <w:szCs w:val="24"/>
        </w:rPr>
        <w:t>.</w:t>
      </w:r>
    </w:p>
    <w:p w14:paraId="2B36678E" w14:textId="6BE00A8A" w:rsidR="00905A62" w:rsidRPr="00152918" w:rsidRDefault="00905A62" w:rsidP="00905A62">
      <w:pPr>
        <w:spacing w:line="360" w:lineRule="auto"/>
        <w:rPr>
          <w:rFonts w:ascii="Times New Roman" w:hAnsi="Times New Roman" w:cs="Times New Roman"/>
          <w:b/>
          <w:bCs/>
          <w:sz w:val="24"/>
          <w:szCs w:val="24"/>
        </w:rPr>
      </w:pPr>
      <w:r w:rsidRPr="00152918">
        <w:rPr>
          <w:rFonts w:ascii="Times New Roman" w:hAnsi="Times New Roman" w:cs="Times New Roman"/>
          <w:b/>
          <w:bCs/>
          <w:sz w:val="24"/>
          <w:szCs w:val="24"/>
        </w:rPr>
        <w:t>Recommendations</w:t>
      </w:r>
    </w:p>
    <w:p w14:paraId="612F7BDD" w14:textId="77777777" w:rsidR="00905A62" w:rsidRPr="00152918" w:rsidRDefault="00905A62" w:rsidP="00905A62">
      <w:pPr>
        <w:spacing w:line="360" w:lineRule="auto"/>
        <w:rPr>
          <w:rFonts w:ascii="Times New Roman" w:hAnsi="Times New Roman" w:cs="Times New Roman"/>
          <w:sz w:val="24"/>
          <w:szCs w:val="24"/>
        </w:rPr>
      </w:pPr>
      <w:r w:rsidRPr="00152918">
        <w:rPr>
          <w:rFonts w:ascii="Times New Roman" w:hAnsi="Times New Roman" w:cs="Times New Roman"/>
          <w:sz w:val="24"/>
          <w:szCs w:val="24"/>
        </w:rPr>
        <w:t>Based on the study's findings, the following recommendations are made for policymakers in Nigeria, Ghana, Côte d'Ivoire, Senegal, and Liberia:</w:t>
      </w:r>
    </w:p>
    <w:p w14:paraId="75AFBFD9" w14:textId="77777777" w:rsidR="00905A62" w:rsidRPr="00152918" w:rsidRDefault="00905A62" w:rsidP="00905A62">
      <w:pPr>
        <w:pStyle w:val="ListParagraph"/>
        <w:numPr>
          <w:ilvl w:val="0"/>
          <w:numId w:val="3"/>
        </w:numPr>
        <w:spacing w:line="360" w:lineRule="auto"/>
        <w:jc w:val="both"/>
        <w:rPr>
          <w:rFonts w:ascii="Times New Roman" w:hAnsi="Times New Roman" w:cs="Times New Roman"/>
          <w:sz w:val="24"/>
          <w:szCs w:val="24"/>
        </w:rPr>
      </w:pPr>
      <w:r w:rsidRPr="00152918">
        <w:rPr>
          <w:rFonts w:ascii="Times New Roman" w:hAnsi="Times New Roman" w:cs="Times New Roman"/>
          <w:sz w:val="24"/>
          <w:szCs w:val="24"/>
        </w:rPr>
        <w:t xml:space="preserve">Governments should seek to maintain moderate levels of inflation that encourage economic growth without eroding purchasing power, particularly in Ghana where inflation's role in poverty reduction is most evident. This can be achieved by adopting </w:t>
      </w:r>
      <w:r w:rsidRPr="00152918">
        <w:rPr>
          <w:rFonts w:ascii="Times New Roman" w:hAnsi="Times New Roman" w:cs="Times New Roman"/>
          <w:bCs/>
          <w:sz w:val="24"/>
          <w:szCs w:val="24"/>
        </w:rPr>
        <w:t>inflation-targeting policies</w:t>
      </w:r>
      <w:r w:rsidRPr="00152918">
        <w:rPr>
          <w:rFonts w:ascii="Times New Roman" w:hAnsi="Times New Roman" w:cs="Times New Roman"/>
          <w:sz w:val="24"/>
          <w:szCs w:val="24"/>
        </w:rPr>
        <w:t xml:space="preserve"> and closely monitoring inflationary trends.</w:t>
      </w:r>
    </w:p>
    <w:p w14:paraId="725FDD9E" w14:textId="77777777" w:rsidR="00905A62" w:rsidRPr="00152918" w:rsidRDefault="00905A62" w:rsidP="00905A62">
      <w:pPr>
        <w:pStyle w:val="ListParagraph"/>
        <w:numPr>
          <w:ilvl w:val="0"/>
          <w:numId w:val="3"/>
        </w:numPr>
        <w:spacing w:line="360" w:lineRule="auto"/>
        <w:jc w:val="both"/>
        <w:rPr>
          <w:rFonts w:ascii="Times New Roman" w:hAnsi="Times New Roman" w:cs="Times New Roman"/>
          <w:sz w:val="24"/>
          <w:szCs w:val="24"/>
        </w:rPr>
      </w:pPr>
      <w:r w:rsidRPr="00152918">
        <w:rPr>
          <w:rFonts w:ascii="Times New Roman" w:hAnsi="Times New Roman" w:cs="Times New Roman"/>
          <w:sz w:val="24"/>
          <w:szCs w:val="24"/>
        </w:rPr>
        <w:t xml:space="preserve">In countries where exchange rate volatility worsen poverty (e.g., Côte d'Ivoire and Senegal), it is crucial for central banks to implement </w:t>
      </w:r>
      <w:r w:rsidRPr="00152918">
        <w:rPr>
          <w:rFonts w:ascii="Times New Roman" w:hAnsi="Times New Roman" w:cs="Times New Roman"/>
          <w:bCs/>
          <w:sz w:val="24"/>
          <w:szCs w:val="24"/>
        </w:rPr>
        <w:t>exchange rate management policies</w:t>
      </w:r>
      <w:r w:rsidRPr="00152918">
        <w:rPr>
          <w:rFonts w:ascii="Times New Roman" w:hAnsi="Times New Roman" w:cs="Times New Roman"/>
          <w:sz w:val="24"/>
          <w:szCs w:val="24"/>
        </w:rPr>
        <w:t xml:space="preserve">. </w:t>
      </w:r>
      <w:r w:rsidRPr="00152918">
        <w:rPr>
          <w:rFonts w:ascii="Times New Roman" w:hAnsi="Times New Roman" w:cs="Times New Roman"/>
          <w:sz w:val="24"/>
          <w:szCs w:val="24"/>
        </w:rPr>
        <w:lastRenderedPageBreak/>
        <w:t>These may include stabilizing the local currency through foreign exchange reserves or implementing monetary policies to mitigate excessive fluctuations.</w:t>
      </w:r>
    </w:p>
    <w:p w14:paraId="62C5E4EA" w14:textId="77777777" w:rsidR="00905A62" w:rsidRPr="00152918" w:rsidRDefault="00905A62" w:rsidP="00905A62">
      <w:pPr>
        <w:pStyle w:val="ListParagraph"/>
        <w:numPr>
          <w:ilvl w:val="0"/>
          <w:numId w:val="3"/>
        </w:numPr>
        <w:spacing w:line="360" w:lineRule="auto"/>
        <w:jc w:val="both"/>
        <w:rPr>
          <w:rFonts w:ascii="Times New Roman" w:hAnsi="Times New Roman" w:cs="Times New Roman"/>
          <w:sz w:val="24"/>
          <w:szCs w:val="24"/>
        </w:rPr>
      </w:pPr>
      <w:r w:rsidRPr="00152918">
        <w:rPr>
          <w:rFonts w:ascii="Times New Roman" w:hAnsi="Times New Roman" w:cs="Times New Roman"/>
          <w:sz w:val="24"/>
          <w:szCs w:val="24"/>
        </w:rPr>
        <w:t xml:space="preserve">In Nigeria, where government expenditure is ineffective in reducing poverty, there is a need for a more efficient allocation of public funds. Policymakers should focus on </w:t>
      </w:r>
      <w:r w:rsidRPr="00152918">
        <w:rPr>
          <w:rFonts w:ascii="Times New Roman" w:hAnsi="Times New Roman" w:cs="Times New Roman"/>
          <w:bCs/>
          <w:sz w:val="24"/>
          <w:szCs w:val="24"/>
        </w:rPr>
        <w:t>infrastructure development</w:t>
      </w:r>
      <w:r w:rsidRPr="00152918">
        <w:rPr>
          <w:rFonts w:ascii="Times New Roman" w:hAnsi="Times New Roman" w:cs="Times New Roman"/>
          <w:sz w:val="24"/>
          <w:szCs w:val="24"/>
        </w:rPr>
        <w:t xml:space="preserve"> and </w:t>
      </w:r>
      <w:r w:rsidRPr="00152918">
        <w:rPr>
          <w:rFonts w:ascii="Times New Roman" w:hAnsi="Times New Roman" w:cs="Times New Roman"/>
          <w:bCs/>
          <w:sz w:val="24"/>
          <w:szCs w:val="24"/>
        </w:rPr>
        <w:t>social spending</w:t>
      </w:r>
      <w:r w:rsidRPr="00152918">
        <w:rPr>
          <w:rFonts w:ascii="Times New Roman" w:hAnsi="Times New Roman" w:cs="Times New Roman"/>
          <w:sz w:val="24"/>
          <w:szCs w:val="24"/>
        </w:rPr>
        <w:t xml:space="preserve"> targeted at low-income households to ensure that fiscal policies directly address poverty alleviation.</w:t>
      </w:r>
    </w:p>
    <w:p w14:paraId="5CEBE236" w14:textId="77777777" w:rsidR="00905A62" w:rsidRPr="00152918" w:rsidRDefault="00905A62" w:rsidP="00905A62">
      <w:pPr>
        <w:pStyle w:val="ListParagraph"/>
        <w:numPr>
          <w:ilvl w:val="0"/>
          <w:numId w:val="3"/>
        </w:numPr>
        <w:spacing w:line="360" w:lineRule="auto"/>
        <w:jc w:val="both"/>
        <w:rPr>
          <w:rFonts w:ascii="Times New Roman" w:hAnsi="Times New Roman" w:cs="Times New Roman"/>
          <w:sz w:val="24"/>
          <w:szCs w:val="24"/>
        </w:rPr>
      </w:pPr>
      <w:r w:rsidRPr="00152918">
        <w:rPr>
          <w:rFonts w:ascii="Times New Roman" w:hAnsi="Times New Roman" w:cs="Times New Roman"/>
          <w:sz w:val="24"/>
          <w:szCs w:val="24"/>
        </w:rPr>
        <w:t xml:space="preserve">While increasing money supply has shown a positive effect on poverty reduction, particularly in Nigeria and Senegal, this approach should be managed carefully to avoid hyperinflation. Central banks should aim for a </w:t>
      </w:r>
      <w:r w:rsidRPr="00152918">
        <w:rPr>
          <w:rFonts w:ascii="Times New Roman" w:hAnsi="Times New Roman" w:cs="Times New Roman"/>
          <w:bCs/>
          <w:sz w:val="24"/>
          <w:szCs w:val="24"/>
        </w:rPr>
        <w:t>balanced monetary policy</w:t>
      </w:r>
      <w:r w:rsidRPr="00152918">
        <w:rPr>
          <w:rFonts w:ascii="Times New Roman" w:hAnsi="Times New Roman" w:cs="Times New Roman"/>
          <w:sz w:val="24"/>
          <w:szCs w:val="24"/>
        </w:rPr>
        <w:t xml:space="preserve"> that ensures sufficient liquidity to stimulate economic growth without triggering excessive inflation.</w:t>
      </w:r>
    </w:p>
    <w:p w14:paraId="60521F76" w14:textId="77777777" w:rsidR="00905A62" w:rsidRPr="00152918" w:rsidRDefault="00905A62" w:rsidP="00905A62">
      <w:pPr>
        <w:pStyle w:val="ListParagraph"/>
        <w:numPr>
          <w:ilvl w:val="0"/>
          <w:numId w:val="3"/>
        </w:numPr>
        <w:spacing w:line="360" w:lineRule="auto"/>
        <w:jc w:val="both"/>
        <w:rPr>
          <w:rFonts w:ascii="Times New Roman" w:hAnsi="Times New Roman" w:cs="Times New Roman"/>
          <w:sz w:val="24"/>
          <w:szCs w:val="24"/>
        </w:rPr>
      </w:pPr>
      <w:r w:rsidRPr="00152918">
        <w:rPr>
          <w:rFonts w:ascii="Times New Roman" w:hAnsi="Times New Roman" w:cs="Times New Roman"/>
          <w:sz w:val="24"/>
          <w:szCs w:val="24"/>
        </w:rPr>
        <w:t xml:space="preserve">Given the mixed effects of net exports on poverty, particularly in </w:t>
      </w:r>
      <w:r w:rsidRPr="00152918">
        <w:rPr>
          <w:rFonts w:ascii="Times New Roman" w:hAnsi="Times New Roman" w:cs="Times New Roman"/>
          <w:bCs/>
          <w:sz w:val="24"/>
          <w:szCs w:val="24"/>
        </w:rPr>
        <w:t>trade-dependent countries</w:t>
      </w:r>
      <w:r w:rsidRPr="00152918">
        <w:rPr>
          <w:rFonts w:ascii="Times New Roman" w:hAnsi="Times New Roman" w:cs="Times New Roman"/>
          <w:sz w:val="24"/>
          <w:szCs w:val="24"/>
        </w:rPr>
        <w:t xml:space="preserve"> like Senegal, governments should implement strategies to diversify their export base. This could include promoting sectors beyond traditional commodities and encouraging value-added industries that create jobs and reduce poverty.</w:t>
      </w:r>
    </w:p>
    <w:p w14:paraId="498DD6A5" w14:textId="77777777" w:rsidR="00FD7F20" w:rsidRDefault="00905A62" w:rsidP="00905A62">
      <w:pPr>
        <w:spacing w:line="360" w:lineRule="auto"/>
        <w:jc w:val="both"/>
        <w:rPr>
          <w:rFonts w:ascii="Times New Roman" w:hAnsi="Times New Roman" w:cs="Times New Roman"/>
          <w:sz w:val="24"/>
          <w:szCs w:val="24"/>
        </w:rPr>
      </w:pPr>
      <w:r w:rsidRPr="00152918">
        <w:rPr>
          <w:rFonts w:ascii="Times New Roman" w:hAnsi="Times New Roman" w:cs="Times New Roman"/>
          <w:sz w:val="24"/>
          <w:szCs w:val="24"/>
        </w:rPr>
        <w:t xml:space="preserve">By addressing these macroeconomic challenges and implementing targeted poverty reduction strategies, these West African nations can work toward achieving </w:t>
      </w:r>
      <w:r w:rsidRPr="00152918">
        <w:rPr>
          <w:rFonts w:ascii="Times New Roman" w:hAnsi="Times New Roman" w:cs="Times New Roman"/>
          <w:bCs/>
          <w:sz w:val="24"/>
          <w:szCs w:val="24"/>
        </w:rPr>
        <w:t>sustainable economic growth</w:t>
      </w:r>
      <w:r w:rsidRPr="00152918">
        <w:rPr>
          <w:rFonts w:ascii="Times New Roman" w:hAnsi="Times New Roman" w:cs="Times New Roman"/>
          <w:sz w:val="24"/>
          <w:szCs w:val="24"/>
        </w:rPr>
        <w:t xml:space="preserve"> and </w:t>
      </w:r>
      <w:r w:rsidRPr="00152918">
        <w:rPr>
          <w:rFonts w:ascii="Times New Roman" w:hAnsi="Times New Roman" w:cs="Times New Roman"/>
          <w:bCs/>
          <w:sz w:val="24"/>
          <w:szCs w:val="24"/>
        </w:rPr>
        <w:t>poverty alleviation</w:t>
      </w:r>
      <w:r w:rsidRPr="00152918">
        <w:rPr>
          <w:rFonts w:ascii="Times New Roman" w:hAnsi="Times New Roman" w:cs="Times New Roman"/>
          <w:sz w:val="24"/>
          <w:szCs w:val="24"/>
        </w:rPr>
        <w:t xml:space="preserve"> in line with their national development goals and international commitments, such as the </w:t>
      </w:r>
      <w:r w:rsidRPr="00152918">
        <w:rPr>
          <w:rFonts w:ascii="Times New Roman" w:hAnsi="Times New Roman" w:cs="Times New Roman"/>
          <w:bCs/>
          <w:sz w:val="24"/>
          <w:szCs w:val="24"/>
        </w:rPr>
        <w:t>Sustainable Development Goals (SDGs)</w:t>
      </w:r>
      <w:r w:rsidRPr="00152918">
        <w:rPr>
          <w:rFonts w:ascii="Times New Roman" w:hAnsi="Times New Roman" w:cs="Times New Roman"/>
          <w:sz w:val="24"/>
          <w:szCs w:val="24"/>
        </w:rPr>
        <w:t>.</w:t>
      </w:r>
    </w:p>
    <w:p w14:paraId="61705D8B" w14:textId="77777777" w:rsidR="003E27FA" w:rsidRDefault="003E27FA" w:rsidP="00905A62">
      <w:pPr>
        <w:spacing w:line="360" w:lineRule="auto"/>
        <w:jc w:val="both"/>
        <w:rPr>
          <w:rFonts w:ascii="Times New Roman" w:hAnsi="Times New Roman" w:cs="Times New Roman"/>
          <w:sz w:val="24"/>
          <w:szCs w:val="24"/>
        </w:rPr>
      </w:pPr>
    </w:p>
    <w:p w14:paraId="0F5D9F05" w14:textId="09EA7168" w:rsidR="00803A1B" w:rsidRDefault="00803A1B" w:rsidP="00905A62">
      <w:pPr>
        <w:spacing w:line="360" w:lineRule="auto"/>
        <w:jc w:val="both"/>
        <w:rPr>
          <w:rFonts w:ascii="Times New Roman" w:hAnsi="Times New Roman" w:cs="Times New Roman"/>
          <w:sz w:val="24"/>
          <w:szCs w:val="24"/>
        </w:rPr>
      </w:pPr>
    </w:p>
    <w:p w14:paraId="020D6BFE" w14:textId="57F48E25" w:rsidR="001821CA" w:rsidRDefault="001821CA" w:rsidP="00905A62">
      <w:pPr>
        <w:spacing w:line="360" w:lineRule="auto"/>
        <w:jc w:val="both"/>
        <w:rPr>
          <w:rFonts w:ascii="Times New Roman" w:hAnsi="Times New Roman" w:cs="Times New Roman"/>
          <w:sz w:val="24"/>
          <w:szCs w:val="24"/>
        </w:rPr>
      </w:pPr>
    </w:p>
    <w:p w14:paraId="7D61D573" w14:textId="77777777" w:rsidR="001821CA" w:rsidRDefault="001821CA" w:rsidP="001821CA">
      <w:pPr>
        <w:rPr>
          <w:rFonts w:ascii="Calibri" w:eastAsia="Calibri" w:hAnsi="Calibri" w:cs="Times New Roman"/>
          <w:kern w:val="2"/>
          <w:highlight w:val="yellow"/>
        </w:rPr>
      </w:pPr>
      <w:bookmarkStart w:id="20" w:name="_Hlk211509776"/>
      <w:r>
        <w:rPr>
          <w:rFonts w:ascii="Calibri" w:eastAsia="Calibri" w:hAnsi="Calibri" w:cs="Times New Roman"/>
          <w:kern w:val="2"/>
          <w:highlight w:val="yellow"/>
        </w:rPr>
        <w:t>Disclaimer (Artificial intelligence)</w:t>
      </w:r>
    </w:p>
    <w:p w14:paraId="2D46A54C" w14:textId="77777777" w:rsidR="001821CA" w:rsidRDefault="001821CA" w:rsidP="001821CA">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p>
    <w:p w14:paraId="0A402CA7" w14:textId="77777777" w:rsidR="001821CA" w:rsidRDefault="001821CA" w:rsidP="001821CA">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AFDC68D" w14:textId="77777777" w:rsidR="001821CA" w:rsidRDefault="001821CA" w:rsidP="001821CA">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54B6FECA" w14:textId="77777777" w:rsidR="001821CA" w:rsidRDefault="001821CA" w:rsidP="001821CA">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generative AI technologies such as Large Language Models, etc. have been used during the </w:t>
      </w:r>
      <w:proofErr w:type="spellStart"/>
      <w:r>
        <w:rPr>
          <w:rFonts w:ascii="Calibri" w:eastAsia="Calibri" w:hAnsi="Calibri" w:cs="Times New Roman"/>
          <w:kern w:val="2"/>
          <w:highlight w:val="yellow"/>
        </w:rPr>
        <w:t>witing</w:t>
      </w:r>
      <w:proofErr w:type="spellEnd"/>
      <w:r>
        <w:rPr>
          <w:rFonts w:ascii="Calibri" w:eastAsia="Calibri" w:hAnsi="Calibri" w:cs="Times New Roman"/>
          <w:kern w:val="2"/>
          <w:highlight w:val="yellow"/>
        </w:rPr>
        <w:t xml:space="preserve"> or editing of manuscripts. This explanation will include the name, version, model, </w:t>
      </w:r>
      <w:r>
        <w:rPr>
          <w:rFonts w:ascii="Calibri" w:eastAsia="Calibri" w:hAnsi="Calibri" w:cs="Times New Roman"/>
          <w:kern w:val="2"/>
          <w:highlight w:val="yellow"/>
        </w:rPr>
        <w:lastRenderedPageBreak/>
        <w:t>and source of the generative AI technology and as well as all input prompts provided to the generative AI technology</w:t>
      </w:r>
    </w:p>
    <w:p w14:paraId="0B5976FC" w14:textId="77777777" w:rsidR="001821CA" w:rsidRDefault="001821CA" w:rsidP="001821CA">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02364EBC" w14:textId="77777777" w:rsidR="001821CA" w:rsidRDefault="001821CA" w:rsidP="001821CA">
      <w:pPr>
        <w:rPr>
          <w:rFonts w:ascii="Calibri" w:eastAsia="Calibri" w:hAnsi="Calibri" w:cs="Times New Roman"/>
          <w:kern w:val="2"/>
          <w:highlight w:val="yellow"/>
        </w:rPr>
      </w:pPr>
      <w:r>
        <w:rPr>
          <w:rFonts w:ascii="Calibri" w:eastAsia="Calibri" w:hAnsi="Calibri" w:cs="Times New Roman"/>
          <w:kern w:val="2"/>
          <w:highlight w:val="yellow"/>
        </w:rPr>
        <w:t>1.</w:t>
      </w:r>
    </w:p>
    <w:p w14:paraId="787723B6" w14:textId="77777777" w:rsidR="001821CA" w:rsidRDefault="001821CA" w:rsidP="001821CA">
      <w:pPr>
        <w:rPr>
          <w:rFonts w:ascii="Calibri" w:eastAsia="Calibri" w:hAnsi="Calibri" w:cs="Times New Roman"/>
          <w:kern w:val="2"/>
          <w:highlight w:val="yellow"/>
        </w:rPr>
      </w:pPr>
      <w:r>
        <w:rPr>
          <w:rFonts w:ascii="Calibri" w:eastAsia="Calibri" w:hAnsi="Calibri" w:cs="Times New Roman"/>
          <w:kern w:val="2"/>
          <w:highlight w:val="yellow"/>
        </w:rPr>
        <w:t>2.</w:t>
      </w:r>
    </w:p>
    <w:p w14:paraId="0DA1FDC6" w14:textId="77777777" w:rsidR="001821CA" w:rsidRDefault="001821CA" w:rsidP="001821CA">
      <w:pPr>
        <w:rPr>
          <w:rFonts w:ascii="Calibri" w:eastAsia="Calibri" w:hAnsi="Calibri" w:cs="Times New Roman"/>
          <w:kern w:val="2"/>
          <w:highlight w:val="yellow"/>
        </w:rPr>
      </w:pPr>
      <w:r>
        <w:rPr>
          <w:rFonts w:ascii="Calibri" w:eastAsia="Calibri" w:hAnsi="Calibri" w:cs="Times New Roman"/>
          <w:kern w:val="2"/>
          <w:highlight w:val="yellow"/>
        </w:rPr>
        <w:t>3.</w:t>
      </w:r>
      <w:bookmarkEnd w:id="20"/>
    </w:p>
    <w:p w14:paraId="5BFDF4FD" w14:textId="77777777" w:rsidR="001821CA" w:rsidRDefault="001821CA" w:rsidP="00905A62">
      <w:pPr>
        <w:spacing w:line="360" w:lineRule="auto"/>
        <w:jc w:val="both"/>
        <w:rPr>
          <w:rFonts w:ascii="Times New Roman" w:hAnsi="Times New Roman" w:cs="Times New Roman"/>
          <w:sz w:val="24"/>
          <w:szCs w:val="24"/>
        </w:rPr>
      </w:pPr>
    </w:p>
    <w:p w14:paraId="2EC18306" w14:textId="77777777" w:rsidR="00905A62" w:rsidRPr="00152918" w:rsidRDefault="00905A62" w:rsidP="00905A62">
      <w:pPr>
        <w:spacing w:line="360" w:lineRule="auto"/>
        <w:jc w:val="both"/>
        <w:rPr>
          <w:rFonts w:ascii="Times New Roman" w:hAnsi="Times New Roman" w:cs="Times New Roman"/>
          <w:b/>
          <w:sz w:val="24"/>
          <w:szCs w:val="24"/>
        </w:rPr>
      </w:pPr>
      <w:r w:rsidRPr="00152918">
        <w:rPr>
          <w:rFonts w:ascii="Times New Roman" w:hAnsi="Times New Roman" w:cs="Times New Roman"/>
          <w:b/>
          <w:sz w:val="24"/>
          <w:szCs w:val="24"/>
        </w:rPr>
        <w:t>References</w:t>
      </w:r>
    </w:p>
    <w:p w14:paraId="50CC5BBD" w14:textId="39B485DF"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Ackley, G. (19</w:t>
      </w:r>
      <w:r w:rsidR="00C027C8">
        <w:rPr>
          <w:rFonts w:ascii="Times New Roman" w:hAnsi="Times New Roman" w:cs="Times New Roman"/>
          <w:sz w:val="24"/>
          <w:szCs w:val="24"/>
        </w:rPr>
        <w:t>61</w:t>
      </w:r>
      <w:r w:rsidRPr="0049477B">
        <w:rPr>
          <w:rFonts w:ascii="Times New Roman" w:hAnsi="Times New Roman" w:cs="Times New Roman"/>
          <w:sz w:val="24"/>
          <w:szCs w:val="24"/>
        </w:rPr>
        <w:t xml:space="preserve">). </w:t>
      </w:r>
      <w:r w:rsidRPr="0049477B">
        <w:rPr>
          <w:rFonts w:ascii="Times New Roman" w:hAnsi="Times New Roman" w:cs="Times New Roman"/>
          <w:i/>
          <w:iCs/>
          <w:sz w:val="24"/>
          <w:szCs w:val="24"/>
        </w:rPr>
        <w:t>Macroeconomic Theory</w:t>
      </w:r>
      <w:r w:rsidRPr="0049477B">
        <w:rPr>
          <w:rFonts w:ascii="Times New Roman" w:hAnsi="Times New Roman" w:cs="Times New Roman"/>
          <w:sz w:val="24"/>
          <w:szCs w:val="24"/>
        </w:rPr>
        <w:t>. Macmillan.</w:t>
      </w:r>
    </w:p>
    <w:p w14:paraId="68AA7204" w14:textId="77777777" w:rsidR="00C027C8" w:rsidRDefault="00C027C8" w:rsidP="0049477B">
      <w:pPr>
        <w:pStyle w:val="ListParagraph"/>
        <w:numPr>
          <w:ilvl w:val="0"/>
          <w:numId w:val="4"/>
        </w:numPr>
        <w:spacing w:line="360" w:lineRule="auto"/>
        <w:jc w:val="both"/>
        <w:rPr>
          <w:rFonts w:ascii="Times New Roman" w:hAnsi="Times New Roman" w:cs="Times New Roman"/>
          <w:sz w:val="24"/>
          <w:szCs w:val="24"/>
        </w:rPr>
      </w:pPr>
      <w:r w:rsidRPr="00C027C8">
        <w:rPr>
          <w:rFonts w:ascii="Times New Roman" w:hAnsi="Times New Roman" w:cs="Times New Roman"/>
          <w:sz w:val="24"/>
          <w:szCs w:val="24"/>
        </w:rPr>
        <w:t>Adeola, O., and Evans, O. (2019). Monetary Policy, Money Supply, and Poverty in Developing Economies: Evidence from West Africa. Economic Research Journal, 44(3), 327-345.</w:t>
      </w:r>
    </w:p>
    <w:p w14:paraId="10D18EF5" w14:textId="77777777" w:rsidR="00C027C8" w:rsidRDefault="00C027C8" w:rsidP="0049477B">
      <w:pPr>
        <w:pStyle w:val="ListParagraph"/>
        <w:numPr>
          <w:ilvl w:val="0"/>
          <w:numId w:val="4"/>
        </w:numPr>
        <w:spacing w:line="360" w:lineRule="auto"/>
        <w:jc w:val="both"/>
        <w:rPr>
          <w:rFonts w:ascii="Times New Roman" w:hAnsi="Times New Roman" w:cs="Times New Roman"/>
          <w:sz w:val="24"/>
          <w:szCs w:val="24"/>
        </w:rPr>
      </w:pPr>
      <w:r w:rsidRPr="00C027C8">
        <w:rPr>
          <w:rFonts w:ascii="Times New Roman" w:hAnsi="Times New Roman" w:cs="Times New Roman"/>
          <w:sz w:val="24"/>
          <w:szCs w:val="24"/>
        </w:rPr>
        <w:t>Adom, P., and Amakye, K. (2021). The impact of inflation and exchange rate volatility on poverty levels in West African economies. Journal of Economic Development, 43(2), 189-205.</w:t>
      </w:r>
    </w:p>
    <w:p w14:paraId="57575614" w14:textId="77777777" w:rsidR="00C027C8" w:rsidRDefault="00C027C8" w:rsidP="00CF7315">
      <w:pPr>
        <w:pStyle w:val="NoSpacing"/>
        <w:numPr>
          <w:ilvl w:val="0"/>
          <w:numId w:val="4"/>
        </w:numPr>
        <w:rPr>
          <w:rFonts w:ascii="Times New Roman" w:hAnsi="Times New Roman" w:cs="Times New Roman"/>
          <w:sz w:val="24"/>
          <w:szCs w:val="24"/>
        </w:rPr>
      </w:pPr>
      <w:r w:rsidRPr="00C027C8">
        <w:rPr>
          <w:rFonts w:ascii="Times New Roman" w:hAnsi="Times New Roman" w:cs="Times New Roman"/>
          <w:sz w:val="24"/>
          <w:szCs w:val="24"/>
        </w:rPr>
        <w:t>Adu, G., and Mensah, K. (2019). Impact of Exchange Rate on Poverty: Evidence from Sub-Saharan Africa. African Economic Research Consortium, 84(3), 153-172.</w:t>
      </w:r>
    </w:p>
    <w:p w14:paraId="051B95D3" w14:textId="77777777" w:rsidR="00C027C8" w:rsidRDefault="00C027C8" w:rsidP="00C027C8">
      <w:pPr>
        <w:pStyle w:val="NoSpacing"/>
        <w:ind w:left="720"/>
        <w:rPr>
          <w:rFonts w:ascii="Times New Roman" w:hAnsi="Times New Roman" w:cs="Times New Roman"/>
          <w:sz w:val="24"/>
          <w:szCs w:val="24"/>
        </w:rPr>
      </w:pPr>
    </w:p>
    <w:p w14:paraId="5C1AF6DE" w14:textId="77777777" w:rsidR="00C027C8" w:rsidRDefault="00C027C8" w:rsidP="00C027C8">
      <w:pPr>
        <w:pStyle w:val="NoSpacing"/>
        <w:numPr>
          <w:ilvl w:val="0"/>
          <w:numId w:val="4"/>
        </w:numPr>
        <w:rPr>
          <w:rFonts w:ascii="Times New Roman" w:hAnsi="Times New Roman" w:cs="Times New Roman"/>
          <w:sz w:val="24"/>
          <w:szCs w:val="24"/>
        </w:rPr>
      </w:pPr>
      <w:r w:rsidRPr="00C027C8">
        <w:rPr>
          <w:rFonts w:ascii="Times New Roman" w:hAnsi="Times New Roman" w:cs="Times New Roman"/>
          <w:sz w:val="24"/>
          <w:szCs w:val="24"/>
        </w:rPr>
        <w:t xml:space="preserve">Akpan, O. M., &amp; Udo, E. G. (2022). Private Sector Credit and Selected Macro-Economic Variables. International Journal of Novel Research in Marketing Management and Economics, 9(3), 57-71. </w:t>
      </w:r>
      <w:hyperlink r:id="rId11" w:history="1">
        <w:r w:rsidRPr="00C027C8">
          <w:rPr>
            <w:rStyle w:val="Hyperlink"/>
            <w:rFonts w:ascii="Times New Roman" w:hAnsi="Times New Roman" w:cs="Times New Roman"/>
            <w:sz w:val="24"/>
            <w:szCs w:val="24"/>
          </w:rPr>
          <w:t>https://doi.org/10.5281/zenodo.7277645</w:t>
        </w:r>
      </w:hyperlink>
    </w:p>
    <w:p w14:paraId="117D7DB1" w14:textId="77777777" w:rsidR="00C027C8" w:rsidRDefault="00C027C8" w:rsidP="00C027C8">
      <w:pPr>
        <w:pStyle w:val="ListParagraph"/>
        <w:rPr>
          <w:rFonts w:ascii="Times New Roman" w:hAnsi="Times New Roman" w:cs="Times New Roman"/>
          <w:sz w:val="24"/>
          <w:szCs w:val="24"/>
        </w:rPr>
      </w:pPr>
    </w:p>
    <w:p w14:paraId="71593486" w14:textId="2319E082" w:rsidR="00CF7315" w:rsidRDefault="00C027C8" w:rsidP="00C027C8">
      <w:pPr>
        <w:pStyle w:val="NoSpacing"/>
        <w:numPr>
          <w:ilvl w:val="0"/>
          <w:numId w:val="4"/>
        </w:numPr>
        <w:rPr>
          <w:rFonts w:ascii="Times New Roman" w:hAnsi="Times New Roman" w:cs="Times New Roman"/>
          <w:sz w:val="24"/>
          <w:szCs w:val="24"/>
        </w:rPr>
      </w:pPr>
      <w:r w:rsidRPr="00C027C8">
        <w:rPr>
          <w:rFonts w:ascii="Times New Roman" w:hAnsi="Times New Roman" w:cs="Times New Roman"/>
          <w:sz w:val="24"/>
          <w:szCs w:val="24"/>
        </w:rPr>
        <w:t xml:space="preserve">Akpan, O. (2024). Public Sector Investment and Poverty Reduction in Nigeria: Evidence From 1981-2022. African Journal of Commercial Studies, 5(4), 289-304. </w:t>
      </w:r>
      <w:hyperlink r:id="rId12" w:history="1">
        <w:r w:rsidRPr="00C80801">
          <w:rPr>
            <w:rStyle w:val="Hyperlink"/>
            <w:rFonts w:ascii="Times New Roman" w:hAnsi="Times New Roman" w:cs="Times New Roman"/>
            <w:sz w:val="24"/>
            <w:szCs w:val="24"/>
          </w:rPr>
          <w:t>https://doi.org/10.59413/ajocs/v5.i.4.10</w:t>
        </w:r>
      </w:hyperlink>
    </w:p>
    <w:p w14:paraId="32C68FE7" w14:textId="77777777" w:rsidR="00C027C8" w:rsidRDefault="00C027C8" w:rsidP="00C027C8">
      <w:pPr>
        <w:pStyle w:val="ListParagraph"/>
        <w:rPr>
          <w:rFonts w:ascii="Times New Roman" w:hAnsi="Times New Roman" w:cs="Times New Roman"/>
          <w:sz w:val="24"/>
          <w:szCs w:val="24"/>
        </w:rPr>
      </w:pPr>
    </w:p>
    <w:p w14:paraId="6CED3244" w14:textId="77777777" w:rsidR="00C027C8" w:rsidRPr="00C027C8" w:rsidRDefault="00C027C8" w:rsidP="00C027C8">
      <w:pPr>
        <w:pStyle w:val="NoSpacing"/>
        <w:ind w:left="720"/>
        <w:rPr>
          <w:rFonts w:ascii="Times New Roman" w:hAnsi="Times New Roman" w:cs="Times New Roman"/>
          <w:sz w:val="24"/>
          <w:szCs w:val="24"/>
        </w:rPr>
      </w:pPr>
    </w:p>
    <w:p w14:paraId="2961D360" w14:textId="2337853D" w:rsidR="00C027C8" w:rsidRDefault="00C027C8" w:rsidP="00CF7315">
      <w:pPr>
        <w:pStyle w:val="NoSpacing"/>
        <w:numPr>
          <w:ilvl w:val="0"/>
          <w:numId w:val="4"/>
        </w:numPr>
        <w:rPr>
          <w:rFonts w:ascii="Times New Roman" w:hAnsi="Times New Roman" w:cs="Times New Roman"/>
          <w:sz w:val="24"/>
          <w:szCs w:val="24"/>
        </w:rPr>
      </w:pPr>
      <w:r w:rsidRPr="00C027C8">
        <w:rPr>
          <w:rFonts w:ascii="Times New Roman" w:hAnsi="Times New Roman" w:cs="Times New Roman"/>
          <w:sz w:val="24"/>
          <w:szCs w:val="24"/>
        </w:rPr>
        <w:t xml:space="preserve">Akpan, O. M &amp; Paul, K. A. (2020). Exchange Rate, Inflation and the Nigerian Economy Social Sciences and Management International Journal 1(2),98 </w:t>
      </w:r>
      <w:r>
        <w:rPr>
          <w:rFonts w:ascii="Times New Roman" w:hAnsi="Times New Roman" w:cs="Times New Roman"/>
          <w:sz w:val="24"/>
          <w:szCs w:val="24"/>
        </w:rPr>
        <w:t>–</w:t>
      </w:r>
      <w:r w:rsidRPr="00C027C8">
        <w:rPr>
          <w:rFonts w:ascii="Times New Roman" w:hAnsi="Times New Roman" w:cs="Times New Roman"/>
          <w:sz w:val="24"/>
          <w:szCs w:val="24"/>
        </w:rPr>
        <w:t xml:space="preserve"> 107</w:t>
      </w:r>
      <w:r>
        <w:rPr>
          <w:rFonts w:ascii="Times New Roman" w:hAnsi="Times New Roman" w:cs="Times New Roman"/>
          <w:sz w:val="24"/>
          <w:szCs w:val="24"/>
        </w:rPr>
        <w:t>.</w:t>
      </w:r>
    </w:p>
    <w:p w14:paraId="10959212" w14:textId="77777777" w:rsidR="00C027C8" w:rsidRDefault="00C027C8" w:rsidP="00C027C8">
      <w:pPr>
        <w:pStyle w:val="NoSpacing"/>
        <w:ind w:left="720"/>
        <w:rPr>
          <w:rFonts w:ascii="Times New Roman" w:hAnsi="Times New Roman" w:cs="Times New Roman"/>
          <w:sz w:val="24"/>
          <w:szCs w:val="24"/>
        </w:rPr>
      </w:pPr>
    </w:p>
    <w:p w14:paraId="11E4835C" w14:textId="2CC49066" w:rsidR="00CF7315" w:rsidRDefault="00C027C8" w:rsidP="00CF7315">
      <w:pPr>
        <w:pStyle w:val="NoSpacing"/>
        <w:numPr>
          <w:ilvl w:val="0"/>
          <w:numId w:val="4"/>
        </w:numPr>
        <w:rPr>
          <w:rFonts w:ascii="Times New Roman" w:hAnsi="Times New Roman" w:cs="Times New Roman"/>
          <w:sz w:val="24"/>
          <w:szCs w:val="24"/>
        </w:rPr>
      </w:pPr>
      <w:proofErr w:type="spellStart"/>
      <w:r w:rsidRPr="00C027C8">
        <w:rPr>
          <w:rFonts w:ascii="Times New Roman" w:hAnsi="Times New Roman" w:cs="Times New Roman"/>
          <w:sz w:val="24"/>
          <w:szCs w:val="24"/>
        </w:rPr>
        <w:t>Akinbobola</w:t>
      </w:r>
      <w:proofErr w:type="spellEnd"/>
      <w:r w:rsidRPr="00C027C8">
        <w:rPr>
          <w:rFonts w:ascii="Times New Roman" w:hAnsi="Times New Roman" w:cs="Times New Roman"/>
          <w:sz w:val="24"/>
          <w:szCs w:val="24"/>
        </w:rPr>
        <w:t xml:space="preserve">, T. O., and </w:t>
      </w:r>
      <w:proofErr w:type="spellStart"/>
      <w:r w:rsidRPr="00C027C8">
        <w:rPr>
          <w:rFonts w:ascii="Times New Roman" w:hAnsi="Times New Roman" w:cs="Times New Roman"/>
          <w:sz w:val="24"/>
          <w:szCs w:val="24"/>
        </w:rPr>
        <w:t>Omoju</w:t>
      </w:r>
      <w:proofErr w:type="spellEnd"/>
      <w:r w:rsidRPr="00C027C8">
        <w:rPr>
          <w:rFonts w:ascii="Times New Roman" w:hAnsi="Times New Roman" w:cs="Times New Roman"/>
          <w:sz w:val="24"/>
          <w:szCs w:val="24"/>
        </w:rPr>
        <w:t>, O. E. (2018). Exchange rate fluctuations, inflation and poverty in Nigeria: A VECM approach. Journal of Developing Areas, 52(3), 223-238</w:t>
      </w:r>
      <w:r>
        <w:rPr>
          <w:rFonts w:ascii="Times New Roman" w:hAnsi="Times New Roman" w:cs="Times New Roman"/>
          <w:sz w:val="24"/>
          <w:szCs w:val="24"/>
        </w:rPr>
        <w:t>.</w:t>
      </w:r>
    </w:p>
    <w:p w14:paraId="20F0A8AF" w14:textId="77777777" w:rsidR="00C027C8" w:rsidRDefault="00C027C8" w:rsidP="00C027C8">
      <w:pPr>
        <w:pStyle w:val="ListParagraph"/>
        <w:rPr>
          <w:rFonts w:ascii="Times New Roman" w:hAnsi="Times New Roman" w:cs="Times New Roman"/>
          <w:sz w:val="24"/>
          <w:szCs w:val="24"/>
        </w:rPr>
      </w:pPr>
    </w:p>
    <w:p w14:paraId="66100563" w14:textId="77777777" w:rsidR="00C027C8" w:rsidRPr="00C027C8" w:rsidRDefault="00C027C8" w:rsidP="00C027C8">
      <w:pPr>
        <w:pStyle w:val="NoSpacing"/>
        <w:numPr>
          <w:ilvl w:val="0"/>
          <w:numId w:val="4"/>
        </w:numPr>
        <w:jc w:val="both"/>
        <w:rPr>
          <w:rFonts w:ascii="Times New Roman" w:hAnsi="Times New Roman" w:cs="Times New Roman"/>
          <w:sz w:val="24"/>
          <w:szCs w:val="24"/>
        </w:rPr>
      </w:pPr>
      <w:proofErr w:type="spellStart"/>
      <w:r w:rsidRPr="00C027C8">
        <w:rPr>
          <w:rFonts w:ascii="Times New Roman" w:eastAsia="Times New Roman" w:hAnsi="Times New Roman" w:cs="Times New Roman"/>
          <w:sz w:val="24"/>
          <w:szCs w:val="24"/>
        </w:rPr>
        <w:lastRenderedPageBreak/>
        <w:t>Alesina</w:t>
      </w:r>
      <w:proofErr w:type="spellEnd"/>
      <w:r w:rsidRPr="00C027C8">
        <w:rPr>
          <w:rFonts w:ascii="Times New Roman" w:eastAsia="Times New Roman" w:hAnsi="Times New Roman" w:cs="Times New Roman"/>
          <w:sz w:val="24"/>
          <w:szCs w:val="24"/>
        </w:rPr>
        <w:t>, A., Ardagna, S., and Trebbi, F. (2002). Inefficiencies in Government Expenditure and Their Impact on Poverty in Developing Countries. Economic Policy Review, 14(3), 50-73.</w:t>
      </w:r>
    </w:p>
    <w:p w14:paraId="0FAB9EEE" w14:textId="77777777" w:rsidR="00C027C8" w:rsidRDefault="00C027C8" w:rsidP="00C027C8">
      <w:pPr>
        <w:pStyle w:val="ListParagraph"/>
        <w:rPr>
          <w:rFonts w:ascii="Times New Roman" w:hAnsi="Times New Roman" w:cs="Times New Roman"/>
          <w:sz w:val="24"/>
          <w:szCs w:val="24"/>
        </w:rPr>
      </w:pPr>
    </w:p>
    <w:p w14:paraId="1AE3F58E" w14:textId="77777777" w:rsidR="00912A52" w:rsidRDefault="00C027C8" w:rsidP="00912A52">
      <w:pPr>
        <w:pStyle w:val="NoSpacing"/>
        <w:numPr>
          <w:ilvl w:val="0"/>
          <w:numId w:val="4"/>
        </w:numPr>
        <w:jc w:val="both"/>
        <w:rPr>
          <w:rFonts w:ascii="Times New Roman" w:hAnsi="Times New Roman" w:cs="Times New Roman"/>
          <w:sz w:val="24"/>
          <w:szCs w:val="24"/>
        </w:rPr>
      </w:pPr>
      <w:r w:rsidRPr="00C027C8">
        <w:rPr>
          <w:rFonts w:ascii="Times New Roman" w:hAnsi="Times New Roman" w:cs="Times New Roman"/>
          <w:sz w:val="24"/>
          <w:szCs w:val="24"/>
        </w:rPr>
        <w:t>Amuedo-Dorantes, C., and Polo, C. (2004). Exchange rate fluctuations and inflation in developing countries. International Journal of Financial Economics, 12(4), 337-349.</w:t>
      </w:r>
    </w:p>
    <w:p w14:paraId="364FFA90" w14:textId="77777777" w:rsidR="00912A52" w:rsidRDefault="00912A52" w:rsidP="00912A52">
      <w:pPr>
        <w:pStyle w:val="ListParagraph"/>
        <w:rPr>
          <w:rFonts w:ascii="Times New Roman" w:hAnsi="Times New Roman" w:cs="Times New Roman"/>
          <w:sz w:val="24"/>
          <w:szCs w:val="24"/>
        </w:rPr>
      </w:pPr>
    </w:p>
    <w:p w14:paraId="7CD0D906" w14:textId="77777777" w:rsidR="00912A52" w:rsidRDefault="00912A52" w:rsidP="00912A52">
      <w:pPr>
        <w:pStyle w:val="NoSpacing"/>
        <w:numPr>
          <w:ilvl w:val="0"/>
          <w:numId w:val="4"/>
        </w:numPr>
        <w:jc w:val="both"/>
        <w:rPr>
          <w:rFonts w:ascii="Times New Roman" w:hAnsi="Times New Roman" w:cs="Times New Roman"/>
          <w:sz w:val="24"/>
          <w:szCs w:val="24"/>
        </w:rPr>
      </w:pPr>
      <w:r w:rsidRPr="00912A52">
        <w:rPr>
          <w:rFonts w:ascii="Times New Roman" w:hAnsi="Times New Roman" w:cs="Times New Roman"/>
          <w:sz w:val="24"/>
          <w:szCs w:val="24"/>
        </w:rPr>
        <w:t xml:space="preserve">Ariyo, A., and </w:t>
      </w:r>
      <w:proofErr w:type="spellStart"/>
      <w:r w:rsidRPr="00912A52">
        <w:rPr>
          <w:rFonts w:ascii="Times New Roman" w:hAnsi="Times New Roman" w:cs="Times New Roman"/>
          <w:sz w:val="24"/>
          <w:szCs w:val="24"/>
        </w:rPr>
        <w:t>Oyejide</w:t>
      </w:r>
      <w:proofErr w:type="spellEnd"/>
      <w:r w:rsidRPr="00912A52">
        <w:rPr>
          <w:rFonts w:ascii="Times New Roman" w:hAnsi="Times New Roman" w:cs="Times New Roman"/>
          <w:sz w:val="24"/>
          <w:szCs w:val="24"/>
        </w:rPr>
        <w:t>, T. (2015). The impact of inflation and exchange rate on poverty in Nigeria. Nigerian Economic Society Conference Proceedings, 18, 153-170.</w:t>
      </w:r>
    </w:p>
    <w:p w14:paraId="7322B6BC" w14:textId="77777777" w:rsidR="00912A52" w:rsidRDefault="00912A52" w:rsidP="00912A52">
      <w:pPr>
        <w:pStyle w:val="ListParagraph"/>
        <w:rPr>
          <w:rFonts w:ascii="Times New Roman" w:hAnsi="Times New Roman" w:cs="Times New Roman"/>
          <w:sz w:val="24"/>
          <w:szCs w:val="24"/>
        </w:rPr>
      </w:pPr>
    </w:p>
    <w:p w14:paraId="0D20A2B9" w14:textId="6E98F3E0" w:rsidR="00912A52" w:rsidRPr="00912A52" w:rsidRDefault="00912A52" w:rsidP="00912A52">
      <w:pPr>
        <w:pStyle w:val="NoSpacing"/>
        <w:numPr>
          <w:ilvl w:val="0"/>
          <w:numId w:val="4"/>
        </w:numPr>
        <w:jc w:val="both"/>
        <w:rPr>
          <w:rFonts w:ascii="Times New Roman" w:hAnsi="Times New Roman" w:cs="Times New Roman"/>
          <w:sz w:val="24"/>
          <w:szCs w:val="24"/>
        </w:rPr>
      </w:pPr>
      <w:proofErr w:type="spellStart"/>
      <w:r w:rsidRPr="00912A52">
        <w:rPr>
          <w:rFonts w:ascii="Times New Roman" w:hAnsi="Times New Roman" w:cs="Times New Roman"/>
          <w:sz w:val="24"/>
          <w:szCs w:val="24"/>
        </w:rPr>
        <w:t>Ayanwale</w:t>
      </w:r>
      <w:proofErr w:type="spellEnd"/>
      <w:r w:rsidRPr="00912A52">
        <w:rPr>
          <w:rFonts w:ascii="Times New Roman" w:hAnsi="Times New Roman" w:cs="Times New Roman"/>
          <w:sz w:val="24"/>
          <w:szCs w:val="24"/>
        </w:rPr>
        <w:t xml:space="preserve">, A. B., and </w:t>
      </w:r>
      <w:proofErr w:type="spellStart"/>
      <w:r w:rsidRPr="00912A52">
        <w:rPr>
          <w:rFonts w:ascii="Times New Roman" w:hAnsi="Times New Roman" w:cs="Times New Roman"/>
          <w:sz w:val="24"/>
          <w:szCs w:val="24"/>
        </w:rPr>
        <w:t>Bamiduro</w:t>
      </w:r>
      <w:proofErr w:type="spellEnd"/>
      <w:r w:rsidRPr="00912A52">
        <w:rPr>
          <w:rFonts w:ascii="Times New Roman" w:hAnsi="Times New Roman" w:cs="Times New Roman"/>
          <w:sz w:val="24"/>
          <w:szCs w:val="24"/>
        </w:rPr>
        <w:t>, F. A. (2016). Inflation, exchange rate and poverty in Nigeria: An autoregressive distributed lag approach. African Journal of Economic Review, 4(2), 110-126.</w:t>
      </w:r>
    </w:p>
    <w:p w14:paraId="1D66D5B1" w14:textId="77777777" w:rsidR="00912A52" w:rsidRPr="0049477B" w:rsidRDefault="00912A52" w:rsidP="00912A52">
      <w:pPr>
        <w:pStyle w:val="ListParagraph"/>
        <w:spacing w:line="360" w:lineRule="auto"/>
        <w:jc w:val="both"/>
        <w:rPr>
          <w:rFonts w:ascii="Times New Roman" w:hAnsi="Times New Roman" w:cs="Times New Roman"/>
          <w:sz w:val="24"/>
          <w:szCs w:val="24"/>
        </w:rPr>
      </w:pPr>
    </w:p>
    <w:p w14:paraId="5347AA37" w14:textId="77777777" w:rsidR="00912A52" w:rsidRDefault="00912A52" w:rsidP="0049477B">
      <w:pPr>
        <w:pStyle w:val="ListParagraph"/>
        <w:numPr>
          <w:ilvl w:val="0"/>
          <w:numId w:val="4"/>
        </w:numPr>
        <w:spacing w:line="360" w:lineRule="auto"/>
        <w:jc w:val="both"/>
        <w:rPr>
          <w:rFonts w:ascii="Times New Roman" w:hAnsi="Times New Roman" w:cs="Times New Roman"/>
          <w:sz w:val="24"/>
          <w:szCs w:val="24"/>
        </w:rPr>
      </w:pPr>
      <w:r w:rsidRPr="00912A52">
        <w:rPr>
          <w:rFonts w:ascii="Times New Roman" w:hAnsi="Times New Roman" w:cs="Times New Roman"/>
          <w:sz w:val="24"/>
          <w:szCs w:val="24"/>
        </w:rPr>
        <w:t>Bank of Ghana. (2023). 2023 Annual Report &amp; Financial Statements. Bank of Ghana.</w:t>
      </w:r>
    </w:p>
    <w:p w14:paraId="7F59EDBF" w14:textId="77777777" w:rsidR="00912A52" w:rsidRPr="00912A52" w:rsidRDefault="00912A52" w:rsidP="00912A52">
      <w:pPr>
        <w:pStyle w:val="ListParagraph"/>
        <w:rPr>
          <w:rFonts w:ascii="Times New Roman" w:hAnsi="Times New Roman" w:cs="Times New Roman"/>
          <w:sz w:val="24"/>
          <w:szCs w:val="24"/>
        </w:rPr>
      </w:pPr>
    </w:p>
    <w:p w14:paraId="5D2267CD" w14:textId="77777777" w:rsidR="00912A52" w:rsidRDefault="00912A52" w:rsidP="0049477B">
      <w:pPr>
        <w:pStyle w:val="ListParagraph"/>
        <w:numPr>
          <w:ilvl w:val="0"/>
          <w:numId w:val="4"/>
        </w:numPr>
        <w:spacing w:line="360" w:lineRule="auto"/>
        <w:jc w:val="both"/>
        <w:rPr>
          <w:rFonts w:ascii="Times New Roman" w:hAnsi="Times New Roman" w:cs="Times New Roman"/>
          <w:sz w:val="24"/>
          <w:szCs w:val="24"/>
        </w:rPr>
      </w:pPr>
      <w:r w:rsidRPr="00912A52">
        <w:rPr>
          <w:rFonts w:ascii="Times New Roman" w:hAnsi="Times New Roman" w:cs="Times New Roman"/>
          <w:sz w:val="24"/>
          <w:szCs w:val="24"/>
        </w:rPr>
        <w:t>Benson, K., and Ajayi, A. (2021). Government Expenditure, Money Supply, and Poverty Reduction in West Africa. African Journal of Economic Studies, 47(2), 24-35.</w:t>
      </w:r>
    </w:p>
    <w:p w14:paraId="0BF50CE6" w14:textId="77777777" w:rsidR="00912A52" w:rsidRPr="00912A52" w:rsidRDefault="00912A52" w:rsidP="00912A52">
      <w:pPr>
        <w:pStyle w:val="ListParagraph"/>
        <w:rPr>
          <w:rFonts w:ascii="Times New Roman" w:hAnsi="Times New Roman" w:cs="Times New Roman"/>
          <w:sz w:val="24"/>
          <w:szCs w:val="24"/>
        </w:rPr>
      </w:pPr>
    </w:p>
    <w:p w14:paraId="205400D6" w14:textId="63A3AD05" w:rsidR="00912A52" w:rsidRDefault="00912A52" w:rsidP="0049477B">
      <w:pPr>
        <w:pStyle w:val="ListParagraph"/>
        <w:numPr>
          <w:ilvl w:val="0"/>
          <w:numId w:val="4"/>
        </w:numPr>
        <w:spacing w:line="360" w:lineRule="auto"/>
        <w:jc w:val="both"/>
        <w:rPr>
          <w:rFonts w:ascii="Times New Roman" w:hAnsi="Times New Roman" w:cs="Times New Roman"/>
          <w:sz w:val="24"/>
          <w:szCs w:val="24"/>
        </w:rPr>
      </w:pPr>
      <w:r w:rsidRPr="00912A52">
        <w:rPr>
          <w:rFonts w:ascii="Times New Roman" w:hAnsi="Times New Roman" w:cs="Times New Roman"/>
          <w:sz w:val="24"/>
          <w:szCs w:val="24"/>
        </w:rPr>
        <w:t>Bongo, K. A. (2017). The impact of inflation and exchange rate on poverty in Côte d'Ivoire. Journal of African Business, 18(1), 54-70</w:t>
      </w:r>
      <w:r>
        <w:rPr>
          <w:rFonts w:ascii="Times New Roman" w:hAnsi="Times New Roman" w:cs="Times New Roman"/>
          <w:sz w:val="24"/>
          <w:szCs w:val="24"/>
        </w:rPr>
        <w:t>.</w:t>
      </w:r>
    </w:p>
    <w:p w14:paraId="51B0DA32" w14:textId="77777777" w:rsidR="00912A52" w:rsidRPr="00912A52" w:rsidRDefault="00912A52" w:rsidP="00912A52">
      <w:pPr>
        <w:pStyle w:val="ListParagraph"/>
        <w:rPr>
          <w:rFonts w:ascii="Times New Roman" w:hAnsi="Times New Roman" w:cs="Times New Roman"/>
          <w:sz w:val="24"/>
          <w:szCs w:val="24"/>
        </w:rPr>
      </w:pPr>
    </w:p>
    <w:p w14:paraId="728E9DA4" w14:textId="784DBA3C" w:rsidR="00742D9E" w:rsidRPr="00742D9E" w:rsidRDefault="00905A62" w:rsidP="00742D9E">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Bronfenbrenner, M., and Holzman, F. (1963). </w:t>
      </w:r>
      <w:r w:rsidRPr="0049477B">
        <w:rPr>
          <w:rFonts w:ascii="Times New Roman" w:hAnsi="Times New Roman" w:cs="Times New Roman"/>
          <w:i/>
          <w:iCs/>
          <w:sz w:val="24"/>
          <w:szCs w:val="24"/>
        </w:rPr>
        <w:t>Survey of Inflation Theory</w:t>
      </w:r>
      <w:r w:rsidRPr="0049477B">
        <w:rPr>
          <w:rFonts w:ascii="Times New Roman" w:hAnsi="Times New Roman" w:cs="Times New Roman"/>
          <w:sz w:val="24"/>
          <w:szCs w:val="24"/>
        </w:rPr>
        <w:t>. American Economic Review, 53(4), 593-661.</w:t>
      </w:r>
    </w:p>
    <w:p w14:paraId="32904BB3" w14:textId="18824E04" w:rsidR="00912A52" w:rsidRDefault="00912A52" w:rsidP="0049477B">
      <w:pPr>
        <w:pStyle w:val="ListParagraph"/>
        <w:numPr>
          <w:ilvl w:val="0"/>
          <w:numId w:val="4"/>
        </w:numPr>
        <w:spacing w:line="360" w:lineRule="auto"/>
        <w:jc w:val="both"/>
        <w:rPr>
          <w:rFonts w:ascii="Times New Roman" w:hAnsi="Times New Roman" w:cs="Times New Roman"/>
          <w:sz w:val="24"/>
          <w:szCs w:val="24"/>
        </w:rPr>
      </w:pPr>
      <w:r w:rsidRPr="00912A52">
        <w:rPr>
          <w:rFonts w:ascii="Times New Roman" w:hAnsi="Times New Roman" w:cs="Times New Roman"/>
          <w:sz w:val="24"/>
          <w:szCs w:val="24"/>
        </w:rPr>
        <w:t xml:space="preserve">Cassel, G. (1918). Abnormal Deviations in International Exchanges. The Economic Journal, 28(112), 413-415. </w:t>
      </w:r>
      <w:hyperlink r:id="rId13" w:history="1">
        <w:r w:rsidRPr="00C80801">
          <w:rPr>
            <w:rStyle w:val="Hyperlink"/>
            <w:rFonts w:ascii="Times New Roman" w:hAnsi="Times New Roman" w:cs="Times New Roman"/>
            <w:sz w:val="24"/>
            <w:szCs w:val="24"/>
          </w:rPr>
          <w:t>https://doi.org/10.2307/2223329</w:t>
        </w:r>
      </w:hyperlink>
    </w:p>
    <w:p w14:paraId="2CE09A8F" w14:textId="12841108" w:rsidR="00742D9E" w:rsidRDefault="00742D9E" w:rsidP="0049477B">
      <w:pPr>
        <w:pStyle w:val="ListParagraph"/>
        <w:numPr>
          <w:ilvl w:val="0"/>
          <w:numId w:val="4"/>
        </w:numPr>
        <w:spacing w:line="360" w:lineRule="auto"/>
        <w:jc w:val="both"/>
        <w:rPr>
          <w:rFonts w:ascii="Times New Roman" w:hAnsi="Times New Roman" w:cs="Times New Roman"/>
          <w:sz w:val="24"/>
          <w:szCs w:val="24"/>
        </w:rPr>
      </w:pPr>
      <w:r w:rsidRPr="00742D9E">
        <w:rPr>
          <w:rFonts w:ascii="Times New Roman" w:hAnsi="Times New Roman" w:cs="Times New Roman"/>
          <w:sz w:val="24"/>
          <w:szCs w:val="24"/>
        </w:rPr>
        <w:t xml:space="preserve">Campa, J. M., &amp; Goldberg, L. S. (2005). Exchange Rate Pass-Through into Import Prices. The Review of Economics and Statistics, 87(4), 679-690. </w:t>
      </w:r>
      <w:hyperlink r:id="rId14" w:history="1">
        <w:r w:rsidRPr="00C80801">
          <w:rPr>
            <w:rStyle w:val="Hyperlink"/>
            <w:rFonts w:ascii="Times New Roman" w:hAnsi="Times New Roman" w:cs="Times New Roman"/>
            <w:sz w:val="24"/>
            <w:szCs w:val="24"/>
          </w:rPr>
          <w:t>https://doi.org/10.1162/003465305775098189</w:t>
        </w:r>
      </w:hyperlink>
    </w:p>
    <w:p w14:paraId="5C487994" w14:textId="28A4A56C" w:rsidR="00905A62" w:rsidRPr="0049477B" w:rsidRDefault="00742D9E" w:rsidP="0049477B">
      <w:pPr>
        <w:pStyle w:val="ListParagraph"/>
        <w:numPr>
          <w:ilvl w:val="0"/>
          <w:numId w:val="4"/>
        </w:numPr>
        <w:spacing w:line="360" w:lineRule="auto"/>
        <w:jc w:val="both"/>
        <w:rPr>
          <w:rFonts w:ascii="Times New Roman" w:hAnsi="Times New Roman" w:cs="Times New Roman"/>
          <w:sz w:val="24"/>
          <w:szCs w:val="24"/>
        </w:rPr>
      </w:pPr>
      <w:r w:rsidRPr="00742D9E">
        <w:rPr>
          <w:rFonts w:ascii="Times New Roman" w:hAnsi="Times New Roman" w:cs="Times New Roman"/>
          <w:sz w:val="24"/>
          <w:szCs w:val="24"/>
        </w:rPr>
        <w:t>Central Bank of Nigeria. (2020). The Nigerian Naira devaluation and its impact on inflation and poverty levels. Abuja: CBN Economic Reports</w:t>
      </w:r>
      <w:r w:rsidR="00905A62" w:rsidRPr="0049477B">
        <w:rPr>
          <w:rFonts w:ascii="Times New Roman" w:hAnsi="Times New Roman" w:cs="Times New Roman"/>
          <w:sz w:val="24"/>
          <w:szCs w:val="24"/>
        </w:rPr>
        <w:t>.</w:t>
      </w:r>
    </w:p>
    <w:p w14:paraId="5E0E4152" w14:textId="77777777" w:rsidR="00742D9E" w:rsidRDefault="00742D9E" w:rsidP="0049477B">
      <w:pPr>
        <w:pStyle w:val="ListParagraph"/>
        <w:numPr>
          <w:ilvl w:val="0"/>
          <w:numId w:val="4"/>
        </w:numPr>
        <w:spacing w:line="360" w:lineRule="auto"/>
        <w:jc w:val="both"/>
        <w:rPr>
          <w:rFonts w:ascii="Times New Roman" w:hAnsi="Times New Roman" w:cs="Times New Roman"/>
          <w:sz w:val="24"/>
          <w:szCs w:val="24"/>
        </w:rPr>
      </w:pPr>
      <w:r w:rsidRPr="00742D9E">
        <w:rPr>
          <w:rFonts w:ascii="Times New Roman" w:hAnsi="Times New Roman" w:cs="Times New Roman"/>
          <w:sz w:val="24"/>
          <w:szCs w:val="24"/>
        </w:rPr>
        <w:t>Central Bank of Nigeria. (2022). Economic performance and exchange rate volatility in Nigeria. Abuja: Central Bank of Nigeria Publications</w:t>
      </w:r>
      <w:r w:rsidRPr="00742D9E">
        <w:rPr>
          <w:rFonts w:ascii="Times New Roman" w:hAnsi="Times New Roman" w:cs="Times New Roman"/>
          <w:sz w:val="24"/>
          <w:szCs w:val="24"/>
        </w:rPr>
        <w:t xml:space="preserve"> </w:t>
      </w:r>
    </w:p>
    <w:p w14:paraId="668B3ED5" w14:textId="5A0DCA14"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Dramani, B. (2018). Inflation, exchange rates and poverty in Senegal: A panel data analysis. Senegal Journal of Economic Policy, 6(1), 67-80.</w:t>
      </w:r>
    </w:p>
    <w:p w14:paraId="06F6655F" w14:textId="2A50790E" w:rsidR="00905A62" w:rsidRPr="0049477B" w:rsidRDefault="00742D9E" w:rsidP="0049477B">
      <w:pPr>
        <w:pStyle w:val="ListParagraph"/>
        <w:numPr>
          <w:ilvl w:val="0"/>
          <w:numId w:val="4"/>
        </w:numPr>
        <w:spacing w:line="360" w:lineRule="auto"/>
        <w:jc w:val="both"/>
        <w:rPr>
          <w:rFonts w:ascii="Times New Roman" w:hAnsi="Times New Roman" w:cs="Times New Roman"/>
          <w:sz w:val="24"/>
          <w:szCs w:val="24"/>
        </w:rPr>
      </w:pPr>
      <w:r w:rsidRPr="00742D9E">
        <w:rPr>
          <w:rFonts w:ascii="Times New Roman" w:hAnsi="Times New Roman" w:cs="Times New Roman"/>
          <w:sz w:val="24"/>
          <w:szCs w:val="24"/>
        </w:rPr>
        <w:lastRenderedPageBreak/>
        <w:t xml:space="preserve">Driscoll, J. C., &amp; Kraay, A. C. (1998). Consistent Covariance Matrix Estimation </w:t>
      </w:r>
      <w:proofErr w:type="gramStart"/>
      <w:r w:rsidRPr="00742D9E">
        <w:rPr>
          <w:rFonts w:ascii="Times New Roman" w:hAnsi="Times New Roman" w:cs="Times New Roman"/>
          <w:sz w:val="24"/>
          <w:szCs w:val="24"/>
        </w:rPr>
        <w:t>With</w:t>
      </w:r>
      <w:proofErr w:type="gramEnd"/>
      <w:r w:rsidRPr="00742D9E">
        <w:rPr>
          <w:rFonts w:ascii="Times New Roman" w:hAnsi="Times New Roman" w:cs="Times New Roman"/>
          <w:sz w:val="24"/>
          <w:szCs w:val="24"/>
        </w:rPr>
        <w:t xml:space="preserve"> Spatially Dependent Panel Data. The Review of Economics and Statistics, 80(4), 549-560. https://doi.org/10.1162/003465398557825</w:t>
      </w:r>
      <w:r>
        <w:rPr>
          <w:rFonts w:ascii="Times New Roman" w:hAnsi="Times New Roman" w:cs="Times New Roman"/>
          <w:sz w:val="24"/>
          <w:szCs w:val="24"/>
        </w:rPr>
        <w:t>.</w:t>
      </w:r>
    </w:p>
    <w:p w14:paraId="74F7B6EC" w14:textId="060F897A" w:rsidR="00742D9E" w:rsidRDefault="00742D9E"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742D9E">
        <w:rPr>
          <w:rFonts w:ascii="Times New Roman" w:hAnsi="Times New Roman" w:cs="Times New Roman"/>
          <w:sz w:val="24"/>
          <w:szCs w:val="24"/>
        </w:rPr>
        <w:t>Duesenberry</w:t>
      </w:r>
      <w:proofErr w:type="spellEnd"/>
      <w:r w:rsidRPr="00742D9E">
        <w:rPr>
          <w:rFonts w:ascii="Times New Roman" w:hAnsi="Times New Roman" w:cs="Times New Roman"/>
          <w:sz w:val="24"/>
          <w:szCs w:val="24"/>
        </w:rPr>
        <w:t xml:space="preserve">, J. S. (1950). The Mechanics of Inflation. Review of Economics and Statistics, 32(2), 144-149. </w:t>
      </w:r>
      <w:hyperlink r:id="rId15" w:history="1">
        <w:r w:rsidRPr="00C80801">
          <w:rPr>
            <w:rStyle w:val="Hyperlink"/>
            <w:rFonts w:ascii="Times New Roman" w:hAnsi="Times New Roman" w:cs="Times New Roman"/>
            <w:sz w:val="24"/>
            <w:szCs w:val="24"/>
          </w:rPr>
          <w:t>https://doi.org/10.2307/1927652</w:t>
        </w:r>
      </w:hyperlink>
    </w:p>
    <w:p w14:paraId="2F844FAF" w14:textId="41383B2F" w:rsidR="00905A62" w:rsidRPr="0049477B" w:rsidRDefault="00742D9E" w:rsidP="0049477B">
      <w:pPr>
        <w:pStyle w:val="ListParagraph"/>
        <w:numPr>
          <w:ilvl w:val="0"/>
          <w:numId w:val="4"/>
        </w:numPr>
        <w:spacing w:line="360" w:lineRule="auto"/>
        <w:jc w:val="both"/>
        <w:rPr>
          <w:rFonts w:ascii="Times New Roman" w:hAnsi="Times New Roman" w:cs="Times New Roman"/>
          <w:sz w:val="24"/>
          <w:szCs w:val="24"/>
        </w:rPr>
      </w:pPr>
      <w:r w:rsidRPr="00742D9E">
        <w:rPr>
          <w:rFonts w:ascii="Times New Roman" w:hAnsi="Times New Roman" w:cs="Times New Roman"/>
          <w:sz w:val="24"/>
          <w:szCs w:val="24"/>
        </w:rPr>
        <w:t xml:space="preserve">Essien, E. A., Udo, J. A., </w:t>
      </w:r>
      <w:r>
        <w:rPr>
          <w:rFonts w:ascii="Times New Roman" w:hAnsi="Times New Roman" w:cs="Times New Roman"/>
          <w:sz w:val="24"/>
          <w:szCs w:val="24"/>
        </w:rPr>
        <w:t>&amp;</w:t>
      </w:r>
      <w:r w:rsidRPr="00742D9E">
        <w:rPr>
          <w:rFonts w:ascii="Times New Roman" w:hAnsi="Times New Roman" w:cs="Times New Roman"/>
          <w:sz w:val="24"/>
          <w:szCs w:val="24"/>
        </w:rPr>
        <w:t xml:space="preserve"> Abang, S. (2015). Inflation and poverty in Ghana: Evidence from panel data. International Journal of Social Science Research, 3(1), 15-28.</w:t>
      </w:r>
    </w:p>
    <w:p w14:paraId="01F1CA77"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Fadeyibi</w:t>
      </w:r>
      <w:proofErr w:type="spellEnd"/>
      <w:r w:rsidRPr="0049477B">
        <w:rPr>
          <w:rFonts w:ascii="Times New Roman" w:hAnsi="Times New Roman" w:cs="Times New Roman"/>
          <w:sz w:val="24"/>
          <w:szCs w:val="24"/>
        </w:rPr>
        <w:t>, A. S. (2021). Comparative analysis of inflation and exchange rates on poverty in Ghana and Nigeria: Evidence from panel data. Ghana Economic Journal, 9(1), 45-64.</w:t>
      </w:r>
    </w:p>
    <w:p w14:paraId="50B7F29F" w14:textId="224F8745" w:rsidR="00742D9E" w:rsidRDefault="00742D9E" w:rsidP="0049477B">
      <w:pPr>
        <w:pStyle w:val="ListParagraph"/>
        <w:numPr>
          <w:ilvl w:val="0"/>
          <w:numId w:val="4"/>
        </w:numPr>
        <w:spacing w:line="360" w:lineRule="auto"/>
        <w:jc w:val="both"/>
        <w:rPr>
          <w:rFonts w:ascii="Times New Roman" w:hAnsi="Times New Roman" w:cs="Times New Roman"/>
          <w:sz w:val="24"/>
          <w:szCs w:val="24"/>
        </w:rPr>
      </w:pPr>
      <w:r w:rsidRPr="00742D9E">
        <w:rPr>
          <w:rFonts w:ascii="Times New Roman" w:hAnsi="Times New Roman" w:cs="Times New Roman"/>
          <w:sz w:val="24"/>
          <w:szCs w:val="24"/>
        </w:rPr>
        <w:t xml:space="preserve">Feenstra, R. C. (2015). Advanced International Trade: Theory and Evidence. Princeton University Press. </w:t>
      </w:r>
      <w:hyperlink r:id="rId16" w:history="1">
        <w:r w:rsidRPr="00C80801">
          <w:rPr>
            <w:rStyle w:val="Hyperlink"/>
            <w:rFonts w:ascii="Times New Roman" w:hAnsi="Times New Roman" w:cs="Times New Roman"/>
            <w:sz w:val="24"/>
            <w:szCs w:val="24"/>
          </w:rPr>
          <w:t>https://press.princeton.edu/books/hardcover/9780691161648/advanced-international-trade</w:t>
        </w:r>
      </w:hyperlink>
      <w:r w:rsidRPr="00742D9E">
        <w:rPr>
          <w:rFonts w:ascii="Times New Roman" w:hAnsi="Times New Roman" w:cs="Times New Roman"/>
          <w:sz w:val="24"/>
          <w:szCs w:val="24"/>
        </w:rPr>
        <w:t xml:space="preserve"> </w:t>
      </w:r>
    </w:p>
    <w:p w14:paraId="077BA205" w14:textId="77777777" w:rsidR="00742D9E" w:rsidRDefault="00742D9E" w:rsidP="0049477B">
      <w:pPr>
        <w:pStyle w:val="ListParagraph"/>
        <w:numPr>
          <w:ilvl w:val="0"/>
          <w:numId w:val="4"/>
        </w:numPr>
        <w:spacing w:line="360" w:lineRule="auto"/>
        <w:jc w:val="both"/>
        <w:rPr>
          <w:rFonts w:ascii="Times New Roman" w:hAnsi="Times New Roman" w:cs="Times New Roman"/>
          <w:sz w:val="24"/>
          <w:szCs w:val="24"/>
        </w:rPr>
      </w:pPr>
      <w:r w:rsidRPr="00742D9E">
        <w:rPr>
          <w:rFonts w:ascii="Times New Roman" w:hAnsi="Times New Roman" w:cs="Times New Roman"/>
          <w:sz w:val="24"/>
          <w:szCs w:val="24"/>
        </w:rPr>
        <w:t>Fielding, D. (2008). The impact of high inflation on economic growth and poverty in Africa. African Economic Studies, 29(3), 249-266.</w:t>
      </w:r>
    </w:p>
    <w:p w14:paraId="47B2B9B3" w14:textId="104B6855" w:rsidR="00742D9E" w:rsidRDefault="00742D9E" w:rsidP="0049477B">
      <w:pPr>
        <w:pStyle w:val="ListParagraph"/>
        <w:numPr>
          <w:ilvl w:val="0"/>
          <w:numId w:val="4"/>
        </w:numPr>
        <w:spacing w:line="360" w:lineRule="auto"/>
        <w:jc w:val="both"/>
        <w:rPr>
          <w:rFonts w:ascii="Times New Roman" w:hAnsi="Times New Roman" w:cs="Times New Roman"/>
          <w:sz w:val="24"/>
          <w:szCs w:val="24"/>
        </w:rPr>
      </w:pPr>
      <w:r w:rsidRPr="00742D9E">
        <w:rPr>
          <w:rFonts w:ascii="Times New Roman" w:hAnsi="Times New Roman" w:cs="Times New Roman"/>
          <w:sz w:val="24"/>
          <w:szCs w:val="24"/>
        </w:rPr>
        <w:t xml:space="preserve">Fleming, J. M. (1962). Domestic Financial Policies Under Fixed and Under Floating Exchange Rates. International Monetary Fund Staff Papers, 9(3), 369-379. </w:t>
      </w:r>
      <w:hyperlink r:id="rId17" w:history="1">
        <w:r w:rsidRPr="00C80801">
          <w:rPr>
            <w:rStyle w:val="Hyperlink"/>
            <w:rFonts w:ascii="Times New Roman" w:hAnsi="Times New Roman" w:cs="Times New Roman"/>
            <w:sz w:val="24"/>
            <w:szCs w:val="24"/>
          </w:rPr>
          <w:t>https://doi.org/10.2307/3866091</w:t>
        </w:r>
      </w:hyperlink>
    </w:p>
    <w:p w14:paraId="592BD775" w14:textId="0C4B8179"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Friedman, M. (1963). </w:t>
      </w:r>
      <w:r w:rsidRPr="0049477B">
        <w:rPr>
          <w:rFonts w:ascii="Times New Roman" w:hAnsi="Times New Roman" w:cs="Times New Roman"/>
          <w:i/>
          <w:iCs/>
          <w:sz w:val="24"/>
          <w:szCs w:val="24"/>
        </w:rPr>
        <w:t>Inflation: Causes and Consequences</w:t>
      </w:r>
      <w:r w:rsidRPr="0049477B">
        <w:rPr>
          <w:rFonts w:ascii="Times New Roman" w:hAnsi="Times New Roman" w:cs="Times New Roman"/>
          <w:sz w:val="24"/>
          <w:szCs w:val="24"/>
        </w:rPr>
        <w:t>. Asia Publishing House.</w:t>
      </w:r>
      <w:r w:rsidR="00BE724A">
        <w:rPr>
          <w:rFonts w:ascii="Times New Roman" w:hAnsi="Times New Roman" w:cs="Times New Roman"/>
          <w:sz w:val="24"/>
          <w:szCs w:val="24"/>
        </w:rPr>
        <w:t xml:space="preserve"> </w:t>
      </w:r>
      <w:hyperlink r:id="rId18" w:history="1">
        <w:r w:rsidR="00BE724A" w:rsidRPr="00E42240">
          <w:rPr>
            <w:rStyle w:val="Hyperlink"/>
            <w:rFonts w:ascii="Times New Roman" w:hAnsi="Times New Roman" w:cs="Times New Roman"/>
            <w:sz w:val="24"/>
            <w:szCs w:val="24"/>
          </w:rPr>
          <w:t>https://doi.org/20.500.12592/2pj2qvz</w:t>
        </w:r>
      </w:hyperlink>
      <w:r w:rsidR="00BE724A">
        <w:rPr>
          <w:rFonts w:ascii="Times New Roman" w:hAnsi="Times New Roman" w:cs="Times New Roman"/>
          <w:sz w:val="24"/>
          <w:szCs w:val="24"/>
        </w:rPr>
        <w:t xml:space="preserve"> </w:t>
      </w:r>
    </w:p>
    <w:p w14:paraId="01F59686"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Fosu, A. K. (2017). Economic Structure, Inflation, and Poverty in West Africa: A Comparative Study. Journal of African Economies, 26(2), 121-140.</w:t>
      </w:r>
    </w:p>
    <w:p w14:paraId="459C3F30" w14:textId="6DEC517B"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Furtado, C. (1964). </w:t>
      </w:r>
      <w:r w:rsidRPr="0049477B">
        <w:rPr>
          <w:rFonts w:ascii="Times New Roman" w:hAnsi="Times New Roman" w:cs="Times New Roman"/>
          <w:i/>
          <w:iCs/>
          <w:sz w:val="24"/>
          <w:szCs w:val="24"/>
        </w:rPr>
        <w:t>Development and Underdevelopment</w:t>
      </w:r>
      <w:r w:rsidRPr="0049477B">
        <w:rPr>
          <w:rFonts w:ascii="Times New Roman" w:hAnsi="Times New Roman" w:cs="Times New Roman"/>
          <w:sz w:val="24"/>
          <w:szCs w:val="24"/>
        </w:rPr>
        <w:t>. University of California Press.</w:t>
      </w:r>
      <w:r w:rsidR="00BE724A">
        <w:rPr>
          <w:rFonts w:ascii="Times New Roman" w:hAnsi="Times New Roman" w:cs="Times New Roman"/>
          <w:sz w:val="24"/>
          <w:szCs w:val="24"/>
        </w:rPr>
        <w:t xml:space="preserve"> </w:t>
      </w:r>
      <w:hyperlink r:id="rId19" w:history="1">
        <w:r w:rsidR="00BE724A" w:rsidRPr="00E42240">
          <w:rPr>
            <w:rStyle w:val="Hyperlink"/>
            <w:rFonts w:ascii="Times New Roman" w:hAnsi="Times New Roman" w:cs="Times New Roman"/>
            <w:sz w:val="24"/>
            <w:szCs w:val="24"/>
          </w:rPr>
          <w:t>https://doi.org/10.1525/9780520319721</w:t>
        </w:r>
      </w:hyperlink>
      <w:r w:rsidR="00BE724A">
        <w:rPr>
          <w:rFonts w:ascii="Times New Roman" w:hAnsi="Times New Roman" w:cs="Times New Roman"/>
          <w:sz w:val="24"/>
          <w:szCs w:val="24"/>
        </w:rPr>
        <w:t xml:space="preserve"> </w:t>
      </w:r>
    </w:p>
    <w:p w14:paraId="69F627BC" w14:textId="65BB9A8E" w:rsidR="006B4950" w:rsidRDefault="006B4950" w:rsidP="0049477B">
      <w:pPr>
        <w:pStyle w:val="ListParagraph"/>
        <w:numPr>
          <w:ilvl w:val="0"/>
          <w:numId w:val="4"/>
        </w:numPr>
        <w:spacing w:line="360" w:lineRule="auto"/>
        <w:jc w:val="both"/>
        <w:rPr>
          <w:rFonts w:ascii="Times New Roman" w:hAnsi="Times New Roman" w:cs="Times New Roman"/>
          <w:sz w:val="24"/>
          <w:szCs w:val="24"/>
        </w:rPr>
      </w:pPr>
      <w:r w:rsidRPr="006B4950">
        <w:rPr>
          <w:rFonts w:ascii="Times New Roman" w:hAnsi="Times New Roman" w:cs="Times New Roman"/>
          <w:sz w:val="24"/>
          <w:szCs w:val="24"/>
        </w:rPr>
        <w:t xml:space="preserve">Gagnon, J. E., &amp; Ihrig, J. (2004). Monetary policy and exchange rate pass-through. International Journal of Finance &amp; Economics, 9(4), 315-338. </w:t>
      </w:r>
      <w:hyperlink r:id="rId20" w:history="1">
        <w:r w:rsidRPr="00C80801">
          <w:rPr>
            <w:rStyle w:val="Hyperlink"/>
            <w:rFonts w:ascii="Times New Roman" w:hAnsi="Times New Roman" w:cs="Times New Roman"/>
            <w:sz w:val="24"/>
            <w:szCs w:val="24"/>
          </w:rPr>
          <w:t>https://doi.org/10.1002/ijfe.253</w:t>
        </w:r>
      </w:hyperlink>
    </w:p>
    <w:p w14:paraId="3E4E0F1A" w14:textId="5A9CFD86" w:rsidR="006B4950" w:rsidRDefault="006B4950" w:rsidP="0049477B">
      <w:pPr>
        <w:pStyle w:val="ListParagraph"/>
        <w:numPr>
          <w:ilvl w:val="0"/>
          <w:numId w:val="4"/>
        </w:numPr>
        <w:spacing w:line="360" w:lineRule="auto"/>
        <w:jc w:val="both"/>
        <w:rPr>
          <w:rFonts w:ascii="Times New Roman" w:hAnsi="Times New Roman" w:cs="Times New Roman"/>
          <w:sz w:val="24"/>
          <w:szCs w:val="24"/>
        </w:rPr>
      </w:pPr>
      <w:r w:rsidRPr="006B4950">
        <w:rPr>
          <w:rFonts w:ascii="Times New Roman" w:hAnsi="Times New Roman" w:cs="Times New Roman"/>
          <w:sz w:val="24"/>
          <w:szCs w:val="24"/>
        </w:rPr>
        <w:t xml:space="preserve">Goldberg, P. K., &amp; Knetter, M. M. (1997). Goods Prices and Exchange Rates: What Have We </w:t>
      </w:r>
      <w:proofErr w:type="gramStart"/>
      <w:r w:rsidRPr="006B4950">
        <w:rPr>
          <w:rFonts w:ascii="Times New Roman" w:hAnsi="Times New Roman" w:cs="Times New Roman"/>
          <w:sz w:val="24"/>
          <w:szCs w:val="24"/>
        </w:rPr>
        <w:t>Learned?.</w:t>
      </w:r>
      <w:proofErr w:type="gramEnd"/>
      <w:r w:rsidRPr="006B4950">
        <w:rPr>
          <w:rFonts w:ascii="Times New Roman" w:hAnsi="Times New Roman" w:cs="Times New Roman"/>
          <w:sz w:val="24"/>
          <w:szCs w:val="24"/>
        </w:rPr>
        <w:t xml:space="preserve"> Journal of Economic Literature, 35(3), 1243-1272. </w:t>
      </w:r>
      <w:hyperlink r:id="rId21" w:history="1">
        <w:r w:rsidRPr="00C80801">
          <w:rPr>
            <w:rStyle w:val="Hyperlink"/>
            <w:rFonts w:ascii="Times New Roman" w:hAnsi="Times New Roman" w:cs="Times New Roman"/>
            <w:sz w:val="24"/>
            <w:szCs w:val="24"/>
          </w:rPr>
          <w:t>http://links.jstor.org/sici?sici=0022-0515%28199709%2935%3A3%3C1243%3AGPAERW%3E2.0.CO%3B2-R</w:t>
        </w:r>
      </w:hyperlink>
      <w:r>
        <w:rPr>
          <w:rFonts w:ascii="Times New Roman" w:hAnsi="Times New Roman" w:cs="Times New Roman"/>
          <w:sz w:val="24"/>
          <w:szCs w:val="24"/>
        </w:rPr>
        <w:t>.</w:t>
      </w:r>
    </w:p>
    <w:p w14:paraId="6D96C973" w14:textId="21E737A2" w:rsidR="00905A62" w:rsidRPr="0049477B" w:rsidRDefault="00BE724A" w:rsidP="006B495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CBB2FD2"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lastRenderedPageBreak/>
        <w:t xml:space="preserve">Haberler, G. (1960). </w:t>
      </w:r>
      <w:r w:rsidRPr="0049477B">
        <w:rPr>
          <w:rFonts w:ascii="Times New Roman" w:hAnsi="Times New Roman" w:cs="Times New Roman"/>
          <w:i/>
          <w:iCs/>
          <w:sz w:val="24"/>
          <w:szCs w:val="24"/>
        </w:rPr>
        <w:t>Prosperity and Depression: A Theoretical Analysis of Cyclical Movements</w:t>
      </w:r>
      <w:r w:rsidRPr="0049477B">
        <w:rPr>
          <w:rFonts w:ascii="Times New Roman" w:hAnsi="Times New Roman" w:cs="Times New Roman"/>
          <w:sz w:val="24"/>
          <w:szCs w:val="24"/>
        </w:rPr>
        <w:t>. Harvard University Press.</w:t>
      </w:r>
    </w:p>
    <w:p w14:paraId="393C475E" w14:textId="2D8ADE79" w:rsidR="006B4950" w:rsidRDefault="006B4950" w:rsidP="0049477B">
      <w:pPr>
        <w:pStyle w:val="ListParagraph"/>
        <w:numPr>
          <w:ilvl w:val="0"/>
          <w:numId w:val="4"/>
        </w:numPr>
        <w:spacing w:line="360" w:lineRule="auto"/>
        <w:jc w:val="both"/>
        <w:rPr>
          <w:rFonts w:ascii="Times New Roman" w:hAnsi="Times New Roman" w:cs="Times New Roman"/>
          <w:sz w:val="24"/>
          <w:szCs w:val="24"/>
        </w:rPr>
      </w:pPr>
      <w:r w:rsidRPr="006B4950">
        <w:rPr>
          <w:rFonts w:ascii="Times New Roman" w:hAnsi="Times New Roman" w:cs="Times New Roman"/>
          <w:sz w:val="24"/>
          <w:szCs w:val="24"/>
        </w:rPr>
        <w:t xml:space="preserve">Hagger, A. J. (1977). Inflation: Theory and Policy. The Macmillan Press Ltd. </w:t>
      </w:r>
      <w:hyperlink r:id="rId22" w:history="1">
        <w:r w:rsidRPr="00C80801">
          <w:rPr>
            <w:rStyle w:val="Hyperlink"/>
            <w:rFonts w:ascii="Times New Roman" w:hAnsi="Times New Roman" w:cs="Times New Roman"/>
            <w:sz w:val="24"/>
            <w:szCs w:val="24"/>
          </w:rPr>
          <w:t>https://doi.org/10.1007/978-1-349-15735-8</w:t>
        </w:r>
      </w:hyperlink>
    </w:p>
    <w:p w14:paraId="1121E7BB" w14:textId="75A4401B"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Hegde, S., and Mishra, D. (2019). Heterogeneity and its Role in Econometric Models: Understanding Fixed Effects. Journal of Econometrics, 211(2), 123-135.</w:t>
      </w:r>
    </w:p>
    <w:p w14:paraId="5CC3ADD9" w14:textId="5D334915"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Hodge, D., </w:t>
      </w:r>
      <w:r w:rsidR="006B4950">
        <w:rPr>
          <w:rFonts w:ascii="Times New Roman" w:hAnsi="Times New Roman" w:cs="Times New Roman"/>
          <w:sz w:val="24"/>
          <w:szCs w:val="24"/>
        </w:rPr>
        <w:t>&amp;</w:t>
      </w:r>
      <w:r w:rsidRPr="0049477B">
        <w:rPr>
          <w:rFonts w:ascii="Times New Roman" w:hAnsi="Times New Roman" w:cs="Times New Roman"/>
          <w:sz w:val="24"/>
          <w:szCs w:val="24"/>
        </w:rPr>
        <w:t xml:space="preserve"> Sharma, P. (2020). Poverty and Inflation in West African Countries: A Comparative Analysis. Journal of Development Economics, 102(1), 45-67.</w:t>
      </w:r>
    </w:p>
    <w:p w14:paraId="475532A3" w14:textId="03F3169C" w:rsidR="006B4950" w:rsidRPr="006B4950" w:rsidRDefault="006B4950" w:rsidP="006B4950">
      <w:pPr>
        <w:pStyle w:val="ListParagraph"/>
        <w:numPr>
          <w:ilvl w:val="0"/>
          <w:numId w:val="4"/>
        </w:numPr>
        <w:spacing w:line="360" w:lineRule="auto"/>
        <w:jc w:val="both"/>
        <w:rPr>
          <w:rFonts w:ascii="Times New Roman" w:hAnsi="Times New Roman" w:cs="Times New Roman"/>
          <w:sz w:val="24"/>
          <w:szCs w:val="24"/>
        </w:rPr>
      </w:pPr>
      <w:r w:rsidRPr="006B4950">
        <w:rPr>
          <w:rFonts w:ascii="Times New Roman" w:hAnsi="Times New Roman" w:cs="Times New Roman"/>
          <w:sz w:val="24"/>
          <w:szCs w:val="24"/>
        </w:rPr>
        <w:t>International Monetary Fund. (2023). Côte d'Ivoire: First Reviews Under the Extended Arrangement Under the Extended Fund Facility and Arrangement Under the Extended Credit Facility-Press Release; Staff Report; and Statement by the Executive Director for Côte d'Ivoire. IMF Staff Country Reports, (2023/406). https://doi.org/10.5089/9798400261374.002</w:t>
      </w:r>
      <w:r>
        <w:rPr>
          <w:rFonts w:ascii="Times New Roman" w:hAnsi="Times New Roman" w:cs="Times New Roman"/>
          <w:sz w:val="24"/>
          <w:szCs w:val="24"/>
        </w:rPr>
        <w:t>.</w:t>
      </w:r>
    </w:p>
    <w:p w14:paraId="19D1468B" w14:textId="74A5A515" w:rsidR="00905A62" w:rsidRPr="0049477B" w:rsidRDefault="006B4950" w:rsidP="0049477B">
      <w:pPr>
        <w:pStyle w:val="ListParagraph"/>
        <w:numPr>
          <w:ilvl w:val="0"/>
          <w:numId w:val="4"/>
        </w:numPr>
        <w:spacing w:line="360" w:lineRule="auto"/>
        <w:jc w:val="both"/>
        <w:rPr>
          <w:rFonts w:ascii="Times New Roman" w:hAnsi="Times New Roman" w:cs="Times New Roman"/>
          <w:sz w:val="24"/>
          <w:szCs w:val="24"/>
        </w:rPr>
      </w:pPr>
      <w:r w:rsidRPr="006B4950">
        <w:rPr>
          <w:rFonts w:ascii="Times New Roman" w:hAnsi="Times New Roman" w:cs="Times New Roman"/>
          <w:sz w:val="24"/>
          <w:szCs w:val="24"/>
        </w:rPr>
        <w:t>Jiang, J., &amp; Kim, D. (2013). Exchange rate pass-through to inflation in China. Economic Modelling, 33(C), 900-912. https://doi.org/10.1016/j.econmod.2013.05.021</w:t>
      </w:r>
      <w:r>
        <w:rPr>
          <w:rFonts w:ascii="Times New Roman" w:hAnsi="Times New Roman" w:cs="Times New Roman"/>
          <w:sz w:val="24"/>
          <w:szCs w:val="24"/>
        </w:rPr>
        <w:t>.</w:t>
      </w:r>
      <w:r w:rsidR="00BE724A">
        <w:rPr>
          <w:rFonts w:ascii="Times New Roman" w:hAnsi="Times New Roman" w:cs="Times New Roman"/>
          <w:sz w:val="24"/>
          <w:szCs w:val="24"/>
        </w:rPr>
        <w:t xml:space="preserve"> </w:t>
      </w:r>
    </w:p>
    <w:p w14:paraId="0C8BF334" w14:textId="12FE41A5"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Kouadio, K., </w:t>
      </w:r>
      <w:r w:rsidR="006B4950">
        <w:rPr>
          <w:rFonts w:ascii="Times New Roman" w:hAnsi="Times New Roman" w:cs="Times New Roman"/>
          <w:sz w:val="24"/>
          <w:szCs w:val="24"/>
        </w:rPr>
        <w:t>&amp;</w:t>
      </w:r>
      <w:r w:rsidRPr="0049477B">
        <w:rPr>
          <w:rFonts w:ascii="Times New Roman" w:hAnsi="Times New Roman" w:cs="Times New Roman"/>
          <w:sz w:val="24"/>
          <w:szCs w:val="24"/>
        </w:rPr>
        <w:t xml:space="preserve"> N'Guessan, D. (2022). Inflation, exchange rate and poverty in Côte d'Ivoire: A regression analysis. International Journal of Economics and Finance, 14(5), 100-115.</w:t>
      </w:r>
    </w:p>
    <w:p w14:paraId="6FFDC7E9"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Kouassi, E. (2019). The effects of inflation on poverty in Liberia: An econometric analysis. Liberian Journal of Economic Studies, 2(1), 15-29.</w:t>
      </w:r>
    </w:p>
    <w:p w14:paraId="224004BD" w14:textId="7435F404" w:rsidR="006B4950" w:rsidRDefault="006B4950" w:rsidP="0049477B">
      <w:pPr>
        <w:pStyle w:val="ListParagraph"/>
        <w:numPr>
          <w:ilvl w:val="0"/>
          <w:numId w:val="4"/>
        </w:numPr>
        <w:spacing w:line="360" w:lineRule="auto"/>
        <w:jc w:val="both"/>
        <w:rPr>
          <w:rFonts w:ascii="Times New Roman" w:hAnsi="Times New Roman" w:cs="Times New Roman"/>
          <w:sz w:val="24"/>
          <w:szCs w:val="24"/>
        </w:rPr>
      </w:pPr>
      <w:r w:rsidRPr="006B4950">
        <w:rPr>
          <w:rFonts w:ascii="Times New Roman" w:hAnsi="Times New Roman" w:cs="Times New Roman"/>
          <w:sz w:val="24"/>
          <w:szCs w:val="24"/>
        </w:rPr>
        <w:t xml:space="preserve">Laflèche, T. (1996). The impact of exchange rate movements on consumer prices. Bank of Canada Review, 21-32. </w:t>
      </w:r>
      <w:hyperlink r:id="rId23" w:history="1">
        <w:r w:rsidRPr="00C80801">
          <w:rPr>
            <w:rStyle w:val="Hyperlink"/>
            <w:rFonts w:ascii="Times New Roman" w:hAnsi="Times New Roman" w:cs="Times New Roman"/>
            <w:sz w:val="24"/>
            <w:szCs w:val="24"/>
          </w:rPr>
          <w:t>https://www.bankofcanada.ca/wp-content/uploads/2010/07/rev_winter96-97_lafleche.pdf</w:t>
        </w:r>
      </w:hyperlink>
      <w:r w:rsidRPr="006B4950">
        <w:rPr>
          <w:rFonts w:ascii="Times New Roman" w:hAnsi="Times New Roman" w:cs="Times New Roman"/>
          <w:sz w:val="24"/>
          <w:szCs w:val="24"/>
        </w:rPr>
        <w:t xml:space="preserve"> </w:t>
      </w:r>
    </w:p>
    <w:p w14:paraId="4207CA26" w14:textId="77777777" w:rsidR="006B4950" w:rsidRDefault="006B4950" w:rsidP="0049477B">
      <w:pPr>
        <w:pStyle w:val="ListParagraph"/>
        <w:numPr>
          <w:ilvl w:val="0"/>
          <w:numId w:val="4"/>
        </w:numPr>
        <w:spacing w:line="360" w:lineRule="auto"/>
        <w:jc w:val="both"/>
        <w:rPr>
          <w:rFonts w:ascii="Times New Roman" w:hAnsi="Times New Roman" w:cs="Times New Roman"/>
          <w:sz w:val="24"/>
          <w:szCs w:val="24"/>
        </w:rPr>
      </w:pPr>
      <w:r w:rsidRPr="006B4950">
        <w:rPr>
          <w:rFonts w:ascii="Times New Roman" w:hAnsi="Times New Roman" w:cs="Times New Roman"/>
          <w:sz w:val="24"/>
          <w:szCs w:val="24"/>
        </w:rPr>
        <w:t>Liberian Institute of Statistics and Geo-Information Services. (2023). *2023 Socioeconomic Statistical Bulletin*. Monrovia: LISGIS.</w:t>
      </w:r>
    </w:p>
    <w:p w14:paraId="3780B136" w14:textId="3157D5C6" w:rsidR="006B4950" w:rsidRDefault="006B4950" w:rsidP="0049477B">
      <w:pPr>
        <w:pStyle w:val="ListParagraph"/>
        <w:numPr>
          <w:ilvl w:val="0"/>
          <w:numId w:val="4"/>
        </w:numPr>
        <w:spacing w:line="360" w:lineRule="auto"/>
        <w:jc w:val="both"/>
        <w:rPr>
          <w:rFonts w:ascii="Times New Roman" w:hAnsi="Times New Roman" w:cs="Times New Roman"/>
          <w:sz w:val="24"/>
          <w:szCs w:val="24"/>
        </w:rPr>
      </w:pPr>
      <w:r w:rsidRPr="006B4950">
        <w:rPr>
          <w:rFonts w:ascii="Times New Roman" w:hAnsi="Times New Roman" w:cs="Times New Roman"/>
          <w:sz w:val="24"/>
          <w:szCs w:val="24"/>
        </w:rPr>
        <w:t>Mensah, A. (2017). The effects of inflation on poverty in Ghana: A mixed-methods approach. Ghana Journal of Development Studies, 14(2), 89-104.</w:t>
      </w:r>
    </w:p>
    <w:p w14:paraId="23A466EB" w14:textId="77777777" w:rsidR="006B4950" w:rsidRDefault="006B4950" w:rsidP="0049477B">
      <w:pPr>
        <w:pStyle w:val="ListParagraph"/>
        <w:numPr>
          <w:ilvl w:val="0"/>
          <w:numId w:val="4"/>
        </w:numPr>
        <w:spacing w:line="360" w:lineRule="auto"/>
        <w:jc w:val="both"/>
        <w:rPr>
          <w:rFonts w:ascii="Times New Roman" w:hAnsi="Times New Roman" w:cs="Times New Roman"/>
          <w:sz w:val="24"/>
          <w:szCs w:val="24"/>
        </w:rPr>
      </w:pPr>
      <w:r w:rsidRPr="006B4950">
        <w:rPr>
          <w:rFonts w:ascii="Times New Roman" w:hAnsi="Times New Roman" w:cs="Times New Roman"/>
          <w:sz w:val="24"/>
          <w:szCs w:val="24"/>
        </w:rPr>
        <w:t xml:space="preserve">Mensah, R. A., and </w:t>
      </w:r>
      <w:proofErr w:type="spellStart"/>
      <w:r w:rsidRPr="006B4950">
        <w:rPr>
          <w:rFonts w:ascii="Times New Roman" w:hAnsi="Times New Roman" w:cs="Times New Roman"/>
          <w:sz w:val="24"/>
          <w:szCs w:val="24"/>
        </w:rPr>
        <w:t>Kpessa</w:t>
      </w:r>
      <w:proofErr w:type="spellEnd"/>
      <w:r w:rsidRPr="006B4950">
        <w:rPr>
          <w:rFonts w:ascii="Times New Roman" w:hAnsi="Times New Roman" w:cs="Times New Roman"/>
          <w:sz w:val="24"/>
          <w:szCs w:val="24"/>
        </w:rPr>
        <w:t>, M. (2021). Inflation, exchange rates and poverty in West Africa: A comparative study of Côte d'Ivoire, Ghana, and Liberia. Journal of African Development, 23(2), 185-204.</w:t>
      </w:r>
    </w:p>
    <w:p w14:paraId="77FC01BC" w14:textId="1242B19C"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lastRenderedPageBreak/>
        <w:t xml:space="preserve">McCallum, B. T. (1990). Inflation and its impact on economic performance. </w:t>
      </w:r>
      <w:r w:rsidRPr="0049477B">
        <w:rPr>
          <w:rFonts w:ascii="Times New Roman" w:hAnsi="Times New Roman" w:cs="Times New Roman"/>
          <w:i/>
          <w:iCs/>
          <w:sz w:val="24"/>
          <w:szCs w:val="24"/>
        </w:rPr>
        <w:t>Journal of Monetary Economics</w:t>
      </w:r>
      <w:r w:rsidRPr="0049477B">
        <w:rPr>
          <w:rFonts w:ascii="Times New Roman" w:hAnsi="Times New Roman" w:cs="Times New Roman"/>
          <w:sz w:val="24"/>
          <w:szCs w:val="24"/>
        </w:rPr>
        <w:t>, 28(2), 225-247.</w:t>
      </w:r>
    </w:p>
    <w:p w14:paraId="76CE2419" w14:textId="24B2EA5D" w:rsidR="006B4950" w:rsidRDefault="006B4950" w:rsidP="0049477B">
      <w:pPr>
        <w:pStyle w:val="ListParagraph"/>
        <w:numPr>
          <w:ilvl w:val="0"/>
          <w:numId w:val="4"/>
        </w:numPr>
        <w:spacing w:line="360" w:lineRule="auto"/>
        <w:jc w:val="both"/>
        <w:rPr>
          <w:rFonts w:ascii="Times New Roman" w:hAnsi="Times New Roman" w:cs="Times New Roman"/>
          <w:sz w:val="24"/>
          <w:szCs w:val="24"/>
        </w:rPr>
      </w:pPr>
      <w:r w:rsidRPr="006B4950">
        <w:rPr>
          <w:rFonts w:ascii="Times New Roman" w:hAnsi="Times New Roman" w:cs="Times New Roman"/>
          <w:sz w:val="24"/>
          <w:szCs w:val="24"/>
        </w:rPr>
        <w:t xml:space="preserve">Mundell, R. A. (1962). The appropriate use of monetary and fiscal policy for internal and external stability. IMF Staff Papers, 9(1), 70–79. </w:t>
      </w:r>
      <w:hyperlink r:id="rId24" w:history="1">
        <w:r w:rsidRPr="00C80801">
          <w:rPr>
            <w:rStyle w:val="Hyperlink"/>
            <w:rFonts w:ascii="Times New Roman" w:hAnsi="Times New Roman" w:cs="Times New Roman"/>
            <w:sz w:val="24"/>
            <w:szCs w:val="24"/>
          </w:rPr>
          <w:t>http://www.jstor.org/stable/3866082</w:t>
        </w:r>
      </w:hyperlink>
    </w:p>
    <w:p w14:paraId="670D224B" w14:textId="77777777" w:rsidR="006B4950" w:rsidRDefault="006B4950" w:rsidP="0049477B">
      <w:pPr>
        <w:pStyle w:val="ListParagraph"/>
        <w:numPr>
          <w:ilvl w:val="0"/>
          <w:numId w:val="4"/>
        </w:numPr>
        <w:spacing w:line="360" w:lineRule="auto"/>
        <w:jc w:val="both"/>
        <w:rPr>
          <w:rFonts w:ascii="Times New Roman" w:hAnsi="Times New Roman" w:cs="Times New Roman"/>
          <w:sz w:val="24"/>
          <w:szCs w:val="24"/>
        </w:rPr>
      </w:pPr>
      <w:r w:rsidRPr="006B4950">
        <w:rPr>
          <w:rFonts w:ascii="Times New Roman" w:hAnsi="Times New Roman" w:cs="Times New Roman"/>
          <w:sz w:val="24"/>
          <w:szCs w:val="24"/>
        </w:rPr>
        <w:t>Myrdal, G. (1957). Economic Theory and Underdeveloped Regions. Harper &amp; Brothers.</w:t>
      </w:r>
    </w:p>
    <w:p w14:paraId="632EB63B" w14:textId="77777777" w:rsidR="00247D97" w:rsidRDefault="00247D97" w:rsidP="0049477B">
      <w:pPr>
        <w:pStyle w:val="ListParagraph"/>
        <w:numPr>
          <w:ilvl w:val="0"/>
          <w:numId w:val="4"/>
        </w:numPr>
        <w:spacing w:line="360" w:lineRule="auto"/>
        <w:jc w:val="both"/>
        <w:rPr>
          <w:rFonts w:ascii="Times New Roman" w:hAnsi="Times New Roman" w:cs="Times New Roman"/>
          <w:sz w:val="24"/>
          <w:szCs w:val="24"/>
        </w:rPr>
      </w:pPr>
      <w:r w:rsidRPr="00247D97">
        <w:rPr>
          <w:rFonts w:ascii="Times New Roman" w:hAnsi="Times New Roman" w:cs="Times New Roman"/>
          <w:sz w:val="24"/>
          <w:szCs w:val="24"/>
        </w:rPr>
        <w:t>Ndou, M. (2020). The effects of inflation on poverty in Senegal: A statistical analysis. Senegalese Journal of Economic Studies, 15(3), 22-37.</w:t>
      </w:r>
    </w:p>
    <w:p w14:paraId="062525C3" w14:textId="77777777" w:rsidR="00247D97" w:rsidRDefault="00247D97" w:rsidP="0049477B">
      <w:pPr>
        <w:pStyle w:val="ListParagraph"/>
        <w:numPr>
          <w:ilvl w:val="0"/>
          <w:numId w:val="4"/>
        </w:numPr>
        <w:spacing w:line="360" w:lineRule="auto"/>
        <w:jc w:val="both"/>
        <w:rPr>
          <w:rFonts w:ascii="Times New Roman" w:hAnsi="Times New Roman" w:cs="Times New Roman"/>
          <w:sz w:val="24"/>
          <w:szCs w:val="24"/>
        </w:rPr>
      </w:pPr>
      <w:r w:rsidRPr="00247D97">
        <w:rPr>
          <w:rFonts w:ascii="Times New Roman" w:hAnsi="Times New Roman" w:cs="Times New Roman"/>
          <w:sz w:val="24"/>
          <w:szCs w:val="24"/>
        </w:rPr>
        <w:t>Obi, J. N., Okanlawon, K. O., and Kelechi, E. (2020). Inflation, exchange rates and poverty in West Africa: An empirical analysis. West African Economic Review, 11(3), 134-150.</w:t>
      </w:r>
    </w:p>
    <w:p w14:paraId="2AAFABE6" w14:textId="77777777" w:rsidR="00247D97" w:rsidRPr="00247D97" w:rsidRDefault="00247D97" w:rsidP="0049477B">
      <w:pPr>
        <w:pStyle w:val="ListParagraph"/>
        <w:numPr>
          <w:ilvl w:val="0"/>
          <w:numId w:val="4"/>
        </w:numPr>
        <w:spacing w:line="360" w:lineRule="auto"/>
        <w:jc w:val="both"/>
        <w:rPr>
          <w:rFonts w:ascii="Times New Roman" w:hAnsi="Times New Roman" w:cs="Times New Roman"/>
          <w:sz w:val="24"/>
          <w:szCs w:val="24"/>
        </w:rPr>
      </w:pPr>
      <w:r w:rsidRPr="00247D97">
        <w:rPr>
          <w:rFonts w:ascii="Times New Roman" w:hAnsi="Times New Roman" w:cs="Times New Roman"/>
          <w:sz w:val="24"/>
          <w:szCs w:val="24"/>
        </w:rPr>
        <w:t>OECD. (2022). Economic outlook for West African countries: Exchange rate instability and inflation. Paris: OECD Publications</w:t>
      </w:r>
      <w:r w:rsidRPr="00247D97">
        <w:rPr>
          <w:rFonts w:ascii="Times New Roman" w:hAnsi="Times New Roman" w:cs="Times New Roman"/>
          <w:sz w:val="24"/>
          <w:szCs w:val="24"/>
        </w:rPr>
        <w:t>.</w:t>
      </w:r>
    </w:p>
    <w:p w14:paraId="0A23A7EA" w14:textId="75CC0358" w:rsidR="00247D97" w:rsidRPr="00247D97" w:rsidRDefault="00247D97" w:rsidP="0049477B">
      <w:pPr>
        <w:pStyle w:val="ListParagraph"/>
        <w:numPr>
          <w:ilvl w:val="0"/>
          <w:numId w:val="4"/>
        </w:numPr>
        <w:spacing w:line="360" w:lineRule="auto"/>
        <w:jc w:val="both"/>
        <w:rPr>
          <w:rFonts w:ascii="Times New Roman" w:hAnsi="Times New Roman" w:cs="Times New Roman"/>
          <w:sz w:val="24"/>
          <w:szCs w:val="24"/>
          <w:highlight w:val="yellow"/>
        </w:rPr>
      </w:pPr>
      <w:r w:rsidRPr="00247D97">
        <w:rPr>
          <w:rFonts w:ascii="Times New Roman" w:hAnsi="Times New Roman" w:cs="Times New Roman"/>
          <w:sz w:val="24"/>
          <w:szCs w:val="24"/>
        </w:rPr>
        <w:t>Olatunji, A. O., and Adeosun, K. A. (2020). Public Sector Inefficiency and Fiscal Policy Outcomes in Nigeria. African Development Review, 32(1), 94-112.</w:t>
      </w:r>
    </w:p>
    <w:p w14:paraId="315BDF1E" w14:textId="5A8FA3F5" w:rsidR="00247D97" w:rsidRDefault="00247D97" w:rsidP="0049477B">
      <w:pPr>
        <w:pStyle w:val="ListParagraph"/>
        <w:numPr>
          <w:ilvl w:val="0"/>
          <w:numId w:val="4"/>
        </w:numPr>
        <w:spacing w:line="360" w:lineRule="auto"/>
        <w:jc w:val="both"/>
        <w:rPr>
          <w:rFonts w:ascii="Times New Roman" w:hAnsi="Times New Roman" w:cs="Times New Roman"/>
          <w:sz w:val="24"/>
          <w:szCs w:val="24"/>
        </w:rPr>
      </w:pPr>
      <w:r w:rsidRPr="00247D97">
        <w:rPr>
          <w:rFonts w:ascii="Times New Roman" w:hAnsi="Times New Roman" w:cs="Times New Roman"/>
          <w:sz w:val="24"/>
          <w:szCs w:val="24"/>
        </w:rPr>
        <w:t xml:space="preserve">Onuoha, I. P. (2014). Impact of exchange rate variation and inflation on the economic growth of Nigeria: An empirical approach. *Research Journal of Finance and Accounting*, *5*(22), 166-176. </w:t>
      </w:r>
      <w:hyperlink r:id="rId25" w:history="1">
        <w:r w:rsidRPr="00C80801">
          <w:rPr>
            <w:rStyle w:val="Hyperlink"/>
            <w:rFonts w:ascii="Times New Roman" w:hAnsi="Times New Roman" w:cs="Times New Roman"/>
            <w:sz w:val="24"/>
            <w:szCs w:val="24"/>
          </w:rPr>
          <w:t>https://core.ac.uk/download/pdf/234690009.pdf</w:t>
        </w:r>
      </w:hyperlink>
    </w:p>
    <w:p w14:paraId="7E159BDF" w14:textId="4EE1FFCB" w:rsidR="00905A62" w:rsidRPr="0049477B" w:rsidRDefault="00247D97"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247D97">
        <w:rPr>
          <w:rFonts w:ascii="Times New Roman" w:hAnsi="Times New Roman" w:cs="Times New Roman"/>
          <w:sz w:val="24"/>
          <w:szCs w:val="24"/>
        </w:rPr>
        <w:t>Oyejide</w:t>
      </w:r>
      <w:proofErr w:type="spellEnd"/>
      <w:r w:rsidRPr="00247D97">
        <w:rPr>
          <w:rFonts w:ascii="Times New Roman" w:hAnsi="Times New Roman" w:cs="Times New Roman"/>
          <w:sz w:val="24"/>
          <w:szCs w:val="24"/>
        </w:rPr>
        <w:t>, T. (2020). Currency depreciation and its impact on poverty in West Africa. African Development Review, 35(4), 450-468.</w:t>
      </w:r>
    </w:p>
    <w:p w14:paraId="069533A4" w14:textId="23253149" w:rsidR="00247D97" w:rsidRDefault="00247D97"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247D97">
        <w:rPr>
          <w:rFonts w:ascii="Times New Roman" w:hAnsi="Times New Roman" w:cs="Times New Roman"/>
          <w:sz w:val="24"/>
          <w:szCs w:val="24"/>
        </w:rPr>
        <w:t>Prebisch</w:t>
      </w:r>
      <w:proofErr w:type="spellEnd"/>
      <w:r w:rsidRPr="00247D97">
        <w:rPr>
          <w:rFonts w:ascii="Times New Roman" w:hAnsi="Times New Roman" w:cs="Times New Roman"/>
          <w:sz w:val="24"/>
          <w:szCs w:val="24"/>
        </w:rPr>
        <w:t xml:space="preserve">, R. (1950). The Economic Development of Latin America and its Principal Problems. United Nations. </w:t>
      </w:r>
      <w:hyperlink r:id="rId26" w:history="1">
        <w:r w:rsidRPr="00C80801">
          <w:rPr>
            <w:rStyle w:val="Hyperlink"/>
            <w:rFonts w:ascii="Times New Roman" w:hAnsi="Times New Roman" w:cs="Times New Roman"/>
            <w:sz w:val="24"/>
            <w:szCs w:val="24"/>
          </w:rPr>
          <w:t>http://repositorio.cepal.org/handle/11362/29973</w:t>
        </w:r>
      </w:hyperlink>
      <w:r>
        <w:rPr>
          <w:rFonts w:ascii="Times New Roman" w:hAnsi="Times New Roman" w:cs="Times New Roman"/>
          <w:sz w:val="24"/>
          <w:szCs w:val="24"/>
        </w:rPr>
        <w:t>.</w:t>
      </w:r>
    </w:p>
    <w:p w14:paraId="3080D586" w14:textId="72160C56" w:rsidR="00247D97" w:rsidRDefault="00247D97" w:rsidP="0049477B">
      <w:pPr>
        <w:pStyle w:val="ListParagraph"/>
        <w:numPr>
          <w:ilvl w:val="0"/>
          <w:numId w:val="4"/>
        </w:numPr>
        <w:spacing w:line="360" w:lineRule="auto"/>
        <w:jc w:val="both"/>
        <w:rPr>
          <w:rFonts w:ascii="Times New Roman" w:hAnsi="Times New Roman" w:cs="Times New Roman"/>
          <w:sz w:val="24"/>
          <w:szCs w:val="24"/>
        </w:rPr>
      </w:pPr>
      <w:r w:rsidRPr="00247D97">
        <w:rPr>
          <w:rFonts w:ascii="Times New Roman" w:hAnsi="Times New Roman" w:cs="Times New Roman"/>
          <w:sz w:val="24"/>
          <w:szCs w:val="24"/>
        </w:rPr>
        <w:t xml:space="preserve">Senegal National Agency of Statistics and Demography. (2023). Rapport sur la Situation </w:t>
      </w:r>
      <w:proofErr w:type="spellStart"/>
      <w:r w:rsidRPr="00247D97">
        <w:rPr>
          <w:rFonts w:ascii="Times New Roman" w:hAnsi="Times New Roman" w:cs="Times New Roman"/>
          <w:sz w:val="24"/>
          <w:szCs w:val="24"/>
        </w:rPr>
        <w:t>économique</w:t>
      </w:r>
      <w:proofErr w:type="spellEnd"/>
      <w:r w:rsidRPr="00247D97">
        <w:rPr>
          <w:rFonts w:ascii="Times New Roman" w:hAnsi="Times New Roman" w:cs="Times New Roman"/>
          <w:sz w:val="24"/>
          <w:szCs w:val="24"/>
        </w:rPr>
        <w:t xml:space="preserve"> et </w:t>
      </w:r>
      <w:proofErr w:type="spellStart"/>
      <w:r w:rsidRPr="00247D97">
        <w:rPr>
          <w:rFonts w:ascii="Times New Roman" w:hAnsi="Times New Roman" w:cs="Times New Roman"/>
          <w:sz w:val="24"/>
          <w:szCs w:val="24"/>
        </w:rPr>
        <w:t>sociale</w:t>
      </w:r>
      <w:proofErr w:type="spellEnd"/>
      <w:r w:rsidRPr="00247D97">
        <w:rPr>
          <w:rFonts w:ascii="Times New Roman" w:hAnsi="Times New Roman" w:cs="Times New Roman"/>
          <w:sz w:val="24"/>
          <w:szCs w:val="24"/>
        </w:rPr>
        <w:t xml:space="preserve"> du Sénégal 2022-2023. Dakar: ANSD Publications. </w:t>
      </w:r>
      <w:hyperlink r:id="rId27" w:history="1">
        <w:r w:rsidRPr="00C80801">
          <w:rPr>
            <w:rStyle w:val="Hyperlink"/>
            <w:rFonts w:ascii="Times New Roman" w:hAnsi="Times New Roman" w:cs="Times New Roman"/>
            <w:sz w:val="24"/>
            <w:szCs w:val="24"/>
          </w:rPr>
          <w:t>https://www.ansd.sn/publication-du-rapport-sur-la-situation-economique-et-sociale-du-senegal-2022-2023/</w:t>
        </w:r>
      </w:hyperlink>
      <w:r>
        <w:rPr>
          <w:rFonts w:ascii="Times New Roman" w:hAnsi="Times New Roman" w:cs="Times New Roman"/>
          <w:sz w:val="24"/>
          <w:szCs w:val="24"/>
        </w:rPr>
        <w:t>.</w:t>
      </w:r>
    </w:p>
    <w:p w14:paraId="5B1F0D9E" w14:textId="77777777" w:rsidR="00247D97" w:rsidRDefault="00247D97" w:rsidP="0049477B">
      <w:pPr>
        <w:pStyle w:val="ListParagraph"/>
        <w:numPr>
          <w:ilvl w:val="0"/>
          <w:numId w:val="4"/>
        </w:numPr>
        <w:spacing w:line="360" w:lineRule="auto"/>
        <w:jc w:val="both"/>
        <w:rPr>
          <w:rFonts w:ascii="Times New Roman" w:hAnsi="Times New Roman" w:cs="Times New Roman"/>
          <w:sz w:val="24"/>
          <w:szCs w:val="24"/>
        </w:rPr>
      </w:pPr>
      <w:r w:rsidRPr="00247D97">
        <w:rPr>
          <w:rFonts w:ascii="Times New Roman" w:hAnsi="Times New Roman" w:cs="Times New Roman"/>
          <w:sz w:val="24"/>
          <w:szCs w:val="24"/>
        </w:rPr>
        <w:t>Sossou, P. G., Fagbenie, A., and Seay, K. (2019). Inflation, economic growth, and poverty in Liberia: A dynamic panel analysis. African Journal of Economic and Management Studies, 10(3), 310-326.</w:t>
      </w:r>
    </w:p>
    <w:p w14:paraId="06764DE1" w14:textId="7033F3A5" w:rsidR="00247D97" w:rsidRDefault="00247D97"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247D97">
        <w:rPr>
          <w:rFonts w:ascii="Times New Roman" w:hAnsi="Times New Roman" w:cs="Times New Roman"/>
          <w:sz w:val="24"/>
          <w:szCs w:val="24"/>
        </w:rPr>
        <w:t>Tandrayen-Ragoobur</w:t>
      </w:r>
      <w:proofErr w:type="spellEnd"/>
      <w:r w:rsidRPr="00247D97">
        <w:rPr>
          <w:rFonts w:ascii="Times New Roman" w:hAnsi="Times New Roman" w:cs="Times New Roman"/>
          <w:sz w:val="24"/>
          <w:szCs w:val="24"/>
        </w:rPr>
        <w:t xml:space="preserve">, V., &amp; </w:t>
      </w:r>
      <w:proofErr w:type="spellStart"/>
      <w:r w:rsidRPr="00247D97">
        <w:rPr>
          <w:rFonts w:ascii="Times New Roman" w:hAnsi="Times New Roman" w:cs="Times New Roman"/>
          <w:sz w:val="24"/>
          <w:szCs w:val="24"/>
        </w:rPr>
        <w:t>Chicooree</w:t>
      </w:r>
      <w:proofErr w:type="spellEnd"/>
      <w:r w:rsidRPr="00247D97">
        <w:rPr>
          <w:rFonts w:ascii="Times New Roman" w:hAnsi="Times New Roman" w:cs="Times New Roman"/>
          <w:sz w:val="24"/>
          <w:szCs w:val="24"/>
        </w:rPr>
        <w:t xml:space="preserve">, A. (2013). Exchange rate </w:t>
      </w:r>
      <w:proofErr w:type="gramStart"/>
      <w:r w:rsidRPr="00247D97">
        <w:rPr>
          <w:rFonts w:ascii="Times New Roman" w:hAnsi="Times New Roman" w:cs="Times New Roman"/>
          <w:sz w:val="24"/>
          <w:szCs w:val="24"/>
        </w:rPr>
        <w:t>pass</w:t>
      </w:r>
      <w:proofErr w:type="gramEnd"/>
      <w:r w:rsidRPr="00247D97">
        <w:rPr>
          <w:rFonts w:ascii="Times New Roman" w:hAnsi="Times New Roman" w:cs="Times New Roman"/>
          <w:sz w:val="24"/>
          <w:szCs w:val="24"/>
        </w:rPr>
        <w:t xml:space="preserve"> through to domestic prices: Evidence from Mauritius. Journal of Economic Research, 18(1), 1–33. </w:t>
      </w:r>
      <w:hyperlink r:id="rId28" w:history="1">
        <w:r w:rsidRPr="00C80801">
          <w:rPr>
            <w:rStyle w:val="Hyperlink"/>
            <w:rFonts w:ascii="Times New Roman" w:hAnsi="Times New Roman" w:cs="Times New Roman"/>
            <w:sz w:val="24"/>
            <w:szCs w:val="24"/>
          </w:rPr>
          <w:t>https://doi.org/10.17256/jer.2013.18.1.001</w:t>
        </w:r>
      </w:hyperlink>
      <w:r>
        <w:rPr>
          <w:rFonts w:ascii="Times New Roman" w:hAnsi="Times New Roman" w:cs="Times New Roman"/>
          <w:sz w:val="24"/>
          <w:szCs w:val="24"/>
        </w:rPr>
        <w:t>.</w:t>
      </w:r>
    </w:p>
    <w:p w14:paraId="7EF2B582" w14:textId="66FE9F6B" w:rsidR="00247D97" w:rsidRDefault="00247D97" w:rsidP="0049477B">
      <w:pPr>
        <w:pStyle w:val="ListParagraph"/>
        <w:numPr>
          <w:ilvl w:val="0"/>
          <w:numId w:val="4"/>
        </w:numPr>
        <w:spacing w:line="360" w:lineRule="auto"/>
        <w:jc w:val="both"/>
        <w:rPr>
          <w:rFonts w:ascii="Times New Roman" w:hAnsi="Times New Roman" w:cs="Times New Roman"/>
          <w:sz w:val="24"/>
          <w:szCs w:val="24"/>
        </w:rPr>
      </w:pPr>
      <w:r w:rsidRPr="00247D97">
        <w:rPr>
          <w:rFonts w:ascii="Times New Roman" w:hAnsi="Times New Roman" w:cs="Times New Roman"/>
          <w:sz w:val="24"/>
          <w:szCs w:val="24"/>
        </w:rPr>
        <w:lastRenderedPageBreak/>
        <w:t xml:space="preserve">Townsend, P. (1979). Poverty in the United Kingdom: A Survey of Household Resources and Standards of Living. Penguin Books. </w:t>
      </w:r>
      <w:hyperlink r:id="rId29" w:history="1">
        <w:r w:rsidRPr="00C80801">
          <w:rPr>
            <w:rStyle w:val="Hyperlink"/>
            <w:rFonts w:ascii="Times New Roman" w:hAnsi="Times New Roman" w:cs="Times New Roman"/>
            <w:sz w:val="24"/>
            <w:szCs w:val="24"/>
          </w:rPr>
          <w:t>https://doi.org/10.1525/9780520325760</w:t>
        </w:r>
      </w:hyperlink>
      <w:r>
        <w:rPr>
          <w:rFonts w:ascii="Times New Roman" w:hAnsi="Times New Roman" w:cs="Times New Roman"/>
          <w:sz w:val="24"/>
          <w:szCs w:val="24"/>
        </w:rPr>
        <w:t>.</w:t>
      </w:r>
    </w:p>
    <w:p w14:paraId="406CE389" w14:textId="6A1A756E" w:rsidR="00247D97" w:rsidRDefault="00247D97" w:rsidP="0049477B">
      <w:pPr>
        <w:pStyle w:val="ListParagraph"/>
        <w:numPr>
          <w:ilvl w:val="0"/>
          <w:numId w:val="4"/>
        </w:numPr>
        <w:spacing w:line="360" w:lineRule="auto"/>
        <w:jc w:val="both"/>
        <w:rPr>
          <w:rFonts w:ascii="Times New Roman" w:hAnsi="Times New Roman" w:cs="Times New Roman"/>
          <w:sz w:val="24"/>
          <w:szCs w:val="24"/>
        </w:rPr>
      </w:pPr>
      <w:r w:rsidRPr="00247D97">
        <w:rPr>
          <w:rFonts w:ascii="Times New Roman" w:hAnsi="Times New Roman" w:cs="Times New Roman"/>
          <w:sz w:val="24"/>
          <w:szCs w:val="24"/>
        </w:rPr>
        <w:t xml:space="preserve">UNDP. (2022). Structural barriers to economic development and poverty reduction in West Africa. New York: United Nations Development </w:t>
      </w:r>
      <w:proofErr w:type="spellStart"/>
      <w:r w:rsidRPr="00247D97">
        <w:rPr>
          <w:rFonts w:ascii="Times New Roman" w:hAnsi="Times New Roman" w:cs="Times New Roman"/>
          <w:sz w:val="24"/>
          <w:szCs w:val="24"/>
        </w:rPr>
        <w:t>Programme.</w:t>
      </w:r>
      <w:proofErr w:type="spellEnd"/>
    </w:p>
    <w:p w14:paraId="46ECA095" w14:textId="77777777" w:rsidR="00247D97" w:rsidRDefault="00247D97" w:rsidP="0049477B">
      <w:pPr>
        <w:pStyle w:val="ListParagraph"/>
        <w:numPr>
          <w:ilvl w:val="0"/>
          <w:numId w:val="4"/>
        </w:numPr>
        <w:spacing w:line="360" w:lineRule="auto"/>
        <w:jc w:val="both"/>
        <w:rPr>
          <w:rFonts w:ascii="Times New Roman" w:hAnsi="Times New Roman" w:cs="Times New Roman"/>
          <w:sz w:val="24"/>
          <w:szCs w:val="24"/>
        </w:rPr>
      </w:pPr>
      <w:r w:rsidRPr="00247D97">
        <w:rPr>
          <w:rFonts w:ascii="Times New Roman" w:hAnsi="Times New Roman" w:cs="Times New Roman"/>
          <w:sz w:val="24"/>
          <w:szCs w:val="24"/>
        </w:rPr>
        <w:t>World Bank. (2021). Poverty in West Africa: Trends and challenges. Washington, D.C.: World Bank Group.</w:t>
      </w:r>
    </w:p>
    <w:p w14:paraId="418383F1" w14:textId="77777777" w:rsidR="00247D97" w:rsidRPr="00247D97" w:rsidRDefault="00247D97" w:rsidP="0049477B">
      <w:pPr>
        <w:pStyle w:val="ListParagraph"/>
        <w:numPr>
          <w:ilvl w:val="0"/>
          <w:numId w:val="4"/>
        </w:numPr>
      </w:pPr>
      <w:r w:rsidRPr="00247D97">
        <w:rPr>
          <w:rFonts w:ascii="Times New Roman" w:hAnsi="Times New Roman" w:cs="Times New Roman"/>
          <w:sz w:val="24"/>
          <w:szCs w:val="24"/>
        </w:rPr>
        <w:t>World Bank. (2022). Inflation, exchange rates, and poverty in West African economies. Washington, D.C.: World Bank Economic Reports.</w:t>
      </w:r>
    </w:p>
    <w:p w14:paraId="05F87EF6" w14:textId="77777777" w:rsidR="00247D97" w:rsidRPr="00247D97" w:rsidRDefault="00247D97" w:rsidP="00247D97">
      <w:pPr>
        <w:pStyle w:val="ListParagraph"/>
      </w:pPr>
    </w:p>
    <w:p w14:paraId="28972509" w14:textId="10EBB991" w:rsidR="00905A62" w:rsidRPr="00247D97" w:rsidRDefault="00247D97" w:rsidP="00247D97">
      <w:pPr>
        <w:pStyle w:val="ListParagraph"/>
        <w:numPr>
          <w:ilvl w:val="0"/>
          <w:numId w:val="4"/>
        </w:numPr>
      </w:pPr>
      <w:r w:rsidRPr="00247D97">
        <w:rPr>
          <w:rFonts w:ascii="Times New Roman" w:hAnsi="Times New Roman" w:cs="Times New Roman"/>
          <w:sz w:val="24"/>
          <w:szCs w:val="24"/>
        </w:rPr>
        <w:t xml:space="preserve">World Bank. (2023). Macro Poverty Outlook for Nigeria: April 2023. World Bank. </w:t>
      </w:r>
      <w:hyperlink r:id="rId30" w:history="1">
        <w:r w:rsidRPr="00C80801">
          <w:rPr>
            <w:rStyle w:val="Hyperlink"/>
            <w:rFonts w:ascii="Times New Roman" w:hAnsi="Times New Roman" w:cs="Times New Roman"/>
            <w:sz w:val="24"/>
            <w:szCs w:val="24"/>
          </w:rPr>
          <w:t>https://documents.worldbank.org/en/publication/documents-reports/documentdetail/181380/macro-poverty-outlook-for-nigeria-april-2023</w:t>
        </w:r>
      </w:hyperlink>
      <w:r>
        <w:rPr>
          <w:rFonts w:ascii="Times New Roman" w:hAnsi="Times New Roman" w:cs="Times New Roman"/>
          <w:sz w:val="24"/>
          <w:szCs w:val="24"/>
        </w:rPr>
        <w:t>.</w:t>
      </w:r>
    </w:p>
    <w:p w14:paraId="3E3A997C" w14:textId="77777777" w:rsidR="00247D97" w:rsidRDefault="00247D97" w:rsidP="00247D97">
      <w:pPr>
        <w:pStyle w:val="ListParagraph"/>
      </w:pPr>
    </w:p>
    <w:p w14:paraId="4FA9803D" w14:textId="77777777" w:rsidR="00247D97" w:rsidRDefault="00247D97" w:rsidP="00247D97">
      <w:pPr>
        <w:pStyle w:val="ListParagraph"/>
      </w:pPr>
    </w:p>
    <w:sectPr w:rsidR="00247D97">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F135" w14:textId="77777777" w:rsidR="00035F40" w:rsidRDefault="00035F40" w:rsidP="00295A95">
      <w:pPr>
        <w:spacing w:after="0" w:line="240" w:lineRule="auto"/>
      </w:pPr>
      <w:r>
        <w:separator/>
      </w:r>
    </w:p>
  </w:endnote>
  <w:endnote w:type="continuationSeparator" w:id="0">
    <w:p w14:paraId="738887B1" w14:textId="77777777" w:rsidR="00035F40" w:rsidRDefault="00035F40" w:rsidP="0029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C1EB" w14:textId="77777777" w:rsidR="00295A95" w:rsidRDefault="00295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171C" w14:textId="77777777" w:rsidR="00295A95" w:rsidRDefault="00295A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7EBB" w14:textId="77777777" w:rsidR="00295A95" w:rsidRDefault="00295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2BB7" w14:textId="77777777" w:rsidR="00035F40" w:rsidRDefault="00035F40" w:rsidP="00295A95">
      <w:pPr>
        <w:spacing w:after="0" w:line="240" w:lineRule="auto"/>
      </w:pPr>
      <w:r>
        <w:separator/>
      </w:r>
    </w:p>
  </w:footnote>
  <w:footnote w:type="continuationSeparator" w:id="0">
    <w:p w14:paraId="35C4C6D4" w14:textId="77777777" w:rsidR="00035F40" w:rsidRDefault="00035F40" w:rsidP="00295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67AE" w14:textId="5571F6C7" w:rsidR="00295A95" w:rsidRDefault="00000000">
    <w:pPr>
      <w:pStyle w:val="Header"/>
    </w:pPr>
    <w:r>
      <w:rPr>
        <w:noProof/>
      </w:rPr>
      <w:pict w14:anchorId="1F7B3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798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E2BC" w14:textId="395D116E" w:rsidR="00295A95" w:rsidRDefault="00000000">
    <w:pPr>
      <w:pStyle w:val="Header"/>
    </w:pPr>
    <w:r>
      <w:rPr>
        <w:noProof/>
      </w:rPr>
      <w:pict w14:anchorId="011FB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798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38C4" w14:textId="34C8AA51" w:rsidR="00295A95" w:rsidRDefault="00000000">
    <w:pPr>
      <w:pStyle w:val="Header"/>
    </w:pPr>
    <w:r>
      <w:rPr>
        <w:noProof/>
      </w:rPr>
      <w:pict w14:anchorId="3B39D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798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0AA6"/>
    <w:multiLevelType w:val="multilevel"/>
    <w:tmpl w:val="44189D14"/>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646F31"/>
    <w:multiLevelType w:val="hybridMultilevel"/>
    <w:tmpl w:val="CC02EF0A"/>
    <w:lvl w:ilvl="0" w:tplc="F5FA033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90C7A"/>
    <w:multiLevelType w:val="hybridMultilevel"/>
    <w:tmpl w:val="BE48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A119D4"/>
    <w:multiLevelType w:val="multilevel"/>
    <w:tmpl w:val="0DBC211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87292850">
    <w:abstractNumId w:val="0"/>
  </w:num>
  <w:num w:numId="2" w16cid:durableId="1494645857">
    <w:abstractNumId w:val="3"/>
  </w:num>
  <w:num w:numId="3" w16cid:durableId="589585488">
    <w:abstractNumId w:val="2"/>
  </w:num>
  <w:num w:numId="4" w16cid:durableId="1971352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A62"/>
    <w:rsid w:val="00007798"/>
    <w:rsid w:val="000169F3"/>
    <w:rsid w:val="00027BCB"/>
    <w:rsid w:val="00035F40"/>
    <w:rsid w:val="00083885"/>
    <w:rsid w:val="000E5EF3"/>
    <w:rsid w:val="000F6B0B"/>
    <w:rsid w:val="00117695"/>
    <w:rsid w:val="001821CA"/>
    <w:rsid w:val="00193280"/>
    <w:rsid w:val="001B3A00"/>
    <w:rsid w:val="00247D97"/>
    <w:rsid w:val="00295A95"/>
    <w:rsid w:val="003009A5"/>
    <w:rsid w:val="003E26F3"/>
    <w:rsid w:val="003E27FA"/>
    <w:rsid w:val="00434606"/>
    <w:rsid w:val="004634E4"/>
    <w:rsid w:val="0049477B"/>
    <w:rsid w:val="004B407B"/>
    <w:rsid w:val="004D749C"/>
    <w:rsid w:val="00536E7E"/>
    <w:rsid w:val="00540CCF"/>
    <w:rsid w:val="005E09CF"/>
    <w:rsid w:val="005E2147"/>
    <w:rsid w:val="005E7E56"/>
    <w:rsid w:val="005F472F"/>
    <w:rsid w:val="00602232"/>
    <w:rsid w:val="006A13DB"/>
    <w:rsid w:val="006B4950"/>
    <w:rsid w:val="00720BE2"/>
    <w:rsid w:val="00742D9E"/>
    <w:rsid w:val="00751947"/>
    <w:rsid w:val="00760937"/>
    <w:rsid w:val="007D28D2"/>
    <w:rsid w:val="00803A1B"/>
    <w:rsid w:val="00830972"/>
    <w:rsid w:val="00834CD1"/>
    <w:rsid w:val="0083691A"/>
    <w:rsid w:val="0087724F"/>
    <w:rsid w:val="00886388"/>
    <w:rsid w:val="008B1217"/>
    <w:rsid w:val="008B4510"/>
    <w:rsid w:val="00905A62"/>
    <w:rsid w:val="00912A52"/>
    <w:rsid w:val="00936B1C"/>
    <w:rsid w:val="009760DA"/>
    <w:rsid w:val="009A76A6"/>
    <w:rsid w:val="009C6F36"/>
    <w:rsid w:val="009E6C22"/>
    <w:rsid w:val="00A37396"/>
    <w:rsid w:val="00A54801"/>
    <w:rsid w:val="00A86CE0"/>
    <w:rsid w:val="00AD7C95"/>
    <w:rsid w:val="00B02C6A"/>
    <w:rsid w:val="00B04C18"/>
    <w:rsid w:val="00B34608"/>
    <w:rsid w:val="00B40E52"/>
    <w:rsid w:val="00B81FC1"/>
    <w:rsid w:val="00B8728D"/>
    <w:rsid w:val="00BD6927"/>
    <w:rsid w:val="00BE724A"/>
    <w:rsid w:val="00C027C8"/>
    <w:rsid w:val="00C425A5"/>
    <w:rsid w:val="00C721BC"/>
    <w:rsid w:val="00CF7315"/>
    <w:rsid w:val="00D22652"/>
    <w:rsid w:val="00D35AAB"/>
    <w:rsid w:val="00DB41E7"/>
    <w:rsid w:val="00DC1A85"/>
    <w:rsid w:val="00ED1926"/>
    <w:rsid w:val="00F5452A"/>
    <w:rsid w:val="00F81AF7"/>
    <w:rsid w:val="00FC2D50"/>
    <w:rsid w:val="00FD310E"/>
    <w:rsid w:val="00FD7F20"/>
    <w:rsid w:val="00FE234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B35B0"/>
  <w15:chartTrackingRefBased/>
  <w15:docId w15:val="{5D1116DC-7B0C-439F-8536-884F2CDB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A62"/>
  </w:style>
  <w:style w:type="paragraph" w:styleId="Heading2">
    <w:name w:val="heading 2"/>
    <w:basedOn w:val="Normal"/>
    <w:next w:val="Normal"/>
    <w:link w:val="Heading2Char"/>
    <w:uiPriority w:val="9"/>
    <w:unhideWhenUsed/>
    <w:qFormat/>
    <w:rsid w:val="00905A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05A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5A62"/>
    <w:rPr>
      <w:rFonts w:ascii="Times New Roman" w:eastAsia="Times New Roman" w:hAnsi="Times New Roman" w:cs="Times New Roman"/>
      <w:b/>
      <w:bCs/>
      <w:sz w:val="27"/>
      <w:szCs w:val="27"/>
    </w:rPr>
  </w:style>
  <w:style w:type="character" w:styleId="Strong">
    <w:name w:val="Strong"/>
    <w:basedOn w:val="DefaultParagraphFont"/>
    <w:uiPriority w:val="22"/>
    <w:qFormat/>
    <w:rsid w:val="00905A62"/>
    <w:rPr>
      <w:b/>
      <w:bCs/>
    </w:rPr>
  </w:style>
  <w:style w:type="character" w:customStyle="1" w:styleId="Heading2Char">
    <w:name w:val="Heading 2 Char"/>
    <w:basedOn w:val="DefaultParagraphFont"/>
    <w:link w:val="Heading2"/>
    <w:uiPriority w:val="9"/>
    <w:rsid w:val="00905A62"/>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905A62"/>
    <w:pPr>
      <w:spacing w:after="200" w:line="240" w:lineRule="auto"/>
    </w:pPr>
    <w:rPr>
      <w:i/>
      <w:iCs/>
      <w:color w:val="44546A" w:themeColor="text2"/>
      <w:sz w:val="18"/>
      <w:szCs w:val="18"/>
    </w:rPr>
  </w:style>
  <w:style w:type="paragraph" w:styleId="NoSpacing">
    <w:name w:val="No Spacing"/>
    <w:uiPriority w:val="1"/>
    <w:qFormat/>
    <w:rsid w:val="00905A62"/>
    <w:pPr>
      <w:spacing w:after="0" w:line="240" w:lineRule="auto"/>
    </w:pPr>
  </w:style>
  <w:style w:type="table" w:styleId="TableGrid">
    <w:name w:val="Table Grid"/>
    <w:basedOn w:val="TableNormal"/>
    <w:uiPriority w:val="39"/>
    <w:rsid w:val="0090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5A6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5A62"/>
    <w:pPr>
      <w:ind w:left="720"/>
      <w:contextualSpacing/>
    </w:pPr>
  </w:style>
  <w:style w:type="character" w:styleId="Hyperlink">
    <w:name w:val="Hyperlink"/>
    <w:basedOn w:val="DefaultParagraphFont"/>
    <w:uiPriority w:val="99"/>
    <w:unhideWhenUsed/>
    <w:rsid w:val="00B40E52"/>
    <w:rPr>
      <w:color w:val="0563C1" w:themeColor="hyperlink"/>
      <w:u w:val="single"/>
    </w:rPr>
  </w:style>
  <w:style w:type="character" w:styleId="UnresolvedMention">
    <w:name w:val="Unresolved Mention"/>
    <w:basedOn w:val="DefaultParagraphFont"/>
    <w:uiPriority w:val="99"/>
    <w:semiHidden/>
    <w:unhideWhenUsed/>
    <w:rsid w:val="00B40E52"/>
    <w:rPr>
      <w:color w:val="605E5C"/>
      <w:shd w:val="clear" w:color="auto" w:fill="E1DFDD"/>
    </w:rPr>
  </w:style>
  <w:style w:type="paragraph" w:styleId="Header">
    <w:name w:val="header"/>
    <w:basedOn w:val="Normal"/>
    <w:link w:val="HeaderChar"/>
    <w:uiPriority w:val="99"/>
    <w:unhideWhenUsed/>
    <w:rsid w:val="00295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A95"/>
  </w:style>
  <w:style w:type="paragraph" w:styleId="Footer">
    <w:name w:val="footer"/>
    <w:basedOn w:val="Normal"/>
    <w:link w:val="FooterChar"/>
    <w:uiPriority w:val="99"/>
    <w:unhideWhenUsed/>
    <w:rsid w:val="00295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7/2223329" TargetMode="External"/><Relationship Id="rId18" Type="http://schemas.openxmlformats.org/officeDocument/2006/relationships/hyperlink" Target="https://doi.org/20.500.12592/2pj2qvz" TargetMode="External"/><Relationship Id="rId26" Type="http://schemas.openxmlformats.org/officeDocument/2006/relationships/hyperlink" Target="http://repositorio.cepal.org/handle/11362/29973" TargetMode="External"/><Relationship Id="rId21" Type="http://schemas.openxmlformats.org/officeDocument/2006/relationships/hyperlink" Target="http://links.jstor.org/sici?sici=0022-0515%28199709%2935%3A3%3C1243%3AGPAERW%3E2.0.CO%3B2-R" TargetMode="External"/><Relationship Id="rId34"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hyperlink" Target="https://doi.org/10.59413/ajocs/v5.i.4.10" TargetMode="External"/><Relationship Id="rId17" Type="http://schemas.openxmlformats.org/officeDocument/2006/relationships/hyperlink" Target="https://doi.org/10.2307/3866091" TargetMode="External"/><Relationship Id="rId25" Type="http://schemas.openxmlformats.org/officeDocument/2006/relationships/hyperlink" Target="https://core.ac.uk/download/pdf/234690009.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ess.princeton.edu/books/hardcover/9780691161648/advanced-international-trade" TargetMode="External"/><Relationship Id="rId20" Type="http://schemas.openxmlformats.org/officeDocument/2006/relationships/hyperlink" Target="https://doi.org/10.1002/ijfe.253" TargetMode="External"/><Relationship Id="rId29" Type="http://schemas.openxmlformats.org/officeDocument/2006/relationships/hyperlink" Target="https://doi.org/10.1525/97805203257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7277645" TargetMode="External"/><Relationship Id="rId24" Type="http://schemas.openxmlformats.org/officeDocument/2006/relationships/hyperlink" Target="http://www.jstor.org/stable/386608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307/1927652" TargetMode="External"/><Relationship Id="rId23" Type="http://schemas.openxmlformats.org/officeDocument/2006/relationships/hyperlink" Target="https://www.bankofcanada.ca/wp-content/uploads/2010/07/rev_winter96-97_lafleche.pdf" TargetMode="External"/><Relationship Id="rId28" Type="http://schemas.openxmlformats.org/officeDocument/2006/relationships/hyperlink" Target="https://doi.org/10.17256/jer.2013.18.1.001" TargetMode="External"/><Relationship Id="rId36"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hyperlink" Target="https://doi.org/10.1525/978052031972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doi.org/10.1162/003465305775098189" TargetMode="External"/><Relationship Id="rId22" Type="http://schemas.openxmlformats.org/officeDocument/2006/relationships/hyperlink" Target="https://doi.org/10.1007/978-1-349-15735-8" TargetMode="External"/><Relationship Id="rId27" Type="http://schemas.openxmlformats.org/officeDocument/2006/relationships/hyperlink" Target="https://www.ansd.sn/publication-du-rapport-sur-la-situation-economique-et-sociale-du-senegal-2022-2023/" TargetMode="External"/><Relationship Id="rId30" Type="http://schemas.openxmlformats.org/officeDocument/2006/relationships/hyperlink" Target="https://documents.worldbank.org/en/publication/documents-reports/documentdetail/181380/macro-poverty-outlook-for-nigeria-april-2023" TargetMode="External"/><Relationship Id="rId35" Type="http://schemas.openxmlformats.org/officeDocument/2006/relationships/header" Target="header3.xml"/><Relationship Id="rId8" Type="http://schemas.openxmlformats.org/officeDocument/2006/relationships/image" Target="media/image1.emf"/><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seminar%202\DATA%20ON%20SELETED%20WEST%20AFRICA%20COUNTRI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strRef>
              <c:f>Sheet1!$C$1</c:f>
              <c:strCache>
                <c:ptCount val="1"/>
                <c:pt idx="0">
                  <c:v>GHANA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Sheet1!$A$2:$A$26</c:f>
              <c:strCache>
                <c:ptCount val="25"/>
                <c:pt idx="0">
                  <c:v>Year</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strCache>
            </c:strRef>
          </c:cat>
          <c:val>
            <c:numRef>
              <c:f>Sheet1!$C$2:$C$26</c:f>
              <c:numCache>
                <c:formatCode>General</c:formatCode>
                <c:ptCount val="25"/>
                <c:pt idx="0">
                  <c:v>0</c:v>
                </c:pt>
                <c:pt idx="1">
                  <c:v>3322.5442485296144</c:v>
                </c:pt>
                <c:pt idx="2">
                  <c:v>3364.750641727931</c:v>
                </c:pt>
                <c:pt idx="3">
                  <c:v>3420.8427501009342</c:v>
                </c:pt>
                <c:pt idx="4">
                  <c:v>3502.3554443817739</c:v>
                </c:pt>
                <c:pt idx="5">
                  <c:v>3601.0836668938518</c:v>
                </c:pt>
                <c:pt idx="6">
                  <c:v>3713.4485479415489</c:v>
                </c:pt>
                <c:pt idx="7">
                  <c:v>3848.193923891934</c:v>
                </c:pt>
                <c:pt idx="8">
                  <c:v>3912.1975674455839</c:v>
                </c:pt>
                <c:pt idx="9">
                  <c:v>4161.7141160795345</c:v>
                </c:pt>
                <c:pt idx="10">
                  <c:v>4254.086191819687</c:v>
                </c:pt>
                <c:pt idx="11">
                  <c:v>4478.1590374993057</c:v>
                </c:pt>
                <c:pt idx="12">
                  <c:v>4984.1942641070054</c:v>
                </c:pt>
                <c:pt idx="13">
                  <c:v>5314.9629249740783</c:v>
                </c:pt>
                <c:pt idx="14">
                  <c:v>5565.445021522738</c:v>
                </c:pt>
                <c:pt idx="15">
                  <c:v>5588.2300061521328</c:v>
                </c:pt>
                <c:pt idx="16">
                  <c:v>5573.4025924533871</c:v>
                </c:pt>
                <c:pt idx="17">
                  <c:v>5628.2020465264859</c:v>
                </c:pt>
                <c:pt idx="18">
                  <c:v>5951.2089583321576</c:v>
                </c:pt>
                <c:pt idx="19">
                  <c:v>6187.4450176223381</c:v>
                </c:pt>
                <c:pt idx="20">
                  <c:v>6453.8750233800529</c:v>
                </c:pt>
                <c:pt idx="21">
                  <c:v>6354.3797286522713</c:v>
                </c:pt>
                <c:pt idx="22">
                  <c:v>6544.2381999688041</c:v>
                </c:pt>
                <c:pt idx="23">
                  <c:v>6663.5979901995106</c:v>
                </c:pt>
                <c:pt idx="24">
                  <c:v>6729.9328028568261</c:v>
                </c:pt>
              </c:numCache>
            </c:numRef>
          </c:val>
          <c:smooth val="0"/>
          <c:extLst>
            <c:ext xmlns:c16="http://schemas.microsoft.com/office/drawing/2014/chart" uri="{C3380CC4-5D6E-409C-BE32-E72D297353CC}">
              <c16:uniqueId val="{00000000-0C9A-46D6-ADFB-031AEC385A8F}"/>
            </c:ext>
          </c:extLst>
        </c:ser>
        <c:ser>
          <c:idx val="2"/>
          <c:order val="2"/>
          <c:tx>
            <c:strRef>
              <c:f>Sheet1!$D$1</c:f>
              <c:strCache>
                <c:ptCount val="1"/>
                <c:pt idx="0">
                  <c:v>cote d'ivoire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Sheet1!$A$2:$A$26</c:f>
              <c:strCache>
                <c:ptCount val="25"/>
                <c:pt idx="0">
                  <c:v>Year</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strCache>
            </c:strRef>
          </c:cat>
          <c:val>
            <c:numRef>
              <c:f>Sheet1!$D$2:$D$26</c:f>
              <c:numCache>
                <c:formatCode>General</c:formatCode>
                <c:ptCount val="25"/>
                <c:pt idx="0">
                  <c:v>0</c:v>
                </c:pt>
                <c:pt idx="1">
                  <c:v>5097.3503177933062</c:v>
                </c:pt>
                <c:pt idx="2">
                  <c:v>4858.6237494850066</c:v>
                </c:pt>
                <c:pt idx="3">
                  <c:v>4608.7891715305868</c:v>
                </c:pt>
                <c:pt idx="4">
                  <c:v>4286.1434502295897</c:v>
                </c:pt>
                <c:pt idx="5">
                  <c:v>4320.4799006235871</c:v>
                </c:pt>
                <c:pt idx="6">
                  <c:v>4265.6847639545858</c:v>
                </c:pt>
                <c:pt idx="7">
                  <c:v>4289.9404822445777</c:v>
                </c:pt>
                <c:pt idx="8">
                  <c:v>4244.4750223044211</c:v>
                </c:pt>
                <c:pt idx="9">
                  <c:v>4353.7222068993733</c:v>
                </c:pt>
                <c:pt idx="10">
                  <c:v>4416.0788881341205</c:v>
                </c:pt>
                <c:pt idx="11">
                  <c:v>4619.6830040056748</c:v>
                </c:pt>
                <c:pt idx="12">
                  <c:v>4281.799135704965</c:v>
                </c:pt>
                <c:pt idx="13">
                  <c:v>4514.3403526504489</c:v>
                </c:pt>
                <c:pt idx="14">
                  <c:v>4898.0503908491692</c:v>
                </c:pt>
                <c:pt idx="15">
                  <c:v>5234.4906798581151</c:v>
                </c:pt>
                <c:pt idx="16">
                  <c:v>5468.1525838591951</c:v>
                </c:pt>
                <c:pt idx="17">
                  <c:v>5711.0676648909957</c:v>
                </c:pt>
                <c:pt idx="18">
                  <c:v>5977.6866464219247</c:v>
                </c:pt>
                <c:pt idx="19">
                  <c:v>6108.3952505115358</c:v>
                </c:pt>
                <c:pt idx="20">
                  <c:v>6356.0204762959547</c:v>
                </c:pt>
                <c:pt idx="21">
                  <c:v>6241.9286099582578</c:v>
                </c:pt>
                <c:pt idx="22">
                  <c:v>6520.7311602507189</c:v>
                </c:pt>
                <c:pt idx="23">
                  <c:v>6758.3682323577177</c:v>
                </c:pt>
                <c:pt idx="24">
                  <c:v>7022.4159763082353</c:v>
                </c:pt>
              </c:numCache>
            </c:numRef>
          </c:val>
          <c:smooth val="0"/>
          <c:extLst>
            <c:ext xmlns:c16="http://schemas.microsoft.com/office/drawing/2014/chart" uri="{C3380CC4-5D6E-409C-BE32-E72D297353CC}">
              <c16:uniqueId val="{00000001-0C9A-46D6-ADFB-031AEC385A8F}"/>
            </c:ext>
          </c:extLst>
        </c:ser>
        <c:ser>
          <c:idx val="3"/>
          <c:order val="3"/>
          <c:tx>
            <c:strRef>
              <c:f>Sheet1!$E$1</c:f>
              <c:strCache>
                <c:ptCount val="1"/>
                <c:pt idx="0">
                  <c:v>SENEGAL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Sheet1!$A$2:$A$26</c:f>
              <c:strCache>
                <c:ptCount val="25"/>
                <c:pt idx="0">
                  <c:v>Year</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strCache>
            </c:strRef>
          </c:cat>
          <c:val>
            <c:numRef>
              <c:f>Sheet1!$E$2:$E$26</c:f>
              <c:numCache>
                <c:formatCode>General</c:formatCode>
                <c:ptCount val="25"/>
                <c:pt idx="0">
                  <c:v>0</c:v>
                </c:pt>
                <c:pt idx="1">
                  <c:v>3177.4305728883805</c:v>
                </c:pt>
                <c:pt idx="2">
                  <c:v>3236.4508811872279</c:v>
                </c:pt>
                <c:pt idx="3">
                  <c:v>3161.3976852761766</c:v>
                </c:pt>
                <c:pt idx="4">
                  <c:v>3257.1267969983733</c:v>
                </c:pt>
                <c:pt idx="5">
                  <c:v>3324.2006714627778</c:v>
                </c:pt>
                <c:pt idx="6">
                  <c:v>3380.4740321796162</c:v>
                </c:pt>
                <c:pt idx="7">
                  <c:v>3370.4047303612592</c:v>
                </c:pt>
                <c:pt idx="8">
                  <c:v>3375.6356719243195</c:v>
                </c:pt>
                <c:pt idx="9">
                  <c:v>3409.517220298329</c:v>
                </c:pt>
                <c:pt idx="10">
                  <c:v>3410.8187920722471</c:v>
                </c:pt>
                <c:pt idx="11">
                  <c:v>3432.1676242169574</c:v>
                </c:pt>
                <c:pt idx="12">
                  <c:v>3384.5615086318003</c:v>
                </c:pt>
                <c:pt idx="13">
                  <c:v>3425.3516945556294</c:v>
                </c:pt>
                <c:pt idx="14">
                  <c:v>3414.1324759732356</c:v>
                </c:pt>
                <c:pt idx="15">
                  <c:v>3529.3492447237136</c:v>
                </c:pt>
                <c:pt idx="16">
                  <c:v>3653.1607286351118</c:v>
                </c:pt>
                <c:pt idx="17">
                  <c:v>3781.2730272496196</c:v>
                </c:pt>
                <c:pt idx="18">
                  <c:v>3952.4698093035372</c:v>
                </c:pt>
                <c:pt idx="19">
                  <c:v>4085.4633673266071</c:v>
                </c:pt>
                <c:pt idx="20">
                  <c:v>4160.1972399534552</c:v>
                </c:pt>
                <c:pt idx="21">
                  <c:v>4104.3613222333388</c:v>
                </c:pt>
                <c:pt idx="22">
                  <c:v>4258.786283551065</c:v>
                </c:pt>
                <c:pt idx="23">
                  <c:v>4309.2713523054217</c:v>
                </c:pt>
                <c:pt idx="24">
                  <c:v>4356.333506296608</c:v>
                </c:pt>
              </c:numCache>
            </c:numRef>
          </c:val>
          <c:smooth val="0"/>
          <c:extLst>
            <c:ext xmlns:c16="http://schemas.microsoft.com/office/drawing/2014/chart" uri="{C3380CC4-5D6E-409C-BE32-E72D297353CC}">
              <c16:uniqueId val="{00000002-0C9A-46D6-ADFB-031AEC385A8F}"/>
            </c:ext>
          </c:extLst>
        </c:ser>
        <c:ser>
          <c:idx val="4"/>
          <c:order val="4"/>
          <c:tx>
            <c:strRef>
              <c:f>Sheet1!$F$1</c:f>
              <c:strCache>
                <c:ptCount val="1"/>
                <c:pt idx="0">
                  <c:v>LIBERIA</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Sheet1!$A$2:$A$26</c:f>
              <c:strCache>
                <c:ptCount val="25"/>
                <c:pt idx="0">
                  <c:v>Year</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strCache>
            </c:strRef>
          </c:cat>
          <c:val>
            <c:numRef>
              <c:f>Sheet1!$F$2:$F$26</c:f>
              <c:numCache>
                <c:formatCode>General</c:formatCode>
                <c:ptCount val="25"/>
                <c:pt idx="0">
                  <c:v>0</c:v>
                </c:pt>
                <c:pt idx="1">
                  <c:v>1889.4043892214679</c:v>
                </c:pt>
                <c:pt idx="2">
                  <c:v>1888.2159237447429</c:v>
                </c:pt>
                <c:pt idx="3">
                  <c:v>1908.7286328724429</c:v>
                </c:pt>
                <c:pt idx="4">
                  <c:v>1322.719543113802</c:v>
                </c:pt>
                <c:pt idx="5">
                  <c:v>1341.1692243007903</c:v>
                </c:pt>
                <c:pt idx="6">
                  <c:v>1349.8051107436979</c:v>
                </c:pt>
                <c:pt idx="7">
                  <c:v>1378.5796803232765</c:v>
                </c:pt>
                <c:pt idx="8">
                  <c:v>1436.3143953069309</c:v>
                </c:pt>
                <c:pt idx="9">
                  <c:v>1477.4758173371736</c:v>
                </c:pt>
                <c:pt idx="10">
                  <c:v>1507.5119439509435</c:v>
                </c:pt>
                <c:pt idx="11">
                  <c:v>1553.7548920351055</c:v>
                </c:pt>
                <c:pt idx="12">
                  <c:v>1616.3611544580776</c:v>
                </c:pt>
                <c:pt idx="13">
                  <c:v>1684.8865077549551</c:v>
                </c:pt>
                <c:pt idx="14">
                  <c:v>1791.7258477260516</c:v>
                </c:pt>
                <c:pt idx="15">
                  <c:v>1767.5295170184559</c:v>
                </c:pt>
                <c:pt idx="16">
                  <c:v>1731.5951145166337</c:v>
                </c:pt>
                <c:pt idx="17">
                  <c:v>1670.704342705023</c:v>
                </c:pt>
                <c:pt idx="18">
                  <c:v>1679.4148326544271</c:v>
                </c:pt>
                <c:pt idx="19">
                  <c:v>1666.625168042649</c:v>
                </c:pt>
                <c:pt idx="20">
                  <c:v>1594.2360390769657</c:v>
                </c:pt>
                <c:pt idx="21">
                  <c:v>1515.5891505588984</c:v>
                </c:pt>
                <c:pt idx="22">
                  <c:v>1558.7422492000233</c:v>
                </c:pt>
                <c:pt idx="23">
                  <c:v>1600.025066480536</c:v>
                </c:pt>
                <c:pt idx="24">
                  <c:v>1639.6285858506153</c:v>
                </c:pt>
              </c:numCache>
            </c:numRef>
          </c:val>
          <c:smooth val="0"/>
          <c:extLst>
            <c:ext xmlns:c16="http://schemas.microsoft.com/office/drawing/2014/chart" uri="{C3380CC4-5D6E-409C-BE32-E72D297353CC}">
              <c16:uniqueId val="{00000003-0C9A-46D6-ADFB-031AEC385A8F}"/>
            </c:ext>
          </c:extLst>
        </c:ser>
        <c:dLbls>
          <c:showLegendKey val="0"/>
          <c:showVal val="0"/>
          <c:showCatName val="0"/>
          <c:showSerName val="0"/>
          <c:showPercent val="0"/>
          <c:showBubbleSize val="0"/>
        </c:dLbls>
        <c:marker val="1"/>
        <c:smooth val="0"/>
        <c:axId val="465820728"/>
        <c:axId val="465817592"/>
      </c:lineChart>
      <c:lineChart>
        <c:grouping val="standard"/>
        <c:varyColors val="0"/>
        <c:ser>
          <c:idx val="0"/>
          <c:order val="0"/>
          <c:tx>
            <c:strRef>
              <c:f>Sheet1!$B$1</c:f>
              <c:strCache>
                <c:ptCount val="1"/>
                <c:pt idx="0">
                  <c:v>Nigeria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Sheet1!$A$2:$A$26</c:f>
              <c:strCache>
                <c:ptCount val="25"/>
                <c:pt idx="0">
                  <c:v>Year</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strCache>
            </c:strRef>
          </c:cat>
          <c:val>
            <c:numRef>
              <c:f>Sheet1!$B$2:$B$26</c:f>
              <c:numCache>
                <c:formatCode>General</c:formatCode>
                <c:ptCount val="25"/>
                <c:pt idx="0">
                  <c:v>0</c:v>
                </c:pt>
                <c:pt idx="1">
                  <c:v>3385.2736841542587</c:v>
                </c:pt>
                <c:pt idx="2">
                  <c:v>3491.7887709275869</c:v>
                </c:pt>
                <c:pt idx="3">
                  <c:v>3920.4456164539229</c:v>
                </c:pt>
                <c:pt idx="4">
                  <c:v>4096.6757582087512</c:v>
                </c:pt>
                <c:pt idx="5">
                  <c:v>4356.6115036254369</c:v>
                </c:pt>
                <c:pt idx="6">
                  <c:v>4513.8703931679584</c:v>
                </c:pt>
                <c:pt idx="7">
                  <c:v>4660.044979741966</c:v>
                </c:pt>
                <c:pt idx="8">
                  <c:v>4834.4092935056478</c:v>
                </c:pt>
                <c:pt idx="9">
                  <c:v>5022.948509196639</c:v>
                </c:pt>
                <c:pt idx="10">
                  <c:v>5280.6338985986631</c:v>
                </c:pt>
                <c:pt idx="11">
                  <c:v>5548.9891048751215</c:v>
                </c:pt>
                <c:pt idx="12">
                  <c:v>5684.2183709203418</c:v>
                </c:pt>
                <c:pt idx="13">
                  <c:v>5763.9968747485691</c:v>
                </c:pt>
                <c:pt idx="14">
                  <c:v>5984.8943416295842</c:v>
                </c:pt>
                <c:pt idx="15">
                  <c:v>6197.4875020634317</c:v>
                </c:pt>
                <c:pt idx="16">
                  <c:v>6202.2571886412998</c:v>
                </c:pt>
                <c:pt idx="17">
                  <c:v>5950.8979169819013</c:v>
                </c:pt>
                <c:pt idx="18">
                  <c:v>5849.1451147520975</c:v>
                </c:pt>
                <c:pt idx="19">
                  <c:v>5814.6123895348892</c:v>
                </c:pt>
                <c:pt idx="20">
                  <c:v>5799.2934223245556</c:v>
                </c:pt>
                <c:pt idx="21">
                  <c:v>5557.9233916404128</c:v>
                </c:pt>
                <c:pt idx="22">
                  <c:v>5623.6640781060451</c:v>
                </c:pt>
                <c:pt idx="23">
                  <c:v>5669.9635075181222</c:v>
                </c:pt>
                <c:pt idx="24">
                  <c:v>5694.9769156697275</c:v>
                </c:pt>
              </c:numCache>
            </c:numRef>
          </c:val>
          <c:smooth val="0"/>
          <c:extLst>
            <c:ext xmlns:c16="http://schemas.microsoft.com/office/drawing/2014/chart" uri="{C3380CC4-5D6E-409C-BE32-E72D297353CC}">
              <c16:uniqueId val="{00000004-0C9A-46D6-ADFB-031AEC385A8F}"/>
            </c:ext>
          </c:extLst>
        </c:ser>
        <c:dLbls>
          <c:showLegendKey val="0"/>
          <c:showVal val="0"/>
          <c:showCatName val="0"/>
          <c:showSerName val="0"/>
          <c:showPercent val="0"/>
          <c:showBubbleSize val="0"/>
        </c:dLbls>
        <c:marker val="1"/>
        <c:smooth val="0"/>
        <c:axId val="465819552"/>
        <c:axId val="465821120"/>
      </c:lineChart>
      <c:catAx>
        <c:axId val="465820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817592"/>
        <c:crosses val="autoZero"/>
        <c:auto val="1"/>
        <c:lblAlgn val="ctr"/>
        <c:lblOffset val="100"/>
        <c:noMultiLvlLbl val="0"/>
      </c:catAx>
      <c:valAx>
        <c:axId val="465817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820728"/>
        <c:crosses val="autoZero"/>
        <c:crossBetween val="between"/>
      </c:valAx>
      <c:valAx>
        <c:axId val="46582112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819552"/>
        <c:crosses val="max"/>
        <c:crossBetween val="between"/>
      </c:valAx>
      <c:catAx>
        <c:axId val="465819552"/>
        <c:scaling>
          <c:orientation val="minMax"/>
        </c:scaling>
        <c:delete val="1"/>
        <c:axPos val="b"/>
        <c:numFmt formatCode="General" sourceLinked="1"/>
        <c:majorTickMark val="out"/>
        <c:minorTickMark val="none"/>
        <c:tickLblPos val="nextTo"/>
        <c:crossAx val="4658211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10587</Words>
  <Characters>60346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2025-12-25T22:05:00Z</dcterms:created>
  <dcterms:modified xsi:type="dcterms:W3CDTF">2025-12-25T22:05:00Z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3b7233a0-fbfb-42c0-96f3-0a087748ab69</vt:lpwstr>
  </property>
</Properties>
</file>