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3D" w:rsidRPr="009B7CE5" w:rsidRDefault="009B7CE5" w:rsidP="009B7CE5">
      <w:pPr>
        <w:spacing w:line="240" w:lineRule="auto"/>
        <w:jc w:val="center"/>
        <w:rPr>
          <w:rFonts w:ascii="Times New Roman" w:hAnsi="Times New Roman" w:cs="Times New Roman"/>
          <w:b/>
          <w:sz w:val="24"/>
          <w:szCs w:val="24"/>
        </w:rPr>
      </w:pPr>
      <w:r w:rsidRPr="009B7CE5">
        <w:rPr>
          <w:rFonts w:ascii="Times New Roman" w:hAnsi="Times New Roman" w:cs="Times New Roman"/>
          <w:b/>
          <w:sz w:val="24"/>
          <w:szCs w:val="24"/>
        </w:rPr>
        <w:t>Charting a Net-Zero Future with Carbon Accounting</w:t>
      </w:r>
    </w:p>
    <w:p w:rsidR="00F10655" w:rsidRDefault="00F10655" w:rsidP="00E246E2">
      <w:pPr>
        <w:spacing w:line="240" w:lineRule="auto"/>
        <w:jc w:val="both"/>
        <w:rPr>
          <w:rFonts w:ascii="Times New Roman" w:hAnsi="Times New Roman" w:cs="Times New Roman"/>
          <w:b/>
          <w:sz w:val="24"/>
          <w:szCs w:val="24"/>
        </w:rPr>
      </w:pPr>
    </w:p>
    <w:p w:rsidR="00F10655" w:rsidRDefault="00F10655" w:rsidP="00E246E2">
      <w:pPr>
        <w:spacing w:line="240" w:lineRule="auto"/>
        <w:jc w:val="both"/>
        <w:rPr>
          <w:rFonts w:ascii="Times New Roman" w:hAnsi="Times New Roman" w:cs="Times New Roman"/>
          <w:b/>
          <w:sz w:val="24"/>
          <w:szCs w:val="24"/>
        </w:rPr>
      </w:pPr>
    </w:p>
    <w:p w:rsidR="00F10655" w:rsidRDefault="00F10655" w:rsidP="00E246E2">
      <w:pPr>
        <w:spacing w:line="240" w:lineRule="auto"/>
        <w:jc w:val="both"/>
        <w:rPr>
          <w:rFonts w:ascii="Times New Roman" w:hAnsi="Times New Roman" w:cs="Times New Roman"/>
          <w:b/>
          <w:sz w:val="24"/>
          <w:szCs w:val="24"/>
        </w:rPr>
      </w:pPr>
    </w:p>
    <w:p w:rsidR="00EF581C" w:rsidRPr="00E246E2" w:rsidRDefault="00E246E2" w:rsidP="00E246E2">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D3212C" w:rsidRPr="00E246E2" w:rsidRDefault="00AF0399"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global transition toward a low-carbon ec</w:t>
      </w:r>
      <w:r w:rsidR="006A6591" w:rsidRPr="00E246E2">
        <w:rPr>
          <w:rFonts w:ascii="Times New Roman" w:hAnsi="Times New Roman" w:cs="Times New Roman"/>
          <w:sz w:val="24"/>
          <w:szCs w:val="24"/>
        </w:rPr>
        <w:t xml:space="preserve">onomy has made the integration </w:t>
      </w:r>
      <w:r w:rsidRPr="00E246E2">
        <w:rPr>
          <w:rFonts w:ascii="Times New Roman" w:hAnsi="Times New Roman" w:cs="Times New Roman"/>
          <w:sz w:val="24"/>
          <w:szCs w:val="24"/>
        </w:rPr>
        <w:t xml:space="preserve">of carbon accounting into corporate </w:t>
      </w:r>
      <w:r w:rsidR="006A6591" w:rsidRPr="00E246E2">
        <w:rPr>
          <w:rFonts w:ascii="Times New Roman" w:hAnsi="Times New Roman" w:cs="Times New Roman"/>
          <w:sz w:val="24"/>
          <w:szCs w:val="24"/>
        </w:rPr>
        <w:t xml:space="preserve">sustainability strategies increasingly critical. </w:t>
      </w:r>
      <w:r w:rsidR="00942DA1" w:rsidRPr="00E246E2">
        <w:rPr>
          <w:rFonts w:ascii="Times New Roman" w:hAnsi="Times New Roman" w:cs="Times New Roman"/>
          <w:sz w:val="24"/>
          <w:szCs w:val="24"/>
        </w:rPr>
        <w:t>This study examined</w:t>
      </w:r>
      <w:r w:rsidR="00D63F09" w:rsidRPr="00E246E2">
        <w:rPr>
          <w:rFonts w:ascii="Times New Roman" w:hAnsi="Times New Roman" w:cs="Times New Roman"/>
          <w:sz w:val="24"/>
          <w:szCs w:val="24"/>
        </w:rPr>
        <w:t xml:space="preserve"> the role of carbon accounting in achieving corporate net-zero ta</w:t>
      </w:r>
      <w:r w:rsidR="006172C8" w:rsidRPr="00E246E2">
        <w:rPr>
          <w:rFonts w:ascii="Times New Roman" w:hAnsi="Times New Roman" w:cs="Times New Roman"/>
          <w:sz w:val="24"/>
          <w:szCs w:val="24"/>
        </w:rPr>
        <w:t>rgets. The specific objective wa</w:t>
      </w:r>
      <w:r w:rsidR="00D63F09" w:rsidRPr="00E246E2">
        <w:rPr>
          <w:rFonts w:ascii="Times New Roman" w:hAnsi="Times New Roman" w:cs="Times New Roman"/>
          <w:sz w:val="24"/>
          <w:szCs w:val="24"/>
        </w:rPr>
        <w:t>s to assess the extent to which corporations integrate carbon accounting frameworks into their sustainability strategies</w:t>
      </w:r>
      <w:r w:rsidR="00EF581C" w:rsidRPr="00E246E2">
        <w:rPr>
          <w:rFonts w:ascii="Times New Roman" w:hAnsi="Times New Roman" w:cs="Times New Roman"/>
          <w:sz w:val="24"/>
          <w:szCs w:val="24"/>
        </w:rPr>
        <w:t xml:space="preserve"> </w:t>
      </w:r>
      <w:r w:rsidR="00D63F09" w:rsidRPr="00E246E2">
        <w:rPr>
          <w:rFonts w:ascii="Times New Roman" w:hAnsi="Times New Roman" w:cs="Times New Roman"/>
          <w:sz w:val="24"/>
          <w:szCs w:val="24"/>
        </w:rPr>
        <w:t>and evaluate the effectiveness of carbon accounting practices</w:t>
      </w:r>
      <w:r w:rsidR="006172C8" w:rsidRPr="00E246E2">
        <w:rPr>
          <w:rFonts w:ascii="Times New Roman" w:hAnsi="Times New Roman" w:cs="Times New Roman"/>
          <w:sz w:val="24"/>
          <w:szCs w:val="24"/>
        </w:rPr>
        <w:t xml:space="preserve"> in identifying emission-intensive activities and reducing </w:t>
      </w:r>
      <w:r w:rsidR="00D65997" w:rsidRPr="00E246E2">
        <w:rPr>
          <w:rFonts w:ascii="Times New Roman" w:hAnsi="Times New Roman" w:cs="Times New Roman"/>
          <w:sz w:val="24"/>
          <w:szCs w:val="24"/>
        </w:rPr>
        <w:t xml:space="preserve">corporate emission. </w:t>
      </w:r>
      <w:r w:rsidR="006A6591" w:rsidRPr="00E246E2">
        <w:rPr>
          <w:rFonts w:ascii="Times New Roman" w:hAnsi="Times New Roman" w:cs="Times New Roman"/>
          <w:sz w:val="24"/>
          <w:szCs w:val="24"/>
        </w:rPr>
        <w:t>The research employed d</w:t>
      </w:r>
      <w:r w:rsidR="00D65997" w:rsidRPr="00E246E2">
        <w:rPr>
          <w:rFonts w:ascii="Times New Roman" w:hAnsi="Times New Roman" w:cs="Times New Roman"/>
          <w:sz w:val="24"/>
          <w:szCs w:val="24"/>
        </w:rPr>
        <w:t xml:space="preserve">escriptive </w:t>
      </w:r>
      <w:r w:rsidR="006172C8" w:rsidRPr="00E246E2">
        <w:rPr>
          <w:rFonts w:ascii="Times New Roman" w:hAnsi="Times New Roman" w:cs="Times New Roman"/>
          <w:sz w:val="24"/>
          <w:szCs w:val="24"/>
        </w:rPr>
        <w:t xml:space="preserve">research design </w:t>
      </w:r>
      <w:r w:rsidR="006A6591" w:rsidRPr="00E246E2">
        <w:rPr>
          <w:rFonts w:ascii="Times New Roman" w:hAnsi="Times New Roman" w:cs="Times New Roman"/>
          <w:sz w:val="24"/>
          <w:szCs w:val="24"/>
        </w:rPr>
        <w:t>and relied exclusively on primary data collected through structured questionnaires administered to sustainability and environmental management professionals in selected corporation</w:t>
      </w:r>
      <w:r w:rsidR="00DB7B62" w:rsidRPr="00E246E2">
        <w:rPr>
          <w:rFonts w:ascii="Times New Roman" w:hAnsi="Times New Roman" w:cs="Times New Roman"/>
          <w:sz w:val="24"/>
          <w:szCs w:val="24"/>
        </w:rPr>
        <w:t>s. Data were analysed using descriptive statistical tools, including frequency distributions and percentage analyses</w:t>
      </w:r>
      <w:r w:rsidR="00B5573F">
        <w:rPr>
          <w:rFonts w:ascii="Times New Roman" w:hAnsi="Times New Roman" w:cs="Times New Roman"/>
          <w:sz w:val="24"/>
          <w:szCs w:val="24"/>
        </w:rPr>
        <w:t xml:space="preserve"> while hypotheses were tested using </w:t>
      </w:r>
      <w:r w:rsidR="006D7F9B" w:rsidRPr="006D7F9B">
        <w:rPr>
          <w:rFonts w:ascii="Times New Roman" w:hAnsi="Times New Roman" w:cs="Times New Roman"/>
          <w:bCs/>
          <w:sz w:val="24"/>
          <w:szCs w:val="24"/>
          <w:lang w:val="en-US"/>
        </w:rPr>
        <w:t>Kolmogorov-Smirnov Test</w:t>
      </w:r>
      <w:r w:rsidR="006D7F9B">
        <w:rPr>
          <w:rFonts w:ascii="Times New Roman" w:hAnsi="Times New Roman" w:cs="Times New Roman"/>
          <w:sz w:val="24"/>
          <w:szCs w:val="24"/>
        </w:rPr>
        <w:t xml:space="preserve">. </w:t>
      </w:r>
      <w:r w:rsidR="00DB7B62" w:rsidRPr="00E246E2">
        <w:rPr>
          <w:rFonts w:ascii="Times New Roman" w:hAnsi="Times New Roman" w:cs="Times New Roman"/>
          <w:sz w:val="24"/>
          <w:szCs w:val="24"/>
        </w:rPr>
        <w:t>The findings</w:t>
      </w:r>
      <w:r w:rsidR="00B5573F">
        <w:rPr>
          <w:rFonts w:ascii="Times New Roman" w:hAnsi="Times New Roman" w:cs="Times New Roman"/>
          <w:sz w:val="24"/>
          <w:szCs w:val="24"/>
        </w:rPr>
        <w:t xml:space="preserve"> from the test of hypotheses showed that:</w:t>
      </w:r>
      <w:r w:rsidR="00E83970" w:rsidRPr="00E83970">
        <w:t xml:space="preserve"> </w:t>
      </w:r>
      <w:r w:rsidR="00E83970">
        <w:rPr>
          <w:rFonts w:ascii="Times New Roman" w:hAnsi="Times New Roman" w:cs="Times New Roman"/>
          <w:sz w:val="24"/>
          <w:szCs w:val="24"/>
        </w:rPr>
        <w:t>c</w:t>
      </w:r>
      <w:r w:rsidR="00E83970" w:rsidRPr="00E83970">
        <w:rPr>
          <w:rFonts w:ascii="Times New Roman" w:hAnsi="Times New Roman" w:cs="Times New Roman"/>
          <w:sz w:val="24"/>
          <w:szCs w:val="24"/>
        </w:rPr>
        <w:t>orporations meaningfully integrate carbon accounting into their sustainability strategies, contrary to the null assumption (K–S = 0.249,</w:t>
      </w:r>
      <w:r w:rsidR="00E83970">
        <w:rPr>
          <w:rFonts w:ascii="Times New Roman" w:hAnsi="Times New Roman" w:cs="Times New Roman"/>
          <w:sz w:val="24"/>
          <w:szCs w:val="24"/>
        </w:rPr>
        <w:t xml:space="preserve"> p = 0.000; Mean = 21.40); c</w:t>
      </w:r>
      <w:r w:rsidR="00E83970" w:rsidRPr="00E83970">
        <w:rPr>
          <w:rFonts w:ascii="Times New Roman" w:hAnsi="Times New Roman" w:cs="Times New Roman"/>
          <w:sz w:val="24"/>
          <w:szCs w:val="24"/>
        </w:rPr>
        <w:t>arbon accounting practices are also perceived as effective in identifying emission-intensive activities and reducing emissions (K–S = 0.198, p = 0.000; Mean = 16.20).</w:t>
      </w:r>
      <w:r w:rsidR="00EE0269">
        <w:rPr>
          <w:rFonts w:ascii="Times New Roman" w:hAnsi="Times New Roman" w:cs="Times New Roman"/>
          <w:sz w:val="24"/>
          <w:szCs w:val="24"/>
        </w:rPr>
        <w:t xml:space="preserve"> </w:t>
      </w:r>
      <w:r w:rsidR="00FB1E7B" w:rsidRPr="00E246E2">
        <w:rPr>
          <w:rFonts w:ascii="Times New Roman" w:hAnsi="Times New Roman" w:cs="Times New Roman"/>
          <w:sz w:val="24"/>
          <w:szCs w:val="24"/>
        </w:rPr>
        <w:t>The</w:t>
      </w:r>
      <w:r w:rsidR="008A7FCE" w:rsidRPr="00E246E2">
        <w:rPr>
          <w:rFonts w:ascii="Times New Roman" w:hAnsi="Times New Roman" w:cs="Times New Roman"/>
          <w:sz w:val="24"/>
          <w:szCs w:val="24"/>
        </w:rPr>
        <w:t xml:space="preserve"> study conclude</w:t>
      </w:r>
      <w:r w:rsidR="00E246E2" w:rsidRPr="00E246E2">
        <w:rPr>
          <w:rFonts w:ascii="Times New Roman" w:hAnsi="Times New Roman" w:cs="Times New Roman"/>
          <w:sz w:val="24"/>
          <w:szCs w:val="24"/>
        </w:rPr>
        <w:t>d</w:t>
      </w:r>
      <w:r w:rsidR="008A7FCE" w:rsidRPr="00E246E2">
        <w:rPr>
          <w:rFonts w:ascii="Times New Roman" w:hAnsi="Times New Roman" w:cs="Times New Roman"/>
          <w:sz w:val="24"/>
          <w:szCs w:val="24"/>
        </w:rPr>
        <w:t xml:space="preserve"> that carbon accounting serve as an essential management tool that support corporations in tracking </w:t>
      </w:r>
      <w:r w:rsidR="00FB1E7B" w:rsidRPr="00E246E2">
        <w:rPr>
          <w:rFonts w:ascii="Times New Roman" w:hAnsi="Times New Roman" w:cs="Times New Roman"/>
          <w:sz w:val="24"/>
          <w:szCs w:val="24"/>
        </w:rPr>
        <w:t>progress</w:t>
      </w:r>
      <w:r w:rsidR="008A7FCE" w:rsidRPr="00E246E2">
        <w:rPr>
          <w:rFonts w:ascii="Times New Roman" w:hAnsi="Times New Roman" w:cs="Times New Roman"/>
          <w:sz w:val="24"/>
          <w:szCs w:val="24"/>
        </w:rPr>
        <w:t xml:space="preserve"> towards net-zero targets, improving environmental governance, and strengthening stakeholders trust</w:t>
      </w:r>
      <w:r w:rsidR="00FB1E7B" w:rsidRPr="00E246E2">
        <w:rPr>
          <w:rFonts w:ascii="Times New Roman" w:hAnsi="Times New Roman" w:cs="Times New Roman"/>
          <w:sz w:val="24"/>
          <w:szCs w:val="24"/>
        </w:rPr>
        <w:t>.</w:t>
      </w:r>
      <w:r w:rsidR="00E246E2" w:rsidRPr="00E246E2">
        <w:rPr>
          <w:rFonts w:ascii="Times New Roman" w:hAnsi="Times New Roman" w:cs="Times New Roman"/>
          <w:sz w:val="24"/>
          <w:szCs w:val="24"/>
        </w:rPr>
        <w:t xml:space="preserve"> Therefore, the study recommended</w:t>
      </w:r>
      <w:r w:rsidR="007A1E40" w:rsidRPr="00E246E2">
        <w:rPr>
          <w:rFonts w:ascii="Times New Roman" w:hAnsi="Times New Roman" w:cs="Times New Roman"/>
          <w:sz w:val="24"/>
          <w:szCs w:val="24"/>
        </w:rPr>
        <w:t xml:space="preserve"> increased capacity building, adoption of digital emission tracking tools, and stronger regulatory framework to promote consistent and transpar</w:t>
      </w:r>
      <w:r w:rsidR="00D3212C" w:rsidRPr="00E246E2">
        <w:rPr>
          <w:rFonts w:ascii="Times New Roman" w:hAnsi="Times New Roman" w:cs="Times New Roman"/>
          <w:sz w:val="24"/>
          <w:szCs w:val="24"/>
        </w:rPr>
        <w:t>ent carbon accounting practices.</w:t>
      </w:r>
      <w:r w:rsidR="001E7394">
        <w:rPr>
          <w:rFonts w:ascii="Times New Roman" w:hAnsi="Times New Roman" w:cs="Times New Roman"/>
          <w:sz w:val="24"/>
          <w:szCs w:val="24"/>
        </w:rPr>
        <w:t xml:space="preserve"> </w:t>
      </w:r>
      <w:r w:rsidR="001E7394" w:rsidRPr="001E7394">
        <w:rPr>
          <w:rFonts w:ascii="Times New Roman" w:hAnsi="Times New Roman" w:cs="Times New Roman"/>
          <w:sz w:val="24"/>
          <w:szCs w:val="24"/>
          <w:highlight w:val="yellow"/>
        </w:rPr>
        <w:t>The study contributes to knowledge by demonstrating that integrating carbon accounting into corporate sustainability strategies is both feasible and effective in identifying emission-intensive activities and reducing emissions</w:t>
      </w:r>
      <w:r w:rsidR="001E7394" w:rsidRPr="001E7394">
        <w:rPr>
          <w:rFonts w:ascii="Times New Roman" w:hAnsi="Times New Roman" w:cs="Times New Roman"/>
          <w:sz w:val="24"/>
          <w:szCs w:val="24"/>
        </w:rPr>
        <w:t>.</w:t>
      </w:r>
    </w:p>
    <w:p w:rsidR="00B32F57" w:rsidRPr="00E246E2" w:rsidRDefault="00DB7B62"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 xml:space="preserve"> </w:t>
      </w:r>
      <w:r w:rsidR="00C6020D" w:rsidRPr="00E246E2">
        <w:rPr>
          <w:rFonts w:ascii="Times New Roman" w:hAnsi="Times New Roman" w:cs="Times New Roman"/>
          <w:sz w:val="24"/>
          <w:szCs w:val="24"/>
        </w:rPr>
        <w:t>Keywords: Carbon Accounting, Corporate Net-Zero</w:t>
      </w:r>
      <w:r w:rsidR="00937C27" w:rsidRPr="00E246E2">
        <w:rPr>
          <w:rFonts w:ascii="Times New Roman" w:hAnsi="Times New Roman" w:cs="Times New Roman"/>
          <w:sz w:val="24"/>
          <w:szCs w:val="24"/>
        </w:rPr>
        <w:t xml:space="preserve"> Targets</w:t>
      </w:r>
      <w:r w:rsidR="00296B06" w:rsidRPr="00E246E2">
        <w:rPr>
          <w:rFonts w:ascii="Times New Roman" w:hAnsi="Times New Roman" w:cs="Times New Roman"/>
          <w:sz w:val="24"/>
          <w:szCs w:val="24"/>
        </w:rPr>
        <w:t>, Sust</w:t>
      </w:r>
      <w:r w:rsidR="00D3212C" w:rsidRPr="00E246E2">
        <w:rPr>
          <w:rFonts w:ascii="Times New Roman" w:hAnsi="Times New Roman" w:cs="Times New Roman"/>
          <w:sz w:val="24"/>
          <w:szCs w:val="24"/>
        </w:rPr>
        <w:t xml:space="preserve">ainability Reporting, Greenhouse Gas </w:t>
      </w:r>
      <w:r w:rsidR="00937C27" w:rsidRPr="00E246E2">
        <w:rPr>
          <w:rFonts w:ascii="Times New Roman" w:hAnsi="Times New Roman" w:cs="Times New Roman"/>
          <w:sz w:val="24"/>
          <w:szCs w:val="24"/>
        </w:rPr>
        <w:t>Emission, Environmental management.</w:t>
      </w:r>
    </w:p>
    <w:p w:rsidR="00B32F57" w:rsidRPr="00E246E2" w:rsidRDefault="00B32F57" w:rsidP="009455EE">
      <w:pPr>
        <w:pStyle w:val="Heading3"/>
        <w:spacing w:after="0" w:afterAutospacing="0"/>
        <w:rPr>
          <w:sz w:val="24"/>
          <w:szCs w:val="24"/>
        </w:rPr>
      </w:pPr>
      <w:r w:rsidRPr="00E246E2">
        <w:rPr>
          <w:sz w:val="24"/>
          <w:szCs w:val="24"/>
        </w:rPr>
        <w:t>1.</w:t>
      </w:r>
      <w:r w:rsidR="00C6020D" w:rsidRPr="00E246E2">
        <w:rPr>
          <w:sz w:val="24"/>
          <w:szCs w:val="24"/>
        </w:rPr>
        <w:t>0</w:t>
      </w:r>
      <w:r w:rsidRPr="00E246E2">
        <w:rPr>
          <w:sz w:val="24"/>
          <w:szCs w:val="24"/>
        </w:rPr>
        <w:t xml:space="preserve"> </w:t>
      </w:r>
      <w:r w:rsidR="00EF581C" w:rsidRPr="00E246E2">
        <w:rPr>
          <w:sz w:val="24"/>
          <w:szCs w:val="24"/>
        </w:rPr>
        <w:t>Introduction</w:t>
      </w:r>
    </w:p>
    <w:p w:rsidR="00B32F57" w:rsidRPr="00E246E2" w:rsidRDefault="00B32F57"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Climate change constitute s one of the most pressing challenges of the twenty-first century with significant implication for ecosystem, economies, and societies worldwide.</w:t>
      </w:r>
      <w:r w:rsidR="005368A3" w:rsidRPr="00E246E2">
        <w:rPr>
          <w:rFonts w:ascii="Times New Roman" w:hAnsi="Times New Roman" w:cs="Times New Roman"/>
          <w:sz w:val="24"/>
          <w:szCs w:val="24"/>
        </w:rPr>
        <w:t xml:space="preserve"> Ensuring a safe and just future for humanity  in the face of global climate change requires reaching net-zero emission (Carrion et al ,2025)</w:t>
      </w:r>
      <w:r w:rsidRPr="00E246E2">
        <w:rPr>
          <w:rFonts w:ascii="Times New Roman" w:hAnsi="Times New Roman" w:cs="Times New Roman"/>
          <w:sz w:val="24"/>
          <w:szCs w:val="24"/>
        </w:rPr>
        <w:t xml:space="preserve"> The intergovernmenta</w:t>
      </w:r>
      <w:r w:rsidR="007F0465" w:rsidRPr="00E246E2">
        <w:rPr>
          <w:rFonts w:ascii="Times New Roman" w:hAnsi="Times New Roman" w:cs="Times New Roman"/>
          <w:sz w:val="24"/>
          <w:szCs w:val="24"/>
        </w:rPr>
        <w:t>l panel on climate change (IPPC,</w:t>
      </w:r>
      <w:r w:rsidRPr="00E246E2">
        <w:rPr>
          <w:rFonts w:ascii="Times New Roman" w:hAnsi="Times New Roman" w:cs="Times New Roman"/>
          <w:sz w:val="24"/>
          <w:szCs w:val="24"/>
        </w:rPr>
        <w:t xml:space="preserve"> 2021) underscores the urgent </w:t>
      </w:r>
      <w:r w:rsidR="00AD04A1" w:rsidRPr="00E246E2">
        <w:rPr>
          <w:rFonts w:ascii="Times New Roman" w:hAnsi="Times New Roman" w:cs="Times New Roman"/>
          <w:sz w:val="24"/>
          <w:szCs w:val="24"/>
        </w:rPr>
        <w:t>need to</w:t>
      </w:r>
      <w:r w:rsidR="007517E7" w:rsidRPr="00E246E2">
        <w:rPr>
          <w:rFonts w:ascii="Times New Roman" w:hAnsi="Times New Roman" w:cs="Times New Roman"/>
          <w:sz w:val="24"/>
          <w:szCs w:val="24"/>
        </w:rPr>
        <w:t xml:space="preserve"> substantially reduce greenhouse gas (GHG) emissions in order to mitigate global warming and prevent its most severe consequences.</w:t>
      </w:r>
      <w:r w:rsidR="007F0465" w:rsidRPr="00E246E2">
        <w:rPr>
          <w:rFonts w:ascii="Times New Roman" w:hAnsi="Times New Roman" w:cs="Times New Roman"/>
          <w:sz w:val="24"/>
          <w:szCs w:val="24"/>
        </w:rPr>
        <w:t xml:space="preserve"> In this regard, corporations, as a major contributors to global emissions, are increasingly expected to adopt proactive measures that align with international climate </w:t>
      </w:r>
      <w:r w:rsidR="009455EE">
        <w:rPr>
          <w:rFonts w:ascii="Times New Roman" w:hAnsi="Times New Roman" w:cs="Times New Roman"/>
          <w:sz w:val="24"/>
          <w:szCs w:val="24"/>
        </w:rPr>
        <w:t xml:space="preserve">and sustainability </w:t>
      </w:r>
      <w:r w:rsidR="007F0465" w:rsidRPr="00E246E2">
        <w:rPr>
          <w:rFonts w:ascii="Times New Roman" w:hAnsi="Times New Roman" w:cs="Times New Roman"/>
          <w:sz w:val="24"/>
          <w:szCs w:val="24"/>
        </w:rPr>
        <w:t>goals</w:t>
      </w:r>
      <w:r w:rsidR="009455EE">
        <w:rPr>
          <w:rFonts w:ascii="Times New Roman" w:hAnsi="Times New Roman" w:cs="Times New Roman"/>
          <w:sz w:val="24"/>
          <w:szCs w:val="24"/>
        </w:rPr>
        <w:t xml:space="preserve"> (</w:t>
      </w:r>
      <w:proofErr w:type="spellStart"/>
      <w:r w:rsidR="009455EE" w:rsidRPr="007C321A">
        <w:rPr>
          <w:rFonts w:ascii="Times New Roman" w:hAnsi="Times New Roman" w:cs="Times New Roman"/>
          <w:sz w:val="24"/>
          <w:szCs w:val="24"/>
        </w:rPr>
        <w:t>Muomaife</w:t>
      </w:r>
      <w:proofErr w:type="spellEnd"/>
      <w:r w:rsidR="009455EE">
        <w:rPr>
          <w:rFonts w:ascii="Times New Roman" w:hAnsi="Times New Roman" w:cs="Times New Roman"/>
          <w:sz w:val="24"/>
          <w:szCs w:val="24"/>
        </w:rPr>
        <w:t xml:space="preserve"> et al., 2025; </w:t>
      </w:r>
      <w:r w:rsidR="009455EE" w:rsidRPr="007C321A">
        <w:rPr>
          <w:rFonts w:ascii="Times New Roman" w:hAnsi="Times New Roman" w:cs="Times New Roman"/>
          <w:sz w:val="24"/>
          <w:szCs w:val="24"/>
        </w:rPr>
        <w:t>Okafo</w:t>
      </w:r>
      <w:r w:rsidR="009455EE">
        <w:rPr>
          <w:rFonts w:ascii="Times New Roman" w:hAnsi="Times New Roman" w:cs="Times New Roman"/>
          <w:sz w:val="24"/>
          <w:szCs w:val="24"/>
        </w:rPr>
        <w:t xml:space="preserve">r &amp; Nworie, 2025; </w:t>
      </w:r>
      <w:r w:rsidR="009455EE" w:rsidRPr="007C321A">
        <w:rPr>
          <w:rFonts w:ascii="Times New Roman" w:hAnsi="Times New Roman" w:cs="Times New Roman"/>
          <w:sz w:val="24"/>
          <w:szCs w:val="24"/>
        </w:rPr>
        <w:t>Nworie</w:t>
      </w:r>
      <w:r w:rsidR="009455EE">
        <w:rPr>
          <w:rFonts w:ascii="Times New Roman" w:hAnsi="Times New Roman" w:cs="Times New Roman"/>
          <w:sz w:val="24"/>
          <w:szCs w:val="24"/>
        </w:rPr>
        <w:t xml:space="preserve"> et al., 2024)</w:t>
      </w:r>
      <w:r w:rsidR="007F0465" w:rsidRPr="00E246E2">
        <w:rPr>
          <w:rFonts w:ascii="Times New Roman" w:hAnsi="Times New Roman" w:cs="Times New Roman"/>
          <w:sz w:val="24"/>
          <w:szCs w:val="24"/>
        </w:rPr>
        <w:t>. In response to mounting regulatory, investor, and consumer pressures, many corporations have pledged to achieve net-z</w:t>
      </w:r>
      <w:r w:rsidR="00FD6BBF" w:rsidRPr="00E246E2">
        <w:rPr>
          <w:rFonts w:ascii="Times New Roman" w:hAnsi="Times New Roman" w:cs="Times New Roman"/>
          <w:sz w:val="24"/>
          <w:szCs w:val="24"/>
        </w:rPr>
        <w:t>ero targets</w:t>
      </w:r>
      <w:r w:rsidR="00BC6234" w:rsidRPr="00E246E2">
        <w:rPr>
          <w:rFonts w:ascii="Times New Roman" w:hAnsi="Times New Roman" w:cs="Times New Roman"/>
          <w:sz w:val="24"/>
          <w:szCs w:val="24"/>
        </w:rPr>
        <w:t xml:space="preserve"> (</w:t>
      </w:r>
      <w:proofErr w:type="spellStart"/>
      <w:r w:rsidR="00BC6234" w:rsidRPr="00E246E2">
        <w:rPr>
          <w:rFonts w:ascii="Times New Roman" w:hAnsi="Times New Roman" w:cs="Times New Roman"/>
          <w:sz w:val="24"/>
          <w:szCs w:val="24"/>
        </w:rPr>
        <w:t>Eze</w:t>
      </w:r>
      <w:proofErr w:type="spellEnd"/>
      <w:r w:rsidR="00BC6234" w:rsidRPr="00E246E2">
        <w:rPr>
          <w:rFonts w:ascii="Times New Roman" w:hAnsi="Times New Roman" w:cs="Times New Roman"/>
          <w:sz w:val="24"/>
          <w:szCs w:val="24"/>
        </w:rPr>
        <w:t xml:space="preserve"> et al, 2022</w:t>
      </w:r>
      <w:r w:rsidR="005368A3" w:rsidRPr="00E246E2">
        <w:rPr>
          <w:rFonts w:ascii="Times New Roman" w:hAnsi="Times New Roman" w:cs="Times New Roman"/>
          <w:sz w:val="24"/>
          <w:szCs w:val="24"/>
        </w:rPr>
        <w:t>)</w:t>
      </w:r>
      <w:r w:rsidR="00FD6BBF" w:rsidRPr="00E246E2">
        <w:rPr>
          <w:rFonts w:ascii="Times New Roman" w:hAnsi="Times New Roman" w:cs="Times New Roman"/>
          <w:sz w:val="24"/>
          <w:szCs w:val="24"/>
        </w:rPr>
        <w:t>.</w:t>
      </w:r>
      <w:r w:rsidR="007F0465" w:rsidRPr="00E246E2">
        <w:rPr>
          <w:rFonts w:ascii="Times New Roman" w:hAnsi="Times New Roman" w:cs="Times New Roman"/>
          <w:sz w:val="24"/>
          <w:szCs w:val="24"/>
        </w:rPr>
        <w:t xml:space="preserve"> These targets require balancing the volume of GHG emissions produced with an equivalent amount removed from the atmosphere through</w:t>
      </w:r>
      <w:r w:rsidR="00FD6BBF" w:rsidRPr="00E246E2">
        <w:rPr>
          <w:rFonts w:ascii="Times New Roman" w:hAnsi="Times New Roman" w:cs="Times New Roman"/>
          <w:sz w:val="24"/>
          <w:szCs w:val="24"/>
        </w:rPr>
        <w:t xml:space="preserve"> technological or natural solutions (United </w:t>
      </w:r>
      <w:r w:rsidR="00BF0E48" w:rsidRPr="00E246E2">
        <w:rPr>
          <w:rFonts w:ascii="Times New Roman" w:hAnsi="Times New Roman" w:cs="Times New Roman"/>
          <w:sz w:val="24"/>
          <w:szCs w:val="24"/>
        </w:rPr>
        <w:t>Nations</w:t>
      </w:r>
      <w:r w:rsidR="00FD6BBF" w:rsidRPr="00E246E2">
        <w:rPr>
          <w:rFonts w:ascii="Times New Roman" w:hAnsi="Times New Roman" w:cs="Times New Roman"/>
          <w:sz w:val="24"/>
          <w:szCs w:val="24"/>
        </w:rPr>
        <w:t>, 2022). While such commitments represent important steps towards climate responsibility depends largely on accurate measurement, monitoring, and transparent reporting of emissions.</w:t>
      </w:r>
    </w:p>
    <w:p w:rsidR="00FD6BBF" w:rsidRPr="00E246E2" w:rsidRDefault="00FD6BBF"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lastRenderedPageBreak/>
        <w:t>Carbon accounting has emerged as a central mechanism for managing and disclosing emissions. It provides standardized approaches for quantifying emissions across operational boundaries, supply chains, and product l</w:t>
      </w:r>
      <w:r w:rsidR="00FF45D8" w:rsidRPr="00E246E2">
        <w:rPr>
          <w:rFonts w:ascii="Times New Roman" w:hAnsi="Times New Roman" w:cs="Times New Roman"/>
          <w:sz w:val="24"/>
          <w:szCs w:val="24"/>
        </w:rPr>
        <w:t>ife cycles (Obi et al, 2021</w:t>
      </w:r>
      <w:r w:rsidRPr="00E246E2">
        <w:rPr>
          <w:rFonts w:ascii="Times New Roman" w:hAnsi="Times New Roman" w:cs="Times New Roman"/>
          <w:sz w:val="24"/>
          <w:szCs w:val="24"/>
        </w:rPr>
        <w:t xml:space="preserve">). When fixed within corporate governance, carbon accounting enables firms to identify emission </w:t>
      </w:r>
      <w:r w:rsidR="00F948A8" w:rsidRPr="00E246E2">
        <w:rPr>
          <w:rFonts w:ascii="Times New Roman" w:hAnsi="Times New Roman" w:cs="Times New Roman"/>
          <w:sz w:val="24"/>
          <w:szCs w:val="24"/>
        </w:rPr>
        <w:t>hotspot</w:t>
      </w:r>
      <w:r w:rsidRPr="00E246E2">
        <w:rPr>
          <w:rFonts w:ascii="Times New Roman" w:hAnsi="Times New Roman" w:cs="Times New Roman"/>
          <w:sz w:val="24"/>
          <w:szCs w:val="24"/>
        </w:rPr>
        <w:t xml:space="preserve">, establish reduction benchmarks, and </w:t>
      </w:r>
      <w:r w:rsidR="00F948A8" w:rsidRPr="00E246E2">
        <w:rPr>
          <w:rFonts w:ascii="Times New Roman" w:hAnsi="Times New Roman" w:cs="Times New Roman"/>
          <w:sz w:val="24"/>
          <w:szCs w:val="24"/>
        </w:rPr>
        <w:t>monitor progress towards sustainability ob</w:t>
      </w:r>
      <w:r w:rsidR="00BC6234" w:rsidRPr="00E246E2">
        <w:rPr>
          <w:rFonts w:ascii="Times New Roman" w:hAnsi="Times New Roman" w:cs="Times New Roman"/>
          <w:sz w:val="24"/>
          <w:szCs w:val="24"/>
        </w:rPr>
        <w:t>jectives (</w:t>
      </w:r>
      <w:proofErr w:type="spellStart"/>
      <w:r w:rsidR="00BC6234" w:rsidRPr="00E246E2">
        <w:rPr>
          <w:rFonts w:ascii="Times New Roman" w:hAnsi="Times New Roman" w:cs="Times New Roman"/>
          <w:sz w:val="24"/>
          <w:szCs w:val="24"/>
        </w:rPr>
        <w:t>Kuo</w:t>
      </w:r>
      <w:proofErr w:type="spellEnd"/>
      <w:r w:rsidR="00BC6234" w:rsidRPr="00E246E2">
        <w:rPr>
          <w:rFonts w:ascii="Times New Roman" w:hAnsi="Times New Roman" w:cs="Times New Roman"/>
          <w:sz w:val="24"/>
          <w:szCs w:val="24"/>
        </w:rPr>
        <w:t xml:space="preserve"> et al, 2022</w:t>
      </w:r>
      <w:r w:rsidR="00F948A8" w:rsidRPr="00E246E2">
        <w:rPr>
          <w:rFonts w:ascii="Times New Roman" w:hAnsi="Times New Roman" w:cs="Times New Roman"/>
          <w:sz w:val="24"/>
          <w:szCs w:val="24"/>
        </w:rPr>
        <w:t xml:space="preserve">). Despite its potential, concerns remain regarding the adequacy, consistency, and transparency of carbon accounting practices, raising questions about its effectiveness in supporting genuine net-zero transitions. </w:t>
      </w:r>
      <w:r w:rsidR="00BF0E48" w:rsidRPr="00E246E2">
        <w:rPr>
          <w:rFonts w:ascii="Times New Roman" w:hAnsi="Times New Roman" w:cs="Times New Roman"/>
          <w:sz w:val="24"/>
          <w:szCs w:val="24"/>
        </w:rPr>
        <w:t xml:space="preserve">In response to the growing risks associated with climate change, investors and financial institutions are increasingly demanding the integration environmental, social and governance </w:t>
      </w:r>
      <w:r w:rsidR="002670B7" w:rsidRPr="00E246E2">
        <w:rPr>
          <w:rFonts w:ascii="Times New Roman" w:hAnsi="Times New Roman" w:cs="Times New Roman"/>
          <w:sz w:val="24"/>
          <w:szCs w:val="24"/>
        </w:rPr>
        <w:t>frameworks and clear roadmaps towards achieving net-zero carbon emissions. Sustainability has consequently emerged as a central theme in global corporate and policy discussions</w:t>
      </w:r>
      <w:r w:rsidR="008B245E" w:rsidRPr="00E246E2">
        <w:rPr>
          <w:rFonts w:ascii="Times New Roman" w:hAnsi="Times New Roman" w:cs="Times New Roman"/>
          <w:sz w:val="24"/>
          <w:szCs w:val="24"/>
        </w:rPr>
        <w:t xml:space="preserve"> (Saeed</w:t>
      </w:r>
      <w:r w:rsidR="005368A3" w:rsidRPr="00E246E2">
        <w:rPr>
          <w:rFonts w:ascii="Times New Roman" w:hAnsi="Times New Roman" w:cs="Times New Roman"/>
          <w:sz w:val="24"/>
          <w:szCs w:val="24"/>
        </w:rPr>
        <w:t xml:space="preserve"> et al, 2023)</w:t>
      </w:r>
      <w:r w:rsidR="002670B7" w:rsidRPr="00E246E2">
        <w:rPr>
          <w:rFonts w:ascii="Times New Roman" w:hAnsi="Times New Roman" w:cs="Times New Roman"/>
          <w:sz w:val="24"/>
          <w:szCs w:val="24"/>
        </w:rPr>
        <w:t>. Nevertheless, research by Forbes indicates</w:t>
      </w:r>
      <w:r w:rsidR="00BA1EEB" w:rsidRPr="00E246E2">
        <w:rPr>
          <w:rFonts w:ascii="Times New Roman" w:hAnsi="Times New Roman" w:cs="Times New Roman"/>
          <w:sz w:val="24"/>
          <w:szCs w:val="24"/>
        </w:rPr>
        <w:t xml:space="preserve"> that while approximately 90% of corporate executives recognize the strategic importance of sustainability, only about 60% of organizations have implemented a comprehensive sustainability strategy (Forbes, 2021).</w:t>
      </w:r>
    </w:p>
    <w:p w:rsidR="006C427C" w:rsidRDefault="00BA1EEB"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adoption of sustainability strategies has become imperative not only due to escalating environmental challenges but in response to the expectations of stakeholders across the supply chain, who increasingly prefer to engage with environmentally responsible firm</w:t>
      </w:r>
      <w:r w:rsidR="009455EE">
        <w:rPr>
          <w:rFonts w:ascii="Times New Roman" w:hAnsi="Times New Roman" w:cs="Times New Roman"/>
          <w:sz w:val="24"/>
          <w:szCs w:val="24"/>
        </w:rPr>
        <w:t xml:space="preserve"> (</w:t>
      </w:r>
      <w:proofErr w:type="spellStart"/>
      <w:r w:rsidR="009455EE">
        <w:rPr>
          <w:rFonts w:ascii="Times New Roman" w:hAnsi="Times New Roman" w:cs="Times New Roman"/>
          <w:sz w:val="24"/>
          <w:szCs w:val="24"/>
        </w:rPr>
        <w:t>Nworie</w:t>
      </w:r>
      <w:proofErr w:type="spellEnd"/>
      <w:r w:rsidR="009455EE" w:rsidRPr="007C321A">
        <w:rPr>
          <w:rFonts w:ascii="Times New Roman" w:hAnsi="Times New Roman" w:cs="Times New Roman"/>
          <w:sz w:val="24"/>
          <w:szCs w:val="24"/>
        </w:rPr>
        <w:t xml:space="preserve"> &amp; </w:t>
      </w:r>
      <w:r w:rsidR="009455EE">
        <w:rPr>
          <w:rFonts w:ascii="Times New Roman" w:hAnsi="Times New Roman" w:cs="Times New Roman"/>
          <w:sz w:val="24"/>
          <w:szCs w:val="24"/>
        </w:rPr>
        <w:t>Orji-</w:t>
      </w:r>
      <w:proofErr w:type="spellStart"/>
      <w:r w:rsidR="009455EE">
        <w:rPr>
          <w:rFonts w:ascii="Times New Roman" w:hAnsi="Times New Roman" w:cs="Times New Roman"/>
          <w:sz w:val="24"/>
          <w:szCs w:val="24"/>
        </w:rPr>
        <w:t>Okafor</w:t>
      </w:r>
      <w:proofErr w:type="spellEnd"/>
      <w:r w:rsidR="009455EE">
        <w:rPr>
          <w:rFonts w:ascii="Times New Roman" w:hAnsi="Times New Roman" w:cs="Times New Roman"/>
          <w:sz w:val="24"/>
          <w:szCs w:val="24"/>
        </w:rPr>
        <w:t xml:space="preserve">, </w:t>
      </w:r>
      <w:r w:rsidR="009455EE" w:rsidRPr="007C321A">
        <w:rPr>
          <w:rFonts w:ascii="Times New Roman" w:hAnsi="Times New Roman" w:cs="Times New Roman"/>
          <w:sz w:val="24"/>
          <w:szCs w:val="24"/>
        </w:rPr>
        <w:t>2024</w:t>
      </w:r>
      <w:r w:rsidR="009455EE">
        <w:rPr>
          <w:rFonts w:ascii="Times New Roman" w:hAnsi="Times New Roman" w:cs="Times New Roman"/>
          <w:sz w:val="24"/>
          <w:szCs w:val="24"/>
        </w:rPr>
        <w:t xml:space="preserve">; </w:t>
      </w:r>
      <w:proofErr w:type="spellStart"/>
      <w:r w:rsidR="009455EE" w:rsidRPr="007C321A">
        <w:rPr>
          <w:rFonts w:ascii="Times New Roman" w:hAnsi="Times New Roman" w:cs="Times New Roman"/>
          <w:bCs/>
          <w:sz w:val="24"/>
          <w:szCs w:val="24"/>
        </w:rPr>
        <w:t>Ukoh</w:t>
      </w:r>
      <w:proofErr w:type="spellEnd"/>
      <w:r w:rsidR="009455EE">
        <w:rPr>
          <w:rFonts w:ascii="Times New Roman" w:hAnsi="Times New Roman" w:cs="Times New Roman"/>
          <w:bCs/>
          <w:sz w:val="24"/>
          <w:szCs w:val="24"/>
        </w:rPr>
        <w:t xml:space="preserve"> et al., 2024</w:t>
      </w:r>
      <w:r w:rsidR="009455EE" w:rsidRPr="007C321A">
        <w:rPr>
          <w:rFonts w:ascii="Times New Roman" w:hAnsi="Times New Roman" w:cs="Times New Roman"/>
          <w:sz w:val="24"/>
          <w:szCs w:val="24"/>
        </w:rPr>
        <w:t>)</w:t>
      </w:r>
      <w:r w:rsidR="00A42C03" w:rsidRPr="00E246E2">
        <w:rPr>
          <w:rFonts w:ascii="Times New Roman" w:hAnsi="Times New Roman" w:cs="Times New Roman"/>
          <w:sz w:val="24"/>
          <w:szCs w:val="24"/>
        </w:rPr>
        <w:t>. This trend is particularly significant within the construction industry-one of the largest contributors to climate change- responsible for an estimated 37% of global carbon emission (India Today, 2021). Consequently, the sector is under undue pressure to implement sustainable practices and red</w:t>
      </w:r>
      <w:r w:rsidR="00763254" w:rsidRPr="00E246E2">
        <w:rPr>
          <w:rFonts w:ascii="Times New Roman" w:hAnsi="Times New Roman" w:cs="Times New Roman"/>
          <w:sz w:val="24"/>
          <w:szCs w:val="24"/>
        </w:rPr>
        <w:t>uce its environmental footprint</w:t>
      </w:r>
      <w:r w:rsidR="00805E3C" w:rsidRPr="00E246E2">
        <w:rPr>
          <w:rFonts w:ascii="Times New Roman" w:hAnsi="Times New Roman" w:cs="Times New Roman"/>
          <w:sz w:val="24"/>
          <w:szCs w:val="24"/>
        </w:rPr>
        <w:t xml:space="preserve">. </w:t>
      </w:r>
    </w:p>
    <w:p w:rsidR="00AF0399" w:rsidRPr="00E246E2" w:rsidRDefault="0037484D" w:rsidP="009455EE">
      <w:pPr>
        <w:pStyle w:val="Heading3"/>
        <w:spacing w:after="0" w:afterAutospacing="0"/>
      </w:pPr>
      <w:r w:rsidRPr="00E246E2">
        <w:t>1.2</w:t>
      </w:r>
      <w:r w:rsidR="00834C43" w:rsidRPr="00E246E2">
        <w:t xml:space="preserve"> Objectives of the Study</w:t>
      </w:r>
      <w:r w:rsidR="00AF0399" w:rsidRPr="00E246E2">
        <w:t>.</w:t>
      </w:r>
    </w:p>
    <w:p w:rsidR="00834C43" w:rsidRPr="00E246E2" w:rsidRDefault="00834C43"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broad objective of this study is to examine the role of carbon accounting in facilitating the achievement of corporate net-zero targets</w:t>
      </w:r>
      <w:r w:rsidR="00C6374A" w:rsidRPr="00E246E2">
        <w:rPr>
          <w:rFonts w:ascii="Times New Roman" w:hAnsi="Times New Roman" w:cs="Times New Roman"/>
          <w:sz w:val="24"/>
          <w:szCs w:val="24"/>
        </w:rPr>
        <w:t>. To a</w:t>
      </w:r>
      <w:r w:rsidR="006C427C" w:rsidRPr="00E246E2">
        <w:rPr>
          <w:rFonts w:ascii="Times New Roman" w:hAnsi="Times New Roman" w:cs="Times New Roman"/>
          <w:sz w:val="24"/>
          <w:szCs w:val="24"/>
        </w:rPr>
        <w:t>chieve this aim, the study considered</w:t>
      </w:r>
      <w:r w:rsidR="00C6374A" w:rsidRPr="00E246E2">
        <w:rPr>
          <w:rFonts w:ascii="Times New Roman" w:hAnsi="Times New Roman" w:cs="Times New Roman"/>
          <w:sz w:val="24"/>
          <w:szCs w:val="24"/>
        </w:rPr>
        <w:t xml:space="preserve"> the following specific objectives:</w:t>
      </w:r>
    </w:p>
    <w:p w:rsidR="00C6374A" w:rsidRPr="00E246E2" w:rsidRDefault="00C6374A"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1. To assess the extent to which corporations integrate carbon accounting into their sustainability strategies for achieving net-zero commitments.</w:t>
      </w:r>
    </w:p>
    <w:p w:rsidR="00C6374A" w:rsidRPr="00E246E2" w:rsidRDefault="00C6374A"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2. To evaluate the effectiveness of carbon accounting practices in identifying emission-intensive activities and reducing corporate emissions.</w:t>
      </w:r>
    </w:p>
    <w:p w:rsidR="006B6120" w:rsidRPr="00E246E2" w:rsidRDefault="006B6120" w:rsidP="00AF3973">
      <w:pPr>
        <w:pStyle w:val="Heading3"/>
      </w:pPr>
      <w:r w:rsidRPr="00E246E2">
        <w:t xml:space="preserve">2.0 </w:t>
      </w:r>
      <w:r w:rsidR="004A334D" w:rsidRPr="00AF3973">
        <w:t>Literature</w:t>
      </w:r>
      <w:r w:rsidR="004A334D" w:rsidRPr="00E246E2">
        <w:t xml:space="preserve"> Review</w:t>
      </w:r>
    </w:p>
    <w:p w:rsidR="001F7381" w:rsidRPr="00E246E2" w:rsidRDefault="006B6120" w:rsidP="00AF3973">
      <w:pPr>
        <w:pStyle w:val="Heading3"/>
      </w:pPr>
      <w:r w:rsidRPr="00E246E2">
        <w:t xml:space="preserve">2.1.1 </w:t>
      </w:r>
      <w:r w:rsidR="005F030B" w:rsidRPr="00E246E2">
        <w:t xml:space="preserve">Concept </w:t>
      </w:r>
      <w:r w:rsidR="005F030B" w:rsidRPr="00AF3973">
        <w:t>of</w:t>
      </w:r>
      <w:r w:rsidR="005F030B" w:rsidRPr="00E246E2">
        <w:t xml:space="preserve"> Carbon Accounting.</w:t>
      </w:r>
    </w:p>
    <w:p w:rsidR="001A3290" w:rsidRPr="00E246E2" w:rsidRDefault="005F030B" w:rsidP="00E246E2">
      <w:pPr>
        <w:pStyle w:val="Heading3"/>
        <w:jc w:val="both"/>
        <w:rPr>
          <w:b w:val="0"/>
          <w:sz w:val="24"/>
          <w:szCs w:val="24"/>
        </w:rPr>
      </w:pPr>
      <w:r w:rsidRPr="00E246E2">
        <w:rPr>
          <w:b w:val="0"/>
          <w:sz w:val="24"/>
          <w:szCs w:val="24"/>
        </w:rPr>
        <w:t>Ca</w:t>
      </w:r>
      <w:r w:rsidR="00FB1F93" w:rsidRPr="00E246E2">
        <w:rPr>
          <w:b w:val="0"/>
          <w:sz w:val="24"/>
          <w:szCs w:val="24"/>
        </w:rPr>
        <w:t xml:space="preserve">rbon accounting refers to the </w:t>
      </w:r>
      <w:r w:rsidR="00DB2F06" w:rsidRPr="00E246E2">
        <w:rPr>
          <w:b w:val="0"/>
          <w:sz w:val="24"/>
          <w:szCs w:val="24"/>
        </w:rPr>
        <w:t>systematic</w:t>
      </w:r>
      <w:r w:rsidRPr="00E246E2">
        <w:rPr>
          <w:b w:val="0"/>
          <w:sz w:val="24"/>
          <w:szCs w:val="24"/>
        </w:rPr>
        <w:t xml:space="preserve"> process of measuring, recording, and reporting greenhouse gas (GHG)</w:t>
      </w:r>
      <w:r w:rsidR="001A3290" w:rsidRPr="00E246E2">
        <w:rPr>
          <w:b w:val="0"/>
          <w:sz w:val="24"/>
          <w:szCs w:val="24"/>
        </w:rPr>
        <w:t xml:space="preserve"> emissions produced by an organization, project, or</w:t>
      </w:r>
      <w:r w:rsidR="000B7422" w:rsidRPr="00E246E2">
        <w:rPr>
          <w:b w:val="0"/>
          <w:sz w:val="24"/>
          <w:szCs w:val="24"/>
        </w:rPr>
        <w:t xml:space="preserve"> product (</w:t>
      </w:r>
      <w:proofErr w:type="spellStart"/>
      <w:r w:rsidR="000B7422" w:rsidRPr="00E246E2">
        <w:rPr>
          <w:b w:val="0"/>
          <w:sz w:val="24"/>
          <w:szCs w:val="24"/>
        </w:rPr>
        <w:t>Ascui</w:t>
      </w:r>
      <w:proofErr w:type="spellEnd"/>
      <w:r w:rsidR="000B7422" w:rsidRPr="00E246E2">
        <w:rPr>
          <w:b w:val="0"/>
          <w:sz w:val="24"/>
          <w:szCs w:val="24"/>
        </w:rPr>
        <w:t xml:space="preserve"> &amp; Lovell, 2011)</w:t>
      </w:r>
      <w:r w:rsidR="001A3290" w:rsidRPr="00E246E2">
        <w:rPr>
          <w:b w:val="0"/>
          <w:sz w:val="24"/>
          <w:szCs w:val="24"/>
        </w:rPr>
        <w:t xml:space="preserve">. </w:t>
      </w:r>
      <w:r w:rsidR="001F7381">
        <w:rPr>
          <w:b w:val="0"/>
          <w:sz w:val="24"/>
          <w:szCs w:val="24"/>
        </w:rPr>
        <w:t xml:space="preserve">Literature review lays a strong basis for the investigation by discussing the pertinent theory and framework (Israel et al, 2025). </w:t>
      </w:r>
      <w:r w:rsidR="001A3290" w:rsidRPr="00E246E2">
        <w:rPr>
          <w:b w:val="0"/>
          <w:sz w:val="24"/>
          <w:szCs w:val="24"/>
        </w:rPr>
        <w:t xml:space="preserve">It is an extension of environmental accounting that </w:t>
      </w:r>
      <w:r w:rsidR="00853547" w:rsidRPr="00E246E2">
        <w:rPr>
          <w:b w:val="0"/>
          <w:sz w:val="24"/>
          <w:szCs w:val="24"/>
        </w:rPr>
        <w:t>specifically</w:t>
      </w:r>
      <w:r w:rsidR="001A3290" w:rsidRPr="00E246E2">
        <w:rPr>
          <w:b w:val="0"/>
          <w:sz w:val="24"/>
          <w:szCs w:val="24"/>
        </w:rPr>
        <w:t xml:space="preserve"> focuses on quantifying carbon dioxide (CO2) and other GHG emissions in line with the international standards. The major objective of carbon accounting is to provide accurate and comparable data that organizations can use to manage their carbon footprint and make informed sustainability decisions (</w:t>
      </w:r>
      <w:proofErr w:type="spellStart"/>
      <w:r w:rsidR="001A3290" w:rsidRPr="00E246E2">
        <w:rPr>
          <w:b w:val="0"/>
          <w:sz w:val="24"/>
          <w:szCs w:val="24"/>
        </w:rPr>
        <w:t>Schaltegger</w:t>
      </w:r>
      <w:proofErr w:type="spellEnd"/>
      <w:r w:rsidR="001A3290" w:rsidRPr="00E246E2">
        <w:rPr>
          <w:b w:val="0"/>
          <w:sz w:val="24"/>
          <w:szCs w:val="24"/>
        </w:rPr>
        <w:t xml:space="preserve"> &amp; </w:t>
      </w:r>
      <w:proofErr w:type="spellStart"/>
      <w:r w:rsidR="001A3290" w:rsidRPr="00E246E2">
        <w:rPr>
          <w:b w:val="0"/>
          <w:sz w:val="24"/>
          <w:szCs w:val="24"/>
        </w:rPr>
        <w:t>Csutora</w:t>
      </w:r>
      <w:proofErr w:type="spellEnd"/>
      <w:r w:rsidR="00291F1F" w:rsidRPr="00E246E2">
        <w:rPr>
          <w:b w:val="0"/>
          <w:sz w:val="24"/>
          <w:szCs w:val="24"/>
        </w:rPr>
        <w:t>.</w:t>
      </w:r>
      <w:r w:rsidR="007E2397" w:rsidRPr="00E246E2">
        <w:rPr>
          <w:b w:val="0"/>
          <w:sz w:val="24"/>
          <w:szCs w:val="24"/>
        </w:rPr>
        <w:t>, 2022</w:t>
      </w:r>
      <w:r w:rsidR="001A3290" w:rsidRPr="00E246E2">
        <w:rPr>
          <w:b w:val="0"/>
          <w:sz w:val="24"/>
          <w:szCs w:val="24"/>
        </w:rPr>
        <w:t>).</w:t>
      </w:r>
      <w:r w:rsidR="00CD34D3">
        <w:rPr>
          <w:b w:val="0"/>
          <w:sz w:val="24"/>
          <w:szCs w:val="24"/>
        </w:rPr>
        <w:t xml:space="preserve"> </w:t>
      </w:r>
      <w:r w:rsidR="001A3290" w:rsidRPr="00E246E2">
        <w:rPr>
          <w:b w:val="0"/>
          <w:sz w:val="24"/>
          <w:szCs w:val="24"/>
        </w:rPr>
        <w:t xml:space="preserve">There are two major types of carbon accounting; corporate carbon accounting and product carbon accounting. </w:t>
      </w:r>
      <w:r w:rsidR="00853547" w:rsidRPr="00E246E2">
        <w:rPr>
          <w:b w:val="0"/>
          <w:sz w:val="24"/>
          <w:szCs w:val="24"/>
        </w:rPr>
        <w:t>Corporate carbon accounting focuses on total emission from company’s operations and supply chain, while product carbon accounting estimates the carbon footprint associated with the life cycle of a spec</w:t>
      </w:r>
      <w:r w:rsidR="00E2322B" w:rsidRPr="00E246E2">
        <w:rPr>
          <w:b w:val="0"/>
          <w:sz w:val="24"/>
          <w:szCs w:val="24"/>
        </w:rPr>
        <w:t>ific products or services (Rafiq et al, 2020</w:t>
      </w:r>
      <w:r w:rsidR="00853547" w:rsidRPr="00E246E2">
        <w:rPr>
          <w:b w:val="0"/>
          <w:sz w:val="24"/>
          <w:szCs w:val="24"/>
        </w:rPr>
        <w:t>)</w:t>
      </w:r>
      <w:r w:rsidR="00291F1F" w:rsidRPr="00E246E2">
        <w:rPr>
          <w:b w:val="0"/>
          <w:sz w:val="24"/>
          <w:szCs w:val="24"/>
        </w:rPr>
        <w:t xml:space="preserve">. The practice supports </w:t>
      </w:r>
      <w:r w:rsidR="00291F1F" w:rsidRPr="00E246E2">
        <w:rPr>
          <w:b w:val="0"/>
          <w:sz w:val="24"/>
          <w:szCs w:val="24"/>
        </w:rPr>
        <w:lastRenderedPageBreak/>
        <w:t>transparency and accountability in sustainability reporting and assist organization in identifying emission hotspots across value chains.</w:t>
      </w:r>
    </w:p>
    <w:p w:rsidR="00CD34D3" w:rsidRDefault="00291F1F" w:rsidP="00E246E2">
      <w:pPr>
        <w:pStyle w:val="Heading3"/>
        <w:jc w:val="both"/>
        <w:rPr>
          <w:sz w:val="24"/>
          <w:szCs w:val="24"/>
        </w:rPr>
      </w:pPr>
      <w:r w:rsidRPr="00E246E2">
        <w:rPr>
          <w:sz w:val="24"/>
          <w:szCs w:val="24"/>
        </w:rPr>
        <w:t>2.1.2 Understanding Net-Zero Targets</w:t>
      </w:r>
    </w:p>
    <w:p w:rsidR="00291F1F" w:rsidRPr="00E246E2" w:rsidRDefault="00291F1F" w:rsidP="00E246E2">
      <w:pPr>
        <w:pStyle w:val="Heading3"/>
        <w:jc w:val="both"/>
        <w:rPr>
          <w:sz w:val="24"/>
          <w:szCs w:val="24"/>
        </w:rPr>
      </w:pPr>
      <w:r w:rsidRPr="00E246E2">
        <w:rPr>
          <w:b w:val="0"/>
          <w:sz w:val="24"/>
          <w:szCs w:val="24"/>
        </w:rPr>
        <w:t>In its simplistic form, the concept of net-zero targets</w:t>
      </w:r>
      <w:r w:rsidR="007C11AC" w:rsidRPr="00E246E2">
        <w:rPr>
          <w:b w:val="0"/>
          <w:sz w:val="24"/>
          <w:szCs w:val="24"/>
        </w:rPr>
        <w:t xml:space="preserve"> entails balancing the amount of greenhouse gases emitted into the atmosphere with an equivalent amount removed or offset, thereby achieving a neutral carbon balance (United Nations,2022). For corporation, attaining net-zero status involves both reducing operational emission and investing in offsetting mechanisms such as carbon capture, afforestation, or renewable energy initiative (IPCC, 2021). </w:t>
      </w:r>
    </w:p>
    <w:p w:rsidR="007C11AC" w:rsidRPr="00E246E2" w:rsidRDefault="007C11AC" w:rsidP="00E246E2">
      <w:pPr>
        <w:pStyle w:val="Heading3"/>
        <w:jc w:val="both"/>
        <w:rPr>
          <w:b w:val="0"/>
          <w:sz w:val="24"/>
          <w:szCs w:val="24"/>
        </w:rPr>
      </w:pPr>
      <w:r w:rsidRPr="00E246E2">
        <w:rPr>
          <w:b w:val="0"/>
          <w:sz w:val="24"/>
          <w:szCs w:val="24"/>
        </w:rPr>
        <w:t>Corporate net-zero targets typically encompasses three emission categories:</w:t>
      </w:r>
    </w:p>
    <w:p w:rsidR="007C11AC" w:rsidRPr="00E246E2" w:rsidRDefault="007C11AC" w:rsidP="00E246E2">
      <w:pPr>
        <w:pStyle w:val="Heading3"/>
        <w:numPr>
          <w:ilvl w:val="0"/>
          <w:numId w:val="3"/>
        </w:numPr>
        <w:jc w:val="both"/>
        <w:rPr>
          <w:b w:val="0"/>
          <w:sz w:val="24"/>
          <w:szCs w:val="24"/>
        </w:rPr>
      </w:pPr>
      <w:r w:rsidRPr="00E246E2">
        <w:rPr>
          <w:b w:val="0"/>
          <w:sz w:val="24"/>
          <w:szCs w:val="24"/>
        </w:rPr>
        <w:t>Scope 1: Direct emissions from owned or controlled resources</w:t>
      </w:r>
      <w:r w:rsidR="000512CD">
        <w:rPr>
          <w:b w:val="0"/>
          <w:sz w:val="24"/>
          <w:szCs w:val="24"/>
        </w:rPr>
        <w:t xml:space="preserve"> </w:t>
      </w:r>
      <w:r w:rsidR="000512CD" w:rsidRPr="000512CD">
        <w:rPr>
          <w:b w:val="0"/>
          <w:sz w:val="24"/>
          <w:szCs w:val="24"/>
          <w:highlight w:val="yellow"/>
        </w:rPr>
        <w:t>(</w:t>
      </w:r>
      <w:proofErr w:type="spellStart"/>
      <w:r w:rsidR="000512CD" w:rsidRPr="000512CD">
        <w:rPr>
          <w:b w:val="0"/>
          <w:sz w:val="24"/>
          <w:szCs w:val="24"/>
          <w:highlight w:val="yellow"/>
        </w:rPr>
        <w:t>Topcheva</w:t>
      </w:r>
      <w:proofErr w:type="spellEnd"/>
      <w:r w:rsidR="000512CD" w:rsidRPr="000512CD">
        <w:rPr>
          <w:b w:val="0"/>
          <w:sz w:val="24"/>
          <w:szCs w:val="24"/>
          <w:highlight w:val="yellow"/>
        </w:rPr>
        <w:t>, 2023)</w:t>
      </w:r>
      <w:r w:rsidR="00AB4545" w:rsidRPr="00E246E2">
        <w:rPr>
          <w:b w:val="0"/>
          <w:sz w:val="24"/>
          <w:szCs w:val="24"/>
        </w:rPr>
        <w:t>.</w:t>
      </w:r>
    </w:p>
    <w:p w:rsidR="00AB4545" w:rsidRPr="00E246E2" w:rsidRDefault="00AB4545" w:rsidP="00E246E2">
      <w:pPr>
        <w:pStyle w:val="Heading3"/>
        <w:numPr>
          <w:ilvl w:val="0"/>
          <w:numId w:val="3"/>
        </w:numPr>
        <w:jc w:val="both"/>
        <w:rPr>
          <w:b w:val="0"/>
          <w:sz w:val="24"/>
          <w:szCs w:val="24"/>
        </w:rPr>
      </w:pPr>
      <w:r w:rsidRPr="00E246E2">
        <w:rPr>
          <w:b w:val="0"/>
          <w:sz w:val="24"/>
          <w:szCs w:val="24"/>
        </w:rPr>
        <w:t>Scope 2: Indirect emission from the generation of purchased electricity, heat or steam</w:t>
      </w:r>
    </w:p>
    <w:p w:rsidR="00AB4545" w:rsidRPr="00E246E2" w:rsidRDefault="00AB4545" w:rsidP="00E246E2">
      <w:pPr>
        <w:pStyle w:val="Heading3"/>
        <w:numPr>
          <w:ilvl w:val="0"/>
          <w:numId w:val="3"/>
        </w:numPr>
        <w:jc w:val="both"/>
        <w:rPr>
          <w:b w:val="0"/>
          <w:sz w:val="24"/>
          <w:szCs w:val="24"/>
        </w:rPr>
      </w:pPr>
      <w:r w:rsidRPr="00E246E2">
        <w:rPr>
          <w:b w:val="0"/>
          <w:sz w:val="24"/>
          <w:szCs w:val="24"/>
        </w:rPr>
        <w:t>Scope 3: All other indirect emissions occurring in the value chain, such as transportation, waste disposal, and product use (GHG Protocol, 2015)</w:t>
      </w:r>
    </w:p>
    <w:p w:rsidR="00CA5303" w:rsidRPr="00E246E2" w:rsidRDefault="00AB4545" w:rsidP="00831F40">
      <w:pPr>
        <w:pStyle w:val="Heading3"/>
        <w:jc w:val="both"/>
        <w:rPr>
          <w:b w:val="0"/>
          <w:sz w:val="24"/>
          <w:szCs w:val="24"/>
        </w:rPr>
      </w:pPr>
      <w:r w:rsidRPr="00E246E2">
        <w:rPr>
          <w:sz w:val="24"/>
          <w:szCs w:val="24"/>
        </w:rPr>
        <w:t>2.1.3 Carbon Accounting Framework and Standards</w:t>
      </w:r>
      <w:r w:rsidR="00B24E09" w:rsidRPr="00E246E2">
        <w:rPr>
          <w:b w:val="0"/>
          <w:sz w:val="24"/>
          <w:szCs w:val="24"/>
        </w:rPr>
        <w:t xml:space="preserve">. </w:t>
      </w:r>
      <w:r w:rsidRPr="00E246E2">
        <w:rPr>
          <w:b w:val="0"/>
          <w:sz w:val="24"/>
          <w:szCs w:val="24"/>
        </w:rPr>
        <w:t>Several frameworks guide corporate carbon accounting practices</w:t>
      </w:r>
      <w:r w:rsidR="00D55F87" w:rsidRPr="00E246E2">
        <w:rPr>
          <w:b w:val="0"/>
          <w:sz w:val="24"/>
          <w:szCs w:val="24"/>
        </w:rPr>
        <w:t>. The Greenhouse Gas (GHG) Protocol, developed by the World Resources Institute (WRI) and the World Business Council for Sustainable Development (WBCSD) is the most widely used international standard (WRI &amp; WBCSD, 2004). It provides methodologies for calculating and reporting scope 1, 2 and 3 emissions. Another important standard is ISO 14064, developed by the International Organization for Standardization, which outlines principles for quantifying, monitoring, and verifying greenhouse</w:t>
      </w:r>
      <w:r w:rsidR="00CA5303" w:rsidRPr="00E246E2">
        <w:rPr>
          <w:b w:val="0"/>
          <w:sz w:val="24"/>
          <w:szCs w:val="24"/>
        </w:rPr>
        <w:t xml:space="preserve"> gas emissions and removals. These framework aims to promote comparability, consistency, and transparency in corporate carbon disclosures. However, the coexistence of multiple standards has sometimes led to inconsistencies in implementation a</w:t>
      </w:r>
      <w:r w:rsidR="00221BCE" w:rsidRPr="00E246E2">
        <w:rPr>
          <w:b w:val="0"/>
          <w:sz w:val="24"/>
          <w:szCs w:val="24"/>
        </w:rPr>
        <w:t>cross industries (Obi et al</w:t>
      </w:r>
      <w:r w:rsidR="00CA5303" w:rsidRPr="00E246E2">
        <w:rPr>
          <w:b w:val="0"/>
          <w:sz w:val="24"/>
          <w:szCs w:val="24"/>
        </w:rPr>
        <w:t>, 2011).</w:t>
      </w:r>
    </w:p>
    <w:p w:rsidR="00896414" w:rsidRPr="00E246E2" w:rsidRDefault="00CA5303" w:rsidP="00E246E2">
      <w:pPr>
        <w:pStyle w:val="Heading3"/>
        <w:jc w:val="both"/>
        <w:rPr>
          <w:b w:val="0"/>
          <w:sz w:val="24"/>
          <w:szCs w:val="24"/>
        </w:rPr>
      </w:pPr>
      <w:r w:rsidRPr="00E246E2">
        <w:rPr>
          <w:sz w:val="24"/>
          <w:szCs w:val="24"/>
        </w:rPr>
        <w:t>2.1.4 Role of Carbon Accoun</w:t>
      </w:r>
      <w:r w:rsidR="00B24E09" w:rsidRPr="00E246E2">
        <w:rPr>
          <w:sz w:val="24"/>
          <w:szCs w:val="24"/>
        </w:rPr>
        <w:t>ting in Corporate Sustainability</w:t>
      </w:r>
      <w:r w:rsidR="00B24E09" w:rsidRPr="00E246E2">
        <w:rPr>
          <w:b w:val="0"/>
          <w:sz w:val="24"/>
          <w:szCs w:val="24"/>
        </w:rPr>
        <w:t xml:space="preserve">. </w:t>
      </w:r>
      <w:r w:rsidRPr="00E246E2">
        <w:rPr>
          <w:b w:val="0"/>
          <w:sz w:val="24"/>
          <w:szCs w:val="24"/>
        </w:rPr>
        <w:t>Carbon accounting plays a fundamental role in advancing corporate</w:t>
      </w:r>
      <w:r w:rsidR="00BB6982" w:rsidRPr="00E246E2">
        <w:rPr>
          <w:b w:val="0"/>
          <w:sz w:val="24"/>
          <w:szCs w:val="24"/>
        </w:rPr>
        <w:t xml:space="preserve"> sustainability by integrating environmental performance into business decision-making</w:t>
      </w:r>
      <w:r w:rsidR="00831F40">
        <w:rPr>
          <w:b w:val="0"/>
          <w:sz w:val="24"/>
          <w:szCs w:val="24"/>
        </w:rPr>
        <w:t xml:space="preserve"> (</w:t>
      </w:r>
      <w:proofErr w:type="spellStart"/>
      <w:r w:rsidR="00831F40" w:rsidRPr="00831F40">
        <w:rPr>
          <w:b w:val="0"/>
          <w:sz w:val="24"/>
          <w:szCs w:val="24"/>
          <w:lang w:val="en-US"/>
        </w:rPr>
        <w:t>Elom</w:t>
      </w:r>
      <w:proofErr w:type="spellEnd"/>
      <w:r w:rsidR="00831F40">
        <w:rPr>
          <w:b w:val="0"/>
          <w:sz w:val="24"/>
          <w:szCs w:val="24"/>
          <w:lang w:val="en-US"/>
        </w:rPr>
        <w:t xml:space="preserve"> et al., 2025)</w:t>
      </w:r>
      <w:r w:rsidR="00BB6982" w:rsidRPr="00E246E2">
        <w:rPr>
          <w:b w:val="0"/>
          <w:sz w:val="24"/>
          <w:szCs w:val="24"/>
        </w:rPr>
        <w:t>. It enables firms to quantify their environmental impacts, identify emission-intensive activities, and develop effective mitigation strategies (</w:t>
      </w:r>
      <w:r w:rsidR="00896414" w:rsidRPr="00E246E2">
        <w:rPr>
          <w:b w:val="0"/>
          <w:sz w:val="24"/>
          <w:szCs w:val="24"/>
        </w:rPr>
        <w:t xml:space="preserve">Burritt &amp; </w:t>
      </w:r>
      <w:proofErr w:type="spellStart"/>
      <w:r w:rsidR="00896414" w:rsidRPr="00E246E2">
        <w:rPr>
          <w:b w:val="0"/>
          <w:sz w:val="24"/>
          <w:szCs w:val="24"/>
        </w:rPr>
        <w:t>Tingey-Holyoak</w:t>
      </w:r>
      <w:proofErr w:type="spellEnd"/>
      <w:r w:rsidR="00896414" w:rsidRPr="00E246E2">
        <w:rPr>
          <w:b w:val="0"/>
          <w:sz w:val="24"/>
          <w:szCs w:val="24"/>
        </w:rPr>
        <w:t xml:space="preserve">, 2012). </w:t>
      </w:r>
      <w:r w:rsidR="008E6766" w:rsidRPr="00E246E2">
        <w:rPr>
          <w:b w:val="0"/>
          <w:sz w:val="24"/>
          <w:szCs w:val="24"/>
        </w:rPr>
        <w:t>In addition</w:t>
      </w:r>
      <w:r w:rsidR="00896414" w:rsidRPr="00E246E2">
        <w:rPr>
          <w:b w:val="0"/>
          <w:sz w:val="24"/>
          <w:szCs w:val="24"/>
        </w:rPr>
        <w:t>, accurate carbon accounting enhances stakeholders confidence by providing verifiable data that supports corporate social responsibility (CSR) and environmental, social and governance (ESG) disclosures (</w:t>
      </w:r>
      <w:proofErr w:type="spellStart"/>
      <w:r w:rsidR="00896414" w:rsidRPr="00E246E2">
        <w:rPr>
          <w:b w:val="0"/>
          <w:sz w:val="24"/>
          <w:szCs w:val="24"/>
        </w:rPr>
        <w:t>Kolk</w:t>
      </w:r>
      <w:proofErr w:type="spellEnd"/>
      <w:r w:rsidR="00896414" w:rsidRPr="00E246E2">
        <w:rPr>
          <w:b w:val="0"/>
          <w:sz w:val="24"/>
          <w:szCs w:val="24"/>
        </w:rPr>
        <w:t xml:space="preserve">, Levy, &amp; </w:t>
      </w:r>
      <w:proofErr w:type="spellStart"/>
      <w:r w:rsidR="00896414" w:rsidRPr="00E246E2">
        <w:rPr>
          <w:b w:val="0"/>
          <w:sz w:val="24"/>
          <w:szCs w:val="24"/>
        </w:rPr>
        <w:t>Pinkse</w:t>
      </w:r>
      <w:proofErr w:type="spellEnd"/>
      <w:r w:rsidR="00896414" w:rsidRPr="00E246E2">
        <w:rPr>
          <w:b w:val="0"/>
          <w:sz w:val="24"/>
          <w:szCs w:val="24"/>
        </w:rPr>
        <w:t>, 2008). In addition, carbon accounting assists corporation in complying with environmental regulations, participating in carbon markets, and preparing for emerging carbon pricing mechanism.</w:t>
      </w:r>
      <w:r w:rsidR="00B80654" w:rsidRPr="00E246E2">
        <w:rPr>
          <w:b w:val="0"/>
          <w:sz w:val="24"/>
          <w:szCs w:val="24"/>
        </w:rPr>
        <w:t xml:space="preserve"> </w:t>
      </w:r>
    </w:p>
    <w:p w:rsidR="0021709F" w:rsidRPr="00E246E2" w:rsidRDefault="00896414" w:rsidP="00E246E2">
      <w:pPr>
        <w:pStyle w:val="Heading3"/>
        <w:jc w:val="both"/>
        <w:rPr>
          <w:b w:val="0"/>
          <w:sz w:val="24"/>
          <w:szCs w:val="24"/>
        </w:rPr>
      </w:pPr>
      <w:r w:rsidRPr="00E246E2">
        <w:rPr>
          <w:sz w:val="24"/>
          <w:szCs w:val="24"/>
        </w:rPr>
        <w:t xml:space="preserve">2.1.5 Challenges Facing Carbon Accounting </w:t>
      </w:r>
      <w:r w:rsidR="005A69A2" w:rsidRPr="00E246E2">
        <w:rPr>
          <w:sz w:val="24"/>
          <w:szCs w:val="24"/>
        </w:rPr>
        <w:t>Implementation.</w:t>
      </w:r>
      <w:r w:rsidR="00F6467B" w:rsidRPr="00E246E2">
        <w:rPr>
          <w:b w:val="0"/>
          <w:sz w:val="24"/>
          <w:szCs w:val="24"/>
        </w:rPr>
        <w:t xml:space="preserve"> </w:t>
      </w:r>
      <w:r w:rsidR="00A13B92" w:rsidRPr="00E246E2">
        <w:rPr>
          <w:b w:val="0"/>
          <w:sz w:val="24"/>
          <w:szCs w:val="24"/>
        </w:rPr>
        <w:t>Despite</w:t>
      </w:r>
      <w:r w:rsidR="00D55F87" w:rsidRPr="00E246E2">
        <w:rPr>
          <w:b w:val="0"/>
          <w:sz w:val="24"/>
          <w:szCs w:val="24"/>
        </w:rPr>
        <w:t xml:space="preserve"> </w:t>
      </w:r>
      <w:r w:rsidR="005A69A2" w:rsidRPr="00E246E2">
        <w:rPr>
          <w:b w:val="0"/>
          <w:sz w:val="24"/>
          <w:szCs w:val="24"/>
        </w:rPr>
        <w:t xml:space="preserve">its significance, several challenges hinder the effective implementation of carbon accounting. This include the lack of standardized </w:t>
      </w:r>
      <w:r w:rsidR="001D7E6B" w:rsidRPr="00E246E2">
        <w:rPr>
          <w:b w:val="0"/>
          <w:sz w:val="24"/>
          <w:szCs w:val="24"/>
        </w:rPr>
        <w:t>methodologies, data quality issues, limited technical capacity, and the high cost of monitoring and verification system (</w:t>
      </w:r>
      <w:proofErr w:type="spellStart"/>
      <w:r w:rsidR="001D7E6B" w:rsidRPr="00E246E2">
        <w:rPr>
          <w:b w:val="0"/>
          <w:sz w:val="24"/>
          <w:szCs w:val="24"/>
        </w:rPr>
        <w:t>Downie</w:t>
      </w:r>
      <w:proofErr w:type="spellEnd"/>
      <w:r w:rsidR="001D7E6B" w:rsidRPr="00E246E2">
        <w:rPr>
          <w:b w:val="0"/>
          <w:sz w:val="24"/>
          <w:szCs w:val="24"/>
        </w:rPr>
        <w:t xml:space="preserve"> &amp; Stubbs, 2012). Moreover, many companies struggle to accurately estimate scope 3 emissions due to their dependence on external supplier and incomplete data across the value chain. </w:t>
      </w:r>
      <w:proofErr w:type="gramStart"/>
      <w:r w:rsidR="001D7E6B" w:rsidRPr="00E246E2">
        <w:rPr>
          <w:b w:val="0"/>
          <w:sz w:val="24"/>
          <w:szCs w:val="24"/>
        </w:rPr>
        <w:t>e</w:t>
      </w:r>
      <w:proofErr w:type="gramEnd"/>
      <w:r w:rsidR="001D7E6B" w:rsidRPr="00E246E2">
        <w:rPr>
          <w:b w:val="0"/>
          <w:sz w:val="24"/>
          <w:szCs w:val="24"/>
        </w:rPr>
        <w:t xml:space="preserve"> structures, , and consistent</w:t>
      </w:r>
      <w:r w:rsidR="00FA66A1" w:rsidRPr="00E246E2">
        <w:rPr>
          <w:b w:val="0"/>
          <w:sz w:val="24"/>
          <w:szCs w:val="24"/>
        </w:rPr>
        <w:t xml:space="preserve"> reporting framewor</w:t>
      </w:r>
      <w:r w:rsidR="00B5032A" w:rsidRPr="00E246E2">
        <w:rPr>
          <w:b w:val="0"/>
          <w:sz w:val="24"/>
          <w:szCs w:val="24"/>
        </w:rPr>
        <w:t>ks to enhance the c</w:t>
      </w:r>
      <w:r w:rsidR="00F6467B" w:rsidRPr="00E246E2">
        <w:rPr>
          <w:b w:val="0"/>
          <w:sz w:val="24"/>
          <w:szCs w:val="24"/>
        </w:rPr>
        <w:t>redibility of carbon accounting.</w:t>
      </w:r>
    </w:p>
    <w:p w:rsidR="00AF0399" w:rsidRPr="00E246E2" w:rsidRDefault="00DB1853" w:rsidP="00E246E2">
      <w:pPr>
        <w:pStyle w:val="Heading3"/>
        <w:jc w:val="both"/>
        <w:rPr>
          <w:b w:val="0"/>
          <w:sz w:val="24"/>
          <w:szCs w:val="24"/>
        </w:rPr>
      </w:pPr>
      <w:r w:rsidRPr="00E246E2">
        <w:rPr>
          <w:b w:val="0"/>
          <w:sz w:val="24"/>
          <w:szCs w:val="24"/>
        </w:rPr>
        <w:t xml:space="preserve">2.2 </w:t>
      </w:r>
      <w:r w:rsidRPr="00E246E2">
        <w:rPr>
          <w:sz w:val="24"/>
          <w:szCs w:val="24"/>
        </w:rPr>
        <w:t>Theoretical Framework and Development of Research Hypotheses</w:t>
      </w:r>
      <w:r w:rsidR="00F6467B" w:rsidRPr="00E246E2">
        <w:rPr>
          <w:b w:val="0"/>
          <w:sz w:val="24"/>
          <w:szCs w:val="24"/>
        </w:rPr>
        <w:t xml:space="preserve">. </w:t>
      </w:r>
      <w:r w:rsidR="0021709F" w:rsidRPr="00E246E2">
        <w:rPr>
          <w:b w:val="0"/>
          <w:sz w:val="24"/>
          <w:szCs w:val="24"/>
        </w:rPr>
        <w:t>This research is anchored on legitimacy theory. This theory was propounded by</w:t>
      </w:r>
      <w:r w:rsidR="005152C5" w:rsidRPr="00E246E2">
        <w:rPr>
          <w:b w:val="0"/>
          <w:sz w:val="24"/>
          <w:szCs w:val="24"/>
        </w:rPr>
        <w:t xml:space="preserve"> John Dowling and Jeffrey </w:t>
      </w:r>
      <w:proofErr w:type="spellStart"/>
      <w:r w:rsidR="005152C5" w:rsidRPr="00E246E2">
        <w:rPr>
          <w:b w:val="0"/>
          <w:sz w:val="24"/>
          <w:szCs w:val="24"/>
        </w:rPr>
        <w:lastRenderedPageBreak/>
        <w:t>Pfeffer</w:t>
      </w:r>
      <w:proofErr w:type="spellEnd"/>
      <w:r w:rsidR="005152C5" w:rsidRPr="00E246E2">
        <w:rPr>
          <w:b w:val="0"/>
          <w:sz w:val="24"/>
          <w:szCs w:val="24"/>
        </w:rPr>
        <w:t xml:space="preserve"> in (1975)</w:t>
      </w:r>
      <w:r w:rsidR="00B8122D">
        <w:rPr>
          <w:b w:val="0"/>
          <w:sz w:val="24"/>
          <w:szCs w:val="24"/>
        </w:rPr>
        <w:t xml:space="preserve"> </w:t>
      </w:r>
      <w:r w:rsidR="00B8122D" w:rsidRPr="00B8122D">
        <w:rPr>
          <w:b w:val="0"/>
          <w:sz w:val="24"/>
          <w:szCs w:val="24"/>
          <w:highlight w:val="yellow"/>
        </w:rPr>
        <w:t>(</w:t>
      </w:r>
      <w:proofErr w:type="spellStart"/>
      <w:r w:rsidR="00B8122D" w:rsidRPr="00B8122D">
        <w:rPr>
          <w:b w:val="0"/>
          <w:sz w:val="24"/>
          <w:szCs w:val="24"/>
          <w:highlight w:val="yellow"/>
        </w:rPr>
        <w:t>Badache</w:t>
      </w:r>
      <w:proofErr w:type="spellEnd"/>
      <w:r w:rsidR="00B8122D" w:rsidRPr="00B8122D">
        <w:rPr>
          <w:b w:val="0"/>
          <w:sz w:val="24"/>
          <w:szCs w:val="24"/>
          <w:highlight w:val="yellow"/>
        </w:rPr>
        <w:t xml:space="preserve"> &amp; Kimber, 2023)</w:t>
      </w:r>
      <w:r w:rsidR="005152C5" w:rsidRPr="00E246E2">
        <w:rPr>
          <w:b w:val="0"/>
          <w:sz w:val="24"/>
          <w:szCs w:val="24"/>
        </w:rPr>
        <w:t>. The theory was originally ap</w:t>
      </w:r>
      <w:r w:rsidR="0028413B" w:rsidRPr="00E246E2">
        <w:rPr>
          <w:b w:val="0"/>
          <w:sz w:val="24"/>
          <w:szCs w:val="24"/>
        </w:rPr>
        <w:t>plied within the context of corp</w:t>
      </w:r>
      <w:r w:rsidR="005152C5" w:rsidRPr="00E246E2">
        <w:rPr>
          <w:b w:val="0"/>
          <w:sz w:val="24"/>
          <w:szCs w:val="24"/>
        </w:rPr>
        <w:t>orate social responsibility (CSR) to explain how organizations seek to align operations with the prevailing norms, values, and expectations of the society in which the function. According to this perspective</w:t>
      </w:r>
      <w:r w:rsidR="00EF64CA" w:rsidRPr="00E246E2">
        <w:rPr>
          <w:b w:val="0"/>
          <w:sz w:val="24"/>
          <w:szCs w:val="24"/>
        </w:rPr>
        <w:t>, an organization must ensure that its activities are perceived as appropriate and desirable within the broader system of socially constructed beliefs to maintain its legitimacy and socia</w:t>
      </w:r>
      <w:r w:rsidR="00365B4D" w:rsidRPr="00E246E2">
        <w:rPr>
          <w:b w:val="0"/>
          <w:sz w:val="24"/>
          <w:szCs w:val="24"/>
        </w:rPr>
        <w:t xml:space="preserve">l acceptance. </w:t>
      </w:r>
      <w:r w:rsidR="0028413B" w:rsidRPr="00E246E2">
        <w:rPr>
          <w:b w:val="0"/>
          <w:sz w:val="24"/>
          <w:szCs w:val="24"/>
        </w:rPr>
        <w:t>The major assumption of legitimacy theory is</w:t>
      </w:r>
      <w:r w:rsidR="00876F3C" w:rsidRPr="00E246E2">
        <w:rPr>
          <w:b w:val="0"/>
          <w:sz w:val="24"/>
          <w:szCs w:val="24"/>
        </w:rPr>
        <w:t xml:space="preserve"> societal approval as essential for organization survival and existence of social contract.</w:t>
      </w:r>
      <w:r w:rsidR="007D2131" w:rsidRPr="00E246E2">
        <w:rPr>
          <w:b w:val="0"/>
          <w:sz w:val="24"/>
          <w:szCs w:val="24"/>
        </w:rPr>
        <w:t xml:space="preserve"> </w:t>
      </w:r>
      <w:r w:rsidR="00365B4D" w:rsidRPr="00E246E2">
        <w:rPr>
          <w:b w:val="0"/>
          <w:sz w:val="24"/>
          <w:szCs w:val="24"/>
        </w:rPr>
        <w:t xml:space="preserve">The central tenet </w:t>
      </w:r>
      <w:r w:rsidR="00EF64CA" w:rsidRPr="00E246E2">
        <w:rPr>
          <w:b w:val="0"/>
          <w:sz w:val="24"/>
          <w:szCs w:val="24"/>
        </w:rPr>
        <w:t>of Legitimacy theory is that organizations exist within an implicit social framework that dictate acceptable behaviour</w:t>
      </w:r>
      <w:r w:rsidR="00B8122D">
        <w:rPr>
          <w:b w:val="0"/>
          <w:sz w:val="24"/>
          <w:szCs w:val="24"/>
        </w:rPr>
        <w:t xml:space="preserve"> (</w:t>
      </w:r>
      <w:proofErr w:type="spellStart"/>
      <w:r w:rsidR="00B8122D">
        <w:rPr>
          <w:b w:val="0"/>
          <w:sz w:val="24"/>
          <w:szCs w:val="24"/>
          <w:highlight w:val="yellow"/>
        </w:rPr>
        <w:t>Igwebuike</w:t>
      </w:r>
      <w:proofErr w:type="spellEnd"/>
      <w:r w:rsidR="00B8122D" w:rsidRPr="00B8122D">
        <w:rPr>
          <w:b w:val="0"/>
          <w:sz w:val="24"/>
          <w:szCs w:val="24"/>
          <w:highlight w:val="yellow"/>
        </w:rPr>
        <w:t xml:space="preserve"> &amp; </w:t>
      </w:r>
      <w:proofErr w:type="spellStart"/>
      <w:r w:rsidR="00B8122D" w:rsidRPr="00B8122D">
        <w:rPr>
          <w:b w:val="0"/>
          <w:sz w:val="24"/>
          <w:szCs w:val="24"/>
          <w:highlight w:val="yellow"/>
        </w:rPr>
        <w:t>Onyali</w:t>
      </w:r>
      <w:proofErr w:type="spellEnd"/>
      <w:r w:rsidR="00B8122D" w:rsidRPr="00B8122D">
        <w:rPr>
          <w:b w:val="0"/>
          <w:sz w:val="24"/>
          <w:szCs w:val="24"/>
          <w:highlight w:val="yellow"/>
        </w:rPr>
        <w:t>, 2023</w:t>
      </w:r>
      <w:r w:rsidR="00B8122D" w:rsidRPr="00B8122D">
        <w:rPr>
          <w:b w:val="0"/>
          <w:sz w:val="24"/>
          <w:szCs w:val="24"/>
        </w:rPr>
        <w:t>)</w:t>
      </w:r>
      <w:r w:rsidR="00D50C41" w:rsidRPr="00E246E2">
        <w:rPr>
          <w:b w:val="0"/>
          <w:sz w:val="24"/>
          <w:szCs w:val="24"/>
        </w:rPr>
        <w:t>. Their survival and success are contingent upon the perception that their actions are consistent with societal values and norms</w:t>
      </w:r>
      <w:r w:rsidR="0028413B" w:rsidRPr="00E246E2">
        <w:rPr>
          <w:b w:val="0"/>
          <w:sz w:val="24"/>
          <w:szCs w:val="24"/>
        </w:rPr>
        <w:t xml:space="preserve">. </w:t>
      </w:r>
      <w:r w:rsidR="001175DC" w:rsidRPr="00E246E2">
        <w:rPr>
          <w:b w:val="0"/>
          <w:sz w:val="24"/>
          <w:szCs w:val="24"/>
        </w:rPr>
        <w:t>We therefore hypothesize that;</w:t>
      </w:r>
    </w:p>
    <w:p w:rsidR="007D2131" w:rsidRPr="00E246E2" w:rsidRDefault="000F2869"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Ho1</w:t>
      </w:r>
      <w:r w:rsidR="001175DC" w:rsidRPr="00E246E2">
        <w:rPr>
          <w:rFonts w:ascii="Times New Roman" w:hAnsi="Times New Roman" w:cs="Times New Roman"/>
          <w:sz w:val="24"/>
          <w:szCs w:val="24"/>
        </w:rPr>
        <w:t>;</w:t>
      </w:r>
      <w:r w:rsidR="00AF0399" w:rsidRPr="00E246E2">
        <w:rPr>
          <w:rFonts w:ascii="Times New Roman" w:hAnsi="Times New Roman" w:cs="Times New Roman"/>
          <w:sz w:val="24"/>
          <w:szCs w:val="24"/>
        </w:rPr>
        <w:t xml:space="preserve"> </w:t>
      </w:r>
      <w:r w:rsidR="001175DC" w:rsidRPr="00E246E2">
        <w:rPr>
          <w:rFonts w:ascii="Times New Roman" w:hAnsi="Times New Roman" w:cs="Times New Roman"/>
          <w:sz w:val="24"/>
          <w:szCs w:val="24"/>
        </w:rPr>
        <w:t>There is no significant relationship between the integration of carbon accounting and corporate sustainability strategies for achieving net-zero commitments.</w:t>
      </w:r>
    </w:p>
    <w:p w:rsidR="00092E89" w:rsidRPr="00E246E2" w:rsidRDefault="001175DC"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 xml:space="preserve">Ho2; </w:t>
      </w:r>
      <w:r w:rsidR="00575429" w:rsidRPr="00E246E2">
        <w:rPr>
          <w:rFonts w:ascii="Times New Roman" w:hAnsi="Times New Roman" w:cs="Times New Roman"/>
          <w:sz w:val="24"/>
          <w:szCs w:val="24"/>
        </w:rPr>
        <w:t>Carbon accounting practices do not have a significant effect on the identification of emission-intensive activities and the reduction of corporate emissions.</w:t>
      </w:r>
    </w:p>
    <w:p w:rsidR="00092E89" w:rsidRPr="00E246E2" w:rsidRDefault="006C69DA" w:rsidP="00E246E2">
      <w:pPr>
        <w:spacing w:line="240" w:lineRule="auto"/>
        <w:jc w:val="both"/>
        <w:rPr>
          <w:rFonts w:ascii="Times New Roman" w:hAnsi="Times New Roman" w:cs="Times New Roman"/>
          <w:b/>
          <w:sz w:val="24"/>
          <w:szCs w:val="24"/>
        </w:rPr>
      </w:pPr>
      <w:r w:rsidRPr="00E246E2">
        <w:rPr>
          <w:rFonts w:ascii="Times New Roman" w:hAnsi="Times New Roman" w:cs="Times New Roman"/>
          <w:sz w:val="24"/>
          <w:szCs w:val="24"/>
        </w:rPr>
        <w:t xml:space="preserve">2.3 </w:t>
      </w:r>
      <w:r w:rsidRPr="00E246E2">
        <w:rPr>
          <w:rFonts w:ascii="Times New Roman" w:hAnsi="Times New Roman" w:cs="Times New Roman"/>
          <w:b/>
          <w:sz w:val="24"/>
          <w:szCs w:val="24"/>
        </w:rPr>
        <w:t>Empirical Review</w:t>
      </w:r>
    </w:p>
    <w:p w:rsidR="000B7422" w:rsidRPr="00E246E2" w:rsidRDefault="000B7422" w:rsidP="00E246E2">
      <w:pPr>
        <w:pStyle w:val="NormalWeb"/>
        <w:jc w:val="both"/>
      </w:pPr>
      <w:r w:rsidRPr="00E246E2">
        <w:t xml:space="preserve">According to </w:t>
      </w:r>
      <w:proofErr w:type="spellStart"/>
      <w:r w:rsidRPr="00E246E2">
        <w:rPr>
          <w:rStyle w:val="Strong"/>
          <w:b w:val="0"/>
        </w:rPr>
        <w:t>Liesen</w:t>
      </w:r>
      <w:proofErr w:type="spellEnd"/>
      <w:r w:rsidRPr="00E246E2">
        <w:rPr>
          <w:rStyle w:val="Strong"/>
          <w:b w:val="0"/>
        </w:rPr>
        <w:t xml:space="preserve">, </w:t>
      </w:r>
      <w:proofErr w:type="spellStart"/>
      <w:r w:rsidRPr="00E246E2">
        <w:rPr>
          <w:rStyle w:val="Strong"/>
          <w:b w:val="0"/>
        </w:rPr>
        <w:t>Hoepner</w:t>
      </w:r>
      <w:proofErr w:type="spellEnd"/>
      <w:r w:rsidRPr="00E246E2">
        <w:rPr>
          <w:rStyle w:val="Strong"/>
          <w:b w:val="0"/>
        </w:rPr>
        <w:t xml:space="preserve">, Patten, and </w:t>
      </w:r>
      <w:proofErr w:type="spellStart"/>
      <w:r w:rsidRPr="00E246E2">
        <w:rPr>
          <w:rStyle w:val="Strong"/>
          <w:b w:val="0"/>
        </w:rPr>
        <w:t>Figge</w:t>
      </w:r>
      <w:proofErr w:type="spellEnd"/>
      <w:r w:rsidRPr="00E246E2">
        <w:rPr>
          <w:rStyle w:val="Strong"/>
          <w:b w:val="0"/>
        </w:rPr>
        <w:t xml:space="preserve"> (2017</w:t>
      </w:r>
      <w:r w:rsidRPr="00E246E2">
        <w:rPr>
          <w:rStyle w:val="Strong"/>
        </w:rPr>
        <w:t>)</w:t>
      </w:r>
      <w:r w:rsidRPr="00E246E2">
        <w:t>, companies that integrate carbon accounting into strategic decision-making tend to display more transparent environmental disclosures and stronger commitments toward emission reduction. Their study of European firms revealed that carbon accounting is often embedded in sustainability reporting frameworks such as the Global Reporting Initiative (GRI) and the Carbon Disclosure Project (CDP), both of which enhance accountability and facilitate progress tracking toward net-zero objectives.</w:t>
      </w:r>
    </w:p>
    <w:p w:rsidR="000B7422" w:rsidRPr="00E246E2" w:rsidRDefault="000B7422" w:rsidP="00E246E2">
      <w:pPr>
        <w:pStyle w:val="NormalWeb"/>
        <w:jc w:val="both"/>
      </w:pPr>
      <w:r w:rsidRPr="00E246E2">
        <w:t xml:space="preserve">Similarly, </w:t>
      </w:r>
      <w:proofErr w:type="spellStart"/>
      <w:r w:rsidRPr="00E246E2">
        <w:rPr>
          <w:rStyle w:val="Strong"/>
          <w:b w:val="0"/>
        </w:rPr>
        <w:t>Qian</w:t>
      </w:r>
      <w:proofErr w:type="spellEnd"/>
      <w:r w:rsidRPr="00E246E2">
        <w:rPr>
          <w:rStyle w:val="Strong"/>
          <w:b w:val="0"/>
        </w:rPr>
        <w:t xml:space="preserve"> and </w:t>
      </w:r>
      <w:proofErr w:type="spellStart"/>
      <w:r w:rsidRPr="00E246E2">
        <w:rPr>
          <w:rStyle w:val="Strong"/>
          <w:b w:val="0"/>
        </w:rPr>
        <w:t>Schaltegger</w:t>
      </w:r>
      <w:proofErr w:type="spellEnd"/>
      <w:r w:rsidRPr="00E246E2">
        <w:rPr>
          <w:rStyle w:val="Strong"/>
          <w:b w:val="0"/>
        </w:rPr>
        <w:t xml:space="preserve"> (2017)</w:t>
      </w:r>
      <w:r w:rsidRPr="00E246E2">
        <w:t xml:space="preserve"> examined 70 large corporations in Australia and found that carbon accounting serves as a management control tool that aligns environmental goals with financial planning. They discovered that firms that integrated carbon metrics into investment appraisal and budgeting processes achieved measurable emission reductions over a five-year period.</w:t>
      </w:r>
    </w:p>
    <w:p w:rsidR="002B713B" w:rsidRPr="00E246E2" w:rsidRDefault="000B7422" w:rsidP="00E246E2">
      <w:pPr>
        <w:pStyle w:val="NormalWeb"/>
        <w:jc w:val="both"/>
      </w:pPr>
      <w:r w:rsidRPr="00E246E2">
        <w:rPr>
          <w:rStyle w:val="Strong"/>
          <w:b w:val="0"/>
        </w:rPr>
        <w:t>Herold and Lee (2019)</w:t>
      </w:r>
      <w:r w:rsidRPr="00E246E2">
        <w:t xml:space="preserve"> also emphasized the strategic dimension of carbon accounting, arguing that organizations that align carbon management with corporate strategy are better positioned to anticipate regulatory risks and capitalize on green market opportunities. Their study, based on interviews with sustainability managers in the energy and manufacturing sectors, revealed that carbon accounting helps firms translate long-term net-zero ambitions into operational objectives.</w:t>
      </w:r>
    </w:p>
    <w:p w:rsidR="00BA18B7" w:rsidRPr="00E246E2" w:rsidRDefault="00BA18B7" w:rsidP="00CD34D3">
      <w:pPr>
        <w:pStyle w:val="Heading3"/>
      </w:pPr>
      <w:r w:rsidRPr="00E246E2">
        <w:t xml:space="preserve">1.8 Key Gaps </w:t>
      </w:r>
    </w:p>
    <w:p w:rsidR="00BA18B7" w:rsidRPr="00E246E2" w:rsidRDefault="00BA18B7"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E7394">
        <w:rPr>
          <w:rFonts w:ascii="Times New Roman" w:eastAsia="Times New Roman" w:hAnsi="Times New Roman" w:cs="Times New Roman"/>
          <w:sz w:val="24"/>
          <w:szCs w:val="24"/>
          <w:highlight w:val="yellow"/>
          <w:lang w:eastAsia="en-GB"/>
        </w:rPr>
        <w:t>Existing literature highlights a significant absence of uniformity in carbon accounting practices across organizations. Companies often adopt</w:t>
      </w:r>
      <w:r w:rsidR="00F6467B" w:rsidRPr="001E7394">
        <w:rPr>
          <w:rFonts w:ascii="Times New Roman" w:eastAsia="Times New Roman" w:hAnsi="Times New Roman" w:cs="Times New Roman"/>
          <w:sz w:val="24"/>
          <w:szCs w:val="24"/>
          <w:highlight w:val="yellow"/>
          <w:lang w:eastAsia="en-GB"/>
        </w:rPr>
        <w:t xml:space="preserve"> differing reporting boundaries, </w:t>
      </w:r>
      <w:r w:rsidRPr="001E7394">
        <w:rPr>
          <w:rFonts w:ascii="Times New Roman" w:eastAsia="Times New Roman" w:hAnsi="Times New Roman" w:cs="Times New Roman"/>
          <w:sz w:val="24"/>
          <w:szCs w:val="24"/>
          <w:highlight w:val="yellow"/>
          <w:lang w:eastAsia="en-GB"/>
        </w:rPr>
        <w:t>particularly regarding which emission categories (</w:t>
      </w:r>
      <w:r w:rsidR="00F6467B" w:rsidRPr="001E7394">
        <w:rPr>
          <w:rFonts w:ascii="Times New Roman" w:eastAsia="Times New Roman" w:hAnsi="Times New Roman" w:cs="Times New Roman"/>
          <w:sz w:val="24"/>
          <w:szCs w:val="24"/>
          <w:highlight w:val="yellow"/>
          <w:lang w:eastAsia="en-GB"/>
        </w:rPr>
        <w:t xml:space="preserve">Scopes 1, 2, or 3) are included, </w:t>
      </w:r>
      <w:r w:rsidRPr="001E7394">
        <w:rPr>
          <w:rFonts w:ascii="Times New Roman" w:eastAsia="Times New Roman" w:hAnsi="Times New Roman" w:cs="Times New Roman"/>
          <w:sz w:val="24"/>
          <w:szCs w:val="24"/>
          <w:highlight w:val="yellow"/>
          <w:lang w:eastAsia="en-GB"/>
        </w:rPr>
        <w:t>alongside variations in temporal coverage, emission factors, and methodological approaches</w:t>
      </w:r>
      <w:r w:rsidR="0028413B" w:rsidRPr="001E7394">
        <w:rPr>
          <w:rFonts w:ascii="Times New Roman" w:eastAsia="Times New Roman" w:hAnsi="Times New Roman" w:cs="Times New Roman"/>
          <w:sz w:val="24"/>
          <w:szCs w:val="24"/>
          <w:highlight w:val="yellow"/>
          <w:lang w:eastAsia="en-GB"/>
        </w:rPr>
        <w:t xml:space="preserve">. </w:t>
      </w:r>
      <w:r w:rsidRPr="001E7394">
        <w:rPr>
          <w:rFonts w:ascii="Times New Roman" w:eastAsia="Times New Roman" w:hAnsi="Times New Roman" w:cs="Times New Roman"/>
          <w:sz w:val="24"/>
          <w:szCs w:val="24"/>
          <w:highlight w:val="yellow"/>
          <w:lang w:eastAsia="en-GB"/>
        </w:rPr>
        <w:t>A considerable portion of carbon accounting research and practice remains concentrated on direct (Scope 1) and energy-indirect (Scope 2) emissi</w:t>
      </w:r>
      <w:r w:rsidR="00F6467B" w:rsidRPr="001E7394">
        <w:rPr>
          <w:rFonts w:ascii="Times New Roman" w:eastAsia="Times New Roman" w:hAnsi="Times New Roman" w:cs="Times New Roman"/>
          <w:sz w:val="24"/>
          <w:szCs w:val="24"/>
          <w:highlight w:val="yellow"/>
          <w:lang w:eastAsia="en-GB"/>
        </w:rPr>
        <w:t xml:space="preserve">ons. However, Scope 3 emissions </w:t>
      </w:r>
      <w:r w:rsidRPr="001E7394">
        <w:rPr>
          <w:rFonts w:ascii="Times New Roman" w:eastAsia="Times New Roman" w:hAnsi="Times New Roman" w:cs="Times New Roman"/>
          <w:sz w:val="24"/>
          <w:szCs w:val="24"/>
          <w:highlight w:val="yellow"/>
          <w:lang w:eastAsia="en-GB"/>
        </w:rPr>
        <w:t xml:space="preserve">encompassing upstream, downstream, and </w:t>
      </w:r>
      <w:r w:rsidR="00F6467B" w:rsidRPr="001E7394">
        <w:rPr>
          <w:rFonts w:ascii="Times New Roman" w:eastAsia="Times New Roman" w:hAnsi="Times New Roman" w:cs="Times New Roman"/>
          <w:sz w:val="24"/>
          <w:szCs w:val="24"/>
          <w:highlight w:val="yellow"/>
          <w:lang w:eastAsia="en-GB"/>
        </w:rPr>
        <w:t xml:space="preserve">broader supply chain activities </w:t>
      </w:r>
      <w:r w:rsidRPr="001E7394">
        <w:rPr>
          <w:rFonts w:ascii="Times New Roman" w:eastAsia="Times New Roman" w:hAnsi="Times New Roman" w:cs="Times New Roman"/>
          <w:sz w:val="24"/>
          <w:szCs w:val="24"/>
          <w:highlight w:val="yellow"/>
          <w:lang w:eastAsia="en-GB"/>
        </w:rPr>
        <w:t>often constitute the majority of an organization’s carbon footprint</w:t>
      </w:r>
      <w:r w:rsidRPr="00E246E2">
        <w:rPr>
          <w:rFonts w:ascii="Times New Roman" w:eastAsia="Times New Roman" w:hAnsi="Times New Roman" w:cs="Times New Roman"/>
          <w:sz w:val="24"/>
          <w:szCs w:val="24"/>
          <w:lang w:eastAsia="en-GB"/>
        </w:rPr>
        <w:t xml:space="preserve">. </w:t>
      </w:r>
    </w:p>
    <w:p w:rsidR="0096434C" w:rsidRPr="00E246E2" w:rsidRDefault="00EC5B6C" w:rsidP="00E246E2">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bookmarkStart w:id="0" w:name="_GoBack"/>
      <w:bookmarkEnd w:id="0"/>
    </w:p>
    <w:p w:rsidR="006F4872" w:rsidRPr="00E246E2" w:rsidRDefault="006F4872"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lastRenderedPageBreak/>
        <w:t xml:space="preserve">This study adopts a </w:t>
      </w:r>
      <w:r w:rsidRPr="00E246E2">
        <w:rPr>
          <w:rFonts w:ascii="Times New Roman" w:eastAsia="Times New Roman" w:hAnsi="Times New Roman" w:cs="Times New Roman"/>
          <w:bCs/>
          <w:sz w:val="24"/>
          <w:szCs w:val="24"/>
          <w:lang w:eastAsia="en-GB"/>
        </w:rPr>
        <w:t>descriptive research design</w:t>
      </w:r>
      <w:r w:rsidRPr="00E246E2">
        <w:rPr>
          <w:rFonts w:ascii="Times New Roman" w:eastAsia="Times New Roman" w:hAnsi="Times New Roman" w:cs="Times New Roman"/>
          <w:sz w:val="24"/>
          <w:szCs w:val="24"/>
          <w:lang w:eastAsia="en-GB"/>
        </w:rPr>
        <w:t>. The descriptive design is appropriate because it seeks to present an accurate and factual account of the characteristics, practices, and opinions of respondents without manipulating any variables. It enables the researcher to describe and interpret existing conditions relating to the adoption and effectiveness of carbon accounting in achieving corporate net-zero targets.</w:t>
      </w:r>
      <w:r w:rsidR="0086121A" w:rsidRPr="00E246E2">
        <w:rPr>
          <w:rFonts w:ascii="Times New Roman" w:eastAsia="Times New Roman" w:hAnsi="Times New Roman" w:cs="Times New Roman"/>
          <w:sz w:val="24"/>
          <w:szCs w:val="24"/>
          <w:lang w:eastAsia="en-GB"/>
        </w:rPr>
        <w:t xml:space="preserve"> </w:t>
      </w:r>
    </w:p>
    <w:p w:rsidR="006F4872" w:rsidRPr="001E7394" w:rsidRDefault="006F4872" w:rsidP="00E246E2">
      <w:pPr>
        <w:spacing w:before="100" w:beforeAutospacing="1" w:after="100" w:afterAutospacing="1" w:line="240" w:lineRule="auto"/>
        <w:jc w:val="both"/>
        <w:rPr>
          <w:rFonts w:ascii="Times New Roman" w:eastAsia="Times New Roman" w:hAnsi="Times New Roman" w:cs="Times New Roman"/>
          <w:sz w:val="24"/>
          <w:szCs w:val="24"/>
          <w:highlight w:val="yellow"/>
          <w:lang w:eastAsia="en-GB"/>
        </w:rPr>
      </w:pPr>
      <w:r w:rsidRPr="001E7394">
        <w:rPr>
          <w:rFonts w:ascii="Times New Roman" w:eastAsia="Times New Roman" w:hAnsi="Times New Roman" w:cs="Times New Roman"/>
          <w:sz w:val="24"/>
          <w:szCs w:val="24"/>
          <w:highlight w:val="yellow"/>
          <w:lang w:eastAsia="en-GB"/>
        </w:rPr>
        <w:t xml:space="preserve">The population of this study consists of </w:t>
      </w:r>
      <w:r w:rsidRPr="001E7394">
        <w:rPr>
          <w:rFonts w:ascii="Times New Roman" w:eastAsia="Times New Roman" w:hAnsi="Times New Roman" w:cs="Times New Roman"/>
          <w:bCs/>
          <w:sz w:val="24"/>
          <w:szCs w:val="24"/>
          <w:highlight w:val="yellow"/>
          <w:lang w:eastAsia="en-GB"/>
        </w:rPr>
        <w:t>corporations that have publicly committed to achieving net-zero emissions</w:t>
      </w:r>
      <w:r w:rsidRPr="001E7394">
        <w:rPr>
          <w:rFonts w:ascii="Times New Roman" w:eastAsia="Times New Roman" w:hAnsi="Times New Roman" w:cs="Times New Roman"/>
          <w:sz w:val="24"/>
          <w:szCs w:val="24"/>
          <w:highlight w:val="yellow"/>
          <w:lang w:eastAsia="en-GB"/>
        </w:rPr>
        <w:t xml:space="preserve"> and are involved in carbon accounting practices. These include organizations operating in sectors such as manufacturing, energy, transportation, and construction—industries where carbon emissions are typically significant and where environmental accounting is a strategic concern.</w:t>
      </w:r>
      <w:r w:rsidR="00503013" w:rsidRPr="001E7394">
        <w:rPr>
          <w:rFonts w:ascii="Times New Roman" w:eastAsia="Times New Roman" w:hAnsi="Times New Roman" w:cs="Times New Roman"/>
          <w:sz w:val="24"/>
          <w:szCs w:val="24"/>
          <w:highlight w:val="yellow"/>
          <w:lang w:eastAsia="en-GB"/>
        </w:rPr>
        <w:t xml:space="preserve"> </w:t>
      </w:r>
      <w:r w:rsidRPr="001E7394">
        <w:rPr>
          <w:rFonts w:ascii="Times New Roman" w:eastAsia="Times New Roman" w:hAnsi="Times New Roman" w:cs="Times New Roman"/>
          <w:sz w:val="24"/>
          <w:szCs w:val="24"/>
          <w:highlight w:val="yellow"/>
          <w:lang w:eastAsia="en-GB"/>
        </w:rPr>
        <w:t xml:space="preserve">Within each organization, the target respondents include </w:t>
      </w:r>
      <w:r w:rsidRPr="001E7394">
        <w:rPr>
          <w:rFonts w:ascii="Times New Roman" w:eastAsia="Times New Roman" w:hAnsi="Times New Roman" w:cs="Times New Roman"/>
          <w:bCs/>
          <w:sz w:val="24"/>
          <w:szCs w:val="24"/>
          <w:highlight w:val="yellow"/>
          <w:lang w:eastAsia="en-GB"/>
        </w:rPr>
        <w:t>sustainability officers, environmental managers, accountants, and other professionals</w:t>
      </w:r>
      <w:r w:rsidR="00DB2F06" w:rsidRPr="001E7394">
        <w:rPr>
          <w:rFonts w:ascii="Times New Roman" w:eastAsia="Times New Roman" w:hAnsi="Times New Roman" w:cs="Times New Roman"/>
          <w:bCs/>
          <w:sz w:val="24"/>
          <w:szCs w:val="24"/>
          <w:highlight w:val="yellow"/>
          <w:lang w:eastAsia="en-GB"/>
        </w:rPr>
        <w:t>.</w:t>
      </w:r>
      <w:r w:rsidRPr="001E7394">
        <w:rPr>
          <w:rFonts w:ascii="Times New Roman" w:eastAsia="Times New Roman" w:hAnsi="Times New Roman" w:cs="Times New Roman"/>
          <w:sz w:val="24"/>
          <w:szCs w:val="24"/>
          <w:highlight w:val="yellow"/>
          <w:lang w:eastAsia="en-GB"/>
        </w:rPr>
        <w:t xml:space="preserve"> </w:t>
      </w:r>
    </w:p>
    <w:p w:rsidR="006F4872" w:rsidRPr="00E246E2" w:rsidRDefault="006F4872"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E7394">
        <w:rPr>
          <w:rFonts w:ascii="Times New Roman" w:eastAsia="Times New Roman" w:hAnsi="Times New Roman" w:cs="Times New Roman"/>
          <w:sz w:val="24"/>
          <w:szCs w:val="24"/>
          <w:highlight w:val="yellow"/>
          <w:lang w:eastAsia="en-GB"/>
        </w:rPr>
        <w:t xml:space="preserve">A </w:t>
      </w:r>
      <w:r w:rsidRPr="001E7394">
        <w:rPr>
          <w:rFonts w:ascii="Times New Roman" w:eastAsia="Times New Roman" w:hAnsi="Times New Roman" w:cs="Times New Roman"/>
          <w:bCs/>
          <w:sz w:val="24"/>
          <w:szCs w:val="24"/>
          <w:highlight w:val="yellow"/>
          <w:lang w:eastAsia="en-GB"/>
        </w:rPr>
        <w:t>purposive sampling technique</w:t>
      </w:r>
      <w:r w:rsidRPr="001E7394">
        <w:rPr>
          <w:rFonts w:ascii="Times New Roman" w:eastAsia="Times New Roman" w:hAnsi="Times New Roman" w:cs="Times New Roman"/>
          <w:sz w:val="24"/>
          <w:szCs w:val="24"/>
          <w:highlight w:val="yellow"/>
          <w:lang w:eastAsia="en-GB"/>
        </w:rPr>
        <w:t xml:space="preserve"> was employed to select respondents. This technique is appropriate because the study focuses on a specific group of individuals with relevant expertise in carbon accounting and sustainability reporting. The sample will include approximately </w:t>
      </w:r>
      <w:r w:rsidRPr="001E7394">
        <w:rPr>
          <w:rFonts w:ascii="Times New Roman" w:eastAsia="Times New Roman" w:hAnsi="Times New Roman" w:cs="Times New Roman"/>
          <w:bCs/>
          <w:sz w:val="24"/>
          <w:szCs w:val="24"/>
          <w:highlight w:val="yellow"/>
          <w:lang w:eastAsia="en-GB"/>
        </w:rPr>
        <w:t>10 to 15 corporations</w:t>
      </w:r>
      <w:r w:rsidRPr="001E7394">
        <w:rPr>
          <w:rFonts w:ascii="Times New Roman" w:eastAsia="Times New Roman" w:hAnsi="Times New Roman" w:cs="Times New Roman"/>
          <w:sz w:val="24"/>
          <w:szCs w:val="24"/>
          <w:highlight w:val="yellow"/>
          <w:lang w:eastAsia="en-GB"/>
        </w:rPr>
        <w:t xml:space="preserve">, with at least </w:t>
      </w:r>
      <w:r w:rsidRPr="001E7394">
        <w:rPr>
          <w:rFonts w:ascii="Times New Roman" w:eastAsia="Times New Roman" w:hAnsi="Times New Roman" w:cs="Times New Roman"/>
          <w:bCs/>
          <w:sz w:val="24"/>
          <w:szCs w:val="24"/>
          <w:highlight w:val="yellow"/>
          <w:lang w:eastAsia="en-GB"/>
        </w:rPr>
        <w:t>one to three qualified respondents</w:t>
      </w:r>
      <w:r w:rsidRPr="001E7394">
        <w:rPr>
          <w:rFonts w:ascii="Times New Roman" w:eastAsia="Times New Roman" w:hAnsi="Times New Roman" w:cs="Times New Roman"/>
          <w:sz w:val="24"/>
          <w:szCs w:val="24"/>
          <w:highlight w:val="yellow"/>
          <w:lang w:eastAsia="en-GB"/>
        </w:rPr>
        <w:t xml:space="preserve"> from each organization, depending on size and structure.</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The purposive selection ensures that only respondents with direct involvement in carbon management or environmental accounting participate, thereby enhancing the quality and relevance of the primary data collected.</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 xml:space="preserve">This study relied </w:t>
      </w:r>
      <w:r w:rsidRPr="00E246E2">
        <w:rPr>
          <w:rFonts w:ascii="Times New Roman" w:eastAsia="Times New Roman" w:hAnsi="Times New Roman" w:cs="Times New Roman"/>
          <w:bCs/>
          <w:sz w:val="24"/>
          <w:szCs w:val="24"/>
          <w:lang w:eastAsia="en-GB"/>
        </w:rPr>
        <w:t>solely on primary data</w:t>
      </w:r>
      <w:r w:rsidRPr="00E246E2">
        <w:rPr>
          <w:rFonts w:ascii="Times New Roman" w:eastAsia="Times New Roman" w:hAnsi="Times New Roman" w:cs="Times New Roman"/>
          <w:sz w:val="24"/>
          <w:szCs w:val="24"/>
          <w:lang w:eastAsia="en-GB"/>
        </w:rPr>
        <w:t xml:space="preserve">. The main research instrument for data collection is a </w:t>
      </w:r>
      <w:r w:rsidRPr="00E246E2">
        <w:rPr>
          <w:rFonts w:ascii="Times New Roman" w:eastAsia="Times New Roman" w:hAnsi="Times New Roman" w:cs="Times New Roman"/>
          <w:bCs/>
          <w:sz w:val="24"/>
          <w:szCs w:val="24"/>
          <w:lang w:eastAsia="en-GB"/>
        </w:rPr>
        <w:t>structured questionnaire</w:t>
      </w:r>
      <w:r w:rsidRPr="00E246E2">
        <w:rPr>
          <w:rFonts w:ascii="Times New Roman" w:eastAsia="Times New Roman" w:hAnsi="Times New Roman" w:cs="Times New Roman"/>
          <w:sz w:val="24"/>
          <w:szCs w:val="24"/>
          <w:lang w:eastAsia="en-GB"/>
        </w:rPr>
        <w:t xml:space="preserve"> designed by the researcher. The questionnaire </w:t>
      </w:r>
      <w:r w:rsidR="00864025" w:rsidRPr="00E246E2">
        <w:rPr>
          <w:rFonts w:ascii="Times New Roman" w:eastAsia="Times New Roman" w:hAnsi="Times New Roman" w:cs="Times New Roman"/>
          <w:sz w:val="24"/>
          <w:szCs w:val="24"/>
          <w:lang w:eastAsia="en-GB"/>
        </w:rPr>
        <w:t>was</w:t>
      </w:r>
      <w:r w:rsidRPr="00E246E2">
        <w:rPr>
          <w:rFonts w:ascii="Times New Roman" w:eastAsia="Times New Roman" w:hAnsi="Times New Roman" w:cs="Times New Roman"/>
          <w:sz w:val="24"/>
          <w:szCs w:val="24"/>
          <w:lang w:eastAsia="en-GB"/>
        </w:rPr>
        <w:t xml:space="preserve"> carefully constructed to align with the research objectives and </w:t>
      </w:r>
      <w:r w:rsidR="00864025" w:rsidRPr="00E246E2">
        <w:rPr>
          <w:rFonts w:ascii="Times New Roman" w:eastAsia="Times New Roman" w:hAnsi="Times New Roman" w:cs="Times New Roman"/>
          <w:sz w:val="24"/>
          <w:szCs w:val="24"/>
          <w:lang w:eastAsia="en-GB"/>
        </w:rPr>
        <w:t>contained</w:t>
      </w:r>
      <w:r w:rsidRPr="00E246E2">
        <w:rPr>
          <w:rFonts w:ascii="Times New Roman" w:eastAsia="Times New Roman" w:hAnsi="Times New Roman" w:cs="Times New Roman"/>
          <w:sz w:val="24"/>
          <w:szCs w:val="24"/>
          <w:lang w:eastAsia="en-GB"/>
        </w:rPr>
        <w:t xml:space="preserve"> both </w:t>
      </w:r>
      <w:r w:rsidRPr="00E246E2">
        <w:rPr>
          <w:rFonts w:ascii="Times New Roman" w:eastAsia="Times New Roman" w:hAnsi="Times New Roman" w:cs="Times New Roman"/>
          <w:bCs/>
          <w:sz w:val="24"/>
          <w:szCs w:val="24"/>
          <w:lang w:eastAsia="en-GB"/>
        </w:rPr>
        <w:t>closed-ended and open-ended questions</w:t>
      </w:r>
      <w:r w:rsidRPr="00E246E2">
        <w:rPr>
          <w:rFonts w:ascii="Times New Roman" w:eastAsia="Times New Roman" w:hAnsi="Times New Roman" w:cs="Times New Roman"/>
          <w:sz w:val="24"/>
          <w:szCs w:val="24"/>
          <w:lang w:eastAsia="en-GB"/>
        </w:rPr>
        <w:t>.</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The ques</w:t>
      </w:r>
      <w:r w:rsidR="000123CB" w:rsidRPr="00E246E2">
        <w:rPr>
          <w:rFonts w:ascii="Times New Roman" w:eastAsia="Times New Roman" w:hAnsi="Times New Roman" w:cs="Times New Roman"/>
          <w:sz w:val="24"/>
          <w:szCs w:val="24"/>
          <w:lang w:eastAsia="en-GB"/>
        </w:rPr>
        <w:t xml:space="preserve">tionnaire </w:t>
      </w:r>
      <w:r w:rsidRPr="00E246E2">
        <w:rPr>
          <w:rFonts w:ascii="Times New Roman" w:eastAsia="Times New Roman" w:hAnsi="Times New Roman" w:cs="Times New Roman"/>
          <w:sz w:val="24"/>
          <w:szCs w:val="24"/>
          <w:lang w:eastAsia="en-GB"/>
        </w:rPr>
        <w:t>employ</w:t>
      </w:r>
      <w:r w:rsidR="000123CB" w:rsidRPr="00E246E2">
        <w:rPr>
          <w:rFonts w:ascii="Times New Roman" w:eastAsia="Times New Roman" w:hAnsi="Times New Roman" w:cs="Times New Roman"/>
          <w:sz w:val="24"/>
          <w:szCs w:val="24"/>
          <w:lang w:eastAsia="en-GB"/>
        </w:rPr>
        <w:t>ed</w:t>
      </w:r>
      <w:r w:rsidRPr="00E246E2">
        <w:rPr>
          <w:rFonts w:ascii="Times New Roman" w:eastAsia="Times New Roman" w:hAnsi="Times New Roman" w:cs="Times New Roman"/>
          <w:sz w:val="24"/>
          <w:szCs w:val="24"/>
          <w:lang w:eastAsia="en-GB"/>
        </w:rPr>
        <w:t xml:space="preserve"> a </w:t>
      </w:r>
      <w:r w:rsidRPr="00E246E2">
        <w:rPr>
          <w:rFonts w:ascii="Times New Roman" w:eastAsia="Times New Roman" w:hAnsi="Times New Roman" w:cs="Times New Roman"/>
          <w:bCs/>
          <w:sz w:val="24"/>
          <w:szCs w:val="24"/>
          <w:lang w:eastAsia="en-GB"/>
        </w:rPr>
        <w:t>five-point Likert scale</w:t>
      </w:r>
      <w:r w:rsidRPr="00E246E2">
        <w:rPr>
          <w:rFonts w:ascii="Times New Roman" w:eastAsia="Times New Roman" w:hAnsi="Times New Roman" w:cs="Times New Roman"/>
          <w:sz w:val="24"/>
          <w:szCs w:val="24"/>
          <w:lang w:eastAsia="en-GB"/>
        </w:rPr>
        <w:t xml:space="preserve"> ranging from </w:t>
      </w:r>
      <w:r w:rsidRPr="00E246E2">
        <w:rPr>
          <w:rFonts w:ascii="Times New Roman" w:eastAsia="Times New Roman" w:hAnsi="Times New Roman" w:cs="Times New Roman"/>
          <w:i/>
          <w:iCs/>
          <w:sz w:val="24"/>
          <w:szCs w:val="24"/>
          <w:lang w:eastAsia="en-GB"/>
        </w:rPr>
        <w:t>Strongly Disagree (1)</w:t>
      </w:r>
      <w:r w:rsidRPr="00E246E2">
        <w:rPr>
          <w:rFonts w:ascii="Times New Roman" w:eastAsia="Times New Roman" w:hAnsi="Times New Roman" w:cs="Times New Roman"/>
          <w:sz w:val="24"/>
          <w:szCs w:val="24"/>
          <w:lang w:eastAsia="en-GB"/>
        </w:rPr>
        <w:t xml:space="preserve"> to </w:t>
      </w:r>
      <w:r w:rsidRPr="00E246E2">
        <w:rPr>
          <w:rFonts w:ascii="Times New Roman" w:eastAsia="Times New Roman" w:hAnsi="Times New Roman" w:cs="Times New Roman"/>
          <w:i/>
          <w:iCs/>
          <w:sz w:val="24"/>
          <w:szCs w:val="24"/>
          <w:lang w:eastAsia="en-GB"/>
        </w:rPr>
        <w:t>Strongly Agree (5)</w:t>
      </w:r>
      <w:r w:rsidRPr="00E246E2">
        <w:rPr>
          <w:rFonts w:ascii="Times New Roman" w:eastAsia="Times New Roman" w:hAnsi="Times New Roman" w:cs="Times New Roman"/>
          <w:sz w:val="24"/>
          <w:szCs w:val="24"/>
          <w:lang w:eastAsia="en-GB"/>
        </w:rPr>
        <w:t xml:space="preserve"> to quantify perceptions and attitudes toward carbon accounting practices. </w:t>
      </w:r>
    </w:p>
    <w:p w:rsidR="006F4872" w:rsidRPr="00E246E2" w:rsidRDefault="00B20E56" w:rsidP="00C57550">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t>The data collection process</w:t>
      </w:r>
      <w:r w:rsidR="006F4872" w:rsidRPr="00E246E2">
        <w:rPr>
          <w:rFonts w:ascii="Times New Roman" w:eastAsia="Times New Roman" w:hAnsi="Times New Roman" w:cs="Times New Roman"/>
          <w:sz w:val="24"/>
          <w:szCs w:val="24"/>
          <w:lang w:eastAsia="en-GB"/>
        </w:rPr>
        <w:t xml:space="preserve"> involve</w:t>
      </w:r>
      <w:r w:rsidRPr="00E246E2">
        <w:rPr>
          <w:rFonts w:ascii="Times New Roman" w:eastAsia="Times New Roman" w:hAnsi="Times New Roman" w:cs="Times New Roman"/>
          <w:sz w:val="24"/>
          <w:szCs w:val="24"/>
          <w:lang w:eastAsia="en-GB"/>
        </w:rPr>
        <w:t>d</w:t>
      </w:r>
      <w:r w:rsidR="006F4872" w:rsidRPr="00E246E2">
        <w:rPr>
          <w:rFonts w:ascii="Times New Roman" w:eastAsia="Times New Roman" w:hAnsi="Times New Roman" w:cs="Times New Roman"/>
          <w:sz w:val="24"/>
          <w:szCs w:val="24"/>
          <w:lang w:eastAsia="en-GB"/>
        </w:rPr>
        <w:t xml:space="preserve"> administering the questionnaires directly to the selected respondents through </w:t>
      </w:r>
      <w:r w:rsidR="006F4872" w:rsidRPr="00E246E2">
        <w:rPr>
          <w:rFonts w:ascii="Times New Roman" w:eastAsia="Times New Roman" w:hAnsi="Times New Roman" w:cs="Times New Roman"/>
          <w:bCs/>
          <w:sz w:val="24"/>
          <w:szCs w:val="24"/>
          <w:lang w:eastAsia="en-GB"/>
        </w:rPr>
        <w:t>electronic means</w:t>
      </w:r>
      <w:r w:rsidRPr="00E246E2">
        <w:rPr>
          <w:rFonts w:ascii="Times New Roman" w:eastAsia="Times New Roman" w:hAnsi="Times New Roman" w:cs="Times New Roman"/>
          <w:sz w:val="24"/>
          <w:szCs w:val="24"/>
          <w:lang w:eastAsia="en-GB"/>
        </w:rPr>
        <w:t>. Respondents were</w:t>
      </w:r>
      <w:r w:rsidR="006F4872" w:rsidRPr="00E246E2">
        <w:rPr>
          <w:rFonts w:ascii="Times New Roman" w:eastAsia="Times New Roman" w:hAnsi="Times New Roman" w:cs="Times New Roman"/>
          <w:sz w:val="24"/>
          <w:szCs w:val="24"/>
          <w:lang w:eastAsia="en-GB"/>
        </w:rPr>
        <w:t xml:space="preserve"> provided with a brief explanation of the study’s purpose and instructions for completing the questionnaire</w:t>
      </w:r>
      <w:r w:rsidR="00C57550">
        <w:rPr>
          <w:rFonts w:ascii="Times New Roman" w:eastAsia="Times New Roman" w:hAnsi="Times New Roman" w:cs="Times New Roman"/>
          <w:sz w:val="24"/>
          <w:szCs w:val="24"/>
          <w:lang w:eastAsia="en-GB"/>
        </w:rPr>
        <w:t xml:space="preserve">. </w:t>
      </w:r>
      <w:r w:rsidR="00087C44" w:rsidRPr="00E246E2">
        <w:rPr>
          <w:rFonts w:ascii="Times New Roman" w:eastAsia="Times New Roman" w:hAnsi="Times New Roman" w:cs="Times New Roman"/>
          <w:sz w:val="24"/>
          <w:szCs w:val="24"/>
          <w:lang w:eastAsia="en-GB"/>
        </w:rPr>
        <w:t xml:space="preserve">To empirically test </w:t>
      </w:r>
      <w:r w:rsidR="00C57550">
        <w:rPr>
          <w:rFonts w:ascii="Times New Roman" w:eastAsia="Times New Roman" w:hAnsi="Times New Roman" w:cs="Times New Roman"/>
          <w:sz w:val="24"/>
          <w:szCs w:val="24"/>
          <w:lang w:eastAsia="en-GB"/>
        </w:rPr>
        <w:t>the hypotheses</w:t>
      </w:r>
      <w:r w:rsidR="00087C44" w:rsidRPr="00E246E2">
        <w:rPr>
          <w:rFonts w:ascii="Times New Roman" w:eastAsia="Times New Roman" w:hAnsi="Times New Roman" w:cs="Times New Roman"/>
          <w:sz w:val="24"/>
          <w:szCs w:val="24"/>
          <w:lang w:eastAsia="en-GB"/>
        </w:rPr>
        <w:t xml:space="preserve">, </w:t>
      </w:r>
      <w:r w:rsidR="00C57550" w:rsidRPr="00C57550">
        <w:rPr>
          <w:rFonts w:ascii="Times New Roman" w:eastAsia="Times New Roman" w:hAnsi="Times New Roman" w:cs="Times New Roman"/>
          <w:sz w:val="24"/>
          <w:szCs w:val="24"/>
          <w:lang w:eastAsia="en-GB"/>
        </w:rPr>
        <w:t>Kolmogorov-Smirnov Test</w:t>
      </w:r>
      <w:r w:rsidR="00C57550">
        <w:rPr>
          <w:rFonts w:ascii="Times New Roman" w:eastAsia="Times New Roman" w:hAnsi="Times New Roman" w:cs="Times New Roman"/>
          <w:sz w:val="24"/>
          <w:szCs w:val="24"/>
          <w:lang w:eastAsia="en-GB"/>
        </w:rPr>
        <w:t xml:space="preserve"> was applied at 5% significance level. </w:t>
      </w:r>
      <w:r w:rsidR="006F4872" w:rsidRPr="00E246E2">
        <w:rPr>
          <w:rFonts w:ascii="Times New Roman" w:eastAsia="Times New Roman" w:hAnsi="Times New Roman" w:cs="Times New Roman"/>
          <w:sz w:val="24"/>
          <w:szCs w:val="24"/>
          <w:lang w:eastAsia="en-GB"/>
        </w:rPr>
        <w:t>Since the study is descri</w:t>
      </w:r>
      <w:r w:rsidRPr="00E246E2">
        <w:rPr>
          <w:rFonts w:ascii="Times New Roman" w:eastAsia="Times New Roman" w:hAnsi="Times New Roman" w:cs="Times New Roman"/>
          <w:sz w:val="24"/>
          <w:szCs w:val="24"/>
          <w:lang w:eastAsia="en-GB"/>
        </w:rPr>
        <w:t>ptive, data obtained was</w:t>
      </w:r>
      <w:r w:rsidR="006F4872"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analysed</w:t>
      </w:r>
      <w:r w:rsidR="006F4872" w:rsidRPr="00E246E2">
        <w:rPr>
          <w:rFonts w:ascii="Times New Roman" w:eastAsia="Times New Roman" w:hAnsi="Times New Roman" w:cs="Times New Roman"/>
          <w:sz w:val="24"/>
          <w:szCs w:val="24"/>
          <w:lang w:eastAsia="en-GB"/>
        </w:rPr>
        <w:t xml:space="preserve"> using </w:t>
      </w:r>
      <w:r w:rsidR="006F4872" w:rsidRPr="00E246E2">
        <w:rPr>
          <w:rFonts w:ascii="Times New Roman" w:eastAsia="Times New Roman" w:hAnsi="Times New Roman" w:cs="Times New Roman"/>
          <w:bCs/>
          <w:sz w:val="24"/>
          <w:szCs w:val="24"/>
          <w:lang w:eastAsia="en-GB"/>
        </w:rPr>
        <w:t>descriptive statistical techniques</w:t>
      </w:r>
      <w:r w:rsidR="006F4872" w:rsidRPr="00E246E2">
        <w:rPr>
          <w:rFonts w:ascii="Times New Roman" w:eastAsia="Times New Roman" w:hAnsi="Times New Roman" w:cs="Times New Roman"/>
          <w:sz w:val="24"/>
          <w:szCs w:val="24"/>
          <w:lang w:eastAsia="en-GB"/>
        </w:rPr>
        <w:t xml:space="preserve"> such as </w:t>
      </w:r>
      <w:r w:rsidR="006F4872" w:rsidRPr="00E246E2">
        <w:rPr>
          <w:rFonts w:ascii="Times New Roman" w:eastAsia="Times New Roman" w:hAnsi="Times New Roman" w:cs="Times New Roman"/>
          <w:bCs/>
          <w:sz w:val="24"/>
          <w:szCs w:val="24"/>
          <w:lang w:eastAsia="en-GB"/>
        </w:rPr>
        <w:t>frequ</w:t>
      </w:r>
      <w:r w:rsidRPr="00E246E2">
        <w:rPr>
          <w:rFonts w:ascii="Times New Roman" w:eastAsia="Times New Roman" w:hAnsi="Times New Roman" w:cs="Times New Roman"/>
          <w:bCs/>
          <w:sz w:val="24"/>
          <w:szCs w:val="24"/>
          <w:lang w:eastAsia="en-GB"/>
        </w:rPr>
        <w:t>ency distributions, percentages and means</w:t>
      </w:r>
      <w:r w:rsidR="006F4872" w:rsidRPr="00E246E2">
        <w:rPr>
          <w:rFonts w:ascii="Times New Roman" w:eastAsia="Times New Roman" w:hAnsi="Times New Roman" w:cs="Times New Roman"/>
          <w:sz w:val="24"/>
          <w:szCs w:val="24"/>
          <w:lang w:eastAsia="en-GB"/>
        </w:rPr>
        <w:t xml:space="preserve">. To ensure </w:t>
      </w:r>
      <w:r w:rsidR="006F4872" w:rsidRPr="00E246E2">
        <w:rPr>
          <w:rFonts w:ascii="Times New Roman" w:eastAsia="Times New Roman" w:hAnsi="Times New Roman" w:cs="Times New Roman"/>
          <w:bCs/>
          <w:sz w:val="24"/>
          <w:szCs w:val="24"/>
          <w:lang w:eastAsia="en-GB"/>
        </w:rPr>
        <w:t>content validity</w:t>
      </w:r>
      <w:r w:rsidR="006F4872" w:rsidRPr="00E246E2">
        <w:rPr>
          <w:rFonts w:ascii="Times New Roman" w:eastAsia="Times New Roman" w:hAnsi="Times New Roman" w:cs="Times New Roman"/>
          <w:sz w:val="24"/>
          <w:szCs w:val="24"/>
          <w:lang w:eastAsia="en-GB"/>
        </w:rPr>
        <w:t xml:space="preserve">, the questionnaire </w:t>
      </w:r>
      <w:r w:rsidR="00DF5805" w:rsidRPr="00E246E2">
        <w:rPr>
          <w:rFonts w:ascii="Times New Roman" w:eastAsia="Times New Roman" w:hAnsi="Times New Roman" w:cs="Times New Roman"/>
          <w:sz w:val="24"/>
          <w:szCs w:val="24"/>
          <w:lang w:eastAsia="en-GB"/>
        </w:rPr>
        <w:t>was</w:t>
      </w:r>
      <w:r w:rsidR="006F4872" w:rsidRPr="00E246E2">
        <w:rPr>
          <w:rFonts w:ascii="Times New Roman" w:eastAsia="Times New Roman" w:hAnsi="Times New Roman" w:cs="Times New Roman"/>
          <w:sz w:val="24"/>
          <w:szCs w:val="24"/>
          <w:lang w:eastAsia="en-GB"/>
        </w:rPr>
        <w:t xml:space="preserve"> reviewed by academic experts in sustainability and environmental</w:t>
      </w:r>
      <w:r w:rsidR="00DF5805" w:rsidRPr="00E246E2">
        <w:rPr>
          <w:rFonts w:ascii="Times New Roman" w:eastAsia="Times New Roman" w:hAnsi="Times New Roman" w:cs="Times New Roman"/>
          <w:sz w:val="24"/>
          <w:szCs w:val="24"/>
          <w:lang w:eastAsia="en-GB"/>
        </w:rPr>
        <w:t xml:space="preserve"> </w:t>
      </w:r>
      <w:r w:rsidR="006F4872" w:rsidRPr="00E246E2">
        <w:rPr>
          <w:rFonts w:ascii="Times New Roman" w:eastAsia="Times New Roman" w:hAnsi="Times New Roman" w:cs="Times New Roman"/>
          <w:sz w:val="24"/>
          <w:szCs w:val="24"/>
          <w:lang w:eastAsia="en-GB"/>
        </w:rPr>
        <w:t>accounting to verify that the questions adequately reflect the research objectives.</w:t>
      </w:r>
    </w:p>
    <w:p w:rsidR="009E1242" w:rsidRPr="00E246E2" w:rsidRDefault="00CD34D3" w:rsidP="00E246E2">
      <w:pPr>
        <w:pStyle w:val="Heading2"/>
        <w:spacing w:line="240" w:lineRule="auto"/>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 xml:space="preserve">4.0 </w:t>
      </w:r>
      <w:r w:rsidR="009E1242" w:rsidRPr="00E246E2">
        <w:rPr>
          <w:rStyle w:val="Strong"/>
          <w:rFonts w:ascii="Times New Roman" w:hAnsi="Times New Roman" w:cs="Times New Roman"/>
          <w:bCs w:val="0"/>
          <w:color w:val="auto"/>
          <w:sz w:val="24"/>
          <w:szCs w:val="24"/>
        </w:rPr>
        <w:t>Data Analysis.</w:t>
      </w:r>
    </w:p>
    <w:p w:rsidR="009E1242" w:rsidRPr="00E246E2" w:rsidRDefault="007E5A5F" w:rsidP="00E246E2">
      <w:pPr>
        <w:pStyle w:val="Heading3"/>
        <w:rPr>
          <w:rStyle w:val="Strong"/>
          <w:b/>
          <w:bCs/>
          <w:sz w:val="24"/>
          <w:szCs w:val="24"/>
        </w:rPr>
      </w:pPr>
      <w:r w:rsidRPr="00E246E2">
        <w:rPr>
          <w:rStyle w:val="Strong"/>
          <w:b/>
          <w:bCs/>
          <w:sz w:val="24"/>
          <w:szCs w:val="24"/>
        </w:rPr>
        <w:t>4</w:t>
      </w:r>
      <w:r w:rsidR="009E1242" w:rsidRPr="00E246E2">
        <w:rPr>
          <w:rStyle w:val="Strong"/>
          <w:b/>
          <w:bCs/>
          <w:sz w:val="24"/>
          <w:szCs w:val="24"/>
        </w:rPr>
        <w:t>.1 Descriptive Analysis</w:t>
      </w:r>
    </w:p>
    <w:p w:rsidR="007E5A5F" w:rsidRPr="00E246E2" w:rsidRDefault="007E5A5F" w:rsidP="00E246E2">
      <w:pPr>
        <w:pStyle w:val="Heading3"/>
        <w:rPr>
          <w:sz w:val="24"/>
          <w:szCs w:val="24"/>
        </w:rPr>
      </w:pPr>
      <w:r w:rsidRPr="00E246E2">
        <w:rPr>
          <w:b w:val="0"/>
          <w:sz w:val="24"/>
          <w:szCs w:val="24"/>
        </w:rPr>
        <w:t>Out of the</w:t>
      </w:r>
      <w:r w:rsidRPr="00E246E2">
        <w:rPr>
          <w:sz w:val="24"/>
          <w:szCs w:val="24"/>
        </w:rPr>
        <w:t xml:space="preserve"> </w:t>
      </w:r>
      <w:r w:rsidRPr="00E246E2">
        <w:rPr>
          <w:rStyle w:val="Strong"/>
          <w:sz w:val="24"/>
          <w:szCs w:val="24"/>
        </w:rPr>
        <w:t>45 questionnaires</w:t>
      </w:r>
      <w:r w:rsidRPr="00E246E2">
        <w:rPr>
          <w:sz w:val="24"/>
          <w:szCs w:val="24"/>
        </w:rPr>
        <w:t xml:space="preserve"> </w:t>
      </w:r>
      <w:r w:rsidRPr="00E246E2">
        <w:rPr>
          <w:b w:val="0"/>
          <w:sz w:val="24"/>
          <w:szCs w:val="24"/>
        </w:rPr>
        <w:t>distributed to respondents across 15 selected</w:t>
      </w:r>
      <w:r w:rsidRPr="00E246E2">
        <w:rPr>
          <w:sz w:val="24"/>
          <w:szCs w:val="24"/>
        </w:rPr>
        <w:t xml:space="preserve"> </w:t>
      </w:r>
      <w:r w:rsidRPr="00E246E2">
        <w:rPr>
          <w:b w:val="0"/>
          <w:sz w:val="24"/>
          <w:szCs w:val="24"/>
        </w:rPr>
        <w:t xml:space="preserve">corporations, </w:t>
      </w:r>
      <w:r w:rsidRPr="00E246E2">
        <w:rPr>
          <w:rStyle w:val="Strong"/>
          <w:sz w:val="24"/>
          <w:szCs w:val="24"/>
        </w:rPr>
        <w:t>40 were completed and returned</w:t>
      </w:r>
      <w:r w:rsidRPr="00E246E2">
        <w:rPr>
          <w:sz w:val="24"/>
          <w:szCs w:val="24"/>
        </w:rPr>
        <w:t xml:space="preserve">, </w:t>
      </w:r>
      <w:r w:rsidRPr="00E246E2">
        <w:rPr>
          <w:b w:val="0"/>
          <w:sz w:val="24"/>
          <w:szCs w:val="24"/>
        </w:rPr>
        <w:t>representing a</w:t>
      </w:r>
      <w:r w:rsidRPr="00E246E2">
        <w:rPr>
          <w:sz w:val="24"/>
          <w:szCs w:val="24"/>
        </w:rPr>
        <w:t xml:space="preserve"> </w:t>
      </w:r>
      <w:r w:rsidRPr="00E246E2">
        <w:rPr>
          <w:rStyle w:val="Strong"/>
          <w:sz w:val="24"/>
          <w:szCs w:val="24"/>
        </w:rPr>
        <w:t>response rate of 88.9%</w:t>
      </w:r>
      <w:r w:rsidRPr="00E246E2">
        <w:rPr>
          <w:sz w:val="24"/>
          <w:szCs w:val="24"/>
        </w:rPr>
        <w:t xml:space="preserve">. </w:t>
      </w:r>
    </w:p>
    <w:p w:rsidR="001308BD" w:rsidRPr="00E246E2" w:rsidRDefault="001308BD" w:rsidP="00E246E2">
      <w:pPr>
        <w:pStyle w:val="NormalWeb"/>
      </w:pPr>
      <w:r w:rsidRPr="00E246E2">
        <w:t>Table 1: Response Rate</w:t>
      </w:r>
    </w:p>
    <w:tbl>
      <w:tblPr>
        <w:tblStyle w:val="TableGrid"/>
        <w:tblW w:w="0" w:type="auto"/>
        <w:tblLook w:val="04A0" w:firstRow="1" w:lastRow="0" w:firstColumn="1" w:lastColumn="0" w:noHBand="0" w:noVBand="1"/>
      </w:tblPr>
      <w:tblGrid>
        <w:gridCol w:w="2330"/>
        <w:gridCol w:w="2330"/>
        <w:gridCol w:w="2331"/>
        <w:gridCol w:w="2331"/>
      </w:tblGrid>
      <w:tr w:rsidR="005550FA" w:rsidRPr="00E246E2" w:rsidTr="008C54F4">
        <w:tc>
          <w:tcPr>
            <w:tcW w:w="2330" w:type="dxa"/>
            <w:vAlign w:val="center"/>
          </w:tcPr>
          <w:p w:rsidR="005550FA" w:rsidRPr="00E246E2" w:rsidRDefault="005550FA" w:rsidP="00E246E2">
            <w:pPr>
              <w:rPr>
                <w:rFonts w:ascii="Times New Roman" w:hAnsi="Times New Roman" w:cs="Times New Roman"/>
                <w:b/>
                <w:bCs/>
                <w:sz w:val="24"/>
                <w:szCs w:val="24"/>
              </w:rPr>
            </w:pPr>
            <w:r w:rsidRPr="00E246E2">
              <w:rPr>
                <w:rStyle w:val="Strong"/>
                <w:rFonts w:ascii="Times New Roman" w:hAnsi="Times New Roman" w:cs="Times New Roman"/>
                <w:sz w:val="24"/>
                <w:szCs w:val="24"/>
              </w:rPr>
              <w:t>Category</w:t>
            </w:r>
          </w:p>
        </w:tc>
        <w:tc>
          <w:tcPr>
            <w:tcW w:w="2330"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Questionnaires Distributed</w:t>
            </w:r>
          </w:p>
        </w:tc>
        <w:tc>
          <w:tcPr>
            <w:tcW w:w="2331"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Questionnaires Returned</w:t>
            </w:r>
          </w:p>
        </w:tc>
        <w:tc>
          <w:tcPr>
            <w:tcW w:w="2331"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Response Rate (%)</w:t>
            </w:r>
          </w:p>
        </w:tc>
      </w:tr>
      <w:tr w:rsidR="005550FA" w:rsidRPr="00E246E2" w:rsidTr="008C54F4">
        <w:tc>
          <w:tcPr>
            <w:tcW w:w="233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Manufacturing Firms</w:t>
            </w:r>
          </w:p>
        </w:tc>
        <w:tc>
          <w:tcPr>
            <w:tcW w:w="2330"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15</w:t>
            </w:r>
          </w:p>
        </w:tc>
        <w:tc>
          <w:tcPr>
            <w:tcW w:w="2331"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14</w:t>
            </w:r>
          </w:p>
        </w:tc>
        <w:tc>
          <w:tcPr>
            <w:tcW w:w="2331"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93.3</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Energy Sector</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Transportation Firms</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8</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80.0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Construction Firms</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Style w:val="Strong"/>
                <w:rFonts w:ascii="Times New Roman" w:hAnsi="Times New Roman" w:cs="Times New Roman"/>
                <w:sz w:val="24"/>
                <w:szCs w:val="24"/>
              </w:rPr>
              <w:lastRenderedPageBreak/>
              <w:t>Total</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45</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40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88.9</w:t>
            </w:r>
          </w:p>
        </w:tc>
      </w:tr>
    </w:tbl>
    <w:p w:rsidR="004A6C7E" w:rsidRDefault="004A6C7E" w:rsidP="00E246E2">
      <w:pPr>
        <w:pStyle w:val="NormalWeb"/>
        <w:jc w:val="both"/>
        <w:rPr>
          <w:rStyle w:val="Strong"/>
          <w:b w:val="0"/>
        </w:rPr>
      </w:pPr>
      <w:r w:rsidRPr="00E246E2">
        <w:rPr>
          <w:rStyle w:val="Strong"/>
          <w:b w:val="0"/>
        </w:rPr>
        <w:t>Source: Field survey (2025)</w:t>
      </w:r>
    </w:p>
    <w:p w:rsidR="00AB75FE" w:rsidRPr="00E246E2" w:rsidRDefault="00AB75FE" w:rsidP="00E246E2">
      <w:pPr>
        <w:pStyle w:val="NormalWeb"/>
        <w:jc w:val="both"/>
        <w:rPr>
          <w:bCs/>
        </w:rPr>
      </w:pPr>
      <w:r w:rsidRPr="00E246E2">
        <w:t>The demographic data provide background information on the respondents’ professional roles, experience levels, and organizational sectors.</w:t>
      </w:r>
    </w:p>
    <w:p w:rsidR="007E5A5F" w:rsidRPr="00E246E2" w:rsidRDefault="001308BD" w:rsidP="00AB75FE">
      <w:pPr>
        <w:pStyle w:val="Heading3"/>
        <w:spacing w:after="0" w:afterAutospacing="0"/>
        <w:rPr>
          <w:sz w:val="24"/>
          <w:szCs w:val="24"/>
        </w:rPr>
      </w:pPr>
      <w:r w:rsidRPr="00E246E2">
        <w:rPr>
          <w:rStyle w:val="Strong"/>
          <w:b/>
          <w:bCs/>
          <w:sz w:val="24"/>
          <w:szCs w:val="24"/>
        </w:rPr>
        <w:t xml:space="preserve">Table 2: </w:t>
      </w:r>
      <w:r w:rsidR="007E5A5F" w:rsidRPr="00E246E2">
        <w:rPr>
          <w:rStyle w:val="Strong"/>
          <w:b/>
          <w:bCs/>
          <w:sz w:val="24"/>
          <w:szCs w:val="24"/>
        </w:rPr>
        <w:t xml:space="preserve"> Demographic Characteristics of Respondents</w:t>
      </w:r>
    </w:p>
    <w:tbl>
      <w:tblPr>
        <w:tblStyle w:val="TableGrid"/>
        <w:tblW w:w="0" w:type="auto"/>
        <w:tblLook w:val="04A0" w:firstRow="1" w:lastRow="0" w:firstColumn="1" w:lastColumn="0" w:noHBand="0" w:noVBand="1"/>
      </w:tblPr>
      <w:tblGrid>
        <w:gridCol w:w="2147"/>
        <w:gridCol w:w="2856"/>
        <w:gridCol w:w="2160"/>
        <w:gridCol w:w="2159"/>
      </w:tblGrid>
      <w:tr w:rsidR="004E09FC" w:rsidRPr="00E246E2" w:rsidTr="00AB75FE">
        <w:tc>
          <w:tcPr>
            <w:tcW w:w="2147" w:type="dxa"/>
          </w:tcPr>
          <w:p w:rsidR="004E09FC" w:rsidRPr="00E246E2" w:rsidRDefault="004E09FC" w:rsidP="00E246E2">
            <w:pPr>
              <w:pStyle w:val="NormalWeb"/>
            </w:pPr>
            <w:r w:rsidRPr="00E246E2">
              <w:rPr>
                <w:rStyle w:val="Strong"/>
              </w:rPr>
              <w:t>Variable</w:t>
            </w:r>
          </w:p>
        </w:tc>
        <w:tc>
          <w:tcPr>
            <w:tcW w:w="2856" w:type="dxa"/>
          </w:tcPr>
          <w:p w:rsidR="004E09FC" w:rsidRPr="00E246E2" w:rsidRDefault="004E09FC" w:rsidP="00E246E2">
            <w:pPr>
              <w:pStyle w:val="NormalWeb"/>
            </w:pPr>
            <w:r w:rsidRPr="00E246E2">
              <w:rPr>
                <w:rStyle w:val="Strong"/>
              </w:rPr>
              <w:t>Category</w:t>
            </w:r>
          </w:p>
        </w:tc>
        <w:tc>
          <w:tcPr>
            <w:tcW w:w="2160" w:type="dxa"/>
          </w:tcPr>
          <w:p w:rsidR="004E09FC" w:rsidRPr="00E246E2" w:rsidRDefault="004E09FC" w:rsidP="00E246E2">
            <w:pPr>
              <w:pStyle w:val="NormalWeb"/>
            </w:pPr>
            <w:r w:rsidRPr="00E246E2">
              <w:rPr>
                <w:rStyle w:val="Strong"/>
              </w:rPr>
              <w:t>Frequency</w:t>
            </w:r>
          </w:p>
        </w:tc>
        <w:tc>
          <w:tcPr>
            <w:tcW w:w="2159" w:type="dxa"/>
            <w:vAlign w:val="center"/>
          </w:tcPr>
          <w:p w:rsidR="004E09FC" w:rsidRPr="00E246E2" w:rsidRDefault="004E09FC"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Percentage (%)</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Position</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Sustainability/Environment Officer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16</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40.0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Accountant/Finance Officer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10</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25.0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Operations/Project Manager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Others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6</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15.0</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Years of Experience</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Less than 5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5–10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 xml:space="preserve">18  </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 xml:space="preserve">45.0    </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Above 10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14</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35.0</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Sector</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Manufacturing</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14</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35.0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Energy</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9</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22.5</w:t>
            </w:r>
          </w:p>
        </w:tc>
      </w:tr>
      <w:tr w:rsidR="005550FA" w:rsidRPr="00E246E2" w:rsidTr="00AB75FE">
        <w:tc>
          <w:tcPr>
            <w:tcW w:w="2147" w:type="dxa"/>
          </w:tcPr>
          <w:p w:rsidR="005550FA" w:rsidRPr="00E246E2" w:rsidRDefault="005550FA" w:rsidP="00E246E2">
            <w:pPr>
              <w:pStyle w:val="NormalWeb"/>
            </w:pPr>
          </w:p>
        </w:tc>
        <w:tc>
          <w:tcPr>
            <w:tcW w:w="2856"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Transportation</w:t>
            </w:r>
          </w:p>
        </w:tc>
        <w:tc>
          <w:tcPr>
            <w:tcW w:w="216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5550FA" w:rsidRPr="00E246E2" w:rsidTr="00AB75FE">
        <w:tc>
          <w:tcPr>
            <w:tcW w:w="2147" w:type="dxa"/>
          </w:tcPr>
          <w:p w:rsidR="005550FA" w:rsidRPr="00E246E2" w:rsidRDefault="005550FA" w:rsidP="00E246E2">
            <w:pPr>
              <w:pStyle w:val="NormalWeb"/>
            </w:pPr>
          </w:p>
        </w:tc>
        <w:tc>
          <w:tcPr>
            <w:tcW w:w="2856"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Construction</w:t>
            </w:r>
          </w:p>
        </w:tc>
        <w:tc>
          <w:tcPr>
            <w:tcW w:w="216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9</w:t>
            </w:r>
          </w:p>
        </w:tc>
        <w:tc>
          <w:tcPr>
            <w:tcW w:w="2159"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22.5</w:t>
            </w:r>
          </w:p>
        </w:tc>
      </w:tr>
    </w:tbl>
    <w:p w:rsidR="004A6C7E" w:rsidRPr="00E246E2" w:rsidRDefault="004A6C7E" w:rsidP="00E246E2">
      <w:pPr>
        <w:pStyle w:val="NormalWeb"/>
        <w:jc w:val="both"/>
        <w:rPr>
          <w:rStyle w:val="Strong"/>
          <w:b w:val="0"/>
        </w:rPr>
      </w:pPr>
      <w:r w:rsidRPr="00E246E2">
        <w:rPr>
          <w:rStyle w:val="Strong"/>
          <w:b w:val="0"/>
        </w:rPr>
        <w:t>Source: Field survey (2025)</w:t>
      </w:r>
    </w:p>
    <w:p w:rsidR="007E5A5F" w:rsidRPr="00E246E2" w:rsidRDefault="007E5A5F" w:rsidP="00E246E2">
      <w:pPr>
        <w:pStyle w:val="NormalWeb"/>
      </w:pPr>
      <w:r w:rsidRPr="00E246E2">
        <w:rPr>
          <w:rStyle w:val="Strong"/>
        </w:rPr>
        <w:t>Interpretation:</w:t>
      </w:r>
      <w:r w:rsidRPr="00E246E2">
        <w:br/>
        <w:t>The majority of respondents (40%) were sustainability or environmental officers, indicating that data were collected from professionals directly involved in carbon management. Most respondents (80%) had over five years of experience, suggesting that their responses reflect informed professional judgment.</w:t>
      </w:r>
    </w:p>
    <w:p w:rsidR="007E5A5F" w:rsidRPr="00E246E2" w:rsidRDefault="007E5A5F" w:rsidP="00E246E2">
      <w:pPr>
        <w:pStyle w:val="Heading3"/>
        <w:rPr>
          <w:sz w:val="24"/>
          <w:szCs w:val="24"/>
        </w:rPr>
      </w:pPr>
      <w:r w:rsidRPr="00E246E2">
        <w:rPr>
          <w:rStyle w:val="Strong"/>
          <w:b/>
          <w:bCs/>
          <w:sz w:val="24"/>
          <w:szCs w:val="24"/>
        </w:rPr>
        <w:t>Objective One: Extent of Adoption of Carbon Accounting Frameworks</w:t>
      </w:r>
    </w:p>
    <w:p w:rsidR="00A90077" w:rsidRDefault="007E5A5F" w:rsidP="00E246E2">
      <w:pPr>
        <w:pStyle w:val="NormalWeb"/>
      </w:pPr>
      <w:r w:rsidRPr="00E246E2">
        <w:t>The first objective of the stud</w:t>
      </w:r>
      <w:r w:rsidR="005665FA" w:rsidRPr="00E246E2">
        <w:t>y sought to determine the extent</w:t>
      </w:r>
      <w:r w:rsidRPr="00E246E2">
        <w:t xml:space="preserve"> to</w:t>
      </w:r>
      <w:r w:rsidR="005665FA" w:rsidRPr="00E246E2">
        <w:t xml:space="preserve"> which corporations have integrated</w:t>
      </w:r>
      <w:r w:rsidRPr="00E246E2">
        <w:t xml:space="preserve"> carbon accounting frameworks in pursuit of net-zero targets.</w:t>
      </w:r>
    </w:p>
    <w:p w:rsidR="00AB75FE" w:rsidRPr="00AB75FE" w:rsidRDefault="00AB75FE" w:rsidP="00AB75FE">
      <w:pPr>
        <w:pStyle w:val="NormalWeb"/>
        <w:spacing w:after="0" w:afterAutospacing="0"/>
        <w:rPr>
          <w:b/>
        </w:rPr>
      </w:pPr>
      <w:r w:rsidRPr="00AB75FE">
        <w:rPr>
          <w:b/>
        </w:rPr>
        <w:t>Table 3 Analysis of Research Question I</w:t>
      </w:r>
    </w:p>
    <w:tbl>
      <w:tblPr>
        <w:tblStyle w:val="TableGrid"/>
        <w:tblW w:w="0" w:type="auto"/>
        <w:tblLook w:val="04A0" w:firstRow="1" w:lastRow="0" w:firstColumn="1" w:lastColumn="0" w:noHBand="0" w:noVBand="1"/>
      </w:tblPr>
      <w:tblGrid>
        <w:gridCol w:w="3012"/>
        <w:gridCol w:w="1269"/>
        <w:gridCol w:w="1187"/>
        <w:gridCol w:w="1081"/>
        <w:gridCol w:w="907"/>
        <w:gridCol w:w="1289"/>
        <w:gridCol w:w="803"/>
      </w:tblGrid>
      <w:tr w:rsidR="00C62F4A" w:rsidRPr="00E246E2" w:rsidTr="00494F37">
        <w:tc>
          <w:tcPr>
            <w:tcW w:w="0" w:type="auto"/>
            <w:hideMark/>
          </w:tcPr>
          <w:p w:rsidR="00431098" w:rsidRPr="00E246E2" w:rsidRDefault="00431098" w:rsidP="00E246E2">
            <w:pPr>
              <w:rPr>
                <w:rStyle w:val="Strong"/>
                <w:rFonts w:ascii="Times New Roman" w:hAnsi="Times New Roman" w:cs="Times New Roman"/>
                <w:sz w:val="24"/>
                <w:szCs w:val="24"/>
              </w:rPr>
            </w:pPr>
          </w:p>
          <w:p w:rsidR="007E5A5F" w:rsidRPr="00E246E2" w:rsidRDefault="007E5A5F" w:rsidP="00E246E2">
            <w:pPr>
              <w:rPr>
                <w:rFonts w:ascii="Times New Roman" w:hAnsi="Times New Roman" w:cs="Times New Roman"/>
                <w:b/>
                <w:bCs/>
                <w:sz w:val="24"/>
                <w:szCs w:val="24"/>
              </w:rPr>
            </w:pPr>
            <w:r w:rsidRPr="00E246E2">
              <w:rPr>
                <w:rStyle w:val="Strong"/>
                <w:rFonts w:ascii="Times New Roman" w:hAnsi="Times New Roman" w:cs="Times New Roman"/>
                <w:sz w:val="24"/>
                <w:szCs w:val="24"/>
              </w:rPr>
              <w:t>Adoption Indicators</w:t>
            </w:r>
          </w:p>
        </w:tc>
        <w:tc>
          <w:tcPr>
            <w:tcW w:w="0" w:type="auto"/>
            <w:hideMark/>
          </w:tcPr>
          <w:p w:rsidR="007E5A5F" w:rsidRPr="00E246E2" w:rsidRDefault="00C62F4A"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Strongly Disagree</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Disagree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Neutral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Agree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Strongly Agree (%)</w:t>
            </w:r>
          </w:p>
        </w:tc>
        <w:tc>
          <w:tcPr>
            <w:tcW w:w="719" w:type="dxa"/>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Mean Score</w:t>
            </w:r>
          </w:p>
        </w:tc>
      </w:tr>
      <w:tr w:rsidR="00C62F4A" w:rsidRPr="00E246E2" w:rsidTr="00494F37">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The company uses an established carbon accounting framework (e.g., GHG Protocol, ISO 14064).</w:t>
            </w:r>
          </w:p>
        </w:tc>
        <w:tc>
          <w:tcPr>
            <w:tcW w:w="0" w:type="auto"/>
            <w:hideMark/>
          </w:tcPr>
          <w:p w:rsidR="007E5A5F" w:rsidRPr="00E246E2" w:rsidRDefault="00C62F4A" w:rsidP="00E246E2">
            <w:pPr>
              <w:rPr>
                <w:rFonts w:ascii="Times New Roman" w:hAnsi="Times New Roman" w:cs="Times New Roman"/>
                <w:sz w:val="24"/>
                <w:szCs w:val="24"/>
              </w:rPr>
            </w:pPr>
            <w:r w:rsidRPr="00E246E2">
              <w:rPr>
                <w:rFonts w:ascii="Times New Roman" w:hAnsi="Times New Roman" w:cs="Times New Roman"/>
                <w:sz w:val="24"/>
                <w:szCs w:val="24"/>
              </w:rPr>
              <w:t xml:space="preserve">   </w:t>
            </w:r>
            <w:r w:rsidR="007E5A5F" w:rsidRPr="00E246E2">
              <w:rPr>
                <w:rFonts w:ascii="Times New Roman" w:hAnsi="Times New Roman" w:cs="Times New Roman"/>
                <w:sz w:val="24"/>
                <w:szCs w:val="24"/>
              </w:rPr>
              <w:t>5.0</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7.5</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47.5</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30.0</w:t>
            </w:r>
          </w:p>
        </w:tc>
        <w:tc>
          <w:tcPr>
            <w:tcW w:w="719" w:type="dxa"/>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3.90</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Emission data are collected regularly and systematically.</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52.5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20.0</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3.78</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 xml:space="preserve">The company measures emissions across all three </w:t>
            </w:r>
            <w:r w:rsidRPr="00E246E2">
              <w:rPr>
                <w:rFonts w:ascii="Times New Roman" w:hAnsi="Times New Roman" w:cs="Times New Roman"/>
                <w:sz w:val="24"/>
                <w:szCs w:val="24"/>
              </w:rPr>
              <w:lastRenderedPageBreak/>
              <w:t>scopes.</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lastRenderedPageBreak/>
              <w:t>12.5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27.5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12.5</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3.18</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lastRenderedPageBreak/>
              <w:t>Staff are trained to understand carbon accounting procedures.</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42.5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17.5</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3.55</w:t>
            </w:r>
          </w:p>
        </w:tc>
      </w:tr>
      <w:tr w:rsidR="00C62F4A" w:rsidRPr="00E246E2" w:rsidTr="004A6C7E">
        <w:trPr>
          <w:trHeight w:val="1293"/>
        </w:trPr>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Carbon accounting results are reported in annual sustainability reports.</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7.5</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47.5</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25.0</w:t>
            </w:r>
          </w:p>
        </w:tc>
        <w:tc>
          <w:tcPr>
            <w:tcW w:w="719" w:type="dxa"/>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3.73</w:t>
            </w:r>
          </w:p>
        </w:tc>
      </w:tr>
    </w:tbl>
    <w:p w:rsidR="00F56EF5" w:rsidRPr="00E246E2" w:rsidRDefault="00F56EF5" w:rsidP="00B81279">
      <w:pPr>
        <w:pStyle w:val="NormalWeb"/>
        <w:jc w:val="both"/>
        <w:rPr>
          <w:rStyle w:val="Strong"/>
          <w:b w:val="0"/>
        </w:rPr>
      </w:pPr>
      <w:r w:rsidRPr="00E246E2">
        <w:rPr>
          <w:rStyle w:val="Strong"/>
          <w:b w:val="0"/>
        </w:rPr>
        <w:t>Source: Field survey (2025)</w:t>
      </w:r>
    </w:p>
    <w:p w:rsidR="007E5A5F" w:rsidRPr="00E246E2" w:rsidRDefault="00C4635F" w:rsidP="00E246E2">
      <w:pPr>
        <w:pStyle w:val="NormalWeb"/>
        <w:jc w:val="both"/>
      </w:pPr>
      <w:r w:rsidRPr="00E246E2">
        <w:rPr>
          <w:rStyle w:val="Strong"/>
        </w:rPr>
        <w:t>Interpretation</w:t>
      </w:r>
      <w:r w:rsidR="007E5A5F" w:rsidRPr="00E246E2">
        <w:br/>
        <w:t>The data reveal</w:t>
      </w:r>
      <w:r w:rsidR="00D812E9" w:rsidRPr="00E246E2">
        <w:t>ed</w:t>
      </w:r>
      <w:r w:rsidR="007E5A5F" w:rsidRPr="00E246E2">
        <w:t xml:space="preserve"> that most corporations (mean score = 3.90) have adopted at least one formal carbon accounting framework such as the Greenhouse Gas Protocol or ISO 14064. Regular emission data collection (mean = 3.78) and sustainability reporting (mean = 3.73) are also r</w:t>
      </w:r>
      <w:r w:rsidR="00C05E73" w:rsidRPr="00E246E2">
        <w:t xml:space="preserve">elatively common. However, </w:t>
      </w:r>
      <w:r w:rsidR="007E5A5F" w:rsidRPr="00E246E2">
        <w:t>coverage of all three emission scopes (Scope 1, 2, and 3) is less prevalent (mean = 3.18), indicating that many organizations still struggle with measuring indirect emissions across their supply chains.</w:t>
      </w:r>
      <w:r w:rsidR="0025746F" w:rsidRPr="00E246E2">
        <w:t xml:space="preserve"> Findings </w:t>
      </w:r>
      <w:r w:rsidR="007E5A5F" w:rsidRPr="00E246E2">
        <w:t>suggest that while carbon accounting is increasingly institutionalized in corporate practice, it</w:t>
      </w:r>
      <w:r w:rsidR="00C05E73" w:rsidRPr="00E246E2">
        <w:t>s implementation remain</w:t>
      </w:r>
      <w:r w:rsidR="0025746F" w:rsidRPr="00E246E2">
        <w:t xml:space="preserve"> uneven</w:t>
      </w:r>
    </w:p>
    <w:p w:rsidR="00494F37" w:rsidRPr="00E246E2" w:rsidRDefault="00494F37" w:rsidP="00AB75FE">
      <w:pPr>
        <w:pStyle w:val="NormalWeb"/>
        <w:spacing w:after="0" w:afterAutospacing="0"/>
        <w:jc w:val="both"/>
        <w:rPr>
          <w:rStyle w:val="Strong"/>
        </w:rPr>
      </w:pPr>
      <w:r w:rsidRPr="00E246E2">
        <w:rPr>
          <w:rStyle w:val="Strong"/>
        </w:rPr>
        <w:t xml:space="preserve"> Objective Two: Effectiveness of Carbon Accounting in Achieving Net-Zero Targets</w:t>
      </w:r>
    </w:p>
    <w:p w:rsidR="00431098" w:rsidRDefault="00431098" w:rsidP="00E246E2">
      <w:pPr>
        <w:pStyle w:val="NormalWeb"/>
      </w:pPr>
      <w:r w:rsidRPr="00E246E2">
        <w:t>The second objective of the study sought to evaluate the effectiveness of carbon accounting practices in identifying emission-intensive activities and reducing corporate emissions.</w:t>
      </w:r>
    </w:p>
    <w:p w:rsidR="00AB75FE" w:rsidRDefault="00AB75FE" w:rsidP="00E246E2">
      <w:pPr>
        <w:pStyle w:val="NormalWeb"/>
      </w:pPr>
    </w:p>
    <w:p w:rsidR="00AB75FE" w:rsidRPr="00AB75FE" w:rsidRDefault="00AB75FE" w:rsidP="00AB75FE">
      <w:pPr>
        <w:pStyle w:val="NormalWeb"/>
        <w:spacing w:after="0" w:afterAutospacing="0"/>
        <w:rPr>
          <w:b/>
        </w:rPr>
      </w:pPr>
      <w:r>
        <w:rPr>
          <w:b/>
        </w:rPr>
        <w:t>Table 4</w:t>
      </w:r>
      <w:r w:rsidRPr="00AB75FE">
        <w:rPr>
          <w:b/>
        </w:rPr>
        <w:t xml:space="preserve"> Analysis of Research Question I</w:t>
      </w:r>
      <w:r>
        <w:rPr>
          <w:b/>
        </w:rPr>
        <w:t>I</w:t>
      </w:r>
    </w:p>
    <w:tbl>
      <w:tblPr>
        <w:tblStyle w:val="TableGrid"/>
        <w:tblW w:w="10107" w:type="dxa"/>
        <w:tblInd w:w="-5" w:type="dxa"/>
        <w:tblLayout w:type="fixed"/>
        <w:tblLook w:val="04A0" w:firstRow="1" w:lastRow="0" w:firstColumn="1" w:lastColumn="0" w:noHBand="0" w:noVBand="1"/>
      </w:tblPr>
      <w:tblGrid>
        <w:gridCol w:w="2552"/>
        <w:gridCol w:w="1559"/>
        <w:gridCol w:w="1134"/>
        <w:gridCol w:w="1178"/>
        <w:gridCol w:w="1228"/>
        <w:gridCol w:w="1228"/>
        <w:gridCol w:w="1228"/>
      </w:tblGrid>
      <w:tr w:rsidR="00443B0B" w:rsidRPr="00E246E2" w:rsidTr="00E01260">
        <w:tc>
          <w:tcPr>
            <w:tcW w:w="2552" w:type="dxa"/>
          </w:tcPr>
          <w:p w:rsidR="00443B0B" w:rsidRPr="00E246E2" w:rsidRDefault="00443B0B" w:rsidP="00E246E2">
            <w:pPr>
              <w:pStyle w:val="NormalWeb"/>
              <w:jc w:val="both"/>
            </w:pPr>
            <w:r w:rsidRPr="00E246E2">
              <w:rPr>
                <w:rStyle w:val="Strong"/>
              </w:rPr>
              <w:t>Effectiveness Indicators</w:t>
            </w:r>
          </w:p>
        </w:tc>
        <w:tc>
          <w:tcPr>
            <w:tcW w:w="1559" w:type="dxa"/>
          </w:tcPr>
          <w:p w:rsidR="00443B0B" w:rsidRPr="00E246E2" w:rsidRDefault="00443B0B" w:rsidP="00E246E2">
            <w:pPr>
              <w:pStyle w:val="NormalWeb"/>
              <w:jc w:val="both"/>
            </w:pPr>
            <w:r w:rsidRPr="00E246E2">
              <w:rPr>
                <w:rStyle w:val="Strong"/>
              </w:rPr>
              <w:t>Strongly Disagree (%)</w:t>
            </w:r>
          </w:p>
        </w:tc>
        <w:tc>
          <w:tcPr>
            <w:tcW w:w="1134" w:type="dxa"/>
          </w:tcPr>
          <w:p w:rsidR="00443B0B" w:rsidRPr="00E246E2" w:rsidRDefault="00443B0B" w:rsidP="00E246E2">
            <w:pPr>
              <w:pStyle w:val="NormalWeb"/>
              <w:jc w:val="both"/>
            </w:pPr>
            <w:r w:rsidRPr="00E246E2">
              <w:rPr>
                <w:rStyle w:val="Strong"/>
              </w:rPr>
              <w:t>Disagree (%)</w:t>
            </w:r>
          </w:p>
        </w:tc>
        <w:tc>
          <w:tcPr>
            <w:tcW w:w="1178" w:type="dxa"/>
            <w:vAlign w:val="center"/>
          </w:tcPr>
          <w:p w:rsidR="00443B0B" w:rsidRPr="00E246E2" w:rsidRDefault="00443B0B" w:rsidP="00E246E2">
            <w:pPr>
              <w:jc w:val="both"/>
              <w:rPr>
                <w:rFonts w:ascii="Times New Roman" w:hAnsi="Times New Roman" w:cs="Times New Roman"/>
                <w:b/>
                <w:bCs/>
                <w:sz w:val="24"/>
                <w:szCs w:val="24"/>
              </w:rPr>
            </w:pPr>
            <w:r w:rsidRPr="00E246E2">
              <w:rPr>
                <w:rStyle w:val="Strong"/>
                <w:rFonts w:ascii="Times New Roman" w:hAnsi="Times New Roman" w:cs="Times New Roman"/>
                <w:sz w:val="24"/>
                <w:szCs w:val="24"/>
              </w:rPr>
              <w:t>Neutral (%)</w:t>
            </w:r>
          </w:p>
        </w:tc>
        <w:tc>
          <w:tcPr>
            <w:tcW w:w="1228" w:type="dxa"/>
          </w:tcPr>
          <w:p w:rsidR="00443B0B" w:rsidRPr="00E246E2" w:rsidRDefault="00443B0B" w:rsidP="00E246E2">
            <w:pPr>
              <w:pStyle w:val="NormalWeb"/>
              <w:jc w:val="both"/>
            </w:pPr>
            <w:r w:rsidRPr="00E246E2">
              <w:rPr>
                <w:rStyle w:val="Strong"/>
              </w:rPr>
              <w:t>Agree (%)</w:t>
            </w:r>
          </w:p>
        </w:tc>
        <w:tc>
          <w:tcPr>
            <w:tcW w:w="1228" w:type="dxa"/>
          </w:tcPr>
          <w:p w:rsidR="00443B0B" w:rsidRPr="00E246E2" w:rsidRDefault="00443B0B" w:rsidP="00E246E2">
            <w:pPr>
              <w:pStyle w:val="NormalWeb"/>
              <w:jc w:val="both"/>
            </w:pPr>
            <w:r w:rsidRPr="00E246E2">
              <w:rPr>
                <w:rStyle w:val="Strong"/>
              </w:rPr>
              <w:t>Strongly Agree (%</w:t>
            </w:r>
          </w:p>
        </w:tc>
        <w:tc>
          <w:tcPr>
            <w:tcW w:w="1228" w:type="dxa"/>
            <w:vAlign w:val="center"/>
          </w:tcPr>
          <w:p w:rsidR="00443B0B" w:rsidRPr="00E246E2" w:rsidRDefault="00443B0B" w:rsidP="00E246E2">
            <w:pPr>
              <w:jc w:val="both"/>
              <w:rPr>
                <w:rFonts w:ascii="Times New Roman" w:hAnsi="Times New Roman" w:cs="Times New Roman"/>
                <w:b/>
                <w:bCs/>
                <w:sz w:val="24"/>
                <w:szCs w:val="24"/>
              </w:rPr>
            </w:pPr>
            <w:r w:rsidRPr="00E246E2">
              <w:rPr>
                <w:rStyle w:val="Strong"/>
                <w:rFonts w:ascii="Times New Roman" w:hAnsi="Times New Roman" w:cs="Times New Roman"/>
                <w:sz w:val="24"/>
                <w:szCs w:val="24"/>
              </w:rPr>
              <w:t>Mean Score%</w:t>
            </w:r>
          </w:p>
        </w:tc>
      </w:tr>
      <w:tr w:rsidR="00443B0B" w:rsidRPr="00E246E2" w:rsidTr="00E01260">
        <w:tc>
          <w:tcPr>
            <w:tcW w:w="2552" w:type="dxa"/>
          </w:tcPr>
          <w:p w:rsidR="00443B0B" w:rsidRPr="00E246E2" w:rsidRDefault="00443B0B" w:rsidP="00C57550">
            <w:pPr>
              <w:pStyle w:val="NormalWeb"/>
              <w:jc w:val="both"/>
            </w:pPr>
            <w:r w:rsidRPr="00E246E2">
              <w:t>Carbon accounting helps identify major emission sources.</w:t>
            </w:r>
          </w:p>
        </w:tc>
        <w:tc>
          <w:tcPr>
            <w:tcW w:w="1559" w:type="dxa"/>
          </w:tcPr>
          <w:p w:rsidR="00443B0B" w:rsidRPr="00E246E2" w:rsidRDefault="00443B0B" w:rsidP="00E246E2">
            <w:pPr>
              <w:pStyle w:val="NormalWeb"/>
              <w:jc w:val="both"/>
            </w:pPr>
            <w:r w:rsidRPr="00E246E2">
              <w:t>2.5</w:t>
            </w:r>
          </w:p>
        </w:tc>
        <w:tc>
          <w:tcPr>
            <w:tcW w:w="1134" w:type="dxa"/>
          </w:tcPr>
          <w:p w:rsidR="00443B0B" w:rsidRPr="00E246E2" w:rsidRDefault="00443B0B" w:rsidP="00E246E2">
            <w:pPr>
              <w:pStyle w:val="NormalWeb"/>
              <w:jc w:val="both"/>
            </w:pPr>
            <w:r w:rsidRPr="00E246E2">
              <w:t>7.5</w:t>
            </w:r>
          </w:p>
        </w:tc>
        <w:tc>
          <w:tcPr>
            <w:tcW w:w="1178" w:type="dxa"/>
          </w:tcPr>
          <w:p w:rsidR="00443B0B" w:rsidRPr="00E246E2" w:rsidRDefault="00443B0B" w:rsidP="00E246E2">
            <w:pPr>
              <w:pStyle w:val="NormalWeb"/>
              <w:jc w:val="both"/>
            </w:pPr>
            <w:r w:rsidRPr="00E246E2">
              <w:t>10.0</w:t>
            </w:r>
          </w:p>
        </w:tc>
        <w:tc>
          <w:tcPr>
            <w:tcW w:w="1228" w:type="dxa"/>
          </w:tcPr>
          <w:p w:rsidR="00443B0B" w:rsidRPr="00E246E2" w:rsidRDefault="00443B0B" w:rsidP="00E246E2">
            <w:pPr>
              <w:pStyle w:val="NormalWeb"/>
              <w:jc w:val="both"/>
            </w:pPr>
            <w:r w:rsidRPr="00E246E2">
              <w:t>52.5</w:t>
            </w:r>
          </w:p>
        </w:tc>
        <w:tc>
          <w:tcPr>
            <w:tcW w:w="1228" w:type="dxa"/>
          </w:tcPr>
          <w:p w:rsidR="00443B0B" w:rsidRPr="00E246E2" w:rsidRDefault="00443B0B" w:rsidP="00E246E2">
            <w:pPr>
              <w:pStyle w:val="NormalWeb"/>
              <w:jc w:val="both"/>
            </w:pPr>
            <w:r w:rsidRPr="00E246E2">
              <w:t>27.5</w:t>
            </w:r>
          </w:p>
        </w:tc>
        <w:tc>
          <w:tcPr>
            <w:tcW w:w="1228" w:type="dxa"/>
          </w:tcPr>
          <w:p w:rsidR="00443B0B" w:rsidRPr="00E246E2" w:rsidRDefault="00443B0B" w:rsidP="00E246E2">
            <w:pPr>
              <w:pStyle w:val="NormalWeb"/>
              <w:jc w:val="both"/>
            </w:pPr>
            <w:r w:rsidRPr="00E246E2">
              <w:t>3.95</w:t>
            </w:r>
          </w:p>
        </w:tc>
      </w:tr>
      <w:tr w:rsidR="00443B0B" w:rsidRPr="00E246E2" w:rsidTr="00E01260">
        <w:tc>
          <w:tcPr>
            <w:tcW w:w="2552" w:type="dxa"/>
          </w:tcPr>
          <w:p w:rsidR="00443B0B" w:rsidRPr="00E246E2" w:rsidRDefault="00443B0B" w:rsidP="00E246E2">
            <w:pPr>
              <w:pStyle w:val="NormalWeb"/>
              <w:jc w:val="both"/>
            </w:pPr>
            <w:r w:rsidRPr="00E246E2">
              <w:t>The use of carbon accounting has led to measurable emission reductions.</w:t>
            </w:r>
          </w:p>
        </w:tc>
        <w:tc>
          <w:tcPr>
            <w:tcW w:w="1559" w:type="dxa"/>
          </w:tcPr>
          <w:p w:rsidR="00443B0B" w:rsidRPr="00E246E2" w:rsidRDefault="00443B0B" w:rsidP="00E246E2">
            <w:pPr>
              <w:pStyle w:val="NormalWeb"/>
              <w:jc w:val="both"/>
            </w:pPr>
            <w:r w:rsidRPr="00E246E2">
              <w:t>5.0</w:t>
            </w:r>
          </w:p>
        </w:tc>
        <w:tc>
          <w:tcPr>
            <w:tcW w:w="1134" w:type="dxa"/>
          </w:tcPr>
          <w:p w:rsidR="00443B0B" w:rsidRPr="00E246E2" w:rsidRDefault="00443B0B" w:rsidP="00E246E2">
            <w:pPr>
              <w:pStyle w:val="NormalWeb"/>
              <w:jc w:val="both"/>
            </w:pPr>
            <w:r w:rsidRPr="00E246E2">
              <w:t>10.0</w:t>
            </w:r>
          </w:p>
        </w:tc>
        <w:tc>
          <w:tcPr>
            <w:tcW w:w="1178" w:type="dxa"/>
          </w:tcPr>
          <w:p w:rsidR="00443B0B" w:rsidRPr="00E246E2" w:rsidRDefault="00443B0B" w:rsidP="00E246E2">
            <w:pPr>
              <w:pStyle w:val="NormalWeb"/>
              <w:jc w:val="both"/>
            </w:pPr>
            <w:r w:rsidRPr="00E246E2">
              <w:t>15.0</w:t>
            </w:r>
          </w:p>
        </w:tc>
        <w:tc>
          <w:tcPr>
            <w:tcW w:w="1228" w:type="dxa"/>
          </w:tcPr>
          <w:p w:rsidR="00443B0B" w:rsidRPr="00E246E2" w:rsidRDefault="00443B0B" w:rsidP="00E246E2">
            <w:pPr>
              <w:pStyle w:val="NormalWeb"/>
              <w:jc w:val="both"/>
            </w:pPr>
            <w:r w:rsidRPr="00E246E2">
              <w:t>50/0</w:t>
            </w:r>
          </w:p>
        </w:tc>
        <w:tc>
          <w:tcPr>
            <w:tcW w:w="1228" w:type="dxa"/>
          </w:tcPr>
          <w:p w:rsidR="00443B0B" w:rsidRPr="00E246E2" w:rsidRDefault="00443B0B" w:rsidP="00E246E2">
            <w:pPr>
              <w:pStyle w:val="NormalWeb"/>
              <w:jc w:val="both"/>
            </w:pPr>
            <w:r w:rsidRPr="00E246E2">
              <w:t>20.0</w:t>
            </w:r>
          </w:p>
        </w:tc>
        <w:tc>
          <w:tcPr>
            <w:tcW w:w="1228" w:type="dxa"/>
          </w:tcPr>
          <w:p w:rsidR="00443B0B" w:rsidRPr="00E246E2" w:rsidRDefault="00D47D89" w:rsidP="00E246E2">
            <w:pPr>
              <w:pStyle w:val="NormalWeb"/>
              <w:jc w:val="both"/>
            </w:pPr>
            <w:r w:rsidRPr="00E246E2">
              <w:t>3.70</w:t>
            </w:r>
          </w:p>
        </w:tc>
      </w:tr>
      <w:tr w:rsidR="00443B0B" w:rsidRPr="00E246E2" w:rsidTr="00E01260">
        <w:tc>
          <w:tcPr>
            <w:tcW w:w="2552" w:type="dxa"/>
          </w:tcPr>
          <w:p w:rsidR="00443B0B" w:rsidRPr="00E246E2" w:rsidRDefault="00443B0B" w:rsidP="00E246E2">
            <w:pPr>
              <w:pStyle w:val="NormalWeb"/>
              <w:jc w:val="both"/>
            </w:pPr>
            <w:r w:rsidRPr="00E246E2">
              <w:t>Carbon accounting improves corporate transparency and accountability.</w:t>
            </w:r>
          </w:p>
        </w:tc>
        <w:tc>
          <w:tcPr>
            <w:tcW w:w="1559" w:type="dxa"/>
          </w:tcPr>
          <w:p w:rsidR="00443B0B" w:rsidRPr="00E246E2" w:rsidRDefault="00A150B5" w:rsidP="00E246E2">
            <w:pPr>
              <w:pStyle w:val="NormalWeb"/>
              <w:jc w:val="both"/>
            </w:pPr>
            <w:r w:rsidRPr="00E246E2">
              <w:t>2.5</w:t>
            </w:r>
          </w:p>
        </w:tc>
        <w:tc>
          <w:tcPr>
            <w:tcW w:w="1134" w:type="dxa"/>
          </w:tcPr>
          <w:p w:rsidR="00443B0B" w:rsidRPr="00E246E2" w:rsidRDefault="00A150B5" w:rsidP="00E246E2">
            <w:pPr>
              <w:pStyle w:val="NormalWeb"/>
              <w:jc w:val="both"/>
            </w:pPr>
            <w:r w:rsidRPr="00E246E2">
              <w:t>5.0</w:t>
            </w:r>
          </w:p>
        </w:tc>
        <w:tc>
          <w:tcPr>
            <w:tcW w:w="1178" w:type="dxa"/>
          </w:tcPr>
          <w:p w:rsidR="00443B0B" w:rsidRPr="00E246E2" w:rsidRDefault="00A150B5" w:rsidP="00E246E2">
            <w:pPr>
              <w:pStyle w:val="NormalWeb"/>
              <w:jc w:val="both"/>
            </w:pPr>
            <w:r w:rsidRPr="00E246E2">
              <w:t>7.5</w:t>
            </w:r>
          </w:p>
        </w:tc>
        <w:tc>
          <w:tcPr>
            <w:tcW w:w="1228" w:type="dxa"/>
          </w:tcPr>
          <w:p w:rsidR="00443B0B" w:rsidRPr="00E246E2" w:rsidRDefault="00A150B5" w:rsidP="00E246E2">
            <w:pPr>
              <w:pStyle w:val="NormalWeb"/>
              <w:jc w:val="both"/>
            </w:pPr>
            <w:r w:rsidRPr="00E246E2">
              <w:t>52.5</w:t>
            </w:r>
          </w:p>
        </w:tc>
        <w:tc>
          <w:tcPr>
            <w:tcW w:w="1228" w:type="dxa"/>
          </w:tcPr>
          <w:p w:rsidR="00443B0B" w:rsidRPr="00E246E2" w:rsidRDefault="00A150B5" w:rsidP="00E246E2">
            <w:pPr>
              <w:pStyle w:val="NormalWeb"/>
              <w:jc w:val="both"/>
            </w:pPr>
            <w:r w:rsidRPr="00E246E2">
              <w:t>32.5</w:t>
            </w:r>
          </w:p>
        </w:tc>
        <w:tc>
          <w:tcPr>
            <w:tcW w:w="1228" w:type="dxa"/>
          </w:tcPr>
          <w:p w:rsidR="00443B0B" w:rsidRPr="00E246E2" w:rsidRDefault="00A150B5" w:rsidP="00E246E2">
            <w:pPr>
              <w:pStyle w:val="NormalWeb"/>
              <w:jc w:val="both"/>
            </w:pPr>
            <w:r w:rsidRPr="00E246E2">
              <w:t>4.08</w:t>
            </w:r>
          </w:p>
        </w:tc>
      </w:tr>
      <w:tr w:rsidR="00443B0B" w:rsidRPr="00E246E2" w:rsidTr="00E01260">
        <w:tc>
          <w:tcPr>
            <w:tcW w:w="2552" w:type="dxa"/>
          </w:tcPr>
          <w:p w:rsidR="00443B0B" w:rsidRPr="00E246E2" w:rsidRDefault="00443B0B" w:rsidP="00E246E2">
            <w:pPr>
              <w:pStyle w:val="NormalWeb"/>
              <w:jc w:val="both"/>
            </w:pPr>
            <w:r w:rsidRPr="00E246E2">
              <w:t>Stakeholders perceive carbon accounting reports as credible.</w:t>
            </w:r>
          </w:p>
        </w:tc>
        <w:tc>
          <w:tcPr>
            <w:tcW w:w="1559" w:type="dxa"/>
          </w:tcPr>
          <w:p w:rsidR="00443B0B" w:rsidRPr="00E246E2" w:rsidRDefault="00A150B5" w:rsidP="00E246E2">
            <w:pPr>
              <w:pStyle w:val="NormalWeb"/>
              <w:jc w:val="both"/>
            </w:pPr>
            <w:r w:rsidRPr="00E246E2">
              <w:t>5.0</w:t>
            </w:r>
          </w:p>
        </w:tc>
        <w:tc>
          <w:tcPr>
            <w:tcW w:w="1134" w:type="dxa"/>
          </w:tcPr>
          <w:p w:rsidR="00443B0B" w:rsidRPr="00E246E2" w:rsidRDefault="00A150B5" w:rsidP="00E246E2">
            <w:pPr>
              <w:pStyle w:val="NormalWeb"/>
              <w:jc w:val="both"/>
            </w:pPr>
            <w:r w:rsidRPr="00E246E2">
              <w:t>10.0</w:t>
            </w:r>
          </w:p>
        </w:tc>
        <w:tc>
          <w:tcPr>
            <w:tcW w:w="1178" w:type="dxa"/>
          </w:tcPr>
          <w:p w:rsidR="00443B0B" w:rsidRPr="00E246E2" w:rsidRDefault="00A150B5" w:rsidP="00E246E2">
            <w:pPr>
              <w:pStyle w:val="NormalWeb"/>
              <w:jc w:val="both"/>
            </w:pPr>
            <w:r w:rsidRPr="00E246E2">
              <w:t>15.0</w:t>
            </w:r>
          </w:p>
        </w:tc>
        <w:tc>
          <w:tcPr>
            <w:tcW w:w="1228" w:type="dxa"/>
          </w:tcPr>
          <w:p w:rsidR="00443B0B" w:rsidRPr="00E246E2" w:rsidRDefault="00A150B5" w:rsidP="00E246E2">
            <w:pPr>
              <w:pStyle w:val="NormalWeb"/>
              <w:jc w:val="both"/>
            </w:pPr>
            <w:r w:rsidRPr="00E246E2">
              <w:t>47.5</w:t>
            </w:r>
          </w:p>
        </w:tc>
        <w:tc>
          <w:tcPr>
            <w:tcW w:w="1228" w:type="dxa"/>
          </w:tcPr>
          <w:p w:rsidR="00443B0B" w:rsidRPr="00E246E2" w:rsidRDefault="00A150B5" w:rsidP="00E246E2">
            <w:pPr>
              <w:pStyle w:val="NormalWeb"/>
              <w:jc w:val="both"/>
            </w:pPr>
            <w:r w:rsidRPr="00E246E2">
              <w:t>22.5</w:t>
            </w:r>
          </w:p>
        </w:tc>
        <w:tc>
          <w:tcPr>
            <w:tcW w:w="1228" w:type="dxa"/>
          </w:tcPr>
          <w:p w:rsidR="00443B0B" w:rsidRPr="00E246E2" w:rsidRDefault="00D47D89" w:rsidP="00E246E2">
            <w:pPr>
              <w:pStyle w:val="NormalWeb"/>
              <w:jc w:val="both"/>
            </w:pPr>
            <w:r w:rsidRPr="00E246E2">
              <w:t>3.73</w:t>
            </w:r>
          </w:p>
        </w:tc>
      </w:tr>
      <w:tr w:rsidR="00443B0B" w:rsidRPr="00E246E2" w:rsidTr="00E01260">
        <w:trPr>
          <w:trHeight w:val="1938"/>
        </w:trPr>
        <w:tc>
          <w:tcPr>
            <w:tcW w:w="2552" w:type="dxa"/>
          </w:tcPr>
          <w:p w:rsidR="00443B0B" w:rsidRPr="00E246E2" w:rsidRDefault="00443B0B" w:rsidP="00E246E2">
            <w:pPr>
              <w:pStyle w:val="NormalWeb"/>
              <w:jc w:val="both"/>
            </w:pPr>
            <w:r w:rsidRPr="00E246E2">
              <w:lastRenderedPageBreak/>
              <w:t>Carbon accounting supports strategic</w:t>
            </w:r>
            <w:r w:rsidR="00302103" w:rsidRPr="00E246E2">
              <w:t xml:space="preserve"> planning for emission red</w:t>
            </w:r>
          </w:p>
        </w:tc>
        <w:tc>
          <w:tcPr>
            <w:tcW w:w="1559" w:type="dxa"/>
          </w:tcPr>
          <w:p w:rsidR="00443B0B" w:rsidRPr="00E246E2" w:rsidRDefault="00D47D89" w:rsidP="00E246E2">
            <w:pPr>
              <w:pStyle w:val="NormalWeb"/>
              <w:jc w:val="both"/>
            </w:pPr>
            <w:r w:rsidRPr="00E246E2">
              <w:t>2.5</w:t>
            </w:r>
          </w:p>
        </w:tc>
        <w:tc>
          <w:tcPr>
            <w:tcW w:w="1134" w:type="dxa"/>
          </w:tcPr>
          <w:p w:rsidR="00443B0B" w:rsidRPr="00E246E2" w:rsidRDefault="00D47D89" w:rsidP="00E246E2">
            <w:pPr>
              <w:pStyle w:val="NormalWeb"/>
              <w:jc w:val="both"/>
            </w:pPr>
            <w:r w:rsidRPr="00E246E2">
              <w:t>5.0</w:t>
            </w:r>
          </w:p>
        </w:tc>
        <w:tc>
          <w:tcPr>
            <w:tcW w:w="1178" w:type="dxa"/>
          </w:tcPr>
          <w:p w:rsidR="00443B0B" w:rsidRPr="00E246E2" w:rsidRDefault="00D47D89" w:rsidP="00E246E2">
            <w:pPr>
              <w:pStyle w:val="NormalWeb"/>
              <w:jc w:val="both"/>
            </w:pPr>
            <w:r w:rsidRPr="00E246E2">
              <w:t>10.0</w:t>
            </w:r>
          </w:p>
        </w:tc>
        <w:tc>
          <w:tcPr>
            <w:tcW w:w="1228" w:type="dxa"/>
          </w:tcPr>
          <w:p w:rsidR="00443B0B" w:rsidRPr="00E246E2" w:rsidRDefault="00D47D89" w:rsidP="00E246E2">
            <w:pPr>
              <w:pStyle w:val="NormalWeb"/>
              <w:jc w:val="both"/>
            </w:pPr>
            <w:r w:rsidRPr="00E246E2">
              <w:t>50.0</w:t>
            </w:r>
          </w:p>
        </w:tc>
        <w:tc>
          <w:tcPr>
            <w:tcW w:w="1228" w:type="dxa"/>
          </w:tcPr>
          <w:p w:rsidR="00443B0B" w:rsidRPr="00E246E2" w:rsidRDefault="00D47D89" w:rsidP="00E246E2">
            <w:pPr>
              <w:pStyle w:val="NormalWeb"/>
              <w:jc w:val="both"/>
            </w:pPr>
            <w:r w:rsidRPr="00E246E2">
              <w:t>32.5</w:t>
            </w:r>
          </w:p>
        </w:tc>
        <w:tc>
          <w:tcPr>
            <w:tcW w:w="1228" w:type="dxa"/>
          </w:tcPr>
          <w:p w:rsidR="00443B0B" w:rsidRPr="00E246E2" w:rsidRDefault="00D47D89" w:rsidP="00E246E2">
            <w:pPr>
              <w:pStyle w:val="NormalWeb"/>
              <w:jc w:val="both"/>
            </w:pPr>
            <w:r w:rsidRPr="00E246E2">
              <w:t>4.05</w:t>
            </w:r>
          </w:p>
        </w:tc>
      </w:tr>
    </w:tbl>
    <w:p w:rsidR="00BF0C1B" w:rsidRPr="00E246E2" w:rsidRDefault="00BF0C1B" w:rsidP="00AB75FE">
      <w:pPr>
        <w:pStyle w:val="NormalWeb"/>
        <w:spacing w:before="0" w:beforeAutospacing="0"/>
        <w:jc w:val="both"/>
        <w:rPr>
          <w:rStyle w:val="Strong"/>
          <w:b w:val="0"/>
        </w:rPr>
      </w:pPr>
      <w:r w:rsidRPr="00E246E2">
        <w:rPr>
          <w:rStyle w:val="Strong"/>
          <w:b w:val="0"/>
        </w:rPr>
        <w:t>Source: Field survey (2025)</w:t>
      </w:r>
    </w:p>
    <w:p w:rsidR="007E5A5F" w:rsidRPr="00E246E2" w:rsidRDefault="007E5A5F" w:rsidP="00E246E2">
      <w:pPr>
        <w:pStyle w:val="NormalWeb"/>
        <w:jc w:val="both"/>
      </w:pPr>
      <w:r w:rsidRPr="00E246E2">
        <w:rPr>
          <w:rStyle w:val="Strong"/>
        </w:rPr>
        <w:t>Interpretation:</w:t>
      </w:r>
      <w:r w:rsidRPr="00E246E2">
        <w:br/>
        <w:t>Respondents overwhelmingly agreed that carbon accounting is effective in identifying emission sources (mean = 3.95) and improving corporate transparency (mean = 4.08). Furthermore, it was perceived as a strategic tool for planning emission reduction initiatives (mean = 4.05).</w:t>
      </w:r>
    </w:p>
    <w:p w:rsidR="007E5A5F" w:rsidRDefault="007E5A5F" w:rsidP="00E246E2">
      <w:pPr>
        <w:pStyle w:val="NormalWeb"/>
        <w:jc w:val="both"/>
      </w:pPr>
      <w:r w:rsidRPr="00E246E2">
        <w:t>However, slightly lower scores were recorded for actual emission reduction outcomes (mean = 3.70) and stakeholder perception of credibility (mean = 3.73). This suggests that while carbon accounting improves management systems and communication, its measurable impact on emission outcomes depends on how rigorously the results are integrated into corporate decision-making.</w:t>
      </w:r>
    </w:p>
    <w:p w:rsidR="00653D9A" w:rsidRDefault="00653D9A" w:rsidP="00C71CF6">
      <w:pPr>
        <w:pStyle w:val="Heading3"/>
      </w:pPr>
      <w:r>
        <w:t>4.1.1 Test of Hypothesis I</w:t>
      </w:r>
    </w:p>
    <w:p w:rsidR="00AF3973" w:rsidRPr="00AF3973" w:rsidRDefault="00AF3973" w:rsidP="00AF3973">
      <w:pPr>
        <w:pStyle w:val="NormalWeb"/>
        <w:jc w:val="both"/>
        <w:rPr>
          <w:lang w:val="en-US"/>
        </w:rPr>
      </w:pPr>
      <w:r w:rsidRPr="00AF3973">
        <w:rPr>
          <w:b/>
          <w:bCs/>
          <w:lang w:val="en-US"/>
        </w:rPr>
        <w:t>H</w:t>
      </w:r>
      <w:r w:rsidRPr="00AF3973">
        <w:rPr>
          <w:rFonts w:ascii="Cambria Math" w:hAnsi="Cambria Math" w:cs="Cambria Math"/>
          <w:b/>
          <w:bCs/>
          <w:lang w:val="en-US"/>
        </w:rPr>
        <w:t>₀</w:t>
      </w:r>
      <w:r w:rsidRPr="00AF3973">
        <w:rPr>
          <w:rFonts w:ascii="Cambria Math" w:hAnsi="Cambria Math" w:cs="Cambria Math"/>
          <w:b/>
          <w:bCs/>
          <w:vertAlign w:val="subscript"/>
          <w:lang w:val="en-US"/>
        </w:rPr>
        <w:t>1</w:t>
      </w:r>
      <w:r w:rsidRPr="00AF3973">
        <w:rPr>
          <w:b/>
          <w:bCs/>
          <w:lang w:val="en-US"/>
        </w:rPr>
        <w:t>:</w:t>
      </w:r>
      <w:r w:rsidRPr="00AF3973">
        <w:rPr>
          <w:lang w:val="en-US"/>
        </w:rPr>
        <w:t xml:space="preserve"> Corporations do </w:t>
      </w:r>
      <w:r w:rsidRPr="00AF3973">
        <w:rPr>
          <w:bCs/>
          <w:lang w:val="en-US"/>
        </w:rPr>
        <w:t>not</w:t>
      </w:r>
      <w:r w:rsidRPr="00AF3973">
        <w:rPr>
          <w:lang w:val="en-US"/>
        </w:rPr>
        <w:t xml:space="preserve"> significantly integrate carbon accounting into their sustainability strategies for achieving net-zero commitments.</w:t>
      </w:r>
    </w:p>
    <w:p w:rsidR="00C53800" w:rsidRPr="00653D9A" w:rsidRDefault="00AB75FE" w:rsidP="00653D9A">
      <w:pPr>
        <w:spacing w:after="0" w:line="240" w:lineRule="auto"/>
        <w:rPr>
          <w:rStyle w:val="Strong"/>
          <w:rFonts w:ascii="Times New Roman" w:hAnsi="Times New Roman" w:cs="Times New Roman"/>
          <w:bCs w:val="0"/>
          <w:sz w:val="24"/>
          <w:szCs w:val="24"/>
        </w:rPr>
      </w:pPr>
      <w:r w:rsidRPr="00653D9A">
        <w:rPr>
          <w:rStyle w:val="Strong"/>
          <w:rFonts w:ascii="Times New Roman" w:hAnsi="Times New Roman" w:cs="Times New Roman"/>
          <w:bCs w:val="0"/>
          <w:sz w:val="24"/>
          <w:szCs w:val="24"/>
        </w:rPr>
        <w:t>Table 5 Test of Hypothesis 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50"/>
        <w:gridCol w:w="2514"/>
        <w:gridCol w:w="2568"/>
      </w:tblGrid>
      <w:tr w:rsidR="00C57550" w:rsidRPr="00C723D6" w:rsidTr="00493E30">
        <w:trPr>
          <w:cantSplit/>
        </w:trPr>
        <w:tc>
          <w:tcPr>
            <w:tcW w:w="5000" w:type="pct"/>
            <w:gridSpan w:val="3"/>
            <w:tcBorders>
              <w:top w:val="nil"/>
              <w:left w:val="nil"/>
              <w:bottom w:val="nil"/>
              <w:right w:val="nil"/>
            </w:tcBorders>
            <w:shd w:val="clear" w:color="auto" w:fill="FFFFFF"/>
            <w:vAlign w:val="center"/>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010205"/>
              </w:rPr>
            </w:pPr>
            <w:r w:rsidRPr="00C723D6">
              <w:rPr>
                <w:rFonts w:ascii="Arial" w:hAnsi="Arial" w:cs="Arial"/>
                <w:b/>
                <w:bCs/>
                <w:color w:val="010205"/>
              </w:rPr>
              <w:t>One-Sample Kolmogorov-Smirnov Test</w:t>
            </w:r>
          </w:p>
        </w:tc>
      </w:tr>
      <w:tr w:rsidR="00C57550" w:rsidRPr="00C723D6" w:rsidTr="00493E30">
        <w:trPr>
          <w:cantSplit/>
        </w:trPr>
        <w:tc>
          <w:tcPr>
            <w:tcW w:w="3624" w:type="pct"/>
            <w:gridSpan w:val="2"/>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240" w:lineRule="auto"/>
              <w:rPr>
                <w:rFonts w:ascii="Times New Roman" w:hAnsi="Times New Roman" w:cs="Times New Roman"/>
                <w:sz w:val="24"/>
                <w:szCs w:val="24"/>
              </w:rPr>
            </w:pPr>
          </w:p>
        </w:tc>
        <w:tc>
          <w:tcPr>
            <w:tcW w:w="1376" w:type="pct"/>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264A60"/>
                <w:sz w:val="18"/>
                <w:szCs w:val="18"/>
              </w:rPr>
            </w:pPr>
            <w:r w:rsidRPr="00C723D6">
              <w:rPr>
                <w:rFonts w:ascii="Arial" w:hAnsi="Arial" w:cs="Arial"/>
                <w:color w:val="264A60"/>
                <w:sz w:val="18"/>
                <w:szCs w:val="18"/>
              </w:rPr>
              <w:t>Corporations do not significantly integrate carbon accounting into their sustainability strategies for achieving net-zero commitments</w:t>
            </w:r>
          </w:p>
        </w:tc>
      </w:tr>
      <w:tr w:rsidR="00C57550" w:rsidRPr="00C723D6" w:rsidTr="00493E30">
        <w:trPr>
          <w:cantSplit/>
        </w:trPr>
        <w:tc>
          <w:tcPr>
            <w:tcW w:w="3624" w:type="pct"/>
            <w:gridSpan w:val="2"/>
            <w:tcBorders>
              <w:top w:val="single" w:sz="8" w:space="0" w:color="152935"/>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w:t>
            </w:r>
          </w:p>
        </w:tc>
        <w:tc>
          <w:tcPr>
            <w:tcW w:w="1376" w:type="pct"/>
            <w:tcBorders>
              <w:top w:val="single" w:sz="8" w:space="0" w:color="152935"/>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40</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 xml:space="preserve">Normal </w:t>
            </w:r>
            <w:proofErr w:type="spellStart"/>
            <w:r w:rsidRPr="00C723D6">
              <w:rPr>
                <w:rFonts w:ascii="Arial" w:hAnsi="Arial" w:cs="Arial"/>
                <w:color w:val="264A60"/>
                <w:sz w:val="18"/>
                <w:szCs w:val="18"/>
              </w:rPr>
              <w:t>Parameters</w:t>
            </w:r>
            <w:r w:rsidRPr="00C723D6">
              <w:rPr>
                <w:rFonts w:ascii="Arial" w:hAnsi="Arial" w:cs="Arial"/>
                <w:color w:val="264A60"/>
                <w:sz w:val="18"/>
                <w:szCs w:val="18"/>
                <w:vertAlign w:val="superscript"/>
              </w:rPr>
              <w:t>a,b</w:t>
            </w:r>
            <w:proofErr w:type="spellEnd"/>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Mean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21.40</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Std. Deviation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4.367</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Most Extreme Differences</w:t>
            </w: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Absolute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Positive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.205</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Negative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3624" w:type="pct"/>
            <w:gridSpan w:val="2"/>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Test Statistic</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3624" w:type="pct"/>
            <w:gridSpan w:val="2"/>
            <w:tcBorders>
              <w:top w:val="single" w:sz="8" w:space="0" w:color="AEAEAE"/>
              <w:left w:val="nil"/>
              <w:bottom w:val="single" w:sz="8" w:space="0" w:color="152935"/>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proofErr w:type="spellStart"/>
            <w:r w:rsidRPr="00C723D6">
              <w:rPr>
                <w:rFonts w:ascii="Arial" w:hAnsi="Arial" w:cs="Arial"/>
                <w:color w:val="264A60"/>
                <w:sz w:val="18"/>
                <w:szCs w:val="18"/>
              </w:rPr>
              <w:t>Asymp</w:t>
            </w:r>
            <w:proofErr w:type="spellEnd"/>
            <w:r w:rsidRPr="00C723D6">
              <w:rPr>
                <w:rFonts w:ascii="Arial" w:hAnsi="Arial" w:cs="Arial"/>
                <w:color w:val="264A60"/>
                <w:sz w:val="18"/>
                <w:szCs w:val="18"/>
              </w:rPr>
              <w:t>. Sig. (2-tailed)</w:t>
            </w:r>
          </w:p>
        </w:tc>
        <w:tc>
          <w:tcPr>
            <w:tcW w:w="1376" w:type="pct"/>
            <w:tcBorders>
              <w:top w:val="single" w:sz="8" w:space="0" w:color="AEAEAE"/>
              <w:left w:val="nil"/>
              <w:bottom w:val="single" w:sz="8" w:space="0" w:color="152935"/>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.000</w:t>
            </w:r>
            <w:r w:rsidRPr="00C723D6">
              <w:rPr>
                <w:rFonts w:ascii="Arial" w:hAnsi="Arial" w:cs="Arial"/>
                <w:color w:val="010205"/>
                <w:sz w:val="18"/>
                <w:szCs w:val="18"/>
                <w:vertAlign w:val="superscript"/>
              </w:rPr>
              <w:t>c</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a. Test distribution is Normal.</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b. Calculated from data.</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c. Lilliefors Significance Correction.</w:t>
            </w:r>
          </w:p>
        </w:tc>
      </w:tr>
    </w:tbl>
    <w:p w:rsidR="00AB75FE" w:rsidRPr="00E246E2" w:rsidRDefault="00AB75FE" w:rsidP="00032B0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SPSS V. 26 (2025)</w:t>
      </w:r>
    </w:p>
    <w:p w:rsidR="00C71CF6" w:rsidRPr="00C71CF6" w:rsidRDefault="00C71CF6" w:rsidP="00C71CF6">
      <w:pPr>
        <w:jc w:val="both"/>
        <w:rPr>
          <w:rFonts w:ascii="Times New Roman" w:hAnsi="Times New Roman" w:cs="Times New Roman"/>
          <w:sz w:val="24"/>
          <w:szCs w:val="24"/>
          <w:lang w:val="en-US"/>
        </w:rPr>
      </w:pPr>
      <w:r w:rsidRPr="00C71CF6">
        <w:rPr>
          <w:rFonts w:ascii="Times New Roman" w:hAnsi="Times New Roman" w:cs="Times New Roman"/>
          <w:sz w:val="24"/>
          <w:szCs w:val="24"/>
          <w:lang w:val="en-US"/>
        </w:rPr>
        <w:lastRenderedPageBreak/>
        <w:t>The results presented in Table 5 provide evidence for rejecting the first null hypothesis (H</w:t>
      </w:r>
      <w:r w:rsidRPr="00C71CF6">
        <w:rPr>
          <w:rFonts w:ascii="Cambria Math" w:hAnsi="Cambria Math" w:cs="Cambria Math"/>
          <w:sz w:val="24"/>
          <w:szCs w:val="24"/>
          <w:lang w:val="en-US"/>
        </w:rPr>
        <w:t>₀₁</w:t>
      </w:r>
      <w:r w:rsidRPr="00C71CF6">
        <w:rPr>
          <w:rFonts w:ascii="Times New Roman" w:hAnsi="Times New Roman" w:cs="Times New Roman"/>
          <w:sz w:val="24"/>
          <w:szCs w:val="24"/>
          <w:lang w:val="en-US"/>
        </w:rPr>
        <w:t>), which states that corporations do not significantly integrate carbon accounting into their sustainability strategies. The Kolmogorov–Smirnov test returned a test statistic of 0.249 with a significance value of 0.000, which is below the 0.05 threshold. This indicates that the observed data differ significantly from what would be expected if the null hypothesis were true. With a mean score of 21.40 (SD = 4.367), the responses suggest that corporations indeed integrate carbon accounting into their sustainability frameworks to a notable extent. Therefore, the results from Table 5 support the conclusion that carbon accounting is being meaningfully incorporated into corporate sustainability efforts aimed at achieving net-zero commitments.</w:t>
      </w:r>
    </w:p>
    <w:p w:rsidR="00653D9A" w:rsidRDefault="00653D9A" w:rsidP="00B5573F">
      <w:pPr>
        <w:pStyle w:val="Heading3"/>
      </w:pPr>
      <w:r>
        <w:t>4.1.2 Test of Hypothesis II</w:t>
      </w:r>
    </w:p>
    <w:p w:rsidR="00653D9A" w:rsidRPr="00E246E2" w:rsidRDefault="00AF3973" w:rsidP="00653D9A">
      <w:pPr>
        <w:pStyle w:val="NormalWeb"/>
        <w:jc w:val="both"/>
      </w:pPr>
      <w:r w:rsidRPr="00AF3973">
        <w:rPr>
          <w:bCs/>
          <w:lang w:val="en-US"/>
        </w:rPr>
        <w:t>H</w:t>
      </w:r>
      <w:r w:rsidRPr="00AF3973">
        <w:rPr>
          <w:rFonts w:ascii="Cambria Math" w:hAnsi="Cambria Math" w:cs="Cambria Math"/>
          <w:bCs/>
          <w:lang w:val="en-US"/>
        </w:rPr>
        <w:t>₀</w:t>
      </w:r>
      <w:r w:rsidRPr="00AF3973">
        <w:rPr>
          <w:rFonts w:ascii="Cambria Math" w:hAnsi="Cambria Math" w:cs="Cambria Math"/>
          <w:bCs/>
          <w:vertAlign w:val="subscript"/>
          <w:lang w:val="en-US"/>
        </w:rPr>
        <w:t>2</w:t>
      </w:r>
      <w:r w:rsidRPr="00AF3973">
        <w:rPr>
          <w:bCs/>
          <w:lang w:val="en-US"/>
        </w:rPr>
        <w:t>:</w:t>
      </w:r>
      <w:r w:rsidRPr="00AF3973">
        <w:rPr>
          <w:lang w:val="en-US"/>
        </w:rPr>
        <w:t xml:space="preserve"> Carbon accounting practices are </w:t>
      </w:r>
      <w:r w:rsidRPr="00AF3973">
        <w:rPr>
          <w:bCs/>
          <w:lang w:val="en-US"/>
        </w:rPr>
        <w:t>not</w:t>
      </w:r>
      <w:r w:rsidRPr="00AF3973">
        <w:rPr>
          <w:lang w:val="en-US"/>
        </w:rPr>
        <w:t xml:space="preserve"> effective in identifying emission-intensive activities or in reducing corporate emissions.</w:t>
      </w:r>
    </w:p>
    <w:p w:rsidR="00653D9A" w:rsidRPr="00653D9A" w:rsidRDefault="00653D9A" w:rsidP="00653D9A">
      <w:pPr>
        <w:spacing w:after="0" w:line="240" w:lineRule="auto"/>
        <w:rPr>
          <w:rStyle w:val="Strong"/>
          <w:rFonts w:ascii="Times New Roman" w:hAnsi="Times New Roman" w:cs="Times New Roman"/>
          <w:bCs w:val="0"/>
          <w:sz w:val="24"/>
          <w:szCs w:val="24"/>
        </w:rPr>
      </w:pPr>
      <w:r w:rsidRPr="00653D9A">
        <w:rPr>
          <w:rStyle w:val="Strong"/>
          <w:rFonts w:ascii="Times New Roman" w:hAnsi="Times New Roman" w:cs="Times New Roman"/>
          <w:bCs w:val="0"/>
          <w:sz w:val="24"/>
          <w:szCs w:val="24"/>
        </w:rPr>
        <w:t xml:space="preserve">Table </w:t>
      </w:r>
      <w:r>
        <w:rPr>
          <w:rStyle w:val="Strong"/>
          <w:rFonts w:ascii="Times New Roman" w:hAnsi="Times New Roman" w:cs="Times New Roman"/>
          <w:bCs w:val="0"/>
          <w:sz w:val="24"/>
          <w:szCs w:val="24"/>
        </w:rPr>
        <w:t>6</w:t>
      </w:r>
      <w:r w:rsidRPr="00653D9A">
        <w:rPr>
          <w:rStyle w:val="Strong"/>
          <w:rFonts w:ascii="Times New Roman" w:hAnsi="Times New Roman" w:cs="Times New Roman"/>
          <w:bCs w:val="0"/>
          <w:sz w:val="24"/>
          <w:szCs w:val="24"/>
        </w:rPr>
        <w:t xml:space="preserve"> Test of Hypothesis I</w:t>
      </w:r>
      <w:r>
        <w:rPr>
          <w:rStyle w:val="Strong"/>
          <w:rFonts w:ascii="Times New Roman" w:hAnsi="Times New Roman" w:cs="Times New Roman"/>
          <w:bCs w:val="0"/>
          <w:sz w:val="24"/>
          <w:szCs w:val="24"/>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50"/>
        <w:gridCol w:w="2514"/>
        <w:gridCol w:w="2568"/>
      </w:tblGrid>
      <w:tr w:rsidR="00C57550" w:rsidRPr="00C723D6" w:rsidTr="00493E30">
        <w:trPr>
          <w:cantSplit/>
        </w:trPr>
        <w:tc>
          <w:tcPr>
            <w:tcW w:w="5000" w:type="pct"/>
            <w:gridSpan w:val="3"/>
            <w:tcBorders>
              <w:top w:val="nil"/>
              <w:left w:val="nil"/>
              <w:bottom w:val="nil"/>
              <w:right w:val="nil"/>
            </w:tcBorders>
            <w:shd w:val="clear" w:color="auto" w:fill="FFFFFF"/>
            <w:vAlign w:val="center"/>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010205"/>
              </w:rPr>
            </w:pPr>
            <w:r w:rsidRPr="00C723D6">
              <w:rPr>
                <w:rFonts w:ascii="Arial" w:hAnsi="Arial" w:cs="Arial"/>
                <w:b/>
                <w:bCs/>
                <w:color w:val="010205"/>
              </w:rPr>
              <w:t>One-Sample Kolmogorov-Smirnov Test</w:t>
            </w:r>
          </w:p>
        </w:tc>
      </w:tr>
      <w:tr w:rsidR="00C57550" w:rsidRPr="00C723D6" w:rsidTr="00493E30">
        <w:trPr>
          <w:cantSplit/>
        </w:trPr>
        <w:tc>
          <w:tcPr>
            <w:tcW w:w="3624" w:type="pct"/>
            <w:gridSpan w:val="2"/>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240" w:lineRule="auto"/>
              <w:rPr>
                <w:rFonts w:ascii="Times New Roman" w:hAnsi="Times New Roman" w:cs="Times New Roman"/>
                <w:sz w:val="24"/>
                <w:szCs w:val="24"/>
              </w:rPr>
            </w:pPr>
          </w:p>
        </w:tc>
        <w:tc>
          <w:tcPr>
            <w:tcW w:w="1376" w:type="pct"/>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264A60"/>
                <w:sz w:val="18"/>
                <w:szCs w:val="18"/>
              </w:rPr>
            </w:pPr>
            <w:r w:rsidRPr="00C723D6">
              <w:rPr>
                <w:rFonts w:ascii="Arial" w:hAnsi="Arial" w:cs="Arial"/>
                <w:color w:val="264A60"/>
                <w:sz w:val="18"/>
                <w:szCs w:val="18"/>
              </w:rPr>
              <w:t>Carbon accounting practices are not effective in identifying emission-intensive activities or in reducing corporate emissions</w:t>
            </w:r>
          </w:p>
        </w:tc>
      </w:tr>
      <w:tr w:rsidR="00C57550" w:rsidRPr="00C723D6" w:rsidTr="00493E30">
        <w:trPr>
          <w:cantSplit/>
        </w:trPr>
        <w:tc>
          <w:tcPr>
            <w:tcW w:w="3624" w:type="pct"/>
            <w:gridSpan w:val="2"/>
            <w:tcBorders>
              <w:top w:val="single" w:sz="8" w:space="0" w:color="152935"/>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w:t>
            </w:r>
          </w:p>
        </w:tc>
        <w:tc>
          <w:tcPr>
            <w:tcW w:w="1376" w:type="pct"/>
            <w:tcBorders>
              <w:top w:val="single" w:sz="8" w:space="0" w:color="152935"/>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40</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 xml:space="preserve">Normal </w:t>
            </w:r>
            <w:proofErr w:type="spellStart"/>
            <w:r w:rsidRPr="00C723D6">
              <w:rPr>
                <w:rFonts w:ascii="Arial" w:hAnsi="Arial" w:cs="Arial"/>
                <w:color w:val="264A60"/>
                <w:sz w:val="18"/>
                <w:szCs w:val="18"/>
              </w:rPr>
              <w:t>Parameters</w:t>
            </w:r>
            <w:r w:rsidRPr="00C723D6">
              <w:rPr>
                <w:rFonts w:ascii="Arial" w:hAnsi="Arial" w:cs="Arial"/>
                <w:color w:val="264A60"/>
                <w:sz w:val="18"/>
                <w:szCs w:val="18"/>
                <w:vertAlign w:val="superscript"/>
              </w:rPr>
              <w:t>a,b</w:t>
            </w:r>
            <w:proofErr w:type="spellEnd"/>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Mean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16.20</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Std. Deviation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1.506</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Most Extreme Differences</w:t>
            </w: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Absolute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Positive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Negative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-.172</w:t>
            </w:r>
          </w:p>
        </w:tc>
      </w:tr>
      <w:tr w:rsidR="00C57550" w:rsidRPr="00C723D6" w:rsidTr="00493E30">
        <w:trPr>
          <w:cantSplit/>
        </w:trPr>
        <w:tc>
          <w:tcPr>
            <w:tcW w:w="3624" w:type="pct"/>
            <w:gridSpan w:val="2"/>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Test Statistic</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3624" w:type="pct"/>
            <w:gridSpan w:val="2"/>
            <w:tcBorders>
              <w:top w:val="single" w:sz="8" w:space="0" w:color="AEAEAE"/>
              <w:left w:val="nil"/>
              <w:bottom w:val="single" w:sz="8" w:space="0" w:color="152935"/>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proofErr w:type="spellStart"/>
            <w:r w:rsidRPr="00C723D6">
              <w:rPr>
                <w:rFonts w:ascii="Arial" w:hAnsi="Arial" w:cs="Arial"/>
                <w:color w:val="264A60"/>
                <w:sz w:val="18"/>
                <w:szCs w:val="18"/>
              </w:rPr>
              <w:t>Asymp</w:t>
            </w:r>
            <w:proofErr w:type="spellEnd"/>
            <w:r w:rsidRPr="00C723D6">
              <w:rPr>
                <w:rFonts w:ascii="Arial" w:hAnsi="Arial" w:cs="Arial"/>
                <w:color w:val="264A60"/>
                <w:sz w:val="18"/>
                <w:szCs w:val="18"/>
              </w:rPr>
              <w:t>. Sig. (2-tailed)</w:t>
            </w:r>
          </w:p>
        </w:tc>
        <w:tc>
          <w:tcPr>
            <w:tcW w:w="1376" w:type="pct"/>
            <w:tcBorders>
              <w:top w:val="single" w:sz="8" w:space="0" w:color="AEAEAE"/>
              <w:left w:val="nil"/>
              <w:bottom w:val="single" w:sz="8" w:space="0" w:color="152935"/>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.000</w:t>
            </w:r>
            <w:r w:rsidRPr="00C723D6">
              <w:rPr>
                <w:rFonts w:ascii="Arial" w:hAnsi="Arial" w:cs="Arial"/>
                <w:color w:val="010205"/>
                <w:sz w:val="18"/>
                <w:szCs w:val="18"/>
                <w:vertAlign w:val="superscript"/>
              </w:rPr>
              <w:t>c</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a. Test distribution is Normal.</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b. Calculated from data.</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c. Lilliefors Significance Correction.</w:t>
            </w:r>
          </w:p>
        </w:tc>
      </w:tr>
    </w:tbl>
    <w:p w:rsidR="00653D9A" w:rsidRPr="00E246E2" w:rsidRDefault="00653D9A" w:rsidP="00653D9A">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SPSS V. 26 (2025)</w:t>
      </w:r>
    </w:p>
    <w:p w:rsidR="00653D9A" w:rsidRPr="00E246E2" w:rsidRDefault="00C71CF6" w:rsidP="00C71CF6">
      <w:pPr>
        <w:jc w:val="both"/>
        <w:rPr>
          <w:rStyle w:val="Strong"/>
          <w:rFonts w:ascii="Times New Roman" w:hAnsi="Times New Roman" w:cs="Times New Roman"/>
          <w:b w:val="0"/>
          <w:bCs w:val="0"/>
          <w:sz w:val="24"/>
          <w:szCs w:val="24"/>
        </w:rPr>
      </w:pPr>
      <w:r w:rsidRPr="00C71CF6">
        <w:rPr>
          <w:rFonts w:ascii="Times New Roman" w:hAnsi="Times New Roman" w:cs="Times New Roman"/>
          <w:sz w:val="24"/>
          <w:szCs w:val="24"/>
          <w:lang w:val="en-US"/>
        </w:rPr>
        <w:t>Similarly, the findings in Table 6 show strong grounds for rejecting the second null hypothesis (H</w:t>
      </w:r>
      <w:r w:rsidRPr="00C71CF6">
        <w:rPr>
          <w:rFonts w:ascii="Cambria Math" w:hAnsi="Cambria Math" w:cs="Cambria Math"/>
          <w:sz w:val="24"/>
          <w:szCs w:val="24"/>
          <w:lang w:val="en-US"/>
        </w:rPr>
        <w:t>₀₂</w:t>
      </w:r>
      <w:r w:rsidRPr="00C71CF6">
        <w:rPr>
          <w:rFonts w:ascii="Times New Roman" w:hAnsi="Times New Roman" w:cs="Times New Roman"/>
          <w:sz w:val="24"/>
          <w:szCs w:val="24"/>
          <w:lang w:val="en-US"/>
        </w:rPr>
        <w:t>), which posits that carbon accounting practices are not effective in identifying emission-intensive activities or reducing corporate emissions. The Kolmogorov–Smirnov test produced a test statistic of 0.198 with a significance level of 0.000, again lower than the acceptable cutoff of 0.05. This implies that the distribution of responses significantly departs from the expectation under the null hypothesis. With a mean of 16.20 (SD = 1.506), the data indicate that respondents perceive carbon accounting practices as effective tools for pinpointing high-emission activities and guiding emission-reduction strategies. Thus, Table 6 reinforces the conclusion that carbon accounting plays an important role in enhancing corporate emission-management practices.</w:t>
      </w:r>
    </w:p>
    <w:p w:rsidR="007E5A5F" w:rsidRPr="00E246E2" w:rsidRDefault="000E690D" w:rsidP="00E246E2">
      <w:pPr>
        <w:pStyle w:val="Heading3"/>
        <w:jc w:val="both"/>
        <w:rPr>
          <w:rStyle w:val="Strong"/>
          <w:b/>
          <w:bCs/>
          <w:sz w:val="24"/>
          <w:szCs w:val="24"/>
        </w:rPr>
      </w:pPr>
      <w:r w:rsidRPr="00E246E2">
        <w:rPr>
          <w:rStyle w:val="Strong"/>
          <w:b/>
          <w:bCs/>
          <w:sz w:val="24"/>
          <w:szCs w:val="24"/>
        </w:rPr>
        <w:lastRenderedPageBreak/>
        <w:t>4.2</w:t>
      </w:r>
      <w:r w:rsidR="007E5A5F" w:rsidRPr="00E246E2">
        <w:rPr>
          <w:rStyle w:val="Strong"/>
          <w:b/>
          <w:bCs/>
          <w:sz w:val="24"/>
          <w:szCs w:val="24"/>
        </w:rPr>
        <w:t xml:space="preserve"> </w:t>
      </w:r>
      <w:r w:rsidR="00526613">
        <w:rPr>
          <w:rStyle w:val="Strong"/>
          <w:b/>
          <w:bCs/>
          <w:sz w:val="24"/>
          <w:szCs w:val="24"/>
        </w:rPr>
        <w:t xml:space="preserve">Result and </w:t>
      </w:r>
      <w:r w:rsidR="007E5A5F" w:rsidRPr="00E246E2">
        <w:rPr>
          <w:rStyle w:val="Strong"/>
          <w:b/>
          <w:bCs/>
          <w:sz w:val="24"/>
          <w:szCs w:val="24"/>
        </w:rPr>
        <w:t xml:space="preserve">Discussion </w:t>
      </w:r>
    </w:p>
    <w:p w:rsidR="00090CA2" w:rsidRPr="00E246E2" w:rsidRDefault="00E72C03" w:rsidP="00E246E2">
      <w:pPr>
        <w:pStyle w:val="Heading4"/>
        <w:spacing w:line="240" w:lineRule="auto"/>
        <w:jc w:val="both"/>
        <w:rPr>
          <w:rStyle w:val="Strong"/>
          <w:rFonts w:ascii="Times New Roman" w:hAnsi="Times New Roman" w:cs="Times New Roman"/>
          <w:b w:val="0"/>
          <w:bCs w:val="0"/>
          <w:i w:val="0"/>
          <w:color w:val="000000" w:themeColor="text1"/>
          <w:sz w:val="24"/>
          <w:szCs w:val="24"/>
        </w:rPr>
      </w:pPr>
      <w:r>
        <w:rPr>
          <w:rStyle w:val="Strong"/>
          <w:rFonts w:ascii="Times New Roman" w:hAnsi="Times New Roman" w:cs="Times New Roman"/>
          <w:bCs w:val="0"/>
          <w:i w:val="0"/>
          <w:color w:val="000000" w:themeColor="text1"/>
          <w:sz w:val="24"/>
          <w:szCs w:val="24"/>
        </w:rPr>
        <w:t>Finding I</w:t>
      </w:r>
      <w:r w:rsidR="00090CA2" w:rsidRPr="00E246E2">
        <w:rPr>
          <w:rStyle w:val="Strong"/>
          <w:rFonts w:ascii="Times New Roman" w:hAnsi="Times New Roman" w:cs="Times New Roman"/>
          <w:bCs w:val="0"/>
          <w:i w:val="0"/>
          <w:color w:val="000000" w:themeColor="text1"/>
          <w:sz w:val="24"/>
          <w:szCs w:val="24"/>
        </w:rPr>
        <w:t>: Extent of Adoption of Carbon Accounting Frameworks</w:t>
      </w:r>
    </w:p>
    <w:p w:rsidR="00090CA2" w:rsidRPr="00E246E2" w:rsidRDefault="00090CA2" w:rsidP="00E246E2">
      <w:pPr>
        <w:pStyle w:val="Heading3"/>
        <w:jc w:val="both"/>
        <w:rPr>
          <w:b w:val="0"/>
          <w:sz w:val="24"/>
          <w:szCs w:val="24"/>
        </w:rPr>
      </w:pPr>
      <w:r w:rsidRPr="00E246E2">
        <w:rPr>
          <w:b w:val="0"/>
          <w:sz w:val="24"/>
          <w:szCs w:val="24"/>
        </w:rPr>
        <w:t xml:space="preserve">The study revealed that a majority of corporations have adopted at least one formal carbon accounting framework, such as the </w:t>
      </w:r>
      <w:r w:rsidRPr="00E246E2">
        <w:rPr>
          <w:rStyle w:val="Strong"/>
          <w:sz w:val="24"/>
          <w:szCs w:val="24"/>
        </w:rPr>
        <w:t>Greenhouse Gas (GHG) Protocol</w:t>
      </w:r>
      <w:r w:rsidRPr="00E246E2">
        <w:rPr>
          <w:sz w:val="24"/>
          <w:szCs w:val="24"/>
        </w:rPr>
        <w:t xml:space="preserve">, </w:t>
      </w:r>
      <w:r w:rsidRPr="00E246E2">
        <w:rPr>
          <w:rStyle w:val="Strong"/>
          <w:sz w:val="24"/>
          <w:szCs w:val="24"/>
        </w:rPr>
        <w:t>ISO</w:t>
      </w:r>
      <w:r w:rsidRPr="00E246E2">
        <w:rPr>
          <w:rStyle w:val="Strong"/>
          <w:b/>
          <w:sz w:val="24"/>
          <w:szCs w:val="24"/>
        </w:rPr>
        <w:t xml:space="preserve"> </w:t>
      </w:r>
      <w:r w:rsidRPr="00E246E2">
        <w:rPr>
          <w:rStyle w:val="Strong"/>
          <w:sz w:val="24"/>
          <w:szCs w:val="24"/>
        </w:rPr>
        <w:t>14064</w:t>
      </w:r>
      <w:r w:rsidRPr="00E246E2">
        <w:rPr>
          <w:sz w:val="24"/>
          <w:szCs w:val="24"/>
        </w:rPr>
        <w:t xml:space="preserve">, or </w:t>
      </w:r>
      <w:r w:rsidRPr="00E246E2">
        <w:rPr>
          <w:rStyle w:val="Strong"/>
          <w:sz w:val="24"/>
          <w:szCs w:val="24"/>
        </w:rPr>
        <w:t>Carbon Disclosure Project (CDP)</w:t>
      </w:r>
      <w:r w:rsidRPr="00E246E2">
        <w:rPr>
          <w:b w:val="0"/>
          <w:sz w:val="24"/>
          <w:szCs w:val="24"/>
        </w:rPr>
        <w:t xml:space="preserve"> standards. The results show that carbon accounting practices are gradually being institutionalized within corporate sustainability strategies. Most firms collect emission data regularly and include emission reporting in their annual sustainability disclosures. However, the findings also indicate that adoption remains </w:t>
      </w:r>
      <w:r w:rsidRPr="00E246E2">
        <w:rPr>
          <w:rStyle w:val="Strong"/>
          <w:sz w:val="24"/>
          <w:szCs w:val="24"/>
        </w:rPr>
        <w:t>partial and uneven</w:t>
      </w:r>
      <w:r w:rsidRPr="00E246E2">
        <w:rPr>
          <w:b w:val="0"/>
          <w:sz w:val="24"/>
          <w:szCs w:val="24"/>
        </w:rPr>
        <w:t xml:space="preserve">. While Scopes 1 and 2 emissions are routinely measured, </w:t>
      </w:r>
      <w:r w:rsidRPr="00E246E2">
        <w:rPr>
          <w:rStyle w:val="Strong"/>
          <w:sz w:val="24"/>
          <w:szCs w:val="24"/>
        </w:rPr>
        <w:t>Scope 3 emissions</w:t>
      </w:r>
      <w:r w:rsidRPr="00E246E2">
        <w:rPr>
          <w:b w:val="0"/>
          <w:sz w:val="24"/>
          <w:szCs w:val="24"/>
        </w:rPr>
        <w:t>, which include indirect emissions from supply chains and product use, are less frequently accounted for. This gap suggests that many organizations are yet to achieve full integration of carbon accounting across their entire value chains. Furthermore, limited staff training and inadequate technical expertise were identified as barriers to comprehensive implementation</w:t>
      </w:r>
    </w:p>
    <w:p w:rsidR="007E5A5F" w:rsidRPr="00E246E2" w:rsidRDefault="007E5A5F" w:rsidP="00E246E2">
      <w:pPr>
        <w:pStyle w:val="NormalWeb"/>
        <w:jc w:val="both"/>
      </w:pPr>
      <w:r w:rsidRPr="00E246E2">
        <w:t xml:space="preserve">The results align with prior studies (e.g., </w:t>
      </w:r>
      <w:proofErr w:type="spellStart"/>
      <w:r w:rsidRPr="00E246E2">
        <w:t>Schaltegger</w:t>
      </w:r>
      <w:proofErr w:type="spellEnd"/>
      <w:r w:rsidRPr="00E246E2">
        <w:t xml:space="preserve"> &amp; </w:t>
      </w:r>
      <w:proofErr w:type="spellStart"/>
      <w:r w:rsidRPr="00E246E2">
        <w:t>Csutora</w:t>
      </w:r>
      <w:proofErr w:type="spellEnd"/>
      <w:r w:rsidRPr="00E246E2">
        <w:t>, 2012; Lozano, 2015) that emphasize carbon accounting as both a reporting and management tool. The findings affirm that companies adopting formal frameworks demonstrate greater environmental awareness and structured emission tracking.</w:t>
      </w:r>
      <w:r w:rsidR="002F24DB" w:rsidRPr="00E246E2">
        <w:t xml:space="preserve"> </w:t>
      </w:r>
      <w:r w:rsidRPr="00E246E2">
        <w:t>However, consistent with observations by PwC (2022), the limited coverage of Scope 3 emissions suggests that most corporations have yet to achieve comprehensive accounting across their value chains. The study also indicates that while carbon accounting enhances transparency, the translation of reported data into measurable emission reduction remains an evolving challenge.</w:t>
      </w:r>
    </w:p>
    <w:p w:rsidR="00090CA2" w:rsidRPr="00E246E2" w:rsidRDefault="00E72C03" w:rsidP="00E246E2">
      <w:pPr>
        <w:pStyle w:val="Heading4"/>
        <w:spacing w:line="24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Finding II</w:t>
      </w:r>
      <w:r w:rsidR="00090CA2" w:rsidRPr="00E246E2">
        <w:rPr>
          <w:rStyle w:val="Strong"/>
          <w:rFonts w:ascii="Times New Roman" w:hAnsi="Times New Roman" w:cs="Times New Roman"/>
          <w:bCs w:val="0"/>
          <w:i w:val="0"/>
          <w:color w:val="auto"/>
          <w:sz w:val="24"/>
          <w:szCs w:val="24"/>
        </w:rPr>
        <w:t>: Effectiveness of Carbon Accounting in Achieving Net-Zero Targets</w:t>
      </w:r>
    </w:p>
    <w:p w:rsidR="007E5A5F" w:rsidRPr="00E246E2" w:rsidRDefault="00090CA2" w:rsidP="00E246E2">
      <w:pPr>
        <w:pStyle w:val="NormalWeb"/>
        <w:jc w:val="both"/>
      </w:pPr>
      <w:r w:rsidRPr="00E246E2">
        <w:t xml:space="preserve">The findings demonstrate that carbon accounting is perceived as an effective management tool for identifying emission sources, enhancing environmental transparency, and supporting strategic planning for emission reduction. Most respondents agreed that carbon accounting has contributed to improved corporate accountability and provided a solid foundation for emission management decisions. Nevertheless, the study found that while carbon accounting systems improve data-driven management, their </w:t>
      </w:r>
      <w:r w:rsidRPr="00E246E2">
        <w:rPr>
          <w:rStyle w:val="Strong"/>
          <w:b w:val="0"/>
        </w:rPr>
        <w:t>direct impact on emission reduction outcomes</w:t>
      </w:r>
      <w:r w:rsidRPr="00E246E2">
        <w:t xml:space="preserve"> varies across firms. Some organizations have achieved measurable reductions in emissions, while others continue to struggle with translating accounting data into concrete operational improvements. This variation highlights the importance of management commitment, internal expertise, and the integration of carbon data into decision-making processes.</w:t>
      </w:r>
      <w:r w:rsidR="00621971" w:rsidRPr="00E246E2">
        <w:t xml:space="preserve"> </w:t>
      </w:r>
      <w:r w:rsidR="007E5A5F" w:rsidRPr="00E246E2">
        <w:t>These findings collectively demonstrate that carbon accounting serves as a necessary but not sufficient mechanism for achieving net-zero targets. Its effectiveness depends on consistent data collection, employee training, stakeholder engagement, and integration of accounting outputs into strategic planning and investment decisions.</w:t>
      </w:r>
    </w:p>
    <w:p w:rsidR="007E5A5F" w:rsidRPr="00E246E2" w:rsidRDefault="00090CA2" w:rsidP="00E246E2">
      <w:pPr>
        <w:pStyle w:val="Heading2"/>
        <w:spacing w:line="240" w:lineRule="auto"/>
        <w:jc w:val="both"/>
        <w:rPr>
          <w:rFonts w:ascii="Times New Roman" w:hAnsi="Times New Roman" w:cs="Times New Roman"/>
          <w:color w:val="000000" w:themeColor="text1"/>
          <w:sz w:val="24"/>
          <w:szCs w:val="24"/>
        </w:rPr>
      </w:pPr>
      <w:r w:rsidRPr="00E246E2">
        <w:rPr>
          <w:rStyle w:val="Strong"/>
          <w:rFonts w:ascii="Times New Roman" w:hAnsi="Times New Roman" w:cs="Times New Roman"/>
          <w:bCs w:val="0"/>
          <w:color w:val="000000" w:themeColor="text1"/>
          <w:sz w:val="24"/>
          <w:szCs w:val="24"/>
        </w:rPr>
        <w:t>5.0 Conclusion and Recommendation</w:t>
      </w:r>
    </w:p>
    <w:p w:rsidR="007E5A5F" w:rsidRPr="00E246E2" w:rsidRDefault="00E87DC2" w:rsidP="00E246E2">
      <w:pPr>
        <w:pStyle w:val="Heading3"/>
        <w:jc w:val="both"/>
        <w:rPr>
          <w:sz w:val="24"/>
          <w:szCs w:val="24"/>
        </w:rPr>
      </w:pPr>
      <w:r w:rsidRPr="00E246E2">
        <w:rPr>
          <w:rStyle w:val="Strong"/>
          <w:b/>
          <w:bCs/>
          <w:sz w:val="24"/>
          <w:szCs w:val="24"/>
        </w:rPr>
        <w:t>5.1 Conclusion</w:t>
      </w:r>
    </w:p>
    <w:p w:rsidR="003F1630" w:rsidRPr="00E246E2" w:rsidRDefault="007E5A5F" w:rsidP="00E246E2">
      <w:pPr>
        <w:pStyle w:val="NormalWeb"/>
        <w:jc w:val="both"/>
      </w:pPr>
      <w:r w:rsidRPr="00E246E2">
        <w:t xml:space="preserve">Based on the findings, the study concludes that </w:t>
      </w:r>
      <w:r w:rsidRPr="00E246E2">
        <w:rPr>
          <w:rStyle w:val="Strong"/>
          <w:b w:val="0"/>
        </w:rPr>
        <w:t>carbon accounting plays a pivotal role in advancing corporate progress toward net-zero emissions</w:t>
      </w:r>
      <w:r w:rsidRPr="00E246E2">
        <w:t xml:space="preserve">, primarily through improved transparency, systematic monitoring, and strategic environmental management. It provides the necessary foundation for identifying emission hotspots, tracking progress, and reporting </w:t>
      </w:r>
      <w:r w:rsidRPr="00E246E2">
        <w:lastRenderedPageBreak/>
        <w:t>performance to stakeholders.</w:t>
      </w:r>
      <w:r w:rsidR="001742FA" w:rsidRPr="00E246E2">
        <w:t xml:space="preserve"> </w:t>
      </w:r>
      <w:r w:rsidRPr="00E246E2">
        <w:t xml:space="preserve">However, the research also concludes that </w:t>
      </w:r>
      <w:r w:rsidRPr="00E246E2">
        <w:rPr>
          <w:rStyle w:val="Strong"/>
          <w:b w:val="0"/>
        </w:rPr>
        <w:t>the mere adoption of carbon accounting frameworks does not automatically guarantee emission reduction or achievement of net-zero targets</w:t>
      </w:r>
      <w:r w:rsidRPr="00E246E2">
        <w:rPr>
          <w:b/>
        </w:rPr>
        <w:t xml:space="preserve">. </w:t>
      </w:r>
      <w:r w:rsidRPr="00E246E2">
        <w:t>The effectiveness of carbon accounting depends significantly on how well organizations operationalize the information generated from accounting processes</w:t>
      </w:r>
    </w:p>
    <w:p w:rsidR="001742FA" w:rsidRPr="00E246E2" w:rsidRDefault="003F1630" w:rsidP="00E246E2">
      <w:pPr>
        <w:pStyle w:val="NormalWeb"/>
        <w:jc w:val="both"/>
        <w:rPr>
          <w:rStyle w:val="Strong"/>
          <w:b w:val="0"/>
          <w:bCs w:val="0"/>
        </w:rPr>
      </w:pPr>
      <w:r w:rsidRPr="00E246E2">
        <w:rPr>
          <w:rStyle w:val="Strong"/>
          <w:b w:val="0"/>
          <w:bCs w:val="0"/>
        </w:rPr>
        <w:t>5.2</w:t>
      </w:r>
      <w:r w:rsidR="007E5A5F" w:rsidRPr="00E246E2">
        <w:rPr>
          <w:rStyle w:val="Strong"/>
        </w:rPr>
        <w:t xml:space="preserve"> Recommendations</w:t>
      </w:r>
    </w:p>
    <w:p w:rsidR="007E5A5F" w:rsidRPr="00E246E2" w:rsidRDefault="007E5A5F" w:rsidP="00E246E2">
      <w:pPr>
        <w:pStyle w:val="Heading3"/>
        <w:jc w:val="both"/>
        <w:rPr>
          <w:b w:val="0"/>
          <w:sz w:val="24"/>
          <w:szCs w:val="24"/>
        </w:rPr>
      </w:pPr>
      <w:r w:rsidRPr="00E246E2">
        <w:rPr>
          <w:b w:val="0"/>
          <w:sz w:val="24"/>
          <w:szCs w:val="24"/>
        </w:rPr>
        <w:t>In line with the findings and conclusions of the study, the follow</w:t>
      </w:r>
      <w:r w:rsidR="00F44782" w:rsidRPr="00E246E2">
        <w:rPr>
          <w:b w:val="0"/>
          <w:sz w:val="24"/>
          <w:szCs w:val="24"/>
        </w:rPr>
        <w:t>ing recommendations wer</w:t>
      </w:r>
      <w:r w:rsidR="001742FA" w:rsidRPr="00E246E2">
        <w:rPr>
          <w:b w:val="0"/>
          <w:sz w:val="24"/>
          <w:szCs w:val="24"/>
        </w:rPr>
        <w:t>e made</w:t>
      </w:r>
      <w:r w:rsidRPr="00E246E2">
        <w:rPr>
          <w:b w:val="0"/>
          <w:sz w:val="24"/>
          <w:szCs w:val="24"/>
        </w:rPr>
        <w:t xml:space="preserve"> to strengthen the role of carbon accounting in achieving corporate net-zero targets:</w:t>
      </w:r>
    </w:p>
    <w:p w:rsidR="00D64104" w:rsidRPr="00E246E2" w:rsidRDefault="00D64104" w:rsidP="00E246E2">
      <w:pPr>
        <w:pStyle w:val="NormalWeb"/>
        <w:jc w:val="both"/>
      </w:pPr>
      <w:r w:rsidRPr="00E246E2">
        <w:t>1.</w:t>
      </w:r>
      <w:r w:rsidRPr="00E246E2">
        <w:rPr>
          <w:b/>
        </w:rPr>
        <w:t xml:space="preserve"> </w:t>
      </w:r>
      <w:r w:rsidRPr="00E246E2">
        <w:t xml:space="preserve">Corporations should expand their carbon accounting practices to include </w:t>
      </w:r>
      <w:r w:rsidRPr="00E246E2">
        <w:rPr>
          <w:rStyle w:val="Strong"/>
          <w:b w:val="0"/>
        </w:rPr>
        <w:t>all three emission scopes</w:t>
      </w:r>
      <w:r w:rsidRPr="00E246E2">
        <w:t xml:space="preserve">. </w:t>
      </w:r>
    </w:p>
    <w:p w:rsidR="007E5A5F" w:rsidRPr="00E246E2" w:rsidRDefault="00D64104" w:rsidP="00E246E2">
      <w:pPr>
        <w:pStyle w:val="NormalWeb"/>
        <w:jc w:val="both"/>
      </w:pPr>
      <w:r w:rsidRPr="00E246E2">
        <w:t xml:space="preserve">2. </w:t>
      </w:r>
      <w:r w:rsidR="007E5A5F" w:rsidRPr="00E246E2">
        <w:t xml:space="preserve">Organizations should invest in regular training programs for sustainability officers, </w:t>
      </w:r>
    </w:p>
    <w:p w:rsidR="007E5A5F" w:rsidRPr="00E246E2" w:rsidRDefault="00C25834" w:rsidP="00E246E2">
      <w:pPr>
        <w:pStyle w:val="Heading3"/>
        <w:ind w:left="567" w:hanging="567"/>
        <w:jc w:val="both"/>
        <w:rPr>
          <w:sz w:val="24"/>
          <w:szCs w:val="24"/>
        </w:rPr>
      </w:pPr>
      <w:r w:rsidRPr="00E246E2">
        <w:rPr>
          <w:rStyle w:val="Strong"/>
          <w:b/>
          <w:bCs/>
          <w:sz w:val="24"/>
          <w:szCs w:val="24"/>
        </w:rPr>
        <w:t>5.3</w:t>
      </w:r>
      <w:r w:rsidR="007E5A5F" w:rsidRPr="00E246E2">
        <w:rPr>
          <w:rStyle w:val="Strong"/>
          <w:b/>
          <w:bCs/>
          <w:sz w:val="24"/>
          <w:szCs w:val="24"/>
        </w:rPr>
        <w:t xml:space="preserve"> Suggestions for Further Research</w:t>
      </w:r>
    </w:p>
    <w:p w:rsidR="007E5A5F" w:rsidRPr="00E246E2" w:rsidRDefault="0096753A" w:rsidP="00E246E2">
      <w:pPr>
        <w:pStyle w:val="NormalWeb"/>
        <w:jc w:val="both"/>
      </w:pPr>
      <w:r w:rsidRPr="00E246E2">
        <w:t xml:space="preserve">1. </w:t>
      </w:r>
      <w:r w:rsidR="007E5A5F" w:rsidRPr="00E246E2">
        <w:t>Longitudinal studies that track changes in emission performance over time following the adoption of carbon accounting systems.</w:t>
      </w:r>
    </w:p>
    <w:p w:rsidR="00254AD2" w:rsidRDefault="0096753A" w:rsidP="00E246E2">
      <w:pPr>
        <w:pStyle w:val="NormalWeb"/>
        <w:jc w:val="both"/>
      </w:pPr>
      <w:r w:rsidRPr="00E246E2">
        <w:t xml:space="preserve">2. </w:t>
      </w:r>
      <w:r w:rsidR="007E5A5F" w:rsidRPr="00E246E2">
        <w:t>Examination of the role of digital technologies, such as blockchain and artificial intelligence, in improving the accuracy and reliability of carbon accounting.</w:t>
      </w:r>
    </w:p>
    <w:p w:rsidR="009455EE" w:rsidRDefault="009455EE" w:rsidP="00E246E2">
      <w:pPr>
        <w:pStyle w:val="NormalWeb"/>
        <w:jc w:val="both"/>
      </w:pPr>
    </w:p>
    <w:p w:rsidR="00E40B72" w:rsidRPr="00046C34" w:rsidRDefault="00E40B72" w:rsidP="00E40B72">
      <w:pPr>
        <w:rPr>
          <w:rFonts w:ascii="Calibri" w:eastAsia="Calibri" w:hAnsi="Calibri" w:cs="Times New Roman"/>
          <w:kern w:val="2"/>
          <w:highlight w:val="yellow"/>
          <w:lang w:val="en-US"/>
        </w:rPr>
      </w:pPr>
      <w:bookmarkStart w:id="1" w:name="_Hlk211509776"/>
      <w:r w:rsidRPr="00046C34">
        <w:rPr>
          <w:rFonts w:ascii="Calibri" w:eastAsia="Calibri" w:hAnsi="Calibri" w:cs="Times New Roman"/>
          <w:kern w:val="2"/>
          <w:highlight w:val="yellow"/>
          <w:lang w:val="en-US"/>
        </w:rPr>
        <w:t>Disclaimer (Artificial intelligence)</w:t>
      </w:r>
    </w:p>
    <w:p w:rsidR="00E40B72" w:rsidRPr="00046C34" w:rsidRDefault="00E40B72" w:rsidP="00E40B72">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p w:rsidR="009455EE" w:rsidRPr="00E246E2" w:rsidRDefault="009455EE" w:rsidP="00E246E2">
      <w:pPr>
        <w:pStyle w:val="NormalWeb"/>
        <w:jc w:val="both"/>
      </w:pPr>
    </w:p>
    <w:p w:rsidR="006F4872" w:rsidRPr="00E246E2" w:rsidRDefault="00486E68" w:rsidP="009455EE">
      <w:pPr>
        <w:pStyle w:val="Heading3"/>
        <w:jc w:val="center"/>
      </w:pPr>
      <w:r w:rsidRPr="00E246E2">
        <w:t>Reference.</w:t>
      </w:r>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Ascui</w:t>
      </w:r>
      <w:proofErr w:type="spellEnd"/>
      <w:r w:rsidRPr="00502DC4">
        <w:rPr>
          <w:rFonts w:ascii="Times New Roman" w:eastAsia="Times New Roman" w:hAnsi="Times New Roman" w:cs="Times New Roman"/>
          <w:sz w:val="24"/>
          <w:szCs w:val="24"/>
          <w:lang w:eastAsia="en-GB"/>
        </w:rPr>
        <w:t xml:space="preserve">, F., &amp; Lovell, H. (2011). As frames collide: Making sense of carbon accounting. Accounting, Auditing &amp; Accountability Journal, 24(8), 978–999. </w:t>
      </w:r>
      <w:hyperlink r:id="rId9" w:history="1">
        <w:r w:rsidRPr="00DD10B1">
          <w:rPr>
            <w:rStyle w:val="Hyperlink"/>
            <w:rFonts w:ascii="Times New Roman" w:eastAsia="Times New Roman" w:hAnsi="Times New Roman" w:cs="Times New Roman"/>
            <w:sz w:val="24"/>
            <w:szCs w:val="24"/>
            <w:lang w:eastAsia="en-GB"/>
          </w:rPr>
          <w:t>https://doi.org/10.1108/09513571111184724</w:t>
        </w:r>
      </w:hyperlink>
    </w:p>
    <w:p w:rsidR="00D8141C" w:rsidRDefault="00D8141C" w:rsidP="00D8141C">
      <w:pPr>
        <w:spacing w:before="100" w:beforeAutospacing="1" w:after="0" w:line="240" w:lineRule="auto"/>
        <w:ind w:left="360"/>
        <w:jc w:val="both"/>
        <w:rPr>
          <w:rFonts w:ascii="Times New Roman" w:eastAsia="Times New Roman" w:hAnsi="Times New Roman" w:cs="Times New Roman"/>
          <w:color w:val="0563C1" w:themeColor="hyperlink"/>
          <w:sz w:val="24"/>
          <w:szCs w:val="24"/>
          <w:u w:val="single"/>
          <w:lang w:val="en-US" w:eastAsia="en-GB"/>
        </w:rPr>
      </w:pPr>
      <w:proofErr w:type="spellStart"/>
      <w:r w:rsidRPr="00BD41B2">
        <w:rPr>
          <w:rFonts w:ascii="Times New Roman" w:hAnsi="Times New Roman" w:cs="Times New Roman"/>
          <w:sz w:val="24"/>
          <w:szCs w:val="24"/>
        </w:rPr>
        <w:t>Badache</w:t>
      </w:r>
      <w:proofErr w:type="spellEnd"/>
      <w:r w:rsidRPr="00BD41B2">
        <w:rPr>
          <w:rFonts w:ascii="Times New Roman" w:hAnsi="Times New Roman" w:cs="Times New Roman"/>
          <w:sz w:val="24"/>
          <w:szCs w:val="24"/>
        </w:rPr>
        <w:t>, F., &amp; Kimber, L. R. (2023). Anchoring international organizations in organizational sociology. </w:t>
      </w:r>
      <w:r w:rsidRPr="00BD41B2">
        <w:rPr>
          <w:rFonts w:ascii="Times New Roman" w:hAnsi="Times New Roman" w:cs="Times New Roman"/>
          <w:i/>
          <w:iCs/>
          <w:sz w:val="24"/>
          <w:szCs w:val="24"/>
        </w:rPr>
        <w:t>Swiss Journal of Sociology</w:t>
      </w:r>
      <w:r w:rsidRPr="00BD41B2">
        <w:rPr>
          <w:rFonts w:ascii="Times New Roman" w:hAnsi="Times New Roman" w:cs="Times New Roman"/>
          <w:sz w:val="24"/>
          <w:szCs w:val="24"/>
        </w:rPr>
        <w:t>, </w:t>
      </w:r>
      <w:r w:rsidRPr="00BD41B2">
        <w:rPr>
          <w:rFonts w:ascii="Times New Roman" w:hAnsi="Times New Roman" w:cs="Times New Roman"/>
          <w:i/>
          <w:iCs/>
          <w:sz w:val="24"/>
          <w:szCs w:val="24"/>
        </w:rPr>
        <w:t>49</w:t>
      </w:r>
      <w:r w:rsidRPr="00BD41B2">
        <w:rPr>
          <w:rFonts w:ascii="Times New Roman" w:hAnsi="Times New Roman" w:cs="Times New Roman"/>
          <w:sz w:val="24"/>
          <w:szCs w:val="24"/>
        </w:rPr>
        <w:t>(1), 9-19.</w:t>
      </w:r>
      <w:r>
        <w:rPr>
          <w:rFonts w:ascii="Times New Roman" w:hAnsi="Times New Roman" w:cs="Times New Roman"/>
          <w:sz w:val="24"/>
          <w:szCs w:val="24"/>
        </w:rPr>
        <w:t xml:space="preserve"> </w:t>
      </w:r>
      <w:hyperlink r:id="rId10" w:history="1">
        <w:r w:rsidRPr="00117A78">
          <w:rPr>
            <w:rStyle w:val="Hyperlink"/>
            <w:rFonts w:ascii="Times New Roman" w:hAnsi="Times New Roman" w:cs="Times New Roman"/>
            <w:sz w:val="24"/>
            <w:szCs w:val="24"/>
          </w:rPr>
          <w:t>https://sciendo.com/2/v2/download/article/10.2478/sjs-2023-0002.pdf</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British Standards Institution. (2019). ISO 14064-1:2018: Greenhouse gases — Part 1: Specification with guidance at the organization level for quantification and reporting of greenhouse gas emissions and removals. BSI. </w:t>
      </w:r>
      <w:hyperlink r:id="rId11" w:history="1">
        <w:r w:rsidRPr="00DD10B1">
          <w:rPr>
            <w:rStyle w:val="Hyperlink"/>
            <w:rFonts w:ascii="Times New Roman" w:eastAsia="Times New Roman" w:hAnsi="Times New Roman" w:cs="Times New Roman"/>
            <w:sz w:val="24"/>
            <w:szCs w:val="24"/>
            <w:lang w:eastAsia="en-GB"/>
          </w:rPr>
          <w:t>https://www.iso.org/standard/66453.html</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Carbon Disclosure Project (CDP). (2023). CDP Climate Change and Water Report 2023.</w:t>
      </w:r>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lastRenderedPageBreak/>
        <w:t>Downie</w:t>
      </w:r>
      <w:proofErr w:type="spellEnd"/>
      <w:r w:rsidRPr="00502DC4">
        <w:rPr>
          <w:rFonts w:ascii="Times New Roman" w:eastAsia="Times New Roman" w:hAnsi="Times New Roman" w:cs="Times New Roman"/>
          <w:sz w:val="24"/>
          <w:szCs w:val="24"/>
          <w:lang w:eastAsia="en-GB"/>
        </w:rPr>
        <w:t xml:space="preserve">, J., &amp; Stubbs, W. (2013). Evaluation of Australian companies' scope 3 greenhouse gas emissions assessments. Journal of Cleaner Production, 56, 156–163. </w:t>
      </w:r>
      <w:hyperlink r:id="rId12" w:history="1">
        <w:r w:rsidRPr="00DD10B1">
          <w:rPr>
            <w:rStyle w:val="Hyperlink"/>
            <w:rFonts w:ascii="Times New Roman" w:eastAsia="Times New Roman" w:hAnsi="Times New Roman" w:cs="Times New Roman"/>
            <w:sz w:val="24"/>
            <w:szCs w:val="24"/>
            <w:lang w:eastAsia="en-GB"/>
          </w:rPr>
          <w:t>https://doi.org/10.1016/j.jclepro.2011.09.010</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t>Elom</w:t>
      </w:r>
      <w:proofErr w:type="spellEnd"/>
      <w:r w:rsidRPr="00502DC4">
        <w:rPr>
          <w:rFonts w:ascii="Times New Roman" w:eastAsia="Times New Roman" w:hAnsi="Times New Roman" w:cs="Times New Roman"/>
          <w:sz w:val="24"/>
          <w:szCs w:val="24"/>
          <w:lang w:val="en-US" w:eastAsia="en-GB"/>
        </w:rPr>
        <w:t xml:space="preserve">, J. O., Nworie, G. O., </w:t>
      </w:r>
      <w:proofErr w:type="spellStart"/>
      <w:r w:rsidRPr="00502DC4">
        <w:rPr>
          <w:rFonts w:ascii="Times New Roman" w:eastAsia="Times New Roman" w:hAnsi="Times New Roman" w:cs="Times New Roman"/>
          <w:sz w:val="24"/>
          <w:szCs w:val="24"/>
          <w:lang w:val="en-US" w:eastAsia="en-GB"/>
        </w:rPr>
        <w:t>Ugwu</w:t>
      </w:r>
      <w:proofErr w:type="spellEnd"/>
      <w:r w:rsidRPr="00502DC4">
        <w:rPr>
          <w:rFonts w:ascii="Times New Roman" w:eastAsia="Times New Roman" w:hAnsi="Times New Roman" w:cs="Times New Roman"/>
          <w:sz w:val="24"/>
          <w:szCs w:val="24"/>
          <w:lang w:val="en-US" w:eastAsia="en-GB"/>
        </w:rPr>
        <w:t xml:space="preserve">, J. O., </w:t>
      </w:r>
      <w:proofErr w:type="spellStart"/>
      <w:r w:rsidRPr="00502DC4">
        <w:rPr>
          <w:rFonts w:ascii="Times New Roman" w:eastAsia="Times New Roman" w:hAnsi="Times New Roman" w:cs="Times New Roman"/>
          <w:sz w:val="24"/>
          <w:szCs w:val="24"/>
          <w:lang w:val="en-US" w:eastAsia="en-GB"/>
        </w:rPr>
        <w:t>Nwogo</w:t>
      </w:r>
      <w:proofErr w:type="spellEnd"/>
      <w:r w:rsidRPr="00502DC4">
        <w:rPr>
          <w:rFonts w:ascii="Times New Roman" w:eastAsia="Times New Roman" w:hAnsi="Times New Roman" w:cs="Times New Roman"/>
          <w:sz w:val="24"/>
          <w:szCs w:val="24"/>
          <w:lang w:val="en-US" w:eastAsia="en-GB"/>
        </w:rPr>
        <w:t xml:space="preserve">, J. E., &amp; </w:t>
      </w:r>
      <w:proofErr w:type="spellStart"/>
      <w:r w:rsidRPr="00502DC4">
        <w:rPr>
          <w:rFonts w:ascii="Times New Roman" w:eastAsia="Times New Roman" w:hAnsi="Times New Roman" w:cs="Times New Roman"/>
          <w:sz w:val="24"/>
          <w:szCs w:val="24"/>
          <w:lang w:val="en-US" w:eastAsia="en-GB"/>
        </w:rPr>
        <w:t>Nwele</w:t>
      </w:r>
      <w:proofErr w:type="spellEnd"/>
      <w:r w:rsidRPr="00502DC4">
        <w:rPr>
          <w:rFonts w:ascii="Times New Roman" w:eastAsia="Times New Roman" w:hAnsi="Times New Roman" w:cs="Times New Roman"/>
          <w:sz w:val="24"/>
          <w:szCs w:val="24"/>
          <w:lang w:val="en-US" w:eastAsia="en-GB"/>
        </w:rPr>
        <w:t xml:space="preserve">, A. O. (2025). Carbon management disclosure and firm value in the Nigerian energy market. Journal of Current Social Issues Studies, 2(7), 355-369. </w:t>
      </w:r>
      <w:hyperlink r:id="rId13" w:history="1">
        <w:r w:rsidRPr="00DD10B1">
          <w:rPr>
            <w:rStyle w:val="Hyperlink"/>
            <w:rFonts w:ascii="Times New Roman" w:eastAsia="Times New Roman" w:hAnsi="Times New Roman" w:cs="Times New Roman"/>
            <w:sz w:val="24"/>
            <w:szCs w:val="24"/>
            <w:lang w:val="en-US" w:eastAsia="en-GB"/>
          </w:rPr>
          <w:t>https://doi.org/10.71113/jcsis.v2i7.333</w:t>
        </w:r>
      </w:hyperlink>
    </w:p>
    <w:p w:rsidR="00D8141C" w:rsidRDefault="00D8141C" w:rsidP="00D8141C">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Eze</w:t>
      </w:r>
      <w:proofErr w:type="spellEnd"/>
      <w:r w:rsidRPr="00502DC4">
        <w:rPr>
          <w:rFonts w:ascii="Times New Roman" w:eastAsia="Times New Roman" w:hAnsi="Times New Roman" w:cs="Times New Roman"/>
          <w:sz w:val="24"/>
          <w:szCs w:val="24"/>
          <w:lang w:eastAsia="en-GB"/>
        </w:rPr>
        <w:t xml:space="preserve">, C., &amp; </w:t>
      </w:r>
      <w:proofErr w:type="spellStart"/>
      <w:r w:rsidRPr="00502DC4">
        <w:rPr>
          <w:rFonts w:ascii="Times New Roman" w:eastAsia="Times New Roman" w:hAnsi="Times New Roman" w:cs="Times New Roman"/>
          <w:sz w:val="24"/>
          <w:szCs w:val="24"/>
          <w:lang w:eastAsia="en-GB"/>
        </w:rPr>
        <w:t>Uwuigbe</w:t>
      </w:r>
      <w:proofErr w:type="spellEnd"/>
      <w:r w:rsidRPr="00502DC4">
        <w:rPr>
          <w:rFonts w:ascii="Times New Roman" w:eastAsia="Times New Roman" w:hAnsi="Times New Roman" w:cs="Times New Roman"/>
          <w:sz w:val="24"/>
          <w:szCs w:val="24"/>
          <w:lang w:eastAsia="en-GB"/>
        </w:rPr>
        <w:t xml:space="preserve">, U. (2022). Carbon accounting and corporate sustainability performance of </w:t>
      </w:r>
      <w:r w:rsidRPr="00502DC4">
        <w:rPr>
          <w:rFonts w:ascii="Times New Roman" w:eastAsia="Times New Roman" w:hAnsi="Times New Roman" w:cs="Times New Roman"/>
          <w:sz w:val="24"/>
          <w:szCs w:val="24"/>
          <w:lang w:eastAsia="en-GB"/>
        </w:rPr>
        <w:tab/>
        <w:t xml:space="preserve">Nigerian firms. </w:t>
      </w:r>
      <w:r w:rsidRPr="00502DC4">
        <w:rPr>
          <w:rFonts w:ascii="Times New Roman" w:eastAsia="Times New Roman" w:hAnsi="Times New Roman" w:cs="Times New Roman"/>
          <w:i/>
          <w:iCs/>
          <w:sz w:val="24"/>
          <w:szCs w:val="24"/>
          <w:lang w:eastAsia="en-GB"/>
        </w:rPr>
        <w:t>Journal of Accounting and Taxation, 14</w:t>
      </w:r>
      <w:r w:rsidRPr="00502DC4">
        <w:rPr>
          <w:rFonts w:ascii="Times New Roman" w:eastAsia="Times New Roman" w:hAnsi="Times New Roman" w:cs="Times New Roman"/>
          <w:sz w:val="24"/>
          <w:szCs w:val="24"/>
          <w:lang w:eastAsia="en-GB"/>
        </w:rPr>
        <w:t>(2), 45–59.</w:t>
      </w:r>
    </w:p>
    <w:p w:rsidR="00D8141C" w:rsidRDefault="00D8141C" w:rsidP="00D8141C">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Herold, D. M., &amp; Lee, K. H. (2019). The influence of internal and external pressures on carbon management practices and disclosure strategies. Australasian Journal of Environmental Management, 26(1), 63-81. </w:t>
      </w:r>
      <w:hyperlink r:id="rId14" w:history="1">
        <w:r w:rsidRPr="00DD10B1">
          <w:rPr>
            <w:rStyle w:val="Hyperlink"/>
            <w:rFonts w:ascii="Times New Roman" w:eastAsia="Times New Roman" w:hAnsi="Times New Roman" w:cs="Times New Roman"/>
            <w:sz w:val="24"/>
            <w:szCs w:val="24"/>
            <w:lang w:eastAsia="en-GB"/>
          </w:rPr>
          <w:t>https://doi.org/10.1080/14486563.2018.1522604c</w:t>
        </w:r>
      </w:hyperlink>
    </w:p>
    <w:p w:rsidR="00D8141C" w:rsidRDefault="00D8141C" w:rsidP="00D8141C">
      <w:pPr>
        <w:spacing w:before="100" w:beforeAutospacing="1" w:after="0" w:line="240" w:lineRule="auto"/>
        <w:ind w:left="360"/>
        <w:jc w:val="both"/>
        <w:rPr>
          <w:rFonts w:ascii="Times New Roman" w:eastAsia="Times New Roman" w:hAnsi="Times New Roman" w:cs="Times New Roman"/>
          <w:color w:val="0563C1" w:themeColor="hyperlink"/>
          <w:sz w:val="24"/>
          <w:szCs w:val="24"/>
          <w:u w:val="single"/>
          <w:lang w:val="en-US" w:eastAsia="en-GB"/>
        </w:rPr>
      </w:pPr>
      <w:proofErr w:type="spellStart"/>
      <w:r w:rsidRPr="00BD41B2">
        <w:rPr>
          <w:rFonts w:ascii="Times New Roman" w:hAnsi="Times New Roman" w:cs="Times New Roman"/>
          <w:sz w:val="24"/>
          <w:szCs w:val="24"/>
        </w:rPr>
        <w:t>Igwebuike</w:t>
      </w:r>
      <w:proofErr w:type="spellEnd"/>
      <w:r w:rsidRPr="00BD41B2">
        <w:rPr>
          <w:rFonts w:ascii="Times New Roman" w:hAnsi="Times New Roman" w:cs="Times New Roman"/>
          <w:sz w:val="24"/>
          <w:szCs w:val="24"/>
        </w:rPr>
        <w:t>, C. C., &amp; Onyali, C. I. (2023). Capital structure and corporate environmental responsibility of industrial goods firms listed on Nigerian Exchange Group. </w:t>
      </w:r>
      <w:r w:rsidRPr="00BD41B2">
        <w:rPr>
          <w:rFonts w:ascii="Times New Roman" w:hAnsi="Times New Roman" w:cs="Times New Roman"/>
          <w:i/>
          <w:iCs/>
          <w:sz w:val="24"/>
          <w:szCs w:val="24"/>
        </w:rPr>
        <w:t>Journal of Global Accounting</w:t>
      </w:r>
      <w:r w:rsidRPr="00BD41B2">
        <w:rPr>
          <w:rFonts w:ascii="Times New Roman" w:hAnsi="Times New Roman" w:cs="Times New Roman"/>
          <w:sz w:val="24"/>
          <w:szCs w:val="24"/>
        </w:rPr>
        <w:t>, </w:t>
      </w:r>
      <w:r w:rsidRPr="00BD41B2">
        <w:rPr>
          <w:rFonts w:ascii="Times New Roman" w:hAnsi="Times New Roman" w:cs="Times New Roman"/>
          <w:i/>
          <w:iCs/>
          <w:sz w:val="24"/>
          <w:szCs w:val="24"/>
        </w:rPr>
        <w:t>9</w:t>
      </w:r>
      <w:r w:rsidRPr="00BD41B2">
        <w:rPr>
          <w:rFonts w:ascii="Times New Roman" w:hAnsi="Times New Roman" w:cs="Times New Roman"/>
          <w:sz w:val="24"/>
          <w:szCs w:val="24"/>
        </w:rPr>
        <w:t>(1), 248-285.</w:t>
      </w:r>
      <w:r>
        <w:rPr>
          <w:rFonts w:ascii="Times New Roman" w:hAnsi="Times New Roman" w:cs="Times New Roman"/>
          <w:sz w:val="24"/>
          <w:szCs w:val="24"/>
        </w:rPr>
        <w:t xml:space="preserve"> </w:t>
      </w:r>
      <w:hyperlink r:id="rId15" w:history="1">
        <w:r w:rsidRPr="00117A78">
          <w:rPr>
            <w:rStyle w:val="Hyperlink"/>
            <w:rFonts w:ascii="Times New Roman" w:hAnsi="Times New Roman" w:cs="Times New Roman"/>
            <w:sz w:val="24"/>
            <w:szCs w:val="24"/>
          </w:rPr>
          <w:t>https://www.researchgate.net/profile/Chinyere-Igwebuike/publication/374755091</w:t>
        </w:r>
      </w:hyperlink>
    </w:p>
    <w:p w:rsidR="00D8141C" w:rsidRPr="00502DC4" w:rsidRDefault="00D8141C" w:rsidP="00502DC4">
      <w:pPr>
        <w:spacing w:after="0" w:line="240" w:lineRule="auto"/>
        <w:ind w:left="360"/>
        <w:jc w:val="both"/>
        <w:rPr>
          <w:rFonts w:ascii="Times New Roman" w:eastAsia="Times New Roman" w:hAnsi="Times New Roman" w:cs="Times New Roman"/>
          <w:sz w:val="24"/>
          <w:szCs w:val="24"/>
          <w:lang w:eastAsia="en-GB"/>
        </w:rPr>
      </w:pPr>
      <w:r w:rsidRPr="00502DC4">
        <w:rPr>
          <w:rStyle w:val="Hyperlink"/>
          <w:rFonts w:ascii="Times New Roman" w:eastAsia="Times New Roman" w:hAnsi="Times New Roman" w:cs="Times New Roman"/>
          <w:color w:val="auto"/>
          <w:sz w:val="24"/>
          <w:szCs w:val="24"/>
          <w:lang w:eastAsia="en-GB"/>
        </w:rPr>
        <w:t xml:space="preserve">Israel, O.E.I, </w:t>
      </w:r>
      <w:proofErr w:type="spellStart"/>
      <w:r w:rsidRPr="00502DC4">
        <w:rPr>
          <w:rStyle w:val="Hyperlink"/>
          <w:rFonts w:ascii="Times New Roman" w:eastAsia="Times New Roman" w:hAnsi="Times New Roman" w:cs="Times New Roman"/>
          <w:color w:val="auto"/>
          <w:sz w:val="24"/>
          <w:szCs w:val="24"/>
          <w:lang w:eastAsia="en-GB"/>
        </w:rPr>
        <w:t>Anichebe</w:t>
      </w:r>
      <w:proofErr w:type="gramStart"/>
      <w:r w:rsidRPr="00502DC4">
        <w:rPr>
          <w:rStyle w:val="Hyperlink"/>
          <w:rFonts w:ascii="Times New Roman" w:eastAsia="Times New Roman" w:hAnsi="Times New Roman" w:cs="Times New Roman"/>
          <w:color w:val="auto"/>
          <w:sz w:val="24"/>
          <w:szCs w:val="24"/>
          <w:lang w:eastAsia="en-GB"/>
        </w:rPr>
        <w:t>,N.A</w:t>
      </w:r>
      <w:proofErr w:type="spellEnd"/>
      <w:proofErr w:type="gram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Ama,I.O</w:t>
      </w:r>
      <w:proofErr w:type="spell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Promise,N.E</w:t>
      </w:r>
      <w:proofErr w:type="spell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Ikwuo</w:t>
      </w:r>
      <w:proofErr w:type="spellEnd"/>
      <w:r w:rsidRPr="00502DC4">
        <w:rPr>
          <w:rStyle w:val="Hyperlink"/>
          <w:rFonts w:ascii="Times New Roman" w:eastAsia="Times New Roman" w:hAnsi="Times New Roman" w:cs="Times New Roman"/>
          <w:color w:val="auto"/>
          <w:sz w:val="24"/>
          <w:szCs w:val="24"/>
          <w:lang w:eastAsia="en-GB"/>
        </w:rPr>
        <w:t xml:space="preserve">, A.K, </w:t>
      </w:r>
      <w:proofErr w:type="spellStart"/>
      <w:r w:rsidRPr="00502DC4">
        <w:rPr>
          <w:rStyle w:val="Hyperlink"/>
          <w:rFonts w:ascii="Times New Roman" w:eastAsia="Times New Roman" w:hAnsi="Times New Roman" w:cs="Times New Roman"/>
          <w:color w:val="auto"/>
          <w:sz w:val="24"/>
          <w:szCs w:val="24"/>
          <w:lang w:eastAsia="en-GB"/>
        </w:rPr>
        <w:t>Aliu,K.A</w:t>
      </w:r>
      <w:proofErr w:type="spellEnd"/>
      <w:r w:rsidRPr="00502DC4">
        <w:rPr>
          <w:rStyle w:val="Hyperlink"/>
          <w:rFonts w:ascii="Times New Roman" w:eastAsia="Times New Roman" w:hAnsi="Times New Roman" w:cs="Times New Roman"/>
          <w:color w:val="auto"/>
          <w:sz w:val="24"/>
          <w:szCs w:val="24"/>
          <w:lang w:eastAsia="en-GB"/>
        </w:rPr>
        <w:t xml:space="preserve"> &amp; </w:t>
      </w:r>
      <w:proofErr w:type="spellStart"/>
      <w:r w:rsidRPr="00502DC4">
        <w:rPr>
          <w:rStyle w:val="Hyperlink"/>
          <w:rFonts w:ascii="Times New Roman" w:eastAsia="Times New Roman" w:hAnsi="Times New Roman" w:cs="Times New Roman"/>
          <w:color w:val="auto"/>
          <w:sz w:val="24"/>
          <w:szCs w:val="24"/>
          <w:lang w:eastAsia="en-GB"/>
        </w:rPr>
        <w:t>Nnam,H.I</w:t>
      </w:r>
      <w:proofErr w:type="spellEnd"/>
      <w:r w:rsidRPr="00502DC4">
        <w:rPr>
          <w:rStyle w:val="Hyperlink"/>
          <w:rFonts w:ascii="Times New Roman" w:eastAsia="Times New Roman" w:hAnsi="Times New Roman" w:cs="Times New Roman"/>
          <w:color w:val="auto"/>
          <w:sz w:val="24"/>
          <w:szCs w:val="24"/>
          <w:lang w:eastAsia="en-GB"/>
        </w:rPr>
        <w:t xml:space="preserve">. (2025). </w:t>
      </w:r>
      <w:r w:rsidRPr="00502DC4">
        <w:rPr>
          <w:rStyle w:val="Hyperlink"/>
          <w:rFonts w:ascii="Times New Roman" w:eastAsia="Times New Roman" w:hAnsi="Times New Roman" w:cs="Times New Roman"/>
          <w:sz w:val="24"/>
          <w:szCs w:val="24"/>
          <w:lang w:eastAsia="en-GB"/>
        </w:rPr>
        <w:t xml:space="preserve"> </w:t>
      </w:r>
      <w:r w:rsidRPr="00502DC4">
        <w:rPr>
          <w:rFonts w:ascii="Times New Roman" w:eastAsia="Times New Roman" w:hAnsi="Times New Roman" w:cs="Times New Roman"/>
          <w:sz w:val="24"/>
          <w:szCs w:val="24"/>
          <w:lang w:eastAsia="en-GB"/>
        </w:rPr>
        <w:t xml:space="preserve">Gambia’s growth and foreign capital inflows: A dual-gap approach. Journal of Xi’an </w:t>
      </w:r>
      <w:proofErr w:type="spellStart"/>
      <w:r w:rsidRPr="00502DC4">
        <w:rPr>
          <w:rFonts w:ascii="Times New Roman" w:eastAsia="Times New Roman" w:hAnsi="Times New Roman" w:cs="Times New Roman"/>
          <w:sz w:val="24"/>
          <w:szCs w:val="24"/>
          <w:lang w:eastAsia="en-GB"/>
        </w:rPr>
        <w:t>Shiyou</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Daxue</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Xuebao</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Ziran</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Kexue</w:t>
      </w:r>
      <w:proofErr w:type="spellEnd"/>
      <w:r w:rsidRPr="00502DC4">
        <w:rPr>
          <w:rFonts w:ascii="Times New Roman" w:eastAsia="Times New Roman" w:hAnsi="Times New Roman" w:cs="Times New Roman"/>
          <w:sz w:val="24"/>
          <w:szCs w:val="24"/>
          <w:lang w:eastAsia="en-GB"/>
        </w:rPr>
        <w:t xml:space="preserve"> Ban)/ Journal of </w:t>
      </w:r>
      <w:proofErr w:type="spellStart"/>
      <w:r w:rsidRPr="00502DC4">
        <w:rPr>
          <w:rFonts w:ascii="Times New Roman" w:eastAsia="Times New Roman" w:hAnsi="Times New Roman" w:cs="Times New Roman"/>
          <w:sz w:val="24"/>
          <w:szCs w:val="24"/>
          <w:lang w:eastAsia="en-GB"/>
        </w:rPr>
        <w:t>Shiyou</w:t>
      </w:r>
      <w:proofErr w:type="spellEnd"/>
      <w:r w:rsidRPr="00502DC4">
        <w:rPr>
          <w:rFonts w:ascii="Times New Roman" w:eastAsia="Times New Roman" w:hAnsi="Times New Roman" w:cs="Times New Roman"/>
          <w:sz w:val="24"/>
          <w:szCs w:val="24"/>
          <w:lang w:eastAsia="en-GB"/>
        </w:rPr>
        <w:t xml:space="preserve"> University, Natural Science Edition, 68(8), 120-136. </w:t>
      </w:r>
      <w:r w:rsidRPr="00502DC4">
        <w:rPr>
          <w:rFonts w:ascii="Times New Roman" w:eastAsia="Times New Roman" w:hAnsi="Times New Roman" w:cs="Times New Roman"/>
          <w:color w:val="0070C0"/>
          <w:sz w:val="24"/>
          <w:szCs w:val="24"/>
          <w:lang w:eastAsia="en-GB"/>
        </w:rPr>
        <w:t>DOI; 10.5281/zenodo.16900348</w:t>
      </w:r>
    </w:p>
    <w:p w:rsidR="00D8141C" w:rsidRPr="00502DC4"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Milne, M. J., &amp; </w:t>
      </w:r>
      <w:proofErr w:type="spellStart"/>
      <w:r w:rsidRPr="00502DC4">
        <w:rPr>
          <w:rFonts w:ascii="Times New Roman" w:eastAsia="Times New Roman" w:hAnsi="Times New Roman" w:cs="Times New Roman"/>
          <w:sz w:val="24"/>
          <w:szCs w:val="24"/>
          <w:lang w:eastAsia="en-GB"/>
        </w:rPr>
        <w:t>Grubnic</w:t>
      </w:r>
      <w:proofErr w:type="spellEnd"/>
      <w:r w:rsidRPr="00502DC4">
        <w:rPr>
          <w:rFonts w:ascii="Times New Roman" w:eastAsia="Times New Roman" w:hAnsi="Times New Roman" w:cs="Times New Roman"/>
          <w:sz w:val="24"/>
          <w:szCs w:val="24"/>
          <w:lang w:eastAsia="en-GB"/>
        </w:rPr>
        <w:t xml:space="preserve">, S. (2021). Climate change accounting research: Keeping it interesting and different. </w:t>
      </w:r>
      <w:r w:rsidRPr="00502DC4">
        <w:rPr>
          <w:rFonts w:ascii="Times New Roman" w:eastAsia="Times New Roman" w:hAnsi="Times New Roman" w:cs="Times New Roman"/>
          <w:i/>
          <w:iCs/>
          <w:sz w:val="24"/>
          <w:szCs w:val="24"/>
          <w:lang w:eastAsia="en-GB"/>
        </w:rPr>
        <w:t>Accounting, Auditing &amp; Accountability Journal, 34</w:t>
      </w:r>
      <w:r w:rsidRPr="00502DC4">
        <w:rPr>
          <w:rFonts w:ascii="Times New Roman" w:eastAsia="Times New Roman" w:hAnsi="Times New Roman" w:cs="Times New Roman"/>
          <w:sz w:val="24"/>
          <w:szCs w:val="24"/>
          <w:lang w:eastAsia="en-GB"/>
        </w:rPr>
        <w:t>(8), 1867–1894. https://doi.org/10.1108/AAAJ-07-2020-4629</w:t>
      </w:r>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t>Muomaife</w:t>
      </w:r>
      <w:proofErr w:type="spellEnd"/>
      <w:r w:rsidRPr="00502DC4">
        <w:rPr>
          <w:rFonts w:ascii="Times New Roman" w:eastAsia="Times New Roman" w:hAnsi="Times New Roman" w:cs="Times New Roman"/>
          <w:sz w:val="24"/>
          <w:szCs w:val="24"/>
          <w:lang w:val="en-US" w:eastAsia="en-GB"/>
        </w:rPr>
        <w:t xml:space="preserve">, C. D., </w:t>
      </w:r>
      <w:proofErr w:type="spellStart"/>
      <w:r w:rsidRPr="00502DC4">
        <w:rPr>
          <w:rFonts w:ascii="Times New Roman" w:eastAsia="Times New Roman" w:hAnsi="Times New Roman" w:cs="Times New Roman"/>
          <w:sz w:val="24"/>
          <w:szCs w:val="24"/>
          <w:lang w:val="en-US" w:eastAsia="en-GB"/>
        </w:rPr>
        <w:t>Muomaife</w:t>
      </w:r>
      <w:proofErr w:type="spellEnd"/>
      <w:r w:rsidRPr="00502DC4">
        <w:rPr>
          <w:rFonts w:ascii="Times New Roman" w:eastAsia="Times New Roman" w:hAnsi="Times New Roman" w:cs="Times New Roman"/>
          <w:sz w:val="24"/>
          <w:szCs w:val="24"/>
          <w:lang w:val="en-US" w:eastAsia="en-GB"/>
        </w:rPr>
        <w:t xml:space="preserve">, N. P., &amp; Nworie, G. O. (2025). Sustainability accounting practices in Nigeria: A case study of Anambra State Ministry of Environment. IIARD International Journal of Economics and Business Management. </w:t>
      </w:r>
      <w:hyperlink r:id="rId16" w:history="1">
        <w:r w:rsidRPr="00DD10B1">
          <w:rPr>
            <w:rStyle w:val="Hyperlink"/>
            <w:rFonts w:ascii="Times New Roman" w:eastAsia="Times New Roman" w:hAnsi="Times New Roman" w:cs="Times New Roman"/>
            <w:sz w:val="24"/>
            <w:szCs w:val="24"/>
            <w:lang w:val="en-US" w:eastAsia="en-GB"/>
          </w:rPr>
          <w:t>https://iiardjournals.org/abstract/sustainability-accounting-practices-in-nigeria-a-case-study-of-anambra-state-ministry-of-environment/</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r w:rsidRPr="00502DC4">
        <w:rPr>
          <w:rFonts w:ascii="Times New Roman" w:eastAsia="Times New Roman" w:hAnsi="Times New Roman" w:cs="Times New Roman"/>
          <w:sz w:val="24"/>
          <w:szCs w:val="24"/>
          <w:lang w:val="en-US" w:eastAsia="en-GB"/>
        </w:rPr>
        <w:t xml:space="preserve">Nworie, G. O., &amp; Orji-Okafor, T. G. (2024). Quadruple bottom line disclosure among listed manufacturing firms in Nigeria: A paradigm for cost savings. International Journal of Management, Accounting and Economics. </w:t>
      </w:r>
      <w:hyperlink r:id="rId17" w:history="1">
        <w:r w:rsidRPr="00DD10B1">
          <w:rPr>
            <w:rStyle w:val="Hyperlink"/>
            <w:rFonts w:ascii="Times New Roman" w:eastAsia="Times New Roman" w:hAnsi="Times New Roman" w:cs="Times New Roman"/>
            <w:sz w:val="24"/>
            <w:szCs w:val="24"/>
            <w:lang w:val="en-US" w:eastAsia="en-GB"/>
          </w:rPr>
          <w:t>https://doi.org/10.5281/zenodo.13910231</w:t>
        </w:r>
      </w:hyperlink>
    </w:p>
    <w:p w:rsidR="00D8141C" w:rsidRDefault="00D8141C" w:rsidP="00D8141C">
      <w:pPr>
        <w:spacing w:before="100" w:beforeAutospacing="1" w:after="0" w:line="240" w:lineRule="auto"/>
        <w:ind w:left="360"/>
        <w:jc w:val="both"/>
        <w:rPr>
          <w:rStyle w:val="Hyperlink"/>
          <w:rFonts w:ascii="Times New Roman" w:eastAsia="Times New Roman" w:hAnsi="Times New Roman" w:cs="Times New Roman"/>
          <w:sz w:val="24"/>
          <w:szCs w:val="24"/>
          <w:lang w:val="en-US" w:eastAsia="en-GB"/>
        </w:rPr>
      </w:pPr>
      <w:r w:rsidRPr="00502DC4">
        <w:rPr>
          <w:rFonts w:ascii="Times New Roman" w:eastAsia="Times New Roman" w:hAnsi="Times New Roman" w:cs="Times New Roman"/>
          <w:sz w:val="24"/>
          <w:szCs w:val="24"/>
          <w:lang w:val="en-US" w:eastAsia="en-GB"/>
        </w:rPr>
        <w:t xml:space="preserve">Nworie, G. O., Odah, U., &amp; Nworie, F. N. (2024). Managing the challenges of </w:t>
      </w:r>
      <w:proofErr w:type="spellStart"/>
      <w:r w:rsidRPr="00502DC4">
        <w:rPr>
          <w:rFonts w:ascii="Times New Roman" w:eastAsia="Times New Roman" w:hAnsi="Times New Roman" w:cs="Times New Roman"/>
          <w:sz w:val="24"/>
          <w:szCs w:val="24"/>
          <w:lang w:val="en-US" w:eastAsia="en-GB"/>
        </w:rPr>
        <w:t>digitisation</w:t>
      </w:r>
      <w:proofErr w:type="spellEnd"/>
      <w:r w:rsidRPr="00502DC4">
        <w:rPr>
          <w:rFonts w:ascii="Times New Roman" w:eastAsia="Times New Roman" w:hAnsi="Times New Roman" w:cs="Times New Roman"/>
          <w:sz w:val="24"/>
          <w:szCs w:val="24"/>
          <w:lang w:val="en-US" w:eastAsia="en-GB"/>
        </w:rPr>
        <w:t xml:space="preserve"> and a contemporary business issue at Coca-Cola. International Journal of Academic Accounting, Finance &amp; Management Research (IJAAFMR), 8(11), 129-133. </w:t>
      </w:r>
      <w:hyperlink r:id="rId18" w:history="1">
        <w:r w:rsidRPr="00DD10B1">
          <w:rPr>
            <w:rStyle w:val="Hyperlink"/>
            <w:rFonts w:ascii="Times New Roman" w:eastAsia="Times New Roman" w:hAnsi="Times New Roman" w:cs="Times New Roman"/>
            <w:sz w:val="24"/>
            <w:szCs w:val="24"/>
            <w:lang w:val="en-US" w:eastAsia="en-GB"/>
          </w:rPr>
          <w:t>http://ijeais.org/wp-content/uploads/2024/11/IJAAFMR241112.pdf</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r w:rsidRPr="00502DC4">
        <w:rPr>
          <w:rFonts w:ascii="Times New Roman" w:eastAsia="Times New Roman" w:hAnsi="Times New Roman" w:cs="Times New Roman"/>
          <w:sz w:val="24"/>
          <w:szCs w:val="24"/>
          <w:lang w:val="en-US" w:eastAsia="en-GB"/>
        </w:rPr>
        <w:t xml:space="preserve">Okafor, T. G., &amp; Nworie, G. O. (2025). Achieving Environmental Sustainability: The Contribution of Digital Automation Technologies of Industry 4.0 Used by Companies in Nigeria. Quantitative Economics and Management Studies </w:t>
      </w:r>
      <w:hyperlink r:id="rId19" w:history="1">
        <w:r w:rsidRPr="00DD10B1">
          <w:rPr>
            <w:rStyle w:val="Hyperlink"/>
            <w:rFonts w:ascii="Times New Roman" w:eastAsia="Times New Roman" w:hAnsi="Times New Roman" w:cs="Times New Roman"/>
            <w:sz w:val="24"/>
            <w:szCs w:val="24"/>
            <w:lang w:val="en-US" w:eastAsia="en-GB"/>
          </w:rPr>
          <w:t>https://doi.org/10.35877/454RI.qems4039</w:t>
        </w:r>
      </w:hyperlink>
    </w:p>
    <w:p w:rsidR="00D8141C" w:rsidRPr="00502DC4"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lastRenderedPageBreak/>
        <w:t xml:space="preserve">Saeed, A., &amp; Islam, M. A. (2022). Sustainability accounting and corporate governance: The path to net-zero. </w:t>
      </w:r>
      <w:r w:rsidRPr="00502DC4">
        <w:rPr>
          <w:rFonts w:ascii="Times New Roman" w:eastAsia="Times New Roman" w:hAnsi="Times New Roman" w:cs="Times New Roman"/>
          <w:i/>
          <w:iCs/>
          <w:sz w:val="24"/>
          <w:szCs w:val="24"/>
          <w:lang w:eastAsia="en-GB"/>
        </w:rPr>
        <w:t>Journal of Cleaner Production, 361</w:t>
      </w:r>
      <w:r w:rsidRPr="00502DC4">
        <w:rPr>
          <w:rFonts w:ascii="Times New Roman" w:eastAsia="Times New Roman" w:hAnsi="Times New Roman" w:cs="Times New Roman"/>
          <w:sz w:val="24"/>
          <w:szCs w:val="24"/>
          <w:lang w:eastAsia="en-GB"/>
        </w:rPr>
        <w:t>, 132238. https://doi.org/10.1016/j.jclepro.2022.132238</w:t>
      </w:r>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Schaltegger</w:t>
      </w:r>
      <w:proofErr w:type="spellEnd"/>
      <w:r w:rsidRPr="00502DC4">
        <w:rPr>
          <w:rFonts w:ascii="Times New Roman" w:eastAsia="Times New Roman" w:hAnsi="Times New Roman" w:cs="Times New Roman"/>
          <w:sz w:val="24"/>
          <w:szCs w:val="24"/>
          <w:lang w:eastAsia="en-GB"/>
        </w:rPr>
        <w:t xml:space="preserve">, S., &amp; </w:t>
      </w:r>
      <w:proofErr w:type="spellStart"/>
      <w:r w:rsidRPr="00502DC4">
        <w:rPr>
          <w:rFonts w:ascii="Times New Roman" w:eastAsia="Times New Roman" w:hAnsi="Times New Roman" w:cs="Times New Roman"/>
          <w:sz w:val="24"/>
          <w:szCs w:val="24"/>
          <w:lang w:eastAsia="en-GB"/>
        </w:rPr>
        <w:t>Csutora</w:t>
      </w:r>
      <w:proofErr w:type="spellEnd"/>
      <w:r w:rsidRPr="00502DC4">
        <w:rPr>
          <w:rFonts w:ascii="Times New Roman" w:eastAsia="Times New Roman" w:hAnsi="Times New Roman" w:cs="Times New Roman"/>
          <w:sz w:val="24"/>
          <w:szCs w:val="24"/>
          <w:lang w:eastAsia="en-GB"/>
        </w:rPr>
        <w:t xml:space="preserve">, M. (2012). Carbon accounting for sustainability and management: Status quo and challenges. Journal of Cleaner Production, 36(2), 1-16. </w:t>
      </w:r>
      <w:hyperlink r:id="rId20" w:history="1">
        <w:r w:rsidRPr="00DD10B1">
          <w:rPr>
            <w:rStyle w:val="Hyperlink"/>
            <w:rFonts w:ascii="Times New Roman" w:eastAsia="Times New Roman" w:hAnsi="Times New Roman" w:cs="Times New Roman"/>
            <w:sz w:val="24"/>
            <w:szCs w:val="24"/>
            <w:lang w:eastAsia="en-GB"/>
          </w:rPr>
          <w:t>https://doi.org/10.1016/j.jclepro.2012.06.024</w:t>
        </w:r>
      </w:hyperlink>
    </w:p>
    <w:p w:rsidR="00D8141C" w:rsidRPr="00D8141C" w:rsidRDefault="00D8141C" w:rsidP="00D8141C">
      <w:pPr>
        <w:spacing w:before="100" w:beforeAutospacing="1" w:after="0" w:line="240" w:lineRule="auto"/>
        <w:ind w:left="360"/>
        <w:jc w:val="both"/>
        <w:rPr>
          <w:rFonts w:ascii="Times New Roman" w:eastAsia="Times New Roman" w:hAnsi="Times New Roman" w:cs="Times New Roman"/>
          <w:color w:val="0563C1" w:themeColor="hyperlink"/>
          <w:sz w:val="24"/>
          <w:szCs w:val="24"/>
          <w:u w:val="single"/>
          <w:lang w:val="en-US" w:eastAsia="en-GB"/>
        </w:rPr>
      </w:pPr>
      <w:proofErr w:type="spellStart"/>
      <w:r w:rsidRPr="00BD41B2">
        <w:rPr>
          <w:rFonts w:ascii="Times New Roman" w:hAnsi="Times New Roman" w:cs="Times New Roman"/>
          <w:sz w:val="24"/>
          <w:szCs w:val="24"/>
        </w:rPr>
        <w:t>Topcheva</w:t>
      </w:r>
      <w:proofErr w:type="spellEnd"/>
      <w:r w:rsidRPr="00BD41B2">
        <w:rPr>
          <w:rFonts w:ascii="Times New Roman" w:hAnsi="Times New Roman" w:cs="Times New Roman"/>
          <w:sz w:val="24"/>
          <w:szCs w:val="24"/>
        </w:rPr>
        <w:t>, T. (2023). Direct and Indirect Carbon Emissions in a Production Facility. </w:t>
      </w:r>
      <w:r w:rsidRPr="00BD41B2">
        <w:rPr>
          <w:rFonts w:ascii="Times New Roman" w:hAnsi="Times New Roman" w:cs="Times New Roman"/>
          <w:i/>
          <w:iCs/>
          <w:sz w:val="24"/>
          <w:szCs w:val="24"/>
        </w:rPr>
        <w:t>KNOWLEDGE-International Journal</w:t>
      </w:r>
      <w:r w:rsidRPr="00BD41B2">
        <w:rPr>
          <w:rFonts w:ascii="Times New Roman" w:hAnsi="Times New Roman" w:cs="Times New Roman"/>
          <w:sz w:val="24"/>
          <w:szCs w:val="24"/>
        </w:rPr>
        <w:t>, </w:t>
      </w:r>
      <w:r w:rsidRPr="00BD41B2">
        <w:rPr>
          <w:rFonts w:ascii="Times New Roman" w:hAnsi="Times New Roman" w:cs="Times New Roman"/>
          <w:i/>
          <w:iCs/>
          <w:sz w:val="24"/>
          <w:szCs w:val="24"/>
        </w:rPr>
        <w:t>60</w:t>
      </w:r>
      <w:r w:rsidRPr="00BD41B2">
        <w:rPr>
          <w:rFonts w:ascii="Times New Roman" w:hAnsi="Times New Roman" w:cs="Times New Roman"/>
          <w:sz w:val="24"/>
          <w:szCs w:val="24"/>
        </w:rPr>
        <w:t>(3), 427-430.</w:t>
      </w:r>
      <w:r>
        <w:rPr>
          <w:rFonts w:ascii="Times New Roman" w:hAnsi="Times New Roman" w:cs="Times New Roman"/>
          <w:sz w:val="24"/>
          <w:szCs w:val="24"/>
        </w:rPr>
        <w:t xml:space="preserve"> </w:t>
      </w:r>
      <w:hyperlink r:id="rId21" w:history="1">
        <w:r w:rsidRPr="00117A78">
          <w:rPr>
            <w:rStyle w:val="Hyperlink"/>
            <w:rFonts w:ascii="Times New Roman" w:hAnsi="Times New Roman" w:cs="Times New Roman"/>
            <w:sz w:val="24"/>
            <w:szCs w:val="24"/>
          </w:rPr>
          <w:t>https://www.ceeol.com/search/article-detail?id=1265564</w:t>
        </w:r>
      </w:hyperlink>
    </w:p>
    <w:p w:rsidR="00D8141C" w:rsidRPr="00502DC4" w:rsidRDefault="00D8141C" w:rsidP="00502DC4">
      <w:pPr>
        <w:spacing w:before="100" w:beforeAutospacing="1" w:after="0" w:line="240" w:lineRule="auto"/>
        <w:ind w:left="360"/>
        <w:jc w:val="both"/>
        <w:rPr>
          <w:rFonts w:ascii="Times New Roman" w:eastAsia="Times New Roman" w:hAnsi="Times New Roman" w:cs="Times New Roman"/>
          <w:bCs/>
          <w:sz w:val="24"/>
          <w:szCs w:val="24"/>
          <w:lang w:val="fr-FR" w:eastAsia="en-GB"/>
        </w:rPr>
      </w:pPr>
      <w:proofErr w:type="spellStart"/>
      <w:r w:rsidRPr="00502DC4">
        <w:rPr>
          <w:rFonts w:ascii="Times New Roman" w:eastAsia="Times New Roman" w:hAnsi="Times New Roman" w:cs="Times New Roman"/>
          <w:bCs/>
          <w:sz w:val="24"/>
          <w:szCs w:val="24"/>
          <w:lang w:val="en-US" w:eastAsia="en-GB"/>
        </w:rPr>
        <w:t>Ukoh</w:t>
      </w:r>
      <w:proofErr w:type="spellEnd"/>
      <w:r w:rsidRPr="00502DC4">
        <w:rPr>
          <w:rFonts w:ascii="Times New Roman" w:eastAsia="Times New Roman" w:hAnsi="Times New Roman" w:cs="Times New Roman"/>
          <w:bCs/>
          <w:sz w:val="24"/>
          <w:szCs w:val="24"/>
          <w:lang w:val="en-US" w:eastAsia="en-GB"/>
        </w:rPr>
        <w:t xml:space="preserve">, U. M., </w:t>
      </w:r>
      <w:proofErr w:type="spellStart"/>
      <w:r w:rsidRPr="00502DC4">
        <w:rPr>
          <w:rFonts w:ascii="Times New Roman" w:eastAsia="Times New Roman" w:hAnsi="Times New Roman" w:cs="Times New Roman"/>
          <w:bCs/>
          <w:sz w:val="24"/>
          <w:szCs w:val="24"/>
          <w:lang w:val="en-US" w:eastAsia="en-GB"/>
        </w:rPr>
        <w:t>Nduokafor</w:t>
      </w:r>
      <w:proofErr w:type="spellEnd"/>
      <w:r w:rsidRPr="00502DC4">
        <w:rPr>
          <w:rFonts w:ascii="Times New Roman" w:eastAsia="Times New Roman" w:hAnsi="Times New Roman" w:cs="Times New Roman"/>
          <w:bCs/>
          <w:sz w:val="24"/>
          <w:szCs w:val="24"/>
          <w:lang w:val="en-US" w:eastAsia="en-GB"/>
        </w:rPr>
        <w:t xml:space="preserve">, C. O., &amp; Nworie, G. O. (2024). Sustainability Reporting among Oil and Gas Firms: A Strategic Tool for Enhanced Firm Value. International Journal of Economics and Financial Management, 9(2), 144-166. </w:t>
      </w:r>
      <w:hyperlink r:id="rId22" w:history="1">
        <w:r w:rsidRPr="00502DC4">
          <w:rPr>
            <w:rStyle w:val="Hyperlink"/>
            <w:rFonts w:ascii="Times New Roman" w:eastAsia="Times New Roman" w:hAnsi="Times New Roman" w:cs="Times New Roman"/>
            <w:bCs/>
            <w:sz w:val="24"/>
            <w:szCs w:val="24"/>
            <w:lang w:val="fr-FR" w:eastAsia="en-GB"/>
          </w:rPr>
          <w:t>https://doi.org/10.56201/ijefm.v9.no2.2024.pg144.166</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val="en-IN" w:eastAsia="en-GB"/>
        </w:rPr>
      </w:pPr>
      <w:r w:rsidRPr="00502DC4">
        <w:rPr>
          <w:rFonts w:ascii="Times New Roman" w:eastAsia="Times New Roman" w:hAnsi="Times New Roman" w:cs="Times New Roman"/>
          <w:sz w:val="24"/>
          <w:szCs w:val="24"/>
          <w:lang w:val="en-IN" w:eastAsia="en-GB"/>
        </w:rPr>
        <w:t xml:space="preserve">United Nations Environment Programme. (2023). Emissions Gap Report 2023: Broken Record – Temperatures hit new highs, yet world fails to cut emissions (again). </w:t>
      </w:r>
      <w:hyperlink r:id="rId23" w:history="1">
        <w:r w:rsidRPr="00DD10B1">
          <w:rPr>
            <w:rStyle w:val="Hyperlink"/>
            <w:rFonts w:ascii="Times New Roman" w:eastAsia="Times New Roman" w:hAnsi="Times New Roman" w:cs="Times New Roman"/>
            <w:sz w:val="24"/>
            <w:szCs w:val="24"/>
            <w:lang w:val="en-IN" w:eastAsia="en-GB"/>
          </w:rPr>
          <w:t>https://www.unep.org/resources/emissions-gap-report</w:t>
        </w:r>
      </w:hyperlink>
    </w:p>
    <w:p w:rsidR="00D8141C" w:rsidRDefault="00D8141C"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World Business Council for Sustainable Development (WBCSD) &amp; World Resources Institute (WRI). (2004). The Greenhouse Gas Protocol: A corporate accounting and reporting standard (revised edition). Geneva: WBCSD and WRI. </w:t>
      </w:r>
      <w:hyperlink r:id="rId24" w:history="1">
        <w:r w:rsidRPr="00DD10B1">
          <w:rPr>
            <w:rStyle w:val="Hyperlink"/>
            <w:rFonts w:ascii="Times New Roman" w:eastAsia="Times New Roman" w:hAnsi="Times New Roman" w:cs="Times New Roman"/>
            <w:sz w:val="24"/>
            <w:szCs w:val="24"/>
            <w:lang w:eastAsia="en-GB"/>
          </w:rPr>
          <w:t>https://ghgprotocol.org/corporate-standard</w:t>
        </w:r>
      </w:hyperlink>
    </w:p>
    <w:p w:rsidR="00502DC4" w:rsidRP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p>
    <w:sectPr w:rsidR="00502DC4" w:rsidRPr="00502DC4" w:rsidSect="008631B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97" w:rsidRDefault="00441897" w:rsidP="00AF5D5F">
      <w:pPr>
        <w:spacing w:after="0" w:line="240" w:lineRule="auto"/>
      </w:pPr>
      <w:r>
        <w:separator/>
      </w:r>
    </w:p>
  </w:endnote>
  <w:endnote w:type="continuationSeparator" w:id="0">
    <w:p w:rsidR="00441897" w:rsidRDefault="00441897" w:rsidP="00A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97" w:rsidRDefault="00441897" w:rsidP="00AF5D5F">
      <w:pPr>
        <w:spacing w:after="0" w:line="240" w:lineRule="auto"/>
      </w:pPr>
      <w:r>
        <w:separator/>
      </w:r>
    </w:p>
  </w:footnote>
  <w:footnote w:type="continuationSeparator" w:id="0">
    <w:p w:rsidR="00441897" w:rsidRDefault="00441897" w:rsidP="00AF5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44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7"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44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8"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44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6"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918"/>
    <w:multiLevelType w:val="multilevel"/>
    <w:tmpl w:val="2282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67166"/>
    <w:multiLevelType w:val="hybridMultilevel"/>
    <w:tmpl w:val="CFC8B6A6"/>
    <w:lvl w:ilvl="0" w:tplc="0D781F0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331BF"/>
    <w:multiLevelType w:val="multilevel"/>
    <w:tmpl w:val="4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1556F"/>
    <w:multiLevelType w:val="multilevel"/>
    <w:tmpl w:val="BA0E5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76687E"/>
    <w:multiLevelType w:val="hybridMultilevel"/>
    <w:tmpl w:val="CA8A9AAA"/>
    <w:lvl w:ilvl="0" w:tplc="2FEE32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B570D8"/>
    <w:multiLevelType w:val="multilevel"/>
    <w:tmpl w:val="B71A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297D32"/>
    <w:multiLevelType w:val="multilevel"/>
    <w:tmpl w:val="79C4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165BF8"/>
    <w:multiLevelType w:val="multilevel"/>
    <w:tmpl w:val="2B28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2E0FC7"/>
    <w:multiLevelType w:val="multilevel"/>
    <w:tmpl w:val="FC2E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BE0EFD"/>
    <w:multiLevelType w:val="multilevel"/>
    <w:tmpl w:val="59DA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B093F"/>
    <w:multiLevelType w:val="multilevel"/>
    <w:tmpl w:val="DFD6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457D1"/>
    <w:multiLevelType w:val="multilevel"/>
    <w:tmpl w:val="57D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C74B30"/>
    <w:multiLevelType w:val="hybridMultilevel"/>
    <w:tmpl w:val="850487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B107A1B"/>
    <w:multiLevelType w:val="multilevel"/>
    <w:tmpl w:val="47D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F722DB"/>
    <w:multiLevelType w:val="multilevel"/>
    <w:tmpl w:val="B28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7"/>
  </w:num>
  <w:num w:numId="6">
    <w:abstractNumId w:val="11"/>
  </w:num>
  <w:num w:numId="7">
    <w:abstractNumId w:val="14"/>
  </w:num>
  <w:num w:numId="8">
    <w:abstractNumId w:val="6"/>
  </w:num>
  <w:num w:numId="9">
    <w:abstractNumId w:val="8"/>
  </w:num>
  <w:num w:numId="10">
    <w:abstractNumId w:val="9"/>
  </w:num>
  <w:num w:numId="11">
    <w:abstractNumId w:val="5"/>
  </w:num>
  <w:num w:numId="12">
    <w:abstractNumId w:val="0"/>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3E"/>
    <w:rsid w:val="000123CB"/>
    <w:rsid w:val="00023205"/>
    <w:rsid w:val="00032B07"/>
    <w:rsid w:val="000512CD"/>
    <w:rsid w:val="00052C20"/>
    <w:rsid w:val="00087C44"/>
    <w:rsid w:val="00090CA2"/>
    <w:rsid w:val="00092E89"/>
    <w:rsid w:val="000946C9"/>
    <w:rsid w:val="000A3251"/>
    <w:rsid w:val="000B7422"/>
    <w:rsid w:val="000E275C"/>
    <w:rsid w:val="000E690D"/>
    <w:rsid w:val="000F2869"/>
    <w:rsid w:val="00100400"/>
    <w:rsid w:val="001175DC"/>
    <w:rsid w:val="001308BD"/>
    <w:rsid w:val="00133462"/>
    <w:rsid w:val="001742FA"/>
    <w:rsid w:val="0018273E"/>
    <w:rsid w:val="001A3290"/>
    <w:rsid w:val="001B204C"/>
    <w:rsid w:val="001C1D03"/>
    <w:rsid w:val="001D4520"/>
    <w:rsid w:val="001D7E6B"/>
    <w:rsid w:val="001E7394"/>
    <w:rsid w:val="001F5B3E"/>
    <w:rsid w:val="001F7381"/>
    <w:rsid w:val="0021709F"/>
    <w:rsid w:val="00221BCE"/>
    <w:rsid w:val="00233AED"/>
    <w:rsid w:val="00254AD2"/>
    <w:rsid w:val="0025746F"/>
    <w:rsid w:val="002649E8"/>
    <w:rsid w:val="002670B7"/>
    <w:rsid w:val="0028413B"/>
    <w:rsid w:val="00291F1F"/>
    <w:rsid w:val="0029595F"/>
    <w:rsid w:val="00296B06"/>
    <w:rsid w:val="002B713B"/>
    <w:rsid w:val="002F24DB"/>
    <w:rsid w:val="00302103"/>
    <w:rsid w:val="003129BB"/>
    <w:rsid w:val="00365B4D"/>
    <w:rsid w:val="0037484D"/>
    <w:rsid w:val="0038681C"/>
    <w:rsid w:val="003A1478"/>
    <w:rsid w:val="003A17ED"/>
    <w:rsid w:val="003B5E54"/>
    <w:rsid w:val="003D2137"/>
    <w:rsid w:val="003F1630"/>
    <w:rsid w:val="004013AB"/>
    <w:rsid w:val="00415F40"/>
    <w:rsid w:val="00431098"/>
    <w:rsid w:val="004406DB"/>
    <w:rsid w:val="00441897"/>
    <w:rsid w:val="00443B0B"/>
    <w:rsid w:val="004456BB"/>
    <w:rsid w:val="00455B91"/>
    <w:rsid w:val="00456314"/>
    <w:rsid w:val="004619F6"/>
    <w:rsid w:val="00486E68"/>
    <w:rsid w:val="00494F37"/>
    <w:rsid w:val="0049697E"/>
    <w:rsid w:val="004A334D"/>
    <w:rsid w:val="004A6C7E"/>
    <w:rsid w:val="004A73A5"/>
    <w:rsid w:val="004D7633"/>
    <w:rsid w:val="004E09FC"/>
    <w:rsid w:val="00502DC4"/>
    <w:rsid w:val="00503013"/>
    <w:rsid w:val="00503B3F"/>
    <w:rsid w:val="005152C5"/>
    <w:rsid w:val="0052271C"/>
    <w:rsid w:val="00526613"/>
    <w:rsid w:val="005368A3"/>
    <w:rsid w:val="00542D2B"/>
    <w:rsid w:val="00546215"/>
    <w:rsid w:val="005550FA"/>
    <w:rsid w:val="005555BE"/>
    <w:rsid w:val="005645E8"/>
    <w:rsid w:val="005665FA"/>
    <w:rsid w:val="0057144B"/>
    <w:rsid w:val="00575429"/>
    <w:rsid w:val="00593C04"/>
    <w:rsid w:val="005A69A2"/>
    <w:rsid w:val="005D2578"/>
    <w:rsid w:val="005F030B"/>
    <w:rsid w:val="005F5401"/>
    <w:rsid w:val="006172C8"/>
    <w:rsid w:val="00621971"/>
    <w:rsid w:val="00653D9A"/>
    <w:rsid w:val="0067331F"/>
    <w:rsid w:val="006A0E84"/>
    <w:rsid w:val="006A50A4"/>
    <w:rsid w:val="006A6591"/>
    <w:rsid w:val="006B1F9D"/>
    <w:rsid w:val="006B6120"/>
    <w:rsid w:val="006C427C"/>
    <w:rsid w:val="006C69DA"/>
    <w:rsid w:val="006D1BE1"/>
    <w:rsid w:val="006D4D6A"/>
    <w:rsid w:val="006D7F9B"/>
    <w:rsid w:val="006F2833"/>
    <w:rsid w:val="006F4872"/>
    <w:rsid w:val="00716691"/>
    <w:rsid w:val="007517E7"/>
    <w:rsid w:val="007608F2"/>
    <w:rsid w:val="00763254"/>
    <w:rsid w:val="00796C9F"/>
    <w:rsid w:val="007A1E40"/>
    <w:rsid w:val="007C11AC"/>
    <w:rsid w:val="007D2131"/>
    <w:rsid w:val="007E2397"/>
    <w:rsid w:val="007E32F8"/>
    <w:rsid w:val="007E5A5F"/>
    <w:rsid w:val="007E5FDA"/>
    <w:rsid w:val="007F0465"/>
    <w:rsid w:val="00805E3C"/>
    <w:rsid w:val="00831F40"/>
    <w:rsid w:val="00834C43"/>
    <w:rsid w:val="0084569E"/>
    <w:rsid w:val="00853547"/>
    <w:rsid w:val="0086121A"/>
    <w:rsid w:val="008631B5"/>
    <w:rsid w:val="00864025"/>
    <w:rsid w:val="00871D67"/>
    <w:rsid w:val="0087214D"/>
    <w:rsid w:val="00876F3C"/>
    <w:rsid w:val="00894B31"/>
    <w:rsid w:val="0089546C"/>
    <w:rsid w:val="00896414"/>
    <w:rsid w:val="008A75FD"/>
    <w:rsid w:val="008A7FCE"/>
    <w:rsid w:val="008B245E"/>
    <w:rsid w:val="008C54F4"/>
    <w:rsid w:val="008C6F04"/>
    <w:rsid w:val="008E6766"/>
    <w:rsid w:val="008F24C2"/>
    <w:rsid w:val="008F76E9"/>
    <w:rsid w:val="0090019D"/>
    <w:rsid w:val="00907000"/>
    <w:rsid w:val="00932335"/>
    <w:rsid w:val="00937C27"/>
    <w:rsid w:val="00942DA1"/>
    <w:rsid w:val="009455EE"/>
    <w:rsid w:val="0096434C"/>
    <w:rsid w:val="0096753A"/>
    <w:rsid w:val="00985A03"/>
    <w:rsid w:val="009A46FC"/>
    <w:rsid w:val="009A6812"/>
    <w:rsid w:val="009B0B26"/>
    <w:rsid w:val="009B1D60"/>
    <w:rsid w:val="009B7CE5"/>
    <w:rsid w:val="009D464F"/>
    <w:rsid w:val="009D47C4"/>
    <w:rsid w:val="009E1242"/>
    <w:rsid w:val="00A05679"/>
    <w:rsid w:val="00A13B92"/>
    <w:rsid w:val="00A150B5"/>
    <w:rsid w:val="00A42C03"/>
    <w:rsid w:val="00A441DE"/>
    <w:rsid w:val="00A47AC0"/>
    <w:rsid w:val="00A55A66"/>
    <w:rsid w:val="00A6420B"/>
    <w:rsid w:val="00A90077"/>
    <w:rsid w:val="00AA0975"/>
    <w:rsid w:val="00AB4545"/>
    <w:rsid w:val="00AB75FE"/>
    <w:rsid w:val="00AC69B2"/>
    <w:rsid w:val="00AD04A1"/>
    <w:rsid w:val="00AF00E7"/>
    <w:rsid w:val="00AF0399"/>
    <w:rsid w:val="00AF3973"/>
    <w:rsid w:val="00AF5D5F"/>
    <w:rsid w:val="00B022E1"/>
    <w:rsid w:val="00B075EB"/>
    <w:rsid w:val="00B1153D"/>
    <w:rsid w:val="00B20E56"/>
    <w:rsid w:val="00B24E09"/>
    <w:rsid w:val="00B32F57"/>
    <w:rsid w:val="00B5032A"/>
    <w:rsid w:val="00B5573F"/>
    <w:rsid w:val="00B55AA9"/>
    <w:rsid w:val="00B62187"/>
    <w:rsid w:val="00B80654"/>
    <w:rsid w:val="00B8122D"/>
    <w:rsid w:val="00B81279"/>
    <w:rsid w:val="00B97445"/>
    <w:rsid w:val="00B974AA"/>
    <w:rsid w:val="00BA18B7"/>
    <w:rsid w:val="00BA1EEB"/>
    <w:rsid w:val="00BA4855"/>
    <w:rsid w:val="00BB6982"/>
    <w:rsid w:val="00BC6234"/>
    <w:rsid w:val="00BE75B7"/>
    <w:rsid w:val="00BF0C1B"/>
    <w:rsid w:val="00BF0E48"/>
    <w:rsid w:val="00C05E73"/>
    <w:rsid w:val="00C0624D"/>
    <w:rsid w:val="00C065AB"/>
    <w:rsid w:val="00C25834"/>
    <w:rsid w:val="00C4635F"/>
    <w:rsid w:val="00C4644E"/>
    <w:rsid w:val="00C53800"/>
    <w:rsid w:val="00C57550"/>
    <w:rsid w:val="00C6020D"/>
    <w:rsid w:val="00C62F4A"/>
    <w:rsid w:val="00C6374A"/>
    <w:rsid w:val="00C71CF6"/>
    <w:rsid w:val="00CA2710"/>
    <w:rsid w:val="00CA5303"/>
    <w:rsid w:val="00CD34D3"/>
    <w:rsid w:val="00D105F2"/>
    <w:rsid w:val="00D14253"/>
    <w:rsid w:val="00D26EB1"/>
    <w:rsid w:val="00D3212C"/>
    <w:rsid w:val="00D35AAB"/>
    <w:rsid w:val="00D47D89"/>
    <w:rsid w:val="00D50C41"/>
    <w:rsid w:val="00D55F87"/>
    <w:rsid w:val="00D63F09"/>
    <w:rsid w:val="00D64104"/>
    <w:rsid w:val="00D65997"/>
    <w:rsid w:val="00D812E9"/>
    <w:rsid w:val="00D8141C"/>
    <w:rsid w:val="00D93AB0"/>
    <w:rsid w:val="00DB0BE8"/>
    <w:rsid w:val="00DB1853"/>
    <w:rsid w:val="00DB2F06"/>
    <w:rsid w:val="00DB7B62"/>
    <w:rsid w:val="00DF4218"/>
    <w:rsid w:val="00DF5805"/>
    <w:rsid w:val="00E01260"/>
    <w:rsid w:val="00E163CC"/>
    <w:rsid w:val="00E2322B"/>
    <w:rsid w:val="00E240CB"/>
    <w:rsid w:val="00E246E2"/>
    <w:rsid w:val="00E40B72"/>
    <w:rsid w:val="00E72C03"/>
    <w:rsid w:val="00E83970"/>
    <w:rsid w:val="00E83E68"/>
    <w:rsid w:val="00E87DC2"/>
    <w:rsid w:val="00EB1D3E"/>
    <w:rsid w:val="00EC5B6C"/>
    <w:rsid w:val="00ED46DB"/>
    <w:rsid w:val="00EE0269"/>
    <w:rsid w:val="00EE2839"/>
    <w:rsid w:val="00EF581C"/>
    <w:rsid w:val="00EF64CA"/>
    <w:rsid w:val="00F10655"/>
    <w:rsid w:val="00F14793"/>
    <w:rsid w:val="00F17425"/>
    <w:rsid w:val="00F3235B"/>
    <w:rsid w:val="00F44782"/>
    <w:rsid w:val="00F56EF5"/>
    <w:rsid w:val="00F6467B"/>
    <w:rsid w:val="00F7402C"/>
    <w:rsid w:val="00F75AB1"/>
    <w:rsid w:val="00F80A28"/>
    <w:rsid w:val="00F8110F"/>
    <w:rsid w:val="00F948A8"/>
    <w:rsid w:val="00FA02EE"/>
    <w:rsid w:val="00FA1CE2"/>
    <w:rsid w:val="00FA66A1"/>
    <w:rsid w:val="00FA6E62"/>
    <w:rsid w:val="00FB1E7B"/>
    <w:rsid w:val="00FB1F93"/>
    <w:rsid w:val="00FD6BBF"/>
    <w:rsid w:val="00FF4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A18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7E5A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E5A5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E5A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57"/>
    <w:pPr>
      <w:ind w:left="720"/>
      <w:contextualSpacing/>
    </w:pPr>
  </w:style>
  <w:style w:type="character" w:customStyle="1" w:styleId="Heading3Char">
    <w:name w:val="Heading 3 Char"/>
    <w:basedOn w:val="DefaultParagraphFont"/>
    <w:link w:val="Heading3"/>
    <w:uiPriority w:val="9"/>
    <w:rsid w:val="00BA18B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A18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18B7"/>
    <w:rPr>
      <w:b/>
      <w:bCs/>
    </w:rPr>
  </w:style>
  <w:style w:type="paragraph" w:styleId="z-TopofForm">
    <w:name w:val="HTML Top of Form"/>
    <w:basedOn w:val="Normal"/>
    <w:next w:val="Normal"/>
    <w:link w:val="z-TopofFormChar"/>
    <w:hidden/>
    <w:uiPriority w:val="99"/>
    <w:semiHidden/>
    <w:unhideWhenUsed/>
    <w:rsid w:val="00BA18B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A18B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A18B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A18B7"/>
    <w:rPr>
      <w:rFonts w:ascii="Arial" w:eastAsia="Times New Roman" w:hAnsi="Arial" w:cs="Arial"/>
      <w:vanish/>
      <w:sz w:val="16"/>
      <w:szCs w:val="16"/>
      <w:lang w:eastAsia="en-GB"/>
    </w:rPr>
  </w:style>
  <w:style w:type="character" w:styleId="Emphasis">
    <w:name w:val="Emphasis"/>
    <w:basedOn w:val="DefaultParagraphFont"/>
    <w:uiPriority w:val="20"/>
    <w:qFormat/>
    <w:rsid w:val="0037484D"/>
    <w:rPr>
      <w:i/>
      <w:iCs/>
    </w:rPr>
  </w:style>
  <w:style w:type="character" w:customStyle="1" w:styleId="katex-mathml">
    <w:name w:val="katex-mathml"/>
    <w:basedOn w:val="DefaultParagraphFont"/>
    <w:rsid w:val="00087C44"/>
  </w:style>
  <w:style w:type="character" w:customStyle="1" w:styleId="mord">
    <w:name w:val="mord"/>
    <w:basedOn w:val="DefaultParagraphFont"/>
    <w:rsid w:val="00087C44"/>
  </w:style>
  <w:style w:type="character" w:customStyle="1" w:styleId="mrel">
    <w:name w:val="mrel"/>
    <w:basedOn w:val="DefaultParagraphFont"/>
    <w:rsid w:val="00087C44"/>
  </w:style>
  <w:style w:type="character" w:customStyle="1" w:styleId="mopen">
    <w:name w:val="mopen"/>
    <w:basedOn w:val="DefaultParagraphFont"/>
    <w:rsid w:val="00087C44"/>
  </w:style>
  <w:style w:type="character" w:customStyle="1" w:styleId="mpunct">
    <w:name w:val="mpunct"/>
    <w:basedOn w:val="DefaultParagraphFont"/>
    <w:rsid w:val="00087C44"/>
  </w:style>
  <w:style w:type="character" w:customStyle="1" w:styleId="mclose">
    <w:name w:val="mclose"/>
    <w:basedOn w:val="DefaultParagraphFont"/>
    <w:rsid w:val="00087C44"/>
  </w:style>
  <w:style w:type="character" w:customStyle="1" w:styleId="vlist-s">
    <w:name w:val="vlist-s"/>
    <w:basedOn w:val="DefaultParagraphFont"/>
    <w:rsid w:val="00087C44"/>
  </w:style>
  <w:style w:type="character" w:customStyle="1" w:styleId="mbin">
    <w:name w:val="mbin"/>
    <w:basedOn w:val="DefaultParagraphFont"/>
    <w:rsid w:val="00087C44"/>
  </w:style>
  <w:style w:type="character" w:customStyle="1" w:styleId="Heading1Char">
    <w:name w:val="Heading 1 Char"/>
    <w:basedOn w:val="DefaultParagraphFont"/>
    <w:link w:val="Heading1"/>
    <w:uiPriority w:val="9"/>
    <w:rsid w:val="007E5A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5A5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E5A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E5A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E5A5F"/>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AF5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D5F"/>
  </w:style>
  <w:style w:type="paragraph" w:styleId="Footer">
    <w:name w:val="footer"/>
    <w:basedOn w:val="Normal"/>
    <w:link w:val="FooterChar"/>
    <w:uiPriority w:val="99"/>
    <w:unhideWhenUsed/>
    <w:rsid w:val="00AF5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D5F"/>
  </w:style>
  <w:style w:type="table" w:styleId="TableGrid">
    <w:name w:val="Table Grid"/>
    <w:basedOn w:val="TableNormal"/>
    <w:uiPriority w:val="39"/>
    <w:rsid w:val="0049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494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41DE"/>
    <w:rPr>
      <w:color w:val="0563C1" w:themeColor="hyperlink"/>
      <w:u w:val="single"/>
    </w:rPr>
  </w:style>
  <w:style w:type="character" w:customStyle="1" w:styleId="UnresolvedMention">
    <w:name w:val="Unresolved Mention"/>
    <w:basedOn w:val="DefaultParagraphFont"/>
    <w:uiPriority w:val="99"/>
    <w:semiHidden/>
    <w:unhideWhenUsed/>
    <w:rsid w:val="00502D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A18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7E5A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E5A5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E5A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57"/>
    <w:pPr>
      <w:ind w:left="720"/>
      <w:contextualSpacing/>
    </w:pPr>
  </w:style>
  <w:style w:type="character" w:customStyle="1" w:styleId="Heading3Char">
    <w:name w:val="Heading 3 Char"/>
    <w:basedOn w:val="DefaultParagraphFont"/>
    <w:link w:val="Heading3"/>
    <w:uiPriority w:val="9"/>
    <w:rsid w:val="00BA18B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A18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18B7"/>
    <w:rPr>
      <w:b/>
      <w:bCs/>
    </w:rPr>
  </w:style>
  <w:style w:type="paragraph" w:styleId="z-TopofForm">
    <w:name w:val="HTML Top of Form"/>
    <w:basedOn w:val="Normal"/>
    <w:next w:val="Normal"/>
    <w:link w:val="z-TopofFormChar"/>
    <w:hidden/>
    <w:uiPriority w:val="99"/>
    <w:semiHidden/>
    <w:unhideWhenUsed/>
    <w:rsid w:val="00BA18B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A18B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A18B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A18B7"/>
    <w:rPr>
      <w:rFonts w:ascii="Arial" w:eastAsia="Times New Roman" w:hAnsi="Arial" w:cs="Arial"/>
      <w:vanish/>
      <w:sz w:val="16"/>
      <w:szCs w:val="16"/>
      <w:lang w:eastAsia="en-GB"/>
    </w:rPr>
  </w:style>
  <w:style w:type="character" w:styleId="Emphasis">
    <w:name w:val="Emphasis"/>
    <w:basedOn w:val="DefaultParagraphFont"/>
    <w:uiPriority w:val="20"/>
    <w:qFormat/>
    <w:rsid w:val="0037484D"/>
    <w:rPr>
      <w:i/>
      <w:iCs/>
    </w:rPr>
  </w:style>
  <w:style w:type="character" w:customStyle="1" w:styleId="katex-mathml">
    <w:name w:val="katex-mathml"/>
    <w:basedOn w:val="DefaultParagraphFont"/>
    <w:rsid w:val="00087C44"/>
  </w:style>
  <w:style w:type="character" w:customStyle="1" w:styleId="mord">
    <w:name w:val="mord"/>
    <w:basedOn w:val="DefaultParagraphFont"/>
    <w:rsid w:val="00087C44"/>
  </w:style>
  <w:style w:type="character" w:customStyle="1" w:styleId="mrel">
    <w:name w:val="mrel"/>
    <w:basedOn w:val="DefaultParagraphFont"/>
    <w:rsid w:val="00087C44"/>
  </w:style>
  <w:style w:type="character" w:customStyle="1" w:styleId="mopen">
    <w:name w:val="mopen"/>
    <w:basedOn w:val="DefaultParagraphFont"/>
    <w:rsid w:val="00087C44"/>
  </w:style>
  <w:style w:type="character" w:customStyle="1" w:styleId="mpunct">
    <w:name w:val="mpunct"/>
    <w:basedOn w:val="DefaultParagraphFont"/>
    <w:rsid w:val="00087C44"/>
  </w:style>
  <w:style w:type="character" w:customStyle="1" w:styleId="mclose">
    <w:name w:val="mclose"/>
    <w:basedOn w:val="DefaultParagraphFont"/>
    <w:rsid w:val="00087C44"/>
  </w:style>
  <w:style w:type="character" w:customStyle="1" w:styleId="vlist-s">
    <w:name w:val="vlist-s"/>
    <w:basedOn w:val="DefaultParagraphFont"/>
    <w:rsid w:val="00087C44"/>
  </w:style>
  <w:style w:type="character" w:customStyle="1" w:styleId="mbin">
    <w:name w:val="mbin"/>
    <w:basedOn w:val="DefaultParagraphFont"/>
    <w:rsid w:val="00087C44"/>
  </w:style>
  <w:style w:type="character" w:customStyle="1" w:styleId="Heading1Char">
    <w:name w:val="Heading 1 Char"/>
    <w:basedOn w:val="DefaultParagraphFont"/>
    <w:link w:val="Heading1"/>
    <w:uiPriority w:val="9"/>
    <w:rsid w:val="007E5A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5A5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E5A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E5A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E5A5F"/>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AF5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D5F"/>
  </w:style>
  <w:style w:type="paragraph" w:styleId="Footer">
    <w:name w:val="footer"/>
    <w:basedOn w:val="Normal"/>
    <w:link w:val="FooterChar"/>
    <w:uiPriority w:val="99"/>
    <w:unhideWhenUsed/>
    <w:rsid w:val="00AF5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D5F"/>
  </w:style>
  <w:style w:type="table" w:styleId="TableGrid">
    <w:name w:val="Table Grid"/>
    <w:basedOn w:val="TableNormal"/>
    <w:uiPriority w:val="39"/>
    <w:rsid w:val="0049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494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41DE"/>
    <w:rPr>
      <w:color w:val="0563C1" w:themeColor="hyperlink"/>
      <w:u w:val="single"/>
    </w:rPr>
  </w:style>
  <w:style w:type="character" w:customStyle="1" w:styleId="UnresolvedMention">
    <w:name w:val="Unresolved Mention"/>
    <w:basedOn w:val="DefaultParagraphFont"/>
    <w:uiPriority w:val="99"/>
    <w:semiHidden/>
    <w:unhideWhenUsed/>
    <w:rsid w:val="0050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067007">
      <w:bodyDiv w:val="1"/>
      <w:marLeft w:val="0"/>
      <w:marRight w:val="0"/>
      <w:marTop w:val="0"/>
      <w:marBottom w:val="0"/>
      <w:divBdr>
        <w:top w:val="none" w:sz="0" w:space="0" w:color="auto"/>
        <w:left w:val="none" w:sz="0" w:space="0" w:color="auto"/>
        <w:bottom w:val="none" w:sz="0" w:space="0" w:color="auto"/>
        <w:right w:val="none" w:sz="0" w:space="0" w:color="auto"/>
      </w:divBdr>
    </w:div>
    <w:div w:id="665475287">
      <w:bodyDiv w:val="1"/>
      <w:marLeft w:val="0"/>
      <w:marRight w:val="0"/>
      <w:marTop w:val="0"/>
      <w:marBottom w:val="0"/>
      <w:divBdr>
        <w:top w:val="none" w:sz="0" w:space="0" w:color="auto"/>
        <w:left w:val="none" w:sz="0" w:space="0" w:color="auto"/>
        <w:bottom w:val="none" w:sz="0" w:space="0" w:color="auto"/>
        <w:right w:val="none" w:sz="0" w:space="0" w:color="auto"/>
      </w:divBdr>
    </w:div>
    <w:div w:id="1010835073">
      <w:bodyDiv w:val="1"/>
      <w:marLeft w:val="0"/>
      <w:marRight w:val="0"/>
      <w:marTop w:val="0"/>
      <w:marBottom w:val="0"/>
      <w:divBdr>
        <w:top w:val="none" w:sz="0" w:space="0" w:color="auto"/>
        <w:left w:val="none" w:sz="0" w:space="0" w:color="auto"/>
        <w:bottom w:val="none" w:sz="0" w:space="0" w:color="auto"/>
        <w:right w:val="none" w:sz="0" w:space="0" w:color="auto"/>
      </w:divBdr>
      <w:divsChild>
        <w:div w:id="1392079087">
          <w:marLeft w:val="0"/>
          <w:marRight w:val="0"/>
          <w:marTop w:val="0"/>
          <w:marBottom w:val="0"/>
          <w:divBdr>
            <w:top w:val="none" w:sz="0" w:space="0" w:color="auto"/>
            <w:left w:val="none" w:sz="0" w:space="0" w:color="auto"/>
            <w:bottom w:val="none" w:sz="0" w:space="0" w:color="auto"/>
            <w:right w:val="none" w:sz="0" w:space="0" w:color="auto"/>
          </w:divBdr>
          <w:divsChild>
            <w:div w:id="727411335">
              <w:marLeft w:val="0"/>
              <w:marRight w:val="0"/>
              <w:marTop w:val="0"/>
              <w:marBottom w:val="0"/>
              <w:divBdr>
                <w:top w:val="none" w:sz="0" w:space="0" w:color="auto"/>
                <w:left w:val="none" w:sz="0" w:space="0" w:color="auto"/>
                <w:bottom w:val="none" w:sz="0" w:space="0" w:color="auto"/>
                <w:right w:val="none" w:sz="0" w:space="0" w:color="auto"/>
              </w:divBdr>
              <w:divsChild>
                <w:div w:id="160973700">
                  <w:marLeft w:val="0"/>
                  <w:marRight w:val="0"/>
                  <w:marTop w:val="0"/>
                  <w:marBottom w:val="0"/>
                  <w:divBdr>
                    <w:top w:val="none" w:sz="0" w:space="0" w:color="auto"/>
                    <w:left w:val="none" w:sz="0" w:space="0" w:color="auto"/>
                    <w:bottom w:val="none" w:sz="0" w:space="0" w:color="auto"/>
                    <w:right w:val="none" w:sz="0" w:space="0" w:color="auto"/>
                  </w:divBdr>
                  <w:divsChild>
                    <w:div w:id="999964883">
                      <w:marLeft w:val="0"/>
                      <w:marRight w:val="0"/>
                      <w:marTop w:val="0"/>
                      <w:marBottom w:val="0"/>
                      <w:divBdr>
                        <w:top w:val="none" w:sz="0" w:space="0" w:color="auto"/>
                        <w:left w:val="none" w:sz="0" w:space="0" w:color="auto"/>
                        <w:bottom w:val="none" w:sz="0" w:space="0" w:color="auto"/>
                        <w:right w:val="none" w:sz="0" w:space="0" w:color="auto"/>
                      </w:divBdr>
                      <w:divsChild>
                        <w:div w:id="27532505">
                          <w:marLeft w:val="0"/>
                          <w:marRight w:val="0"/>
                          <w:marTop w:val="0"/>
                          <w:marBottom w:val="0"/>
                          <w:divBdr>
                            <w:top w:val="none" w:sz="0" w:space="0" w:color="auto"/>
                            <w:left w:val="none" w:sz="0" w:space="0" w:color="auto"/>
                            <w:bottom w:val="none" w:sz="0" w:space="0" w:color="auto"/>
                            <w:right w:val="none" w:sz="0" w:space="0" w:color="auto"/>
                          </w:divBdr>
                          <w:divsChild>
                            <w:div w:id="8078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00562">
      <w:bodyDiv w:val="1"/>
      <w:marLeft w:val="0"/>
      <w:marRight w:val="0"/>
      <w:marTop w:val="0"/>
      <w:marBottom w:val="0"/>
      <w:divBdr>
        <w:top w:val="none" w:sz="0" w:space="0" w:color="auto"/>
        <w:left w:val="none" w:sz="0" w:space="0" w:color="auto"/>
        <w:bottom w:val="none" w:sz="0" w:space="0" w:color="auto"/>
        <w:right w:val="none" w:sz="0" w:space="0" w:color="auto"/>
      </w:divBdr>
    </w:div>
    <w:div w:id="1179468384">
      <w:bodyDiv w:val="1"/>
      <w:marLeft w:val="0"/>
      <w:marRight w:val="0"/>
      <w:marTop w:val="0"/>
      <w:marBottom w:val="0"/>
      <w:divBdr>
        <w:top w:val="none" w:sz="0" w:space="0" w:color="auto"/>
        <w:left w:val="none" w:sz="0" w:space="0" w:color="auto"/>
        <w:bottom w:val="none" w:sz="0" w:space="0" w:color="auto"/>
        <w:right w:val="none" w:sz="0" w:space="0" w:color="auto"/>
      </w:divBdr>
      <w:divsChild>
        <w:div w:id="328019606">
          <w:marLeft w:val="0"/>
          <w:marRight w:val="0"/>
          <w:marTop w:val="0"/>
          <w:marBottom w:val="0"/>
          <w:divBdr>
            <w:top w:val="none" w:sz="0" w:space="0" w:color="auto"/>
            <w:left w:val="none" w:sz="0" w:space="0" w:color="auto"/>
            <w:bottom w:val="none" w:sz="0" w:space="0" w:color="auto"/>
            <w:right w:val="none" w:sz="0" w:space="0" w:color="auto"/>
          </w:divBdr>
          <w:divsChild>
            <w:div w:id="1213467492">
              <w:marLeft w:val="0"/>
              <w:marRight w:val="0"/>
              <w:marTop w:val="0"/>
              <w:marBottom w:val="0"/>
              <w:divBdr>
                <w:top w:val="none" w:sz="0" w:space="0" w:color="auto"/>
                <w:left w:val="none" w:sz="0" w:space="0" w:color="auto"/>
                <w:bottom w:val="none" w:sz="0" w:space="0" w:color="auto"/>
                <w:right w:val="none" w:sz="0" w:space="0" w:color="auto"/>
              </w:divBdr>
              <w:divsChild>
                <w:div w:id="2067338276">
                  <w:marLeft w:val="0"/>
                  <w:marRight w:val="0"/>
                  <w:marTop w:val="0"/>
                  <w:marBottom w:val="0"/>
                  <w:divBdr>
                    <w:top w:val="none" w:sz="0" w:space="0" w:color="auto"/>
                    <w:left w:val="none" w:sz="0" w:space="0" w:color="auto"/>
                    <w:bottom w:val="none" w:sz="0" w:space="0" w:color="auto"/>
                    <w:right w:val="none" w:sz="0" w:space="0" w:color="auto"/>
                  </w:divBdr>
                  <w:divsChild>
                    <w:div w:id="1617709308">
                      <w:marLeft w:val="0"/>
                      <w:marRight w:val="0"/>
                      <w:marTop w:val="0"/>
                      <w:marBottom w:val="0"/>
                      <w:divBdr>
                        <w:top w:val="none" w:sz="0" w:space="0" w:color="auto"/>
                        <w:left w:val="none" w:sz="0" w:space="0" w:color="auto"/>
                        <w:bottom w:val="none" w:sz="0" w:space="0" w:color="auto"/>
                        <w:right w:val="none" w:sz="0" w:space="0" w:color="auto"/>
                      </w:divBdr>
                      <w:divsChild>
                        <w:div w:id="1103382499">
                          <w:marLeft w:val="0"/>
                          <w:marRight w:val="0"/>
                          <w:marTop w:val="0"/>
                          <w:marBottom w:val="0"/>
                          <w:divBdr>
                            <w:top w:val="none" w:sz="0" w:space="0" w:color="auto"/>
                            <w:left w:val="none" w:sz="0" w:space="0" w:color="auto"/>
                            <w:bottom w:val="none" w:sz="0" w:space="0" w:color="auto"/>
                            <w:right w:val="none" w:sz="0" w:space="0" w:color="auto"/>
                          </w:divBdr>
                          <w:divsChild>
                            <w:div w:id="586034287">
                              <w:marLeft w:val="0"/>
                              <w:marRight w:val="0"/>
                              <w:marTop w:val="0"/>
                              <w:marBottom w:val="0"/>
                              <w:divBdr>
                                <w:top w:val="none" w:sz="0" w:space="0" w:color="auto"/>
                                <w:left w:val="none" w:sz="0" w:space="0" w:color="auto"/>
                                <w:bottom w:val="none" w:sz="0" w:space="0" w:color="auto"/>
                                <w:right w:val="none" w:sz="0" w:space="0" w:color="auto"/>
                              </w:divBdr>
                              <w:divsChild>
                                <w:div w:id="944339471">
                                  <w:marLeft w:val="0"/>
                                  <w:marRight w:val="0"/>
                                  <w:marTop w:val="0"/>
                                  <w:marBottom w:val="0"/>
                                  <w:divBdr>
                                    <w:top w:val="none" w:sz="0" w:space="0" w:color="auto"/>
                                    <w:left w:val="none" w:sz="0" w:space="0" w:color="auto"/>
                                    <w:bottom w:val="none" w:sz="0" w:space="0" w:color="auto"/>
                                    <w:right w:val="none" w:sz="0" w:space="0" w:color="auto"/>
                                  </w:divBdr>
                                  <w:divsChild>
                                    <w:div w:id="883324497">
                                      <w:marLeft w:val="0"/>
                                      <w:marRight w:val="0"/>
                                      <w:marTop w:val="0"/>
                                      <w:marBottom w:val="0"/>
                                      <w:divBdr>
                                        <w:top w:val="none" w:sz="0" w:space="0" w:color="auto"/>
                                        <w:left w:val="none" w:sz="0" w:space="0" w:color="auto"/>
                                        <w:bottom w:val="none" w:sz="0" w:space="0" w:color="auto"/>
                                        <w:right w:val="none" w:sz="0" w:space="0" w:color="auto"/>
                                      </w:divBdr>
                                    </w:div>
                                  </w:divsChild>
                                </w:div>
                                <w:div w:id="1990792688">
                                  <w:marLeft w:val="0"/>
                                  <w:marRight w:val="0"/>
                                  <w:marTop w:val="0"/>
                                  <w:marBottom w:val="0"/>
                                  <w:divBdr>
                                    <w:top w:val="none" w:sz="0" w:space="0" w:color="auto"/>
                                    <w:left w:val="none" w:sz="0" w:space="0" w:color="auto"/>
                                    <w:bottom w:val="none" w:sz="0" w:space="0" w:color="auto"/>
                                    <w:right w:val="none" w:sz="0" w:space="0" w:color="auto"/>
                                  </w:divBdr>
                                  <w:divsChild>
                                    <w:div w:id="1331830536">
                                      <w:marLeft w:val="0"/>
                                      <w:marRight w:val="0"/>
                                      <w:marTop w:val="0"/>
                                      <w:marBottom w:val="0"/>
                                      <w:divBdr>
                                        <w:top w:val="none" w:sz="0" w:space="0" w:color="auto"/>
                                        <w:left w:val="none" w:sz="0" w:space="0" w:color="auto"/>
                                        <w:bottom w:val="none" w:sz="0" w:space="0" w:color="auto"/>
                                        <w:right w:val="none" w:sz="0" w:space="0" w:color="auto"/>
                                      </w:divBdr>
                                    </w:div>
                                  </w:divsChild>
                                </w:div>
                                <w:div w:id="61679490">
                                  <w:marLeft w:val="0"/>
                                  <w:marRight w:val="0"/>
                                  <w:marTop w:val="0"/>
                                  <w:marBottom w:val="0"/>
                                  <w:divBdr>
                                    <w:top w:val="none" w:sz="0" w:space="0" w:color="auto"/>
                                    <w:left w:val="none" w:sz="0" w:space="0" w:color="auto"/>
                                    <w:bottom w:val="none" w:sz="0" w:space="0" w:color="auto"/>
                                    <w:right w:val="none" w:sz="0" w:space="0" w:color="auto"/>
                                  </w:divBdr>
                                  <w:divsChild>
                                    <w:div w:id="2108966123">
                                      <w:marLeft w:val="0"/>
                                      <w:marRight w:val="0"/>
                                      <w:marTop w:val="0"/>
                                      <w:marBottom w:val="0"/>
                                      <w:divBdr>
                                        <w:top w:val="none" w:sz="0" w:space="0" w:color="auto"/>
                                        <w:left w:val="none" w:sz="0" w:space="0" w:color="auto"/>
                                        <w:bottom w:val="none" w:sz="0" w:space="0" w:color="auto"/>
                                        <w:right w:val="none" w:sz="0" w:space="0" w:color="auto"/>
                                      </w:divBdr>
                                    </w:div>
                                  </w:divsChild>
                                </w:div>
                                <w:div w:id="1888175297">
                                  <w:marLeft w:val="0"/>
                                  <w:marRight w:val="0"/>
                                  <w:marTop w:val="0"/>
                                  <w:marBottom w:val="0"/>
                                  <w:divBdr>
                                    <w:top w:val="none" w:sz="0" w:space="0" w:color="auto"/>
                                    <w:left w:val="none" w:sz="0" w:space="0" w:color="auto"/>
                                    <w:bottom w:val="none" w:sz="0" w:space="0" w:color="auto"/>
                                    <w:right w:val="none" w:sz="0" w:space="0" w:color="auto"/>
                                  </w:divBdr>
                                  <w:divsChild>
                                    <w:div w:id="8578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4890">
          <w:marLeft w:val="0"/>
          <w:marRight w:val="0"/>
          <w:marTop w:val="0"/>
          <w:marBottom w:val="0"/>
          <w:divBdr>
            <w:top w:val="none" w:sz="0" w:space="0" w:color="auto"/>
            <w:left w:val="none" w:sz="0" w:space="0" w:color="auto"/>
            <w:bottom w:val="none" w:sz="0" w:space="0" w:color="auto"/>
            <w:right w:val="none" w:sz="0" w:space="0" w:color="auto"/>
          </w:divBdr>
          <w:divsChild>
            <w:div w:id="380522034">
              <w:marLeft w:val="0"/>
              <w:marRight w:val="0"/>
              <w:marTop w:val="0"/>
              <w:marBottom w:val="0"/>
              <w:divBdr>
                <w:top w:val="none" w:sz="0" w:space="0" w:color="auto"/>
                <w:left w:val="none" w:sz="0" w:space="0" w:color="auto"/>
                <w:bottom w:val="none" w:sz="0" w:space="0" w:color="auto"/>
                <w:right w:val="none" w:sz="0" w:space="0" w:color="auto"/>
              </w:divBdr>
              <w:divsChild>
                <w:div w:id="431513163">
                  <w:marLeft w:val="0"/>
                  <w:marRight w:val="0"/>
                  <w:marTop w:val="0"/>
                  <w:marBottom w:val="0"/>
                  <w:divBdr>
                    <w:top w:val="none" w:sz="0" w:space="0" w:color="auto"/>
                    <w:left w:val="none" w:sz="0" w:space="0" w:color="auto"/>
                    <w:bottom w:val="none" w:sz="0" w:space="0" w:color="auto"/>
                    <w:right w:val="none" w:sz="0" w:space="0" w:color="auto"/>
                  </w:divBdr>
                  <w:divsChild>
                    <w:div w:id="954169033">
                      <w:marLeft w:val="0"/>
                      <w:marRight w:val="0"/>
                      <w:marTop w:val="0"/>
                      <w:marBottom w:val="0"/>
                      <w:divBdr>
                        <w:top w:val="none" w:sz="0" w:space="0" w:color="auto"/>
                        <w:left w:val="none" w:sz="0" w:space="0" w:color="auto"/>
                        <w:bottom w:val="none" w:sz="0" w:space="0" w:color="auto"/>
                        <w:right w:val="none" w:sz="0" w:space="0" w:color="auto"/>
                      </w:divBdr>
                      <w:divsChild>
                        <w:div w:id="229928262">
                          <w:marLeft w:val="0"/>
                          <w:marRight w:val="0"/>
                          <w:marTop w:val="0"/>
                          <w:marBottom w:val="0"/>
                          <w:divBdr>
                            <w:top w:val="none" w:sz="0" w:space="0" w:color="auto"/>
                            <w:left w:val="none" w:sz="0" w:space="0" w:color="auto"/>
                            <w:bottom w:val="none" w:sz="0" w:space="0" w:color="auto"/>
                            <w:right w:val="none" w:sz="0" w:space="0" w:color="auto"/>
                          </w:divBdr>
                          <w:divsChild>
                            <w:div w:id="598490674">
                              <w:marLeft w:val="0"/>
                              <w:marRight w:val="0"/>
                              <w:marTop w:val="0"/>
                              <w:marBottom w:val="0"/>
                              <w:divBdr>
                                <w:top w:val="none" w:sz="0" w:space="0" w:color="auto"/>
                                <w:left w:val="none" w:sz="0" w:space="0" w:color="auto"/>
                                <w:bottom w:val="none" w:sz="0" w:space="0" w:color="auto"/>
                                <w:right w:val="none" w:sz="0" w:space="0" w:color="auto"/>
                              </w:divBdr>
                              <w:divsChild>
                                <w:div w:id="929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95194">
          <w:marLeft w:val="0"/>
          <w:marRight w:val="0"/>
          <w:marTop w:val="0"/>
          <w:marBottom w:val="0"/>
          <w:divBdr>
            <w:top w:val="none" w:sz="0" w:space="0" w:color="auto"/>
            <w:left w:val="none" w:sz="0" w:space="0" w:color="auto"/>
            <w:bottom w:val="none" w:sz="0" w:space="0" w:color="auto"/>
            <w:right w:val="none" w:sz="0" w:space="0" w:color="auto"/>
          </w:divBdr>
          <w:divsChild>
            <w:div w:id="1304889161">
              <w:marLeft w:val="0"/>
              <w:marRight w:val="0"/>
              <w:marTop w:val="0"/>
              <w:marBottom w:val="0"/>
              <w:divBdr>
                <w:top w:val="none" w:sz="0" w:space="0" w:color="auto"/>
                <w:left w:val="none" w:sz="0" w:space="0" w:color="auto"/>
                <w:bottom w:val="none" w:sz="0" w:space="0" w:color="auto"/>
                <w:right w:val="none" w:sz="0" w:space="0" w:color="auto"/>
              </w:divBdr>
              <w:divsChild>
                <w:div w:id="1145708541">
                  <w:marLeft w:val="0"/>
                  <w:marRight w:val="0"/>
                  <w:marTop w:val="0"/>
                  <w:marBottom w:val="0"/>
                  <w:divBdr>
                    <w:top w:val="none" w:sz="0" w:space="0" w:color="auto"/>
                    <w:left w:val="none" w:sz="0" w:space="0" w:color="auto"/>
                    <w:bottom w:val="none" w:sz="0" w:space="0" w:color="auto"/>
                    <w:right w:val="none" w:sz="0" w:space="0" w:color="auto"/>
                  </w:divBdr>
                  <w:divsChild>
                    <w:div w:id="1590502938">
                      <w:marLeft w:val="0"/>
                      <w:marRight w:val="0"/>
                      <w:marTop w:val="0"/>
                      <w:marBottom w:val="0"/>
                      <w:divBdr>
                        <w:top w:val="none" w:sz="0" w:space="0" w:color="auto"/>
                        <w:left w:val="none" w:sz="0" w:space="0" w:color="auto"/>
                        <w:bottom w:val="none" w:sz="0" w:space="0" w:color="auto"/>
                        <w:right w:val="none" w:sz="0" w:space="0" w:color="auto"/>
                      </w:divBdr>
                      <w:divsChild>
                        <w:div w:id="2104524344">
                          <w:marLeft w:val="0"/>
                          <w:marRight w:val="0"/>
                          <w:marTop w:val="0"/>
                          <w:marBottom w:val="0"/>
                          <w:divBdr>
                            <w:top w:val="none" w:sz="0" w:space="0" w:color="auto"/>
                            <w:left w:val="none" w:sz="0" w:space="0" w:color="auto"/>
                            <w:bottom w:val="none" w:sz="0" w:space="0" w:color="auto"/>
                            <w:right w:val="none" w:sz="0" w:space="0" w:color="auto"/>
                          </w:divBdr>
                          <w:divsChild>
                            <w:div w:id="1329602535">
                              <w:marLeft w:val="0"/>
                              <w:marRight w:val="0"/>
                              <w:marTop w:val="0"/>
                              <w:marBottom w:val="0"/>
                              <w:divBdr>
                                <w:top w:val="none" w:sz="0" w:space="0" w:color="auto"/>
                                <w:left w:val="none" w:sz="0" w:space="0" w:color="auto"/>
                                <w:bottom w:val="none" w:sz="0" w:space="0" w:color="auto"/>
                                <w:right w:val="none" w:sz="0" w:space="0" w:color="auto"/>
                              </w:divBdr>
                              <w:divsChild>
                                <w:div w:id="74876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551966">
      <w:bodyDiv w:val="1"/>
      <w:marLeft w:val="0"/>
      <w:marRight w:val="0"/>
      <w:marTop w:val="0"/>
      <w:marBottom w:val="0"/>
      <w:divBdr>
        <w:top w:val="none" w:sz="0" w:space="0" w:color="auto"/>
        <w:left w:val="none" w:sz="0" w:space="0" w:color="auto"/>
        <w:bottom w:val="none" w:sz="0" w:space="0" w:color="auto"/>
        <w:right w:val="none" w:sz="0" w:space="0" w:color="auto"/>
      </w:divBdr>
    </w:div>
    <w:div w:id="1448697009">
      <w:bodyDiv w:val="1"/>
      <w:marLeft w:val="0"/>
      <w:marRight w:val="0"/>
      <w:marTop w:val="0"/>
      <w:marBottom w:val="0"/>
      <w:divBdr>
        <w:top w:val="none" w:sz="0" w:space="0" w:color="auto"/>
        <w:left w:val="none" w:sz="0" w:space="0" w:color="auto"/>
        <w:bottom w:val="none" w:sz="0" w:space="0" w:color="auto"/>
        <w:right w:val="none" w:sz="0" w:space="0" w:color="auto"/>
      </w:divBdr>
      <w:divsChild>
        <w:div w:id="983966337">
          <w:marLeft w:val="0"/>
          <w:marRight w:val="0"/>
          <w:marTop w:val="0"/>
          <w:marBottom w:val="0"/>
          <w:divBdr>
            <w:top w:val="none" w:sz="0" w:space="0" w:color="auto"/>
            <w:left w:val="none" w:sz="0" w:space="0" w:color="auto"/>
            <w:bottom w:val="none" w:sz="0" w:space="0" w:color="auto"/>
            <w:right w:val="none" w:sz="0" w:space="0" w:color="auto"/>
          </w:divBdr>
          <w:divsChild>
            <w:div w:id="1734280374">
              <w:marLeft w:val="0"/>
              <w:marRight w:val="0"/>
              <w:marTop w:val="0"/>
              <w:marBottom w:val="0"/>
              <w:divBdr>
                <w:top w:val="none" w:sz="0" w:space="0" w:color="auto"/>
                <w:left w:val="none" w:sz="0" w:space="0" w:color="auto"/>
                <w:bottom w:val="none" w:sz="0" w:space="0" w:color="auto"/>
                <w:right w:val="none" w:sz="0" w:space="0" w:color="auto"/>
              </w:divBdr>
              <w:divsChild>
                <w:div w:id="568880719">
                  <w:marLeft w:val="0"/>
                  <w:marRight w:val="0"/>
                  <w:marTop w:val="0"/>
                  <w:marBottom w:val="0"/>
                  <w:divBdr>
                    <w:top w:val="none" w:sz="0" w:space="0" w:color="auto"/>
                    <w:left w:val="none" w:sz="0" w:space="0" w:color="auto"/>
                    <w:bottom w:val="none" w:sz="0" w:space="0" w:color="auto"/>
                    <w:right w:val="none" w:sz="0" w:space="0" w:color="auto"/>
                  </w:divBdr>
                  <w:divsChild>
                    <w:div w:id="1935434887">
                      <w:marLeft w:val="0"/>
                      <w:marRight w:val="0"/>
                      <w:marTop w:val="0"/>
                      <w:marBottom w:val="0"/>
                      <w:divBdr>
                        <w:top w:val="none" w:sz="0" w:space="0" w:color="auto"/>
                        <w:left w:val="none" w:sz="0" w:space="0" w:color="auto"/>
                        <w:bottom w:val="none" w:sz="0" w:space="0" w:color="auto"/>
                        <w:right w:val="none" w:sz="0" w:space="0" w:color="auto"/>
                      </w:divBdr>
                      <w:divsChild>
                        <w:div w:id="1440490712">
                          <w:marLeft w:val="0"/>
                          <w:marRight w:val="0"/>
                          <w:marTop w:val="0"/>
                          <w:marBottom w:val="0"/>
                          <w:divBdr>
                            <w:top w:val="none" w:sz="0" w:space="0" w:color="auto"/>
                            <w:left w:val="none" w:sz="0" w:space="0" w:color="auto"/>
                            <w:bottom w:val="none" w:sz="0" w:space="0" w:color="auto"/>
                            <w:right w:val="none" w:sz="0" w:space="0" w:color="auto"/>
                          </w:divBdr>
                          <w:divsChild>
                            <w:div w:id="1920559053">
                              <w:marLeft w:val="0"/>
                              <w:marRight w:val="0"/>
                              <w:marTop w:val="0"/>
                              <w:marBottom w:val="0"/>
                              <w:divBdr>
                                <w:top w:val="none" w:sz="0" w:space="0" w:color="auto"/>
                                <w:left w:val="none" w:sz="0" w:space="0" w:color="auto"/>
                                <w:bottom w:val="none" w:sz="0" w:space="0" w:color="auto"/>
                                <w:right w:val="none" w:sz="0" w:space="0" w:color="auto"/>
                              </w:divBdr>
                              <w:divsChild>
                                <w:div w:id="1121386852">
                                  <w:marLeft w:val="0"/>
                                  <w:marRight w:val="0"/>
                                  <w:marTop w:val="0"/>
                                  <w:marBottom w:val="0"/>
                                  <w:divBdr>
                                    <w:top w:val="none" w:sz="0" w:space="0" w:color="auto"/>
                                    <w:left w:val="none" w:sz="0" w:space="0" w:color="auto"/>
                                    <w:bottom w:val="none" w:sz="0" w:space="0" w:color="auto"/>
                                    <w:right w:val="none" w:sz="0" w:space="0" w:color="auto"/>
                                  </w:divBdr>
                                  <w:divsChild>
                                    <w:div w:id="139230922">
                                      <w:marLeft w:val="0"/>
                                      <w:marRight w:val="0"/>
                                      <w:marTop w:val="0"/>
                                      <w:marBottom w:val="0"/>
                                      <w:divBdr>
                                        <w:top w:val="none" w:sz="0" w:space="0" w:color="auto"/>
                                        <w:left w:val="none" w:sz="0" w:space="0" w:color="auto"/>
                                        <w:bottom w:val="none" w:sz="0" w:space="0" w:color="auto"/>
                                        <w:right w:val="none" w:sz="0" w:space="0" w:color="auto"/>
                                      </w:divBdr>
                                      <w:divsChild>
                                        <w:div w:id="1248032032">
                                          <w:marLeft w:val="0"/>
                                          <w:marRight w:val="0"/>
                                          <w:marTop w:val="0"/>
                                          <w:marBottom w:val="0"/>
                                          <w:divBdr>
                                            <w:top w:val="none" w:sz="0" w:space="0" w:color="auto"/>
                                            <w:left w:val="none" w:sz="0" w:space="0" w:color="auto"/>
                                            <w:bottom w:val="none" w:sz="0" w:space="0" w:color="auto"/>
                                            <w:right w:val="none" w:sz="0" w:space="0" w:color="auto"/>
                                          </w:divBdr>
                                          <w:divsChild>
                                            <w:div w:id="206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367532">
          <w:marLeft w:val="0"/>
          <w:marRight w:val="0"/>
          <w:marTop w:val="0"/>
          <w:marBottom w:val="0"/>
          <w:divBdr>
            <w:top w:val="none" w:sz="0" w:space="0" w:color="auto"/>
            <w:left w:val="none" w:sz="0" w:space="0" w:color="auto"/>
            <w:bottom w:val="none" w:sz="0" w:space="0" w:color="auto"/>
            <w:right w:val="none" w:sz="0" w:space="0" w:color="auto"/>
          </w:divBdr>
          <w:divsChild>
            <w:div w:id="1663854966">
              <w:marLeft w:val="0"/>
              <w:marRight w:val="0"/>
              <w:marTop w:val="0"/>
              <w:marBottom w:val="0"/>
              <w:divBdr>
                <w:top w:val="none" w:sz="0" w:space="0" w:color="auto"/>
                <w:left w:val="none" w:sz="0" w:space="0" w:color="auto"/>
                <w:bottom w:val="none" w:sz="0" w:space="0" w:color="auto"/>
                <w:right w:val="none" w:sz="0" w:space="0" w:color="auto"/>
              </w:divBdr>
              <w:divsChild>
                <w:div w:id="1042167607">
                  <w:marLeft w:val="0"/>
                  <w:marRight w:val="0"/>
                  <w:marTop w:val="0"/>
                  <w:marBottom w:val="0"/>
                  <w:divBdr>
                    <w:top w:val="none" w:sz="0" w:space="0" w:color="auto"/>
                    <w:left w:val="none" w:sz="0" w:space="0" w:color="auto"/>
                    <w:bottom w:val="none" w:sz="0" w:space="0" w:color="auto"/>
                    <w:right w:val="none" w:sz="0" w:space="0" w:color="auto"/>
                  </w:divBdr>
                  <w:divsChild>
                    <w:div w:id="848714717">
                      <w:marLeft w:val="0"/>
                      <w:marRight w:val="0"/>
                      <w:marTop w:val="0"/>
                      <w:marBottom w:val="0"/>
                      <w:divBdr>
                        <w:top w:val="none" w:sz="0" w:space="0" w:color="auto"/>
                        <w:left w:val="none" w:sz="0" w:space="0" w:color="auto"/>
                        <w:bottom w:val="none" w:sz="0" w:space="0" w:color="auto"/>
                        <w:right w:val="none" w:sz="0" w:space="0" w:color="auto"/>
                      </w:divBdr>
                      <w:divsChild>
                        <w:div w:id="1523591122">
                          <w:marLeft w:val="0"/>
                          <w:marRight w:val="0"/>
                          <w:marTop w:val="0"/>
                          <w:marBottom w:val="0"/>
                          <w:divBdr>
                            <w:top w:val="none" w:sz="0" w:space="0" w:color="auto"/>
                            <w:left w:val="none" w:sz="0" w:space="0" w:color="auto"/>
                            <w:bottom w:val="none" w:sz="0" w:space="0" w:color="auto"/>
                            <w:right w:val="none" w:sz="0" w:space="0" w:color="auto"/>
                          </w:divBdr>
                          <w:divsChild>
                            <w:div w:id="1327513280">
                              <w:marLeft w:val="0"/>
                              <w:marRight w:val="0"/>
                              <w:marTop w:val="0"/>
                              <w:marBottom w:val="0"/>
                              <w:divBdr>
                                <w:top w:val="none" w:sz="0" w:space="0" w:color="auto"/>
                                <w:left w:val="none" w:sz="0" w:space="0" w:color="auto"/>
                                <w:bottom w:val="none" w:sz="0" w:space="0" w:color="auto"/>
                                <w:right w:val="none" w:sz="0" w:space="0" w:color="auto"/>
                              </w:divBdr>
                              <w:divsChild>
                                <w:div w:id="959804683">
                                  <w:marLeft w:val="0"/>
                                  <w:marRight w:val="0"/>
                                  <w:marTop w:val="0"/>
                                  <w:marBottom w:val="0"/>
                                  <w:divBdr>
                                    <w:top w:val="none" w:sz="0" w:space="0" w:color="auto"/>
                                    <w:left w:val="none" w:sz="0" w:space="0" w:color="auto"/>
                                    <w:bottom w:val="none" w:sz="0" w:space="0" w:color="auto"/>
                                    <w:right w:val="none" w:sz="0" w:space="0" w:color="auto"/>
                                  </w:divBdr>
                                  <w:divsChild>
                                    <w:div w:id="1766613851">
                                      <w:marLeft w:val="0"/>
                                      <w:marRight w:val="0"/>
                                      <w:marTop w:val="0"/>
                                      <w:marBottom w:val="0"/>
                                      <w:divBdr>
                                        <w:top w:val="none" w:sz="0" w:space="0" w:color="auto"/>
                                        <w:left w:val="none" w:sz="0" w:space="0" w:color="auto"/>
                                        <w:bottom w:val="none" w:sz="0" w:space="0" w:color="auto"/>
                                        <w:right w:val="none" w:sz="0" w:space="0" w:color="auto"/>
                                      </w:divBdr>
                                      <w:divsChild>
                                        <w:div w:id="1123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290269">
      <w:bodyDiv w:val="1"/>
      <w:marLeft w:val="0"/>
      <w:marRight w:val="0"/>
      <w:marTop w:val="0"/>
      <w:marBottom w:val="0"/>
      <w:divBdr>
        <w:top w:val="none" w:sz="0" w:space="0" w:color="auto"/>
        <w:left w:val="none" w:sz="0" w:space="0" w:color="auto"/>
        <w:bottom w:val="none" w:sz="0" w:space="0" w:color="auto"/>
        <w:right w:val="none" w:sz="0" w:space="0" w:color="auto"/>
      </w:divBdr>
    </w:div>
    <w:div w:id="1771854008">
      <w:bodyDiv w:val="1"/>
      <w:marLeft w:val="0"/>
      <w:marRight w:val="0"/>
      <w:marTop w:val="0"/>
      <w:marBottom w:val="0"/>
      <w:divBdr>
        <w:top w:val="none" w:sz="0" w:space="0" w:color="auto"/>
        <w:left w:val="none" w:sz="0" w:space="0" w:color="auto"/>
        <w:bottom w:val="none" w:sz="0" w:space="0" w:color="auto"/>
        <w:right w:val="none" w:sz="0" w:space="0" w:color="auto"/>
      </w:divBdr>
    </w:div>
    <w:div w:id="1881546907">
      <w:bodyDiv w:val="1"/>
      <w:marLeft w:val="0"/>
      <w:marRight w:val="0"/>
      <w:marTop w:val="0"/>
      <w:marBottom w:val="0"/>
      <w:divBdr>
        <w:top w:val="none" w:sz="0" w:space="0" w:color="auto"/>
        <w:left w:val="none" w:sz="0" w:space="0" w:color="auto"/>
        <w:bottom w:val="none" w:sz="0" w:space="0" w:color="auto"/>
        <w:right w:val="none" w:sz="0" w:space="0" w:color="auto"/>
      </w:divBdr>
    </w:div>
    <w:div w:id="1946302873">
      <w:bodyDiv w:val="1"/>
      <w:marLeft w:val="0"/>
      <w:marRight w:val="0"/>
      <w:marTop w:val="0"/>
      <w:marBottom w:val="0"/>
      <w:divBdr>
        <w:top w:val="none" w:sz="0" w:space="0" w:color="auto"/>
        <w:left w:val="none" w:sz="0" w:space="0" w:color="auto"/>
        <w:bottom w:val="none" w:sz="0" w:space="0" w:color="auto"/>
        <w:right w:val="none" w:sz="0" w:space="0" w:color="auto"/>
      </w:divBdr>
      <w:divsChild>
        <w:div w:id="445002448">
          <w:marLeft w:val="0"/>
          <w:marRight w:val="0"/>
          <w:marTop w:val="0"/>
          <w:marBottom w:val="0"/>
          <w:divBdr>
            <w:top w:val="none" w:sz="0" w:space="0" w:color="auto"/>
            <w:left w:val="none" w:sz="0" w:space="0" w:color="auto"/>
            <w:bottom w:val="none" w:sz="0" w:space="0" w:color="auto"/>
            <w:right w:val="none" w:sz="0" w:space="0" w:color="auto"/>
          </w:divBdr>
          <w:divsChild>
            <w:div w:id="1408459617">
              <w:marLeft w:val="0"/>
              <w:marRight w:val="0"/>
              <w:marTop w:val="0"/>
              <w:marBottom w:val="0"/>
              <w:divBdr>
                <w:top w:val="none" w:sz="0" w:space="0" w:color="auto"/>
                <w:left w:val="none" w:sz="0" w:space="0" w:color="auto"/>
                <w:bottom w:val="none" w:sz="0" w:space="0" w:color="auto"/>
                <w:right w:val="none" w:sz="0" w:space="0" w:color="auto"/>
              </w:divBdr>
              <w:divsChild>
                <w:div w:id="316106655">
                  <w:marLeft w:val="0"/>
                  <w:marRight w:val="0"/>
                  <w:marTop w:val="0"/>
                  <w:marBottom w:val="0"/>
                  <w:divBdr>
                    <w:top w:val="none" w:sz="0" w:space="0" w:color="auto"/>
                    <w:left w:val="none" w:sz="0" w:space="0" w:color="auto"/>
                    <w:bottom w:val="none" w:sz="0" w:space="0" w:color="auto"/>
                    <w:right w:val="none" w:sz="0" w:space="0" w:color="auto"/>
                  </w:divBdr>
                  <w:divsChild>
                    <w:div w:id="1190335219">
                      <w:marLeft w:val="0"/>
                      <w:marRight w:val="0"/>
                      <w:marTop w:val="0"/>
                      <w:marBottom w:val="0"/>
                      <w:divBdr>
                        <w:top w:val="none" w:sz="0" w:space="0" w:color="auto"/>
                        <w:left w:val="none" w:sz="0" w:space="0" w:color="auto"/>
                        <w:bottom w:val="none" w:sz="0" w:space="0" w:color="auto"/>
                        <w:right w:val="none" w:sz="0" w:space="0" w:color="auto"/>
                      </w:divBdr>
                      <w:divsChild>
                        <w:div w:id="228082007">
                          <w:marLeft w:val="0"/>
                          <w:marRight w:val="0"/>
                          <w:marTop w:val="0"/>
                          <w:marBottom w:val="0"/>
                          <w:divBdr>
                            <w:top w:val="none" w:sz="0" w:space="0" w:color="auto"/>
                            <w:left w:val="none" w:sz="0" w:space="0" w:color="auto"/>
                            <w:bottom w:val="none" w:sz="0" w:space="0" w:color="auto"/>
                            <w:right w:val="none" w:sz="0" w:space="0" w:color="auto"/>
                          </w:divBdr>
                          <w:divsChild>
                            <w:div w:id="153300582">
                              <w:marLeft w:val="0"/>
                              <w:marRight w:val="0"/>
                              <w:marTop w:val="0"/>
                              <w:marBottom w:val="0"/>
                              <w:divBdr>
                                <w:top w:val="none" w:sz="0" w:space="0" w:color="auto"/>
                                <w:left w:val="none" w:sz="0" w:space="0" w:color="auto"/>
                                <w:bottom w:val="none" w:sz="0" w:space="0" w:color="auto"/>
                                <w:right w:val="none" w:sz="0" w:space="0" w:color="auto"/>
                              </w:divBdr>
                              <w:divsChild>
                                <w:div w:id="1727873179">
                                  <w:marLeft w:val="0"/>
                                  <w:marRight w:val="0"/>
                                  <w:marTop w:val="0"/>
                                  <w:marBottom w:val="0"/>
                                  <w:divBdr>
                                    <w:top w:val="none" w:sz="0" w:space="0" w:color="auto"/>
                                    <w:left w:val="none" w:sz="0" w:space="0" w:color="auto"/>
                                    <w:bottom w:val="none" w:sz="0" w:space="0" w:color="auto"/>
                                    <w:right w:val="none" w:sz="0" w:space="0" w:color="auto"/>
                                  </w:divBdr>
                                  <w:divsChild>
                                    <w:div w:id="214896063">
                                      <w:marLeft w:val="0"/>
                                      <w:marRight w:val="0"/>
                                      <w:marTop w:val="0"/>
                                      <w:marBottom w:val="0"/>
                                      <w:divBdr>
                                        <w:top w:val="none" w:sz="0" w:space="0" w:color="auto"/>
                                        <w:left w:val="none" w:sz="0" w:space="0" w:color="auto"/>
                                        <w:bottom w:val="none" w:sz="0" w:space="0" w:color="auto"/>
                                        <w:right w:val="none" w:sz="0" w:space="0" w:color="auto"/>
                                      </w:divBdr>
                                      <w:divsChild>
                                        <w:div w:id="1569417977">
                                          <w:marLeft w:val="0"/>
                                          <w:marRight w:val="0"/>
                                          <w:marTop w:val="0"/>
                                          <w:marBottom w:val="0"/>
                                          <w:divBdr>
                                            <w:top w:val="none" w:sz="0" w:space="0" w:color="auto"/>
                                            <w:left w:val="none" w:sz="0" w:space="0" w:color="auto"/>
                                            <w:bottom w:val="none" w:sz="0" w:space="0" w:color="auto"/>
                                            <w:right w:val="none" w:sz="0" w:space="0" w:color="auto"/>
                                          </w:divBdr>
                                          <w:divsChild>
                                            <w:div w:id="9148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8948">
          <w:marLeft w:val="0"/>
          <w:marRight w:val="0"/>
          <w:marTop w:val="0"/>
          <w:marBottom w:val="0"/>
          <w:divBdr>
            <w:top w:val="none" w:sz="0" w:space="0" w:color="auto"/>
            <w:left w:val="none" w:sz="0" w:space="0" w:color="auto"/>
            <w:bottom w:val="none" w:sz="0" w:space="0" w:color="auto"/>
            <w:right w:val="none" w:sz="0" w:space="0" w:color="auto"/>
          </w:divBdr>
          <w:divsChild>
            <w:div w:id="462356671">
              <w:marLeft w:val="0"/>
              <w:marRight w:val="0"/>
              <w:marTop w:val="0"/>
              <w:marBottom w:val="0"/>
              <w:divBdr>
                <w:top w:val="none" w:sz="0" w:space="0" w:color="auto"/>
                <w:left w:val="none" w:sz="0" w:space="0" w:color="auto"/>
                <w:bottom w:val="none" w:sz="0" w:space="0" w:color="auto"/>
                <w:right w:val="none" w:sz="0" w:space="0" w:color="auto"/>
              </w:divBdr>
              <w:divsChild>
                <w:div w:id="870730221">
                  <w:marLeft w:val="0"/>
                  <w:marRight w:val="0"/>
                  <w:marTop w:val="0"/>
                  <w:marBottom w:val="0"/>
                  <w:divBdr>
                    <w:top w:val="none" w:sz="0" w:space="0" w:color="auto"/>
                    <w:left w:val="none" w:sz="0" w:space="0" w:color="auto"/>
                    <w:bottom w:val="none" w:sz="0" w:space="0" w:color="auto"/>
                    <w:right w:val="none" w:sz="0" w:space="0" w:color="auto"/>
                  </w:divBdr>
                  <w:divsChild>
                    <w:div w:id="2114858212">
                      <w:marLeft w:val="0"/>
                      <w:marRight w:val="0"/>
                      <w:marTop w:val="0"/>
                      <w:marBottom w:val="0"/>
                      <w:divBdr>
                        <w:top w:val="none" w:sz="0" w:space="0" w:color="auto"/>
                        <w:left w:val="none" w:sz="0" w:space="0" w:color="auto"/>
                        <w:bottom w:val="none" w:sz="0" w:space="0" w:color="auto"/>
                        <w:right w:val="none" w:sz="0" w:space="0" w:color="auto"/>
                      </w:divBdr>
                      <w:divsChild>
                        <w:div w:id="1576013084">
                          <w:marLeft w:val="0"/>
                          <w:marRight w:val="0"/>
                          <w:marTop w:val="0"/>
                          <w:marBottom w:val="0"/>
                          <w:divBdr>
                            <w:top w:val="none" w:sz="0" w:space="0" w:color="auto"/>
                            <w:left w:val="none" w:sz="0" w:space="0" w:color="auto"/>
                            <w:bottom w:val="none" w:sz="0" w:space="0" w:color="auto"/>
                            <w:right w:val="none" w:sz="0" w:space="0" w:color="auto"/>
                          </w:divBdr>
                          <w:divsChild>
                            <w:div w:id="819151255">
                              <w:marLeft w:val="0"/>
                              <w:marRight w:val="0"/>
                              <w:marTop w:val="0"/>
                              <w:marBottom w:val="0"/>
                              <w:divBdr>
                                <w:top w:val="none" w:sz="0" w:space="0" w:color="auto"/>
                                <w:left w:val="none" w:sz="0" w:space="0" w:color="auto"/>
                                <w:bottom w:val="none" w:sz="0" w:space="0" w:color="auto"/>
                                <w:right w:val="none" w:sz="0" w:space="0" w:color="auto"/>
                              </w:divBdr>
                              <w:divsChild>
                                <w:div w:id="1702126053">
                                  <w:marLeft w:val="0"/>
                                  <w:marRight w:val="0"/>
                                  <w:marTop w:val="0"/>
                                  <w:marBottom w:val="0"/>
                                  <w:divBdr>
                                    <w:top w:val="none" w:sz="0" w:space="0" w:color="auto"/>
                                    <w:left w:val="none" w:sz="0" w:space="0" w:color="auto"/>
                                    <w:bottom w:val="none" w:sz="0" w:space="0" w:color="auto"/>
                                    <w:right w:val="none" w:sz="0" w:space="0" w:color="auto"/>
                                  </w:divBdr>
                                  <w:divsChild>
                                    <w:div w:id="4672570">
                                      <w:marLeft w:val="0"/>
                                      <w:marRight w:val="0"/>
                                      <w:marTop w:val="0"/>
                                      <w:marBottom w:val="0"/>
                                      <w:divBdr>
                                        <w:top w:val="none" w:sz="0" w:space="0" w:color="auto"/>
                                        <w:left w:val="none" w:sz="0" w:space="0" w:color="auto"/>
                                        <w:bottom w:val="none" w:sz="0" w:space="0" w:color="auto"/>
                                        <w:right w:val="none" w:sz="0" w:space="0" w:color="auto"/>
                                      </w:divBdr>
                                      <w:divsChild>
                                        <w:div w:id="18985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269686">
      <w:bodyDiv w:val="1"/>
      <w:marLeft w:val="0"/>
      <w:marRight w:val="0"/>
      <w:marTop w:val="0"/>
      <w:marBottom w:val="0"/>
      <w:divBdr>
        <w:top w:val="none" w:sz="0" w:space="0" w:color="auto"/>
        <w:left w:val="none" w:sz="0" w:space="0" w:color="auto"/>
        <w:bottom w:val="none" w:sz="0" w:space="0" w:color="auto"/>
        <w:right w:val="none" w:sz="0" w:space="0" w:color="auto"/>
      </w:divBdr>
    </w:div>
    <w:div w:id="19888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1113/jcsis.v2i7.333" TargetMode="External"/><Relationship Id="rId18" Type="http://schemas.openxmlformats.org/officeDocument/2006/relationships/hyperlink" Target="http://ijeais.org/wp-content/uploads/2024/11/IJAAFMR241112.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eeol.com/search/article-detail?id=1265564" TargetMode="External"/><Relationship Id="rId7" Type="http://schemas.openxmlformats.org/officeDocument/2006/relationships/footnotes" Target="footnotes.xml"/><Relationship Id="rId12" Type="http://schemas.openxmlformats.org/officeDocument/2006/relationships/hyperlink" Target="https://doi.org/10.1016/j.jclepro.2011.09.010" TargetMode="External"/><Relationship Id="rId17" Type="http://schemas.openxmlformats.org/officeDocument/2006/relationships/hyperlink" Target="https://doi.org/10.5281/zenodo.13910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iardjournals.org/abstract/sustainability-accounting-practices-in-nigeria-a-case-study-of-anambra-state-ministry-of-environment/" TargetMode="External"/><Relationship Id="rId20" Type="http://schemas.openxmlformats.org/officeDocument/2006/relationships/hyperlink" Target="https://doi.org/10.1016/j.jclepro.2012.06.02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o.org/standard/66453.html" TargetMode="External"/><Relationship Id="rId24" Type="http://schemas.openxmlformats.org/officeDocument/2006/relationships/hyperlink" Target="https://ghgprotocol.org/corporate-standar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rofile/Chinyere-Igwebuike/publication/374755091" TargetMode="External"/><Relationship Id="rId23" Type="http://schemas.openxmlformats.org/officeDocument/2006/relationships/hyperlink" Target="https://www.unep.org/resources/emissions-gap-report" TargetMode="External"/><Relationship Id="rId28" Type="http://schemas.openxmlformats.org/officeDocument/2006/relationships/footer" Target="footer2.xml"/><Relationship Id="rId10" Type="http://schemas.openxmlformats.org/officeDocument/2006/relationships/hyperlink" Target="https://sciendo.com/2/v2/download/article/10.2478/sjs-2023-0002.pdf" TargetMode="External"/><Relationship Id="rId19" Type="http://schemas.openxmlformats.org/officeDocument/2006/relationships/hyperlink" Target="https://doi.org/10.35877/454RI.qems4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108/09513571111184724" TargetMode="External"/><Relationship Id="rId14" Type="http://schemas.openxmlformats.org/officeDocument/2006/relationships/hyperlink" Target="https://doi.org/10.1080/14486563.2018.1522604c" TargetMode="External"/><Relationship Id="rId22" Type="http://schemas.openxmlformats.org/officeDocument/2006/relationships/hyperlink" Target="https://doi.org/10.56201/ijefm.v9.no2.2024.pg144.16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07E4-533E-402A-9E3F-3E496EB7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26</cp:revision>
  <dcterms:created xsi:type="dcterms:W3CDTF">2025-12-12T22:01:00Z</dcterms:created>
  <dcterms:modified xsi:type="dcterms:W3CDTF">2026-01-01T07:40:00Z</dcterms:modified>
</cp:coreProperties>
</file>