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8571" w14:textId="77777777" w:rsidR="00754C9A" w:rsidRDefault="00754C9A" w:rsidP="00441B6F">
      <w:pPr>
        <w:pStyle w:val="Title"/>
        <w:spacing w:after="0"/>
        <w:jc w:val="both"/>
        <w:rPr>
          <w:rFonts w:ascii="Arial" w:hAnsi="Arial" w:cs="Arial"/>
        </w:rPr>
      </w:pPr>
    </w:p>
    <w:p w14:paraId="47BB09A1" w14:textId="42A2C8DF" w:rsidR="00163BC4" w:rsidRPr="00163BC4" w:rsidRDefault="00DE5DB9" w:rsidP="00441B6F">
      <w:pPr>
        <w:pStyle w:val="Author"/>
        <w:spacing w:line="240" w:lineRule="auto"/>
        <w:rPr>
          <w:rFonts w:ascii="Arial" w:hAnsi="Arial" w:cs="Arial"/>
          <w:bCs/>
          <w:iCs/>
          <w:kern w:val="28"/>
          <w:sz w:val="36"/>
        </w:rPr>
      </w:pPr>
      <w:r w:rsidRPr="00DE5DB9">
        <w:rPr>
          <w:rFonts w:ascii="Arial" w:hAnsi="Arial" w:cs="Arial"/>
          <w:bCs/>
          <w:iCs/>
          <w:kern w:val="28"/>
          <w:sz w:val="36"/>
        </w:rPr>
        <w:t>Economic Policy Uncertainty, Geopolitical Risk, CEO Power, and Stock Price Crash Risk: Evidence from Indonesia</w:t>
      </w:r>
    </w:p>
    <w:p w14:paraId="6D6D4D90" w14:textId="77777777" w:rsidR="00A258C3" w:rsidRPr="00790ADA" w:rsidRDefault="00A258C3" w:rsidP="00441B6F">
      <w:pPr>
        <w:pStyle w:val="Author"/>
        <w:spacing w:line="240" w:lineRule="auto"/>
        <w:jc w:val="both"/>
        <w:rPr>
          <w:rFonts w:ascii="Arial" w:hAnsi="Arial" w:cs="Arial"/>
          <w:sz w:val="36"/>
        </w:rPr>
      </w:pPr>
    </w:p>
    <w:p w14:paraId="3255114E" w14:textId="7BBDAFEB" w:rsidR="00B01FCD" w:rsidRPr="00FB3A86" w:rsidRDefault="00694FC4" w:rsidP="00441B6F">
      <w:pPr>
        <w:pStyle w:val="Copyright"/>
        <w:spacing w:after="0" w:line="240" w:lineRule="auto"/>
        <w:jc w:val="both"/>
        <w:rPr>
          <w:rFonts w:ascii="Arial" w:hAnsi="Arial" w:cs="Arial"/>
        </w:rPr>
        <w:sectPr w:rsidR="00B01FCD" w:rsidRPr="00FB3A86" w:rsidSect="009B70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70D0AC" wp14:editId="0C217CCE">
                <wp:extent cx="5303520" cy="635"/>
                <wp:effectExtent l="13335" t="17145" r="17145" b="11430"/>
                <wp:docPr id="2485010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55994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85AF3D" w14:textId="7BBE2C7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A058B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5D1139A" w14:textId="77777777" w:rsidTr="001E44FE">
        <w:tc>
          <w:tcPr>
            <w:tcW w:w="9576" w:type="dxa"/>
            <w:shd w:val="clear" w:color="auto" w:fill="F2F2F2"/>
          </w:tcPr>
          <w:p w14:paraId="2D8D95E3" w14:textId="46BAFB7D" w:rsidR="00694FC4" w:rsidRPr="00DE5DB9" w:rsidRDefault="00BA1B01" w:rsidP="00694FC4">
            <w:pPr>
              <w:pStyle w:val="Body"/>
              <w:spacing w:after="0"/>
              <w:rPr>
                <w:rFonts w:ascii="Arial" w:eastAsia="Calibri" w:hAnsi="Arial" w:cs="Arial"/>
                <w:b/>
                <w:szCs w:val="22"/>
              </w:rPr>
            </w:pPr>
            <w:r w:rsidRPr="00BA1B01">
              <w:rPr>
                <w:rFonts w:ascii="Arial" w:eastAsia="Calibri" w:hAnsi="Arial" w:cs="Arial"/>
                <w:b/>
                <w:szCs w:val="22"/>
              </w:rPr>
              <w:t>Aims:</w:t>
            </w:r>
            <w:r w:rsidR="00DE5DB9">
              <w:rPr>
                <w:rFonts w:ascii="Arial" w:eastAsia="Calibri" w:hAnsi="Arial" w:cs="Arial"/>
                <w:b/>
                <w:szCs w:val="22"/>
              </w:rPr>
              <w:t xml:space="preserve"> </w:t>
            </w:r>
            <w:r w:rsidR="00DE5DB9" w:rsidRPr="00DE5DB9">
              <w:rPr>
                <w:rFonts w:ascii="Arial" w:eastAsia="Calibri" w:hAnsi="Arial" w:cs="Arial"/>
                <w:szCs w:val="22"/>
              </w:rPr>
              <w:t>This study examines whether economic policy uncertainty, geopolitical risk, and CEO power are associated with stock price crash risk in the Indonesian equity market, providing empirical evidence from an emerging market.</w:t>
            </w:r>
          </w:p>
          <w:p w14:paraId="6187E23A" w14:textId="253C7B92" w:rsidR="00694FC4" w:rsidRPr="00DE5DB9" w:rsidRDefault="00694FC4" w:rsidP="00694FC4">
            <w:pPr>
              <w:pStyle w:val="Body"/>
              <w:spacing w:after="0"/>
              <w:rPr>
                <w:rFonts w:ascii="Arial" w:eastAsia="Calibri" w:hAnsi="Arial" w:cs="Arial"/>
                <w:szCs w:val="22"/>
              </w:rPr>
            </w:pPr>
            <w:r w:rsidRPr="00694FC4">
              <w:rPr>
                <w:rFonts w:ascii="Arial" w:eastAsia="Calibri" w:hAnsi="Arial" w:cs="Arial"/>
                <w:b/>
                <w:bCs/>
                <w:szCs w:val="22"/>
              </w:rPr>
              <w:t>Study Design:</w:t>
            </w:r>
            <w:r>
              <w:rPr>
                <w:rFonts w:ascii="Arial" w:eastAsia="Calibri" w:hAnsi="Arial" w:cs="Arial"/>
                <w:b/>
                <w:bCs/>
                <w:szCs w:val="22"/>
              </w:rPr>
              <w:t xml:space="preserve"> </w:t>
            </w:r>
            <w:r w:rsidR="00DE5DB9" w:rsidRPr="00DE5DB9">
              <w:rPr>
                <w:rFonts w:ascii="Arial" w:eastAsia="Calibri" w:hAnsi="Arial" w:cs="Arial"/>
                <w:szCs w:val="22"/>
              </w:rPr>
              <w:t>The study employs a quantitative explanatory approach using panel data analysis.</w:t>
            </w:r>
          </w:p>
          <w:p w14:paraId="396CAA3D" w14:textId="2D177510" w:rsidR="00694FC4" w:rsidRPr="00DE5DB9" w:rsidRDefault="00694FC4" w:rsidP="006B7BE9">
            <w:pPr>
              <w:pStyle w:val="Body"/>
              <w:spacing w:after="0"/>
              <w:rPr>
                <w:rFonts w:ascii="Arial" w:eastAsia="Calibri" w:hAnsi="Arial" w:cs="Arial"/>
                <w:b/>
                <w:bCs/>
                <w:szCs w:val="22"/>
              </w:rPr>
            </w:pPr>
            <w:r w:rsidRPr="00694FC4">
              <w:rPr>
                <w:rFonts w:ascii="Arial" w:eastAsia="Calibri" w:hAnsi="Arial" w:cs="Arial"/>
                <w:b/>
                <w:bCs/>
                <w:szCs w:val="22"/>
              </w:rPr>
              <w:t>Place and Duration of Study:</w:t>
            </w:r>
            <w:r w:rsidR="00DE5DB9">
              <w:rPr>
                <w:rFonts w:ascii="Arial" w:eastAsia="Calibri" w:hAnsi="Arial" w:cs="Arial"/>
                <w:b/>
                <w:bCs/>
                <w:szCs w:val="22"/>
              </w:rPr>
              <w:t xml:space="preserve"> </w:t>
            </w:r>
            <w:r w:rsidRPr="00694FC4">
              <w:rPr>
                <w:rFonts w:ascii="Arial" w:eastAsia="Calibri" w:hAnsi="Arial" w:cs="Arial"/>
                <w:szCs w:val="22"/>
              </w:rPr>
              <w:t>The study utilizes secondary data from publicly listed non-financial firms on the Indonesia Stock Exchange covering the 2014–202</w:t>
            </w:r>
            <w:r w:rsidR="0086722C">
              <w:rPr>
                <w:rFonts w:ascii="Arial" w:eastAsia="Calibri" w:hAnsi="Arial" w:cs="Arial"/>
                <w:szCs w:val="22"/>
              </w:rPr>
              <w:t>4</w:t>
            </w:r>
            <w:r w:rsidRPr="00694FC4">
              <w:rPr>
                <w:rFonts w:ascii="Arial" w:eastAsia="Calibri" w:hAnsi="Arial" w:cs="Arial"/>
                <w:szCs w:val="22"/>
              </w:rPr>
              <w:t xml:space="preserve"> period.</w:t>
            </w:r>
          </w:p>
          <w:p w14:paraId="1BA03F4A" w14:textId="4B2D1326" w:rsidR="0086722C" w:rsidRDefault="00694FC4" w:rsidP="0086722C">
            <w:pPr>
              <w:pStyle w:val="Body"/>
              <w:spacing w:after="0"/>
              <w:rPr>
                <w:rFonts w:ascii="Arial" w:eastAsia="Calibri" w:hAnsi="Arial" w:cs="Arial"/>
                <w:szCs w:val="22"/>
              </w:rPr>
            </w:pPr>
            <w:r w:rsidRPr="006B7BE9">
              <w:rPr>
                <w:rFonts w:ascii="Arial" w:eastAsia="Calibri" w:hAnsi="Arial" w:cs="Arial"/>
                <w:b/>
                <w:bCs/>
                <w:szCs w:val="22"/>
              </w:rPr>
              <w:t>Methodology:</w:t>
            </w:r>
            <w:r w:rsidR="00DE5DB9">
              <w:rPr>
                <w:rFonts w:ascii="Arial" w:eastAsia="Calibri" w:hAnsi="Arial" w:cs="Arial"/>
                <w:b/>
                <w:bCs/>
                <w:szCs w:val="22"/>
              </w:rPr>
              <w:t xml:space="preserve"> </w:t>
            </w:r>
            <w:r w:rsidR="00E8594F" w:rsidRPr="00E8594F">
              <w:rPr>
                <w:rFonts w:ascii="Arial" w:eastAsia="Calibri" w:hAnsi="Arial" w:cs="Arial"/>
                <w:szCs w:val="22"/>
              </w:rPr>
              <w:t>This study uses panel data of non-financial firms listed on the Indonesia Stock Exchange from 2014 to 2024. Stock price crash risk is measured using negative conditional skewness and down-to-up volatility, while economic policy uncertainty is proxied by a news-based index from major Indonesian media, geopolitical risk by the Indonesia-specific index from policyuncertainty.com, and CEO power by CEO duality. The relationships are examined using random effects panel regression models.</w:t>
            </w:r>
          </w:p>
          <w:p w14:paraId="6A4981C2" w14:textId="08213E71" w:rsidR="0086722C" w:rsidRPr="0086722C" w:rsidRDefault="00694FC4" w:rsidP="0086722C">
            <w:pPr>
              <w:pStyle w:val="Body"/>
              <w:spacing w:after="0"/>
              <w:rPr>
                <w:rFonts w:ascii="Arial" w:eastAsia="Calibri" w:hAnsi="Arial" w:cs="Arial"/>
                <w:szCs w:val="22"/>
              </w:rPr>
            </w:pPr>
            <w:r w:rsidRPr="0086722C">
              <w:rPr>
                <w:rFonts w:ascii="Arial" w:eastAsia="Calibri" w:hAnsi="Arial" w:cs="Arial"/>
                <w:b/>
                <w:bCs/>
                <w:szCs w:val="22"/>
              </w:rPr>
              <w:t>Results:</w:t>
            </w:r>
            <w:r w:rsidR="00DE5DB9">
              <w:rPr>
                <w:rFonts w:ascii="Arial" w:eastAsia="Calibri" w:hAnsi="Arial" w:cs="Arial"/>
                <w:b/>
                <w:bCs/>
                <w:szCs w:val="22"/>
              </w:rPr>
              <w:t xml:space="preserve"> </w:t>
            </w:r>
            <w:r w:rsidR="00DE5DB9" w:rsidRPr="00DE5DB9">
              <w:rPr>
                <w:rFonts w:ascii="Arial" w:eastAsia="Calibri" w:hAnsi="Arial" w:cs="Arial"/>
                <w:szCs w:val="22"/>
              </w:rPr>
              <w:t>The results indicate that both economic policy uncertainty and geopolitical risk are positively and significantly associated with stock price crash risk, suggesting that heightened uncertainty increases the likelihood of extreme negative stock price movements. CEO power exhibits a measure-dependent effect, showing a significant positive relationship with down-to-up volatility but not with negative conditional skewness.</w:t>
            </w:r>
          </w:p>
          <w:p w14:paraId="2AE74865" w14:textId="1C219038" w:rsidR="00505F06" w:rsidRPr="00BA1B01" w:rsidRDefault="00694FC4" w:rsidP="00DE5DB9">
            <w:pPr>
              <w:pStyle w:val="Body"/>
              <w:spacing w:after="0"/>
              <w:rPr>
                <w:rFonts w:ascii="Arial" w:eastAsia="Calibri" w:hAnsi="Arial" w:cs="Arial"/>
                <w:szCs w:val="22"/>
              </w:rPr>
            </w:pPr>
            <w:r w:rsidRPr="0086722C">
              <w:rPr>
                <w:rFonts w:ascii="Arial" w:eastAsia="Calibri" w:hAnsi="Arial" w:cs="Arial"/>
                <w:b/>
                <w:bCs/>
                <w:szCs w:val="22"/>
              </w:rPr>
              <w:t>Conclusion:</w:t>
            </w:r>
            <w:r w:rsidR="00DE5DB9">
              <w:rPr>
                <w:rFonts w:ascii="Arial" w:eastAsia="Calibri" w:hAnsi="Arial" w:cs="Arial"/>
                <w:b/>
                <w:bCs/>
                <w:szCs w:val="22"/>
              </w:rPr>
              <w:t xml:space="preserve"> </w:t>
            </w:r>
            <w:r w:rsidR="00DE5DB9" w:rsidRPr="00DE5DB9">
              <w:rPr>
                <w:rFonts w:ascii="Arial" w:eastAsia="Calibri" w:hAnsi="Arial" w:cs="Arial"/>
                <w:szCs w:val="22"/>
              </w:rPr>
              <w:t>The findings demonstrate that stock price crash risk in Indonesia is influenced by both external uncertainty and internal governance factors. These results underscore the importance of policy stability and effective corporate governance in mitigating downside risk in emerging equity markets.</w:t>
            </w:r>
          </w:p>
        </w:tc>
      </w:tr>
    </w:tbl>
    <w:p w14:paraId="40E9A44E" w14:textId="77777777" w:rsidR="00636EB2" w:rsidRDefault="00636EB2" w:rsidP="00441B6F">
      <w:pPr>
        <w:pStyle w:val="Body"/>
        <w:spacing w:after="0"/>
        <w:rPr>
          <w:rFonts w:ascii="Arial" w:hAnsi="Arial" w:cs="Arial"/>
          <w:i/>
        </w:rPr>
      </w:pPr>
    </w:p>
    <w:p w14:paraId="5E51285D" w14:textId="7CB3428F" w:rsidR="00A24E7E" w:rsidRDefault="00A24E7E" w:rsidP="00441B6F">
      <w:pPr>
        <w:pStyle w:val="Body"/>
        <w:spacing w:after="0"/>
        <w:rPr>
          <w:rFonts w:ascii="Arial" w:hAnsi="Arial" w:cs="Arial"/>
          <w:i/>
        </w:rPr>
      </w:pPr>
      <w:r>
        <w:rPr>
          <w:rFonts w:ascii="Arial" w:hAnsi="Arial" w:cs="Arial"/>
          <w:i/>
        </w:rPr>
        <w:t xml:space="preserve">Keywords: </w:t>
      </w:r>
      <w:r w:rsidR="0086722C" w:rsidRPr="0086722C">
        <w:rPr>
          <w:rFonts w:ascii="Arial" w:hAnsi="Arial" w:cs="Arial"/>
          <w:i/>
        </w:rPr>
        <w:t>Economic Policy Uncertainty; Geopolitical Risk; CEO Power; Stock Price Crash Risk; Emerging Market</w:t>
      </w:r>
      <w:r w:rsidR="0086722C">
        <w:rPr>
          <w:rFonts w:ascii="Arial" w:hAnsi="Arial" w:cs="Arial"/>
          <w:i/>
        </w:rPr>
        <w:t>; Indonesia</w:t>
      </w:r>
    </w:p>
    <w:p w14:paraId="6A86646E" w14:textId="77777777" w:rsidR="00790ADA" w:rsidRDefault="00790ADA" w:rsidP="00441B6F">
      <w:pPr>
        <w:pStyle w:val="Body"/>
        <w:spacing w:after="0"/>
        <w:rPr>
          <w:rFonts w:ascii="Arial" w:hAnsi="Arial" w:cs="Arial"/>
          <w:i/>
        </w:rPr>
      </w:pPr>
    </w:p>
    <w:p w14:paraId="4ABB67A4" w14:textId="7446B1C7" w:rsidR="007F7B32" w:rsidRDefault="00902823" w:rsidP="0086722C">
      <w:pPr>
        <w:pStyle w:val="Body"/>
        <w:spacing w:after="0"/>
        <w:rPr>
          <w:rFonts w:ascii="Arial" w:hAnsi="Arial" w:cs="Arial"/>
        </w:rPr>
      </w:pPr>
      <w:r>
        <w:rPr>
          <w:rFonts w:ascii="Arial" w:hAnsi="Arial" w:cs="Arial"/>
        </w:rPr>
        <w:t xml:space="preserve">1. </w:t>
      </w:r>
      <w:r w:rsidR="00B01FCD" w:rsidRPr="00FB3A86">
        <w:rPr>
          <w:rFonts w:ascii="Arial" w:hAnsi="Arial" w:cs="Arial"/>
        </w:rPr>
        <w:t>INTRODUCTION</w:t>
      </w:r>
    </w:p>
    <w:p w14:paraId="1283CB3C" w14:textId="77777777" w:rsidR="00790ADA" w:rsidRPr="00FB3A86" w:rsidRDefault="00790ADA" w:rsidP="00441B6F">
      <w:pPr>
        <w:pStyle w:val="AbstHead"/>
        <w:spacing w:after="0"/>
        <w:jc w:val="both"/>
        <w:rPr>
          <w:rFonts w:ascii="Arial" w:hAnsi="Arial" w:cs="Arial"/>
        </w:rPr>
      </w:pPr>
    </w:p>
    <w:p w14:paraId="21620A40" w14:textId="613EE328" w:rsidR="006B7BE9" w:rsidRPr="006B7BE9" w:rsidRDefault="006B7BE9" w:rsidP="006B7BE9">
      <w:pPr>
        <w:pStyle w:val="Body"/>
        <w:spacing w:after="0"/>
        <w:rPr>
          <w:rFonts w:ascii="Arial" w:hAnsi="Arial" w:cs="Arial"/>
        </w:rPr>
      </w:pPr>
      <w:r w:rsidRPr="006B7BE9">
        <w:rPr>
          <w:rFonts w:ascii="Arial" w:hAnsi="Arial" w:cs="Arial"/>
        </w:rPr>
        <w:t xml:space="preserve">The stock market plays an essential role in capital mobilization and global economic growth, offering investors opportunities to gain returns while exposing them to risks and market uncertainty. </w:t>
      </w:r>
      <w:sdt>
        <w:sdtPr>
          <w:rPr>
            <w:rFonts w:ascii="Arial" w:hAnsi="Arial" w:cs="Arial"/>
            <w:color w:val="000000"/>
          </w:rPr>
          <w:tag w:val="MENDELEY_CITATION_v3_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"/>
          <w:id w:val="1194890281"/>
          <w:placeholder>
            <w:docPart w:val="DefaultPlaceholder_-1854013440"/>
          </w:placeholder>
        </w:sdtPr>
        <w:sdtContent>
          <w:r w:rsidR="00E43F65" w:rsidRPr="00E43F65">
            <w:rPr>
              <w:rFonts w:ascii="Arial" w:hAnsi="Arial" w:cs="Arial"/>
              <w:color w:val="000000"/>
            </w:rPr>
            <w:t>Manjunath et al. (2020)</w:t>
          </w:r>
        </w:sdtContent>
      </w:sdt>
      <w:r w:rsidRPr="006B7BE9">
        <w:rPr>
          <w:rFonts w:ascii="Arial" w:hAnsi="Arial" w:cs="Arial"/>
        </w:rPr>
        <w:t xml:space="preserve"> explain that the stock market enables efficient capital allocation across industrial and commercial sectors. However, the risks within financial markets may trigger sharp price declines driven by impulsive investor reactions, commonly known as panic selling </w:t>
      </w:r>
      <w:sdt>
        <w:sdtPr>
          <w:rPr>
            <w:rFonts w:ascii="Arial" w:hAnsi="Arial" w:cs="Arial"/>
            <w:color w:val="000000"/>
          </w:rPr>
          <w:tag w:val="MENDELEY_CITATION_v3_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"/>
          <w:id w:val="624972103"/>
          <w:placeholder>
            <w:docPart w:val="DefaultPlaceholder_-1854013440"/>
          </w:placeholder>
        </w:sdtPr>
        <w:sdtContent>
          <w:r w:rsidR="00E43F65" w:rsidRPr="00E43F65">
            <w:rPr>
              <w:rFonts w:ascii="Arial" w:hAnsi="Arial" w:cs="Arial"/>
              <w:color w:val="000000"/>
            </w:rPr>
            <w:t>(Bawalle et al., 2025; Elkind et al., 2022)</w:t>
          </w:r>
        </w:sdtContent>
      </w:sdt>
      <w:r w:rsidRPr="006B7BE9">
        <w:rPr>
          <w:rFonts w:ascii="Arial" w:hAnsi="Arial" w:cs="Arial"/>
        </w:rPr>
        <w:t>, and these events are often associated with Grey Rhino and Black Swan phenomena</w:t>
      </w:r>
      <w:r>
        <w:rPr>
          <w:rFonts w:ascii="Arial" w:hAnsi="Arial" w:cs="Arial"/>
        </w:rPr>
        <w:t xml:space="preserve"> </w:t>
      </w:r>
      <w:sdt>
        <w:sdtPr>
          <w:rPr>
            <w:rFonts w:ascii="Arial" w:hAnsi="Arial" w:cs="Arial"/>
            <w:color w:val="000000"/>
          </w:rPr>
          <w:tag w:val="MENDELEY_CITATION_v3_eyJjaXRhdGlvbklEIjoiTUVOREVMRVlfQ0lUQVRJT05fZTFkZmY2NGItNzEyNC00Y2FmLTk0YWMtNmQ4NmI0ZWVmZGQ5IiwicHJvcGVydGllcyI6eyJub3RlSW5kZXgiOjB9LCJpc0VkaXRlZCI6ZmFsc2UsIm1hbnVhbE92ZXJyaWRlIjp7ImlzTWFudWFsbHlPdmVycmlkZGVuIjpmYWxzZSwiY2l0ZXByb2NUZXh0IjoiKEhhbiBldCBhbC4sIDIwMjMpIiwibWFudWFsT3ZlcnJpZGVUZXh0IjoiIn0sImNpdGF0aW9uSXRlbXMiOlt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LCJzdXBwcmVzcy1hdXRob3IiOmZhbHNlLCJjb21wb3NpdGUiOmZhbHNlLCJhdXRob3Itb25seSI6ZmFsc2V9XX0="/>
          <w:id w:val="-913247905"/>
          <w:placeholder>
            <w:docPart w:val="DefaultPlaceholder_-1854013440"/>
          </w:placeholder>
        </w:sdtPr>
        <w:sdtContent>
          <w:r w:rsidR="00E43F65" w:rsidRPr="00E43F65">
            <w:rPr>
              <w:rFonts w:ascii="Arial" w:hAnsi="Arial" w:cs="Arial"/>
              <w:color w:val="000000"/>
            </w:rPr>
            <w:t>(Han et al., 2023)</w:t>
          </w:r>
        </w:sdtContent>
      </w:sdt>
      <w:r w:rsidRPr="006B7BE9">
        <w:rPr>
          <w:rFonts w:ascii="Arial" w:hAnsi="Arial" w:cs="Arial"/>
        </w:rPr>
        <w:t>. These conditions have been evident in several episodes of collapsing stock indexes, including Indonesia during major downturns in 2008, 2013, 2015, and 2020, and reappeared in 2025 when the IHSG experienced a sharp correction that initiated a trading halt.</w:t>
      </w:r>
      <w:r w:rsidR="0086722C">
        <w:rPr>
          <w:rFonts w:ascii="Arial" w:hAnsi="Arial" w:cs="Arial"/>
        </w:rPr>
        <w:t xml:space="preserve"> </w:t>
      </w:r>
      <w:r w:rsidRPr="006B7BE9">
        <w:rPr>
          <w:rFonts w:ascii="Arial" w:hAnsi="Arial" w:cs="Arial"/>
        </w:rPr>
        <w:t xml:space="preserve">A major trigger of drastic stock price declines is stock price crash risk, which refers to a steep drop in share prices occurring within a short period as firms release negative information </w:t>
      </w:r>
      <w:sdt>
        <w:sdtPr>
          <w:rPr>
            <w:rFonts w:ascii="Arial" w:hAnsi="Arial" w:cs="Arial"/>
            <w:color w:val="000000"/>
          </w:rPr>
          <w:tag w:val="MENDELEY_CITATION_v3_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"/>
          <w:id w:val="226032906"/>
          <w:placeholder>
            <w:docPart w:val="DefaultPlaceholder_-1854013440"/>
          </w:placeholder>
        </w:sdtPr>
        <w:sdtContent>
          <w:r w:rsidR="00E43F65" w:rsidRPr="00E43F65">
            <w:rPr>
              <w:rFonts w:ascii="Arial" w:hAnsi="Arial" w:cs="Arial"/>
              <w:color w:val="000000"/>
            </w:rPr>
            <w:t>(Shahab et al., 2020)</w:t>
          </w:r>
        </w:sdtContent>
      </w:sdt>
      <w:r w:rsidRPr="006B7BE9">
        <w:rPr>
          <w:rFonts w:ascii="Arial" w:hAnsi="Arial" w:cs="Arial"/>
        </w:rPr>
        <w:t xml:space="preserve">. The </w:t>
      </w:r>
      <w:r w:rsidRPr="006B7BE9">
        <w:rPr>
          <w:rFonts w:ascii="Arial" w:hAnsi="Arial" w:cs="Arial"/>
        </w:rPr>
        <w:lastRenderedPageBreak/>
        <w:t xml:space="preserve">consequences extend beyond investor loss, since widespread declines may escalate into financial instability affecting national economic security </w:t>
      </w:r>
      <w:sdt>
        <w:sdtPr>
          <w:rPr>
            <w:rFonts w:ascii="Arial" w:hAnsi="Arial" w:cs="Arial"/>
            <w:color w:val="000000"/>
          </w:rPr>
          <w:tag w:val="MENDELEY_CITATION_v3_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"/>
          <w:id w:val="352781663"/>
          <w:placeholder>
            <w:docPart w:val="DefaultPlaceholder_-1854013440"/>
          </w:placeholder>
        </w:sdtPr>
        <w:sdtContent>
          <w:r w:rsidR="00E43F65" w:rsidRPr="00E43F65">
            <w:rPr>
              <w:rFonts w:ascii="Arial" w:hAnsi="Arial" w:cs="Arial"/>
              <w:color w:val="000000"/>
            </w:rPr>
            <w:t>(X. Liu et al., 2024)</w:t>
          </w:r>
        </w:sdtContent>
      </w:sdt>
      <w:r w:rsidRPr="006B7BE9">
        <w:rPr>
          <w:rFonts w:ascii="Arial" w:hAnsi="Arial" w:cs="Arial"/>
        </w:rPr>
        <w:t>. Additionally, Indonesian financial markets indicate signs of inefficiency because investor reactions do not always reflect fundamental information, contradicting principles of the Efficient Market Hypothesis. Given information imbalances, firms may withhold bad news, thereby intensifying crash probability.</w:t>
      </w:r>
    </w:p>
    <w:p w14:paraId="492FFD82" w14:textId="77777777" w:rsidR="006B7BE9" w:rsidRPr="006B7BE9" w:rsidRDefault="006B7BE9" w:rsidP="006B7BE9">
      <w:pPr>
        <w:pStyle w:val="Body"/>
        <w:spacing w:after="0"/>
        <w:rPr>
          <w:rFonts w:ascii="Arial" w:hAnsi="Arial" w:cs="Arial"/>
        </w:rPr>
      </w:pPr>
    </w:p>
    <w:p w14:paraId="0656FA1D" w14:textId="6C91BE90" w:rsidR="00790ADA" w:rsidRDefault="006B7BE9" w:rsidP="00441B6F">
      <w:pPr>
        <w:pStyle w:val="Body"/>
        <w:spacing w:after="0"/>
        <w:rPr>
          <w:rFonts w:ascii="Arial" w:hAnsi="Arial" w:cs="Arial"/>
        </w:rPr>
      </w:pPr>
      <w:r w:rsidRPr="006B7BE9">
        <w:rPr>
          <w:rFonts w:ascii="Arial" w:hAnsi="Arial" w:cs="Arial"/>
        </w:rPr>
        <w:t>Previous studies show that economic policy uncertainty significantly increases crash risk during pandemic conditions and periods of economic pressure, as highlighted by</w:t>
      </w:r>
      <w:r w:rsidR="00A02159">
        <w:rPr>
          <w:rFonts w:ascii="Arial" w:hAnsi="Arial" w:cs="Arial"/>
        </w:rPr>
        <w:t xml:space="preserve"> </w:t>
      </w:r>
      <w:sdt>
        <w:sdtPr>
          <w:rPr>
            <w:rFonts w:ascii="Arial" w:hAnsi="Arial" w:cs="Arial"/>
            <w:color w:val="000000"/>
          </w:rPr>
          <w:tag w:val="MENDELEY_CITATION_v3_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"/>
          <w:id w:val="-1545822958"/>
          <w:placeholder>
            <w:docPart w:val="DefaultPlaceholder_-1854013440"/>
          </w:placeholder>
        </w:sdtPr>
        <w:sdtContent>
          <w:r w:rsidR="00E43F65" w:rsidRPr="00E43F65">
            <w:rPr>
              <w:rFonts w:ascii="Arial" w:hAnsi="Arial" w:cs="Arial"/>
              <w:color w:val="000000"/>
            </w:rPr>
            <w:t>Dai et al. (2021)</w:t>
          </w:r>
        </w:sdtContent>
      </w:sdt>
      <w:r w:rsidR="00A02159">
        <w:rPr>
          <w:rFonts w:ascii="Arial" w:hAnsi="Arial" w:cs="Arial"/>
          <w:color w:val="000000"/>
        </w:rPr>
        <w:t xml:space="preserve">, </w:t>
      </w:r>
      <w:sdt>
        <w:sdtPr>
          <w:rPr>
            <w:rFonts w:ascii="Arial" w:hAnsi="Arial" w:cs="Arial"/>
            <w:color w:val="000000"/>
          </w:rPr>
          <w:tag w:val="MENDELEY_CITATION_v3_eyJjaXRhdGlvbklEIjoiTUVOREVMRVlfQ0lUQVRJT05fNzkxZGY4OGItNzgyNC00MTkwLTk3MDYtNjVhYjU4NWJjNDFkIiwicHJvcGVydGllcyI6eyJub3RlSW5kZXgiOjAsIm1vZGUiOiJjb21wb3NpdGUifSwiaXNFZGl0ZWQiOmZhbHNlLCJtYW51YWxPdmVycmlkZSI6eyJpc01hbnVhbGx5T3ZlcnJpZGRlbiI6ZmFsc2UsImNpdGVwcm9jVGV4dCI6IkhhbiBldCBhbC4gKDIwMjMpIiwibWFudWFsT3ZlcnJpZGVUZXh0IjoiIn0sImNpdGF0aW9uSXRlbXMiOlt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LCJkaXNwbGF5QXMiOiJjb21wb3NpdGUiLCJzdXBwcmVzcy1hdXRob3IiOmZhbHNlLCJjb21wb3NpdGUiOnRydWUsImF1dGhvci1vbmx5IjpmYWxzZX1dfQ=="/>
          <w:id w:val="-2124068141"/>
          <w:placeholder>
            <w:docPart w:val="DefaultPlaceholder_-1854013440"/>
          </w:placeholder>
        </w:sdtPr>
        <w:sdtContent>
          <w:r w:rsidR="00E43F65" w:rsidRPr="00E43F65">
            <w:rPr>
              <w:rFonts w:ascii="Arial" w:hAnsi="Arial" w:cs="Arial"/>
              <w:color w:val="000000"/>
            </w:rPr>
            <w:t>Han et al. (2023)</w:t>
          </w:r>
        </w:sdtContent>
      </w:sdt>
      <w:r w:rsidR="00A02159">
        <w:rPr>
          <w:rFonts w:ascii="Arial" w:hAnsi="Arial" w:cs="Arial"/>
          <w:color w:val="000000"/>
        </w:rPr>
        <w:t>, dan</w:t>
      </w:r>
      <w:r w:rsidR="00A02159">
        <w:rPr>
          <w:rFonts w:ascii="Arial" w:hAnsi="Arial" w:cs="Arial"/>
        </w:rPr>
        <w:t xml:space="preserve"> </w:t>
      </w:r>
      <w:sdt>
        <w:sdtPr>
          <w:rPr>
            <w:rFonts w:ascii="Arial" w:hAnsi="Arial" w:cs="Arial"/>
            <w:color w:val="000000"/>
          </w:rPr>
          <w:tag w:val="MENDELEY_CITATION_v3_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"/>
          <w:id w:val="-631869399"/>
          <w:placeholder>
            <w:docPart w:val="DefaultPlaceholder_-1854013440"/>
          </w:placeholder>
        </w:sdtPr>
        <w:sdtContent>
          <w:r w:rsidR="00E43F65" w:rsidRPr="00E43F65">
            <w:rPr>
              <w:rFonts w:ascii="Arial" w:hAnsi="Arial" w:cs="Arial"/>
              <w:color w:val="000000"/>
            </w:rPr>
            <w:t>X. Liu et al. (2024)</w:t>
          </w:r>
        </w:sdtContent>
      </w:sdt>
      <w:r w:rsidRPr="006B7BE9">
        <w:rPr>
          <w:rFonts w:ascii="Arial" w:hAnsi="Arial" w:cs="Arial"/>
        </w:rPr>
        <w:t>. However, empirical evidence also shows that uncertainty encourages faster disclosure of firm information, thereby reducing crash risk</w:t>
      </w:r>
      <w:r w:rsidR="00A02159">
        <w:rPr>
          <w:rFonts w:ascii="Arial" w:hAnsi="Arial" w:cs="Arial"/>
        </w:rPr>
        <w:t xml:space="preserve"> </w:t>
      </w:r>
      <w:sdt>
        <w:sdtPr>
          <w:rPr>
            <w:rFonts w:cs="Helvetica"/>
            <w:color w:val="000000"/>
          </w:rPr>
          <w:tag w:val="MENDELEY_CITATION_v3_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"/>
          <w:id w:val="1977256365"/>
          <w:placeholder>
            <w:docPart w:val="DefaultPlaceholder_-1854013440"/>
          </w:placeholder>
        </w:sdtPr>
        <w:sdtContent>
          <w:r w:rsidR="00E43F65" w:rsidRPr="00E43F65">
            <w:rPr>
              <w:rFonts w:cs="Helvetica"/>
              <w:color w:val="000000"/>
            </w:rPr>
            <w:t>(Du et al., 2021; Luo &amp; Zhang, 2020)</w:t>
          </w:r>
        </w:sdtContent>
      </w:sdt>
      <w:r w:rsidRPr="006B7BE9">
        <w:rPr>
          <w:rFonts w:ascii="Arial" w:hAnsi="Arial" w:cs="Arial"/>
        </w:rPr>
        <w:t>. Similar inconsistencies arise regarding geopolitical risk. While several studies reported that geopolitical shocks elevate crash probability</w:t>
      </w:r>
      <w:r w:rsidR="00A02159">
        <w:rPr>
          <w:rFonts w:ascii="Arial" w:hAnsi="Arial" w:cs="Arial"/>
        </w:rPr>
        <w:t xml:space="preserve"> </w:t>
      </w:r>
      <w:sdt>
        <w:sdtPr>
          <w:rPr>
            <w:rFonts w:cs="Helvetica"/>
            <w:color w:val="000000"/>
          </w:rPr>
          <w:tag w:val="MENDELEY_CITATION_v3_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"/>
          <w:id w:val="-580213084"/>
          <w:placeholder>
            <w:docPart w:val="DefaultPlaceholder_-1854013440"/>
          </w:placeholder>
        </w:sdtPr>
        <w:sdtContent>
          <w:r w:rsidR="00E43F65" w:rsidRPr="00E43F65">
            <w:rPr>
              <w:rFonts w:cs="Helvetica"/>
              <w:color w:val="000000"/>
            </w:rPr>
            <w:t>(Fiorillo et al., 2024; Makrychoriti &amp; Pyrgiotakis, 2024)</w:t>
          </w:r>
        </w:sdtContent>
      </w:sdt>
      <w:r w:rsidR="00A02159">
        <w:rPr>
          <w:rFonts w:ascii="Arial" w:hAnsi="Arial" w:cs="Arial"/>
        </w:rPr>
        <w:t xml:space="preserve">, </w:t>
      </w:r>
      <w:r w:rsidRPr="006B7BE9">
        <w:rPr>
          <w:rFonts w:ascii="Arial" w:hAnsi="Arial" w:cs="Arial"/>
        </w:rPr>
        <w:t xml:space="preserve">local evidence suggests non-significant effects </w:t>
      </w:r>
      <w:sdt>
        <w:sdtPr>
          <w:rPr>
            <w:rFonts w:cs="Helvetica"/>
            <w:color w:val="000000"/>
          </w:rPr>
          <w:tag w:val="MENDELEY_CITATION_v3_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"/>
          <w:id w:val="24146963"/>
          <w:placeholder>
            <w:docPart w:val="DefaultPlaceholder_-1854013440"/>
          </w:placeholder>
        </w:sdtPr>
        <w:sdtContent>
          <w:r w:rsidR="00E43F65" w:rsidRPr="00E43F65">
            <w:rPr>
              <w:rFonts w:cs="Helvetica"/>
              <w:color w:val="000000"/>
            </w:rPr>
            <w:t>(Katherine &amp; Kim, 2024)</w:t>
          </w:r>
        </w:sdtContent>
      </w:sdt>
      <w:r w:rsidRPr="006B7BE9">
        <w:rPr>
          <w:rFonts w:ascii="Arial" w:hAnsi="Arial" w:cs="Arial"/>
        </w:rPr>
        <w:t xml:space="preserve">. Differences are also found in the influence of CEO power, with most empirical findings showing that strong managerial power and CEO duality increase crash risk </w:t>
      </w:r>
      <w:sdt>
        <w:sdtPr>
          <w:rPr>
            <w:rFonts w:ascii="Arial" w:hAnsi="Arial" w:cs="Arial"/>
            <w:color w:val="000000"/>
          </w:rPr>
          <w:tag w:val="MENDELEY_CITATION_v3_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"/>
          <w:id w:val="460007288"/>
          <w:placeholder>
            <w:docPart w:val="DefaultPlaceholder_-1854013440"/>
          </w:placeholder>
        </w:sdtPr>
        <w:sdtContent>
          <w:r w:rsidR="00E43F65" w:rsidRPr="00E43F65">
            <w:rPr>
              <w:rFonts w:ascii="Arial" w:hAnsi="Arial" w:cs="Arial"/>
              <w:color w:val="000000"/>
            </w:rPr>
            <w:t>(Le et al., 2024; Oanh et al., 2023; Shahab et al., 2020)</w:t>
          </w:r>
        </w:sdtContent>
      </w:sdt>
      <w:r w:rsidRPr="006B7BE9">
        <w:rPr>
          <w:rFonts w:ascii="Arial" w:hAnsi="Arial" w:cs="Arial"/>
        </w:rPr>
        <w:t>.</w:t>
      </w:r>
      <w:r w:rsidR="0086722C">
        <w:rPr>
          <w:rFonts w:ascii="Arial" w:hAnsi="Arial" w:cs="Arial"/>
        </w:rPr>
        <w:t xml:space="preserve"> </w:t>
      </w:r>
      <w:r w:rsidRPr="006B7BE9">
        <w:rPr>
          <w:rFonts w:ascii="Arial" w:hAnsi="Arial" w:cs="Arial"/>
        </w:rPr>
        <w:t xml:space="preserve">Based on these mixed findings, research that examines the impact of economic policy uncertainty, geopolitical risk, and CEO power on stock price crash risk among Indonesian listed firms becomes relevant. The 2014–2024 observation period reflects pre-pandemic, pandemic, and post-pandemic conditions, followed by extended volatility toward 2025. This period is justifiable because Indonesia experienced several crash episodes linked to shifts in macroeconomic policy, geopolitical pressure, and corporate governance characteristics. </w:t>
      </w:r>
    </w:p>
    <w:p w14:paraId="2413524D" w14:textId="77777777" w:rsidR="00A02159" w:rsidRDefault="00A02159" w:rsidP="00441B6F">
      <w:pPr>
        <w:pStyle w:val="Body"/>
        <w:spacing w:after="0"/>
        <w:rPr>
          <w:rFonts w:ascii="Arial" w:hAnsi="Arial" w:cs="Arial"/>
        </w:rPr>
      </w:pPr>
    </w:p>
    <w:p w14:paraId="477B665A" w14:textId="5DF47A2C" w:rsidR="00A02159" w:rsidRPr="00A02159" w:rsidRDefault="00A02159" w:rsidP="00A02159">
      <w:pPr>
        <w:pStyle w:val="Body"/>
        <w:spacing w:after="0"/>
        <w:rPr>
          <w:rFonts w:ascii="Arial" w:hAnsi="Arial" w:cs="Arial"/>
        </w:rPr>
      </w:pPr>
      <w:r w:rsidRPr="00A02159">
        <w:rPr>
          <w:rFonts w:ascii="Arial" w:hAnsi="Arial" w:cs="Arial"/>
        </w:rPr>
        <w:t xml:space="preserve">Agency theory, as described by </w:t>
      </w:r>
      <w:sdt>
        <w:sdtPr>
          <w:rPr>
            <w:rFonts w:cs="Helvetica"/>
            <w:color w:val="000000"/>
          </w:rPr>
          <w:tag w:val="MENDELEY_CITATION_v3_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"/>
          <w:id w:val="-1148899145"/>
          <w:placeholder>
            <w:docPart w:val="DefaultPlaceholder_-1854013440"/>
          </w:placeholder>
        </w:sdtPr>
        <w:sdtContent>
          <w:r w:rsidR="00E43F65" w:rsidRPr="00E43F65">
            <w:rPr>
              <w:rFonts w:cs="Helvetica"/>
              <w:color w:val="000000"/>
            </w:rPr>
            <w:t>Meckling &amp; Jensen (1976)</w:t>
          </w:r>
        </w:sdtContent>
      </w:sdt>
      <w:r w:rsidRPr="00A02159">
        <w:rPr>
          <w:rFonts w:ascii="Arial" w:hAnsi="Arial" w:cs="Arial"/>
        </w:rPr>
        <w:t xml:space="preserve">, emphasizes the conflict of interest between principals and agents arising from differing objectives, where managers may conceal unfavorable information for personal benefit, thereby increasing the likelihood of stock price crashes. This condition becomes more severe when asymmetric information exists, since principals are unable to fully monitor managerial actions. </w:t>
      </w:r>
      <w:sdt>
        <w:sdtPr>
          <w:rPr>
            <w:rFonts w:ascii="Arial" w:hAnsi="Arial" w:cs="Arial"/>
            <w:color w:val="000000"/>
          </w:rPr>
          <w:tag w:val="MENDELEY_CITATION_v3_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"/>
          <w:id w:val="1782612192"/>
          <w:placeholder>
            <w:docPart w:val="DefaultPlaceholder_-1854013440"/>
          </w:placeholder>
        </w:sdtPr>
        <w:sdtContent>
          <w:r w:rsidR="00E43F65" w:rsidRPr="00E43F65">
            <w:rPr>
              <w:rFonts w:ascii="Arial" w:hAnsi="Arial" w:cs="Arial"/>
              <w:color w:val="000000"/>
            </w:rPr>
            <w:t>Stremitzer (2018)</w:t>
          </w:r>
        </w:sdtContent>
      </w:sdt>
      <w:r w:rsidRPr="00A02159">
        <w:rPr>
          <w:rFonts w:ascii="Arial" w:hAnsi="Arial" w:cs="Arial"/>
        </w:rPr>
        <w:t xml:space="preserve"> explains that delayed information updating increases the accumulation of hidden bad news, causing abrupt price corrections once information reaches a triggering threshold. Asymmetric information theory also supports this argument, where unequal access to information enables management to exploit market participants, contributing to adverse decisions and heightened crash risk</w:t>
      </w:r>
      <w:r>
        <w:rPr>
          <w:rFonts w:ascii="Arial" w:hAnsi="Arial" w:cs="Arial"/>
        </w:rPr>
        <w:t xml:space="preserve"> </w:t>
      </w:r>
      <w:sdt>
        <w:sdtPr>
          <w:rPr>
            <w:rFonts w:ascii="Arial" w:hAnsi="Arial" w:cs="Arial"/>
            <w:color w:val="000000"/>
          </w:rPr>
          <w:tag w:val="MENDELEY_CITATION_v3_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"/>
          <w:id w:val="-162940172"/>
          <w:placeholder>
            <w:docPart w:val="DefaultPlaceholder_-1854013440"/>
          </w:placeholder>
        </w:sdtPr>
        <w:sdtContent>
          <w:r w:rsidR="00E43F65" w:rsidRPr="00E43F65">
            <w:rPr>
              <w:rFonts w:ascii="Arial" w:hAnsi="Arial" w:cs="Arial"/>
              <w:color w:val="000000"/>
            </w:rPr>
            <w:t>(Makadok, 2010)</w:t>
          </w:r>
        </w:sdtContent>
      </w:sdt>
      <w:r w:rsidRPr="00A02159">
        <w:rPr>
          <w:rFonts w:ascii="Arial" w:hAnsi="Arial" w:cs="Arial"/>
        </w:rPr>
        <w:t xml:space="preserve">. In addition, uncertainty theory provides a foundation for explaining fluctuations in beliefs regarding uncertain macroeconomic policies, indicating that economic policy uncertainty and geopolitical disturbances may shift market expectations sharply, thus triggering sudden price declines </w:t>
      </w:r>
      <w:sdt>
        <w:sdtPr>
          <w:rPr>
            <w:rFonts w:ascii="Arial" w:hAnsi="Arial" w:cs="Arial"/>
            <w:color w:val="000000"/>
          </w:rPr>
          <w:tag w:val="MENDELEY_CITATION_v3_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"/>
          <w:id w:val="-492256637"/>
          <w:placeholder>
            <w:docPart w:val="DefaultPlaceholder_-1854013440"/>
          </w:placeholder>
        </w:sdtPr>
        <w:sdtContent>
          <w:r w:rsidR="00E43F65" w:rsidRPr="00E43F65">
            <w:rPr>
              <w:rFonts w:ascii="Arial" w:hAnsi="Arial" w:cs="Arial"/>
              <w:color w:val="000000"/>
            </w:rPr>
            <w:t>(B. Liu, 2015)</w:t>
          </w:r>
        </w:sdtContent>
      </w:sdt>
      <w:r w:rsidRPr="00A02159">
        <w:rPr>
          <w:rFonts w:ascii="Arial" w:hAnsi="Arial" w:cs="Arial"/>
        </w:rPr>
        <w:t>. Findings from earlier literature also show differences in the effect of uncertainty across firms depending on policy conditions, global stability, and governance structures, implying that firms with lower transparency and stronger managerial dominance face higher crash probability. This theoretical evidence provides justification for evaluating whether economic policy uncertainty, geopolitical risk, and CEO power significantly influence stock price crash risk among listed companies in Indonesia.</w:t>
      </w:r>
    </w:p>
    <w:p w14:paraId="64125865" w14:textId="77777777" w:rsidR="00A02159" w:rsidRPr="00A02159" w:rsidRDefault="00A02159" w:rsidP="00A02159">
      <w:pPr>
        <w:pStyle w:val="Body"/>
        <w:spacing w:after="0"/>
        <w:rPr>
          <w:rFonts w:ascii="Arial" w:hAnsi="Arial" w:cs="Arial"/>
        </w:rPr>
      </w:pPr>
    </w:p>
    <w:p w14:paraId="4362CF3D" w14:textId="059E7FF5" w:rsidR="00A02159" w:rsidRDefault="00A02159" w:rsidP="00A02159">
      <w:pPr>
        <w:pStyle w:val="Body"/>
        <w:spacing w:after="0"/>
        <w:rPr>
          <w:rFonts w:ascii="Arial" w:hAnsi="Arial" w:cs="Arial"/>
        </w:rPr>
      </w:pPr>
      <w:r w:rsidRPr="00A02159">
        <w:rPr>
          <w:rFonts w:ascii="Arial" w:hAnsi="Arial" w:cs="Arial"/>
        </w:rPr>
        <w:t>Based on these arguments, three main questions guide the research inquiry: (1) does economic policy uncertainty influence stock price crash risk among firms listed in Indonesia; (2) does geopolitical risk have an effect on crash probability; and (3) does CEO power increase or reduce stock price crash risk? The answers to these questions are expected to enrich empirical evidence and offer insights to regulators, investors, and companies operating within uncertain financial markets.</w:t>
      </w:r>
      <w:r w:rsidR="00DE5DB9">
        <w:rPr>
          <w:rFonts w:ascii="Arial" w:hAnsi="Arial" w:cs="Arial"/>
        </w:rPr>
        <w:t xml:space="preserve"> </w:t>
      </w:r>
      <w:r w:rsidR="00DE5DB9" w:rsidRPr="00DE5DB9">
        <w:rPr>
          <w:rFonts w:ascii="Arial" w:hAnsi="Arial" w:cs="Arial"/>
        </w:rPr>
        <w:t xml:space="preserve">This study contributes to the scientific community by providing empirical evidence from Indonesia, a large emerging market that remains relatively underexplored in the stock price crash risk literature. By jointly examining economic policy uncertainty, geopolitical risk, and CEO power, this research offers an integrated framework that captures both macroeconomic uncertainty and firm-level governance characteristics </w:t>
      </w:r>
      <w:r w:rsidR="00DE5DB9" w:rsidRPr="00DE5DB9">
        <w:rPr>
          <w:rFonts w:ascii="Arial" w:hAnsi="Arial" w:cs="Arial"/>
        </w:rPr>
        <w:lastRenderedPageBreak/>
        <w:t>within the Indonesian capital market. The findings also serve as an important reference for future comparative studies on crash risk in Indonesia and other emerging economies with similar institutional settings.</w:t>
      </w:r>
    </w:p>
    <w:p w14:paraId="58B65B95" w14:textId="77777777" w:rsidR="00A02159" w:rsidRPr="00FB3A86" w:rsidRDefault="00A02159" w:rsidP="00A02159">
      <w:pPr>
        <w:pStyle w:val="Body"/>
        <w:spacing w:after="0"/>
        <w:rPr>
          <w:rFonts w:ascii="Arial" w:hAnsi="Arial" w:cs="Arial"/>
        </w:rPr>
      </w:pPr>
    </w:p>
    <w:p w14:paraId="2FDCFF83" w14:textId="21F892E1"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17F6848" w14:textId="77777777" w:rsidR="006B7BE9" w:rsidRDefault="006B7BE9" w:rsidP="00441B6F">
      <w:pPr>
        <w:pStyle w:val="Body"/>
        <w:spacing w:after="0"/>
        <w:rPr>
          <w:rFonts w:ascii="Arial" w:hAnsi="Arial" w:cs="Arial"/>
        </w:rPr>
      </w:pPr>
    </w:p>
    <w:p w14:paraId="192E4427" w14:textId="22FCCC76" w:rsidR="000156E6" w:rsidRPr="000156E6" w:rsidRDefault="000156E6" w:rsidP="000156E6">
      <w:pPr>
        <w:pStyle w:val="Body"/>
        <w:spacing w:after="0"/>
        <w:rPr>
          <w:rFonts w:ascii="Arial" w:hAnsi="Arial" w:cs="Arial"/>
        </w:rPr>
      </w:pPr>
      <w:r w:rsidRPr="000156E6">
        <w:rPr>
          <w:rFonts w:ascii="Arial" w:hAnsi="Arial" w:cs="Arial"/>
        </w:rPr>
        <w:t>This study adopts a quantitative explanatory approach to examine the impact of economic policy uncertainty, geopolitical risk, and CEO power on stock price crash risk in Indonesian listed firms. The empirical analysis employs panel data regression, which allows simultaneous exploitation of cross-sectional and time-series variations. This design is widely applied in prior crash risk studies and is suitable for capturing firm-level exposure to macroeconomic and governance-related shocks</w:t>
      </w:r>
      <w:r w:rsidR="00253389">
        <w:rPr>
          <w:rFonts w:ascii="Arial" w:hAnsi="Arial" w:cs="Arial"/>
        </w:rPr>
        <w:t xml:space="preserve"> </w:t>
      </w:r>
      <w:sdt>
        <w:sdtPr>
          <w:rPr>
            <w:rFonts w:ascii="Arial" w:hAnsi="Arial" w:cs="Arial"/>
            <w:color w:val="000000"/>
          </w:rPr>
          <w:tag w:val="MENDELEY_CITATION_v3_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"/>
          <w:id w:val="-859509557"/>
          <w:placeholder>
            <w:docPart w:val="DefaultPlaceholder_-1854013440"/>
          </w:placeholder>
        </w:sdtPr>
        <w:sdtContent>
          <w:r w:rsidR="00E43F65" w:rsidRPr="00E43F65">
            <w:rPr>
              <w:rFonts w:ascii="Arial" w:hAnsi="Arial" w:cs="Arial"/>
              <w:color w:val="000000"/>
            </w:rPr>
            <w:t>(Al Mamun et al., 2020; Han et al., 2023; Le et al., 2024)</w:t>
          </w:r>
        </w:sdtContent>
      </w:sdt>
      <w:r w:rsidRPr="000156E6">
        <w:rPr>
          <w:rFonts w:ascii="Arial" w:hAnsi="Arial" w:cs="Arial"/>
        </w:rPr>
        <w:t>.</w:t>
      </w:r>
      <w:r w:rsidR="00253389">
        <w:rPr>
          <w:rFonts w:ascii="Arial" w:hAnsi="Arial" w:cs="Arial"/>
        </w:rPr>
        <w:t xml:space="preserve"> </w:t>
      </w:r>
      <w:r w:rsidRPr="000156E6">
        <w:rPr>
          <w:rFonts w:ascii="Arial" w:hAnsi="Arial" w:cs="Arial"/>
        </w:rPr>
        <w:t>The sample consists of non-financial firms listed on the Indonesia Stock Exchange over the period 2014–2024. Firms are required to be listed before the end of 2013 to ensure the availability of weekly return data used to calculate crash risk. Financial sector firms are excluded due to their distinct regulatory environment and risk characteristics. To ensure reliable estimation, firms must have at least 30 weekly observations per year. Applying these criteria yields a final sample of 251 firms.</w:t>
      </w:r>
    </w:p>
    <w:p w14:paraId="1EF9444B" w14:textId="77777777" w:rsidR="000156E6" w:rsidRPr="000156E6" w:rsidRDefault="000156E6" w:rsidP="000156E6">
      <w:pPr>
        <w:pStyle w:val="Body"/>
        <w:spacing w:after="0"/>
        <w:rPr>
          <w:rFonts w:ascii="Arial" w:hAnsi="Arial" w:cs="Arial"/>
        </w:rPr>
      </w:pPr>
    </w:p>
    <w:p w14:paraId="3C52322D" w14:textId="2E683E19" w:rsidR="000156E6" w:rsidRPr="000156E6" w:rsidRDefault="000156E6" w:rsidP="000156E6">
      <w:pPr>
        <w:pStyle w:val="Body"/>
        <w:spacing w:after="0"/>
        <w:rPr>
          <w:rFonts w:ascii="Arial" w:hAnsi="Arial" w:cs="Arial"/>
        </w:rPr>
      </w:pPr>
      <w:r w:rsidRPr="000156E6">
        <w:rPr>
          <w:rFonts w:ascii="Arial" w:hAnsi="Arial" w:cs="Arial"/>
        </w:rPr>
        <w:t xml:space="preserve">Weekly stock price data are obtained from investing.com and used to calculate firm-specific returns. Following </w:t>
      </w:r>
      <w:sdt>
        <w:sdtPr>
          <w:rPr>
            <w:rFonts w:ascii="Arial" w:hAnsi="Arial" w:cs="Arial"/>
            <w:color w:val="000000"/>
          </w:rPr>
          <w:tag w:val="MENDELEY_CITATION_v3_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"/>
          <w:id w:val="-184136899"/>
          <w:placeholder>
            <w:docPart w:val="DefaultPlaceholder_-1854013440"/>
          </w:placeholder>
        </w:sdtPr>
        <w:sdtContent>
          <w:r w:rsidR="00E43F65" w:rsidRPr="00E43F65">
            <w:rPr>
              <w:rFonts w:ascii="Arial" w:hAnsi="Arial" w:cs="Arial"/>
              <w:color w:val="000000"/>
            </w:rPr>
            <w:t>Le et al. (2024)</w:t>
          </w:r>
        </w:sdtContent>
      </w:sdt>
      <w:r w:rsidRPr="000156E6">
        <w:rPr>
          <w:rFonts w:ascii="Arial" w:hAnsi="Arial" w:cs="Arial"/>
        </w:rPr>
        <w:t xml:space="preserve">, weekly firm returns are regressed on contemporaneous, lagged, and lead market returns to correct for non-synchronous trading effects. The residuals from this regression represent idiosyncratic firm-specific returns, which are then transformed into logarithmic returns. Stock price crash risk is measured using two alternative indicators: negative conditional skewness (NCSKEW) and down-to-up volatility (DUVOL). NCSKEW captures the asymmetry of firm-specific return distributions, while DUVOL reflects the relative volatility of negative versus positive return periods. Economic policy uncertainty is constructed using a news-based index adapted from </w:t>
      </w:r>
      <w:sdt>
        <w:sdtPr>
          <w:rPr>
            <w:rFonts w:ascii="Arial" w:hAnsi="Arial" w:cs="Arial"/>
            <w:color w:val="000000"/>
          </w:rPr>
          <w:tag w:val="MENDELEY_CITATION_v3_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"/>
          <w:id w:val="846070117"/>
          <w:placeholder>
            <w:docPart w:val="DefaultPlaceholder_-1854013440"/>
          </w:placeholder>
        </w:sdtPr>
        <w:sdtContent>
          <w:r w:rsidR="00E43F65" w:rsidRPr="00E43F65">
            <w:rPr>
              <w:rFonts w:ascii="Arial" w:hAnsi="Arial" w:cs="Arial"/>
              <w:color w:val="000000"/>
            </w:rPr>
            <w:t>Baker et al. (2016)</w:t>
          </w:r>
        </w:sdtContent>
      </w:sdt>
      <w:r w:rsidRPr="000156E6">
        <w:rPr>
          <w:rFonts w:ascii="Arial" w:hAnsi="Arial" w:cs="Arial"/>
        </w:rPr>
        <w:t>. The index is based on the annual frequency of news articles containing keywords related to uncertainty, economic conditions, and policy actions. Articles are collected from five major Indonesian online news outlets: detik.com, kompas.com, tribunnews.com, okezone.com, and cnnindonesia.com, selected for their national coverage and credibility</w:t>
      </w:r>
      <w:r w:rsidR="0086722C">
        <w:rPr>
          <w:rFonts w:ascii="Arial" w:hAnsi="Arial" w:cs="Arial"/>
        </w:rPr>
        <w:t>.</w:t>
      </w:r>
      <w:r w:rsidRPr="000156E6">
        <w:rPr>
          <w:rFonts w:ascii="Arial" w:hAnsi="Arial" w:cs="Arial"/>
        </w:rPr>
        <w:t xml:space="preserve"> The resulting article counts are normalized and standardized using Z-scores to control for heterogeneity across media sources.</w:t>
      </w:r>
      <w:r w:rsidR="00253389">
        <w:rPr>
          <w:rFonts w:ascii="Arial" w:hAnsi="Arial" w:cs="Arial"/>
        </w:rPr>
        <w:t xml:space="preserve"> </w:t>
      </w:r>
      <w:r w:rsidRPr="000156E6">
        <w:rPr>
          <w:rFonts w:ascii="Arial" w:hAnsi="Arial" w:cs="Arial"/>
        </w:rPr>
        <w:t>Geopolitical risk is measured using the Indonesia-specific Geopolitical Risk Index</w:t>
      </w:r>
      <w:r w:rsidR="0086722C">
        <w:rPr>
          <w:rFonts w:ascii="Arial" w:hAnsi="Arial" w:cs="Arial"/>
        </w:rPr>
        <w:t xml:space="preserve">, developed by </w:t>
      </w:r>
      <w:sdt>
        <w:sdtPr>
          <w:rPr>
            <w:rFonts w:ascii="Arial" w:hAnsi="Arial" w:cs="Arial"/>
            <w:color w:val="000000"/>
          </w:rPr>
          <w:tag w:val="MENDELEY_CITATION_v3_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"/>
          <w:id w:val="123195216"/>
          <w:placeholder>
            <w:docPart w:val="DefaultPlaceholder_-1854013440"/>
          </w:placeholder>
        </w:sdtPr>
        <w:sdtContent>
          <w:r w:rsidR="00E43F65" w:rsidRPr="00E43F65">
            <w:rPr>
              <w:rFonts w:ascii="Arial" w:hAnsi="Arial" w:cs="Arial"/>
              <w:color w:val="000000"/>
            </w:rPr>
            <w:t>Caldara &amp; Iacoviell (2022)</w:t>
          </w:r>
        </w:sdtContent>
      </w:sdt>
      <w:r w:rsidR="0086722C">
        <w:rPr>
          <w:rFonts w:ascii="Arial" w:hAnsi="Arial" w:cs="Arial"/>
        </w:rPr>
        <w:t xml:space="preserve">, which is </w:t>
      </w:r>
      <w:r w:rsidRPr="000156E6">
        <w:rPr>
          <w:rFonts w:ascii="Arial" w:hAnsi="Arial" w:cs="Arial"/>
        </w:rPr>
        <w:t>obtained from policyuncertainty.com. The index is constructed from international newspaper coverage of geopolitical threats explicitly referring to Indonesia. Monthly GPR values are aggregated into annual averages to align with the annual crash risk measures, following recent empirical studies.</w:t>
      </w:r>
      <w:r w:rsidR="00253389">
        <w:rPr>
          <w:rFonts w:ascii="Arial" w:hAnsi="Arial" w:cs="Arial"/>
        </w:rPr>
        <w:t xml:space="preserve"> </w:t>
      </w:r>
      <w:r w:rsidRPr="000156E6">
        <w:rPr>
          <w:rFonts w:ascii="Arial" w:hAnsi="Arial" w:cs="Arial"/>
        </w:rPr>
        <w:t>CEO power is proxied by CEO duality, adapted to Indonesia’s two-tier corporate governance system. Consistent with prior studies, CEO duality is defined as a situation in which the CEO simultaneously holds a commissioner position or has family ties with members of the board of commissioners. This variable is measured as a binary indicator, equal to one when CEO duality is present and zero otherwise. Data on CEO duality are manually collected from firms’ annual reports and official disclosures.</w:t>
      </w:r>
    </w:p>
    <w:p w14:paraId="385BAAA9" w14:textId="77777777" w:rsidR="000156E6" w:rsidRPr="000156E6" w:rsidRDefault="000156E6" w:rsidP="000156E6">
      <w:pPr>
        <w:pStyle w:val="Body"/>
        <w:spacing w:after="0"/>
        <w:rPr>
          <w:rFonts w:ascii="Arial" w:hAnsi="Arial" w:cs="Arial"/>
        </w:rPr>
      </w:pPr>
    </w:p>
    <w:p w14:paraId="32EAB578" w14:textId="7C7375CA" w:rsidR="00790ADA" w:rsidRPr="00FB3A86" w:rsidRDefault="000156E6" w:rsidP="00441B6F">
      <w:pPr>
        <w:pStyle w:val="Body"/>
        <w:spacing w:after="0"/>
        <w:rPr>
          <w:rFonts w:ascii="Arial" w:hAnsi="Arial" w:cs="Arial"/>
        </w:rPr>
      </w:pPr>
      <w:r w:rsidRPr="000156E6">
        <w:rPr>
          <w:rFonts w:ascii="Arial" w:hAnsi="Arial" w:cs="Arial"/>
        </w:rPr>
        <w:t xml:space="preserve">All variables are organized into an annual firm-level panel dataset. The data are processed and analyzed using </w:t>
      </w:r>
      <w:r>
        <w:rPr>
          <w:rFonts w:ascii="Arial" w:hAnsi="Arial" w:cs="Arial"/>
        </w:rPr>
        <w:t>EViews</w:t>
      </w:r>
      <w:r w:rsidRPr="000156E6">
        <w:rPr>
          <w:rFonts w:ascii="Arial" w:hAnsi="Arial" w:cs="Arial"/>
        </w:rPr>
        <w:t>. The panel structure is declared using firm identifiers and year indicators. Prior to estimation, the data are screened for missing values, duplicated observations, and extreme outliers. Where necessary, winsorization is applied to reduce the influence of extreme values.</w:t>
      </w:r>
    </w:p>
    <w:p w14:paraId="79B675A7" w14:textId="77777777" w:rsidR="00790ADA" w:rsidRPr="00FB3A86" w:rsidRDefault="00790ADA" w:rsidP="00441B6F">
      <w:pPr>
        <w:pStyle w:val="Body"/>
        <w:spacing w:after="0"/>
        <w:rPr>
          <w:rFonts w:ascii="Arial" w:hAnsi="Arial" w:cs="Arial"/>
        </w:rPr>
      </w:pPr>
    </w:p>
    <w:p w14:paraId="67CC8B7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0F418D" w14:textId="77777777" w:rsidR="00790ADA" w:rsidRPr="00FB3A86" w:rsidRDefault="00790ADA" w:rsidP="00441B6F">
      <w:pPr>
        <w:pStyle w:val="Head1"/>
        <w:spacing w:after="0"/>
        <w:jc w:val="both"/>
        <w:rPr>
          <w:rFonts w:ascii="Arial" w:hAnsi="Arial" w:cs="Arial"/>
        </w:rPr>
      </w:pPr>
    </w:p>
    <w:p w14:paraId="5FD1BFEE" w14:textId="3EDFBC9A" w:rsidR="0086722C" w:rsidRDefault="0086722C"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r w:rsidRPr="00C30A0F">
        <w:rPr>
          <w:rFonts w:ascii="Arial" w:hAnsi="Arial" w:cs="Arial"/>
          <w:b/>
          <w:sz w:val="22"/>
        </w:rPr>
        <w:t xml:space="preserve"> </w:t>
      </w:r>
    </w:p>
    <w:p w14:paraId="1D6914A8" w14:textId="707AB1D8" w:rsidR="0086722C" w:rsidRPr="0086722C" w:rsidRDefault="0086722C" w:rsidP="0086722C">
      <w:pPr>
        <w:pStyle w:val="Body"/>
        <w:spacing w:after="0"/>
        <w:rPr>
          <w:rFonts w:ascii="Arial" w:hAnsi="Arial" w:cs="Arial"/>
        </w:rPr>
      </w:pPr>
      <w:r>
        <w:rPr>
          <w:rFonts w:ascii="Arial" w:hAnsi="Arial" w:cs="Arial"/>
          <w:b/>
          <w:u w:val="single"/>
        </w:rPr>
        <w:lastRenderedPageBreak/>
        <w:t>3</w:t>
      </w:r>
      <w:r w:rsidRPr="00902823">
        <w:rPr>
          <w:rFonts w:ascii="Arial" w:hAnsi="Arial" w:cs="Arial"/>
          <w:b/>
          <w:u w:val="single"/>
        </w:rPr>
        <w:t xml:space="preserve">.1.1 </w:t>
      </w:r>
      <w:r w:rsidRPr="0086722C">
        <w:rPr>
          <w:rFonts w:ascii="Arial" w:hAnsi="Arial" w:cs="Arial"/>
          <w:b/>
          <w:u w:val="single"/>
        </w:rPr>
        <w:t>Data Description</w:t>
      </w:r>
    </w:p>
    <w:p w14:paraId="1ECB613C" w14:textId="03787910" w:rsidR="0086722C" w:rsidRDefault="009201FB" w:rsidP="009201FB">
      <w:pPr>
        <w:pStyle w:val="Body"/>
        <w:rPr>
          <w:rFonts w:ascii="Arial" w:hAnsi="Arial" w:cs="Arial"/>
        </w:rPr>
      </w:pPr>
      <w:r w:rsidRPr="009201FB">
        <w:rPr>
          <w:rFonts w:ascii="Arial" w:hAnsi="Arial" w:cs="Arial"/>
        </w:rPr>
        <w:t>study employs panel data consisting of 2,761 firm-year observations from 251 listed companies over the period 2014–2024, processed using EViews 13 in a long panel format. Descriptive statistics for all variables are reported in Table 1, including the mean, median, minimum, maximum, and standard deviation. The Jarque–Bera test results indicate that most variables deviate from normality, which is common in firm-level financial data.</w:t>
      </w:r>
      <w:r>
        <w:rPr>
          <w:rFonts w:ascii="Arial" w:hAnsi="Arial" w:cs="Arial"/>
        </w:rPr>
        <w:t xml:space="preserve"> </w:t>
      </w:r>
      <w:r w:rsidRPr="009201FB">
        <w:rPr>
          <w:rFonts w:ascii="Arial" w:hAnsi="Arial" w:cs="Arial"/>
        </w:rPr>
        <w:t>The stock price crash risk variables, measured by NCSKEW (Y1) and DUVOL (Y2), are reported in Table 1 in their absolute residual form (ABSRESY1 and ABSRESY2). This transformation is applied to reduce the influence of extreme observations and to capture the magnitude of crash-related deviations rather than their direction. As shown in Table 1, the crash risk proxies exhibit right-skewed and leptokurtic distributions, reflecting the rare-event nature of stock price crashes. Consistent with</w:t>
      </w:r>
      <w:r>
        <w:rPr>
          <w:rFonts w:ascii="Arial" w:hAnsi="Arial" w:cs="Arial"/>
        </w:rPr>
        <w:t xml:space="preserve"> </w:t>
      </w:r>
      <w:sdt>
        <w:sdtPr>
          <w:rPr>
            <w:rFonts w:ascii="Arial" w:hAnsi="Arial" w:cs="Arial"/>
            <w:color w:val="000000"/>
          </w:rPr>
          <w:tag w:val="MENDELEY_CITATION_v3_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"/>
          <w:id w:val="-1718806255"/>
          <w:placeholder>
            <w:docPart w:val="DefaultPlaceholder_-1854013440"/>
          </w:placeholder>
        </w:sdtPr>
        <w:sdtContent>
          <w:r w:rsidR="00E43F65" w:rsidRPr="00E43F65">
            <w:rPr>
              <w:rFonts w:ascii="Arial" w:hAnsi="Arial" w:cs="Arial"/>
              <w:color w:val="000000"/>
            </w:rPr>
            <w:t>Gujarati &amp; Porter (2009)</w:t>
          </w:r>
        </w:sdtContent>
      </w:sdt>
      <w:r w:rsidR="0086722C" w:rsidRPr="0086722C">
        <w:rPr>
          <w:rFonts w:ascii="Arial" w:hAnsi="Arial" w:cs="Arial"/>
        </w:rPr>
        <w:t xml:space="preserve">, </w:t>
      </w:r>
      <w:r w:rsidRPr="009201FB">
        <w:rPr>
          <w:rFonts w:ascii="Arial" w:hAnsi="Arial" w:cs="Arial"/>
        </w:rPr>
        <w:t>the use of absolute residuals helps stabilize the variance and improves the robustness of subsequent panel regression estimates without affecting the underlying interpretation of crash risk intensity.</w:t>
      </w:r>
    </w:p>
    <w:p w14:paraId="67F5C54E" w14:textId="77777777" w:rsidR="0086722C" w:rsidRPr="0086722C" w:rsidRDefault="0086722C" w:rsidP="0086722C">
      <w:pPr>
        <w:pStyle w:val="Body"/>
        <w:spacing w:after="0"/>
        <w:rPr>
          <w:rFonts w:ascii="Arial" w:hAnsi="Arial" w:cs="Arial"/>
        </w:rPr>
      </w:pPr>
    </w:p>
    <w:p w14:paraId="2ED66A24" w14:textId="55478F82" w:rsidR="0086722C" w:rsidRDefault="0086722C" w:rsidP="0086722C">
      <w:pPr>
        <w:tabs>
          <w:tab w:val="left" w:pos="1080"/>
        </w:tabs>
        <w:jc w:val="center"/>
        <w:rPr>
          <w:rFonts w:ascii="Arial" w:hAnsi="Arial"/>
          <w:b/>
        </w:rPr>
      </w:pPr>
      <w:r>
        <w:rPr>
          <w:rFonts w:ascii="Arial" w:hAnsi="Arial"/>
          <w:b/>
        </w:rPr>
        <w:t xml:space="preserve">Table 1. </w:t>
      </w:r>
      <w:r w:rsidRPr="0086722C">
        <w:rPr>
          <w:rFonts w:ascii="Arial" w:hAnsi="Arial"/>
          <w:b/>
        </w:rPr>
        <w:t>Data Description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
      <w:tblGrid>
        <w:gridCol w:w="1404"/>
        <w:gridCol w:w="1249"/>
        <w:gridCol w:w="1249"/>
        <w:gridCol w:w="1005"/>
        <w:gridCol w:w="1005"/>
        <w:gridCol w:w="1005"/>
      </w:tblGrid>
      <w:tr w:rsidR="009201FB" w:rsidRPr="009201FB" w14:paraId="5176177C" w14:textId="77777777" w:rsidTr="009201FB">
        <w:trPr>
          <w:trHeight w:val="57"/>
          <w:jc w:val="center"/>
        </w:trPr>
        <w:tc>
          <w:tcPr>
            <w:tcW w:w="0" w:type="auto"/>
            <w:tcBorders>
              <w:top w:val="single" w:sz="4" w:space="0" w:color="auto"/>
              <w:bottom w:val="single" w:sz="4" w:space="0" w:color="auto"/>
            </w:tcBorders>
            <w:vAlign w:val="center"/>
          </w:tcPr>
          <w:p w14:paraId="45D2C857" w14:textId="77777777" w:rsidR="009201FB" w:rsidRPr="009201FB" w:rsidRDefault="009201FB" w:rsidP="009201FB">
            <w:pPr>
              <w:pStyle w:val="Body"/>
              <w:spacing w:after="0"/>
              <w:jc w:val="center"/>
              <w:rPr>
                <w:rFonts w:ascii="Arial" w:hAnsi="Arial" w:cs="Arial"/>
                <w:b/>
                <w:bCs/>
                <w:sz w:val="20"/>
                <w:szCs w:val="20"/>
                <w:lang w:val="en-ID"/>
              </w:rPr>
            </w:pPr>
          </w:p>
        </w:tc>
        <w:tc>
          <w:tcPr>
            <w:tcW w:w="0" w:type="auto"/>
            <w:tcBorders>
              <w:top w:val="single" w:sz="4" w:space="0" w:color="auto"/>
              <w:bottom w:val="single" w:sz="4" w:space="0" w:color="auto"/>
            </w:tcBorders>
            <w:vAlign w:val="center"/>
          </w:tcPr>
          <w:p w14:paraId="425C9EA0" w14:textId="77777777" w:rsidR="009201FB" w:rsidRPr="009201FB" w:rsidRDefault="009201FB" w:rsidP="009201FB">
            <w:pPr>
              <w:pStyle w:val="Body"/>
              <w:spacing w:after="0"/>
              <w:jc w:val="center"/>
              <w:rPr>
                <w:rFonts w:ascii="Arial" w:hAnsi="Arial" w:cs="Arial"/>
                <w:b/>
                <w:bCs/>
                <w:sz w:val="20"/>
                <w:szCs w:val="20"/>
                <w:lang w:val="en-ID"/>
              </w:rPr>
            </w:pPr>
            <w:r w:rsidRPr="009201FB">
              <w:rPr>
                <w:rFonts w:ascii="Arial" w:hAnsi="Arial" w:cs="Arial"/>
                <w:b/>
                <w:bCs/>
                <w:sz w:val="20"/>
                <w:szCs w:val="20"/>
                <w:lang w:val="en-ID"/>
              </w:rPr>
              <w:t>ABSRESY1</w:t>
            </w:r>
          </w:p>
        </w:tc>
        <w:tc>
          <w:tcPr>
            <w:tcW w:w="0" w:type="auto"/>
            <w:tcBorders>
              <w:top w:val="single" w:sz="4" w:space="0" w:color="auto"/>
              <w:bottom w:val="single" w:sz="4" w:space="0" w:color="auto"/>
            </w:tcBorders>
            <w:vAlign w:val="center"/>
          </w:tcPr>
          <w:p w14:paraId="763E44FA" w14:textId="77777777" w:rsidR="009201FB" w:rsidRPr="009201FB" w:rsidRDefault="009201FB" w:rsidP="009201FB">
            <w:pPr>
              <w:pStyle w:val="Body"/>
              <w:spacing w:after="0"/>
              <w:jc w:val="center"/>
              <w:rPr>
                <w:rFonts w:ascii="Arial" w:hAnsi="Arial" w:cs="Arial"/>
                <w:b/>
                <w:bCs/>
                <w:sz w:val="20"/>
                <w:szCs w:val="20"/>
                <w:lang w:val="en-ID"/>
              </w:rPr>
            </w:pPr>
            <w:r w:rsidRPr="009201FB">
              <w:rPr>
                <w:rFonts w:ascii="Arial" w:hAnsi="Arial" w:cs="Arial"/>
                <w:b/>
                <w:bCs/>
                <w:sz w:val="20"/>
                <w:szCs w:val="20"/>
                <w:lang w:val="en-ID"/>
              </w:rPr>
              <w:t>ABSRESY2</w:t>
            </w:r>
          </w:p>
        </w:tc>
        <w:tc>
          <w:tcPr>
            <w:tcW w:w="0" w:type="auto"/>
            <w:tcBorders>
              <w:top w:val="single" w:sz="4" w:space="0" w:color="auto"/>
              <w:bottom w:val="single" w:sz="4" w:space="0" w:color="auto"/>
            </w:tcBorders>
            <w:vAlign w:val="center"/>
          </w:tcPr>
          <w:p w14:paraId="4DE91764" w14:textId="77777777" w:rsidR="009201FB" w:rsidRPr="009201FB" w:rsidRDefault="009201FB" w:rsidP="009201FB">
            <w:pPr>
              <w:pStyle w:val="Body"/>
              <w:spacing w:after="0"/>
              <w:jc w:val="center"/>
              <w:rPr>
                <w:rFonts w:ascii="Arial" w:hAnsi="Arial" w:cs="Arial"/>
                <w:b/>
                <w:bCs/>
                <w:sz w:val="20"/>
                <w:szCs w:val="20"/>
                <w:lang w:val="en-ID"/>
              </w:rPr>
            </w:pPr>
            <w:r w:rsidRPr="009201FB">
              <w:rPr>
                <w:rFonts w:ascii="Arial" w:hAnsi="Arial" w:cs="Arial"/>
                <w:b/>
                <w:bCs/>
                <w:sz w:val="20"/>
                <w:szCs w:val="20"/>
                <w:lang w:val="en-ID"/>
              </w:rPr>
              <w:t>X3</w:t>
            </w:r>
          </w:p>
        </w:tc>
        <w:tc>
          <w:tcPr>
            <w:tcW w:w="0" w:type="auto"/>
            <w:tcBorders>
              <w:top w:val="single" w:sz="4" w:space="0" w:color="auto"/>
              <w:bottom w:val="single" w:sz="4" w:space="0" w:color="auto"/>
            </w:tcBorders>
            <w:vAlign w:val="center"/>
          </w:tcPr>
          <w:p w14:paraId="023338D0" w14:textId="77777777" w:rsidR="009201FB" w:rsidRPr="009201FB" w:rsidRDefault="009201FB" w:rsidP="009201FB">
            <w:pPr>
              <w:pStyle w:val="Body"/>
              <w:spacing w:after="0"/>
              <w:jc w:val="center"/>
              <w:rPr>
                <w:rFonts w:ascii="Arial" w:hAnsi="Arial" w:cs="Arial"/>
                <w:b/>
                <w:bCs/>
                <w:sz w:val="20"/>
                <w:szCs w:val="20"/>
                <w:lang w:val="en-ID"/>
              </w:rPr>
            </w:pPr>
            <w:r w:rsidRPr="009201FB">
              <w:rPr>
                <w:rFonts w:ascii="Arial" w:hAnsi="Arial" w:cs="Arial"/>
                <w:b/>
                <w:bCs/>
                <w:sz w:val="20"/>
                <w:szCs w:val="20"/>
                <w:lang w:val="en-ID"/>
              </w:rPr>
              <w:t>X2</w:t>
            </w:r>
          </w:p>
        </w:tc>
        <w:tc>
          <w:tcPr>
            <w:tcW w:w="0" w:type="auto"/>
            <w:tcBorders>
              <w:top w:val="single" w:sz="4" w:space="0" w:color="auto"/>
              <w:bottom w:val="single" w:sz="4" w:space="0" w:color="auto"/>
            </w:tcBorders>
            <w:vAlign w:val="center"/>
          </w:tcPr>
          <w:p w14:paraId="0217431B" w14:textId="77777777" w:rsidR="009201FB" w:rsidRPr="009201FB" w:rsidRDefault="009201FB" w:rsidP="009201FB">
            <w:pPr>
              <w:pStyle w:val="Body"/>
              <w:spacing w:after="0"/>
              <w:jc w:val="center"/>
              <w:rPr>
                <w:rFonts w:ascii="Arial" w:hAnsi="Arial" w:cs="Arial"/>
                <w:b/>
                <w:bCs/>
                <w:sz w:val="20"/>
                <w:szCs w:val="20"/>
                <w:lang w:val="en-ID"/>
              </w:rPr>
            </w:pPr>
            <w:r w:rsidRPr="009201FB">
              <w:rPr>
                <w:rFonts w:ascii="Arial" w:hAnsi="Arial" w:cs="Arial"/>
                <w:b/>
                <w:bCs/>
                <w:sz w:val="20"/>
                <w:szCs w:val="20"/>
                <w:lang w:val="en-ID"/>
              </w:rPr>
              <w:t>X1</w:t>
            </w:r>
          </w:p>
        </w:tc>
      </w:tr>
      <w:tr w:rsidR="009201FB" w:rsidRPr="009201FB" w14:paraId="77E59E3A" w14:textId="77777777" w:rsidTr="009201FB">
        <w:trPr>
          <w:trHeight w:val="57"/>
          <w:jc w:val="center"/>
        </w:trPr>
        <w:tc>
          <w:tcPr>
            <w:tcW w:w="0" w:type="auto"/>
            <w:tcBorders>
              <w:top w:val="single" w:sz="4" w:space="0" w:color="auto"/>
            </w:tcBorders>
            <w:vAlign w:val="center"/>
          </w:tcPr>
          <w:p w14:paraId="3A6FD51F" w14:textId="3DC9F59E"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Mean</w:t>
            </w:r>
          </w:p>
        </w:tc>
        <w:tc>
          <w:tcPr>
            <w:tcW w:w="0" w:type="auto"/>
            <w:tcBorders>
              <w:top w:val="single" w:sz="4" w:space="0" w:color="auto"/>
            </w:tcBorders>
            <w:vAlign w:val="center"/>
          </w:tcPr>
          <w:p w14:paraId="6F4FD9BB" w14:textId="07E0852B"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0.323118</w:t>
            </w:r>
          </w:p>
        </w:tc>
        <w:tc>
          <w:tcPr>
            <w:tcW w:w="0" w:type="auto"/>
            <w:tcBorders>
              <w:top w:val="single" w:sz="4" w:space="0" w:color="auto"/>
            </w:tcBorders>
            <w:vAlign w:val="center"/>
          </w:tcPr>
          <w:p w14:paraId="6560C21C" w14:textId="4B618322"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9.45E+12</w:t>
            </w:r>
          </w:p>
        </w:tc>
        <w:tc>
          <w:tcPr>
            <w:tcW w:w="0" w:type="auto"/>
            <w:tcBorders>
              <w:top w:val="single" w:sz="4" w:space="0" w:color="auto"/>
            </w:tcBorders>
            <w:vAlign w:val="center"/>
          </w:tcPr>
          <w:p w14:paraId="4C038AA8" w14:textId="76F09840"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0.115176</w:t>
            </w:r>
          </w:p>
        </w:tc>
        <w:tc>
          <w:tcPr>
            <w:tcW w:w="0" w:type="auto"/>
            <w:tcBorders>
              <w:top w:val="single" w:sz="4" w:space="0" w:color="auto"/>
            </w:tcBorders>
            <w:vAlign w:val="center"/>
          </w:tcPr>
          <w:p w14:paraId="3EEB2ABE" w14:textId="070DB47B"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0.197273</w:t>
            </w:r>
          </w:p>
        </w:tc>
        <w:tc>
          <w:tcPr>
            <w:tcW w:w="0" w:type="auto"/>
            <w:tcBorders>
              <w:top w:val="single" w:sz="4" w:space="0" w:color="auto"/>
            </w:tcBorders>
            <w:vAlign w:val="center"/>
          </w:tcPr>
          <w:p w14:paraId="5ED3A173" w14:textId="33D19572"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100.0909</w:t>
            </w:r>
          </w:p>
        </w:tc>
      </w:tr>
      <w:tr w:rsidR="009201FB" w:rsidRPr="009201FB" w14:paraId="5FE7EC5A" w14:textId="77777777" w:rsidTr="009201FB">
        <w:trPr>
          <w:trHeight w:val="57"/>
          <w:jc w:val="center"/>
        </w:trPr>
        <w:tc>
          <w:tcPr>
            <w:tcW w:w="0" w:type="auto"/>
            <w:vAlign w:val="center"/>
          </w:tcPr>
          <w:p w14:paraId="3EF41506" w14:textId="0A5F0A30"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Median</w:t>
            </w:r>
          </w:p>
        </w:tc>
        <w:tc>
          <w:tcPr>
            <w:tcW w:w="0" w:type="auto"/>
            <w:vAlign w:val="center"/>
          </w:tcPr>
          <w:p w14:paraId="34D76E0F" w14:textId="7B1689C2"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0.110000</w:t>
            </w:r>
          </w:p>
        </w:tc>
        <w:tc>
          <w:tcPr>
            <w:tcW w:w="0" w:type="auto"/>
            <w:vAlign w:val="center"/>
          </w:tcPr>
          <w:p w14:paraId="47A5F7FC" w14:textId="2AAFCBC4"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4.76E+12</w:t>
            </w:r>
          </w:p>
        </w:tc>
        <w:tc>
          <w:tcPr>
            <w:tcW w:w="0" w:type="auto"/>
            <w:vAlign w:val="center"/>
          </w:tcPr>
          <w:p w14:paraId="452763C6" w14:textId="3528F472"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0.000000</w:t>
            </w:r>
          </w:p>
        </w:tc>
        <w:tc>
          <w:tcPr>
            <w:tcW w:w="0" w:type="auto"/>
            <w:vAlign w:val="center"/>
          </w:tcPr>
          <w:p w14:paraId="132B8BFB" w14:textId="7F3695DF"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0.170000</w:t>
            </w:r>
          </w:p>
        </w:tc>
        <w:tc>
          <w:tcPr>
            <w:tcW w:w="0" w:type="auto"/>
            <w:vAlign w:val="center"/>
          </w:tcPr>
          <w:p w14:paraId="08A5E8FD" w14:textId="6C2091C2"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96.80000</w:t>
            </w:r>
          </w:p>
        </w:tc>
      </w:tr>
      <w:tr w:rsidR="009201FB" w:rsidRPr="009201FB" w14:paraId="1C3DAD95" w14:textId="77777777" w:rsidTr="009201FB">
        <w:trPr>
          <w:trHeight w:val="57"/>
          <w:jc w:val="center"/>
        </w:trPr>
        <w:tc>
          <w:tcPr>
            <w:tcW w:w="0" w:type="auto"/>
            <w:vAlign w:val="center"/>
          </w:tcPr>
          <w:p w14:paraId="5F632C9C" w14:textId="3884A228"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Maximum</w:t>
            </w:r>
          </w:p>
        </w:tc>
        <w:tc>
          <w:tcPr>
            <w:tcW w:w="0" w:type="auto"/>
            <w:vAlign w:val="center"/>
          </w:tcPr>
          <w:p w14:paraId="7AB3366F" w14:textId="534DBAE9"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11.56000</w:t>
            </w:r>
          </w:p>
        </w:tc>
        <w:tc>
          <w:tcPr>
            <w:tcW w:w="0" w:type="auto"/>
            <w:vAlign w:val="center"/>
          </w:tcPr>
          <w:p w14:paraId="483C3164" w14:textId="68086970"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1.09E+16</w:t>
            </w:r>
          </w:p>
        </w:tc>
        <w:tc>
          <w:tcPr>
            <w:tcW w:w="0" w:type="auto"/>
            <w:vAlign w:val="center"/>
          </w:tcPr>
          <w:p w14:paraId="483FA6EA" w14:textId="25C1E400"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1.000000</w:t>
            </w:r>
          </w:p>
        </w:tc>
        <w:tc>
          <w:tcPr>
            <w:tcW w:w="0" w:type="auto"/>
            <w:vAlign w:val="center"/>
          </w:tcPr>
          <w:p w14:paraId="4CF333D4" w14:textId="1A54A693"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0.320000</w:t>
            </w:r>
          </w:p>
        </w:tc>
        <w:tc>
          <w:tcPr>
            <w:tcW w:w="0" w:type="auto"/>
            <w:vAlign w:val="center"/>
          </w:tcPr>
          <w:p w14:paraId="2918172C" w14:textId="3C870F53"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145.9000</w:t>
            </w:r>
          </w:p>
        </w:tc>
      </w:tr>
      <w:tr w:rsidR="009201FB" w:rsidRPr="009201FB" w14:paraId="33ECD745" w14:textId="77777777" w:rsidTr="009201FB">
        <w:trPr>
          <w:trHeight w:val="57"/>
          <w:jc w:val="center"/>
        </w:trPr>
        <w:tc>
          <w:tcPr>
            <w:tcW w:w="0" w:type="auto"/>
            <w:vAlign w:val="center"/>
          </w:tcPr>
          <w:p w14:paraId="0538E242" w14:textId="2463A64A"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Minimum</w:t>
            </w:r>
          </w:p>
        </w:tc>
        <w:tc>
          <w:tcPr>
            <w:tcW w:w="0" w:type="auto"/>
            <w:vAlign w:val="center"/>
          </w:tcPr>
          <w:p w14:paraId="724CA922" w14:textId="1DEF3522"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0.070000</w:t>
            </w:r>
          </w:p>
        </w:tc>
        <w:tc>
          <w:tcPr>
            <w:tcW w:w="0" w:type="auto"/>
            <w:vAlign w:val="center"/>
          </w:tcPr>
          <w:p w14:paraId="02016F2C" w14:textId="7CD6216E"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4.00E+11</w:t>
            </w:r>
          </w:p>
        </w:tc>
        <w:tc>
          <w:tcPr>
            <w:tcW w:w="0" w:type="auto"/>
            <w:vAlign w:val="center"/>
          </w:tcPr>
          <w:p w14:paraId="0C129B2B" w14:textId="3DCD6F20"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0.000000</w:t>
            </w:r>
          </w:p>
        </w:tc>
        <w:tc>
          <w:tcPr>
            <w:tcW w:w="0" w:type="auto"/>
            <w:vAlign w:val="center"/>
          </w:tcPr>
          <w:p w14:paraId="40D76C3B" w14:textId="0D2CE356"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0.140000</w:t>
            </w:r>
          </w:p>
        </w:tc>
        <w:tc>
          <w:tcPr>
            <w:tcW w:w="0" w:type="auto"/>
            <w:vAlign w:val="center"/>
          </w:tcPr>
          <w:p w14:paraId="235FF954" w14:textId="0E1A2360"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61.90000</w:t>
            </w:r>
          </w:p>
        </w:tc>
      </w:tr>
      <w:tr w:rsidR="009201FB" w:rsidRPr="009201FB" w14:paraId="58231553" w14:textId="77777777" w:rsidTr="009201FB">
        <w:trPr>
          <w:trHeight w:val="57"/>
          <w:jc w:val="center"/>
        </w:trPr>
        <w:tc>
          <w:tcPr>
            <w:tcW w:w="0" w:type="auto"/>
            <w:vAlign w:val="center"/>
          </w:tcPr>
          <w:p w14:paraId="200B3E0C" w14:textId="1BCBD825"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Std. Dev.</w:t>
            </w:r>
          </w:p>
        </w:tc>
        <w:tc>
          <w:tcPr>
            <w:tcW w:w="0" w:type="auto"/>
            <w:vAlign w:val="center"/>
          </w:tcPr>
          <w:p w14:paraId="6A580CE0" w14:textId="762FB4BE"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1.305976</w:t>
            </w:r>
          </w:p>
        </w:tc>
        <w:tc>
          <w:tcPr>
            <w:tcW w:w="0" w:type="auto"/>
            <w:vAlign w:val="center"/>
          </w:tcPr>
          <w:p w14:paraId="4EF2E842" w14:textId="1F35CACC"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2.08E+14</w:t>
            </w:r>
          </w:p>
        </w:tc>
        <w:tc>
          <w:tcPr>
            <w:tcW w:w="0" w:type="auto"/>
            <w:vAlign w:val="center"/>
          </w:tcPr>
          <w:p w14:paraId="57C5019E" w14:textId="6DB1ABA1"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0.319292</w:t>
            </w:r>
          </w:p>
        </w:tc>
        <w:tc>
          <w:tcPr>
            <w:tcW w:w="0" w:type="auto"/>
            <w:vAlign w:val="center"/>
          </w:tcPr>
          <w:p w14:paraId="3BDBFBD7" w14:textId="5412302E"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0.055621</w:t>
            </w:r>
          </w:p>
        </w:tc>
        <w:tc>
          <w:tcPr>
            <w:tcW w:w="0" w:type="auto"/>
            <w:vAlign w:val="center"/>
          </w:tcPr>
          <w:p w14:paraId="01594119" w14:textId="58CF35BE"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28.12149</w:t>
            </w:r>
          </w:p>
        </w:tc>
      </w:tr>
      <w:tr w:rsidR="009201FB" w:rsidRPr="009201FB" w14:paraId="62D19F32" w14:textId="77777777" w:rsidTr="009201FB">
        <w:trPr>
          <w:trHeight w:val="57"/>
          <w:jc w:val="center"/>
        </w:trPr>
        <w:tc>
          <w:tcPr>
            <w:tcW w:w="0" w:type="auto"/>
            <w:vAlign w:val="center"/>
          </w:tcPr>
          <w:p w14:paraId="54F608AA" w14:textId="204D9C7B"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Skewness</w:t>
            </w:r>
          </w:p>
        </w:tc>
        <w:tc>
          <w:tcPr>
            <w:tcW w:w="0" w:type="auto"/>
            <w:vAlign w:val="center"/>
          </w:tcPr>
          <w:p w14:paraId="7DB73C31" w14:textId="5C78E815"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7.246092</w:t>
            </w:r>
          </w:p>
        </w:tc>
        <w:tc>
          <w:tcPr>
            <w:tcW w:w="0" w:type="auto"/>
            <w:vAlign w:val="center"/>
          </w:tcPr>
          <w:p w14:paraId="798D2D37" w14:textId="256C5FD2"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52.49652</w:t>
            </w:r>
          </w:p>
        </w:tc>
        <w:tc>
          <w:tcPr>
            <w:tcW w:w="0" w:type="auto"/>
            <w:vAlign w:val="center"/>
          </w:tcPr>
          <w:p w14:paraId="380C9C47" w14:textId="49A4CE3C"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2.410925</w:t>
            </w:r>
          </w:p>
        </w:tc>
        <w:tc>
          <w:tcPr>
            <w:tcW w:w="0" w:type="auto"/>
            <w:vAlign w:val="center"/>
          </w:tcPr>
          <w:p w14:paraId="56D42F07" w14:textId="5288B08F"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1.008339</w:t>
            </w:r>
          </w:p>
        </w:tc>
        <w:tc>
          <w:tcPr>
            <w:tcW w:w="0" w:type="auto"/>
            <w:vAlign w:val="center"/>
          </w:tcPr>
          <w:p w14:paraId="251CF437" w14:textId="60EA32D7"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0.234649</w:t>
            </w:r>
          </w:p>
        </w:tc>
      </w:tr>
      <w:tr w:rsidR="009201FB" w:rsidRPr="009201FB" w14:paraId="3E4EFB6A" w14:textId="77777777" w:rsidTr="009201FB">
        <w:trPr>
          <w:trHeight w:val="57"/>
          <w:jc w:val="center"/>
        </w:trPr>
        <w:tc>
          <w:tcPr>
            <w:tcW w:w="0" w:type="auto"/>
            <w:vAlign w:val="center"/>
          </w:tcPr>
          <w:p w14:paraId="1ED52A5E" w14:textId="13AD5A98"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Kurtosis</w:t>
            </w:r>
          </w:p>
        </w:tc>
        <w:tc>
          <w:tcPr>
            <w:tcW w:w="0" w:type="auto"/>
            <w:vAlign w:val="center"/>
          </w:tcPr>
          <w:p w14:paraId="72C70C85" w14:textId="7C792FB0"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56.12818</w:t>
            </w:r>
          </w:p>
        </w:tc>
        <w:tc>
          <w:tcPr>
            <w:tcW w:w="0" w:type="auto"/>
            <w:vAlign w:val="center"/>
          </w:tcPr>
          <w:p w14:paraId="5938493E" w14:textId="5027752A"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2757.590</w:t>
            </w:r>
          </w:p>
        </w:tc>
        <w:tc>
          <w:tcPr>
            <w:tcW w:w="0" w:type="auto"/>
            <w:vAlign w:val="center"/>
          </w:tcPr>
          <w:p w14:paraId="5F5EC456" w14:textId="14C69A69"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6.812558</w:t>
            </w:r>
          </w:p>
        </w:tc>
        <w:tc>
          <w:tcPr>
            <w:tcW w:w="0" w:type="auto"/>
            <w:vAlign w:val="center"/>
          </w:tcPr>
          <w:p w14:paraId="519EF7E6" w14:textId="221E72EE"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2.843835</w:t>
            </w:r>
          </w:p>
        </w:tc>
        <w:tc>
          <w:tcPr>
            <w:tcW w:w="0" w:type="auto"/>
            <w:vAlign w:val="center"/>
          </w:tcPr>
          <w:p w14:paraId="5A991888" w14:textId="052BE490"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1.739635</w:t>
            </w:r>
          </w:p>
        </w:tc>
      </w:tr>
      <w:tr w:rsidR="009201FB" w:rsidRPr="009201FB" w14:paraId="0CE8E1EF" w14:textId="77777777" w:rsidTr="009201FB">
        <w:trPr>
          <w:trHeight w:val="57"/>
          <w:jc w:val="center"/>
        </w:trPr>
        <w:tc>
          <w:tcPr>
            <w:tcW w:w="0" w:type="auto"/>
            <w:vAlign w:val="center"/>
          </w:tcPr>
          <w:p w14:paraId="770FDB76"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3663226C"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142C5A16"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0488B119"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0AFEBAEA"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69556AA3" w14:textId="77777777" w:rsidR="009201FB" w:rsidRPr="009201FB" w:rsidRDefault="009201FB" w:rsidP="009201FB">
            <w:pPr>
              <w:pStyle w:val="Body"/>
              <w:spacing w:after="0"/>
              <w:jc w:val="center"/>
              <w:rPr>
                <w:rFonts w:ascii="Arial" w:hAnsi="Arial" w:cs="Arial"/>
                <w:sz w:val="20"/>
                <w:szCs w:val="20"/>
                <w:lang w:val="en-ID"/>
              </w:rPr>
            </w:pPr>
          </w:p>
        </w:tc>
      </w:tr>
      <w:tr w:rsidR="009201FB" w:rsidRPr="009201FB" w14:paraId="5C684006" w14:textId="77777777" w:rsidTr="009201FB">
        <w:trPr>
          <w:trHeight w:val="57"/>
          <w:jc w:val="center"/>
        </w:trPr>
        <w:tc>
          <w:tcPr>
            <w:tcW w:w="0" w:type="auto"/>
            <w:vAlign w:val="center"/>
          </w:tcPr>
          <w:p w14:paraId="5D3044D2" w14:textId="7FEC2274"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Jarque-Bera</w:t>
            </w:r>
          </w:p>
        </w:tc>
        <w:tc>
          <w:tcPr>
            <w:tcW w:w="0" w:type="auto"/>
            <w:vAlign w:val="center"/>
          </w:tcPr>
          <w:p w14:paraId="1FCD1292" w14:textId="20F2BA8C"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348878.5</w:t>
            </w:r>
          </w:p>
        </w:tc>
        <w:tc>
          <w:tcPr>
            <w:tcW w:w="0" w:type="auto"/>
            <w:vAlign w:val="center"/>
          </w:tcPr>
          <w:p w14:paraId="194E1C32" w14:textId="1AEB50D2"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8.74E+08</w:t>
            </w:r>
          </w:p>
        </w:tc>
        <w:tc>
          <w:tcPr>
            <w:tcW w:w="0" w:type="auto"/>
            <w:vAlign w:val="center"/>
          </w:tcPr>
          <w:p w14:paraId="649C63A2" w14:textId="50885876"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4346.945</w:t>
            </w:r>
          </w:p>
        </w:tc>
        <w:tc>
          <w:tcPr>
            <w:tcW w:w="0" w:type="auto"/>
            <w:vAlign w:val="center"/>
          </w:tcPr>
          <w:p w14:paraId="5EA723E7" w14:textId="19B68E59"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470.6787</w:t>
            </w:r>
          </w:p>
        </w:tc>
        <w:tc>
          <w:tcPr>
            <w:tcW w:w="0" w:type="auto"/>
            <w:vAlign w:val="center"/>
          </w:tcPr>
          <w:p w14:paraId="4D193DE4" w14:textId="0B7F99E4"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208.0828</w:t>
            </w:r>
          </w:p>
        </w:tc>
      </w:tr>
      <w:tr w:rsidR="009201FB" w:rsidRPr="009201FB" w14:paraId="23142F98" w14:textId="77777777" w:rsidTr="009201FB">
        <w:trPr>
          <w:trHeight w:val="57"/>
          <w:jc w:val="center"/>
        </w:trPr>
        <w:tc>
          <w:tcPr>
            <w:tcW w:w="0" w:type="auto"/>
            <w:vAlign w:val="center"/>
          </w:tcPr>
          <w:p w14:paraId="266D0B1C" w14:textId="393F8417"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Probability</w:t>
            </w:r>
          </w:p>
        </w:tc>
        <w:tc>
          <w:tcPr>
            <w:tcW w:w="0" w:type="auto"/>
            <w:vAlign w:val="center"/>
          </w:tcPr>
          <w:p w14:paraId="404FFE59" w14:textId="54BB2C0A"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0.000000</w:t>
            </w:r>
          </w:p>
        </w:tc>
        <w:tc>
          <w:tcPr>
            <w:tcW w:w="0" w:type="auto"/>
            <w:vAlign w:val="center"/>
          </w:tcPr>
          <w:p w14:paraId="57DD799E" w14:textId="2B9552A0"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0.000000</w:t>
            </w:r>
          </w:p>
        </w:tc>
        <w:tc>
          <w:tcPr>
            <w:tcW w:w="0" w:type="auto"/>
            <w:vAlign w:val="center"/>
          </w:tcPr>
          <w:p w14:paraId="668F81B5" w14:textId="1A8F998C"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0.000000</w:t>
            </w:r>
          </w:p>
        </w:tc>
        <w:tc>
          <w:tcPr>
            <w:tcW w:w="0" w:type="auto"/>
            <w:vAlign w:val="center"/>
          </w:tcPr>
          <w:p w14:paraId="2A6FD865" w14:textId="12024609"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0.000000</w:t>
            </w:r>
          </w:p>
        </w:tc>
        <w:tc>
          <w:tcPr>
            <w:tcW w:w="0" w:type="auto"/>
            <w:vAlign w:val="center"/>
          </w:tcPr>
          <w:p w14:paraId="1FCD53CA" w14:textId="7C458741"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0.000000</w:t>
            </w:r>
          </w:p>
        </w:tc>
      </w:tr>
      <w:tr w:rsidR="009201FB" w:rsidRPr="009201FB" w14:paraId="2D47884E" w14:textId="77777777" w:rsidTr="009201FB">
        <w:trPr>
          <w:trHeight w:val="57"/>
          <w:jc w:val="center"/>
        </w:trPr>
        <w:tc>
          <w:tcPr>
            <w:tcW w:w="0" w:type="auto"/>
            <w:vAlign w:val="center"/>
          </w:tcPr>
          <w:p w14:paraId="5872B16F"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430DD9A6"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0563857B"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560480CC"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05CDE608"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46FE852A" w14:textId="77777777" w:rsidR="009201FB" w:rsidRPr="009201FB" w:rsidRDefault="009201FB" w:rsidP="009201FB">
            <w:pPr>
              <w:pStyle w:val="Body"/>
              <w:spacing w:after="0"/>
              <w:jc w:val="center"/>
              <w:rPr>
                <w:rFonts w:ascii="Arial" w:hAnsi="Arial" w:cs="Arial"/>
                <w:sz w:val="20"/>
                <w:szCs w:val="20"/>
                <w:lang w:val="en-ID"/>
              </w:rPr>
            </w:pPr>
          </w:p>
        </w:tc>
      </w:tr>
      <w:tr w:rsidR="009201FB" w:rsidRPr="009201FB" w14:paraId="6EEC08F9" w14:textId="77777777" w:rsidTr="009201FB">
        <w:trPr>
          <w:trHeight w:val="57"/>
          <w:jc w:val="center"/>
        </w:trPr>
        <w:tc>
          <w:tcPr>
            <w:tcW w:w="0" w:type="auto"/>
            <w:vAlign w:val="center"/>
          </w:tcPr>
          <w:p w14:paraId="2C44EF54" w14:textId="1262CD77"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Sum</w:t>
            </w:r>
          </w:p>
        </w:tc>
        <w:tc>
          <w:tcPr>
            <w:tcW w:w="0" w:type="auto"/>
            <w:vAlign w:val="center"/>
          </w:tcPr>
          <w:p w14:paraId="6B9E3EEE" w14:textId="737103A7"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892.1300</w:t>
            </w:r>
          </w:p>
        </w:tc>
        <w:tc>
          <w:tcPr>
            <w:tcW w:w="0" w:type="auto"/>
            <w:vAlign w:val="center"/>
          </w:tcPr>
          <w:p w14:paraId="30E1335D" w14:textId="51A60B10"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2.61E+16</w:t>
            </w:r>
          </w:p>
        </w:tc>
        <w:tc>
          <w:tcPr>
            <w:tcW w:w="0" w:type="auto"/>
            <w:vAlign w:val="center"/>
          </w:tcPr>
          <w:p w14:paraId="4A7C36D9" w14:textId="6A034624"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318.0000</w:t>
            </w:r>
          </w:p>
        </w:tc>
        <w:tc>
          <w:tcPr>
            <w:tcW w:w="0" w:type="auto"/>
            <w:vAlign w:val="center"/>
          </w:tcPr>
          <w:p w14:paraId="1A51084A" w14:textId="1AA6D169"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544.6700</w:t>
            </w:r>
          </w:p>
        </w:tc>
        <w:tc>
          <w:tcPr>
            <w:tcW w:w="0" w:type="auto"/>
            <w:vAlign w:val="center"/>
          </w:tcPr>
          <w:p w14:paraId="31B7B01D" w14:textId="0CBC6611"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276351.0</w:t>
            </w:r>
          </w:p>
        </w:tc>
      </w:tr>
      <w:tr w:rsidR="009201FB" w:rsidRPr="009201FB" w14:paraId="27BC9068" w14:textId="77777777" w:rsidTr="009201FB">
        <w:trPr>
          <w:trHeight w:val="57"/>
          <w:jc w:val="center"/>
        </w:trPr>
        <w:tc>
          <w:tcPr>
            <w:tcW w:w="0" w:type="auto"/>
            <w:vAlign w:val="center"/>
          </w:tcPr>
          <w:p w14:paraId="70211A63" w14:textId="32A44124"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Sum Sq. Dev.</w:t>
            </w:r>
          </w:p>
        </w:tc>
        <w:tc>
          <w:tcPr>
            <w:tcW w:w="0" w:type="auto"/>
            <w:vAlign w:val="center"/>
          </w:tcPr>
          <w:p w14:paraId="40FE3164" w14:textId="6263C6EF"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4707.383</w:t>
            </w:r>
          </w:p>
        </w:tc>
        <w:tc>
          <w:tcPr>
            <w:tcW w:w="0" w:type="auto"/>
            <w:vAlign w:val="center"/>
          </w:tcPr>
          <w:p w14:paraId="72B992AE" w14:textId="28D3BC42"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1.19E+32</w:t>
            </w:r>
          </w:p>
        </w:tc>
        <w:tc>
          <w:tcPr>
            <w:tcW w:w="0" w:type="auto"/>
            <w:vAlign w:val="center"/>
          </w:tcPr>
          <w:p w14:paraId="543D16BE" w14:textId="5DE9E600"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281.3741</w:t>
            </w:r>
          </w:p>
        </w:tc>
        <w:tc>
          <w:tcPr>
            <w:tcW w:w="0" w:type="auto"/>
            <w:vAlign w:val="center"/>
          </w:tcPr>
          <w:p w14:paraId="469E68D7" w14:textId="7129666A"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8.538564</w:t>
            </w:r>
          </w:p>
        </w:tc>
        <w:tc>
          <w:tcPr>
            <w:tcW w:w="0" w:type="auto"/>
            <w:vAlign w:val="center"/>
          </w:tcPr>
          <w:p w14:paraId="4628D693" w14:textId="5C4AD73C"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2182658.</w:t>
            </w:r>
          </w:p>
        </w:tc>
      </w:tr>
      <w:tr w:rsidR="009201FB" w:rsidRPr="009201FB" w14:paraId="506DA0B7" w14:textId="77777777" w:rsidTr="009201FB">
        <w:trPr>
          <w:trHeight w:val="57"/>
          <w:jc w:val="center"/>
        </w:trPr>
        <w:tc>
          <w:tcPr>
            <w:tcW w:w="0" w:type="auto"/>
            <w:vAlign w:val="center"/>
          </w:tcPr>
          <w:p w14:paraId="07FCB8CE"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054A7435"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1458BFAB"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2BBDAF41"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26F929EE" w14:textId="77777777" w:rsidR="009201FB" w:rsidRPr="009201FB" w:rsidRDefault="009201FB" w:rsidP="009201FB">
            <w:pPr>
              <w:pStyle w:val="Body"/>
              <w:spacing w:after="0"/>
              <w:jc w:val="center"/>
              <w:rPr>
                <w:rFonts w:ascii="Arial" w:hAnsi="Arial" w:cs="Arial"/>
                <w:sz w:val="20"/>
                <w:szCs w:val="20"/>
                <w:lang w:val="en-ID"/>
              </w:rPr>
            </w:pPr>
          </w:p>
        </w:tc>
        <w:tc>
          <w:tcPr>
            <w:tcW w:w="0" w:type="auto"/>
            <w:vAlign w:val="center"/>
          </w:tcPr>
          <w:p w14:paraId="3FCA56B8" w14:textId="77777777" w:rsidR="009201FB" w:rsidRPr="009201FB" w:rsidRDefault="009201FB" w:rsidP="009201FB">
            <w:pPr>
              <w:pStyle w:val="Body"/>
              <w:spacing w:after="0"/>
              <w:jc w:val="center"/>
              <w:rPr>
                <w:rFonts w:ascii="Arial" w:hAnsi="Arial" w:cs="Arial"/>
                <w:sz w:val="20"/>
                <w:szCs w:val="20"/>
                <w:lang w:val="en-ID"/>
              </w:rPr>
            </w:pPr>
          </w:p>
        </w:tc>
      </w:tr>
      <w:tr w:rsidR="009201FB" w:rsidRPr="009201FB" w14:paraId="2D42A831" w14:textId="77777777" w:rsidTr="009201FB">
        <w:trPr>
          <w:trHeight w:val="57"/>
          <w:jc w:val="center"/>
        </w:trPr>
        <w:tc>
          <w:tcPr>
            <w:tcW w:w="0" w:type="auto"/>
            <w:tcBorders>
              <w:bottom w:val="single" w:sz="4" w:space="0" w:color="auto"/>
            </w:tcBorders>
            <w:vAlign w:val="center"/>
          </w:tcPr>
          <w:p w14:paraId="18BB7E73" w14:textId="3E2FF3D6"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Observations</w:t>
            </w:r>
          </w:p>
        </w:tc>
        <w:tc>
          <w:tcPr>
            <w:tcW w:w="0" w:type="auto"/>
            <w:tcBorders>
              <w:bottom w:val="single" w:sz="4" w:space="0" w:color="auto"/>
            </w:tcBorders>
            <w:vAlign w:val="center"/>
          </w:tcPr>
          <w:p w14:paraId="6BEEBFD1" w14:textId="50AA26D1"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2761</w:t>
            </w:r>
          </w:p>
        </w:tc>
        <w:tc>
          <w:tcPr>
            <w:tcW w:w="0" w:type="auto"/>
            <w:tcBorders>
              <w:bottom w:val="single" w:sz="4" w:space="0" w:color="auto"/>
            </w:tcBorders>
            <w:vAlign w:val="center"/>
          </w:tcPr>
          <w:p w14:paraId="41419E0D" w14:textId="2AA0041B"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2761</w:t>
            </w:r>
          </w:p>
        </w:tc>
        <w:tc>
          <w:tcPr>
            <w:tcW w:w="0" w:type="auto"/>
            <w:tcBorders>
              <w:bottom w:val="single" w:sz="4" w:space="0" w:color="auto"/>
            </w:tcBorders>
            <w:vAlign w:val="center"/>
          </w:tcPr>
          <w:p w14:paraId="0D592C92" w14:textId="57CA5407"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2761</w:t>
            </w:r>
          </w:p>
        </w:tc>
        <w:tc>
          <w:tcPr>
            <w:tcW w:w="0" w:type="auto"/>
            <w:tcBorders>
              <w:bottom w:val="single" w:sz="4" w:space="0" w:color="auto"/>
            </w:tcBorders>
            <w:vAlign w:val="center"/>
          </w:tcPr>
          <w:p w14:paraId="310F9A55" w14:textId="080670AE"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2761</w:t>
            </w:r>
          </w:p>
        </w:tc>
        <w:tc>
          <w:tcPr>
            <w:tcW w:w="0" w:type="auto"/>
            <w:tcBorders>
              <w:bottom w:val="single" w:sz="4" w:space="0" w:color="auto"/>
            </w:tcBorders>
            <w:vAlign w:val="center"/>
          </w:tcPr>
          <w:p w14:paraId="3EA078AF" w14:textId="7A1D7868" w:rsidR="009201FB" w:rsidRPr="009201FB" w:rsidRDefault="009201FB" w:rsidP="009201FB">
            <w:pPr>
              <w:pStyle w:val="Body"/>
              <w:spacing w:after="0"/>
              <w:jc w:val="center"/>
              <w:rPr>
                <w:rFonts w:ascii="Arial" w:hAnsi="Arial" w:cs="Arial"/>
                <w:sz w:val="20"/>
                <w:szCs w:val="20"/>
                <w:lang w:val="en-ID"/>
              </w:rPr>
            </w:pPr>
            <w:r w:rsidRPr="009201FB">
              <w:rPr>
                <w:rFonts w:ascii="Arial" w:hAnsi="Arial" w:cs="Arial"/>
                <w:sz w:val="20"/>
                <w:szCs w:val="20"/>
                <w:lang w:val="en-ID"/>
              </w:rPr>
              <w:t>2761</w:t>
            </w:r>
          </w:p>
        </w:tc>
      </w:tr>
    </w:tbl>
    <w:p w14:paraId="21CB2F2F" w14:textId="713B38BD" w:rsidR="009201FB" w:rsidRDefault="009201FB" w:rsidP="0086722C">
      <w:pPr>
        <w:pStyle w:val="Body"/>
        <w:spacing w:after="0"/>
        <w:rPr>
          <w:rFonts w:ascii="Arial" w:hAnsi="Arial" w:cs="Arial"/>
        </w:rPr>
      </w:pPr>
      <w:r w:rsidRPr="009201FB">
        <w:rPr>
          <w:rFonts w:ascii="Arial" w:hAnsi="Arial" w:cs="Arial"/>
          <w:lang w:val="en-ID"/>
        </w:rPr>
        <w:br/>
      </w:r>
    </w:p>
    <w:p w14:paraId="7DF5DAC6" w14:textId="77777777" w:rsidR="009201FB" w:rsidRDefault="009201FB" w:rsidP="0086722C">
      <w:pPr>
        <w:pStyle w:val="Body"/>
        <w:spacing w:after="0"/>
        <w:rPr>
          <w:rFonts w:ascii="Arial" w:hAnsi="Arial" w:cs="Arial"/>
        </w:rPr>
      </w:pPr>
    </w:p>
    <w:p w14:paraId="5DFD658C" w14:textId="77777777" w:rsidR="009201FB" w:rsidRDefault="009201FB" w:rsidP="0086722C">
      <w:pPr>
        <w:pStyle w:val="Body"/>
        <w:spacing w:after="0"/>
        <w:rPr>
          <w:rFonts w:ascii="Arial" w:hAnsi="Arial" w:cs="Arial"/>
        </w:rPr>
      </w:pPr>
    </w:p>
    <w:p w14:paraId="5D00CB4F" w14:textId="2C68CDFD" w:rsidR="0086722C" w:rsidRPr="0086722C" w:rsidRDefault="0086722C" w:rsidP="0086722C">
      <w:pPr>
        <w:pStyle w:val="Body"/>
        <w:spacing w:after="0"/>
        <w:rPr>
          <w:rFonts w:ascii="Arial" w:hAnsi="Arial" w:cs="Arial"/>
          <w:b/>
          <w:u w:val="single"/>
        </w:rPr>
      </w:pPr>
      <w:r>
        <w:rPr>
          <w:rFonts w:ascii="Arial" w:hAnsi="Arial" w:cs="Arial"/>
          <w:b/>
          <w:u w:val="single"/>
        </w:rPr>
        <w:t>3.1.</w:t>
      </w:r>
      <w:r w:rsidRPr="0086722C">
        <w:rPr>
          <w:rFonts w:ascii="Arial" w:hAnsi="Arial" w:cs="Arial"/>
          <w:b/>
          <w:u w:val="single"/>
        </w:rPr>
        <w:t>2. Model Selection Tests</w:t>
      </w:r>
    </w:p>
    <w:p w14:paraId="610EBF52" w14:textId="77777777" w:rsidR="0086722C" w:rsidRDefault="0086722C" w:rsidP="0086722C">
      <w:pPr>
        <w:pStyle w:val="Body"/>
        <w:spacing w:after="0"/>
        <w:rPr>
          <w:rFonts w:ascii="Arial" w:hAnsi="Arial" w:cs="Arial"/>
        </w:rPr>
      </w:pPr>
      <w:r w:rsidRPr="0086722C">
        <w:rPr>
          <w:rFonts w:ascii="Arial" w:hAnsi="Arial" w:cs="Arial"/>
        </w:rPr>
        <w:t>Prior to conducting the Hausman and Lagrange Multiplier tests, the Chow test was first applied to determine the appropriate baseline panel specification. The results indicate that the common effect model is suitable for the NCSKEW specification, as the cross-section F-statistic is 1.0579 with a probability of 0.2643, and the cross-section Chi-square statistic is 276.91 with a probability of 0.1166, both exceeding the 5% significance level. In contrast, for the DUVOL specification, the Chow test yields a cross-section F-statistic of 1.2568 (p = 0.0056) and a Chi-square statistic of 326.00 (p = 0.0009), indicating that the fixed effect model is preferred.</w:t>
      </w:r>
    </w:p>
    <w:p w14:paraId="6AB99139" w14:textId="2359E94E" w:rsidR="0086722C" w:rsidRDefault="0086722C" w:rsidP="0086722C">
      <w:pPr>
        <w:pStyle w:val="Body"/>
        <w:spacing w:after="0"/>
        <w:rPr>
          <w:rFonts w:ascii="Arial" w:hAnsi="Arial" w:cs="Arial"/>
        </w:rPr>
      </w:pPr>
      <w:r w:rsidRPr="0086722C">
        <w:rPr>
          <w:rFonts w:ascii="Arial" w:hAnsi="Arial" w:cs="Arial"/>
        </w:rPr>
        <w:t xml:space="preserve">Following these results, the Hausman test, as reported in Table 2, produces a Chi-square statistic of 0.0000 with a probability of 1.0000 for the DUVOL model, indicating no significant difference between the fixed and random effect estimators and supporting the use of the random effect model. In parallel, the </w:t>
      </w:r>
      <w:r>
        <w:rPr>
          <w:rFonts w:ascii="Arial" w:hAnsi="Arial" w:cs="Arial"/>
        </w:rPr>
        <w:t>LM</w:t>
      </w:r>
      <w:r w:rsidRPr="0086722C">
        <w:rPr>
          <w:rFonts w:ascii="Arial" w:hAnsi="Arial" w:cs="Arial"/>
        </w:rPr>
        <w:t xml:space="preserve"> test, presented in Table 3, yields a Breusch–Pagan statistic of 4.8069 with a probability of 0.0283, confirming that the random effect model is superior to the common effect model for the NCSKEW specification.</w:t>
      </w:r>
      <w:r>
        <w:rPr>
          <w:rFonts w:ascii="Arial" w:hAnsi="Arial" w:cs="Arial"/>
        </w:rPr>
        <w:t xml:space="preserve"> </w:t>
      </w:r>
      <w:r w:rsidRPr="0086722C">
        <w:rPr>
          <w:rFonts w:ascii="Arial" w:hAnsi="Arial" w:cs="Arial"/>
        </w:rPr>
        <w:t xml:space="preserve">Overall, </w:t>
      </w:r>
      <w:r>
        <w:rPr>
          <w:rFonts w:ascii="Arial" w:hAnsi="Arial" w:cs="Arial"/>
        </w:rPr>
        <w:t xml:space="preserve">all </w:t>
      </w:r>
      <w:r w:rsidRPr="0086722C">
        <w:rPr>
          <w:rFonts w:ascii="Arial" w:hAnsi="Arial" w:cs="Arial"/>
        </w:rPr>
        <w:t>tests indicates that the random effect model is the most appropriate specification for capturing cross-firm variation, particularly in a panel structure characterized by a large number of cross-sectional.</w:t>
      </w:r>
    </w:p>
    <w:p w14:paraId="12541AC8" w14:textId="77777777" w:rsidR="0086722C" w:rsidRDefault="0086722C" w:rsidP="0086722C">
      <w:pPr>
        <w:tabs>
          <w:tab w:val="left" w:pos="1080"/>
        </w:tabs>
        <w:jc w:val="center"/>
        <w:rPr>
          <w:rFonts w:ascii="Arial" w:hAnsi="Arial"/>
          <w:b/>
        </w:rPr>
      </w:pPr>
    </w:p>
    <w:p w14:paraId="78D8918F" w14:textId="57668047" w:rsidR="0086722C" w:rsidRPr="0086722C" w:rsidRDefault="0086722C" w:rsidP="0086722C">
      <w:pPr>
        <w:tabs>
          <w:tab w:val="left" w:pos="1080"/>
        </w:tabs>
        <w:jc w:val="center"/>
        <w:rPr>
          <w:rFonts w:ascii="Arial" w:hAnsi="Arial"/>
          <w:b/>
        </w:rPr>
      </w:pPr>
      <w:r>
        <w:rPr>
          <w:rFonts w:ascii="Arial" w:hAnsi="Arial"/>
          <w:b/>
        </w:rPr>
        <w:t xml:space="preserve">Table 2. </w:t>
      </w:r>
      <w:r w:rsidRPr="0086722C">
        <w:rPr>
          <w:rFonts w:ascii="Arial" w:hAnsi="Arial"/>
          <w:b/>
        </w:rPr>
        <w:t>Hausman Test</w:t>
      </w:r>
    </w:p>
    <w:tbl>
      <w:tblPr>
        <w:tblW w:w="0" w:type="auto"/>
        <w:jc w:val="center"/>
        <w:tblCellMar>
          <w:left w:w="57" w:type="dxa"/>
          <w:right w:w="57" w:type="dxa"/>
        </w:tblCellMar>
        <w:tblLook w:val="0000" w:firstRow="0" w:lastRow="0" w:firstColumn="0" w:lastColumn="0" w:noHBand="0" w:noVBand="0"/>
      </w:tblPr>
      <w:tblGrid>
        <w:gridCol w:w="961"/>
        <w:gridCol w:w="1364"/>
        <w:gridCol w:w="1725"/>
        <w:gridCol w:w="1352"/>
        <w:gridCol w:w="815"/>
      </w:tblGrid>
      <w:tr w:rsidR="0086722C" w:rsidRPr="0086722C" w14:paraId="2F1E00CB" w14:textId="77777777" w:rsidTr="0086722C">
        <w:trPr>
          <w:trHeight w:val="192"/>
          <w:jc w:val="center"/>
        </w:trPr>
        <w:tc>
          <w:tcPr>
            <w:tcW w:w="0" w:type="auto"/>
            <w:gridSpan w:val="5"/>
            <w:tcBorders>
              <w:top w:val="nil"/>
              <w:left w:val="nil"/>
              <w:bottom w:val="nil"/>
              <w:right w:val="nil"/>
            </w:tcBorders>
            <w:vAlign w:val="bottom"/>
          </w:tcPr>
          <w:p w14:paraId="575691A3" w14:textId="77777777" w:rsidR="0086722C" w:rsidRPr="0086722C" w:rsidRDefault="0086722C" w:rsidP="007E02F0">
            <w:pPr>
              <w:rPr>
                <w:rFonts w:ascii="Arial" w:hAnsi="Arial" w:cs="Arial"/>
                <w:color w:val="000000" w:themeColor="text1"/>
              </w:rPr>
            </w:pPr>
            <w:r w:rsidRPr="0086722C">
              <w:rPr>
                <w:rFonts w:ascii="Arial" w:hAnsi="Arial" w:cs="Arial"/>
                <w:color w:val="000000" w:themeColor="text1"/>
              </w:rPr>
              <w:t>Correlated Random Effects - Hausman Test</w:t>
            </w:r>
          </w:p>
        </w:tc>
      </w:tr>
      <w:tr w:rsidR="0086722C" w:rsidRPr="0086722C" w14:paraId="648934DB" w14:textId="77777777" w:rsidTr="0086722C">
        <w:trPr>
          <w:trHeight w:val="192"/>
          <w:jc w:val="center"/>
        </w:trPr>
        <w:tc>
          <w:tcPr>
            <w:tcW w:w="0" w:type="auto"/>
            <w:gridSpan w:val="3"/>
            <w:tcBorders>
              <w:top w:val="nil"/>
              <w:left w:val="nil"/>
              <w:bottom w:val="nil"/>
              <w:right w:val="nil"/>
            </w:tcBorders>
            <w:vAlign w:val="bottom"/>
          </w:tcPr>
          <w:p w14:paraId="2D1138C6" w14:textId="77777777" w:rsidR="0086722C" w:rsidRPr="0086722C" w:rsidRDefault="0086722C" w:rsidP="007E02F0">
            <w:pPr>
              <w:rPr>
                <w:rFonts w:ascii="Arial" w:hAnsi="Arial" w:cs="Arial"/>
                <w:color w:val="000000" w:themeColor="text1"/>
              </w:rPr>
            </w:pPr>
            <w:r w:rsidRPr="0086722C">
              <w:rPr>
                <w:rFonts w:ascii="Arial" w:hAnsi="Arial" w:cs="Arial"/>
                <w:color w:val="000000" w:themeColor="text1"/>
              </w:rPr>
              <w:t>Equation: REM2</w:t>
            </w:r>
          </w:p>
        </w:tc>
        <w:tc>
          <w:tcPr>
            <w:tcW w:w="0" w:type="auto"/>
            <w:tcBorders>
              <w:top w:val="nil"/>
              <w:left w:val="nil"/>
              <w:bottom w:val="nil"/>
              <w:right w:val="nil"/>
            </w:tcBorders>
            <w:vAlign w:val="bottom"/>
          </w:tcPr>
          <w:p w14:paraId="08BBD34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8A53258" w14:textId="77777777" w:rsidR="0086722C" w:rsidRPr="0086722C" w:rsidRDefault="0086722C" w:rsidP="007E02F0">
            <w:pPr>
              <w:jc w:val="center"/>
              <w:rPr>
                <w:rFonts w:ascii="Arial" w:hAnsi="Arial" w:cs="Arial"/>
                <w:color w:val="000000" w:themeColor="text1"/>
              </w:rPr>
            </w:pPr>
          </w:p>
        </w:tc>
      </w:tr>
      <w:tr w:rsidR="0086722C" w:rsidRPr="0086722C" w14:paraId="131E598F" w14:textId="77777777" w:rsidTr="0086722C">
        <w:trPr>
          <w:trHeight w:val="192"/>
          <w:jc w:val="center"/>
        </w:trPr>
        <w:tc>
          <w:tcPr>
            <w:tcW w:w="0" w:type="auto"/>
            <w:gridSpan w:val="4"/>
            <w:tcBorders>
              <w:top w:val="nil"/>
              <w:left w:val="nil"/>
              <w:bottom w:val="nil"/>
              <w:right w:val="nil"/>
            </w:tcBorders>
            <w:vAlign w:val="bottom"/>
          </w:tcPr>
          <w:p w14:paraId="7EBD9C0F" w14:textId="77777777" w:rsidR="0086722C" w:rsidRPr="0086722C" w:rsidRDefault="0086722C" w:rsidP="007E02F0">
            <w:pPr>
              <w:rPr>
                <w:rFonts w:ascii="Arial" w:hAnsi="Arial" w:cs="Arial"/>
                <w:color w:val="000000" w:themeColor="text1"/>
              </w:rPr>
            </w:pPr>
            <w:r w:rsidRPr="0086722C">
              <w:rPr>
                <w:rFonts w:ascii="Arial" w:hAnsi="Arial" w:cs="Arial"/>
                <w:color w:val="000000" w:themeColor="text1"/>
              </w:rPr>
              <w:t>Test cross-section random effects</w:t>
            </w:r>
          </w:p>
        </w:tc>
        <w:tc>
          <w:tcPr>
            <w:tcW w:w="0" w:type="auto"/>
            <w:tcBorders>
              <w:top w:val="nil"/>
              <w:left w:val="nil"/>
              <w:bottom w:val="nil"/>
              <w:right w:val="nil"/>
            </w:tcBorders>
            <w:vAlign w:val="bottom"/>
          </w:tcPr>
          <w:p w14:paraId="4B18D7DF" w14:textId="77777777" w:rsidR="0086722C" w:rsidRPr="0086722C" w:rsidRDefault="0086722C" w:rsidP="007E02F0">
            <w:pPr>
              <w:jc w:val="center"/>
              <w:rPr>
                <w:rFonts w:ascii="Arial" w:hAnsi="Arial" w:cs="Arial"/>
                <w:color w:val="000000" w:themeColor="text1"/>
              </w:rPr>
            </w:pPr>
          </w:p>
        </w:tc>
      </w:tr>
      <w:tr w:rsidR="0086722C" w:rsidRPr="0086722C" w14:paraId="591E778F" w14:textId="77777777" w:rsidTr="0086722C">
        <w:trPr>
          <w:trHeight w:hRule="exact" w:val="76"/>
          <w:jc w:val="center"/>
        </w:trPr>
        <w:tc>
          <w:tcPr>
            <w:tcW w:w="0" w:type="auto"/>
            <w:tcBorders>
              <w:top w:val="nil"/>
              <w:left w:val="nil"/>
              <w:bottom w:val="double" w:sz="6" w:space="2" w:color="auto"/>
              <w:right w:val="nil"/>
            </w:tcBorders>
            <w:vAlign w:val="bottom"/>
          </w:tcPr>
          <w:p w14:paraId="0E5E8ABC"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5BFD0239"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144B19D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202A9AAE"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1D7CD5B0" w14:textId="77777777" w:rsidR="0086722C" w:rsidRPr="0086722C" w:rsidRDefault="0086722C" w:rsidP="007E02F0">
            <w:pPr>
              <w:jc w:val="center"/>
              <w:rPr>
                <w:rFonts w:ascii="Arial" w:hAnsi="Arial" w:cs="Arial"/>
                <w:color w:val="000000" w:themeColor="text1"/>
              </w:rPr>
            </w:pPr>
          </w:p>
        </w:tc>
      </w:tr>
      <w:tr w:rsidR="0086722C" w:rsidRPr="0086722C" w14:paraId="2AF1566F" w14:textId="77777777" w:rsidTr="0086722C">
        <w:trPr>
          <w:trHeight w:hRule="exact" w:val="115"/>
          <w:jc w:val="center"/>
        </w:trPr>
        <w:tc>
          <w:tcPr>
            <w:tcW w:w="0" w:type="auto"/>
            <w:tcBorders>
              <w:top w:val="nil"/>
              <w:left w:val="nil"/>
              <w:bottom w:val="nil"/>
              <w:right w:val="nil"/>
            </w:tcBorders>
            <w:vAlign w:val="bottom"/>
          </w:tcPr>
          <w:p w14:paraId="00DD92C1"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F539582"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549B7A30"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6BAB6032"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896596C" w14:textId="77777777" w:rsidR="0086722C" w:rsidRPr="0086722C" w:rsidRDefault="0086722C" w:rsidP="007E02F0">
            <w:pPr>
              <w:jc w:val="center"/>
              <w:rPr>
                <w:rFonts w:ascii="Arial" w:hAnsi="Arial" w:cs="Arial"/>
                <w:color w:val="000000" w:themeColor="text1"/>
              </w:rPr>
            </w:pPr>
          </w:p>
        </w:tc>
      </w:tr>
      <w:tr w:rsidR="0086722C" w:rsidRPr="0086722C" w14:paraId="4B115823" w14:textId="77777777" w:rsidTr="0086722C">
        <w:trPr>
          <w:trHeight w:val="192"/>
          <w:jc w:val="center"/>
        </w:trPr>
        <w:tc>
          <w:tcPr>
            <w:tcW w:w="0" w:type="auto"/>
            <w:gridSpan w:val="2"/>
            <w:tcBorders>
              <w:top w:val="nil"/>
              <w:left w:val="nil"/>
              <w:bottom w:val="nil"/>
              <w:right w:val="nil"/>
            </w:tcBorders>
            <w:vAlign w:val="bottom"/>
          </w:tcPr>
          <w:p w14:paraId="078D9DC5"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Test Summary</w:t>
            </w:r>
          </w:p>
        </w:tc>
        <w:tc>
          <w:tcPr>
            <w:tcW w:w="0" w:type="auto"/>
            <w:tcBorders>
              <w:top w:val="nil"/>
              <w:left w:val="nil"/>
              <w:bottom w:val="nil"/>
              <w:right w:val="nil"/>
            </w:tcBorders>
            <w:vAlign w:val="bottom"/>
          </w:tcPr>
          <w:p w14:paraId="5EEA3FF1"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Chi-Sq. Statistic</w:t>
            </w:r>
          </w:p>
        </w:tc>
        <w:tc>
          <w:tcPr>
            <w:tcW w:w="0" w:type="auto"/>
            <w:tcBorders>
              <w:top w:val="nil"/>
              <w:left w:val="nil"/>
              <w:bottom w:val="nil"/>
              <w:right w:val="nil"/>
            </w:tcBorders>
            <w:vAlign w:val="bottom"/>
          </w:tcPr>
          <w:p w14:paraId="5BA3F54A"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Chi-Sq. d.f.</w:t>
            </w:r>
          </w:p>
        </w:tc>
        <w:tc>
          <w:tcPr>
            <w:tcW w:w="0" w:type="auto"/>
            <w:tcBorders>
              <w:top w:val="nil"/>
              <w:left w:val="nil"/>
              <w:bottom w:val="nil"/>
              <w:right w:val="nil"/>
            </w:tcBorders>
            <w:vAlign w:val="bottom"/>
          </w:tcPr>
          <w:p w14:paraId="3C05F193"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Prob. </w:t>
            </w:r>
          </w:p>
        </w:tc>
      </w:tr>
      <w:tr w:rsidR="0086722C" w:rsidRPr="0086722C" w14:paraId="09FE5F25" w14:textId="77777777" w:rsidTr="0086722C">
        <w:trPr>
          <w:trHeight w:hRule="exact" w:val="76"/>
          <w:jc w:val="center"/>
        </w:trPr>
        <w:tc>
          <w:tcPr>
            <w:tcW w:w="0" w:type="auto"/>
            <w:tcBorders>
              <w:top w:val="nil"/>
              <w:left w:val="nil"/>
              <w:bottom w:val="double" w:sz="6" w:space="2" w:color="auto"/>
              <w:right w:val="nil"/>
            </w:tcBorders>
            <w:vAlign w:val="bottom"/>
          </w:tcPr>
          <w:p w14:paraId="736F185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0805DBD0"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63CE672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0057D33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444E46C9" w14:textId="77777777" w:rsidR="0086722C" w:rsidRPr="0086722C" w:rsidRDefault="0086722C" w:rsidP="007E02F0">
            <w:pPr>
              <w:jc w:val="center"/>
              <w:rPr>
                <w:rFonts w:ascii="Arial" w:hAnsi="Arial" w:cs="Arial"/>
                <w:color w:val="000000" w:themeColor="text1"/>
              </w:rPr>
            </w:pPr>
          </w:p>
        </w:tc>
      </w:tr>
      <w:tr w:rsidR="0086722C" w:rsidRPr="0086722C" w14:paraId="677B5243" w14:textId="77777777" w:rsidTr="0086722C">
        <w:trPr>
          <w:trHeight w:hRule="exact" w:val="115"/>
          <w:jc w:val="center"/>
        </w:trPr>
        <w:tc>
          <w:tcPr>
            <w:tcW w:w="0" w:type="auto"/>
            <w:tcBorders>
              <w:top w:val="nil"/>
              <w:left w:val="nil"/>
              <w:bottom w:val="nil"/>
              <w:right w:val="nil"/>
            </w:tcBorders>
            <w:vAlign w:val="bottom"/>
          </w:tcPr>
          <w:p w14:paraId="7E94D34C"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E7B080A"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0F0442B"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5C740BF9"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6AFC2DF0" w14:textId="77777777" w:rsidR="0086722C" w:rsidRPr="0086722C" w:rsidRDefault="0086722C" w:rsidP="007E02F0">
            <w:pPr>
              <w:jc w:val="center"/>
              <w:rPr>
                <w:rFonts w:ascii="Arial" w:hAnsi="Arial" w:cs="Arial"/>
                <w:color w:val="000000" w:themeColor="text1"/>
              </w:rPr>
            </w:pPr>
          </w:p>
        </w:tc>
      </w:tr>
      <w:tr w:rsidR="0086722C" w:rsidRPr="0086722C" w14:paraId="553B2688" w14:textId="77777777" w:rsidTr="0086722C">
        <w:trPr>
          <w:trHeight w:val="192"/>
          <w:jc w:val="center"/>
        </w:trPr>
        <w:tc>
          <w:tcPr>
            <w:tcW w:w="0" w:type="auto"/>
            <w:gridSpan w:val="2"/>
            <w:tcBorders>
              <w:top w:val="nil"/>
              <w:left w:val="nil"/>
              <w:bottom w:val="nil"/>
              <w:right w:val="nil"/>
            </w:tcBorders>
            <w:vAlign w:val="bottom"/>
          </w:tcPr>
          <w:p w14:paraId="010FBAC5"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Cross-section random</w:t>
            </w:r>
          </w:p>
        </w:tc>
        <w:tc>
          <w:tcPr>
            <w:tcW w:w="0" w:type="auto"/>
            <w:tcBorders>
              <w:top w:val="nil"/>
              <w:left w:val="nil"/>
              <w:bottom w:val="nil"/>
              <w:right w:val="nil"/>
            </w:tcBorders>
            <w:vAlign w:val="bottom"/>
          </w:tcPr>
          <w:p w14:paraId="537CD6A8"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0.000000</w:t>
            </w:r>
          </w:p>
        </w:tc>
        <w:tc>
          <w:tcPr>
            <w:tcW w:w="0" w:type="auto"/>
            <w:tcBorders>
              <w:top w:val="nil"/>
              <w:left w:val="nil"/>
              <w:bottom w:val="nil"/>
              <w:right w:val="nil"/>
            </w:tcBorders>
            <w:vAlign w:val="bottom"/>
          </w:tcPr>
          <w:p w14:paraId="7743C29F"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3</w:t>
            </w:r>
          </w:p>
        </w:tc>
        <w:tc>
          <w:tcPr>
            <w:tcW w:w="0" w:type="auto"/>
            <w:tcBorders>
              <w:top w:val="nil"/>
              <w:left w:val="nil"/>
              <w:bottom w:val="nil"/>
              <w:right w:val="nil"/>
            </w:tcBorders>
            <w:vAlign w:val="bottom"/>
          </w:tcPr>
          <w:p w14:paraId="7D8E4006"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1.0000</w:t>
            </w:r>
          </w:p>
        </w:tc>
      </w:tr>
      <w:tr w:rsidR="0086722C" w:rsidRPr="0086722C" w14:paraId="55432B08" w14:textId="77777777" w:rsidTr="0086722C">
        <w:trPr>
          <w:trHeight w:hRule="exact" w:val="76"/>
          <w:jc w:val="center"/>
        </w:trPr>
        <w:tc>
          <w:tcPr>
            <w:tcW w:w="0" w:type="auto"/>
            <w:tcBorders>
              <w:top w:val="nil"/>
              <w:left w:val="nil"/>
              <w:bottom w:val="double" w:sz="6" w:space="2" w:color="auto"/>
              <w:right w:val="nil"/>
            </w:tcBorders>
            <w:vAlign w:val="bottom"/>
          </w:tcPr>
          <w:p w14:paraId="59420F17"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5649BD7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65F695CF"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3FDE11A6"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4557D2EA" w14:textId="77777777" w:rsidR="0086722C" w:rsidRPr="0086722C" w:rsidRDefault="0086722C" w:rsidP="007E02F0">
            <w:pPr>
              <w:jc w:val="center"/>
              <w:rPr>
                <w:rFonts w:ascii="Arial" w:hAnsi="Arial" w:cs="Arial"/>
                <w:color w:val="000000" w:themeColor="text1"/>
              </w:rPr>
            </w:pPr>
          </w:p>
        </w:tc>
      </w:tr>
      <w:tr w:rsidR="0086722C" w:rsidRPr="0086722C" w14:paraId="7F722D33" w14:textId="77777777" w:rsidTr="0086722C">
        <w:trPr>
          <w:trHeight w:hRule="exact" w:val="115"/>
          <w:jc w:val="center"/>
        </w:trPr>
        <w:tc>
          <w:tcPr>
            <w:tcW w:w="0" w:type="auto"/>
            <w:tcBorders>
              <w:top w:val="nil"/>
              <w:left w:val="nil"/>
              <w:bottom w:val="nil"/>
              <w:right w:val="nil"/>
            </w:tcBorders>
            <w:vAlign w:val="bottom"/>
          </w:tcPr>
          <w:p w14:paraId="0CD6AB73"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27C109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0C94C14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1C78D8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1F8D0128" w14:textId="77777777" w:rsidR="0086722C" w:rsidRPr="0086722C" w:rsidRDefault="0086722C" w:rsidP="007E02F0">
            <w:pPr>
              <w:jc w:val="center"/>
              <w:rPr>
                <w:rFonts w:ascii="Arial" w:hAnsi="Arial" w:cs="Arial"/>
                <w:color w:val="000000" w:themeColor="text1"/>
              </w:rPr>
            </w:pPr>
          </w:p>
        </w:tc>
      </w:tr>
      <w:tr w:rsidR="0086722C" w:rsidRPr="0086722C" w14:paraId="70CD8174" w14:textId="77777777" w:rsidTr="0086722C">
        <w:trPr>
          <w:trHeight w:val="192"/>
          <w:jc w:val="center"/>
        </w:trPr>
        <w:tc>
          <w:tcPr>
            <w:tcW w:w="0" w:type="auto"/>
            <w:gridSpan w:val="5"/>
            <w:tcBorders>
              <w:top w:val="nil"/>
              <w:left w:val="nil"/>
              <w:bottom w:val="nil"/>
              <w:right w:val="nil"/>
            </w:tcBorders>
            <w:vAlign w:val="bottom"/>
          </w:tcPr>
          <w:p w14:paraId="5A3CFD47"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 Cross-section test variance is invalid. Hausman statistic set to zero.</w:t>
            </w:r>
          </w:p>
        </w:tc>
      </w:tr>
      <w:tr w:rsidR="0086722C" w:rsidRPr="0086722C" w14:paraId="7901394A" w14:textId="77777777" w:rsidTr="0086722C">
        <w:trPr>
          <w:trHeight w:val="192"/>
          <w:jc w:val="center"/>
        </w:trPr>
        <w:tc>
          <w:tcPr>
            <w:tcW w:w="0" w:type="auto"/>
            <w:tcBorders>
              <w:top w:val="nil"/>
              <w:left w:val="nil"/>
              <w:bottom w:val="nil"/>
              <w:right w:val="nil"/>
            </w:tcBorders>
            <w:vAlign w:val="bottom"/>
          </w:tcPr>
          <w:p w14:paraId="16EC383A"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7F35D0EC"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E9CF55B"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767D753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606413A" w14:textId="77777777" w:rsidR="0086722C" w:rsidRPr="0086722C" w:rsidRDefault="0086722C" w:rsidP="007E02F0">
            <w:pPr>
              <w:jc w:val="center"/>
              <w:rPr>
                <w:rFonts w:ascii="Arial" w:hAnsi="Arial" w:cs="Arial"/>
                <w:color w:val="000000" w:themeColor="text1"/>
              </w:rPr>
            </w:pPr>
          </w:p>
        </w:tc>
      </w:tr>
      <w:tr w:rsidR="0086722C" w:rsidRPr="0086722C" w14:paraId="75DADE99" w14:textId="77777777" w:rsidTr="0086722C">
        <w:trPr>
          <w:trHeight w:val="192"/>
          <w:jc w:val="center"/>
        </w:trPr>
        <w:tc>
          <w:tcPr>
            <w:tcW w:w="0" w:type="auto"/>
            <w:gridSpan w:val="5"/>
            <w:tcBorders>
              <w:top w:val="nil"/>
              <w:left w:val="nil"/>
              <w:bottom w:val="nil"/>
              <w:right w:val="nil"/>
            </w:tcBorders>
            <w:vAlign w:val="bottom"/>
          </w:tcPr>
          <w:p w14:paraId="3EFFC950"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Cross-section random effects test comparisons:</w:t>
            </w:r>
          </w:p>
        </w:tc>
      </w:tr>
      <w:tr w:rsidR="0086722C" w:rsidRPr="0086722C" w14:paraId="6D1D65F4" w14:textId="77777777" w:rsidTr="0086722C">
        <w:trPr>
          <w:trHeight w:val="192"/>
          <w:jc w:val="center"/>
        </w:trPr>
        <w:tc>
          <w:tcPr>
            <w:tcW w:w="0" w:type="auto"/>
            <w:tcBorders>
              <w:top w:val="nil"/>
              <w:left w:val="nil"/>
              <w:bottom w:val="nil"/>
              <w:right w:val="nil"/>
            </w:tcBorders>
            <w:vAlign w:val="bottom"/>
          </w:tcPr>
          <w:p w14:paraId="20415767"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Variable</w:t>
            </w:r>
          </w:p>
        </w:tc>
        <w:tc>
          <w:tcPr>
            <w:tcW w:w="0" w:type="auto"/>
            <w:tcBorders>
              <w:top w:val="nil"/>
              <w:left w:val="nil"/>
              <w:bottom w:val="nil"/>
              <w:right w:val="nil"/>
            </w:tcBorders>
            <w:vAlign w:val="bottom"/>
          </w:tcPr>
          <w:p w14:paraId="05C2C9BC"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Fixed  </w:t>
            </w:r>
          </w:p>
        </w:tc>
        <w:tc>
          <w:tcPr>
            <w:tcW w:w="0" w:type="auto"/>
            <w:tcBorders>
              <w:top w:val="nil"/>
              <w:left w:val="nil"/>
              <w:bottom w:val="nil"/>
              <w:right w:val="nil"/>
            </w:tcBorders>
            <w:vAlign w:val="bottom"/>
          </w:tcPr>
          <w:p w14:paraId="1CC1F76F"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Random </w:t>
            </w:r>
          </w:p>
        </w:tc>
        <w:tc>
          <w:tcPr>
            <w:tcW w:w="0" w:type="auto"/>
            <w:tcBorders>
              <w:top w:val="nil"/>
              <w:left w:val="nil"/>
              <w:bottom w:val="nil"/>
              <w:right w:val="nil"/>
            </w:tcBorders>
            <w:vAlign w:val="bottom"/>
          </w:tcPr>
          <w:p w14:paraId="583E1166"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Var(Diff.) </w:t>
            </w:r>
          </w:p>
        </w:tc>
        <w:tc>
          <w:tcPr>
            <w:tcW w:w="0" w:type="auto"/>
            <w:tcBorders>
              <w:top w:val="nil"/>
              <w:left w:val="nil"/>
              <w:bottom w:val="nil"/>
              <w:right w:val="nil"/>
            </w:tcBorders>
            <w:vAlign w:val="bottom"/>
          </w:tcPr>
          <w:p w14:paraId="602E591C"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Prob. </w:t>
            </w:r>
          </w:p>
        </w:tc>
      </w:tr>
      <w:tr w:rsidR="0086722C" w:rsidRPr="0086722C" w14:paraId="386C7BBC" w14:textId="77777777" w:rsidTr="0086722C">
        <w:trPr>
          <w:trHeight w:hRule="exact" w:val="76"/>
          <w:jc w:val="center"/>
        </w:trPr>
        <w:tc>
          <w:tcPr>
            <w:tcW w:w="0" w:type="auto"/>
            <w:tcBorders>
              <w:top w:val="nil"/>
              <w:left w:val="nil"/>
              <w:bottom w:val="double" w:sz="6" w:space="2" w:color="auto"/>
              <w:right w:val="nil"/>
            </w:tcBorders>
            <w:vAlign w:val="bottom"/>
          </w:tcPr>
          <w:p w14:paraId="1BDD393B"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10E93C0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5EB0260A"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26B03D81"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5234389B" w14:textId="77777777" w:rsidR="0086722C" w:rsidRPr="0086722C" w:rsidRDefault="0086722C" w:rsidP="007E02F0">
            <w:pPr>
              <w:jc w:val="center"/>
              <w:rPr>
                <w:rFonts w:ascii="Arial" w:hAnsi="Arial" w:cs="Arial"/>
                <w:color w:val="000000" w:themeColor="text1"/>
              </w:rPr>
            </w:pPr>
          </w:p>
        </w:tc>
      </w:tr>
      <w:tr w:rsidR="0086722C" w:rsidRPr="0086722C" w14:paraId="3EE29815" w14:textId="77777777" w:rsidTr="0086722C">
        <w:trPr>
          <w:trHeight w:hRule="exact" w:val="115"/>
          <w:jc w:val="center"/>
        </w:trPr>
        <w:tc>
          <w:tcPr>
            <w:tcW w:w="0" w:type="auto"/>
            <w:tcBorders>
              <w:top w:val="nil"/>
              <w:left w:val="nil"/>
              <w:bottom w:val="nil"/>
              <w:right w:val="nil"/>
            </w:tcBorders>
            <w:vAlign w:val="bottom"/>
          </w:tcPr>
          <w:p w14:paraId="34D3A49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365D8DF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3E1C328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5ACAE079"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341258BA" w14:textId="77777777" w:rsidR="0086722C" w:rsidRPr="0086722C" w:rsidRDefault="0086722C" w:rsidP="007E02F0">
            <w:pPr>
              <w:jc w:val="center"/>
              <w:rPr>
                <w:rFonts w:ascii="Arial" w:hAnsi="Arial" w:cs="Arial"/>
                <w:color w:val="000000" w:themeColor="text1"/>
              </w:rPr>
            </w:pPr>
          </w:p>
        </w:tc>
      </w:tr>
      <w:tr w:rsidR="0086722C" w:rsidRPr="0086722C" w14:paraId="5645D72A" w14:textId="77777777" w:rsidTr="0086722C">
        <w:trPr>
          <w:trHeight w:val="192"/>
          <w:jc w:val="center"/>
        </w:trPr>
        <w:tc>
          <w:tcPr>
            <w:tcW w:w="0" w:type="auto"/>
            <w:tcBorders>
              <w:top w:val="nil"/>
              <w:left w:val="nil"/>
              <w:bottom w:val="nil"/>
              <w:right w:val="nil"/>
            </w:tcBorders>
            <w:vAlign w:val="bottom"/>
          </w:tcPr>
          <w:p w14:paraId="15F14688"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X1</w:t>
            </w:r>
          </w:p>
        </w:tc>
        <w:tc>
          <w:tcPr>
            <w:tcW w:w="0" w:type="auto"/>
            <w:tcBorders>
              <w:top w:val="nil"/>
              <w:left w:val="nil"/>
              <w:bottom w:val="nil"/>
              <w:right w:val="nil"/>
            </w:tcBorders>
            <w:vAlign w:val="bottom"/>
          </w:tcPr>
          <w:p w14:paraId="642B8E45"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-1263970…</w:t>
            </w:r>
          </w:p>
        </w:tc>
        <w:tc>
          <w:tcPr>
            <w:tcW w:w="0" w:type="auto"/>
            <w:tcBorders>
              <w:top w:val="nil"/>
              <w:left w:val="nil"/>
              <w:bottom w:val="nil"/>
              <w:right w:val="nil"/>
            </w:tcBorders>
            <w:vAlign w:val="bottom"/>
          </w:tcPr>
          <w:p w14:paraId="75FDD61D"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-1238800…</w:t>
            </w:r>
          </w:p>
        </w:tc>
        <w:tc>
          <w:tcPr>
            <w:tcW w:w="0" w:type="auto"/>
            <w:tcBorders>
              <w:top w:val="nil"/>
              <w:left w:val="nil"/>
              <w:bottom w:val="nil"/>
              <w:right w:val="nil"/>
            </w:tcBorders>
            <w:vAlign w:val="bottom"/>
          </w:tcPr>
          <w:p w14:paraId="260C09B4"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91698286…</w:t>
            </w:r>
          </w:p>
        </w:tc>
        <w:tc>
          <w:tcPr>
            <w:tcW w:w="0" w:type="auto"/>
            <w:tcBorders>
              <w:top w:val="nil"/>
              <w:left w:val="nil"/>
              <w:bottom w:val="nil"/>
              <w:right w:val="nil"/>
            </w:tcBorders>
            <w:vAlign w:val="bottom"/>
          </w:tcPr>
          <w:p w14:paraId="36DCF8E9"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0.7927</w:t>
            </w:r>
          </w:p>
        </w:tc>
      </w:tr>
      <w:tr w:rsidR="0086722C" w:rsidRPr="0086722C" w14:paraId="03BB6F48" w14:textId="77777777" w:rsidTr="0086722C">
        <w:trPr>
          <w:trHeight w:val="192"/>
          <w:jc w:val="center"/>
        </w:trPr>
        <w:tc>
          <w:tcPr>
            <w:tcW w:w="0" w:type="auto"/>
            <w:tcBorders>
              <w:top w:val="nil"/>
              <w:left w:val="nil"/>
              <w:bottom w:val="nil"/>
              <w:right w:val="nil"/>
            </w:tcBorders>
            <w:vAlign w:val="bottom"/>
          </w:tcPr>
          <w:p w14:paraId="505C3BE6"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X2</w:t>
            </w:r>
          </w:p>
        </w:tc>
        <w:tc>
          <w:tcPr>
            <w:tcW w:w="0" w:type="auto"/>
            <w:tcBorders>
              <w:top w:val="nil"/>
              <w:left w:val="nil"/>
              <w:bottom w:val="nil"/>
              <w:right w:val="nil"/>
            </w:tcBorders>
            <w:vAlign w:val="bottom"/>
          </w:tcPr>
          <w:p w14:paraId="7D72D7FE"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29012271…</w:t>
            </w:r>
          </w:p>
        </w:tc>
        <w:tc>
          <w:tcPr>
            <w:tcW w:w="0" w:type="auto"/>
            <w:tcBorders>
              <w:top w:val="nil"/>
              <w:left w:val="nil"/>
              <w:bottom w:val="nil"/>
              <w:right w:val="nil"/>
            </w:tcBorders>
            <w:vAlign w:val="bottom"/>
          </w:tcPr>
          <w:p w14:paraId="39D52BA0"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28868290…</w:t>
            </w:r>
          </w:p>
        </w:tc>
        <w:tc>
          <w:tcPr>
            <w:tcW w:w="0" w:type="auto"/>
            <w:tcBorders>
              <w:top w:val="nil"/>
              <w:left w:val="nil"/>
              <w:bottom w:val="nil"/>
              <w:right w:val="nil"/>
            </w:tcBorders>
            <w:vAlign w:val="bottom"/>
          </w:tcPr>
          <w:p w14:paraId="41F778CF"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30005513…</w:t>
            </w:r>
          </w:p>
        </w:tc>
        <w:tc>
          <w:tcPr>
            <w:tcW w:w="0" w:type="auto"/>
            <w:tcBorders>
              <w:top w:val="nil"/>
              <w:left w:val="nil"/>
              <w:bottom w:val="nil"/>
              <w:right w:val="nil"/>
            </w:tcBorders>
            <w:vAlign w:val="bottom"/>
          </w:tcPr>
          <w:p w14:paraId="4DE27550"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0.7927</w:t>
            </w:r>
          </w:p>
        </w:tc>
      </w:tr>
      <w:tr w:rsidR="0086722C" w:rsidRPr="0086722C" w14:paraId="00D77E00" w14:textId="77777777" w:rsidTr="0086722C">
        <w:trPr>
          <w:trHeight w:val="192"/>
          <w:jc w:val="center"/>
        </w:trPr>
        <w:tc>
          <w:tcPr>
            <w:tcW w:w="0" w:type="auto"/>
            <w:tcBorders>
              <w:top w:val="nil"/>
              <w:left w:val="nil"/>
              <w:bottom w:val="nil"/>
              <w:right w:val="nil"/>
            </w:tcBorders>
            <w:vAlign w:val="bottom"/>
          </w:tcPr>
          <w:p w14:paraId="48A8E23D"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X3</w:t>
            </w:r>
          </w:p>
        </w:tc>
        <w:tc>
          <w:tcPr>
            <w:tcW w:w="0" w:type="auto"/>
            <w:tcBorders>
              <w:top w:val="nil"/>
              <w:left w:val="nil"/>
              <w:bottom w:val="nil"/>
              <w:right w:val="nil"/>
            </w:tcBorders>
            <w:vAlign w:val="bottom"/>
          </w:tcPr>
          <w:p w14:paraId="11FC2A23"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41365789…</w:t>
            </w:r>
          </w:p>
        </w:tc>
        <w:tc>
          <w:tcPr>
            <w:tcW w:w="0" w:type="auto"/>
            <w:tcBorders>
              <w:top w:val="nil"/>
              <w:left w:val="nil"/>
              <w:bottom w:val="nil"/>
              <w:right w:val="nil"/>
            </w:tcBorders>
            <w:vAlign w:val="bottom"/>
          </w:tcPr>
          <w:p w14:paraId="11E92A61"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14884577…</w:t>
            </w:r>
          </w:p>
        </w:tc>
        <w:tc>
          <w:tcPr>
            <w:tcW w:w="0" w:type="auto"/>
            <w:tcBorders>
              <w:top w:val="nil"/>
              <w:left w:val="nil"/>
              <w:bottom w:val="nil"/>
              <w:right w:val="nil"/>
            </w:tcBorders>
            <w:vAlign w:val="bottom"/>
          </w:tcPr>
          <w:p w14:paraId="390B7E6A"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w:t>
            </w:r>
          </w:p>
        </w:tc>
        <w:tc>
          <w:tcPr>
            <w:tcW w:w="0" w:type="auto"/>
            <w:tcBorders>
              <w:top w:val="nil"/>
              <w:left w:val="nil"/>
              <w:bottom w:val="nil"/>
              <w:right w:val="nil"/>
            </w:tcBorders>
            <w:vAlign w:val="bottom"/>
          </w:tcPr>
          <w:p w14:paraId="08FD84AC"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0.7927</w:t>
            </w:r>
          </w:p>
        </w:tc>
      </w:tr>
      <w:tr w:rsidR="0086722C" w:rsidRPr="0086722C" w14:paraId="4EF73558" w14:textId="77777777" w:rsidTr="0086722C">
        <w:trPr>
          <w:trHeight w:hRule="exact" w:val="76"/>
          <w:jc w:val="center"/>
        </w:trPr>
        <w:tc>
          <w:tcPr>
            <w:tcW w:w="0" w:type="auto"/>
            <w:tcBorders>
              <w:top w:val="nil"/>
              <w:left w:val="nil"/>
              <w:bottom w:val="double" w:sz="6" w:space="0" w:color="auto"/>
              <w:right w:val="nil"/>
            </w:tcBorders>
            <w:vAlign w:val="bottom"/>
          </w:tcPr>
          <w:p w14:paraId="66096C5C"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0" w:color="auto"/>
              <w:right w:val="nil"/>
            </w:tcBorders>
            <w:vAlign w:val="bottom"/>
          </w:tcPr>
          <w:p w14:paraId="128F05A1"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0" w:color="auto"/>
              <w:right w:val="nil"/>
            </w:tcBorders>
            <w:vAlign w:val="bottom"/>
          </w:tcPr>
          <w:p w14:paraId="13D7A84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0" w:color="auto"/>
              <w:right w:val="nil"/>
            </w:tcBorders>
            <w:vAlign w:val="bottom"/>
          </w:tcPr>
          <w:p w14:paraId="535EE3B6"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0" w:color="auto"/>
              <w:right w:val="nil"/>
            </w:tcBorders>
            <w:vAlign w:val="bottom"/>
          </w:tcPr>
          <w:p w14:paraId="7A52A0FE" w14:textId="77777777" w:rsidR="0086722C" w:rsidRPr="0086722C" w:rsidRDefault="0086722C" w:rsidP="007E02F0">
            <w:pPr>
              <w:jc w:val="center"/>
              <w:rPr>
                <w:rFonts w:ascii="Arial" w:hAnsi="Arial" w:cs="Arial"/>
                <w:color w:val="000000" w:themeColor="text1"/>
              </w:rPr>
            </w:pPr>
          </w:p>
        </w:tc>
      </w:tr>
      <w:tr w:rsidR="0086722C" w:rsidRPr="0086722C" w14:paraId="6799659B" w14:textId="77777777" w:rsidTr="0086722C">
        <w:trPr>
          <w:trHeight w:hRule="exact" w:val="115"/>
          <w:jc w:val="center"/>
        </w:trPr>
        <w:tc>
          <w:tcPr>
            <w:tcW w:w="0" w:type="auto"/>
            <w:tcBorders>
              <w:top w:val="nil"/>
              <w:left w:val="nil"/>
              <w:bottom w:val="nil"/>
              <w:right w:val="nil"/>
            </w:tcBorders>
            <w:vAlign w:val="bottom"/>
          </w:tcPr>
          <w:p w14:paraId="7CC6619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619A918E"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01CEDB51"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77C06706"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B3D3EA7" w14:textId="77777777" w:rsidR="0086722C" w:rsidRPr="0086722C" w:rsidRDefault="0086722C" w:rsidP="007E02F0">
            <w:pPr>
              <w:jc w:val="center"/>
              <w:rPr>
                <w:rFonts w:ascii="Arial" w:hAnsi="Arial" w:cs="Arial"/>
                <w:color w:val="000000" w:themeColor="text1"/>
              </w:rPr>
            </w:pPr>
          </w:p>
        </w:tc>
      </w:tr>
    </w:tbl>
    <w:p w14:paraId="541ADE9E" w14:textId="77777777" w:rsidR="0086722C" w:rsidRDefault="0086722C" w:rsidP="0086722C">
      <w:pPr>
        <w:pStyle w:val="Body"/>
        <w:spacing w:after="0"/>
        <w:rPr>
          <w:rFonts w:ascii="Arial" w:hAnsi="Arial" w:cs="Arial"/>
        </w:rPr>
      </w:pPr>
    </w:p>
    <w:p w14:paraId="046339B4" w14:textId="60900D1F" w:rsidR="0086722C" w:rsidRDefault="0086722C" w:rsidP="0086722C">
      <w:pPr>
        <w:pStyle w:val="Body"/>
        <w:spacing w:after="0"/>
        <w:jc w:val="center"/>
        <w:rPr>
          <w:rFonts w:ascii="Arial" w:hAnsi="Arial" w:cs="Arial"/>
          <w:b/>
          <w:bCs/>
        </w:rPr>
      </w:pPr>
      <w:r>
        <w:rPr>
          <w:rFonts w:ascii="Arial" w:hAnsi="Arial" w:cs="Arial"/>
          <w:b/>
          <w:bCs/>
        </w:rPr>
        <w:t>Table 3. LM Test</w:t>
      </w:r>
    </w:p>
    <w:tbl>
      <w:tblPr>
        <w:tblW w:w="0" w:type="auto"/>
        <w:jc w:val="center"/>
        <w:tblCellMar>
          <w:left w:w="57" w:type="dxa"/>
          <w:right w:w="57" w:type="dxa"/>
        </w:tblCellMar>
        <w:tblLook w:val="0000" w:firstRow="0" w:lastRow="0" w:firstColumn="0" w:lastColumn="0" w:noHBand="0" w:noVBand="0"/>
      </w:tblPr>
      <w:tblGrid>
        <w:gridCol w:w="2340"/>
        <w:gridCol w:w="1478"/>
        <w:gridCol w:w="1122"/>
        <w:gridCol w:w="1122"/>
      </w:tblGrid>
      <w:tr w:rsidR="0086722C" w:rsidRPr="0086722C" w14:paraId="619A074F" w14:textId="77777777" w:rsidTr="0086722C">
        <w:trPr>
          <w:trHeight w:val="192"/>
          <w:jc w:val="center"/>
        </w:trPr>
        <w:tc>
          <w:tcPr>
            <w:tcW w:w="0" w:type="auto"/>
            <w:gridSpan w:val="4"/>
            <w:tcBorders>
              <w:top w:val="nil"/>
              <w:left w:val="nil"/>
              <w:bottom w:val="nil"/>
              <w:right w:val="nil"/>
            </w:tcBorders>
            <w:vAlign w:val="bottom"/>
          </w:tcPr>
          <w:p w14:paraId="627946B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Lagrange Multiplier Tests for Random Effects</w:t>
            </w:r>
          </w:p>
        </w:tc>
      </w:tr>
      <w:tr w:rsidR="0086722C" w:rsidRPr="0086722C" w14:paraId="53596D03" w14:textId="77777777" w:rsidTr="0086722C">
        <w:trPr>
          <w:trHeight w:val="192"/>
          <w:jc w:val="center"/>
        </w:trPr>
        <w:tc>
          <w:tcPr>
            <w:tcW w:w="0" w:type="auto"/>
            <w:gridSpan w:val="3"/>
            <w:tcBorders>
              <w:top w:val="nil"/>
              <w:left w:val="nil"/>
              <w:bottom w:val="nil"/>
              <w:right w:val="nil"/>
            </w:tcBorders>
            <w:vAlign w:val="bottom"/>
          </w:tcPr>
          <w:p w14:paraId="6D174A1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Null hypotheses: No effects</w:t>
            </w:r>
          </w:p>
        </w:tc>
        <w:tc>
          <w:tcPr>
            <w:tcW w:w="0" w:type="auto"/>
            <w:tcBorders>
              <w:top w:val="nil"/>
              <w:left w:val="nil"/>
              <w:bottom w:val="nil"/>
              <w:right w:val="nil"/>
            </w:tcBorders>
            <w:vAlign w:val="bottom"/>
          </w:tcPr>
          <w:p w14:paraId="318195B7" w14:textId="77777777" w:rsidR="0086722C" w:rsidRPr="0086722C" w:rsidRDefault="0086722C" w:rsidP="007E02F0">
            <w:pPr>
              <w:spacing w:line="276" w:lineRule="auto"/>
              <w:jc w:val="both"/>
              <w:rPr>
                <w:rFonts w:ascii="Arial" w:hAnsi="Arial" w:cs="Arial"/>
                <w:lang w:eastAsia="en-ID"/>
              </w:rPr>
            </w:pPr>
          </w:p>
        </w:tc>
      </w:tr>
      <w:tr w:rsidR="0086722C" w:rsidRPr="0086722C" w14:paraId="3563A5F3" w14:textId="77777777" w:rsidTr="0086722C">
        <w:trPr>
          <w:trHeight w:val="192"/>
          <w:jc w:val="center"/>
        </w:trPr>
        <w:tc>
          <w:tcPr>
            <w:tcW w:w="0" w:type="auto"/>
            <w:gridSpan w:val="4"/>
            <w:tcBorders>
              <w:top w:val="nil"/>
              <w:left w:val="nil"/>
              <w:bottom w:val="nil"/>
              <w:right w:val="nil"/>
            </w:tcBorders>
            <w:vAlign w:val="bottom"/>
          </w:tcPr>
          <w:p w14:paraId="28B7FCA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Alternative hypotheses: Two-sided (Breusch-Pagan) and one-sided</w:t>
            </w:r>
          </w:p>
        </w:tc>
      </w:tr>
      <w:tr w:rsidR="0086722C" w:rsidRPr="0086722C" w14:paraId="5FE396AF" w14:textId="77777777" w:rsidTr="0086722C">
        <w:trPr>
          <w:trHeight w:val="192"/>
          <w:jc w:val="center"/>
        </w:trPr>
        <w:tc>
          <w:tcPr>
            <w:tcW w:w="0" w:type="auto"/>
            <w:gridSpan w:val="4"/>
            <w:tcBorders>
              <w:top w:val="nil"/>
              <w:left w:val="nil"/>
              <w:bottom w:val="nil"/>
              <w:right w:val="nil"/>
            </w:tcBorders>
            <w:vAlign w:val="bottom"/>
          </w:tcPr>
          <w:p w14:paraId="4AE21F9D"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(all others) alternatives</w:t>
            </w:r>
          </w:p>
        </w:tc>
      </w:tr>
      <w:tr w:rsidR="0086722C" w:rsidRPr="0086722C" w14:paraId="4B6542D9" w14:textId="77777777" w:rsidTr="0086722C">
        <w:trPr>
          <w:trHeight w:hRule="exact" w:val="76"/>
          <w:jc w:val="center"/>
        </w:trPr>
        <w:tc>
          <w:tcPr>
            <w:tcW w:w="0" w:type="auto"/>
            <w:tcBorders>
              <w:top w:val="nil"/>
              <w:left w:val="nil"/>
              <w:bottom w:val="double" w:sz="6" w:space="2" w:color="auto"/>
              <w:right w:val="nil"/>
            </w:tcBorders>
            <w:vAlign w:val="bottom"/>
          </w:tcPr>
          <w:p w14:paraId="3918B0C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0343CAF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5ACF4B4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5D8827A1" w14:textId="77777777" w:rsidR="0086722C" w:rsidRPr="0086722C" w:rsidRDefault="0086722C" w:rsidP="007E02F0">
            <w:pPr>
              <w:spacing w:line="276" w:lineRule="auto"/>
              <w:jc w:val="both"/>
              <w:rPr>
                <w:rFonts w:ascii="Arial" w:hAnsi="Arial" w:cs="Arial"/>
                <w:lang w:eastAsia="en-ID"/>
              </w:rPr>
            </w:pPr>
          </w:p>
        </w:tc>
      </w:tr>
      <w:tr w:rsidR="0086722C" w:rsidRPr="0086722C" w14:paraId="11E9ECA7" w14:textId="77777777" w:rsidTr="0086722C">
        <w:trPr>
          <w:trHeight w:hRule="exact" w:val="115"/>
          <w:jc w:val="center"/>
        </w:trPr>
        <w:tc>
          <w:tcPr>
            <w:tcW w:w="0" w:type="auto"/>
            <w:tcBorders>
              <w:top w:val="nil"/>
              <w:left w:val="nil"/>
              <w:bottom w:val="nil"/>
              <w:right w:val="nil"/>
            </w:tcBorders>
            <w:vAlign w:val="bottom"/>
          </w:tcPr>
          <w:p w14:paraId="06C2663D"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6AD8D8B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1C000622"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7F80BCF" w14:textId="77777777" w:rsidR="0086722C" w:rsidRPr="0086722C" w:rsidRDefault="0086722C" w:rsidP="007E02F0">
            <w:pPr>
              <w:spacing w:line="276" w:lineRule="auto"/>
              <w:jc w:val="both"/>
              <w:rPr>
                <w:rFonts w:ascii="Arial" w:hAnsi="Arial" w:cs="Arial"/>
                <w:lang w:eastAsia="en-ID"/>
              </w:rPr>
            </w:pPr>
          </w:p>
        </w:tc>
      </w:tr>
      <w:tr w:rsidR="0086722C" w:rsidRPr="0086722C" w14:paraId="62957955" w14:textId="77777777" w:rsidTr="0086722C">
        <w:trPr>
          <w:trHeight w:val="192"/>
          <w:jc w:val="center"/>
        </w:trPr>
        <w:tc>
          <w:tcPr>
            <w:tcW w:w="0" w:type="auto"/>
            <w:tcBorders>
              <w:top w:val="nil"/>
              <w:left w:val="nil"/>
              <w:bottom w:val="nil"/>
              <w:right w:val="nil"/>
            </w:tcBorders>
            <w:vAlign w:val="bottom"/>
          </w:tcPr>
          <w:p w14:paraId="56287E16" w14:textId="77777777" w:rsidR="0086722C" w:rsidRPr="0086722C" w:rsidRDefault="0086722C" w:rsidP="007E02F0">
            <w:pPr>
              <w:spacing w:line="276" w:lineRule="auto"/>
              <w:jc w:val="both"/>
              <w:rPr>
                <w:rFonts w:ascii="Arial" w:hAnsi="Arial" w:cs="Arial"/>
                <w:lang w:eastAsia="en-ID"/>
              </w:rPr>
            </w:pPr>
          </w:p>
        </w:tc>
        <w:tc>
          <w:tcPr>
            <w:tcW w:w="0" w:type="auto"/>
            <w:gridSpan w:val="3"/>
            <w:tcBorders>
              <w:top w:val="nil"/>
              <w:left w:val="nil"/>
              <w:bottom w:val="nil"/>
              <w:right w:val="nil"/>
            </w:tcBorders>
            <w:vAlign w:val="bottom"/>
          </w:tcPr>
          <w:p w14:paraId="6A79ED67"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Test Hypothesis</w:t>
            </w:r>
          </w:p>
        </w:tc>
      </w:tr>
      <w:tr w:rsidR="0086722C" w:rsidRPr="0086722C" w14:paraId="7BB4E349" w14:textId="77777777" w:rsidTr="0086722C">
        <w:trPr>
          <w:trHeight w:val="192"/>
          <w:jc w:val="center"/>
        </w:trPr>
        <w:tc>
          <w:tcPr>
            <w:tcW w:w="0" w:type="auto"/>
            <w:tcBorders>
              <w:top w:val="nil"/>
              <w:left w:val="nil"/>
              <w:bottom w:val="nil"/>
              <w:right w:val="nil"/>
            </w:tcBorders>
            <w:vAlign w:val="bottom"/>
          </w:tcPr>
          <w:p w14:paraId="1B5CA7D2"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C9ED30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Cross-section</w:t>
            </w:r>
          </w:p>
        </w:tc>
        <w:tc>
          <w:tcPr>
            <w:tcW w:w="0" w:type="auto"/>
            <w:tcBorders>
              <w:top w:val="nil"/>
              <w:left w:val="nil"/>
              <w:bottom w:val="nil"/>
              <w:right w:val="nil"/>
            </w:tcBorders>
            <w:vAlign w:val="bottom"/>
          </w:tcPr>
          <w:p w14:paraId="0412355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Time</w:t>
            </w:r>
          </w:p>
        </w:tc>
        <w:tc>
          <w:tcPr>
            <w:tcW w:w="0" w:type="auto"/>
            <w:tcBorders>
              <w:top w:val="nil"/>
              <w:left w:val="nil"/>
              <w:bottom w:val="nil"/>
              <w:right w:val="nil"/>
            </w:tcBorders>
            <w:vAlign w:val="bottom"/>
          </w:tcPr>
          <w:p w14:paraId="4995323B"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Both</w:t>
            </w:r>
          </w:p>
        </w:tc>
      </w:tr>
      <w:tr w:rsidR="0086722C" w:rsidRPr="0086722C" w14:paraId="4A70A413" w14:textId="77777777" w:rsidTr="0086722C">
        <w:trPr>
          <w:trHeight w:hRule="exact" w:val="76"/>
          <w:jc w:val="center"/>
        </w:trPr>
        <w:tc>
          <w:tcPr>
            <w:tcW w:w="0" w:type="auto"/>
            <w:tcBorders>
              <w:top w:val="nil"/>
              <w:left w:val="nil"/>
              <w:bottom w:val="double" w:sz="6" w:space="2" w:color="auto"/>
              <w:right w:val="nil"/>
            </w:tcBorders>
            <w:vAlign w:val="bottom"/>
          </w:tcPr>
          <w:p w14:paraId="65807043"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0B5FA737"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6F9E9988"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3274EB38" w14:textId="77777777" w:rsidR="0086722C" w:rsidRPr="0086722C" w:rsidRDefault="0086722C" w:rsidP="007E02F0">
            <w:pPr>
              <w:spacing w:line="276" w:lineRule="auto"/>
              <w:jc w:val="both"/>
              <w:rPr>
                <w:rFonts w:ascii="Arial" w:hAnsi="Arial" w:cs="Arial"/>
                <w:lang w:eastAsia="en-ID"/>
              </w:rPr>
            </w:pPr>
          </w:p>
        </w:tc>
      </w:tr>
      <w:tr w:rsidR="0086722C" w:rsidRPr="0086722C" w14:paraId="44BE08E9" w14:textId="77777777" w:rsidTr="0086722C">
        <w:trPr>
          <w:trHeight w:hRule="exact" w:val="115"/>
          <w:jc w:val="center"/>
        </w:trPr>
        <w:tc>
          <w:tcPr>
            <w:tcW w:w="0" w:type="auto"/>
            <w:tcBorders>
              <w:top w:val="nil"/>
              <w:left w:val="nil"/>
              <w:bottom w:val="nil"/>
              <w:right w:val="nil"/>
            </w:tcBorders>
            <w:vAlign w:val="bottom"/>
          </w:tcPr>
          <w:p w14:paraId="5E5359D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3EAAB7B8"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3656D82C"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3CAFF104" w14:textId="77777777" w:rsidR="0086722C" w:rsidRPr="0086722C" w:rsidRDefault="0086722C" w:rsidP="007E02F0">
            <w:pPr>
              <w:spacing w:line="276" w:lineRule="auto"/>
              <w:jc w:val="both"/>
              <w:rPr>
                <w:rFonts w:ascii="Arial" w:hAnsi="Arial" w:cs="Arial"/>
                <w:lang w:eastAsia="en-ID"/>
              </w:rPr>
            </w:pPr>
          </w:p>
        </w:tc>
      </w:tr>
      <w:tr w:rsidR="0086722C" w:rsidRPr="0086722C" w14:paraId="4D635CAE" w14:textId="77777777" w:rsidTr="0086722C">
        <w:trPr>
          <w:trHeight w:val="192"/>
          <w:jc w:val="center"/>
        </w:trPr>
        <w:tc>
          <w:tcPr>
            <w:tcW w:w="0" w:type="auto"/>
            <w:tcBorders>
              <w:top w:val="nil"/>
              <w:left w:val="nil"/>
              <w:bottom w:val="nil"/>
              <w:right w:val="nil"/>
            </w:tcBorders>
            <w:vAlign w:val="bottom"/>
          </w:tcPr>
          <w:p w14:paraId="4968A00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Breusch-Pagan</w:t>
            </w:r>
          </w:p>
        </w:tc>
        <w:tc>
          <w:tcPr>
            <w:tcW w:w="0" w:type="auto"/>
            <w:tcBorders>
              <w:top w:val="nil"/>
              <w:left w:val="nil"/>
              <w:bottom w:val="nil"/>
              <w:right w:val="nil"/>
            </w:tcBorders>
            <w:vAlign w:val="bottom"/>
          </w:tcPr>
          <w:p w14:paraId="4DD0B830"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0.327861</w:t>
            </w:r>
          </w:p>
        </w:tc>
        <w:tc>
          <w:tcPr>
            <w:tcW w:w="0" w:type="auto"/>
            <w:tcBorders>
              <w:top w:val="nil"/>
              <w:left w:val="nil"/>
              <w:bottom w:val="nil"/>
              <w:right w:val="nil"/>
            </w:tcBorders>
            <w:vAlign w:val="bottom"/>
          </w:tcPr>
          <w:p w14:paraId="5B36DC6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4.479011</w:t>
            </w:r>
          </w:p>
        </w:tc>
        <w:tc>
          <w:tcPr>
            <w:tcW w:w="0" w:type="auto"/>
            <w:tcBorders>
              <w:top w:val="nil"/>
              <w:left w:val="nil"/>
              <w:bottom w:val="nil"/>
              <w:right w:val="nil"/>
            </w:tcBorders>
            <w:vAlign w:val="bottom"/>
          </w:tcPr>
          <w:p w14:paraId="62B1785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4.806872</w:t>
            </w:r>
          </w:p>
        </w:tc>
      </w:tr>
      <w:tr w:rsidR="0086722C" w:rsidRPr="0086722C" w14:paraId="3CB80E90" w14:textId="77777777" w:rsidTr="0086722C">
        <w:trPr>
          <w:trHeight w:val="192"/>
          <w:jc w:val="center"/>
        </w:trPr>
        <w:tc>
          <w:tcPr>
            <w:tcW w:w="0" w:type="auto"/>
            <w:tcBorders>
              <w:top w:val="nil"/>
              <w:left w:val="nil"/>
              <w:bottom w:val="nil"/>
              <w:right w:val="nil"/>
            </w:tcBorders>
            <w:vAlign w:val="bottom"/>
          </w:tcPr>
          <w:p w14:paraId="77E75154"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002806B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(0.5669)</w:t>
            </w:r>
          </w:p>
        </w:tc>
        <w:tc>
          <w:tcPr>
            <w:tcW w:w="0" w:type="auto"/>
            <w:tcBorders>
              <w:top w:val="nil"/>
              <w:left w:val="nil"/>
              <w:bottom w:val="nil"/>
              <w:right w:val="nil"/>
            </w:tcBorders>
            <w:vAlign w:val="bottom"/>
          </w:tcPr>
          <w:p w14:paraId="1A96766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(0.0343)</w:t>
            </w:r>
          </w:p>
        </w:tc>
        <w:tc>
          <w:tcPr>
            <w:tcW w:w="0" w:type="auto"/>
            <w:tcBorders>
              <w:top w:val="nil"/>
              <w:left w:val="nil"/>
              <w:bottom w:val="nil"/>
              <w:right w:val="nil"/>
            </w:tcBorders>
            <w:vAlign w:val="bottom"/>
          </w:tcPr>
          <w:p w14:paraId="1949BBD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(0.0283)</w:t>
            </w:r>
          </w:p>
        </w:tc>
      </w:tr>
      <w:tr w:rsidR="0086722C" w:rsidRPr="0086722C" w14:paraId="00960B3C" w14:textId="77777777" w:rsidTr="0086722C">
        <w:trPr>
          <w:trHeight w:val="192"/>
          <w:jc w:val="center"/>
        </w:trPr>
        <w:tc>
          <w:tcPr>
            <w:tcW w:w="0" w:type="auto"/>
            <w:tcBorders>
              <w:top w:val="nil"/>
              <w:left w:val="nil"/>
              <w:bottom w:val="nil"/>
              <w:right w:val="nil"/>
            </w:tcBorders>
            <w:vAlign w:val="bottom"/>
          </w:tcPr>
          <w:p w14:paraId="7C138614"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140BA288"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1D66F93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1273D3EE" w14:textId="77777777" w:rsidR="0086722C" w:rsidRPr="0086722C" w:rsidRDefault="0086722C" w:rsidP="007E02F0">
            <w:pPr>
              <w:spacing w:line="276" w:lineRule="auto"/>
              <w:jc w:val="both"/>
              <w:rPr>
                <w:rFonts w:ascii="Arial" w:hAnsi="Arial" w:cs="Arial"/>
                <w:lang w:eastAsia="en-ID"/>
              </w:rPr>
            </w:pPr>
          </w:p>
        </w:tc>
      </w:tr>
      <w:tr w:rsidR="0086722C" w:rsidRPr="0086722C" w14:paraId="3FC539AA" w14:textId="77777777" w:rsidTr="0086722C">
        <w:trPr>
          <w:trHeight w:val="192"/>
          <w:jc w:val="center"/>
        </w:trPr>
        <w:tc>
          <w:tcPr>
            <w:tcW w:w="0" w:type="auto"/>
            <w:tcBorders>
              <w:top w:val="nil"/>
              <w:left w:val="nil"/>
              <w:bottom w:val="nil"/>
              <w:right w:val="nil"/>
            </w:tcBorders>
            <w:vAlign w:val="bottom"/>
          </w:tcPr>
          <w:p w14:paraId="1739B200"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Honda</w:t>
            </w:r>
          </w:p>
        </w:tc>
        <w:tc>
          <w:tcPr>
            <w:tcW w:w="0" w:type="auto"/>
            <w:tcBorders>
              <w:top w:val="nil"/>
              <w:left w:val="nil"/>
              <w:bottom w:val="nil"/>
              <w:right w:val="nil"/>
            </w:tcBorders>
            <w:vAlign w:val="bottom"/>
          </w:tcPr>
          <w:p w14:paraId="1B6E5C21"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0.572591</w:t>
            </w:r>
          </w:p>
        </w:tc>
        <w:tc>
          <w:tcPr>
            <w:tcW w:w="0" w:type="auto"/>
            <w:tcBorders>
              <w:top w:val="nil"/>
              <w:left w:val="nil"/>
              <w:bottom w:val="nil"/>
              <w:right w:val="nil"/>
            </w:tcBorders>
            <w:vAlign w:val="bottom"/>
          </w:tcPr>
          <w:p w14:paraId="73D130D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-2.116367</w:t>
            </w:r>
          </w:p>
        </w:tc>
        <w:tc>
          <w:tcPr>
            <w:tcW w:w="0" w:type="auto"/>
            <w:tcBorders>
              <w:top w:val="nil"/>
              <w:left w:val="nil"/>
              <w:bottom w:val="nil"/>
              <w:right w:val="nil"/>
            </w:tcBorders>
            <w:vAlign w:val="bottom"/>
          </w:tcPr>
          <w:p w14:paraId="3B4ACDC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-1.091615</w:t>
            </w:r>
          </w:p>
        </w:tc>
      </w:tr>
      <w:tr w:rsidR="0086722C" w:rsidRPr="0086722C" w14:paraId="0AB3E9D9" w14:textId="77777777" w:rsidTr="0086722C">
        <w:trPr>
          <w:trHeight w:val="192"/>
          <w:jc w:val="center"/>
        </w:trPr>
        <w:tc>
          <w:tcPr>
            <w:tcW w:w="0" w:type="auto"/>
            <w:tcBorders>
              <w:top w:val="nil"/>
              <w:left w:val="nil"/>
              <w:bottom w:val="nil"/>
              <w:right w:val="nil"/>
            </w:tcBorders>
            <w:vAlign w:val="bottom"/>
          </w:tcPr>
          <w:p w14:paraId="0C41F797"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59C4249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(0.2835)</w:t>
            </w:r>
          </w:p>
        </w:tc>
        <w:tc>
          <w:tcPr>
            <w:tcW w:w="0" w:type="auto"/>
            <w:tcBorders>
              <w:top w:val="nil"/>
              <w:left w:val="nil"/>
              <w:bottom w:val="nil"/>
              <w:right w:val="nil"/>
            </w:tcBorders>
            <w:vAlign w:val="bottom"/>
          </w:tcPr>
          <w:p w14:paraId="54BD5CD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(0.9828)</w:t>
            </w:r>
          </w:p>
        </w:tc>
        <w:tc>
          <w:tcPr>
            <w:tcW w:w="0" w:type="auto"/>
            <w:tcBorders>
              <w:top w:val="nil"/>
              <w:left w:val="nil"/>
              <w:bottom w:val="nil"/>
              <w:right w:val="nil"/>
            </w:tcBorders>
            <w:vAlign w:val="bottom"/>
          </w:tcPr>
          <w:p w14:paraId="7F9ED08F"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(0.8625)</w:t>
            </w:r>
          </w:p>
        </w:tc>
      </w:tr>
      <w:tr w:rsidR="0086722C" w:rsidRPr="0086722C" w14:paraId="75E40F76" w14:textId="77777777" w:rsidTr="0086722C">
        <w:trPr>
          <w:trHeight w:val="192"/>
          <w:jc w:val="center"/>
        </w:trPr>
        <w:tc>
          <w:tcPr>
            <w:tcW w:w="0" w:type="auto"/>
            <w:tcBorders>
              <w:top w:val="nil"/>
              <w:left w:val="nil"/>
              <w:bottom w:val="nil"/>
              <w:right w:val="nil"/>
            </w:tcBorders>
            <w:vAlign w:val="bottom"/>
          </w:tcPr>
          <w:p w14:paraId="331EF2E3"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558CC20"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7A9BC36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4A4808A" w14:textId="77777777" w:rsidR="0086722C" w:rsidRPr="0086722C" w:rsidRDefault="0086722C" w:rsidP="007E02F0">
            <w:pPr>
              <w:spacing w:line="276" w:lineRule="auto"/>
              <w:jc w:val="both"/>
              <w:rPr>
                <w:rFonts w:ascii="Arial" w:hAnsi="Arial" w:cs="Arial"/>
                <w:lang w:eastAsia="en-ID"/>
              </w:rPr>
            </w:pPr>
          </w:p>
        </w:tc>
      </w:tr>
      <w:tr w:rsidR="0086722C" w:rsidRPr="0086722C" w14:paraId="6A1AF592" w14:textId="77777777" w:rsidTr="0086722C">
        <w:trPr>
          <w:trHeight w:val="192"/>
          <w:jc w:val="center"/>
        </w:trPr>
        <w:tc>
          <w:tcPr>
            <w:tcW w:w="0" w:type="auto"/>
            <w:tcBorders>
              <w:top w:val="nil"/>
              <w:left w:val="nil"/>
              <w:bottom w:val="nil"/>
              <w:right w:val="nil"/>
            </w:tcBorders>
            <w:vAlign w:val="bottom"/>
          </w:tcPr>
          <w:p w14:paraId="4932203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King-Wu</w:t>
            </w:r>
          </w:p>
        </w:tc>
        <w:tc>
          <w:tcPr>
            <w:tcW w:w="0" w:type="auto"/>
            <w:tcBorders>
              <w:top w:val="nil"/>
              <w:left w:val="nil"/>
              <w:bottom w:val="nil"/>
              <w:right w:val="nil"/>
            </w:tcBorders>
            <w:vAlign w:val="bottom"/>
          </w:tcPr>
          <w:p w14:paraId="230A0199"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0.572591</w:t>
            </w:r>
          </w:p>
        </w:tc>
        <w:tc>
          <w:tcPr>
            <w:tcW w:w="0" w:type="auto"/>
            <w:tcBorders>
              <w:top w:val="nil"/>
              <w:left w:val="nil"/>
              <w:bottom w:val="nil"/>
              <w:right w:val="nil"/>
            </w:tcBorders>
            <w:vAlign w:val="bottom"/>
          </w:tcPr>
          <w:p w14:paraId="51EBFF7B"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-2.116367</w:t>
            </w:r>
          </w:p>
        </w:tc>
        <w:tc>
          <w:tcPr>
            <w:tcW w:w="0" w:type="auto"/>
            <w:tcBorders>
              <w:top w:val="nil"/>
              <w:left w:val="nil"/>
              <w:bottom w:val="nil"/>
              <w:right w:val="nil"/>
            </w:tcBorders>
            <w:vAlign w:val="bottom"/>
          </w:tcPr>
          <w:p w14:paraId="65B4F4A9"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-1.962975</w:t>
            </w:r>
          </w:p>
        </w:tc>
      </w:tr>
      <w:tr w:rsidR="0086722C" w:rsidRPr="0086722C" w14:paraId="665C7B2C" w14:textId="77777777" w:rsidTr="0086722C">
        <w:trPr>
          <w:trHeight w:val="192"/>
          <w:jc w:val="center"/>
        </w:trPr>
        <w:tc>
          <w:tcPr>
            <w:tcW w:w="0" w:type="auto"/>
            <w:tcBorders>
              <w:top w:val="nil"/>
              <w:left w:val="nil"/>
              <w:bottom w:val="nil"/>
              <w:right w:val="nil"/>
            </w:tcBorders>
            <w:vAlign w:val="bottom"/>
          </w:tcPr>
          <w:p w14:paraId="274BDDB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2486BDF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(0.2835)</w:t>
            </w:r>
          </w:p>
        </w:tc>
        <w:tc>
          <w:tcPr>
            <w:tcW w:w="0" w:type="auto"/>
            <w:tcBorders>
              <w:top w:val="nil"/>
              <w:left w:val="nil"/>
              <w:bottom w:val="nil"/>
              <w:right w:val="nil"/>
            </w:tcBorders>
            <w:vAlign w:val="bottom"/>
          </w:tcPr>
          <w:p w14:paraId="6032241D"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(0.9828)</w:t>
            </w:r>
          </w:p>
        </w:tc>
        <w:tc>
          <w:tcPr>
            <w:tcW w:w="0" w:type="auto"/>
            <w:tcBorders>
              <w:top w:val="nil"/>
              <w:left w:val="nil"/>
              <w:bottom w:val="nil"/>
              <w:right w:val="nil"/>
            </w:tcBorders>
            <w:vAlign w:val="bottom"/>
          </w:tcPr>
          <w:p w14:paraId="7EA04AA4"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(0.9752)</w:t>
            </w:r>
          </w:p>
        </w:tc>
      </w:tr>
      <w:tr w:rsidR="0086722C" w:rsidRPr="0086722C" w14:paraId="40C787CB" w14:textId="77777777" w:rsidTr="0086722C">
        <w:trPr>
          <w:trHeight w:val="192"/>
          <w:jc w:val="center"/>
        </w:trPr>
        <w:tc>
          <w:tcPr>
            <w:tcW w:w="0" w:type="auto"/>
            <w:tcBorders>
              <w:top w:val="nil"/>
              <w:left w:val="nil"/>
              <w:bottom w:val="nil"/>
              <w:right w:val="nil"/>
            </w:tcBorders>
            <w:vAlign w:val="bottom"/>
          </w:tcPr>
          <w:p w14:paraId="04EE4218"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36A56E7"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6194C0F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22BCD1C0" w14:textId="77777777" w:rsidR="0086722C" w:rsidRPr="0086722C" w:rsidRDefault="0086722C" w:rsidP="007E02F0">
            <w:pPr>
              <w:spacing w:line="276" w:lineRule="auto"/>
              <w:jc w:val="both"/>
              <w:rPr>
                <w:rFonts w:ascii="Arial" w:hAnsi="Arial" w:cs="Arial"/>
                <w:lang w:eastAsia="en-ID"/>
              </w:rPr>
            </w:pPr>
          </w:p>
        </w:tc>
      </w:tr>
      <w:tr w:rsidR="0086722C" w:rsidRPr="0086722C" w14:paraId="2D6946C9" w14:textId="77777777" w:rsidTr="0086722C">
        <w:trPr>
          <w:trHeight w:val="192"/>
          <w:jc w:val="center"/>
        </w:trPr>
        <w:tc>
          <w:tcPr>
            <w:tcW w:w="0" w:type="auto"/>
            <w:tcBorders>
              <w:top w:val="nil"/>
              <w:left w:val="nil"/>
              <w:bottom w:val="nil"/>
              <w:right w:val="nil"/>
            </w:tcBorders>
            <w:vAlign w:val="bottom"/>
          </w:tcPr>
          <w:p w14:paraId="41B156CE"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Standardized Honda</w:t>
            </w:r>
          </w:p>
        </w:tc>
        <w:tc>
          <w:tcPr>
            <w:tcW w:w="0" w:type="auto"/>
            <w:tcBorders>
              <w:top w:val="nil"/>
              <w:left w:val="nil"/>
              <w:bottom w:val="nil"/>
              <w:right w:val="nil"/>
            </w:tcBorders>
            <w:vAlign w:val="bottom"/>
          </w:tcPr>
          <w:p w14:paraId="4B5BF16E"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0.644424</w:t>
            </w:r>
          </w:p>
        </w:tc>
        <w:tc>
          <w:tcPr>
            <w:tcW w:w="0" w:type="auto"/>
            <w:tcBorders>
              <w:top w:val="nil"/>
              <w:left w:val="nil"/>
              <w:bottom w:val="nil"/>
              <w:right w:val="nil"/>
            </w:tcBorders>
            <w:vAlign w:val="bottom"/>
          </w:tcPr>
          <w:p w14:paraId="2149E593"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-1.730239</w:t>
            </w:r>
          </w:p>
        </w:tc>
        <w:tc>
          <w:tcPr>
            <w:tcW w:w="0" w:type="auto"/>
            <w:tcBorders>
              <w:top w:val="nil"/>
              <w:left w:val="nil"/>
              <w:bottom w:val="nil"/>
              <w:right w:val="nil"/>
            </w:tcBorders>
            <w:vAlign w:val="bottom"/>
          </w:tcPr>
          <w:p w14:paraId="2AF8FF5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-11.46962</w:t>
            </w:r>
          </w:p>
        </w:tc>
      </w:tr>
      <w:tr w:rsidR="0086722C" w:rsidRPr="0086722C" w14:paraId="76C3E93F" w14:textId="77777777" w:rsidTr="0086722C">
        <w:trPr>
          <w:trHeight w:val="192"/>
          <w:jc w:val="center"/>
        </w:trPr>
        <w:tc>
          <w:tcPr>
            <w:tcW w:w="0" w:type="auto"/>
            <w:tcBorders>
              <w:top w:val="nil"/>
              <w:left w:val="nil"/>
              <w:bottom w:val="nil"/>
              <w:right w:val="nil"/>
            </w:tcBorders>
            <w:vAlign w:val="bottom"/>
          </w:tcPr>
          <w:p w14:paraId="3ACD691B"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754613B6"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(0.2597)</w:t>
            </w:r>
          </w:p>
        </w:tc>
        <w:tc>
          <w:tcPr>
            <w:tcW w:w="0" w:type="auto"/>
            <w:tcBorders>
              <w:top w:val="nil"/>
              <w:left w:val="nil"/>
              <w:bottom w:val="nil"/>
              <w:right w:val="nil"/>
            </w:tcBorders>
            <w:vAlign w:val="bottom"/>
          </w:tcPr>
          <w:p w14:paraId="1C6F245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(0.9582)</w:t>
            </w:r>
          </w:p>
        </w:tc>
        <w:tc>
          <w:tcPr>
            <w:tcW w:w="0" w:type="auto"/>
            <w:tcBorders>
              <w:top w:val="nil"/>
              <w:left w:val="nil"/>
              <w:bottom w:val="nil"/>
              <w:right w:val="nil"/>
            </w:tcBorders>
            <w:vAlign w:val="bottom"/>
          </w:tcPr>
          <w:p w14:paraId="6ED1840D"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(1.0000)</w:t>
            </w:r>
          </w:p>
        </w:tc>
      </w:tr>
      <w:tr w:rsidR="0086722C" w:rsidRPr="0086722C" w14:paraId="255AA333" w14:textId="77777777" w:rsidTr="0086722C">
        <w:trPr>
          <w:trHeight w:val="113"/>
          <w:jc w:val="center"/>
        </w:trPr>
        <w:tc>
          <w:tcPr>
            <w:tcW w:w="0" w:type="auto"/>
            <w:tcBorders>
              <w:top w:val="nil"/>
              <w:left w:val="nil"/>
              <w:bottom w:val="nil"/>
              <w:right w:val="nil"/>
            </w:tcBorders>
            <w:vAlign w:val="bottom"/>
          </w:tcPr>
          <w:p w14:paraId="54D7FFE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7D816861"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688E502A"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36A65012" w14:textId="77777777" w:rsidR="0086722C" w:rsidRPr="0086722C" w:rsidRDefault="0086722C" w:rsidP="007E02F0">
            <w:pPr>
              <w:spacing w:line="276" w:lineRule="auto"/>
              <w:jc w:val="both"/>
              <w:rPr>
                <w:rFonts w:ascii="Arial" w:hAnsi="Arial" w:cs="Arial"/>
                <w:lang w:eastAsia="en-ID"/>
              </w:rPr>
            </w:pPr>
          </w:p>
        </w:tc>
      </w:tr>
      <w:tr w:rsidR="0086722C" w:rsidRPr="0086722C" w14:paraId="245DBF72" w14:textId="77777777" w:rsidTr="0086722C">
        <w:trPr>
          <w:trHeight w:val="192"/>
          <w:jc w:val="center"/>
        </w:trPr>
        <w:tc>
          <w:tcPr>
            <w:tcW w:w="0" w:type="auto"/>
            <w:tcBorders>
              <w:top w:val="nil"/>
              <w:left w:val="nil"/>
              <w:bottom w:val="nil"/>
              <w:right w:val="nil"/>
            </w:tcBorders>
            <w:vAlign w:val="bottom"/>
          </w:tcPr>
          <w:p w14:paraId="21339B2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Standardized King-Wu</w:t>
            </w:r>
          </w:p>
        </w:tc>
        <w:tc>
          <w:tcPr>
            <w:tcW w:w="0" w:type="auto"/>
            <w:tcBorders>
              <w:top w:val="nil"/>
              <w:left w:val="nil"/>
              <w:bottom w:val="nil"/>
              <w:right w:val="nil"/>
            </w:tcBorders>
            <w:vAlign w:val="bottom"/>
          </w:tcPr>
          <w:p w14:paraId="53D3961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0.644424</w:t>
            </w:r>
          </w:p>
        </w:tc>
        <w:tc>
          <w:tcPr>
            <w:tcW w:w="0" w:type="auto"/>
            <w:tcBorders>
              <w:top w:val="nil"/>
              <w:left w:val="nil"/>
              <w:bottom w:val="nil"/>
              <w:right w:val="nil"/>
            </w:tcBorders>
            <w:vAlign w:val="bottom"/>
          </w:tcPr>
          <w:p w14:paraId="773193F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-1.730239</w:t>
            </w:r>
          </w:p>
        </w:tc>
        <w:tc>
          <w:tcPr>
            <w:tcW w:w="0" w:type="auto"/>
            <w:tcBorders>
              <w:top w:val="nil"/>
              <w:left w:val="nil"/>
              <w:bottom w:val="nil"/>
              <w:right w:val="nil"/>
            </w:tcBorders>
            <w:vAlign w:val="bottom"/>
          </w:tcPr>
          <w:p w14:paraId="44058F7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-6.922458</w:t>
            </w:r>
          </w:p>
        </w:tc>
      </w:tr>
      <w:tr w:rsidR="0086722C" w:rsidRPr="0086722C" w14:paraId="61E2AAFE" w14:textId="77777777" w:rsidTr="0086722C">
        <w:trPr>
          <w:trHeight w:val="192"/>
          <w:jc w:val="center"/>
        </w:trPr>
        <w:tc>
          <w:tcPr>
            <w:tcW w:w="0" w:type="auto"/>
            <w:tcBorders>
              <w:top w:val="nil"/>
              <w:left w:val="nil"/>
              <w:bottom w:val="nil"/>
              <w:right w:val="nil"/>
            </w:tcBorders>
            <w:vAlign w:val="bottom"/>
          </w:tcPr>
          <w:p w14:paraId="3B862B84"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25403C26"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(0.2597)</w:t>
            </w:r>
          </w:p>
        </w:tc>
        <w:tc>
          <w:tcPr>
            <w:tcW w:w="0" w:type="auto"/>
            <w:tcBorders>
              <w:top w:val="nil"/>
              <w:left w:val="nil"/>
              <w:bottom w:val="nil"/>
              <w:right w:val="nil"/>
            </w:tcBorders>
            <w:vAlign w:val="bottom"/>
          </w:tcPr>
          <w:p w14:paraId="2C504570"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(0.9582)</w:t>
            </w:r>
          </w:p>
        </w:tc>
        <w:tc>
          <w:tcPr>
            <w:tcW w:w="0" w:type="auto"/>
            <w:tcBorders>
              <w:top w:val="nil"/>
              <w:left w:val="nil"/>
              <w:bottom w:val="nil"/>
              <w:right w:val="nil"/>
            </w:tcBorders>
            <w:vAlign w:val="bottom"/>
          </w:tcPr>
          <w:p w14:paraId="1E84A60B"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(1.0000)</w:t>
            </w:r>
          </w:p>
        </w:tc>
      </w:tr>
      <w:tr w:rsidR="0086722C" w:rsidRPr="0086722C" w14:paraId="7003EF8C" w14:textId="77777777" w:rsidTr="0086722C">
        <w:trPr>
          <w:trHeight w:hRule="exact" w:val="76"/>
          <w:jc w:val="center"/>
        </w:trPr>
        <w:tc>
          <w:tcPr>
            <w:tcW w:w="0" w:type="auto"/>
            <w:tcBorders>
              <w:top w:val="nil"/>
              <w:left w:val="nil"/>
              <w:bottom w:val="double" w:sz="6" w:space="0" w:color="auto"/>
              <w:right w:val="nil"/>
            </w:tcBorders>
            <w:vAlign w:val="bottom"/>
          </w:tcPr>
          <w:p w14:paraId="463EA7E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0" w:color="auto"/>
              <w:right w:val="nil"/>
            </w:tcBorders>
            <w:vAlign w:val="bottom"/>
          </w:tcPr>
          <w:p w14:paraId="6CBD52AA"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0" w:color="auto"/>
              <w:right w:val="nil"/>
            </w:tcBorders>
            <w:vAlign w:val="bottom"/>
          </w:tcPr>
          <w:p w14:paraId="3619319B"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0" w:color="auto"/>
              <w:right w:val="nil"/>
            </w:tcBorders>
            <w:vAlign w:val="bottom"/>
          </w:tcPr>
          <w:p w14:paraId="7F90C5DF" w14:textId="77777777" w:rsidR="0086722C" w:rsidRPr="0086722C" w:rsidRDefault="0086722C" w:rsidP="007E02F0">
            <w:pPr>
              <w:spacing w:line="276" w:lineRule="auto"/>
              <w:jc w:val="both"/>
              <w:rPr>
                <w:rFonts w:ascii="Arial" w:hAnsi="Arial" w:cs="Arial"/>
                <w:lang w:eastAsia="en-ID"/>
              </w:rPr>
            </w:pPr>
          </w:p>
        </w:tc>
      </w:tr>
    </w:tbl>
    <w:p w14:paraId="283EA611" w14:textId="77777777" w:rsidR="00D73E42" w:rsidRDefault="00D73E42" w:rsidP="0086722C">
      <w:pPr>
        <w:pStyle w:val="Body"/>
        <w:spacing w:after="0"/>
        <w:rPr>
          <w:rFonts w:ascii="Arial" w:hAnsi="Arial" w:cs="Arial"/>
          <w:b/>
          <w:u w:val="single"/>
        </w:rPr>
      </w:pPr>
    </w:p>
    <w:p w14:paraId="0A796917" w14:textId="1995F0AC" w:rsidR="0086722C" w:rsidRPr="0086722C" w:rsidRDefault="0086722C" w:rsidP="0086722C">
      <w:pPr>
        <w:pStyle w:val="Body"/>
        <w:spacing w:after="0"/>
        <w:rPr>
          <w:rFonts w:ascii="Arial" w:hAnsi="Arial" w:cs="Arial"/>
          <w:b/>
          <w:bCs/>
          <w:u w:val="single"/>
        </w:rPr>
      </w:pPr>
      <w:r>
        <w:rPr>
          <w:rFonts w:ascii="Arial" w:hAnsi="Arial" w:cs="Arial"/>
          <w:b/>
          <w:u w:val="single"/>
        </w:rPr>
        <w:t>3.1.3</w:t>
      </w:r>
      <w:r w:rsidRPr="0086722C">
        <w:rPr>
          <w:rFonts w:ascii="Arial" w:hAnsi="Arial" w:cs="Arial"/>
          <w:b/>
          <w:u w:val="single"/>
        </w:rPr>
        <w:t xml:space="preserve">. </w:t>
      </w:r>
      <w:r w:rsidRPr="0086722C">
        <w:rPr>
          <w:rFonts w:ascii="Arial" w:hAnsi="Arial" w:cs="Arial"/>
          <w:b/>
          <w:bCs/>
          <w:u w:val="single"/>
        </w:rPr>
        <w:t xml:space="preserve">Classical </w:t>
      </w:r>
      <w:r w:rsidR="00D73E42" w:rsidRPr="00D73E42">
        <w:rPr>
          <w:rFonts w:ascii="Arial" w:hAnsi="Arial" w:cs="Arial"/>
          <w:b/>
          <w:bCs/>
          <w:u w:val="single"/>
        </w:rPr>
        <w:t>Diagnostic</w:t>
      </w:r>
      <w:r w:rsidR="00D73E42">
        <w:rPr>
          <w:rFonts w:ascii="Arial" w:hAnsi="Arial" w:cs="Arial"/>
          <w:b/>
          <w:bCs/>
          <w:u w:val="single"/>
        </w:rPr>
        <w:t xml:space="preserve"> </w:t>
      </w:r>
      <w:r w:rsidRPr="0086722C">
        <w:rPr>
          <w:rFonts w:ascii="Arial" w:hAnsi="Arial" w:cs="Arial"/>
          <w:b/>
          <w:bCs/>
          <w:u w:val="single"/>
        </w:rPr>
        <w:t>Tests</w:t>
      </w:r>
    </w:p>
    <w:p w14:paraId="5A29353E" w14:textId="53A7DFC3" w:rsidR="0086722C" w:rsidRDefault="00D73E42" w:rsidP="0086722C">
      <w:pPr>
        <w:pStyle w:val="Body"/>
        <w:spacing w:after="0"/>
        <w:rPr>
          <w:rFonts w:ascii="Arial" w:hAnsi="Arial" w:cs="Arial"/>
        </w:rPr>
      </w:pPr>
      <w:r w:rsidRPr="00D73E42">
        <w:rPr>
          <w:rFonts w:ascii="Arial" w:hAnsi="Arial" w:cs="Arial"/>
        </w:rPr>
        <w:t>The classical diagnostic tests were selectively employed because the models were estimated using random effects estimation with generalized least squares because the GLS procedure corrects for the variance-corrected structure and the error components, which tends to provide a more efficient estimator. Nonetheless, additional analysis on the possibility of the presence of heteroscedasticity can still provide useful results.</w:t>
      </w:r>
    </w:p>
    <w:p w14:paraId="0D795EB3" w14:textId="77777777" w:rsidR="0086722C" w:rsidRDefault="0086722C" w:rsidP="0086722C">
      <w:pPr>
        <w:pStyle w:val="Body"/>
        <w:spacing w:after="0"/>
        <w:rPr>
          <w:rFonts w:ascii="Arial" w:hAnsi="Arial" w:cs="Arial"/>
        </w:rPr>
      </w:pPr>
    </w:p>
    <w:p w14:paraId="16C0EEA8" w14:textId="4BD7C6B4" w:rsidR="0086722C" w:rsidRDefault="0086722C" w:rsidP="0086722C">
      <w:pPr>
        <w:pStyle w:val="Body"/>
        <w:spacing w:after="0"/>
        <w:rPr>
          <w:rFonts w:ascii="Arial" w:hAnsi="Arial" w:cs="Arial"/>
        </w:rPr>
      </w:pPr>
      <w:r w:rsidRPr="0086722C">
        <w:rPr>
          <w:rFonts w:ascii="Arial" w:hAnsi="Arial" w:cs="Arial"/>
        </w:rPr>
        <w:lastRenderedPageBreak/>
        <w:t xml:space="preserve">Multicollinearity was assessed using the correlation matrix reported in Table </w:t>
      </w:r>
      <w:r>
        <w:rPr>
          <w:rFonts w:ascii="Arial" w:hAnsi="Arial" w:cs="Arial"/>
        </w:rPr>
        <w:t>4</w:t>
      </w:r>
      <w:r w:rsidRPr="0086722C">
        <w:rPr>
          <w:rFonts w:ascii="Arial" w:hAnsi="Arial" w:cs="Arial"/>
        </w:rPr>
        <w:t>, which shows that all pairwise correlations among the independent variables fall below the threshold indicating serious multicollinearity. Therefore, no collinearity issues were found that could undermine the stability of the estimated coefficients.</w:t>
      </w:r>
    </w:p>
    <w:p w14:paraId="603CA35D" w14:textId="77777777" w:rsidR="0086722C" w:rsidRDefault="0086722C" w:rsidP="0086722C">
      <w:pPr>
        <w:pStyle w:val="Body"/>
        <w:spacing w:after="0"/>
        <w:rPr>
          <w:rFonts w:ascii="Arial" w:hAnsi="Arial" w:cs="Arial"/>
        </w:rPr>
      </w:pPr>
    </w:p>
    <w:p w14:paraId="5996665F" w14:textId="2169EBA1" w:rsidR="0086722C" w:rsidRPr="0086722C" w:rsidRDefault="0086722C" w:rsidP="0086722C">
      <w:pPr>
        <w:pStyle w:val="Body"/>
        <w:spacing w:after="0"/>
        <w:jc w:val="center"/>
        <w:rPr>
          <w:rFonts w:ascii="Arial" w:hAnsi="Arial" w:cs="Arial"/>
          <w:b/>
          <w:bCs/>
        </w:rPr>
      </w:pPr>
      <w:r>
        <w:rPr>
          <w:rFonts w:ascii="Arial" w:hAnsi="Arial" w:cs="Arial"/>
          <w:b/>
          <w:bCs/>
        </w:rPr>
        <w:t xml:space="preserve">Table 4. </w:t>
      </w:r>
      <w:r w:rsidRPr="0086722C">
        <w:rPr>
          <w:rFonts w:ascii="Arial" w:hAnsi="Arial" w:cs="Arial"/>
          <w:b/>
          <w:bCs/>
        </w:rPr>
        <w:t xml:space="preserve">Multicollinearity </w:t>
      </w:r>
      <w:r>
        <w:rPr>
          <w:rFonts w:ascii="Arial" w:hAnsi="Arial" w:cs="Arial"/>
          <w:b/>
          <w:bCs/>
        </w:rPr>
        <w:t>Test</w:t>
      </w:r>
    </w:p>
    <w:tbl>
      <w:tblPr>
        <w:tblW w:w="0" w:type="auto"/>
        <w:jc w:val="center"/>
        <w:tblCellMar>
          <w:left w:w="57" w:type="dxa"/>
          <w:right w:w="57" w:type="dxa"/>
        </w:tblCellMar>
        <w:tblLook w:val="0000" w:firstRow="0" w:lastRow="0" w:firstColumn="0" w:lastColumn="0" w:noHBand="0" w:noVBand="0"/>
      </w:tblPr>
      <w:tblGrid>
        <w:gridCol w:w="359"/>
        <w:gridCol w:w="1950"/>
        <w:gridCol w:w="1950"/>
        <w:gridCol w:w="1950"/>
      </w:tblGrid>
      <w:tr w:rsidR="0086722C" w:rsidRPr="0086722C" w14:paraId="6B150C2D" w14:textId="77777777" w:rsidTr="0086722C">
        <w:trPr>
          <w:trHeight w:val="192"/>
          <w:jc w:val="center"/>
        </w:trPr>
        <w:tc>
          <w:tcPr>
            <w:tcW w:w="0" w:type="auto"/>
            <w:tcBorders>
              <w:top w:val="nil"/>
              <w:left w:val="nil"/>
              <w:bottom w:val="nil"/>
              <w:right w:val="nil"/>
            </w:tcBorders>
            <w:vAlign w:val="bottom"/>
          </w:tcPr>
          <w:p w14:paraId="5768E54F" w14:textId="77777777" w:rsidR="0086722C" w:rsidRPr="0086722C" w:rsidRDefault="0086722C" w:rsidP="007E02F0">
            <w:pPr>
              <w:autoSpaceDE w:val="0"/>
              <w:autoSpaceDN w:val="0"/>
              <w:adjustRightInd w:val="0"/>
              <w:spacing w:line="276" w:lineRule="auto"/>
              <w:jc w:val="center"/>
              <w:rPr>
                <w:rFonts w:ascii="Arial" w:hAnsi="Arial" w:cs="Arial"/>
                <w:color w:val="000000"/>
              </w:rPr>
            </w:pPr>
          </w:p>
        </w:tc>
        <w:tc>
          <w:tcPr>
            <w:tcW w:w="0" w:type="auto"/>
            <w:tcBorders>
              <w:top w:val="nil"/>
              <w:left w:val="nil"/>
              <w:bottom w:val="nil"/>
              <w:right w:val="nil"/>
            </w:tcBorders>
            <w:vAlign w:val="bottom"/>
          </w:tcPr>
          <w:p w14:paraId="6E31EAD4"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X1</w:t>
            </w:r>
          </w:p>
        </w:tc>
        <w:tc>
          <w:tcPr>
            <w:tcW w:w="0" w:type="auto"/>
            <w:tcBorders>
              <w:top w:val="nil"/>
              <w:left w:val="nil"/>
              <w:bottom w:val="nil"/>
              <w:right w:val="nil"/>
            </w:tcBorders>
            <w:vAlign w:val="bottom"/>
          </w:tcPr>
          <w:p w14:paraId="0C0AACC6"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X2</w:t>
            </w:r>
          </w:p>
        </w:tc>
        <w:tc>
          <w:tcPr>
            <w:tcW w:w="0" w:type="auto"/>
            <w:tcBorders>
              <w:top w:val="nil"/>
              <w:left w:val="nil"/>
              <w:bottom w:val="nil"/>
              <w:right w:val="nil"/>
            </w:tcBorders>
            <w:vAlign w:val="bottom"/>
          </w:tcPr>
          <w:p w14:paraId="1092CED2"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X3</w:t>
            </w:r>
          </w:p>
        </w:tc>
      </w:tr>
      <w:tr w:rsidR="0086722C" w:rsidRPr="0086722C" w14:paraId="37252BA8" w14:textId="77777777" w:rsidTr="0086722C">
        <w:trPr>
          <w:trHeight w:val="192"/>
          <w:jc w:val="center"/>
        </w:trPr>
        <w:tc>
          <w:tcPr>
            <w:tcW w:w="0" w:type="auto"/>
            <w:tcBorders>
              <w:top w:val="nil"/>
              <w:left w:val="nil"/>
              <w:bottom w:val="nil"/>
              <w:right w:val="nil"/>
            </w:tcBorders>
            <w:vAlign w:val="bottom"/>
          </w:tcPr>
          <w:p w14:paraId="21811BE7"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X1</w:t>
            </w:r>
          </w:p>
        </w:tc>
        <w:tc>
          <w:tcPr>
            <w:tcW w:w="0" w:type="auto"/>
            <w:tcBorders>
              <w:top w:val="nil"/>
              <w:left w:val="nil"/>
              <w:bottom w:val="nil"/>
              <w:right w:val="nil"/>
            </w:tcBorders>
            <w:vAlign w:val="bottom"/>
          </w:tcPr>
          <w:p w14:paraId="711822A4"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1</w:t>
            </w:r>
          </w:p>
        </w:tc>
        <w:tc>
          <w:tcPr>
            <w:tcW w:w="0" w:type="auto"/>
            <w:tcBorders>
              <w:top w:val="nil"/>
              <w:left w:val="nil"/>
              <w:bottom w:val="nil"/>
              <w:right w:val="nil"/>
            </w:tcBorders>
            <w:vAlign w:val="bottom"/>
          </w:tcPr>
          <w:p w14:paraId="45F5D07C"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0.79894216567732</w:t>
            </w:r>
          </w:p>
        </w:tc>
        <w:tc>
          <w:tcPr>
            <w:tcW w:w="0" w:type="auto"/>
            <w:tcBorders>
              <w:top w:val="nil"/>
              <w:left w:val="nil"/>
              <w:bottom w:val="nil"/>
              <w:right w:val="nil"/>
            </w:tcBorders>
            <w:vAlign w:val="bottom"/>
          </w:tcPr>
          <w:p w14:paraId="024BF5E6"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0.076091397293252</w:t>
            </w:r>
          </w:p>
        </w:tc>
      </w:tr>
      <w:tr w:rsidR="0086722C" w:rsidRPr="0086722C" w14:paraId="371637DF" w14:textId="77777777" w:rsidTr="0086722C">
        <w:trPr>
          <w:trHeight w:val="192"/>
          <w:jc w:val="center"/>
        </w:trPr>
        <w:tc>
          <w:tcPr>
            <w:tcW w:w="0" w:type="auto"/>
            <w:tcBorders>
              <w:top w:val="nil"/>
              <w:left w:val="nil"/>
              <w:bottom w:val="nil"/>
              <w:right w:val="nil"/>
            </w:tcBorders>
            <w:vAlign w:val="bottom"/>
          </w:tcPr>
          <w:p w14:paraId="2808A13B"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X2</w:t>
            </w:r>
          </w:p>
        </w:tc>
        <w:tc>
          <w:tcPr>
            <w:tcW w:w="0" w:type="auto"/>
            <w:tcBorders>
              <w:top w:val="nil"/>
              <w:left w:val="nil"/>
              <w:bottom w:val="nil"/>
              <w:right w:val="nil"/>
            </w:tcBorders>
            <w:vAlign w:val="bottom"/>
          </w:tcPr>
          <w:p w14:paraId="6E1E0CB4"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0.79894216567732</w:t>
            </w:r>
          </w:p>
        </w:tc>
        <w:tc>
          <w:tcPr>
            <w:tcW w:w="0" w:type="auto"/>
            <w:tcBorders>
              <w:top w:val="nil"/>
              <w:left w:val="nil"/>
              <w:bottom w:val="nil"/>
              <w:right w:val="nil"/>
            </w:tcBorders>
            <w:vAlign w:val="bottom"/>
          </w:tcPr>
          <w:p w14:paraId="11DA3F0B"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1</w:t>
            </w:r>
          </w:p>
        </w:tc>
        <w:tc>
          <w:tcPr>
            <w:tcW w:w="0" w:type="auto"/>
            <w:tcBorders>
              <w:top w:val="nil"/>
              <w:left w:val="nil"/>
              <w:bottom w:val="nil"/>
              <w:right w:val="nil"/>
            </w:tcBorders>
            <w:vAlign w:val="bottom"/>
          </w:tcPr>
          <w:p w14:paraId="7CB140F7"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0.058296786243651</w:t>
            </w:r>
          </w:p>
        </w:tc>
      </w:tr>
      <w:tr w:rsidR="0086722C" w:rsidRPr="0086722C" w14:paraId="173FF812" w14:textId="77777777" w:rsidTr="0086722C">
        <w:trPr>
          <w:trHeight w:val="192"/>
          <w:jc w:val="center"/>
        </w:trPr>
        <w:tc>
          <w:tcPr>
            <w:tcW w:w="0" w:type="auto"/>
            <w:tcBorders>
              <w:top w:val="nil"/>
              <w:left w:val="nil"/>
              <w:bottom w:val="nil"/>
              <w:right w:val="nil"/>
            </w:tcBorders>
            <w:vAlign w:val="bottom"/>
          </w:tcPr>
          <w:p w14:paraId="6A6A2E77"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X3</w:t>
            </w:r>
          </w:p>
        </w:tc>
        <w:tc>
          <w:tcPr>
            <w:tcW w:w="0" w:type="auto"/>
            <w:tcBorders>
              <w:top w:val="nil"/>
              <w:left w:val="nil"/>
              <w:bottom w:val="nil"/>
              <w:right w:val="nil"/>
            </w:tcBorders>
            <w:vAlign w:val="bottom"/>
          </w:tcPr>
          <w:p w14:paraId="06857DE0"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0.076091397293252</w:t>
            </w:r>
          </w:p>
        </w:tc>
        <w:tc>
          <w:tcPr>
            <w:tcW w:w="0" w:type="auto"/>
            <w:tcBorders>
              <w:top w:val="nil"/>
              <w:left w:val="nil"/>
              <w:bottom w:val="nil"/>
              <w:right w:val="nil"/>
            </w:tcBorders>
            <w:vAlign w:val="bottom"/>
          </w:tcPr>
          <w:p w14:paraId="4A3AAA67"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0.058296786243651</w:t>
            </w:r>
          </w:p>
        </w:tc>
        <w:tc>
          <w:tcPr>
            <w:tcW w:w="0" w:type="auto"/>
            <w:tcBorders>
              <w:top w:val="nil"/>
              <w:left w:val="nil"/>
              <w:bottom w:val="nil"/>
              <w:right w:val="nil"/>
            </w:tcBorders>
            <w:vAlign w:val="bottom"/>
          </w:tcPr>
          <w:p w14:paraId="47A81BD1"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1</w:t>
            </w:r>
          </w:p>
        </w:tc>
      </w:tr>
    </w:tbl>
    <w:p w14:paraId="7545B16B" w14:textId="77777777" w:rsidR="0086722C" w:rsidRDefault="0086722C" w:rsidP="0086722C">
      <w:pPr>
        <w:pStyle w:val="Body"/>
        <w:spacing w:after="0"/>
        <w:rPr>
          <w:rFonts w:ascii="Arial" w:hAnsi="Arial" w:cs="Arial"/>
        </w:rPr>
      </w:pPr>
    </w:p>
    <w:p w14:paraId="5A412843" w14:textId="50B2CA8F" w:rsidR="0086722C" w:rsidRDefault="0086722C" w:rsidP="0086722C">
      <w:pPr>
        <w:pStyle w:val="Body"/>
        <w:spacing w:after="0"/>
        <w:rPr>
          <w:rFonts w:ascii="Arial" w:hAnsi="Arial" w:cs="Arial"/>
        </w:rPr>
      </w:pPr>
      <w:r>
        <w:rPr>
          <w:rFonts w:ascii="Arial" w:hAnsi="Arial" w:cs="Arial"/>
          <w:b/>
          <w:u w:val="single"/>
        </w:rPr>
        <w:t>3.1.4</w:t>
      </w:r>
      <w:r w:rsidRPr="0086722C">
        <w:rPr>
          <w:rFonts w:ascii="Arial" w:hAnsi="Arial" w:cs="Arial"/>
          <w:b/>
          <w:u w:val="single"/>
        </w:rPr>
        <w:t xml:space="preserve">. </w:t>
      </w:r>
      <w:r w:rsidRPr="0086722C">
        <w:rPr>
          <w:rFonts w:ascii="Arial" w:hAnsi="Arial" w:cs="Arial"/>
          <w:b/>
          <w:bCs/>
          <w:u w:val="single"/>
        </w:rPr>
        <w:t>Hypothesis Testing</w:t>
      </w:r>
    </w:p>
    <w:p w14:paraId="7CE21D37" w14:textId="77777777" w:rsidR="0086722C" w:rsidRDefault="0086722C" w:rsidP="0086722C">
      <w:pPr>
        <w:pStyle w:val="Body"/>
        <w:spacing w:after="0"/>
        <w:rPr>
          <w:rFonts w:ascii="Arial" w:hAnsi="Arial" w:cs="Arial"/>
        </w:rPr>
      </w:pPr>
      <w:r w:rsidRPr="0086722C">
        <w:rPr>
          <w:rFonts w:ascii="Arial" w:hAnsi="Arial" w:cs="Arial"/>
        </w:rPr>
        <w:t xml:space="preserve">The results of the random effect panel regression estimates are presented in Table </w:t>
      </w:r>
      <w:r>
        <w:rPr>
          <w:rFonts w:ascii="Arial" w:hAnsi="Arial" w:cs="Arial"/>
        </w:rPr>
        <w:t>5 and Table 6</w:t>
      </w:r>
      <w:r w:rsidRPr="0086722C">
        <w:rPr>
          <w:rFonts w:ascii="Arial" w:hAnsi="Arial" w:cs="Arial"/>
        </w:rPr>
        <w:t>. The partial significance tests indicate that economic policy uncertainty and geopolitical risk have a positive and statistically significant effect on stock price crash risk, as measured by both NCSKEW and DUVOL. These findings suggest that heightened policy uncertainty and geopolitical tensions increase the likelihood of extreme stock price declines.</w:t>
      </w:r>
      <w:r>
        <w:rPr>
          <w:rFonts w:ascii="Arial" w:hAnsi="Arial" w:cs="Arial"/>
        </w:rPr>
        <w:t xml:space="preserve"> </w:t>
      </w:r>
      <w:r w:rsidRPr="0086722C">
        <w:rPr>
          <w:rFonts w:ascii="Arial" w:hAnsi="Arial" w:cs="Arial"/>
        </w:rPr>
        <w:t>In contrast, CEO power does not exhibit a significant effect on NCSKEW but shows a positive and significant association with DUVOL. This difference implies that CEO power primarily influences the volatility of downside returns at the daily level, rather than the shape of the weekly return distribution.</w:t>
      </w:r>
    </w:p>
    <w:p w14:paraId="5D3970C9" w14:textId="77777777" w:rsidR="0086722C" w:rsidRDefault="0086722C" w:rsidP="0086722C">
      <w:pPr>
        <w:pStyle w:val="Body"/>
        <w:spacing w:after="0"/>
        <w:rPr>
          <w:rFonts w:ascii="Arial" w:hAnsi="Arial" w:cs="Arial"/>
        </w:rPr>
      </w:pPr>
    </w:p>
    <w:p w14:paraId="1302970C" w14:textId="53F77641" w:rsidR="0086722C" w:rsidRDefault="00B26FDC" w:rsidP="0086722C">
      <w:pPr>
        <w:pStyle w:val="Body"/>
        <w:spacing w:after="0"/>
        <w:rPr>
          <w:rFonts w:ascii="Arial" w:hAnsi="Arial" w:cs="Arial"/>
        </w:rPr>
      </w:pPr>
      <w:r w:rsidRPr="00B26FDC">
        <w:rPr>
          <w:rFonts w:ascii="Arial" w:hAnsi="Arial" w:cs="Arial"/>
        </w:rPr>
        <w:t>The coefficients of determination reported in Table 5 indicate that the NCSKEW model explains approximately 78% of the variation in stock price crash risk, reflecting a strong yet plausible explanatory power. In contrast, the DUVOL model reported in Table 6 exhibits an exceptionally high explanatory power, which is related to the nature of DUVOL as a downside-based crash risk measure that focuses on negative return movements. This pattern is relatively common, as during periods of market stress or heightened uncertainty, stock price movements tend to be dominated by negative returns simultaneously, leading to more homogeneous variation in downside risk across firms. Accordingly, the interpretation of the effects of economic policy uncertainty, geopolitical risk, and CEO power in this study emphasizes the direction and statistical significance of the estimated coefficients rather than the magnitude of the R-squared itself.</w:t>
      </w:r>
    </w:p>
    <w:p w14:paraId="74B4047D" w14:textId="77777777" w:rsidR="0086722C" w:rsidRDefault="0086722C" w:rsidP="0086722C">
      <w:pPr>
        <w:pStyle w:val="Body"/>
        <w:spacing w:after="0"/>
        <w:rPr>
          <w:rFonts w:ascii="Arial" w:hAnsi="Arial" w:cs="Arial"/>
        </w:rPr>
      </w:pPr>
    </w:p>
    <w:p w14:paraId="2EE55DD4" w14:textId="761E9CF8" w:rsidR="0086722C" w:rsidRDefault="0086722C" w:rsidP="0086722C">
      <w:pPr>
        <w:pStyle w:val="Body"/>
        <w:spacing w:after="0"/>
        <w:jc w:val="center"/>
        <w:rPr>
          <w:rFonts w:ascii="Arial" w:hAnsi="Arial" w:cs="Arial"/>
        </w:rPr>
      </w:pPr>
      <w:r>
        <w:rPr>
          <w:rFonts w:ascii="Arial" w:hAnsi="Arial" w:cs="Arial"/>
          <w:b/>
          <w:bCs/>
        </w:rPr>
        <w:t xml:space="preserve">Table 5. </w:t>
      </w:r>
      <w:r w:rsidRPr="0086722C">
        <w:rPr>
          <w:rFonts w:ascii="Arial" w:hAnsi="Arial" w:cs="Arial"/>
          <w:b/>
          <w:bCs/>
        </w:rPr>
        <w:t>Regression Results with the NCSKEW model</w:t>
      </w:r>
    </w:p>
    <w:tbl>
      <w:tblPr>
        <w:tblW w:w="0" w:type="auto"/>
        <w:jc w:val="center"/>
        <w:tblLayout w:type="fixed"/>
        <w:tblCellMar>
          <w:left w:w="0" w:type="dxa"/>
          <w:right w:w="0" w:type="dxa"/>
        </w:tblCellMar>
        <w:tblLook w:val="0000" w:firstRow="0" w:lastRow="0" w:firstColumn="0" w:lastColumn="0" w:noHBand="0" w:noVBand="0"/>
      </w:tblPr>
      <w:tblGrid>
        <w:gridCol w:w="1842"/>
        <w:gridCol w:w="1008"/>
        <w:gridCol w:w="1104"/>
        <w:gridCol w:w="1104"/>
        <w:gridCol w:w="912"/>
      </w:tblGrid>
      <w:tr w:rsidR="0086722C" w:rsidRPr="0086722C" w14:paraId="444CD927" w14:textId="77777777" w:rsidTr="0086722C">
        <w:trPr>
          <w:trHeight w:val="192"/>
          <w:jc w:val="center"/>
        </w:trPr>
        <w:tc>
          <w:tcPr>
            <w:tcW w:w="3954" w:type="dxa"/>
            <w:gridSpan w:val="3"/>
            <w:tcBorders>
              <w:top w:val="nil"/>
              <w:left w:val="nil"/>
              <w:bottom w:val="nil"/>
              <w:right w:val="nil"/>
            </w:tcBorders>
            <w:vAlign w:val="bottom"/>
          </w:tcPr>
          <w:p w14:paraId="63A2A2A3" w14:textId="77777777" w:rsidR="0086722C" w:rsidRPr="0086722C" w:rsidRDefault="0086722C" w:rsidP="007E02F0">
            <w:pPr>
              <w:spacing w:line="276" w:lineRule="auto"/>
              <w:jc w:val="both"/>
              <w:rPr>
                <w:rFonts w:ascii="Arial" w:hAnsi="Arial" w:cs="Arial"/>
                <w:color w:val="000000"/>
              </w:rPr>
            </w:pPr>
            <w:bookmarkStart w:id="0" w:name="_Hlk216641051"/>
            <w:r w:rsidRPr="0086722C">
              <w:rPr>
                <w:rFonts w:ascii="Arial" w:hAnsi="Arial" w:cs="Arial"/>
                <w:color w:val="000000"/>
              </w:rPr>
              <w:t>Dependent Variable: Y1</w:t>
            </w:r>
          </w:p>
        </w:tc>
        <w:tc>
          <w:tcPr>
            <w:tcW w:w="1104" w:type="dxa"/>
            <w:tcBorders>
              <w:top w:val="nil"/>
              <w:left w:val="nil"/>
              <w:bottom w:val="nil"/>
              <w:right w:val="nil"/>
            </w:tcBorders>
            <w:vAlign w:val="bottom"/>
          </w:tcPr>
          <w:p w14:paraId="71462D31"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2C4092CF" w14:textId="77777777" w:rsidR="0086722C" w:rsidRPr="0086722C" w:rsidRDefault="0086722C" w:rsidP="007E02F0">
            <w:pPr>
              <w:spacing w:line="276" w:lineRule="auto"/>
              <w:jc w:val="both"/>
              <w:rPr>
                <w:rFonts w:ascii="Arial" w:hAnsi="Arial" w:cs="Arial"/>
                <w:color w:val="000000"/>
              </w:rPr>
            </w:pPr>
          </w:p>
        </w:tc>
      </w:tr>
      <w:tr w:rsidR="0086722C" w:rsidRPr="0086722C" w14:paraId="7C6A36E7" w14:textId="77777777" w:rsidTr="0086722C">
        <w:trPr>
          <w:trHeight w:val="192"/>
          <w:jc w:val="center"/>
        </w:trPr>
        <w:tc>
          <w:tcPr>
            <w:tcW w:w="5970" w:type="dxa"/>
            <w:gridSpan w:val="5"/>
            <w:tcBorders>
              <w:top w:val="nil"/>
              <w:left w:val="nil"/>
              <w:bottom w:val="nil"/>
              <w:right w:val="nil"/>
            </w:tcBorders>
            <w:vAlign w:val="bottom"/>
          </w:tcPr>
          <w:p w14:paraId="533391B9"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Method: Panel EGLS (Cross-section random effects)</w:t>
            </w:r>
          </w:p>
        </w:tc>
      </w:tr>
      <w:tr w:rsidR="0086722C" w:rsidRPr="0086722C" w14:paraId="0DCFA31A" w14:textId="77777777" w:rsidTr="0086722C">
        <w:trPr>
          <w:trHeight w:val="192"/>
          <w:jc w:val="center"/>
        </w:trPr>
        <w:tc>
          <w:tcPr>
            <w:tcW w:w="5058" w:type="dxa"/>
            <w:gridSpan w:val="4"/>
            <w:tcBorders>
              <w:top w:val="nil"/>
              <w:left w:val="nil"/>
              <w:bottom w:val="nil"/>
              <w:right w:val="nil"/>
            </w:tcBorders>
            <w:vAlign w:val="bottom"/>
          </w:tcPr>
          <w:p w14:paraId="11C92DD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Date: 12/12/25   Time: 10:10</w:t>
            </w:r>
          </w:p>
        </w:tc>
        <w:tc>
          <w:tcPr>
            <w:tcW w:w="912" w:type="dxa"/>
            <w:tcBorders>
              <w:top w:val="nil"/>
              <w:left w:val="nil"/>
              <w:bottom w:val="nil"/>
              <w:right w:val="nil"/>
            </w:tcBorders>
            <w:vAlign w:val="bottom"/>
          </w:tcPr>
          <w:p w14:paraId="6DEF3BA2" w14:textId="77777777" w:rsidR="0086722C" w:rsidRPr="0086722C" w:rsidRDefault="0086722C" w:rsidP="007E02F0">
            <w:pPr>
              <w:spacing w:line="276" w:lineRule="auto"/>
              <w:jc w:val="both"/>
              <w:rPr>
                <w:rFonts w:ascii="Arial" w:hAnsi="Arial" w:cs="Arial"/>
                <w:color w:val="000000"/>
              </w:rPr>
            </w:pPr>
          </w:p>
        </w:tc>
      </w:tr>
      <w:tr w:rsidR="0086722C" w:rsidRPr="0086722C" w14:paraId="0B9119EC" w14:textId="77777777" w:rsidTr="0086722C">
        <w:trPr>
          <w:trHeight w:val="192"/>
          <w:jc w:val="center"/>
        </w:trPr>
        <w:tc>
          <w:tcPr>
            <w:tcW w:w="3954" w:type="dxa"/>
            <w:gridSpan w:val="3"/>
            <w:tcBorders>
              <w:top w:val="nil"/>
              <w:left w:val="nil"/>
              <w:bottom w:val="nil"/>
              <w:right w:val="nil"/>
            </w:tcBorders>
            <w:vAlign w:val="bottom"/>
          </w:tcPr>
          <w:p w14:paraId="71B0C9A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Sample: 2014 2024</w:t>
            </w:r>
          </w:p>
        </w:tc>
        <w:tc>
          <w:tcPr>
            <w:tcW w:w="1104" w:type="dxa"/>
            <w:tcBorders>
              <w:top w:val="nil"/>
              <w:left w:val="nil"/>
              <w:bottom w:val="nil"/>
              <w:right w:val="nil"/>
            </w:tcBorders>
            <w:vAlign w:val="bottom"/>
          </w:tcPr>
          <w:p w14:paraId="2633ED4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1224A82" w14:textId="77777777" w:rsidR="0086722C" w:rsidRPr="0086722C" w:rsidRDefault="0086722C" w:rsidP="007E02F0">
            <w:pPr>
              <w:spacing w:line="276" w:lineRule="auto"/>
              <w:jc w:val="both"/>
              <w:rPr>
                <w:rFonts w:ascii="Arial" w:hAnsi="Arial" w:cs="Arial"/>
                <w:color w:val="000000"/>
              </w:rPr>
            </w:pPr>
          </w:p>
        </w:tc>
      </w:tr>
      <w:tr w:rsidR="0086722C" w:rsidRPr="0086722C" w14:paraId="6F42D81C" w14:textId="77777777" w:rsidTr="0086722C">
        <w:trPr>
          <w:trHeight w:val="192"/>
          <w:jc w:val="center"/>
        </w:trPr>
        <w:tc>
          <w:tcPr>
            <w:tcW w:w="3954" w:type="dxa"/>
            <w:gridSpan w:val="3"/>
            <w:tcBorders>
              <w:top w:val="nil"/>
              <w:left w:val="nil"/>
              <w:bottom w:val="nil"/>
              <w:right w:val="nil"/>
            </w:tcBorders>
            <w:vAlign w:val="bottom"/>
          </w:tcPr>
          <w:p w14:paraId="589C2B2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Periods included: 11</w:t>
            </w:r>
          </w:p>
        </w:tc>
        <w:tc>
          <w:tcPr>
            <w:tcW w:w="1104" w:type="dxa"/>
            <w:tcBorders>
              <w:top w:val="nil"/>
              <w:left w:val="nil"/>
              <w:bottom w:val="nil"/>
              <w:right w:val="nil"/>
            </w:tcBorders>
            <w:vAlign w:val="bottom"/>
          </w:tcPr>
          <w:p w14:paraId="7A306EC0"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2F15B80F" w14:textId="77777777" w:rsidR="0086722C" w:rsidRPr="0086722C" w:rsidRDefault="0086722C" w:rsidP="007E02F0">
            <w:pPr>
              <w:spacing w:line="276" w:lineRule="auto"/>
              <w:jc w:val="both"/>
              <w:rPr>
                <w:rFonts w:ascii="Arial" w:hAnsi="Arial" w:cs="Arial"/>
                <w:color w:val="000000"/>
              </w:rPr>
            </w:pPr>
          </w:p>
        </w:tc>
      </w:tr>
      <w:tr w:rsidR="0086722C" w:rsidRPr="0086722C" w14:paraId="52D83DBB" w14:textId="77777777" w:rsidTr="0086722C">
        <w:trPr>
          <w:trHeight w:val="192"/>
          <w:jc w:val="center"/>
        </w:trPr>
        <w:tc>
          <w:tcPr>
            <w:tcW w:w="5058" w:type="dxa"/>
            <w:gridSpan w:val="4"/>
            <w:tcBorders>
              <w:top w:val="nil"/>
              <w:left w:val="nil"/>
              <w:bottom w:val="nil"/>
              <w:right w:val="nil"/>
            </w:tcBorders>
            <w:vAlign w:val="bottom"/>
          </w:tcPr>
          <w:p w14:paraId="7269A101"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Cross-sections included: 251</w:t>
            </w:r>
          </w:p>
        </w:tc>
        <w:tc>
          <w:tcPr>
            <w:tcW w:w="912" w:type="dxa"/>
            <w:tcBorders>
              <w:top w:val="nil"/>
              <w:left w:val="nil"/>
              <w:bottom w:val="nil"/>
              <w:right w:val="nil"/>
            </w:tcBorders>
            <w:vAlign w:val="bottom"/>
          </w:tcPr>
          <w:p w14:paraId="5952A6DC" w14:textId="77777777" w:rsidR="0086722C" w:rsidRPr="0086722C" w:rsidRDefault="0086722C" w:rsidP="007E02F0">
            <w:pPr>
              <w:spacing w:line="276" w:lineRule="auto"/>
              <w:jc w:val="both"/>
              <w:rPr>
                <w:rFonts w:ascii="Arial" w:hAnsi="Arial" w:cs="Arial"/>
                <w:color w:val="000000"/>
              </w:rPr>
            </w:pPr>
          </w:p>
        </w:tc>
      </w:tr>
      <w:tr w:rsidR="0086722C" w:rsidRPr="0086722C" w14:paraId="407AE83F" w14:textId="77777777" w:rsidTr="0086722C">
        <w:trPr>
          <w:trHeight w:val="192"/>
          <w:jc w:val="center"/>
        </w:trPr>
        <w:tc>
          <w:tcPr>
            <w:tcW w:w="5970" w:type="dxa"/>
            <w:gridSpan w:val="5"/>
            <w:tcBorders>
              <w:top w:val="nil"/>
              <w:left w:val="nil"/>
              <w:bottom w:val="nil"/>
              <w:right w:val="nil"/>
            </w:tcBorders>
            <w:vAlign w:val="bottom"/>
          </w:tcPr>
          <w:p w14:paraId="4CC519C8"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Total panel (balanced) observations: 2761</w:t>
            </w:r>
          </w:p>
        </w:tc>
      </w:tr>
      <w:tr w:rsidR="0086722C" w:rsidRPr="0086722C" w14:paraId="34BE357F" w14:textId="77777777" w:rsidTr="0086722C">
        <w:trPr>
          <w:trHeight w:val="192"/>
          <w:jc w:val="center"/>
        </w:trPr>
        <w:tc>
          <w:tcPr>
            <w:tcW w:w="5970" w:type="dxa"/>
            <w:gridSpan w:val="5"/>
            <w:tcBorders>
              <w:top w:val="nil"/>
              <w:left w:val="nil"/>
              <w:bottom w:val="nil"/>
              <w:right w:val="nil"/>
            </w:tcBorders>
            <w:vAlign w:val="bottom"/>
          </w:tcPr>
          <w:p w14:paraId="462C838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Swamy and Arora estimator of component variances</w:t>
            </w:r>
          </w:p>
        </w:tc>
      </w:tr>
      <w:tr w:rsidR="0086722C" w:rsidRPr="0086722C" w14:paraId="0011A7E2" w14:textId="77777777" w:rsidTr="0086722C">
        <w:trPr>
          <w:trHeight w:hRule="exact" w:val="76"/>
          <w:jc w:val="center"/>
        </w:trPr>
        <w:tc>
          <w:tcPr>
            <w:tcW w:w="1842" w:type="dxa"/>
            <w:tcBorders>
              <w:top w:val="nil"/>
              <w:left w:val="nil"/>
              <w:bottom w:val="double" w:sz="6" w:space="2" w:color="auto"/>
              <w:right w:val="nil"/>
            </w:tcBorders>
            <w:vAlign w:val="bottom"/>
          </w:tcPr>
          <w:p w14:paraId="00171B1D"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1177D013"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3C7626A5"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BB562DA"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189DFD78" w14:textId="77777777" w:rsidR="0086722C" w:rsidRPr="0086722C" w:rsidRDefault="0086722C" w:rsidP="007E02F0">
            <w:pPr>
              <w:spacing w:line="276" w:lineRule="auto"/>
              <w:jc w:val="both"/>
              <w:rPr>
                <w:rFonts w:ascii="Arial" w:hAnsi="Arial" w:cs="Arial"/>
                <w:color w:val="000000"/>
              </w:rPr>
            </w:pPr>
          </w:p>
        </w:tc>
      </w:tr>
      <w:tr w:rsidR="0086722C" w:rsidRPr="0086722C" w14:paraId="1CCEE793" w14:textId="77777777" w:rsidTr="0086722C">
        <w:trPr>
          <w:trHeight w:hRule="exact" w:val="115"/>
          <w:jc w:val="center"/>
        </w:trPr>
        <w:tc>
          <w:tcPr>
            <w:tcW w:w="1842" w:type="dxa"/>
            <w:tcBorders>
              <w:top w:val="nil"/>
              <w:left w:val="nil"/>
              <w:bottom w:val="nil"/>
              <w:right w:val="nil"/>
            </w:tcBorders>
            <w:vAlign w:val="bottom"/>
          </w:tcPr>
          <w:p w14:paraId="406240EC"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146183F1"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C0F6C5E"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6BD5EB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59E76307" w14:textId="77777777" w:rsidR="0086722C" w:rsidRPr="0086722C" w:rsidRDefault="0086722C" w:rsidP="007E02F0">
            <w:pPr>
              <w:spacing w:line="276" w:lineRule="auto"/>
              <w:jc w:val="both"/>
              <w:rPr>
                <w:rFonts w:ascii="Arial" w:hAnsi="Arial" w:cs="Arial"/>
                <w:color w:val="000000"/>
              </w:rPr>
            </w:pPr>
          </w:p>
        </w:tc>
      </w:tr>
      <w:tr w:rsidR="0086722C" w:rsidRPr="0086722C" w14:paraId="0ED65BFA" w14:textId="77777777" w:rsidTr="0086722C">
        <w:trPr>
          <w:trHeight w:val="192"/>
          <w:jc w:val="center"/>
        </w:trPr>
        <w:tc>
          <w:tcPr>
            <w:tcW w:w="1842" w:type="dxa"/>
            <w:tcBorders>
              <w:top w:val="nil"/>
              <w:left w:val="nil"/>
              <w:bottom w:val="nil"/>
              <w:right w:val="nil"/>
            </w:tcBorders>
            <w:vAlign w:val="bottom"/>
          </w:tcPr>
          <w:p w14:paraId="4896B8AF"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Variable</w:t>
            </w:r>
          </w:p>
        </w:tc>
        <w:tc>
          <w:tcPr>
            <w:tcW w:w="1008" w:type="dxa"/>
            <w:tcBorders>
              <w:top w:val="nil"/>
              <w:left w:val="nil"/>
              <w:bottom w:val="nil"/>
              <w:right w:val="nil"/>
            </w:tcBorders>
            <w:vAlign w:val="bottom"/>
          </w:tcPr>
          <w:p w14:paraId="5937F9F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Coefficient</w:t>
            </w:r>
          </w:p>
        </w:tc>
        <w:tc>
          <w:tcPr>
            <w:tcW w:w="1104" w:type="dxa"/>
            <w:tcBorders>
              <w:top w:val="nil"/>
              <w:left w:val="nil"/>
              <w:bottom w:val="nil"/>
              <w:right w:val="nil"/>
            </w:tcBorders>
            <w:vAlign w:val="bottom"/>
          </w:tcPr>
          <w:p w14:paraId="537CBA1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Std. Error</w:t>
            </w:r>
          </w:p>
        </w:tc>
        <w:tc>
          <w:tcPr>
            <w:tcW w:w="1104" w:type="dxa"/>
            <w:tcBorders>
              <w:top w:val="nil"/>
              <w:left w:val="nil"/>
              <w:bottom w:val="nil"/>
              <w:right w:val="nil"/>
            </w:tcBorders>
            <w:vAlign w:val="bottom"/>
          </w:tcPr>
          <w:p w14:paraId="72FBE3E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t-Statistic</w:t>
            </w:r>
          </w:p>
        </w:tc>
        <w:tc>
          <w:tcPr>
            <w:tcW w:w="912" w:type="dxa"/>
            <w:tcBorders>
              <w:top w:val="nil"/>
              <w:left w:val="nil"/>
              <w:bottom w:val="nil"/>
              <w:right w:val="nil"/>
            </w:tcBorders>
            <w:vAlign w:val="bottom"/>
          </w:tcPr>
          <w:p w14:paraId="44626C0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Prob.  </w:t>
            </w:r>
          </w:p>
        </w:tc>
      </w:tr>
      <w:tr w:rsidR="0086722C" w:rsidRPr="0086722C" w14:paraId="410B6AD0" w14:textId="77777777" w:rsidTr="0086722C">
        <w:trPr>
          <w:trHeight w:hRule="exact" w:val="76"/>
          <w:jc w:val="center"/>
        </w:trPr>
        <w:tc>
          <w:tcPr>
            <w:tcW w:w="1842" w:type="dxa"/>
            <w:tcBorders>
              <w:top w:val="nil"/>
              <w:left w:val="nil"/>
              <w:bottom w:val="double" w:sz="6" w:space="2" w:color="auto"/>
              <w:right w:val="nil"/>
            </w:tcBorders>
            <w:vAlign w:val="bottom"/>
          </w:tcPr>
          <w:p w14:paraId="509331BA"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39E7975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04A5DE9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6A59159A"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769EB179" w14:textId="77777777" w:rsidR="0086722C" w:rsidRPr="0086722C" w:rsidRDefault="0086722C" w:rsidP="007E02F0">
            <w:pPr>
              <w:spacing w:line="276" w:lineRule="auto"/>
              <w:jc w:val="both"/>
              <w:rPr>
                <w:rFonts w:ascii="Arial" w:hAnsi="Arial" w:cs="Arial"/>
                <w:color w:val="000000"/>
              </w:rPr>
            </w:pPr>
          </w:p>
        </w:tc>
      </w:tr>
      <w:tr w:rsidR="0086722C" w:rsidRPr="0086722C" w14:paraId="2241ED33" w14:textId="77777777" w:rsidTr="0086722C">
        <w:trPr>
          <w:trHeight w:hRule="exact" w:val="115"/>
          <w:jc w:val="center"/>
        </w:trPr>
        <w:tc>
          <w:tcPr>
            <w:tcW w:w="1842" w:type="dxa"/>
            <w:tcBorders>
              <w:top w:val="nil"/>
              <w:left w:val="nil"/>
              <w:bottom w:val="nil"/>
              <w:right w:val="nil"/>
            </w:tcBorders>
            <w:vAlign w:val="bottom"/>
          </w:tcPr>
          <w:p w14:paraId="6E0D9124"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1985FB4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4405AD8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28DF12F9"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10E7A8C3" w14:textId="77777777" w:rsidR="0086722C" w:rsidRPr="0086722C" w:rsidRDefault="0086722C" w:rsidP="007E02F0">
            <w:pPr>
              <w:spacing w:line="276" w:lineRule="auto"/>
              <w:jc w:val="both"/>
              <w:rPr>
                <w:rFonts w:ascii="Arial" w:hAnsi="Arial" w:cs="Arial"/>
                <w:color w:val="000000"/>
              </w:rPr>
            </w:pPr>
          </w:p>
        </w:tc>
      </w:tr>
      <w:tr w:rsidR="0086722C" w:rsidRPr="0086722C" w14:paraId="6827658E" w14:textId="77777777" w:rsidTr="0086722C">
        <w:trPr>
          <w:trHeight w:val="192"/>
          <w:jc w:val="center"/>
        </w:trPr>
        <w:tc>
          <w:tcPr>
            <w:tcW w:w="1842" w:type="dxa"/>
            <w:tcBorders>
              <w:top w:val="nil"/>
              <w:left w:val="nil"/>
              <w:bottom w:val="nil"/>
              <w:right w:val="nil"/>
            </w:tcBorders>
            <w:vAlign w:val="bottom"/>
          </w:tcPr>
          <w:p w14:paraId="5635856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C</w:t>
            </w:r>
          </w:p>
        </w:tc>
        <w:tc>
          <w:tcPr>
            <w:tcW w:w="1008" w:type="dxa"/>
            <w:tcBorders>
              <w:top w:val="nil"/>
              <w:left w:val="nil"/>
              <w:bottom w:val="nil"/>
              <w:right w:val="nil"/>
            </w:tcBorders>
            <w:vAlign w:val="bottom"/>
          </w:tcPr>
          <w:p w14:paraId="5E4AE1DB"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-0.558689</w:t>
            </w:r>
          </w:p>
        </w:tc>
        <w:tc>
          <w:tcPr>
            <w:tcW w:w="1104" w:type="dxa"/>
            <w:tcBorders>
              <w:top w:val="nil"/>
              <w:left w:val="nil"/>
              <w:bottom w:val="nil"/>
              <w:right w:val="nil"/>
            </w:tcBorders>
            <w:vAlign w:val="bottom"/>
          </w:tcPr>
          <w:p w14:paraId="79C785EB"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0.043345</w:t>
            </w:r>
          </w:p>
        </w:tc>
        <w:tc>
          <w:tcPr>
            <w:tcW w:w="1104" w:type="dxa"/>
            <w:tcBorders>
              <w:top w:val="nil"/>
              <w:left w:val="nil"/>
              <w:bottom w:val="nil"/>
              <w:right w:val="nil"/>
            </w:tcBorders>
            <w:vAlign w:val="bottom"/>
          </w:tcPr>
          <w:p w14:paraId="76696FC5"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-12.88927</w:t>
            </w:r>
          </w:p>
        </w:tc>
        <w:tc>
          <w:tcPr>
            <w:tcW w:w="912" w:type="dxa"/>
            <w:tcBorders>
              <w:top w:val="nil"/>
              <w:left w:val="nil"/>
              <w:bottom w:val="nil"/>
              <w:right w:val="nil"/>
            </w:tcBorders>
            <w:vAlign w:val="bottom"/>
          </w:tcPr>
          <w:p w14:paraId="45F1CBE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w:t>
            </w:r>
          </w:p>
        </w:tc>
      </w:tr>
      <w:tr w:rsidR="0086722C" w:rsidRPr="0086722C" w14:paraId="34B85219" w14:textId="77777777" w:rsidTr="0086722C">
        <w:trPr>
          <w:trHeight w:val="192"/>
          <w:jc w:val="center"/>
        </w:trPr>
        <w:tc>
          <w:tcPr>
            <w:tcW w:w="1842" w:type="dxa"/>
            <w:tcBorders>
              <w:top w:val="nil"/>
              <w:left w:val="nil"/>
              <w:bottom w:val="nil"/>
              <w:right w:val="nil"/>
            </w:tcBorders>
            <w:vAlign w:val="bottom"/>
          </w:tcPr>
          <w:p w14:paraId="4A6FEB3A"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X1TR</w:t>
            </w:r>
          </w:p>
        </w:tc>
        <w:tc>
          <w:tcPr>
            <w:tcW w:w="1008" w:type="dxa"/>
            <w:tcBorders>
              <w:top w:val="nil"/>
              <w:left w:val="nil"/>
              <w:bottom w:val="nil"/>
              <w:right w:val="nil"/>
            </w:tcBorders>
            <w:vAlign w:val="bottom"/>
          </w:tcPr>
          <w:p w14:paraId="429FE67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0.001428</w:t>
            </w:r>
          </w:p>
        </w:tc>
        <w:tc>
          <w:tcPr>
            <w:tcW w:w="1104" w:type="dxa"/>
            <w:tcBorders>
              <w:top w:val="nil"/>
              <w:left w:val="nil"/>
              <w:bottom w:val="nil"/>
              <w:right w:val="nil"/>
            </w:tcBorders>
            <w:vAlign w:val="bottom"/>
          </w:tcPr>
          <w:p w14:paraId="0B592745"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0.000429</w:t>
            </w:r>
          </w:p>
        </w:tc>
        <w:tc>
          <w:tcPr>
            <w:tcW w:w="1104" w:type="dxa"/>
            <w:tcBorders>
              <w:top w:val="nil"/>
              <w:left w:val="nil"/>
              <w:bottom w:val="nil"/>
              <w:right w:val="nil"/>
            </w:tcBorders>
            <w:vAlign w:val="bottom"/>
          </w:tcPr>
          <w:p w14:paraId="764432D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3.330626</w:t>
            </w:r>
          </w:p>
        </w:tc>
        <w:tc>
          <w:tcPr>
            <w:tcW w:w="912" w:type="dxa"/>
            <w:tcBorders>
              <w:top w:val="nil"/>
              <w:left w:val="nil"/>
              <w:bottom w:val="nil"/>
              <w:right w:val="nil"/>
            </w:tcBorders>
            <w:vAlign w:val="bottom"/>
          </w:tcPr>
          <w:p w14:paraId="315F6BD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0.0009</w:t>
            </w:r>
          </w:p>
        </w:tc>
      </w:tr>
      <w:tr w:rsidR="0086722C" w:rsidRPr="0086722C" w14:paraId="578CC860" w14:textId="77777777" w:rsidTr="0086722C">
        <w:trPr>
          <w:trHeight w:val="192"/>
          <w:jc w:val="center"/>
        </w:trPr>
        <w:tc>
          <w:tcPr>
            <w:tcW w:w="1842" w:type="dxa"/>
            <w:tcBorders>
              <w:top w:val="nil"/>
              <w:left w:val="nil"/>
              <w:bottom w:val="nil"/>
              <w:right w:val="nil"/>
            </w:tcBorders>
            <w:vAlign w:val="bottom"/>
          </w:tcPr>
          <w:p w14:paraId="1E3257C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X2TR</w:t>
            </w:r>
          </w:p>
        </w:tc>
        <w:tc>
          <w:tcPr>
            <w:tcW w:w="1008" w:type="dxa"/>
            <w:tcBorders>
              <w:top w:val="nil"/>
              <w:left w:val="nil"/>
              <w:bottom w:val="nil"/>
              <w:right w:val="nil"/>
            </w:tcBorders>
            <w:vAlign w:val="bottom"/>
          </w:tcPr>
          <w:p w14:paraId="0C5D7CAE"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1.203606</w:t>
            </w:r>
          </w:p>
        </w:tc>
        <w:tc>
          <w:tcPr>
            <w:tcW w:w="1104" w:type="dxa"/>
            <w:tcBorders>
              <w:top w:val="nil"/>
              <w:left w:val="nil"/>
              <w:bottom w:val="nil"/>
              <w:right w:val="nil"/>
            </w:tcBorders>
            <w:vAlign w:val="bottom"/>
          </w:tcPr>
          <w:p w14:paraId="7984D275"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0.012766</w:t>
            </w:r>
          </w:p>
        </w:tc>
        <w:tc>
          <w:tcPr>
            <w:tcW w:w="1104" w:type="dxa"/>
            <w:tcBorders>
              <w:top w:val="nil"/>
              <w:left w:val="nil"/>
              <w:bottom w:val="nil"/>
              <w:right w:val="nil"/>
            </w:tcBorders>
            <w:vAlign w:val="bottom"/>
          </w:tcPr>
          <w:p w14:paraId="778ADBFF"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94.28162</w:t>
            </w:r>
          </w:p>
        </w:tc>
        <w:tc>
          <w:tcPr>
            <w:tcW w:w="912" w:type="dxa"/>
            <w:tcBorders>
              <w:top w:val="nil"/>
              <w:left w:val="nil"/>
              <w:bottom w:val="nil"/>
              <w:right w:val="nil"/>
            </w:tcBorders>
            <w:vAlign w:val="bottom"/>
          </w:tcPr>
          <w:p w14:paraId="2526AB7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w:t>
            </w:r>
          </w:p>
        </w:tc>
      </w:tr>
      <w:tr w:rsidR="0086722C" w:rsidRPr="0086722C" w14:paraId="7D32BC43" w14:textId="77777777" w:rsidTr="0086722C">
        <w:trPr>
          <w:trHeight w:val="192"/>
          <w:jc w:val="center"/>
        </w:trPr>
        <w:tc>
          <w:tcPr>
            <w:tcW w:w="1842" w:type="dxa"/>
            <w:tcBorders>
              <w:top w:val="nil"/>
              <w:left w:val="nil"/>
              <w:bottom w:val="nil"/>
              <w:right w:val="nil"/>
            </w:tcBorders>
            <w:vAlign w:val="bottom"/>
          </w:tcPr>
          <w:p w14:paraId="4EEFE40A"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X3</w:t>
            </w:r>
          </w:p>
        </w:tc>
        <w:tc>
          <w:tcPr>
            <w:tcW w:w="1008" w:type="dxa"/>
            <w:tcBorders>
              <w:top w:val="nil"/>
              <w:left w:val="nil"/>
              <w:bottom w:val="nil"/>
              <w:right w:val="nil"/>
            </w:tcBorders>
            <w:vAlign w:val="bottom"/>
          </w:tcPr>
          <w:p w14:paraId="640C335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-0.035661</w:t>
            </w:r>
          </w:p>
        </w:tc>
        <w:tc>
          <w:tcPr>
            <w:tcW w:w="1104" w:type="dxa"/>
            <w:tcBorders>
              <w:top w:val="nil"/>
              <w:left w:val="nil"/>
              <w:bottom w:val="nil"/>
              <w:right w:val="nil"/>
            </w:tcBorders>
            <w:vAlign w:val="bottom"/>
          </w:tcPr>
          <w:p w14:paraId="4319828B"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0.037767</w:t>
            </w:r>
          </w:p>
        </w:tc>
        <w:tc>
          <w:tcPr>
            <w:tcW w:w="1104" w:type="dxa"/>
            <w:tcBorders>
              <w:top w:val="nil"/>
              <w:left w:val="nil"/>
              <w:bottom w:val="nil"/>
              <w:right w:val="nil"/>
            </w:tcBorders>
            <w:vAlign w:val="bottom"/>
          </w:tcPr>
          <w:p w14:paraId="44B1D959"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-0.944223</w:t>
            </w:r>
          </w:p>
        </w:tc>
        <w:tc>
          <w:tcPr>
            <w:tcW w:w="912" w:type="dxa"/>
            <w:tcBorders>
              <w:top w:val="nil"/>
              <w:left w:val="nil"/>
              <w:bottom w:val="nil"/>
              <w:right w:val="nil"/>
            </w:tcBorders>
            <w:vAlign w:val="bottom"/>
          </w:tcPr>
          <w:p w14:paraId="75EC16C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0.3451</w:t>
            </w:r>
          </w:p>
        </w:tc>
      </w:tr>
      <w:tr w:rsidR="0086722C" w:rsidRPr="0086722C" w14:paraId="3450055F" w14:textId="77777777" w:rsidTr="0086722C">
        <w:trPr>
          <w:trHeight w:hRule="exact" w:val="76"/>
          <w:jc w:val="center"/>
        </w:trPr>
        <w:tc>
          <w:tcPr>
            <w:tcW w:w="1842" w:type="dxa"/>
            <w:tcBorders>
              <w:top w:val="nil"/>
              <w:left w:val="nil"/>
              <w:bottom w:val="double" w:sz="6" w:space="2" w:color="auto"/>
              <w:right w:val="nil"/>
            </w:tcBorders>
            <w:vAlign w:val="bottom"/>
          </w:tcPr>
          <w:p w14:paraId="1E6D4CCE"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6228350E"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3B88391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740333D8"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39E8D56A" w14:textId="77777777" w:rsidR="0086722C" w:rsidRPr="0086722C" w:rsidRDefault="0086722C" w:rsidP="007E02F0">
            <w:pPr>
              <w:spacing w:line="276" w:lineRule="auto"/>
              <w:jc w:val="both"/>
              <w:rPr>
                <w:rFonts w:ascii="Arial" w:hAnsi="Arial" w:cs="Arial"/>
                <w:color w:val="000000"/>
              </w:rPr>
            </w:pPr>
          </w:p>
        </w:tc>
      </w:tr>
      <w:tr w:rsidR="0086722C" w:rsidRPr="0086722C" w14:paraId="341754CA" w14:textId="77777777" w:rsidTr="0086722C">
        <w:trPr>
          <w:trHeight w:hRule="exact" w:val="115"/>
          <w:jc w:val="center"/>
        </w:trPr>
        <w:tc>
          <w:tcPr>
            <w:tcW w:w="1842" w:type="dxa"/>
            <w:tcBorders>
              <w:top w:val="nil"/>
              <w:left w:val="nil"/>
              <w:bottom w:val="nil"/>
              <w:right w:val="nil"/>
            </w:tcBorders>
            <w:vAlign w:val="bottom"/>
          </w:tcPr>
          <w:p w14:paraId="7CEADA62"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58C8EFBD"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2FA2158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820BD2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1B05443B" w14:textId="77777777" w:rsidR="0086722C" w:rsidRPr="0086722C" w:rsidRDefault="0086722C" w:rsidP="007E02F0">
            <w:pPr>
              <w:spacing w:line="276" w:lineRule="auto"/>
              <w:jc w:val="both"/>
              <w:rPr>
                <w:rFonts w:ascii="Arial" w:hAnsi="Arial" w:cs="Arial"/>
                <w:color w:val="000000"/>
              </w:rPr>
            </w:pPr>
          </w:p>
        </w:tc>
      </w:tr>
      <w:tr w:rsidR="0086722C" w:rsidRPr="0086722C" w14:paraId="175D0949" w14:textId="77777777" w:rsidTr="0086722C">
        <w:trPr>
          <w:trHeight w:val="192"/>
          <w:jc w:val="center"/>
        </w:trPr>
        <w:tc>
          <w:tcPr>
            <w:tcW w:w="1842" w:type="dxa"/>
            <w:tcBorders>
              <w:top w:val="nil"/>
              <w:left w:val="nil"/>
              <w:bottom w:val="nil"/>
              <w:right w:val="nil"/>
            </w:tcBorders>
            <w:vAlign w:val="bottom"/>
          </w:tcPr>
          <w:p w14:paraId="7E1C9C8D" w14:textId="77777777" w:rsidR="0086722C" w:rsidRPr="0086722C" w:rsidRDefault="0086722C" w:rsidP="007E02F0">
            <w:pPr>
              <w:spacing w:line="276" w:lineRule="auto"/>
              <w:jc w:val="both"/>
              <w:rPr>
                <w:rFonts w:ascii="Arial" w:hAnsi="Arial" w:cs="Arial"/>
                <w:color w:val="000000"/>
              </w:rPr>
            </w:pPr>
          </w:p>
        </w:tc>
        <w:tc>
          <w:tcPr>
            <w:tcW w:w="2112" w:type="dxa"/>
            <w:gridSpan w:val="2"/>
            <w:tcBorders>
              <w:top w:val="nil"/>
              <w:left w:val="nil"/>
              <w:bottom w:val="nil"/>
              <w:right w:val="nil"/>
            </w:tcBorders>
            <w:vAlign w:val="bottom"/>
          </w:tcPr>
          <w:p w14:paraId="2AAEBEE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Effects Specification</w:t>
            </w:r>
          </w:p>
        </w:tc>
        <w:tc>
          <w:tcPr>
            <w:tcW w:w="1104" w:type="dxa"/>
            <w:tcBorders>
              <w:top w:val="nil"/>
              <w:left w:val="nil"/>
              <w:bottom w:val="nil"/>
              <w:right w:val="nil"/>
            </w:tcBorders>
            <w:vAlign w:val="bottom"/>
          </w:tcPr>
          <w:p w14:paraId="0CDDF970"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AB6F18A" w14:textId="77777777" w:rsidR="0086722C" w:rsidRPr="0086722C" w:rsidRDefault="0086722C" w:rsidP="007E02F0">
            <w:pPr>
              <w:spacing w:line="276" w:lineRule="auto"/>
              <w:jc w:val="both"/>
              <w:rPr>
                <w:rFonts w:ascii="Arial" w:hAnsi="Arial" w:cs="Arial"/>
                <w:color w:val="000000"/>
              </w:rPr>
            </w:pPr>
          </w:p>
        </w:tc>
      </w:tr>
      <w:tr w:rsidR="0086722C" w:rsidRPr="0086722C" w14:paraId="65AF2C56" w14:textId="77777777" w:rsidTr="0086722C">
        <w:trPr>
          <w:trHeight w:val="192"/>
          <w:jc w:val="center"/>
        </w:trPr>
        <w:tc>
          <w:tcPr>
            <w:tcW w:w="1842" w:type="dxa"/>
            <w:tcBorders>
              <w:top w:val="nil"/>
              <w:left w:val="nil"/>
              <w:bottom w:val="nil"/>
              <w:right w:val="nil"/>
            </w:tcBorders>
            <w:vAlign w:val="bottom"/>
          </w:tcPr>
          <w:p w14:paraId="6739FA4D"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3644526F"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61B4CD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105F5F6C"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S.D.  </w:t>
            </w:r>
          </w:p>
        </w:tc>
        <w:tc>
          <w:tcPr>
            <w:tcW w:w="912" w:type="dxa"/>
            <w:tcBorders>
              <w:top w:val="nil"/>
              <w:left w:val="nil"/>
              <w:bottom w:val="nil"/>
              <w:right w:val="nil"/>
            </w:tcBorders>
            <w:vAlign w:val="bottom"/>
          </w:tcPr>
          <w:p w14:paraId="35DC763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Rho  </w:t>
            </w:r>
          </w:p>
        </w:tc>
      </w:tr>
      <w:tr w:rsidR="0086722C" w:rsidRPr="0086722C" w14:paraId="4AE04A6B" w14:textId="77777777" w:rsidTr="0086722C">
        <w:trPr>
          <w:trHeight w:hRule="exact" w:val="76"/>
          <w:jc w:val="center"/>
        </w:trPr>
        <w:tc>
          <w:tcPr>
            <w:tcW w:w="1842" w:type="dxa"/>
            <w:tcBorders>
              <w:top w:val="nil"/>
              <w:left w:val="nil"/>
              <w:bottom w:val="double" w:sz="6" w:space="2" w:color="auto"/>
              <w:right w:val="nil"/>
            </w:tcBorders>
            <w:vAlign w:val="bottom"/>
          </w:tcPr>
          <w:p w14:paraId="0C44C6B9"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458854C3"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A28A777"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24AD45EA"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265FF900" w14:textId="77777777" w:rsidR="0086722C" w:rsidRPr="0086722C" w:rsidRDefault="0086722C" w:rsidP="007E02F0">
            <w:pPr>
              <w:spacing w:line="276" w:lineRule="auto"/>
              <w:jc w:val="both"/>
              <w:rPr>
                <w:rFonts w:ascii="Arial" w:hAnsi="Arial" w:cs="Arial"/>
                <w:color w:val="000000"/>
              </w:rPr>
            </w:pPr>
          </w:p>
        </w:tc>
      </w:tr>
      <w:tr w:rsidR="0086722C" w:rsidRPr="0086722C" w14:paraId="27B42221" w14:textId="77777777" w:rsidTr="0086722C">
        <w:trPr>
          <w:trHeight w:hRule="exact" w:val="115"/>
          <w:jc w:val="center"/>
        </w:trPr>
        <w:tc>
          <w:tcPr>
            <w:tcW w:w="1842" w:type="dxa"/>
            <w:tcBorders>
              <w:top w:val="nil"/>
              <w:left w:val="nil"/>
              <w:bottom w:val="nil"/>
              <w:right w:val="nil"/>
            </w:tcBorders>
            <w:vAlign w:val="bottom"/>
          </w:tcPr>
          <w:p w14:paraId="1993C769"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5555C722"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56C541D6"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687B8A74"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667B6A91" w14:textId="77777777" w:rsidR="0086722C" w:rsidRPr="0086722C" w:rsidRDefault="0086722C" w:rsidP="007E02F0">
            <w:pPr>
              <w:spacing w:line="276" w:lineRule="auto"/>
              <w:jc w:val="both"/>
              <w:rPr>
                <w:rFonts w:ascii="Arial" w:hAnsi="Arial" w:cs="Arial"/>
                <w:color w:val="000000"/>
              </w:rPr>
            </w:pPr>
          </w:p>
        </w:tc>
      </w:tr>
      <w:tr w:rsidR="0086722C" w:rsidRPr="0086722C" w14:paraId="754C32A8" w14:textId="77777777" w:rsidTr="0086722C">
        <w:trPr>
          <w:trHeight w:val="192"/>
          <w:jc w:val="center"/>
        </w:trPr>
        <w:tc>
          <w:tcPr>
            <w:tcW w:w="3954" w:type="dxa"/>
            <w:gridSpan w:val="3"/>
            <w:tcBorders>
              <w:top w:val="nil"/>
              <w:left w:val="nil"/>
              <w:bottom w:val="nil"/>
              <w:right w:val="nil"/>
            </w:tcBorders>
            <w:vAlign w:val="bottom"/>
          </w:tcPr>
          <w:p w14:paraId="448E239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Cross-section random</w:t>
            </w:r>
          </w:p>
        </w:tc>
        <w:tc>
          <w:tcPr>
            <w:tcW w:w="1104" w:type="dxa"/>
            <w:tcBorders>
              <w:top w:val="nil"/>
              <w:left w:val="nil"/>
              <w:bottom w:val="nil"/>
              <w:right w:val="nil"/>
            </w:tcBorders>
            <w:vAlign w:val="bottom"/>
          </w:tcPr>
          <w:p w14:paraId="1BF7CB9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0.000000</w:t>
            </w:r>
          </w:p>
        </w:tc>
        <w:tc>
          <w:tcPr>
            <w:tcW w:w="912" w:type="dxa"/>
            <w:tcBorders>
              <w:top w:val="nil"/>
              <w:left w:val="nil"/>
              <w:bottom w:val="nil"/>
              <w:right w:val="nil"/>
            </w:tcBorders>
            <w:vAlign w:val="bottom"/>
          </w:tcPr>
          <w:p w14:paraId="0C495B9C"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w:t>
            </w:r>
          </w:p>
        </w:tc>
      </w:tr>
      <w:tr w:rsidR="0086722C" w:rsidRPr="0086722C" w14:paraId="57B5D9FE" w14:textId="77777777" w:rsidTr="0086722C">
        <w:trPr>
          <w:trHeight w:val="192"/>
          <w:jc w:val="center"/>
        </w:trPr>
        <w:tc>
          <w:tcPr>
            <w:tcW w:w="3954" w:type="dxa"/>
            <w:gridSpan w:val="3"/>
            <w:tcBorders>
              <w:top w:val="nil"/>
              <w:left w:val="nil"/>
              <w:bottom w:val="nil"/>
              <w:right w:val="nil"/>
            </w:tcBorders>
            <w:vAlign w:val="bottom"/>
          </w:tcPr>
          <w:p w14:paraId="07403FB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Idiosyncratic random</w:t>
            </w:r>
          </w:p>
        </w:tc>
        <w:tc>
          <w:tcPr>
            <w:tcW w:w="1104" w:type="dxa"/>
            <w:tcBorders>
              <w:top w:val="nil"/>
              <w:left w:val="nil"/>
              <w:bottom w:val="nil"/>
              <w:right w:val="nil"/>
            </w:tcBorders>
            <w:vAlign w:val="bottom"/>
          </w:tcPr>
          <w:p w14:paraId="46D8D32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0.631779</w:t>
            </w:r>
          </w:p>
        </w:tc>
        <w:tc>
          <w:tcPr>
            <w:tcW w:w="912" w:type="dxa"/>
            <w:tcBorders>
              <w:top w:val="nil"/>
              <w:left w:val="nil"/>
              <w:bottom w:val="nil"/>
              <w:right w:val="nil"/>
            </w:tcBorders>
            <w:vAlign w:val="bottom"/>
          </w:tcPr>
          <w:p w14:paraId="0729553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1.0000</w:t>
            </w:r>
          </w:p>
        </w:tc>
      </w:tr>
      <w:tr w:rsidR="0086722C" w:rsidRPr="0086722C" w14:paraId="14F8F5C6" w14:textId="77777777" w:rsidTr="0086722C">
        <w:trPr>
          <w:trHeight w:hRule="exact" w:val="76"/>
          <w:jc w:val="center"/>
        </w:trPr>
        <w:tc>
          <w:tcPr>
            <w:tcW w:w="1842" w:type="dxa"/>
            <w:tcBorders>
              <w:top w:val="nil"/>
              <w:left w:val="nil"/>
              <w:bottom w:val="double" w:sz="6" w:space="2" w:color="auto"/>
              <w:right w:val="nil"/>
            </w:tcBorders>
            <w:vAlign w:val="bottom"/>
          </w:tcPr>
          <w:p w14:paraId="7678D104"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13F78E4D"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B1ADF97"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71005F7F"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365C7B75" w14:textId="77777777" w:rsidR="0086722C" w:rsidRPr="0086722C" w:rsidRDefault="0086722C" w:rsidP="007E02F0">
            <w:pPr>
              <w:spacing w:line="276" w:lineRule="auto"/>
              <w:jc w:val="both"/>
              <w:rPr>
                <w:rFonts w:ascii="Arial" w:hAnsi="Arial" w:cs="Arial"/>
                <w:color w:val="000000"/>
              </w:rPr>
            </w:pPr>
          </w:p>
        </w:tc>
      </w:tr>
      <w:tr w:rsidR="0086722C" w:rsidRPr="0086722C" w14:paraId="4B2117FE" w14:textId="77777777" w:rsidTr="0086722C">
        <w:trPr>
          <w:trHeight w:hRule="exact" w:val="115"/>
          <w:jc w:val="center"/>
        </w:trPr>
        <w:tc>
          <w:tcPr>
            <w:tcW w:w="1842" w:type="dxa"/>
            <w:tcBorders>
              <w:top w:val="nil"/>
              <w:left w:val="nil"/>
              <w:bottom w:val="nil"/>
              <w:right w:val="nil"/>
            </w:tcBorders>
            <w:vAlign w:val="bottom"/>
          </w:tcPr>
          <w:p w14:paraId="2DF95E3C"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52A0EB3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026C07B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057047C1"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F7D75E8" w14:textId="77777777" w:rsidR="0086722C" w:rsidRPr="0086722C" w:rsidRDefault="0086722C" w:rsidP="007E02F0">
            <w:pPr>
              <w:spacing w:line="276" w:lineRule="auto"/>
              <w:jc w:val="both"/>
              <w:rPr>
                <w:rFonts w:ascii="Arial" w:hAnsi="Arial" w:cs="Arial"/>
                <w:color w:val="000000"/>
              </w:rPr>
            </w:pPr>
          </w:p>
        </w:tc>
      </w:tr>
      <w:tr w:rsidR="0086722C" w:rsidRPr="0086722C" w14:paraId="1A769B78" w14:textId="77777777" w:rsidTr="0086722C">
        <w:trPr>
          <w:trHeight w:val="192"/>
          <w:jc w:val="center"/>
        </w:trPr>
        <w:tc>
          <w:tcPr>
            <w:tcW w:w="1842" w:type="dxa"/>
            <w:tcBorders>
              <w:top w:val="nil"/>
              <w:left w:val="nil"/>
              <w:bottom w:val="nil"/>
              <w:right w:val="nil"/>
            </w:tcBorders>
            <w:vAlign w:val="bottom"/>
          </w:tcPr>
          <w:p w14:paraId="4FA24A35" w14:textId="77777777" w:rsidR="0086722C" w:rsidRPr="0086722C" w:rsidRDefault="0086722C" w:rsidP="007E02F0">
            <w:pPr>
              <w:spacing w:line="276" w:lineRule="auto"/>
              <w:jc w:val="both"/>
              <w:rPr>
                <w:rFonts w:ascii="Arial" w:hAnsi="Arial" w:cs="Arial"/>
                <w:color w:val="000000"/>
              </w:rPr>
            </w:pPr>
          </w:p>
        </w:tc>
        <w:tc>
          <w:tcPr>
            <w:tcW w:w="2112" w:type="dxa"/>
            <w:gridSpan w:val="2"/>
            <w:tcBorders>
              <w:top w:val="nil"/>
              <w:left w:val="nil"/>
              <w:bottom w:val="nil"/>
              <w:right w:val="nil"/>
            </w:tcBorders>
            <w:vAlign w:val="bottom"/>
          </w:tcPr>
          <w:p w14:paraId="2005B26A"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Weighted Statistics</w:t>
            </w:r>
          </w:p>
        </w:tc>
        <w:tc>
          <w:tcPr>
            <w:tcW w:w="1104" w:type="dxa"/>
            <w:tcBorders>
              <w:top w:val="nil"/>
              <w:left w:val="nil"/>
              <w:bottom w:val="nil"/>
              <w:right w:val="nil"/>
            </w:tcBorders>
            <w:vAlign w:val="bottom"/>
          </w:tcPr>
          <w:p w14:paraId="159A5A3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5D838AF4" w14:textId="77777777" w:rsidR="0086722C" w:rsidRPr="0086722C" w:rsidRDefault="0086722C" w:rsidP="007E02F0">
            <w:pPr>
              <w:spacing w:line="276" w:lineRule="auto"/>
              <w:jc w:val="both"/>
              <w:rPr>
                <w:rFonts w:ascii="Arial" w:hAnsi="Arial" w:cs="Arial"/>
                <w:color w:val="000000"/>
              </w:rPr>
            </w:pPr>
          </w:p>
        </w:tc>
      </w:tr>
      <w:tr w:rsidR="0086722C" w:rsidRPr="0086722C" w14:paraId="3DCEFE72" w14:textId="77777777" w:rsidTr="0086722C">
        <w:trPr>
          <w:trHeight w:hRule="exact" w:val="76"/>
          <w:jc w:val="center"/>
        </w:trPr>
        <w:tc>
          <w:tcPr>
            <w:tcW w:w="1842" w:type="dxa"/>
            <w:tcBorders>
              <w:top w:val="nil"/>
              <w:left w:val="nil"/>
              <w:bottom w:val="double" w:sz="6" w:space="2" w:color="auto"/>
              <w:right w:val="nil"/>
            </w:tcBorders>
            <w:vAlign w:val="bottom"/>
          </w:tcPr>
          <w:p w14:paraId="5337027D"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00676296"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93DBA8F"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702ABDEA"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32C4AA88" w14:textId="77777777" w:rsidR="0086722C" w:rsidRPr="0086722C" w:rsidRDefault="0086722C" w:rsidP="007E02F0">
            <w:pPr>
              <w:spacing w:line="276" w:lineRule="auto"/>
              <w:jc w:val="both"/>
              <w:rPr>
                <w:rFonts w:ascii="Arial" w:hAnsi="Arial" w:cs="Arial"/>
                <w:color w:val="000000"/>
              </w:rPr>
            </w:pPr>
          </w:p>
        </w:tc>
      </w:tr>
      <w:tr w:rsidR="0086722C" w:rsidRPr="0086722C" w14:paraId="59D3F605" w14:textId="77777777" w:rsidTr="0086722C">
        <w:trPr>
          <w:trHeight w:hRule="exact" w:val="115"/>
          <w:jc w:val="center"/>
        </w:trPr>
        <w:tc>
          <w:tcPr>
            <w:tcW w:w="1842" w:type="dxa"/>
            <w:tcBorders>
              <w:top w:val="nil"/>
              <w:left w:val="nil"/>
              <w:bottom w:val="nil"/>
              <w:right w:val="nil"/>
            </w:tcBorders>
            <w:vAlign w:val="bottom"/>
          </w:tcPr>
          <w:p w14:paraId="4904297D"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3FB88497"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24C3691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7A2DE08"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E2CDAD5" w14:textId="77777777" w:rsidR="0086722C" w:rsidRPr="0086722C" w:rsidRDefault="0086722C" w:rsidP="007E02F0">
            <w:pPr>
              <w:spacing w:line="276" w:lineRule="auto"/>
              <w:jc w:val="both"/>
              <w:rPr>
                <w:rFonts w:ascii="Arial" w:hAnsi="Arial" w:cs="Arial"/>
                <w:color w:val="000000"/>
              </w:rPr>
            </w:pPr>
          </w:p>
        </w:tc>
      </w:tr>
      <w:tr w:rsidR="0086722C" w:rsidRPr="0086722C" w14:paraId="69D0D0CF" w14:textId="77777777" w:rsidTr="0086722C">
        <w:trPr>
          <w:trHeight w:val="192"/>
          <w:jc w:val="center"/>
        </w:trPr>
        <w:tc>
          <w:tcPr>
            <w:tcW w:w="1842" w:type="dxa"/>
            <w:tcBorders>
              <w:top w:val="nil"/>
              <w:left w:val="nil"/>
              <w:bottom w:val="nil"/>
              <w:right w:val="nil"/>
            </w:tcBorders>
            <w:vAlign w:val="bottom"/>
          </w:tcPr>
          <w:p w14:paraId="3391F31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R-squared</w:t>
            </w:r>
          </w:p>
        </w:tc>
        <w:tc>
          <w:tcPr>
            <w:tcW w:w="1008" w:type="dxa"/>
            <w:tcBorders>
              <w:top w:val="nil"/>
              <w:left w:val="nil"/>
              <w:bottom w:val="nil"/>
              <w:right w:val="nil"/>
            </w:tcBorders>
            <w:vAlign w:val="bottom"/>
          </w:tcPr>
          <w:p w14:paraId="01276199"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0.782967</w:t>
            </w:r>
          </w:p>
        </w:tc>
        <w:tc>
          <w:tcPr>
            <w:tcW w:w="2208" w:type="dxa"/>
            <w:gridSpan w:val="2"/>
            <w:tcBorders>
              <w:top w:val="nil"/>
              <w:left w:val="nil"/>
              <w:bottom w:val="nil"/>
              <w:right w:val="nil"/>
            </w:tcBorders>
            <w:vAlign w:val="bottom"/>
          </w:tcPr>
          <w:p w14:paraId="5ED7CC7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Mean dependent var</w:t>
            </w:r>
          </w:p>
        </w:tc>
        <w:tc>
          <w:tcPr>
            <w:tcW w:w="912" w:type="dxa"/>
            <w:tcBorders>
              <w:top w:val="nil"/>
              <w:left w:val="nil"/>
              <w:bottom w:val="nil"/>
              <w:right w:val="nil"/>
            </w:tcBorders>
            <w:vAlign w:val="bottom"/>
          </w:tcPr>
          <w:p w14:paraId="17CB358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0.108783</w:t>
            </w:r>
          </w:p>
        </w:tc>
      </w:tr>
      <w:tr w:rsidR="0086722C" w:rsidRPr="0086722C" w14:paraId="0B664579" w14:textId="77777777" w:rsidTr="0086722C">
        <w:trPr>
          <w:trHeight w:val="192"/>
          <w:jc w:val="center"/>
        </w:trPr>
        <w:tc>
          <w:tcPr>
            <w:tcW w:w="1842" w:type="dxa"/>
            <w:tcBorders>
              <w:top w:val="nil"/>
              <w:left w:val="nil"/>
              <w:bottom w:val="nil"/>
              <w:right w:val="nil"/>
            </w:tcBorders>
            <w:vAlign w:val="bottom"/>
          </w:tcPr>
          <w:p w14:paraId="0AE7767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Adjusted R-squared</w:t>
            </w:r>
          </w:p>
        </w:tc>
        <w:tc>
          <w:tcPr>
            <w:tcW w:w="1008" w:type="dxa"/>
            <w:tcBorders>
              <w:top w:val="nil"/>
              <w:left w:val="nil"/>
              <w:bottom w:val="nil"/>
              <w:right w:val="nil"/>
            </w:tcBorders>
            <w:vAlign w:val="bottom"/>
          </w:tcPr>
          <w:p w14:paraId="6CB8378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0.782730</w:t>
            </w:r>
          </w:p>
        </w:tc>
        <w:tc>
          <w:tcPr>
            <w:tcW w:w="2208" w:type="dxa"/>
            <w:gridSpan w:val="2"/>
            <w:tcBorders>
              <w:top w:val="nil"/>
              <w:left w:val="nil"/>
              <w:bottom w:val="nil"/>
              <w:right w:val="nil"/>
            </w:tcBorders>
            <w:vAlign w:val="bottom"/>
          </w:tcPr>
          <w:p w14:paraId="723610E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S.D. dependent var</w:t>
            </w:r>
          </w:p>
        </w:tc>
        <w:tc>
          <w:tcPr>
            <w:tcW w:w="912" w:type="dxa"/>
            <w:tcBorders>
              <w:top w:val="nil"/>
              <w:left w:val="nil"/>
              <w:bottom w:val="nil"/>
              <w:right w:val="nil"/>
            </w:tcBorders>
            <w:vAlign w:val="bottom"/>
          </w:tcPr>
          <w:p w14:paraId="1F333ADF"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1.345783</w:t>
            </w:r>
          </w:p>
        </w:tc>
      </w:tr>
      <w:tr w:rsidR="0086722C" w:rsidRPr="0086722C" w14:paraId="46AB1C4B" w14:textId="77777777" w:rsidTr="0086722C">
        <w:trPr>
          <w:trHeight w:val="192"/>
          <w:jc w:val="center"/>
        </w:trPr>
        <w:tc>
          <w:tcPr>
            <w:tcW w:w="1842" w:type="dxa"/>
            <w:tcBorders>
              <w:top w:val="nil"/>
              <w:left w:val="nil"/>
              <w:bottom w:val="nil"/>
              <w:right w:val="nil"/>
            </w:tcBorders>
            <w:vAlign w:val="bottom"/>
          </w:tcPr>
          <w:p w14:paraId="6D83D8DE"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S.E. of regression</w:t>
            </w:r>
          </w:p>
        </w:tc>
        <w:tc>
          <w:tcPr>
            <w:tcW w:w="1008" w:type="dxa"/>
            <w:tcBorders>
              <w:top w:val="nil"/>
              <w:left w:val="nil"/>
              <w:bottom w:val="nil"/>
              <w:right w:val="nil"/>
            </w:tcBorders>
            <w:vAlign w:val="bottom"/>
          </w:tcPr>
          <w:p w14:paraId="7623B96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0.627299</w:t>
            </w:r>
          </w:p>
        </w:tc>
        <w:tc>
          <w:tcPr>
            <w:tcW w:w="2208" w:type="dxa"/>
            <w:gridSpan w:val="2"/>
            <w:tcBorders>
              <w:top w:val="nil"/>
              <w:left w:val="nil"/>
              <w:bottom w:val="nil"/>
              <w:right w:val="nil"/>
            </w:tcBorders>
            <w:vAlign w:val="bottom"/>
          </w:tcPr>
          <w:p w14:paraId="538C8EE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Sum squared resid</w:t>
            </w:r>
          </w:p>
        </w:tc>
        <w:tc>
          <w:tcPr>
            <w:tcW w:w="912" w:type="dxa"/>
            <w:tcBorders>
              <w:top w:val="nil"/>
              <w:left w:val="nil"/>
              <w:bottom w:val="nil"/>
              <w:right w:val="nil"/>
            </w:tcBorders>
            <w:vAlign w:val="bottom"/>
          </w:tcPr>
          <w:p w14:paraId="52529F0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1084.890</w:t>
            </w:r>
          </w:p>
        </w:tc>
      </w:tr>
      <w:tr w:rsidR="0086722C" w:rsidRPr="0086722C" w14:paraId="55199BE7" w14:textId="77777777" w:rsidTr="0086722C">
        <w:trPr>
          <w:trHeight w:val="192"/>
          <w:jc w:val="center"/>
        </w:trPr>
        <w:tc>
          <w:tcPr>
            <w:tcW w:w="1842" w:type="dxa"/>
            <w:tcBorders>
              <w:top w:val="nil"/>
              <w:left w:val="nil"/>
              <w:bottom w:val="nil"/>
              <w:right w:val="nil"/>
            </w:tcBorders>
            <w:vAlign w:val="bottom"/>
          </w:tcPr>
          <w:p w14:paraId="2D6939CC"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F-statistic</w:t>
            </w:r>
          </w:p>
        </w:tc>
        <w:tc>
          <w:tcPr>
            <w:tcW w:w="1008" w:type="dxa"/>
            <w:tcBorders>
              <w:top w:val="nil"/>
              <w:left w:val="nil"/>
              <w:bottom w:val="nil"/>
              <w:right w:val="nil"/>
            </w:tcBorders>
            <w:vAlign w:val="bottom"/>
          </w:tcPr>
          <w:p w14:paraId="38DB04B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3315.370</w:t>
            </w:r>
          </w:p>
        </w:tc>
        <w:tc>
          <w:tcPr>
            <w:tcW w:w="2208" w:type="dxa"/>
            <w:gridSpan w:val="2"/>
            <w:tcBorders>
              <w:top w:val="nil"/>
              <w:left w:val="nil"/>
              <w:bottom w:val="nil"/>
              <w:right w:val="nil"/>
            </w:tcBorders>
            <w:vAlign w:val="bottom"/>
          </w:tcPr>
          <w:p w14:paraId="45502CB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Durbin-Watson stat</w:t>
            </w:r>
          </w:p>
        </w:tc>
        <w:tc>
          <w:tcPr>
            <w:tcW w:w="912" w:type="dxa"/>
            <w:tcBorders>
              <w:top w:val="nil"/>
              <w:left w:val="nil"/>
              <w:bottom w:val="nil"/>
              <w:right w:val="nil"/>
            </w:tcBorders>
            <w:vAlign w:val="bottom"/>
          </w:tcPr>
          <w:p w14:paraId="2FCFE1E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1.910318</w:t>
            </w:r>
          </w:p>
        </w:tc>
      </w:tr>
      <w:tr w:rsidR="0086722C" w:rsidRPr="0086722C" w14:paraId="79AE943F" w14:textId="77777777" w:rsidTr="0086722C">
        <w:trPr>
          <w:trHeight w:val="192"/>
          <w:jc w:val="center"/>
        </w:trPr>
        <w:tc>
          <w:tcPr>
            <w:tcW w:w="1842" w:type="dxa"/>
            <w:tcBorders>
              <w:top w:val="nil"/>
              <w:left w:val="nil"/>
              <w:bottom w:val="nil"/>
              <w:right w:val="nil"/>
            </w:tcBorders>
            <w:vAlign w:val="bottom"/>
          </w:tcPr>
          <w:p w14:paraId="527ECFF9"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Prob(F-statistic)</w:t>
            </w:r>
          </w:p>
        </w:tc>
        <w:tc>
          <w:tcPr>
            <w:tcW w:w="1008" w:type="dxa"/>
            <w:tcBorders>
              <w:top w:val="nil"/>
              <w:left w:val="nil"/>
              <w:bottom w:val="nil"/>
              <w:right w:val="nil"/>
            </w:tcBorders>
            <w:vAlign w:val="bottom"/>
          </w:tcPr>
          <w:p w14:paraId="65FD623D"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0.000000</w:t>
            </w:r>
          </w:p>
        </w:tc>
        <w:tc>
          <w:tcPr>
            <w:tcW w:w="1104" w:type="dxa"/>
            <w:tcBorders>
              <w:top w:val="nil"/>
              <w:left w:val="nil"/>
              <w:bottom w:val="nil"/>
              <w:right w:val="nil"/>
            </w:tcBorders>
            <w:vAlign w:val="bottom"/>
          </w:tcPr>
          <w:p w14:paraId="44AEB5BF"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D7F3653"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14541B78" w14:textId="77777777" w:rsidR="0086722C" w:rsidRPr="0086722C" w:rsidRDefault="0086722C" w:rsidP="007E02F0">
            <w:pPr>
              <w:spacing w:line="276" w:lineRule="auto"/>
              <w:jc w:val="both"/>
              <w:rPr>
                <w:rFonts w:ascii="Arial" w:hAnsi="Arial" w:cs="Arial"/>
                <w:color w:val="000000"/>
              </w:rPr>
            </w:pPr>
          </w:p>
        </w:tc>
      </w:tr>
      <w:tr w:rsidR="0086722C" w:rsidRPr="0086722C" w14:paraId="08E5D477" w14:textId="77777777" w:rsidTr="0086722C">
        <w:trPr>
          <w:trHeight w:hRule="exact" w:val="76"/>
          <w:jc w:val="center"/>
        </w:trPr>
        <w:tc>
          <w:tcPr>
            <w:tcW w:w="1842" w:type="dxa"/>
            <w:tcBorders>
              <w:top w:val="nil"/>
              <w:left w:val="nil"/>
              <w:bottom w:val="double" w:sz="6" w:space="2" w:color="auto"/>
              <w:right w:val="nil"/>
            </w:tcBorders>
            <w:vAlign w:val="bottom"/>
          </w:tcPr>
          <w:p w14:paraId="397A23EE"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1DC142CC"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A2C3DB7"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2E48526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278DE062" w14:textId="77777777" w:rsidR="0086722C" w:rsidRPr="0086722C" w:rsidRDefault="0086722C" w:rsidP="007E02F0">
            <w:pPr>
              <w:spacing w:line="276" w:lineRule="auto"/>
              <w:jc w:val="both"/>
              <w:rPr>
                <w:rFonts w:ascii="Arial" w:hAnsi="Arial" w:cs="Arial"/>
                <w:color w:val="000000"/>
              </w:rPr>
            </w:pPr>
          </w:p>
        </w:tc>
      </w:tr>
      <w:tr w:rsidR="0086722C" w:rsidRPr="0086722C" w14:paraId="1041C93D" w14:textId="77777777" w:rsidTr="0086722C">
        <w:trPr>
          <w:trHeight w:hRule="exact" w:val="115"/>
          <w:jc w:val="center"/>
        </w:trPr>
        <w:tc>
          <w:tcPr>
            <w:tcW w:w="1842" w:type="dxa"/>
            <w:tcBorders>
              <w:top w:val="nil"/>
              <w:left w:val="nil"/>
              <w:bottom w:val="nil"/>
              <w:right w:val="nil"/>
            </w:tcBorders>
            <w:vAlign w:val="bottom"/>
          </w:tcPr>
          <w:p w14:paraId="741489EE"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52FC7236"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39B65A1C"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23ABAB81"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0BDF4AB5" w14:textId="77777777" w:rsidR="0086722C" w:rsidRPr="0086722C" w:rsidRDefault="0086722C" w:rsidP="007E02F0">
            <w:pPr>
              <w:spacing w:line="276" w:lineRule="auto"/>
              <w:jc w:val="both"/>
              <w:rPr>
                <w:rFonts w:ascii="Arial" w:hAnsi="Arial" w:cs="Arial"/>
                <w:color w:val="000000"/>
              </w:rPr>
            </w:pPr>
          </w:p>
        </w:tc>
      </w:tr>
      <w:tr w:rsidR="0086722C" w:rsidRPr="0086722C" w14:paraId="570CB884" w14:textId="77777777" w:rsidTr="0086722C">
        <w:trPr>
          <w:trHeight w:val="192"/>
          <w:jc w:val="center"/>
        </w:trPr>
        <w:tc>
          <w:tcPr>
            <w:tcW w:w="1842" w:type="dxa"/>
            <w:tcBorders>
              <w:top w:val="nil"/>
              <w:left w:val="nil"/>
              <w:bottom w:val="nil"/>
              <w:right w:val="nil"/>
            </w:tcBorders>
            <w:vAlign w:val="bottom"/>
          </w:tcPr>
          <w:p w14:paraId="46D1E793" w14:textId="77777777" w:rsidR="0086722C" w:rsidRPr="0086722C" w:rsidRDefault="0086722C" w:rsidP="007E02F0">
            <w:pPr>
              <w:spacing w:line="276" w:lineRule="auto"/>
              <w:jc w:val="both"/>
              <w:rPr>
                <w:rFonts w:ascii="Arial" w:hAnsi="Arial" w:cs="Arial"/>
                <w:color w:val="000000"/>
              </w:rPr>
            </w:pPr>
          </w:p>
        </w:tc>
        <w:tc>
          <w:tcPr>
            <w:tcW w:w="2112" w:type="dxa"/>
            <w:gridSpan w:val="2"/>
            <w:tcBorders>
              <w:top w:val="nil"/>
              <w:left w:val="nil"/>
              <w:bottom w:val="nil"/>
              <w:right w:val="nil"/>
            </w:tcBorders>
            <w:vAlign w:val="bottom"/>
          </w:tcPr>
          <w:p w14:paraId="7DADD80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Unweighted Statistics</w:t>
            </w:r>
          </w:p>
        </w:tc>
        <w:tc>
          <w:tcPr>
            <w:tcW w:w="1104" w:type="dxa"/>
            <w:tcBorders>
              <w:top w:val="nil"/>
              <w:left w:val="nil"/>
              <w:bottom w:val="nil"/>
              <w:right w:val="nil"/>
            </w:tcBorders>
            <w:vAlign w:val="bottom"/>
          </w:tcPr>
          <w:p w14:paraId="114483E5"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0C84A077" w14:textId="77777777" w:rsidR="0086722C" w:rsidRPr="0086722C" w:rsidRDefault="0086722C" w:rsidP="007E02F0">
            <w:pPr>
              <w:spacing w:line="276" w:lineRule="auto"/>
              <w:jc w:val="both"/>
              <w:rPr>
                <w:rFonts w:ascii="Arial" w:hAnsi="Arial" w:cs="Arial"/>
                <w:color w:val="000000"/>
              </w:rPr>
            </w:pPr>
          </w:p>
        </w:tc>
      </w:tr>
      <w:tr w:rsidR="0086722C" w:rsidRPr="0086722C" w14:paraId="4945F283" w14:textId="77777777" w:rsidTr="0086722C">
        <w:trPr>
          <w:trHeight w:hRule="exact" w:val="76"/>
          <w:jc w:val="center"/>
        </w:trPr>
        <w:tc>
          <w:tcPr>
            <w:tcW w:w="1842" w:type="dxa"/>
            <w:tcBorders>
              <w:top w:val="nil"/>
              <w:left w:val="nil"/>
              <w:bottom w:val="double" w:sz="6" w:space="2" w:color="auto"/>
              <w:right w:val="nil"/>
            </w:tcBorders>
            <w:vAlign w:val="bottom"/>
          </w:tcPr>
          <w:p w14:paraId="1E0F7E24"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5366EAEB"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2E4F09EC"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293C6054"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0C4835D5" w14:textId="77777777" w:rsidR="0086722C" w:rsidRPr="0086722C" w:rsidRDefault="0086722C" w:rsidP="007E02F0">
            <w:pPr>
              <w:spacing w:line="276" w:lineRule="auto"/>
              <w:jc w:val="both"/>
              <w:rPr>
                <w:rFonts w:ascii="Arial" w:hAnsi="Arial" w:cs="Arial"/>
                <w:color w:val="000000"/>
              </w:rPr>
            </w:pPr>
          </w:p>
        </w:tc>
      </w:tr>
      <w:tr w:rsidR="0086722C" w:rsidRPr="0086722C" w14:paraId="24F0338A" w14:textId="77777777" w:rsidTr="0086722C">
        <w:trPr>
          <w:trHeight w:hRule="exact" w:val="115"/>
          <w:jc w:val="center"/>
        </w:trPr>
        <w:tc>
          <w:tcPr>
            <w:tcW w:w="1842" w:type="dxa"/>
            <w:tcBorders>
              <w:top w:val="nil"/>
              <w:left w:val="nil"/>
              <w:bottom w:val="nil"/>
              <w:right w:val="nil"/>
            </w:tcBorders>
            <w:vAlign w:val="bottom"/>
          </w:tcPr>
          <w:p w14:paraId="1B756608"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01D7FD9A"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5628B55E"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2C2A85F"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0C23175" w14:textId="77777777" w:rsidR="0086722C" w:rsidRPr="0086722C" w:rsidRDefault="0086722C" w:rsidP="007E02F0">
            <w:pPr>
              <w:spacing w:line="276" w:lineRule="auto"/>
              <w:jc w:val="both"/>
              <w:rPr>
                <w:rFonts w:ascii="Arial" w:hAnsi="Arial" w:cs="Arial"/>
                <w:color w:val="000000"/>
              </w:rPr>
            </w:pPr>
          </w:p>
        </w:tc>
      </w:tr>
      <w:tr w:rsidR="0086722C" w:rsidRPr="0086722C" w14:paraId="4EAB0C3C" w14:textId="77777777" w:rsidTr="0086722C">
        <w:trPr>
          <w:trHeight w:val="192"/>
          <w:jc w:val="center"/>
        </w:trPr>
        <w:tc>
          <w:tcPr>
            <w:tcW w:w="1842" w:type="dxa"/>
            <w:tcBorders>
              <w:top w:val="nil"/>
              <w:left w:val="nil"/>
              <w:bottom w:val="nil"/>
              <w:right w:val="nil"/>
            </w:tcBorders>
            <w:vAlign w:val="bottom"/>
          </w:tcPr>
          <w:p w14:paraId="2DF60D6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R-squared</w:t>
            </w:r>
          </w:p>
        </w:tc>
        <w:tc>
          <w:tcPr>
            <w:tcW w:w="1008" w:type="dxa"/>
            <w:tcBorders>
              <w:top w:val="nil"/>
              <w:left w:val="nil"/>
              <w:bottom w:val="nil"/>
              <w:right w:val="nil"/>
            </w:tcBorders>
            <w:vAlign w:val="bottom"/>
          </w:tcPr>
          <w:p w14:paraId="536CDAD8"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0.782967</w:t>
            </w:r>
          </w:p>
        </w:tc>
        <w:tc>
          <w:tcPr>
            <w:tcW w:w="2208" w:type="dxa"/>
            <w:gridSpan w:val="2"/>
            <w:tcBorders>
              <w:top w:val="nil"/>
              <w:left w:val="nil"/>
              <w:bottom w:val="nil"/>
              <w:right w:val="nil"/>
            </w:tcBorders>
            <w:vAlign w:val="bottom"/>
          </w:tcPr>
          <w:p w14:paraId="121473AD"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Mean dependent var</w:t>
            </w:r>
          </w:p>
        </w:tc>
        <w:tc>
          <w:tcPr>
            <w:tcW w:w="912" w:type="dxa"/>
            <w:tcBorders>
              <w:top w:val="nil"/>
              <w:left w:val="nil"/>
              <w:bottom w:val="nil"/>
              <w:right w:val="nil"/>
            </w:tcBorders>
            <w:vAlign w:val="bottom"/>
          </w:tcPr>
          <w:p w14:paraId="35A67A35"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0.108783</w:t>
            </w:r>
          </w:p>
        </w:tc>
      </w:tr>
      <w:tr w:rsidR="0086722C" w:rsidRPr="0086722C" w14:paraId="1792B647" w14:textId="77777777" w:rsidTr="0086722C">
        <w:trPr>
          <w:trHeight w:val="192"/>
          <w:jc w:val="center"/>
        </w:trPr>
        <w:tc>
          <w:tcPr>
            <w:tcW w:w="1842" w:type="dxa"/>
            <w:tcBorders>
              <w:top w:val="nil"/>
              <w:left w:val="nil"/>
              <w:bottom w:val="nil"/>
              <w:right w:val="nil"/>
            </w:tcBorders>
            <w:vAlign w:val="bottom"/>
          </w:tcPr>
          <w:p w14:paraId="1301307E"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Sum squared resid</w:t>
            </w:r>
          </w:p>
        </w:tc>
        <w:tc>
          <w:tcPr>
            <w:tcW w:w="1008" w:type="dxa"/>
            <w:tcBorders>
              <w:top w:val="nil"/>
              <w:left w:val="nil"/>
              <w:bottom w:val="nil"/>
              <w:right w:val="nil"/>
            </w:tcBorders>
            <w:vAlign w:val="bottom"/>
          </w:tcPr>
          <w:p w14:paraId="2FAE0B5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1084.890</w:t>
            </w:r>
          </w:p>
        </w:tc>
        <w:tc>
          <w:tcPr>
            <w:tcW w:w="2208" w:type="dxa"/>
            <w:gridSpan w:val="2"/>
            <w:tcBorders>
              <w:top w:val="nil"/>
              <w:left w:val="nil"/>
              <w:bottom w:val="nil"/>
              <w:right w:val="nil"/>
            </w:tcBorders>
            <w:vAlign w:val="bottom"/>
          </w:tcPr>
          <w:p w14:paraId="42F50F7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Durbin-Watson stat</w:t>
            </w:r>
          </w:p>
        </w:tc>
        <w:tc>
          <w:tcPr>
            <w:tcW w:w="912" w:type="dxa"/>
            <w:tcBorders>
              <w:top w:val="nil"/>
              <w:left w:val="nil"/>
              <w:bottom w:val="nil"/>
              <w:right w:val="nil"/>
            </w:tcBorders>
            <w:vAlign w:val="bottom"/>
          </w:tcPr>
          <w:p w14:paraId="4E5E6D4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1.910318</w:t>
            </w:r>
          </w:p>
        </w:tc>
      </w:tr>
      <w:tr w:rsidR="0086722C" w:rsidRPr="0086722C" w14:paraId="0ECCE7A4" w14:textId="77777777" w:rsidTr="0086722C">
        <w:trPr>
          <w:trHeight w:hRule="exact" w:val="76"/>
          <w:jc w:val="center"/>
        </w:trPr>
        <w:tc>
          <w:tcPr>
            <w:tcW w:w="1842" w:type="dxa"/>
            <w:tcBorders>
              <w:top w:val="nil"/>
              <w:left w:val="nil"/>
              <w:bottom w:val="double" w:sz="6" w:space="0" w:color="auto"/>
              <w:right w:val="nil"/>
            </w:tcBorders>
            <w:vAlign w:val="bottom"/>
          </w:tcPr>
          <w:p w14:paraId="72677CD5"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0" w:color="auto"/>
              <w:right w:val="nil"/>
            </w:tcBorders>
            <w:vAlign w:val="bottom"/>
          </w:tcPr>
          <w:p w14:paraId="072CFCAE"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0" w:color="auto"/>
              <w:right w:val="nil"/>
            </w:tcBorders>
            <w:vAlign w:val="bottom"/>
          </w:tcPr>
          <w:p w14:paraId="63E6581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0" w:color="auto"/>
              <w:right w:val="nil"/>
            </w:tcBorders>
            <w:vAlign w:val="bottom"/>
          </w:tcPr>
          <w:p w14:paraId="16CDF24D"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0" w:color="auto"/>
              <w:right w:val="nil"/>
            </w:tcBorders>
            <w:vAlign w:val="bottom"/>
          </w:tcPr>
          <w:p w14:paraId="75D53130" w14:textId="77777777" w:rsidR="0086722C" w:rsidRPr="0086722C" w:rsidRDefault="0086722C" w:rsidP="007E02F0">
            <w:pPr>
              <w:spacing w:line="276" w:lineRule="auto"/>
              <w:jc w:val="both"/>
              <w:rPr>
                <w:rFonts w:ascii="Arial" w:hAnsi="Arial" w:cs="Arial"/>
                <w:color w:val="000000"/>
              </w:rPr>
            </w:pPr>
          </w:p>
        </w:tc>
      </w:tr>
      <w:tr w:rsidR="0086722C" w:rsidRPr="0086722C" w14:paraId="0E0EB6D9" w14:textId="77777777" w:rsidTr="0086722C">
        <w:trPr>
          <w:trHeight w:hRule="exact" w:val="115"/>
          <w:jc w:val="center"/>
        </w:trPr>
        <w:tc>
          <w:tcPr>
            <w:tcW w:w="1842" w:type="dxa"/>
            <w:tcBorders>
              <w:top w:val="nil"/>
              <w:left w:val="nil"/>
              <w:bottom w:val="nil"/>
              <w:right w:val="nil"/>
            </w:tcBorders>
            <w:vAlign w:val="bottom"/>
          </w:tcPr>
          <w:p w14:paraId="65DF32F3"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3EB29335"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63C6268D"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43C1E84F"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00F9E68F" w14:textId="77777777" w:rsidR="0086722C" w:rsidRPr="0086722C" w:rsidRDefault="0086722C" w:rsidP="007E02F0">
            <w:pPr>
              <w:spacing w:line="276" w:lineRule="auto"/>
              <w:jc w:val="both"/>
              <w:rPr>
                <w:rFonts w:ascii="Arial" w:hAnsi="Arial" w:cs="Arial"/>
                <w:color w:val="000000"/>
              </w:rPr>
            </w:pPr>
          </w:p>
        </w:tc>
      </w:tr>
    </w:tbl>
    <w:bookmarkEnd w:id="0"/>
    <w:p w14:paraId="3E492228" w14:textId="37075219" w:rsidR="00231920" w:rsidRDefault="00790ADA" w:rsidP="00441B6F">
      <w:pPr>
        <w:pStyle w:val="Body"/>
        <w:spacing w:after="0"/>
        <w:rPr>
          <w:rFonts w:ascii="Arial" w:hAnsi="Arial" w:cs="Arial"/>
        </w:rPr>
      </w:pPr>
      <w:r>
        <w:rPr>
          <w:rFonts w:ascii="Arial" w:hAnsi="Arial" w:cs="Arial"/>
        </w:rPr>
        <w:t>.</w:t>
      </w:r>
      <w:r w:rsidR="00863BD3">
        <w:rPr>
          <w:rFonts w:ascii="Arial" w:hAnsi="Arial" w:cs="Arial"/>
        </w:rPr>
        <w:t xml:space="preserve"> </w:t>
      </w:r>
    </w:p>
    <w:p w14:paraId="37B22B88" w14:textId="5AD7028A" w:rsidR="0086722C" w:rsidRDefault="0086722C" w:rsidP="0086722C">
      <w:pPr>
        <w:pStyle w:val="Body"/>
        <w:spacing w:after="0"/>
        <w:jc w:val="center"/>
        <w:rPr>
          <w:rFonts w:ascii="Arial" w:hAnsi="Arial" w:cs="Arial"/>
        </w:rPr>
      </w:pPr>
      <w:r>
        <w:rPr>
          <w:rFonts w:ascii="Arial" w:hAnsi="Arial" w:cs="Arial"/>
          <w:b/>
          <w:bCs/>
        </w:rPr>
        <w:t xml:space="preserve">Table 6. </w:t>
      </w:r>
      <w:r w:rsidRPr="0086722C">
        <w:rPr>
          <w:rFonts w:ascii="Arial" w:hAnsi="Arial" w:cs="Arial"/>
          <w:b/>
          <w:bCs/>
        </w:rPr>
        <w:t xml:space="preserve">Regression Results with the </w:t>
      </w:r>
      <w:r>
        <w:rPr>
          <w:rFonts w:ascii="Arial" w:hAnsi="Arial" w:cs="Arial"/>
          <w:b/>
          <w:bCs/>
        </w:rPr>
        <w:t>Duvol</w:t>
      </w:r>
      <w:r w:rsidRPr="0086722C">
        <w:rPr>
          <w:rFonts w:ascii="Arial" w:hAnsi="Arial" w:cs="Arial"/>
          <w:b/>
          <w:bCs/>
        </w:rPr>
        <w:t xml:space="preserve"> model</w:t>
      </w:r>
    </w:p>
    <w:tbl>
      <w:tblPr>
        <w:tblW w:w="0" w:type="auto"/>
        <w:jc w:val="center"/>
        <w:tblLayout w:type="fixed"/>
        <w:tblCellMar>
          <w:left w:w="0" w:type="dxa"/>
          <w:right w:w="0" w:type="dxa"/>
        </w:tblCellMar>
        <w:tblLook w:val="0000" w:firstRow="0" w:lastRow="0" w:firstColumn="0" w:lastColumn="0" w:noHBand="0" w:noVBand="0"/>
      </w:tblPr>
      <w:tblGrid>
        <w:gridCol w:w="1842"/>
        <w:gridCol w:w="1008"/>
        <w:gridCol w:w="1104"/>
        <w:gridCol w:w="1104"/>
        <w:gridCol w:w="912"/>
      </w:tblGrid>
      <w:tr w:rsidR="0086722C" w:rsidRPr="0086722C" w14:paraId="72866706" w14:textId="77777777" w:rsidTr="0086722C">
        <w:trPr>
          <w:trHeight w:val="192"/>
          <w:jc w:val="center"/>
        </w:trPr>
        <w:tc>
          <w:tcPr>
            <w:tcW w:w="3954" w:type="dxa"/>
            <w:gridSpan w:val="3"/>
            <w:tcBorders>
              <w:top w:val="nil"/>
              <w:left w:val="nil"/>
              <w:bottom w:val="nil"/>
              <w:right w:val="nil"/>
            </w:tcBorders>
            <w:vAlign w:val="bottom"/>
          </w:tcPr>
          <w:p w14:paraId="3039B2F5" w14:textId="77777777" w:rsidR="0086722C" w:rsidRPr="0086722C" w:rsidRDefault="0086722C" w:rsidP="007E02F0">
            <w:pPr>
              <w:spacing w:line="276" w:lineRule="auto"/>
              <w:rPr>
                <w:rFonts w:ascii="Arial" w:hAnsi="Arial" w:cs="Arial"/>
                <w:lang w:eastAsia="en-ID"/>
              </w:rPr>
            </w:pPr>
            <w:bookmarkStart w:id="1" w:name="_Hlk216641768"/>
            <w:r w:rsidRPr="0086722C">
              <w:rPr>
                <w:rFonts w:ascii="Arial" w:hAnsi="Arial" w:cs="Arial"/>
                <w:lang w:eastAsia="en-ID"/>
              </w:rPr>
              <w:t>Dependent Variable: Y2</w:t>
            </w:r>
          </w:p>
        </w:tc>
        <w:tc>
          <w:tcPr>
            <w:tcW w:w="1104" w:type="dxa"/>
            <w:tcBorders>
              <w:top w:val="nil"/>
              <w:left w:val="nil"/>
              <w:bottom w:val="nil"/>
              <w:right w:val="nil"/>
            </w:tcBorders>
            <w:vAlign w:val="bottom"/>
          </w:tcPr>
          <w:p w14:paraId="30933659"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1A98C9E7" w14:textId="77777777" w:rsidR="0086722C" w:rsidRPr="0086722C" w:rsidRDefault="0086722C" w:rsidP="007E02F0">
            <w:pPr>
              <w:spacing w:line="276" w:lineRule="auto"/>
              <w:rPr>
                <w:rFonts w:ascii="Arial" w:hAnsi="Arial" w:cs="Arial"/>
                <w:lang w:eastAsia="en-ID"/>
              </w:rPr>
            </w:pPr>
          </w:p>
        </w:tc>
      </w:tr>
      <w:tr w:rsidR="0086722C" w:rsidRPr="0086722C" w14:paraId="7E81C6E6" w14:textId="77777777" w:rsidTr="0086722C">
        <w:trPr>
          <w:trHeight w:val="192"/>
          <w:jc w:val="center"/>
        </w:trPr>
        <w:tc>
          <w:tcPr>
            <w:tcW w:w="5970" w:type="dxa"/>
            <w:gridSpan w:val="5"/>
            <w:tcBorders>
              <w:top w:val="nil"/>
              <w:left w:val="nil"/>
              <w:bottom w:val="nil"/>
              <w:right w:val="nil"/>
            </w:tcBorders>
            <w:vAlign w:val="bottom"/>
          </w:tcPr>
          <w:p w14:paraId="292B55A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Method: Panel EGLS (Cross-section random effects)</w:t>
            </w:r>
          </w:p>
        </w:tc>
      </w:tr>
      <w:tr w:rsidR="0086722C" w:rsidRPr="0086722C" w14:paraId="3185E17B" w14:textId="77777777" w:rsidTr="0086722C">
        <w:trPr>
          <w:trHeight w:val="192"/>
          <w:jc w:val="center"/>
        </w:trPr>
        <w:tc>
          <w:tcPr>
            <w:tcW w:w="5058" w:type="dxa"/>
            <w:gridSpan w:val="4"/>
            <w:tcBorders>
              <w:top w:val="nil"/>
              <w:left w:val="nil"/>
              <w:bottom w:val="nil"/>
              <w:right w:val="nil"/>
            </w:tcBorders>
            <w:vAlign w:val="bottom"/>
          </w:tcPr>
          <w:p w14:paraId="53B8609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Date: 12/12/25   Time: 10:22</w:t>
            </w:r>
          </w:p>
        </w:tc>
        <w:tc>
          <w:tcPr>
            <w:tcW w:w="912" w:type="dxa"/>
            <w:tcBorders>
              <w:top w:val="nil"/>
              <w:left w:val="nil"/>
              <w:bottom w:val="nil"/>
              <w:right w:val="nil"/>
            </w:tcBorders>
            <w:vAlign w:val="bottom"/>
          </w:tcPr>
          <w:p w14:paraId="635E3E38" w14:textId="77777777" w:rsidR="0086722C" w:rsidRPr="0086722C" w:rsidRDefault="0086722C" w:rsidP="007E02F0">
            <w:pPr>
              <w:spacing w:line="276" w:lineRule="auto"/>
              <w:rPr>
                <w:rFonts w:ascii="Arial" w:hAnsi="Arial" w:cs="Arial"/>
                <w:lang w:eastAsia="en-ID"/>
              </w:rPr>
            </w:pPr>
          </w:p>
        </w:tc>
      </w:tr>
      <w:tr w:rsidR="0086722C" w:rsidRPr="0086722C" w14:paraId="0581535A" w14:textId="77777777" w:rsidTr="0086722C">
        <w:trPr>
          <w:trHeight w:val="192"/>
          <w:jc w:val="center"/>
        </w:trPr>
        <w:tc>
          <w:tcPr>
            <w:tcW w:w="3954" w:type="dxa"/>
            <w:gridSpan w:val="3"/>
            <w:tcBorders>
              <w:top w:val="nil"/>
              <w:left w:val="nil"/>
              <w:bottom w:val="nil"/>
              <w:right w:val="nil"/>
            </w:tcBorders>
            <w:vAlign w:val="bottom"/>
          </w:tcPr>
          <w:p w14:paraId="7827FE2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Sample: 2014 2024</w:t>
            </w:r>
          </w:p>
        </w:tc>
        <w:tc>
          <w:tcPr>
            <w:tcW w:w="1104" w:type="dxa"/>
            <w:tcBorders>
              <w:top w:val="nil"/>
              <w:left w:val="nil"/>
              <w:bottom w:val="nil"/>
              <w:right w:val="nil"/>
            </w:tcBorders>
            <w:vAlign w:val="bottom"/>
          </w:tcPr>
          <w:p w14:paraId="314F0407"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3F5A47CD" w14:textId="77777777" w:rsidR="0086722C" w:rsidRPr="0086722C" w:rsidRDefault="0086722C" w:rsidP="007E02F0">
            <w:pPr>
              <w:spacing w:line="276" w:lineRule="auto"/>
              <w:rPr>
                <w:rFonts w:ascii="Arial" w:hAnsi="Arial" w:cs="Arial"/>
                <w:lang w:eastAsia="en-ID"/>
              </w:rPr>
            </w:pPr>
          </w:p>
        </w:tc>
      </w:tr>
      <w:tr w:rsidR="0086722C" w:rsidRPr="0086722C" w14:paraId="0BECC8F0" w14:textId="77777777" w:rsidTr="0086722C">
        <w:trPr>
          <w:trHeight w:val="192"/>
          <w:jc w:val="center"/>
        </w:trPr>
        <w:tc>
          <w:tcPr>
            <w:tcW w:w="3954" w:type="dxa"/>
            <w:gridSpan w:val="3"/>
            <w:tcBorders>
              <w:top w:val="nil"/>
              <w:left w:val="nil"/>
              <w:bottom w:val="nil"/>
              <w:right w:val="nil"/>
            </w:tcBorders>
            <w:vAlign w:val="bottom"/>
          </w:tcPr>
          <w:p w14:paraId="4D6748E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Periods included: 11</w:t>
            </w:r>
          </w:p>
        </w:tc>
        <w:tc>
          <w:tcPr>
            <w:tcW w:w="1104" w:type="dxa"/>
            <w:tcBorders>
              <w:top w:val="nil"/>
              <w:left w:val="nil"/>
              <w:bottom w:val="nil"/>
              <w:right w:val="nil"/>
            </w:tcBorders>
            <w:vAlign w:val="bottom"/>
          </w:tcPr>
          <w:p w14:paraId="0E65DD3B"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74E4E331" w14:textId="77777777" w:rsidR="0086722C" w:rsidRPr="0086722C" w:rsidRDefault="0086722C" w:rsidP="007E02F0">
            <w:pPr>
              <w:spacing w:line="276" w:lineRule="auto"/>
              <w:rPr>
                <w:rFonts w:ascii="Arial" w:hAnsi="Arial" w:cs="Arial"/>
                <w:lang w:eastAsia="en-ID"/>
              </w:rPr>
            </w:pPr>
          </w:p>
        </w:tc>
      </w:tr>
      <w:tr w:rsidR="0086722C" w:rsidRPr="0086722C" w14:paraId="0EC081FB" w14:textId="77777777" w:rsidTr="0086722C">
        <w:trPr>
          <w:trHeight w:val="192"/>
          <w:jc w:val="center"/>
        </w:trPr>
        <w:tc>
          <w:tcPr>
            <w:tcW w:w="5058" w:type="dxa"/>
            <w:gridSpan w:val="4"/>
            <w:tcBorders>
              <w:top w:val="nil"/>
              <w:left w:val="nil"/>
              <w:bottom w:val="nil"/>
              <w:right w:val="nil"/>
            </w:tcBorders>
            <w:vAlign w:val="bottom"/>
          </w:tcPr>
          <w:p w14:paraId="15E555A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Cross-sections included: 251</w:t>
            </w:r>
          </w:p>
        </w:tc>
        <w:tc>
          <w:tcPr>
            <w:tcW w:w="912" w:type="dxa"/>
            <w:tcBorders>
              <w:top w:val="nil"/>
              <w:left w:val="nil"/>
              <w:bottom w:val="nil"/>
              <w:right w:val="nil"/>
            </w:tcBorders>
            <w:vAlign w:val="bottom"/>
          </w:tcPr>
          <w:p w14:paraId="1A141042" w14:textId="77777777" w:rsidR="0086722C" w:rsidRPr="0086722C" w:rsidRDefault="0086722C" w:rsidP="007E02F0">
            <w:pPr>
              <w:spacing w:line="276" w:lineRule="auto"/>
              <w:rPr>
                <w:rFonts w:ascii="Arial" w:hAnsi="Arial" w:cs="Arial"/>
                <w:lang w:eastAsia="en-ID"/>
              </w:rPr>
            </w:pPr>
          </w:p>
        </w:tc>
      </w:tr>
      <w:tr w:rsidR="0086722C" w:rsidRPr="0086722C" w14:paraId="6830D83F" w14:textId="77777777" w:rsidTr="0086722C">
        <w:trPr>
          <w:trHeight w:val="192"/>
          <w:jc w:val="center"/>
        </w:trPr>
        <w:tc>
          <w:tcPr>
            <w:tcW w:w="5970" w:type="dxa"/>
            <w:gridSpan w:val="5"/>
            <w:tcBorders>
              <w:top w:val="nil"/>
              <w:left w:val="nil"/>
              <w:bottom w:val="nil"/>
              <w:right w:val="nil"/>
            </w:tcBorders>
            <w:vAlign w:val="bottom"/>
          </w:tcPr>
          <w:p w14:paraId="0A47310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Total panel (balanced) observations: 2761</w:t>
            </w:r>
          </w:p>
        </w:tc>
      </w:tr>
      <w:tr w:rsidR="0086722C" w:rsidRPr="0086722C" w14:paraId="47F24106" w14:textId="77777777" w:rsidTr="0086722C">
        <w:trPr>
          <w:trHeight w:val="192"/>
          <w:jc w:val="center"/>
        </w:trPr>
        <w:tc>
          <w:tcPr>
            <w:tcW w:w="5970" w:type="dxa"/>
            <w:gridSpan w:val="5"/>
            <w:tcBorders>
              <w:top w:val="nil"/>
              <w:left w:val="nil"/>
              <w:bottom w:val="nil"/>
              <w:right w:val="nil"/>
            </w:tcBorders>
            <w:vAlign w:val="bottom"/>
          </w:tcPr>
          <w:p w14:paraId="34E4C8A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Swamy and Arora estimator of component variances</w:t>
            </w:r>
          </w:p>
        </w:tc>
      </w:tr>
      <w:tr w:rsidR="0086722C" w:rsidRPr="0086722C" w14:paraId="19A1E997" w14:textId="77777777" w:rsidTr="0086722C">
        <w:trPr>
          <w:trHeight w:hRule="exact" w:val="76"/>
          <w:jc w:val="center"/>
        </w:trPr>
        <w:tc>
          <w:tcPr>
            <w:tcW w:w="1842" w:type="dxa"/>
            <w:tcBorders>
              <w:top w:val="nil"/>
              <w:left w:val="nil"/>
              <w:bottom w:val="double" w:sz="6" w:space="2" w:color="auto"/>
              <w:right w:val="nil"/>
            </w:tcBorders>
            <w:vAlign w:val="bottom"/>
          </w:tcPr>
          <w:p w14:paraId="33B57047"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52A11940"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095294B4"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401F78CF"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126A789D" w14:textId="77777777" w:rsidR="0086722C" w:rsidRPr="0086722C" w:rsidRDefault="0086722C" w:rsidP="007E02F0">
            <w:pPr>
              <w:spacing w:line="276" w:lineRule="auto"/>
              <w:rPr>
                <w:rFonts w:ascii="Arial" w:hAnsi="Arial" w:cs="Arial"/>
                <w:lang w:eastAsia="en-ID"/>
              </w:rPr>
            </w:pPr>
          </w:p>
        </w:tc>
      </w:tr>
      <w:tr w:rsidR="0086722C" w:rsidRPr="0086722C" w14:paraId="01FD86E5" w14:textId="77777777" w:rsidTr="0086722C">
        <w:trPr>
          <w:trHeight w:hRule="exact" w:val="115"/>
          <w:jc w:val="center"/>
        </w:trPr>
        <w:tc>
          <w:tcPr>
            <w:tcW w:w="1842" w:type="dxa"/>
            <w:tcBorders>
              <w:top w:val="nil"/>
              <w:left w:val="nil"/>
              <w:bottom w:val="nil"/>
              <w:right w:val="nil"/>
            </w:tcBorders>
            <w:vAlign w:val="bottom"/>
          </w:tcPr>
          <w:p w14:paraId="738B156D"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39C1F30E"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60962EA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7C89DE2A"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501CF55B" w14:textId="77777777" w:rsidR="0086722C" w:rsidRPr="0086722C" w:rsidRDefault="0086722C" w:rsidP="007E02F0">
            <w:pPr>
              <w:spacing w:line="276" w:lineRule="auto"/>
              <w:rPr>
                <w:rFonts w:ascii="Arial" w:hAnsi="Arial" w:cs="Arial"/>
                <w:lang w:eastAsia="en-ID"/>
              </w:rPr>
            </w:pPr>
          </w:p>
        </w:tc>
      </w:tr>
      <w:tr w:rsidR="0086722C" w:rsidRPr="0086722C" w14:paraId="2A9B8B7F" w14:textId="77777777" w:rsidTr="0086722C">
        <w:trPr>
          <w:trHeight w:val="192"/>
          <w:jc w:val="center"/>
        </w:trPr>
        <w:tc>
          <w:tcPr>
            <w:tcW w:w="1842" w:type="dxa"/>
            <w:tcBorders>
              <w:top w:val="nil"/>
              <w:left w:val="nil"/>
              <w:bottom w:val="nil"/>
              <w:right w:val="nil"/>
            </w:tcBorders>
            <w:vAlign w:val="bottom"/>
          </w:tcPr>
          <w:p w14:paraId="762CA2B4"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Variable</w:t>
            </w:r>
          </w:p>
        </w:tc>
        <w:tc>
          <w:tcPr>
            <w:tcW w:w="1008" w:type="dxa"/>
            <w:tcBorders>
              <w:top w:val="nil"/>
              <w:left w:val="nil"/>
              <w:bottom w:val="nil"/>
              <w:right w:val="nil"/>
            </w:tcBorders>
            <w:vAlign w:val="bottom"/>
          </w:tcPr>
          <w:p w14:paraId="296AD75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Coefficient</w:t>
            </w:r>
          </w:p>
        </w:tc>
        <w:tc>
          <w:tcPr>
            <w:tcW w:w="1104" w:type="dxa"/>
            <w:tcBorders>
              <w:top w:val="nil"/>
              <w:left w:val="nil"/>
              <w:bottom w:val="nil"/>
              <w:right w:val="nil"/>
            </w:tcBorders>
            <w:vAlign w:val="bottom"/>
          </w:tcPr>
          <w:p w14:paraId="02D4106E"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Std. Error</w:t>
            </w:r>
          </w:p>
        </w:tc>
        <w:tc>
          <w:tcPr>
            <w:tcW w:w="1104" w:type="dxa"/>
            <w:tcBorders>
              <w:top w:val="nil"/>
              <w:left w:val="nil"/>
              <w:bottom w:val="nil"/>
              <w:right w:val="nil"/>
            </w:tcBorders>
            <w:vAlign w:val="bottom"/>
          </w:tcPr>
          <w:p w14:paraId="1C870E0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t-Statistic</w:t>
            </w:r>
          </w:p>
        </w:tc>
        <w:tc>
          <w:tcPr>
            <w:tcW w:w="912" w:type="dxa"/>
            <w:tcBorders>
              <w:top w:val="nil"/>
              <w:left w:val="nil"/>
              <w:bottom w:val="nil"/>
              <w:right w:val="nil"/>
            </w:tcBorders>
            <w:vAlign w:val="bottom"/>
          </w:tcPr>
          <w:p w14:paraId="0432C42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Prob.  </w:t>
            </w:r>
          </w:p>
        </w:tc>
      </w:tr>
      <w:tr w:rsidR="0086722C" w:rsidRPr="0086722C" w14:paraId="4D0D63DB" w14:textId="77777777" w:rsidTr="0086722C">
        <w:trPr>
          <w:trHeight w:hRule="exact" w:val="76"/>
          <w:jc w:val="center"/>
        </w:trPr>
        <w:tc>
          <w:tcPr>
            <w:tcW w:w="1842" w:type="dxa"/>
            <w:tcBorders>
              <w:top w:val="nil"/>
              <w:left w:val="nil"/>
              <w:bottom w:val="double" w:sz="6" w:space="2" w:color="auto"/>
              <w:right w:val="nil"/>
            </w:tcBorders>
            <w:vAlign w:val="bottom"/>
          </w:tcPr>
          <w:p w14:paraId="2C4348A0"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2C45F286"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1275D4B3"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4D6D9E95"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0169A5E1" w14:textId="77777777" w:rsidR="0086722C" w:rsidRPr="0086722C" w:rsidRDefault="0086722C" w:rsidP="007E02F0">
            <w:pPr>
              <w:spacing w:line="276" w:lineRule="auto"/>
              <w:rPr>
                <w:rFonts w:ascii="Arial" w:hAnsi="Arial" w:cs="Arial"/>
                <w:lang w:eastAsia="en-ID"/>
              </w:rPr>
            </w:pPr>
          </w:p>
        </w:tc>
      </w:tr>
      <w:tr w:rsidR="0086722C" w:rsidRPr="0086722C" w14:paraId="4D787920" w14:textId="77777777" w:rsidTr="0086722C">
        <w:trPr>
          <w:trHeight w:hRule="exact" w:val="115"/>
          <w:jc w:val="center"/>
        </w:trPr>
        <w:tc>
          <w:tcPr>
            <w:tcW w:w="1842" w:type="dxa"/>
            <w:tcBorders>
              <w:top w:val="nil"/>
              <w:left w:val="nil"/>
              <w:bottom w:val="nil"/>
              <w:right w:val="nil"/>
            </w:tcBorders>
            <w:vAlign w:val="bottom"/>
          </w:tcPr>
          <w:p w14:paraId="15BCAE77"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027DCB60"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2EEFC19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3EE1D183"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782F6667" w14:textId="77777777" w:rsidR="0086722C" w:rsidRPr="0086722C" w:rsidRDefault="0086722C" w:rsidP="007E02F0">
            <w:pPr>
              <w:spacing w:line="276" w:lineRule="auto"/>
              <w:rPr>
                <w:rFonts w:ascii="Arial" w:hAnsi="Arial" w:cs="Arial"/>
                <w:lang w:eastAsia="en-ID"/>
              </w:rPr>
            </w:pPr>
          </w:p>
        </w:tc>
      </w:tr>
      <w:tr w:rsidR="0086722C" w:rsidRPr="0086722C" w14:paraId="09CCB66A" w14:textId="77777777" w:rsidTr="0086722C">
        <w:trPr>
          <w:trHeight w:val="192"/>
          <w:jc w:val="center"/>
        </w:trPr>
        <w:tc>
          <w:tcPr>
            <w:tcW w:w="1842" w:type="dxa"/>
            <w:tcBorders>
              <w:top w:val="nil"/>
              <w:left w:val="nil"/>
              <w:bottom w:val="nil"/>
              <w:right w:val="nil"/>
            </w:tcBorders>
            <w:vAlign w:val="bottom"/>
          </w:tcPr>
          <w:p w14:paraId="21CB964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C</w:t>
            </w:r>
          </w:p>
        </w:tc>
        <w:tc>
          <w:tcPr>
            <w:tcW w:w="1008" w:type="dxa"/>
            <w:tcBorders>
              <w:top w:val="nil"/>
              <w:left w:val="nil"/>
              <w:bottom w:val="nil"/>
              <w:right w:val="nil"/>
            </w:tcBorders>
            <w:vAlign w:val="bottom"/>
          </w:tcPr>
          <w:p w14:paraId="1A50A02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1.68E+12</w:t>
            </w:r>
          </w:p>
        </w:tc>
        <w:tc>
          <w:tcPr>
            <w:tcW w:w="1104" w:type="dxa"/>
            <w:tcBorders>
              <w:top w:val="nil"/>
              <w:left w:val="nil"/>
              <w:bottom w:val="nil"/>
              <w:right w:val="nil"/>
            </w:tcBorders>
            <w:vAlign w:val="bottom"/>
          </w:tcPr>
          <w:p w14:paraId="221C856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4.33E+10</w:t>
            </w:r>
          </w:p>
        </w:tc>
        <w:tc>
          <w:tcPr>
            <w:tcW w:w="1104" w:type="dxa"/>
            <w:tcBorders>
              <w:top w:val="nil"/>
              <w:left w:val="nil"/>
              <w:bottom w:val="nil"/>
              <w:right w:val="nil"/>
            </w:tcBorders>
            <w:vAlign w:val="bottom"/>
          </w:tcPr>
          <w:p w14:paraId="3B37AC92"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38.73319</w:t>
            </w:r>
          </w:p>
        </w:tc>
        <w:tc>
          <w:tcPr>
            <w:tcW w:w="912" w:type="dxa"/>
            <w:tcBorders>
              <w:top w:val="nil"/>
              <w:left w:val="nil"/>
              <w:bottom w:val="nil"/>
              <w:right w:val="nil"/>
            </w:tcBorders>
            <w:vAlign w:val="bottom"/>
          </w:tcPr>
          <w:p w14:paraId="61E42E2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44FDC1C8" w14:textId="77777777" w:rsidTr="0086722C">
        <w:trPr>
          <w:trHeight w:val="192"/>
          <w:jc w:val="center"/>
        </w:trPr>
        <w:tc>
          <w:tcPr>
            <w:tcW w:w="1842" w:type="dxa"/>
            <w:tcBorders>
              <w:top w:val="nil"/>
              <w:left w:val="nil"/>
              <w:bottom w:val="nil"/>
              <w:right w:val="nil"/>
            </w:tcBorders>
            <w:vAlign w:val="bottom"/>
          </w:tcPr>
          <w:p w14:paraId="0D7EC53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X1TRY2</w:t>
            </w:r>
          </w:p>
        </w:tc>
        <w:tc>
          <w:tcPr>
            <w:tcW w:w="1008" w:type="dxa"/>
            <w:tcBorders>
              <w:top w:val="nil"/>
              <w:left w:val="nil"/>
              <w:bottom w:val="nil"/>
              <w:right w:val="nil"/>
            </w:tcBorders>
            <w:vAlign w:val="bottom"/>
          </w:tcPr>
          <w:p w14:paraId="5360BE7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0.066106</w:t>
            </w:r>
          </w:p>
        </w:tc>
        <w:tc>
          <w:tcPr>
            <w:tcW w:w="1104" w:type="dxa"/>
            <w:tcBorders>
              <w:top w:val="nil"/>
              <w:left w:val="nil"/>
              <w:bottom w:val="nil"/>
              <w:right w:val="nil"/>
            </w:tcBorders>
            <w:vAlign w:val="bottom"/>
          </w:tcPr>
          <w:p w14:paraId="41780C9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0.000559</w:t>
            </w:r>
          </w:p>
        </w:tc>
        <w:tc>
          <w:tcPr>
            <w:tcW w:w="1104" w:type="dxa"/>
            <w:tcBorders>
              <w:top w:val="nil"/>
              <w:left w:val="nil"/>
              <w:bottom w:val="nil"/>
              <w:right w:val="nil"/>
            </w:tcBorders>
            <w:vAlign w:val="bottom"/>
          </w:tcPr>
          <w:p w14:paraId="3587AE2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118.2541</w:t>
            </w:r>
          </w:p>
        </w:tc>
        <w:tc>
          <w:tcPr>
            <w:tcW w:w="912" w:type="dxa"/>
            <w:tcBorders>
              <w:top w:val="nil"/>
              <w:left w:val="nil"/>
              <w:bottom w:val="nil"/>
              <w:right w:val="nil"/>
            </w:tcBorders>
            <w:vAlign w:val="bottom"/>
          </w:tcPr>
          <w:p w14:paraId="3131224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6B2F59BE" w14:textId="77777777" w:rsidTr="0086722C">
        <w:trPr>
          <w:trHeight w:val="192"/>
          <w:jc w:val="center"/>
        </w:trPr>
        <w:tc>
          <w:tcPr>
            <w:tcW w:w="1842" w:type="dxa"/>
            <w:tcBorders>
              <w:top w:val="nil"/>
              <w:left w:val="nil"/>
              <w:bottom w:val="nil"/>
              <w:right w:val="nil"/>
            </w:tcBorders>
            <w:vAlign w:val="bottom"/>
          </w:tcPr>
          <w:p w14:paraId="55FFFF61"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X2TRY2</w:t>
            </w:r>
          </w:p>
        </w:tc>
        <w:tc>
          <w:tcPr>
            <w:tcW w:w="1008" w:type="dxa"/>
            <w:tcBorders>
              <w:top w:val="nil"/>
              <w:left w:val="nil"/>
              <w:bottom w:val="nil"/>
              <w:right w:val="nil"/>
            </w:tcBorders>
            <w:vAlign w:val="bottom"/>
          </w:tcPr>
          <w:p w14:paraId="58F51164"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0.810312</w:t>
            </w:r>
          </w:p>
        </w:tc>
        <w:tc>
          <w:tcPr>
            <w:tcW w:w="1104" w:type="dxa"/>
            <w:tcBorders>
              <w:top w:val="nil"/>
              <w:left w:val="nil"/>
              <w:bottom w:val="nil"/>
              <w:right w:val="nil"/>
            </w:tcBorders>
            <w:vAlign w:val="bottom"/>
          </w:tcPr>
          <w:p w14:paraId="4CA90B6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0.004440</w:t>
            </w:r>
          </w:p>
        </w:tc>
        <w:tc>
          <w:tcPr>
            <w:tcW w:w="1104" w:type="dxa"/>
            <w:tcBorders>
              <w:top w:val="nil"/>
              <w:left w:val="nil"/>
              <w:bottom w:val="nil"/>
              <w:right w:val="nil"/>
            </w:tcBorders>
            <w:vAlign w:val="bottom"/>
          </w:tcPr>
          <w:p w14:paraId="0C278C12"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182.5167</w:t>
            </w:r>
          </w:p>
        </w:tc>
        <w:tc>
          <w:tcPr>
            <w:tcW w:w="912" w:type="dxa"/>
            <w:tcBorders>
              <w:top w:val="nil"/>
              <w:left w:val="nil"/>
              <w:bottom w:val="nil"/>
              <w:right w:val="nil"/>
            </w:tcBorders>
            <w:vAlign w:val="bottom"/>
          </w:tcPr>
          <w:p w14:paraId="6435489B"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7BB21C7C" w14:textId="77777777" w:rsidTr="0086722C">
        <w:trPr>
          <w:trHeight w:val="192"/>
          <w:jc w:val="center"/>
        </w:trPr>
        <w:tc>
          <w:tcPr>
            <w:tcW w:w="1842" w:type="dxa"/>
            <w:tcBorders>
              <w:top w:val="nil"/>
              <w:left w:val="nil"/>
              <w:bottom w:val="nil"/>
              <w:right w:val="nil"/>
            </w:tcBorders>
            <w:vAlign w:val="bottom"/>
          </w:tcPr>
          <w:p w14:paraId="1292BC6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X3</w:t>
            </w:r>
          </w:p>
        </w:tc>
        <w:tc>
          <w:tcPr>
            <w:tcW w:w="1008" w:type="dxa"/>
            <w:tcBorders>
              <w:top w:val="nil"/>
              <w:left w:val="nil"/>
              <w:bottom w:val="nil"/>
              <w:right w:val="nil"/>
            </w:tcBorders>
            <w:vAlign w:val="bottom"/>
          </w:tcPr>
          <w:p w14:paraId="2252379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9.00E+11</w:t>
            </w:r>
          </w:p>
        </w:tc>
        <w:tc>
          <w:tcPr>
            <w:tcW w:w="1104" w:type="dxa"/>
            <w:tcBorders>
              <w:top w:val="nil"/>
              <w:left w:val="nil"/>
              <w:bottom w:val="nil"/>
              <w:right w:val="nil"/>
            </w:tcBorders>
            <w:vAlign w:val="bottom"/>
          </w:tcPr>
          <w:p w14:paraId="472BB84E"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8.25E+10</w:t>
            </w:r>
          </w:p>
        </w:tc>
        <w:tc>
          <w:tcPr>
            <w:tcW w:w="1104" w:type="dxa"/>
            <w:tcBorders>
              <w:top w:val="nil"/>
              <w:left w:val="nil"/>
              <w:bottom w:val="nil"/>
              <w:right w:val="nil"/>
            </w:tcBorders>
            <w:vAlign w:val="bottom"/>
          </w:tcPr>
          <w:p w14:paraId="734A6C5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10.90161</w:t>
            </w:r>
          </w:p>
        </w:tc>
        <w:tc>
          <w:tcPr>
            <w:tcW w:w="912" w:type="dxa"/>
            <w:tcBorders>
              <w:top w:val="nil"/>
              <w:left w:val="nil"/>
              <w:bottom w:val="nil"/>
              <w:right w:val="nil"/>
            </w:tcBorders>
            <w:vAlign w:val="bottom"/>
          </w:tcPr>
          <w:p w14:paraId="092C186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3F5F0E7B" w14:textId="77777777" w:rsidTr="0086722C">
        <w:trPr>
          <w:trHeight w:hRule="exact" w:val="76"/>
          <w:jc w:val="center"/>
        </w:trPr>
        <w:tc>
          <w:tcPr>
            <w:tcW w:w="1842" w:type="dxa"/>
            <w:tcBorders>
              <w:top w:val="nil"/>
              <w:left w:val="nil"/>
              <w:bottom w:val="double" w:sz="6" w:space="2" w:color="auto"/>
              <w:right w:val="nil"/>
            </w:tcBorders>
            <w:vAlign w:val="bottom"/>
          </w:tcPr>
          <w:p w14:paraId="7AFBA9CB"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23ADCE8E"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5DD9D029"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0813A60A"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74D58BBF" w14:textId="77777777" w:rsidR="0086722C" w:rsidRPr="0086722C" w:rsidRDefault="0086722C" w:rsidP="007E02F0">
            <w:pPr>
              <w:spacing w:line="276" w:lineRule="auto"/>
              <w:rPr>
                <w:rFonts w:ascii="Arial" w:hAnsi="Arial" w:cs="Arial"/>
                <w:lang w:eastAsia="en-ID"/>
              </w:rPr>
            </w:pPr>
          </w:p>
        </w:tc>
      </w:tr>
      <w:tr w:rsidR="0086722C" w:rsidRPr="0086722C" w14:paraId="6D43BDAC" w14:textId="77777777" w:rsidTr="0086722C">
        <w:trPr>
          <w:trHeight w:hRule="exact" w:val="115"/>
          <w:jc w:val="center"/>
        </w:trPr>
        <w:tc>
          <w:tcPr>
            <w:tcW w:w="1842" w:type="dxa"/>
            <w:tcBorders>
              <w:top w:val="nil"/>
              <w:left w:val="nil"/>
              <w:bottom w:val="nil"/>
              <w:right w:val="nil"/>
            </w:tcBorders>
            <w:vAlign w:val="bottom"/>
          </w:tcPr>
          <w:p w14:paraId="3CBB5455"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799F1DF0"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684C70F4"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579628B7"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36A4D9C9" w14:textId="77777777" w:rsidR="0086722C" w:rsidRPr="0086722C" w:rsidRDefault="0086722C" w:rsidP="007E02F0">
            <w:pPr>
              <w:spacing w:line="276" w:lineRule="auto"/>
              <w:rPr>
                <w:rFonts w:ascii="Arial" w:hAnsi="Arial" w:cs="Arial"/>
                <w:lang w:eastAsia="en-ID"/>
              </w:rPr>
            </w:pPr>
          </w:p>
        </w:tc>
      </w:tr>
      <w:tr w:rsidR="0086722C" w:rsidRPr="0086722C" w14:paraId="0827464B" w14:textId="77777777" w:rsidTr="0086722C">
        <w:trPr>
          <w:trHeight w:val="192"/>
          <w:jc w:val="center"/>
        </w:trPr>
        <w:tc>
          <w:tcPr>
            <w:tcW w:w="1842" w:type="dxa"/>
            <w:tcBorders>
              <w:top w:val="nil"/>
              <w:left w:val="nil"/>
              <w:bottom w:val="nil"/>
              <w:right w:val="nil"/>
            </w:tcBorders>
            <w:vAlign w:val="bottom"/>
          </w:tcPr>
          <w:p w14:paraId="5AD05E87" w14:textId="77777777" w:rsidR="0086722C" w:rsidRPr="0086722C" w:rsidRDefault="0086722C" w:rsidP="007E02F0">
            <w:pPr>
              <w:spacing w:line="276" w:lineRule="auto"/>
              <w:rPr>
                <w:rFonts w:ascii="Arial" w:hAnsi="Arial" w:cs="Arial"/>
                <w:lang w:eastAsia="en-ID"/>
              </w:rPr>
            </w:pPr>
          </w:p>
        </w:tc>
        <w:tc>
          <w:tcPr>
            <w:tcW w:w="2112" w:type="dxa"/>
            <w:gridSpan w:val="2"/>
            <w:tcBorders>
              <w:top w:val="nil"/>
              <w:left w:val="nil"/>
              <w:bottom w:val="nil"/>
              <w:right w:val="nil"/>
            </w:tcBorders>
            <w:vAlign w:val="bottom"/>
          </w:tcPr>
          <w:p w14:paraId="06C74261"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Effects Specification</w:t>
            </w:r>
          </w:p>
        </w:tc>
        <w:tc>
          <w:tcPr>
            <w:tcW w:w="1104" w:type="dxa"/>
            <w:tcBorders>
              <w:top w:val="nil"/>
              <w:left w:val="nil"/>
              <w:bottom w:val="nil"/>
              <w:right w:val="nil"/>
            </w:tcBorders>
            <w:vAlign w:val="bottom"/>
          </w:tcPr>
          <w:p w14:paraId="254A34D8"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2AD9FF63" w14:textId="77777777" w:rsidR="0086722C" w:rsidRPr="0086722C" w:rsidRDefault="0086722C" w:rsidP="007E02F0">
            <w:pPr>
              <w:spacing w:line="276" w:lineRule="auto"/>
              <w:rPr>
                <w:rFonts w:ascii="Arial" w:hAnsi="Arial" w:cs="Arial"/>
                <w:lang w:eastAsia="en-ID"/>
              </w:rPr>
            </w:pPr>
          </w:p>
        </w:tc>
      </w:tr>
      <w:tr w:rsidR="0086722C" w:rsidRPr="0086722C" w14:paraId="4D6E2491" w14:textId="77777777" w:rsidTr="0086722C">
        <w:trPr>
          <w:trHeight w:val="192"/>
          <w:jc w:val="center"/>
        </w:trPr>
        <w:tc>
          <w:tcPr>
            <w:tcW w:w="1842" w:type="dxa"/>
            <w:tcBorders>
              <w:top w:val="nil"/>
              <w:left w:val="nil"/>
              <w:bottom w:val="nil"/>
              <w:right w:val="nil"/>
            </w:tcBorders>
            <w:vAlign w:val="bottom"/>
          </w:tcPr>
          <w:p w14:paraId="65C0701A"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229992E1"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78A477C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58934C41"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S.D.  </w:t>
            </w:r>
          </w:p>
        </w:tc>
        <w:tc>
          <w:tcPr>
            <w:tcW w:w="912" w:type="dxa"/>
            <w:tcBorders>
              <w:top w:val="nil"/>
              <w:left w:val="nil"/>
              <w:bottom w:val="nil"/>
              <w:right w:val="nil"/>
            </w:tcBorders>
            <w:vAlign w:val="bottom"/>
          </w:tcPr>
          <w:p w14:paraId="25E1405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Rho  </w:t>
            </w:r>
          </w:p>
        </w:tc>
      </w:tr>
      <w:tr w:rsidR="0086722C" w:rsidRPr="0086722C" w14:paraId="30D260B2" w14:textId="77777777" w:rsidTr="0086722C">
        <w:trPr>
          <w:trHeight w:hRule="exact" w:val="76"/>
          <w:jc w:val="center"/>
        </w:trPr>
        <w:tc>
          <w:tcPr>
            <w:tcW w:w="1842" w:type="dxa"/>
            <w:tcBorders>
              <w:top w:val="nil"/>
              <w:left w:val="nil"/>
              <w:bottom w:val="double" w:sz="6" w:space="2" w:color="auto"/>
              <w:right w:val="nil"/>
            </w:tcBorders>
            <w:vAlign w:val="bottom"/>
          </w:tcPr>
          <w:p w14:paraId="157DBC26"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13A7BFB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2573AFD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622EBB4D"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35D46924" w14:textId="77777777" w:rsidR="0086722C" w:rsidRPr="0086722C" w:rsidRDefault="0086722C" w:rsidP="007E02F0">
            <w:pPr>
              <w:spacing w:line="276" w:lineRule="auto"/>
              <w:rPr>
                <w:rFonts w:ascii="Arial" w:hAnsi="Arial" w:cs="Arial"/>
                <w:lang w:eastAsia="en-ID"/>
              </w:rPr>
            </w:pPr>
          </w:p>
        </w:tc>
      </w:tr>
      <w:tr w:rsidR="0086722C" w:rsidRPr="0086722C" w14:paraId="6228738E" w14:textId="77777777" w:rsidTr="0086722C">
        <w:trPr>
          <w:trHeight w:hRule="exact" w:val="115"/>
          <w:jc w:val="center"/>
        </w:trPr>
        <w:tc>
          <w:tcPr>
            <w:tcW w:w="1842" w:type="dxa"/>
            <w:tcBorders>
              <w:top w:val="nil"/>
              <w:left w:val="nil"/>
              <w:bottom w:val="nil"/>
              <w:right w:val="nil"/>
            </w:tcBorders>
            <w:vAlign w:val="bottom"/>
          </w:tcPr>
          <w:p w14:paraId="11D4659B"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1C4AB617"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79384E78"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002741B1"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7D0FCC95" w14:textId="77777777" w:rsidR="0086722C" w:rsidRPr="0086722C" w:rsidRDefault="0086722C" w:rsidP="007E02F0">
            <w:pPr>
              <w:spacing w:line="276" w:lineRule="auto"/>
              <w:rPr>
                <w:rFonts w:ascii="Arial" w:hAnsi="Arial" w:cs="Arial"/>
                <w:lang w:eastAsia="en-ID"/>
              </w:rPr>
            </w:pPr>
          </w:p>
        </w:tc>
      </w:tr>
      <w:tr w:rsidR="0086722C" w:rsidRPr="0086722C" w14:paraId="4BEA8AE4" w14:textId="77777777" w:rsidTr="0086722C">
        <w:trPr>
          <w:trHeight w:val="192"/>
          <w:jc w:val="center"/>
        </w:trPr>
        <w:tc>
          <w:tcPr>
            <w:tcW w:w="3954" w:type="dxa"/>
            <w:gridSpan w:val="3"/>
            <w:tcBorders>
              <w:top w:val="nil"/>
              <w:left w:val="nil"/>
              <w:bottom w:val="nil"/>
              <w:right w:val="nil"/>
            </w:tcBorders>
            <w:vAlign w:val="bottom"/>
          </w:tcPr>
          <w:p w14:paraId="44E5E76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Cross-section random</w:t>
            </w:r>
          </w:p>
        </w:tc>
        <w:tc>
          <w:tcPr>
            <w:tcW w:w="1104" w:type="dxa"/>
            <w:tcBorders>
              <w:top w:val="nil"/>
              <w:left w:val="nil"/>
              <w:bottom w:val="nil"/>
              <w:right w:val="nil"/>
            </w:tcBorders>
            <w:vAlign w:val="bottom"/>
          </w:tcPr>
          <w:p w14:paraId="42EA311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0.000000</w:t>
            </w:r>
          </w:p>
        </w:tc>
        <w:tc>
          <w:tcPr>
            <w:tcW w:w="912" w:type="dxa"/>
            <w:tcBorders>
              <w:top w:val="nil"/>
              <w:left w:val="nil"/>
              <w:bottom w:val="nil"/>
              <w:right w:val="nil"/>
            </w:tcBorders>
            <w:vAlign w:val="bottom"/>
          </w:tcPr>
          <w:p w14:paraId="2D69B8F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042A6C6E" w14:textId="77777777" w:rsidTr="0086722C">
        <w:trPr>
          <w:trHeight w:val="192"/>
          <w:jc w:val="center"/>
        </w:trPr>
        <w:tc>
          <w:tcPr>
            <w:tcW w:w="3954" w:type="dxa"/>
            <w:gridSpan w:val="3"/>
            <w:tcBorders>
              <w:top w:val="nil"/>
              <w:left w:val="nil"/>
              <w:bottom w:val="nil"/>
              <w:right w:val="nil"/>
            </w:tcBorders>
            <w:vAlign w:val="bottom"/>
          </w:tcPr>
          <w:p w14:paraId="7FDF2384"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Idiosyncratic random</w:t>
            </w:r>
          </w:p>
        </w:tc>
        <w:tc>
          <w:tcPr>
            <w:tcW w:w="1104" w:type="dxa"/>
            <w:tcBorders>
              <w:top w:val="nil"/>
              <w:left w:val="nil"/>
              <w:bottom w:val="nil"/>
              <w:right w:val="nil"/>
            </w:tcBorders>
            <w:vAlign w:val="bottom"/>
          </w:tcPr>
          <w:p w14:paraId="2E62853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1.34E+12</w:t>
            </w:r>
          </w:p>
        </w:tc>
        <w:tc>
          <w:tcPr>
            <w:tcW w:w="912" w:type="dxa"/>
            <w:tcBorders>
              <w:top w:val="nil"/>
              <w:left w:val="nil"/>
              <w:bottom w:val="nil"/>
              <w:right w:val="nil"/>
            </w:tcBorders>
            <w:vAlign w:val="bottom"/>
          </w:tcPr>
          <w:p w14:paraId="149DC8BB"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1.0000</w:t>
            </w:r>
          </w:p>
        </w:tc>
      </w:tr>
      <w:tr w:rsidR="0086722C" w:rsidRPr="0086722C" w14:paraId="65D99C18" w14:textId="77777777" w:rsidTr="0086722C">
        <w:trPr>
          <w:trHeight w:hRule="exact" w:val="76"/>
          <w:jc w:val="center"/>
        </w:trPr>
        <w:tc>
          <w:tcPr>
            <w:tcW w:w="1842" w:type="dxa"/>
            <w:tcBorders>
              <w:top w:val="nil"/>
              <w:left w:val="nil"/>
              <w:bottom w:val="double" w:sz="6" w:space="2" w:color="auto"/>
              <w:right w:val="nil"/>
            </w:tcBorders>
            <w:vAlign w:val="bottom"/>
          </w:tcPr>
          <w:p w14:paraId="6A8E57CE"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71CB5B3D"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21783876"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1C1ABFBE"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493A8A54" w14:textId="77777777" w:rsidR="0086722C" w:rsidRPr="0086722C" w:rsidRDefault="0086722C" w:rsidP="007E02F0">
            <w:pPr>
              <w:spacing w:line="276" w:lineRule="auto"/>
              <w:rPr>
                <w:rFonts w:ascii="Arial" w:hAnsi="Arial" w:cs="Arial"/>
                <w:lang w:eastAsia="en-ID"/>
              </w:rPr>
            </w:pPr>
          </w:p>
        </w:tc>
      </w:tr>
      <w:tr w:rsidR="0086722C" w:rsidRPr="0086722C" w14:paraId="72CCD735" w14:textId="77777777" w:rsidTr="0086722C">
        <w:trPr>
          <w:trHeight w:hRule="exact" w:val="115"/>
          <w:jc w:val="center"/>
        </w:trPr>
        <w:tc>
          <w:tcPr>
            <w:tcW w:w="1842" w:type="dxa"/>
            <w:tcBorders>
              <w:top w:val="nil"/>
              <w:left w:val="nil"/>
              <w:bottom w:val="nil"/>
              <w:right w:val="nil"/>
            </w:tcBorders>
            <w:vAlign w:val="bottom"/>
          </w:tcPr>
          <w:p w14:paraId="68462DEA"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675C6B1B"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5F85E9BC"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2F64C5F6"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480B4116" w14:textId="77777777" w:rsidR="0086722C" w:rsidRPr="0086722C" w:rsidRDefault="0086722C" w:rsidP="007E02F0">
            <w:pPr>
              <w:spacing w:line="276" w:lineRule="auto"/>
              <w:rPr>
                <w:rFonts w:ascii="Arial" w:hAnsi="Arial" w:cs="Arial"/>
                <w:lang w:eastAsia="en-ID"/>
              </w:rPr>
            </w:pPr>
          </w:p>
        </w:tc>
      </w:tr>
      <w:tr w:rsidR="0086722C" w:rsidRPr="0086722C" w14:paraId="79067726" w14:textId="77777777" w:rsidTr="0086722C">
        <w:trPr>
          <w:trHeight w:val="192"/>
          <w:jc w:val="center"/>
        </w:trPr>
        <w:tc>
          <w:tcPr>
            <w:tcW w:w="1842" w:type="dxa"/>
            <w:tcBorders>
              <w:top w:val="nil"/>
              <w:left w:val="nil"/>
              <w:bottom w:val="nil"/>
              <w:right w:val="nil"/>
            </w:tcBorders>
            <w:vAlign w:val="bottom"/>
          </w:tcPr>
          <w:p w14:paraId="376913E0" w14:textId="77777777" w:rsidR="0086722C" w:rsidRPr="0086722C" w:rsidRDefault="0086722C" w:rsidP="007E02F0">
            <w:pPr>
              <w:spacing w:line="276" w:lineRule="auto"/>
              <w:rPr>
                <w:rFonts w:ascii="Arial" w:hAnsi="Arial" w:cs="Arial"/>
                <w:lang w:eastAsia="en-ID"/>
              </w:rPr>
            </w:pPr>
          </w:p>
        </w:tc>
        <w:tc>
          <w:tcPr>
            <w:tcW w:w="2112" w:type="dxa"/>
            <w:gridSpan w:val="2"/>
            <w:tcBorders>
              <w:top w:val="nil"/>
              <w:left w:val="nil"/>
              <w:bottom w:val="nil"/>
              <w:right w:val="nil"/>
            </w:tcBorders>
            <w:vAlign w:val="bottom"/>
          </w:tcPr>
          <w:p w14:paraId="552C498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Weighted Statistics</w:t>
            </w:r>
          </w:p>
        </w:tc>
        <w:tc>
          <w:tcPr>
            <w:tcW w:w="1104" w:type="dxa"/>
            <w:tcBorders>
              <w:top w:val="nil"/>
              <w:left w:val="nil"/>
              <w:bottom w:val="nil"/>
              <w:right w:val="nil"/>
            </w:tcBorders>
            <w:vAlign w:val="bottom"/>
          </w:tcPr>
          <w:p w14:paraId="1F0D68A8"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6074B9BD" w14:textId="77777777" w:rsidR="0086722C" w:rsidRPr="0086722C" w:rsidRDefault="0086722C" w:rsidP="007E02F0">
            <w:pPr>
              <w:spacing w:line="276" w:lineRule="auto"/>
              <w:rPr>
                <w:rFonts w:ascii="Arial" w:hAnsi="Arial" w:cs="Arial"/>
                <w:lang w:eastAsia="en-ID"/>
              </w:rPr>
            </w:pPr>
          </w:p>
        </w:tc>
      </w:tr>
      <w:tr w:rsidR="0086722C" w:rsidRPr="0086722C" w14:paraId="4D3851C1" w14:textId="77777777" w:rsidTr="0086722C">
        <w:trPr>
          <w:trHeight w:hRule="exact" w:val="76"/>
          <w:jc w:val="center"/>
        </w:trPr>
        <w:tc>
          <w:tcPr>
            <w:tcW w:w="1842" w:type="dxa"/>
            <w:tcBorders>
              <w:top w:val="nil"/>
              <w:left w:val="nil"/>
              <w:bottom w:val="double" w:sz="6" w:space="2" w:color="auto"/>
              <w:right w:val="nil"/>
            </w:tcBorders>
            <w:vAlign w:val="bottom"/>
          </w:tcPr>
          <w:p w14:paraId="0815F7CD"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4DD024DA"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45228D9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599DF3BA"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1B9C10AC" w14:textId="77777777" w:rsidR="0086722C" w:rsidRPr="0086722C" w:rsidRDefault="0086722C" w:rsidP="007E02F0">
            <w:pPr>
              <w:spacing w:line="276" w:lineRule="auto"/>
              <w:rPr>
                <w:rFonts w:ascii="Arial" w:hAnsi="Arial" w:cs="Arial"/>
                <w:lang w:eastAsia="en-ID"/>
              </w:rPr>
            </w:pPr>
          </w:p>
        </w:tc>
      </w:tr>
      <w:tr w:rsidR="0086722C" w:rsidRPr="0086722C" w14:paraId="67A63155" w14:textId="77777777" w:rsidTr="0086722C">
        <w:trPr>
          <w:trHeight w:hRule="exact" w:val="115"/>
          <w:jc w:val="center"/>
        </w:trPr>
        <w:tc>
          <w:tcPr>
            <w:tcW w:w="1842" w:type="dxa"/>
            <w:tcBorders>
              <w:top w:val="nil"/>
              <w:left w:val="nil"/>
              <w:bottom w:val="nil"/>
              <w:right w:val="nil"/>
            </w:tcBorders>
            <w:vAlign w:val="bottom"/>
          </w:tcPr>
          <w:p w14:paraId="04A52698"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4EC641A7"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26D1727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4C2228E9"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55884404" w14:textId="77777777" w:rsidR="0086722C" w:rsidRPr="0086722C" w:rsidRDefault="0086722C" w:rsidP="007E02F0">
            <w:pPr>
              <w:spacing w:line="276" w:lineRule="auto"/>
              <w:rPr>
                <w:rFonts w:ascii="Arial" w:hAnsi="Arial" w:cs="Arial"/>
                <w:lang w:eastAsia="en-ID"/>
              </w:rPr>
            </w:pPr>
          </w:p>
        </w:tc>
      </w:tr>
      <w:tr w:rsidR="0086722C" w:rsidRPr="0086722C" w14:paraId="6AD0D8CA" w14:textId="77777777" w:rsidTr="0086722C">
        <w:trPr>
          <w:trHeight w:val="192"/>
          <w:jc w:val="center"/>
        </w:trPr>
        <w:tc>
          <w:tcPr>
            <w:tcW w:w="1842" w:type="dxa"/>
            <w:tcBorders>
              <w:top w:val="nil"/>
              <w:left w:val="nil"/>
              <w:bottom w:val="nil"/>
              <w:right w:val="nil"/>
            </w:tcBorders>
            <w:vAlign w:val="bottom"/>
          </w:tcPr>
          <w:p w14:paraId="6DBF689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R-squared</w:t>
            </w:r>
          </w:p>
        </w:tc>
        <w:tc>
          <w:tcPr>
            <w:tcW w:w="1008" w:type="dxa"/>
            <w:tcBorders>
              <w:top w:val="nil"/>
              <w:left w:val="nil"/>
              <w:bottom w:val="nil"/>
              <w:right w:val="nil"/>
            </w:tcBorders>
            <w:vAlign w:val="bottom"/>
          </w:tcPr>
          <w:p w14:paraId="631C331C"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0.999961</w:t>
            </w:r>
          </w:p>
        </w:tc>
        <w:tc>
          <w:tcPr>
            <w:tcW w:w="2208" w:type="dxa"/>
            <w:gridSpan w:val="2"/>
            <w:tcBorders>
              <w:top w:val="nil"/>
              <w:left w:val="nil"/>
              <w:bottom w:val="nil"/>
              <w:right w:val="nil"/>
            </w:tcBorders>
            <w:vAlign w:val="bottom"/>
          </w:tcPr>
          <w:p w14:paraId="4BE1934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Mean dependent var</w:t>
            </w:r>
          </w:p>
        </w:tc>
        <w:tc>
          <w:tcPr>
            <w:tcW w:w="912" w:type="dxa"/>
            <w:tcBorders>
              <w:top w:val="nil"/>
              <w:left w:val="nil"/>
              <w:bottom w:val="nil"/>
              <w:right w:val="nil"/>
            </w:tcBorders>
            <w:vAlign w:val="bottom"/>
          </w:tcPr>
          <w:p w14:paraId="27DD2B3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-3.96E+12</w:t>
            </w:r>
          </w:p>
        </w:tc>
      </w:tr>
      <w:tr w:rsidR="0086722C" w:rsidRPr="0086722C" w14:paraId="588DDD58" w14:textId="77777777" w:rsidTr="0086722C">
        <w:trPr>
          <w:trHeight w:val="192"/>
          <w:jc w:val="center"/>
        </w:trPr>
        <w:tc>
          <w:tcPr>
            <w:tcW w:w="1842" w:type="dxa"/>
            <w:tcBorders>
              <w:top w:val="nil"/>
              <w:left w:val="nil"/>
              <w:bottom w:val="nil"/>
              <w:right w:val="nil"/>
            </w:tcBorders>
            <w:vAlign w:val="bottom"/>
          </w:tcPr>
          <w:p w14:paraId="6919B37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Adjusted R-squared</w:t>
            </w:r>
          </w:p>
        </w:tc>
        <w:tc>
          <w:tcPr>
            <w:tcW w:w="1008" w:type="dxa"/>
            <w:tcBorders>
              <w:top w:val="nil"/>
              <w:left w:val="nil"/>
              <w:bottom w:val="nil"/>
              <w:right w:val="nil"/>
            </w:tcBorders>
            <w:vAlign w:val="bottom"/>
          </w:tcPr>
          <w:p w14:paraId="1A06E6A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0.999961</w:t>
            </w:r>
          </w:p>
        </w:tc>
        <w:tc>
          <w:tcPr>
            <w:tcW w:w="2208" w:type="dxa"/>
            <w:gridSpan w:val="2"/>
            <w:tcBorders>
              <w:top w:val="nil"/>
              <w:left w:val="nil"/>
              <w:bottom w:val="nil"/>
              <w:right w:val="nil"/>
            </w:tcBorders>
            <w:vAlign w:val="bottom"/>
          </w:tcPr>
          <w:p w14:paraId="15CA4E6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S.D. dependent var</w:t>
            </w:r>
          </w:p>
        </w:tc>
        <w:tc>
          <w:tcPr>
            <w:tcW w:w="912" w:type="dxa"/>
            <w:tcBorders>
              <w:top w:val="nil"/>
              <w:left w:val="nil"/>
              <w:bottom w:val="nil"/>
              <w:right w:val="nil"/>
            </w:tcBorders>
            <w:vAlign w:val="bottom"/>
          </w:tcPr>
          <w:p w14:paraId="0D2ED42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2.08E+14</w:t>
            </w:r>
          </w:p>
        </w:tc>
      </w:tr>
      <w:tr w:rsidR="0086722C" w:rsidRPr="0086722C" w14:paraId="1B4D029C" w14:textId="77777777" w:rsidTr="0086722C">
        <w:trPr>
          <w:trHeight w:val="192"/>
          <w:jc w:val="center"/>
        </w:trPr>
        <w:tc>
          <w:tcPr>
            <w:tcW w:w="1842" w:type="dxa"/>
            <w:tcBorders>
              <w:top w:val="nil"/>
              <w:left w:val="nil"/>
              <w:bottom w:val="nil"/>
              <w:right w:val="nil"/>
            </w:tcBorders>
            <w:vAlign w:val="bottom"/>
          </w:tcPr>
          <w:p w14:paraId="5571588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S.E. of regression</w:t>
            </w:r>
          </w:p>
        </w:tc>
        <w:tc>
          <w:tcPr>
            <w:tcW w:w="1008" w:type="dxa"/>
            <w:tcBorders>
              <w:top w:val="nil"/>
              <w:left w:val="nil"/>
              <w:bottom w:val="nil"/>
              <w:right w:val="nil"/>
            </w:tcBorders>
            <w:vAlign w:val="bottom"/>
          </w:tcPr>
          <w:p w14:paraId="785D170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1.31E+12</w:t>
            </w:r>
          </w:p>
        </w:tc>
        <w:tc>
          <w:tcPr>
            <w:tcW w:w="2208" w:type="dxa"/>
            <w:gridSpan w:val="2"/>
            <w:tcBorders>
              <w:top w:val="nil"/>
              <w:left w:val="nil"/>
              <w:bottom w:val="nil"/>
              <w:right w:val="nil"/>
            </w:tcBorders>
            <w:vAlign w:val="bottom"/>
          </w:tcPr>
          <w:p w14:paraId="2649D41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Sum squared resid</w:t>
            </w:r>
          </w:p>
        </w:tc>
        <w:tc>
          <w:tcPr>
            <w:tcW w:w="912" w:type="dxa"/>
            <w:tcBorders>
              <w:top w:val="nil"/>
              <w:left w:val="nil"/>
              <w:bottom w:val="nil"/>
              <w:right w:val="nil"/>
            </w:tcBorders>
            <w:vAlign w:val="bottom"/>
          </w:tcPr>
          <w:p w14:paraId="795A612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4.70E+27</w:t>
            </w:r>
          </w:p>
        </w:tc>
      </w:tr>
      <w:tr w:rsidR="0086722C" w:rsidRPr="0086722C" w14:paraId="6DA5F3D1" w14:textId="77777777" w:rsidTr="0086722C">
        <w:trPr>
          <w:trHeight w:val="192"/>
          <w:jc w:val="center"/>
        </w:trPr>
        <w:tc>
          <w:tcPr>
            <w:tcW w:w="1842" w:type="dxa"/>
            <w:tcBorders>
              <w:top w:val="nil"/>
              <w:left w:val="nil"/>
              <w:bottom w:val="nil"/>
              <w:right w:val="nil"/>
            </w:tcBorders>
            <w:vAlign w:val="bottom"/>
          </w:tcPr>
          <w:p w14:paraId="7469E96B"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F-statistic</w:t>
            </w:r>
          </w:p>
        </w:tc>
        <w:tc>
          <w:tcPr>
            <w:tcW w:w="1008" w:type="dxa"/>
            <w:tcBorders>
              <w:top w:val="nil"/>
              <w:left w:val="nil"/>
              <w:bottom w:val="nil"/>
              <w:right w:val="nil"/>
            </w:tcBorders>
            <w:vAlign w:val="bottom"/>
          </w:tcPr>
          <w:p w14:paraId="1E2CAA6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23393502</w:t>
            </w:r>
          </w:p>
        </w:tc>
        <w:tc>
          <w:tcPr>
            <w:tcW w:w="2208" w:type="dxa"/>
            <w:gridSpan w:val="2"/>
            <w:tcBorders>
              <w:top w:val="nil"/>
              <w:left w:val="nil"/>
              <w:bottom w:val="nil"/>
              <w:right w:val="nil"/>
            </w:tcBorders>
            <w:vAlign w:val="bottom"/>
          </w:tcPr>
          <w:p w14:paraId="3292071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Durbin-Watson stat</w:t>
            </w:r>
          </w:p>
        </w:tc>
        <w:tc>
          <w:tcPr>
            <w:tcW w:w="912" w:type="dxa"/>
            <w:tcBorders>
              <w:top w:val="nil"/>
              <w:left w:val="nil"/>
              <w:bottom w:val="nil"/>
              <w:right w:val="nil"/>
            </w:tcBorders>
            <w:vAlign w:val="bottom"/>
          </w:tcPr>
          <w:p w14:paraId="2725BBE4"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0.843711</w:t>
            </w:r>
          </w:p>
        </w:tc>
      </w:tr>
      <w:tr w:rsidR="0086722C" w:rsidRPr="0086722C" w14:paraId="6590237F" w14:textId="77777777" w:rsidTr="0086722C">
        <w:trPr>
          <w:trHeight w:val="192"/>
          <w:jc w:val="center"/>
        </w:trPr>
        <w:tc>
          <w:tcPr>
            <w:tcW w:w="1842" w:type="dxa"/>
            <w:tcBorders>
              <w:top w:val="nil"/>
              <w:left w:val="nil"/>
              <w:bottom w:val="nil"/>
              <w:right w:val="nil"/>
            </w:tcBorders>
            <w:vAlign w:val="bottom"/>
          </w:tcPr>
          <w:p w14:paraId="1287788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lastRenderedPageBreak/>
              <w:t>Prob(F-statistic)</w:t>
            </w:r>
          </w:p>
        </w:tc>
        <w:tc>
          <w:tcPr>
            <w:tcW w:w="1008" w:type="dxa"/>
            <w:tcBorders>
              <w:top w:val="nil"/>
              <w:left w:val="nil"/>
              <w:bottom w:val="nil"/>
              <w:right w:val="nil"/>
            </w:tcBorders>
            <w:vAlign w:val="bottom"/>
          </w:tcPr>
          <w:p w14:paraId="7227F0E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0.000000</w:t>
            </w:r>
          </w:p>
        </w:tc>
        <w:tc>
          <w:tcPr>
            <w:tcW w:w="1104" w:type="dxa"/>
            <w:tcBorders>
              <w:top w:val="nil"/>
              <w:left w:val="nil"/>
              <w:bottom w:val="nil"/>
              <w:right w:val="nil"/>
            </w:tcBorders>
            <w:vAlign w:val="bottom"/>
          </w:tcPr>
          <w:p w14:paraId="0152365A"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49FBB931"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58FC63DE" w14:textId="77777777" w:rsidR="0086722C" w:rsidRPr="0086722C" w:rsidRDefault="0086722C" w:rsidP="007E02F0">
            <w:pPr>
              <w:spacing w:line="276" w:lineRule="auto"/>
              <w:rPr>
                <w:rFonts w:ascii="Arial" w:hAnsi="Arial" w:cs="Arial"/>
                <w:lang w:eastAsia="en-ID"/>
              </w:rPr>
            </w:pPr>
          </w:p>
        </w:tc>
      </w:tr>
      <w:tr w:rsidR="0086722C" w:rsidRPr="0086722C" w14:paraId="44BA783A" w14:textId="77777777" w:rsidTr="0086722C">
        <w:trPr>
          <w:trHeight w:hRule="exact" w:val="76"/>
          <w:jc w:val="center"/>
        </w:trPr>
        <w:tc>
          <w:tcPr>
            <w:tcW w:w="1842" w:type="dxa"/>
            <w:tcBorders>
              <w:top w:val="nil"/>
              <w:left w:val="nil"/>
              <w:bottom w:val="double" w:sz="6" w:space="2" w:color="auto"/>
              <w:right w:val="nil"/>
            </w:tcBorders>
            <w:vAlign w:val="bottom"/>
          </w:tcPr>
          <w:p w14:paraId="65AEB5E5"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7A850E9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5D8CE4F5"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013876D4"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6E33651A" w14:textId="77777777" w:rsidR="0086722C" w:rsidRPr="0086722C" w:rsidRDefault="0086722C" w:rsidP="007E02F0">
            <w:pPr>
              <w:spacing w:line="276" w:lineRule="auto"/>
              <w:rPr>
                <w:rFonts w:ascii="Arial" w:hAnsi="Arial" w:cs="Arial"/>
                <w:lang w:eastAsia="en-ID"/>
              </w:rPr>
            </w:pPr>
          </w:p>
        </w:tc>
      </w:tr>
      <w:tr w:rsidR="0086722C" w:rsidRPr="0086722C" w14:paraId="2BB26240" w14:textId="77777777" w:rsidTr="0086722C">
        <w:trPr>
          <w:trHeight w:hRule="exact" w:val="115"/>
          <w:jc w:val="center"/>
        </w:trPr>
        <w:tc>
          <w:tcPr>
            <w:tcW w:w="1842" w:type="dxa"/>
            <w:tcBorders>
              <w:top w:val="nil"/>
              <w:left w:val="nil"/>
              <w:bottom w:val="nil"/>
              <w:right w:val="nil"/>
            </w:tcBorders>
            <w:vAlign w:val="bottom"/>
          </w:tcPr>
          <w:p w14:paraId="40A33019"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4F78FF8E"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6FF0C79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032515D8"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40C39EDD" w14:textId="77777777" w:rsidR="0086722C" w:rsidRPr="0086722C" w:rsidRDefault="0086722C" w:rsidP="007E02F0">
            <w:pPr>
              <w:spacing w:line="276" w:lineRule="auto"/>
              <w:rPr>
                <w:rFonts w:ascii="Arial" w:hAnsi="Arial" w:cs="Arial"/>
                <w:lang w:eastAsia="en-ID"/>
              </w:rPr>
            </w:pPr>
          </w:p>
        </w:tc>
      </w:tr>
      <w:tr w:rsidR="0086722C" w:rsidRPr="0086722C" w14:paraId="577DA8A8" w14:textId="77777777" w:rsidTr="0086722C">
        <w:trPr>
          <w:trHeight w:val="192"/>
          <w:jc w:val="center"/>
        </w:trPr>
        <w:tc>
          <w:tcPr>
            <w:tcW w:w="1842" w:type="dxa"/>
            <w:tcBorders>
              <w:top w:val="nil"/>
              <w:left w:val="nil"/>
              <w:bottom w:val="nil"/>
              <w:right w:val="nil"/>
            </w:tcBorders>
            <w:vAlign w:val="bottom"/>
          </w:tcPr>
          <w:p w14:paraId="756FF32F" w14:textId="77777777" w:rsidR="0086722C" w:rsidRPr="0086722C" w:rsidRDefault="0086722C" w:rsidP="007E02F0">
            <w:pPr>
              <w:spacing w:line="276" w:lineRule="auto"/>
              <w:rPr>
                <w:rFonts w:ascii="Arial" w:hAnsi="Arial" w:cs="Arial"/>
                <w:lang w:eastAsia="en-ID"/>
              </w:rPr>
            </w:pPr>
          </w:p>
        </w:tc>
        <w:tc>
          <w:tcPr>
            <w:tcW w:w="2112" w:type="dxa"/>
            <w:gridSpan w:val="2"/>
            <w:tcBorders>
              <w:top w:val="nil"/>
              <w:left w:val="nil"/>
              <w:bottom w:val="nil"/>
              <w:right w:val="nil"/>
            </w:tcBorders>
            <w:vAlign w:val="bottom"/>
          </w:tcPr>
          <w:p w14:paraId="62D14C4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Unweighted Statistics</w:t>
            </w:r>
          </w:p>
        </w:tc>
        <w:tc>
          <w:tcPr>
            <w:tcW w:w="1104" w:type="dxa"/>
            <w:tcBorders>
              <w:top w:val="nil"/>
              <w:left w:val="nil"/>
              <w:bottom w:val="nil"/>
              <w:right w:val="nil"/>
            </w:tcBorders>
            <w:vAlign w:val="bottom"/>
          </w:tcPr>
          <w:p w14:paraId="126849E4"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45E75A3D" w14:textId="77777777" w:rsidR="0086722C" w:rsidRPr="0086722C" w:rsidRDefault="0086722C" w:rsidP="007E02F0">
            <w:pPr>
              <w:spacing w:line="276" w:lineRule="auto"/>
              <w:rPr>
                <w:rFonts w:ascii="Arial" w:hAnsi="Arial" w:cs="Arial"/>
                <w:lang w:eastAsia="en-ID"/>
              </w:rPr>
            </w:pPr>
          </w:p>
        </w:tc>
      </w:tr>
      <w:tr w:rsidR="0086722C" w:rsidRPr="0086722C" w14:paraId="04B47CE5" w14:textId="77777777" w:rsidTr="0086722C">
        <w:trPr>
          <w:trHeight w:hRule="exact" w:val="76"/>
          <w:jc w:val="center"/>
        </w:trPr>
        <w:tc>
          <w:tcPr>
            <w:tcW w:w="1842" w:type="dxa"/>
            <w:tcBorders>
              <w:top w:val="nil"/>
              <w:left w:val="nil"/>
              <w:bottom w:val="double" w:sz="6" w:space="2" w:color="auto"/>
              <w:right w:val="nil"/>
            </w:tcBorders>
            <w:vAlign w:val="bottom"/>
          </w:tcPr>
          <w:p w14:paraId="0ABC0E59"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6B7F3396"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09EAF7BC"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162E8CB0"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12D807EB" w14:textId="77777777" w:rsidR="0086722C" w:rsidRPr="0086722C" w:rsidRDefault="0086722C" w:rsidP="007E02F0">
            <w:pPr>
              <w:spacing w:line="276" w:lineRule="auto"/>
              <w:rPr>
                <w:rFonts w:ascii="Arial" w:hAnsi="Arial" w:cs="Arial"/>
                <w:lang w:eastAsia="en-ID"/>
              </w:rPr>
            </w:pPr>
          </w:p>
        </w:tc>
      </w:tr>
      <w:tr w:rsidR="0086722C" w:rsidRPr="0086722C" w14:paraId="189148D5" w14:textId="77777777" w:rsidTr="0086722C">
        <w:trPr>
          <w:trHeight w:hRule="exact" w:val="115"/>
          <w:jc w:val="center"/>
        </w:trPr>
        <w:tc>
          <w:tcPr>
            <w:tcW w:w="1842" w:type="dxa"/>
            <w:tcBorders>
              <w:top w:val="nil"/>
              <w:left w:val="nil"/>
              <w:bottom w:val="nil"/>
              <w:right w:val="nil"/>
            </w:tcBorders>
            <w:vAlign w:val="bottom"/>
          </w:tcPr>
          <w:p w14:paraId="1B280B5A"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6A482AF9"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6DA583E5"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01C1E88C"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0702FC2F" w14:textId="77777777" w:rsidR="0086722C" w:rsidRPr="0086722C" w:rsidRDefault="0086722C" w:rsidP="007E02F0">
            <w:pPr>
              <w:spacing w:line="276" w:lineRule="auto"/>
              <w:rPr>
                <w:rFonts w:ascii="Arial" w:hAnsi="Arial" w:cs="Arial"/>
                <w:lang w:eastAsia="en-ID"/>
              </w:rPr>
            </w:pPr>
          </w:p>
        </w:tc>
      </w:tr>
      <w:tr w:rsidR="0086722C" w:rsidRPr="0086722C" w14:paraId="28BCA804" w14:textId="77777777" w:rsidTr="0086722C">
        <w:trPr>
          <w:trHeight w:val="192"/>
          <w:jc w:val="center"/>
        </w:trPr>
        <w:tc>
          <w:tcPr>
            <w:tcW w:w="1842" w:type="dxa"/>
            <w:tcBorders>
              <w:top w:val="nil"/>
              <w:left w:val="nil"/>
              <w:bottom w:val="nil"/>
              <w:right w:val="nil"/>
            </w:tcBorders>
            <w:vAlign w:val="bottom"/>
          </w:tcPr>
          <w:p w14:paraId="18A3CEDE"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R-squared</w:t>
            </w:r>
          </w:p>
        </w:tc>
        <w:tc>
          <w:tcPr>
            <w:tcW w:w="1008" w:type="dxa"/>
            <w:tcBorders>
              <w:top w:val="nil"/>
              <w:left w:val="nil"/>
              <w:bottom w:val="nil"/>
              <w:right w:val="nil"/>
            </w:tcBorders>
            <w:vAlign w:val="bottom"/>
          </w:tcPr>
          <w:p w14:paraId="5F43C76B"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0.999961</w:t>
            </w:r>
          </w:p>
        </w:tc>
        <w:tc>
          <w:tcPr>
            <w:tcW w:w="2208" w:type="dxa"/>
            <w:gridSpan w:val="2"/>
            <w:tcBorders>
              <w:top w:val="nil"/>
              <w:left w:val="nil"/>
              <w:bottom w:val="nil"/>
              <w:right w:val="nil"/>
            </w:tcBorders>
            <w:vAlign w:val="bottom"/>
          </w:tcPr>
          <w:p w14:paraId="46462ED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Mean dependent var</w:t>
            </w:r>
          </w:p>
        </w:tc>
        <w:tc>
          <w:tcPr>
            <w:tcW w:w="912" w:type="dxa"/>
            <w:tcBorders>
              <w:top w:val="nil"/>
              <w:left w:val="nil"/>
              <w:bottom w:val="nil"/>
              <w:right w:val="nil"/>
            </w:tcBorders>
            <w:vAlign w:val="bottom"/>
          </w:tcPr>
          <w:p w14:paraId="0D80FED3"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-3.96E+12</w:t>
            </w:r>
          </w:p>
        </w:tc>
      </w:tr>
      <w:tr w:rsidR="0086722C" w:rsidRPr="0086722C" w14:paraId="4FCA6FB8" w14:textId="77777777" w:rsidTr="0086722C">
        <w:trPr>
          <w:trHeight w:val="192"/>
          <w:jc w:val="center"/>
        </w:trPr>
        <w:tc>
          <w:tcPr>
            <w:tcW w:w="1842" w:type="dxa"/>
            <w:tcBorders>
              <w:top w:val="nil"/>
              <w:left w:val="nil"/>
              <w:bottom w:val="nil"/>
              <w:right w:val="nil"/>
            </w:tcBorders>
            <w:vAlign w:val="bottom"/>
          </w:tcPr>
          <w:p w14:paraId="6886603E"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Sum squared resid</w:t>
            </w:r>
          </w:p>
        </w:tc>
        <w:tc>
          <w:tcPr>
            <w:tcW w:w="1008" w:type="dxa"/>
            <w:tcBorders>
              <w:top w:val="nil"/>
              <w:left w:val="nil"/>
              <w:bottom w:val="nil"/>
              <w:right w:val="nil"/>
            </w:tcBorders>
            <w:vAlign w:val="bottom"/>
          </w:tcPr>
          <w:p w14:paraId="06270C9C"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4.70E+27</w:t>
            </w:r>
          </w:p>
        </w:tc>
        <w:tc>
          <w:tcPr>
            <w:tcW w:w="2208" w:type="dxa"/>
            <w:gridSpan w:val="2"/>
            <w:tcBorders>
              <w:top w:val="nil"/>
              <w:left w:val="nil"/>
              <w:bottom w:val="nil"/>
              <w:right w:val="nil"/>
            </w:tcBorders>
            <w:vAlign w:val="bottom"/>
          </w:tcPr>
          <w:p w14:paraId="231B673C"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Durbin-Watson stat</w:t>
            </w:r>
          </w:p>
        </w:tc>
        <w:tc>
          <w:tcPr>
            <w:tcW w:w="912" w:type="dxa"/>
            <w:tcBorders>
              <w:top w:val="nil"/>
              <w:left w:val="nil"/>
              <w:bottom w:val="nil"/>
              <w:right w:val="nil"/>
            </w:tcBorders>
            <w:vAlign w:val="bottom"/>
          </w:tcPr>
          <w:p w14:paraId="6D5422D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0.843711</w:t>
            </w:r>
          </w:p>
        </w:tc>
      </w:tr>
      <w:tr w:rsidR="0086722C" w:rsidRPr="0086722C" w14:paraId="7DC01031" w14:textId="77777777" w:rsidTr="0086722C">
        <w:trPr>
          <w:trHeight w:hRule="exact" w:val="76"/>
          <w:jc w:val="center"/>
        </w:trPr>
        <w:tc>
          <w:tcPr>
            <w:tcW w:w="1842" w:type="dxa"/>
            <w:tcBorders>
              <w:top w:val="nil"/>
              <w:left w:val="nil"/>
              <w:bottom w:val="double" w:sz="6" w:space="0" w:color="auto"/>
              <w:right w:val="nil"/>
            </w:tcBorders>
            <w:vAlign w:val="bottom"/>
          </w:tcPr>
          <w:p w14:paraId="242CD45D"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0" w:color="auto"/>
              <w:right w:val="nil"/>
            </w:tcBorders>
            <w:vAlign w:val="bottom"/>
          </w:tcPr>
          <w:p w14:paraId="66DBCA8D"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0" w:color="auto"/>
              <w:right w:val="nil"/>
            </w:tcBorders>
            <w:vAlign w:val="bottom"/>
          </w:tcPr>
          <w:p w14:paraId="18F66A1A"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0" w:color="auto"/>
              <w:right w:val="nil"/>
            </w:tcBorders>
            <w:vAlign w:val="bottom"/>
          </w:tcPr>
          <w:p w14:paraId="405129FB"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0" w:color="auto"/>
              <w:right w:val="nil"/>
            </w:tcBorders>
            <w:vAlign w:val="bottom"/>
          </w:tcPr>
          <w:p w14:paraId="04C4676A" w14:textId="77777777" w:rsidR="0086722C" w:rsidRPr="0086722C" w:rsidRDefault="0086722C" w:rsidP="007E02F0">
            <w:pPr>
              <w:spacing w:line="276" w:lineRule="auto"/>
              <w:rPr>
                <w:rFonts w:ascii="Arial" w:hAnsi="Arial" w:cs="Arial"/>
                <w:lang w:eastAsia="en-ID"/>
              </w:rPr>
            </w:pPr>
          </w:p>
        </w:tc>
      </w:tr>
      <w:tr w:rsidR="0086722C" w:rsidRPr="0086722C" w14:paraId="676117BA" w14:textId="77777777" w:rsidTr="0086722C">
        <w:trPr>
          <w:trHeight w:hRule="exact" w:val="115"/>
          <w:jc w:val="center"/>
        </w:trPr>
        <w:tc>
          <w:tcPr>
            <w:tcW w:w="1842" w:type="dxa"/>
            <w:tcBorders>
              <w:top w:val="nil"/>
              <w:left w:val="nil"/>
              <w:bottom w:val="nil"/>
              <w:right w:val="nil"/>
            </w:tcBorders>
            <w:vAlign w:val="bottom"/>
          </w:tcPr>
          <w:p w14:paraId="4C3A1AF7"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6C29569C"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08EC998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77CBB23A"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5C814C83" w14:textId="77777777" w:rsidR="0086722C" w:rsidRPr="0086722C" w:rsidRDefault="0086722C" w:rsidP="007E02F0">
            <w:pPr>
              <w:spacing w:line="276" w:lineRule="auto"/>
              <w:rPr>
                <w:rFonts w:ascii="Arial" w:hAnsi="Arial" w:cs="Arial"/>
                <w:lang w:eastAsia="en-ID"/>
              </w:rPr>
            </w:pPr>
          </w:p>
        </w:tc>
      </w:tr>
      <w:bookmarkEnd w:id="1"/>
    </w:tbl>
    <w:p w14:paraId="1DB6996F" w14:textId="77777777" w:rsidR="00376BBE" w:rsidRDefault="00376BBE" w:rsidP="0086722C">
      <w:pPr>
        <w:pStyle w:val="Body"/>
        <w:spacing w:after="0"/>
        <w:jc w:val="center"/>
        <w:rPr>
          <w:rFonts w:ascii="Arial" w:hAnsi="Arial" w:cs="Arial"/>
        </w:rPr>
      </w:pPr>
    </w:p>
    <w:p w14:paraId="60066E36" w14:textId="3B9555CC" w:rsidR="0086722C" w:rsidRDefault="0086722C" w:rsidP="0086722C">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Discussion</w:t>
      </w:r>
      <w:r w:rsidRPr="00C30A0F">
        <w:rPr>
          <w:rFonts w:ascii="Arial" w:hAnsi="Arial" w:cs="Arial"/>
          <w:b/>
          <w:sz w:val="22"/>
        </w:rPr>
        <w:t xml:space="preserve"> </w:t>
      </w:r>
    </w:p>
    <w:p w14:paraId="67A5C702" w14:textId="77777777" w:rsidR="0086722C" w:rsidRDefault="0086722C" w:rsidP="0086722C">
      <w:pPr>
        <w:pStyle w:val="Body"/>
        <w:spacing w:after="0"/>
        <w:rPr>
          <w:rFonts w:ascii="Arial" w:hAnsi="Arial" w:cs="Arial"/>
          <w:b/>
          <w:bCs/>
          <w:u w:val="single"/>
        </w:rPr>
      </w:pPr>
      <w:r>
        <w:rPr>
          <w:rFonts w:ascii="Arial" w:hAnsi="Arial" w:cs="Arial"/>
          <w:b/>
          <w:u w:val="single"/>
        </w:rPr>
        <w:t>3.2.1</w:t>
      </w:r>
      <w:r w:rsidRPr="0086722C">
        <w:rPr>
          <w:rFonts w:ascii="Arial" w:hAnsi="Arial" w:cs="Arial"/>
          <w:b/>
          <w:u w:val="single"/>
        </w:rPr>
        <w:t>.</w:t>
      </w:r>
      <w:r>
        <w:rPr>
          <w:rFonts w:ascii="Arial" w:hAnsi="Arial" w:cs="Arial"/>
          <w:b/>
          <w:u w:val="single"/>
        </w:rPr>
        <w:t xml:space="preserve"> </w:t>
      </w:r>
      <w:r w:rsidRPr="0086722C">
        <w:rPr>
          <w:rFonts w:ascii="Arial" w:hAnsi="Arial" w:cs="Arial"/>
          <w:b/>
          <w:bCs/>
          <w:u w:val="single"/>
        </w:rPr>
        <w:t>Economic Policy Uncertainty and Stock Price Crash Risk</w:t>
      </w:r>
    </w:p>
    <w:p w14:paraId="42E06667" w14:textId="229E01F2" w:rsidR="00E43F65" w:rsidRPr="00E43F65" w:rsidRDefault="00E43F65" w:rsidP="00E43F65">
      <w:pPr>
        <w:pStyle w:val="Body"/>
        <w:rPr>
          <w:rFonts w:ascii="Arial" w:hAnsi="Arial" w:cs="Arial"/>
        </w:rPr>
      </w:pPr>
      <w:r w:rsidRPr="00E43F65">
        <w:rPr>
          <w:rFonts w:ascii="Arial" w:hAnsi="Arial" w:cs="Arial"/>
        </w:rPr>
        <w:t xml:space="preserve">The results indicate that economic policy uncertainty (EPU) has a positive and significant effect on stock price crash risk in the Indonesian capital market. This finding is consistent with recent studies showing that policy uncertainty increases investors’ risk aversion and heightens market sensitivity to negative information, causing price corrections to occur in a more concentrated and extreme manner </w:t>
      </w:r>
      <w:sdt>
        <w:sdtPr>
          <w:rPr>
            <w:rFonts w:ascii="Arial" w:hAnsi="Arial" w:cs="Arial"/>
            <w:color w:val="000000"/>
          </w:rPr>
          <w:tag w:val="MENDELEY_CITATION_v3_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"/>
          <w:id w:val="2087491344"/>
          <w:placeholder>
            <w:docPart w:val="DefaultPlaceholder_-1854013440"/>
          </w:placeholder>
        </w:sdtPr>
        <w:sdtContent>
          <w:r w:rsidRPr="00E43F65">
            <w:rPr>
              <w:rFonts w:ascii="Arial" w:hAnsi="Arial" w:cs="Arial"/>
              <w:color w:val="000000"/>
            </w:rPr>
            <w:t>(Han et al., 2023; Yuan et al., 2022)</w:t>
          </w:r>
        </w:sdtContent>
      </w:sdt>
      <w:r w:rsidRPr="00E43F65">
        <w:rPr>
          <w:rFonts w:ascii="Arial" w:hAnsi="Arial" w:cs="Arial"/>
        </w:rPr>
        <w:t xml:space="preserve">. According to uncertainty theory, unclear fiscal and monetary policy directions weaken investors’ ability to form rational and stable expectations, thereby increasing return volatility and the likelihood of extreme stock price declines </w:t>
      </w:r>
      <w:sdt>
        <w:sdtPr>
          <w:rPr>
            <w:rFonts w:ascii="Arial" w:hAnsi="Arial" w:cs="Arial"/>
            <w:color w:val="000000"/>
          </w:rPr>
          <w:tag w:val="MENDELEY_CITATION_v3_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"/>
          <w:id w:val="-1677492562"/>
          <w:placeholder>
            <w:docPart w:val="DefaultPlaceholder_-1854013440"/>
          </w:placeholder>
        </w:sdtPr>
        <w:sdtContent>
          <w:r w:rsidRPr="00E43F65">
            <w:rPr>
              <w:rFonts w:ascii="Arial" w:hAnsi="Arial" w:cs="Arial"/>
              <w:color w:val="000000"/>
            </w:rPr>
            <w:t>(B. Liu, 2015; Xu &amp; Liu, 2024)</w:t>
          </w:r>
        </w:sdtContent>
      </w:sdt>
      <w:r w:rsidRPr="00E43F65">
        <w:rPr>
          <w:rFonts w:ascii="Arial" w:hAnsi="Arial" w:cs="Arial"/>
        </w:rPr>
        <w:t>. These results reinforce the view that EPU represents a systemic source of risk that is particularly relevant for explaining extreme price movements in emerging markets.</w:t>
      </w:r>
    </w:p>
    <w:p w14:paraId="7FAA37E9" w14:textId="570CD32E" w:rsidR="00851EC2" w:rsidRDefault="00E43F65" w:rsidP="00E43F65">
      <w:pPr>
        <w:pStyle w:val="Body"/>
        <w:spacing w:after="0"/>
        <w:rPr>
          <w:rFonts w:ascii="Arial" w:hAnsi="Arial" w:cs="Arial"/>
        </w:rPr>
      </w:pPr>
      <w:r w:rsidRPr="00E43F65">
        <w:rPr>
          <w:rFonts w:ascii="Arial" w:hAnsi="Arial" w:cs="Arial"/>
        </w:rPr>
        <w:t xml:space="preserve">However, the magnitude of EPU’s impact on crash risk in Indonesia must be interpreted in light of domestic market characteristics. The dominance of retail investors with heterogeneous levels of financial literacy implies that market reactions to policy uncertainty are more sentiment-driven than fundamentals-based, amplifying the effect of EPU relative to developed markets </w:t>
      </w:r>
      <w:sdt>
        <w:sdtPr>
          <w:rPr>
            <w:rFonts w:ascii="Arial" w:hAnsi="Arial" w:cs="Arial"/>
            <w:color w:val="000000"/>
          </w:rPr>
          <w:tag w:val="MENDELEY_CITATION_v3_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"/>
          <w:id w:val="-29654690"/>
          <w:placeholder>
            <w:docPart w:val="DefaultPlaceholder_-1854013440"/>
          </w:placeholder>
        </w:sdtPr>
        <w:sdtContent>
          <w:r w:rsidRPr="00E43F65">
            <w:rPr>
              <w:rFonts w:ascii="Arial" w:hAnsi="Arial" w:cs="Arial"/>
              <w:color w:val="000000"/>
            </w:rPr>
            <w:t>(Dai et al., 2021; Zainorrahman, 2025)</w:t>
          </w:r>
        </w:sdtContent>
      </w:sdt>
      <w:r w:rsidRPr="00E43F65">
        <w:rPr>
          <w:rFonts w:ascii="Arial" w:hAnsi="Arial" w:cs="Arial"/>
        </w:rPr>
        <w:t xml:space="preserve">. At the same time, recent evidence suggests that the adverse effect of EPU on market risk may weaken during periods of improved macroeconomic conditions and credible, consistent policy implementation, as investors’ risk perceptions decline through the expectations channel </w:t>
      </w:r>
      <w:sdt>
        <w:sdtPr>
          <w:rPr>
            <w:rFonts w:ascii="Arial" w:hAnsi="Arial" w:cs="Arial"/>
            <w:color w:val="000000"/>
          </w:rPr>
          <w:tag w:val="MENDELEY_CITATION_v3_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"/>
          <w:id w:val="-712124300"/>
          <w:placeholder>
            <w:docPart w:val="DefaultPlaceholder_-1854013440"/>
          </w:placeholder>
        </w:sdtPr>
        <w:sdtContent>
          <w:r w:rsidRPr="00E43F65">
            <w:rPr>
              <w:rFonts w:ascii="Arial" w:hAnsi="Arial" w:cs="Arial"/>
              <w:color w:val="000000"/>
            </w:rPr>
            <w:t>(Yuan et al., 2022)</w:t>
          </w:r>
        </w:sdtContent>
      </w:sdt>
      <w:r w:rsidRPr="00E43F65">
        <w:rPr>
          <w:rFonts w:ascii="Arial" w:hAnsi="Arial" w:cs="Arial"/>
        </w:rPr>
        <w:t>. This indicates that the relationship between EPU and crash risk is contextual and potentially nonlinear, depending on market maturity and institutional stability.</w:t>
      </w:r>
    </w:p>
    <w:p w14:paraId="040B77F1" w14:textId="77777777" w:rsidR="0086722C" w:rsidRDefault="0086722C" w:rsidP="0086722C">
      <w:pPr>
        <w:pStyle w:val="Body"/>
        <w:spacing w:after="0"/>
        <w:rPr>
          <w:rFonts w:ascii="Arial" w:hAnsi="Arial" w:cs="Arial"/>
        </w:rPr>
      </w:pPr>
    </w:p>
    <w:p w14:paraId="0D2422B6" w14:textId="508FB89A" w:rsidR="0086722C" w:rsidRPr="0086722C" w:rsidRDefault="0086722C" w:rsidP="0086722C">
      <w:pPr>
        <w:pStyle w:val="Body"/>
        <w:spacing w:after="0"/>
        <w:rPr>
          <w:rFonts w:ascii="Arial" w:hAnsi="Arial" w:cs="Arial"/>
          <w:b/>
          <w:bCs/>
          <w:u w:val="single"/>
        </w:rPr>
      </w:pPr>
      <w:r>
        <w:rPr>
          <w:rFonts w:ascii="Arial" w:hAnsi="Arial" w:cs="Arial"/>
          <w:b/>
          <w:bCs/>
          <w:u w:val="single"/>
        </w:rPr>
        <w:t>3.2.</w:t>
      </w:r>
      <w:r w:rsidRPr="0086722C">
        <w:rPr>
          <w:rFonts w:ascii="Arial" w:hAnsi="Arial" w:cs="Arial"/>
          <w:b/>
          <w:bCs/>
          <w:u w:val="single"/>
        </w:rPr>
        <w:t>2. Geopolitical Risk and Stock Price Crash Risk</w:t>
      </w:r>
    </w:p>
    <w:p w14:paraId="04F26C19" w14:textId="0B7C429D" w:rsidR="00E43F65" w:rsidRPr="00E43F65" w:rsidRDefault="00E43F65" w:rsidP="00E43F65">
      <w:pPr>
        <w:pStyle w:val="Body"/>
        <w:rPr>
          <w:rFonts w:ascii="Arial" w:hAnsi="Arial" w:cs="Arial"/>
        </w:rPr>
      </w:pPr>
      <w:r w:rsidRPr="00E43F65">
        <w:rPr>
          <w:rFonts w:ascii="Arial" w:hAnsi="Arial" w:cs="Arial"/>
        </w:rPr>
        <w:t xml:space="preserve">This study finds that geopolitical risk (GPR) significantly increases stock price crash risk in Indonesia. This result is in line with recent literature showing that rising geopolitical tensions intensify uncertainty and accelerate shifts in investor sentiment, thereby making equity markets more vulnerable to sharp price corrections </w:t>
      </w:r>
      <w:sdt>
        <w:sdtPr>
          <w:rPr>
            <w:rFonts w:ascii="Arial" w:hAnsi="Arial" w:cs="Arial"/>
            <w:color w:val="000000"/>
          </w:rPr>
          <w:tag w:val="MENDELEY_CITATION_v3_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"/>
          <w:id w:val="1131669809"/>
          <w:placeholder>
            <w:docPart w:val="DefaultPlaceholder_-1854013440"/>
          </w:placeholder>
        </w:sdtPr>
        <w:sdtContent>
          <w:r w:rsidRPr="00E43F65">
            <w:rPr>
              <w:rFonts w:ascii="Arial" w:hAnsi="Arial" w:cs="Arial"/>
              <w:color w:val="000000"/>
            </w:rPr>
            <w:t>(Fiorillo et al., 2024; Saputra et al., 2023)</w:t>
          </w:r>
        </w:sdtContent>
      </w:sdt>
      <w:r w:rsidRPr="00E43F65">
        <w:rPr>
          <w:rFonts w:ascii="Arial" w:hAnsi="Arial" w:cs="Arial"/>
        </w:rPr>
        <w:t xml:space="preserve">. From the perspective of uncertainty theory, heightened geopolitical risk increases investors’ belief dispersion regarding future economic conditions, leading to overreactions to negative information and a higher probability of extreme stock price declines </w:t>
      </w:r>
      <w:sdt>
        <w:sdtPr>
          <w:rPr>
            <w:rFonts w:ascii="Arial" w:hAnsi="Arial" w:cs="Arial"/>
            <w:color w:val="000000"/>
          </w:rPr>
          <w:tag w:val="MENDELEY_CITATION_v3_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"/>
          <w:id w:val="1519885549"/>
          <w:placeholder>
            <w:docPart w:val="DefaultPlaceholder_-1854013440"/>
          </w:placeholder>
        </w:sdtPr>
        <w:sdtContent>
          <w:r w:rsidRPr="00E43F65">
            <w:rPr>
              <w:rFonts w:ascii="Arial" w:hAnsi="Arial" w:cs="Arial"/>
              <w:color w:val="000000"/>
            </w:rPr>
            <w:t>(Dai et al., 2021)</w:t>
          </w:r>
        </w:sdtContent>
      </w:sdt>
      <w:r w:rsidRPr="00E43F65">
        <w:rPr>
          <w:rFonts w:ascii="Arial" w:hAnsi="Arial" w:cs="Arial"/>
        </w:rPr>
        <w:t>. Thus, GPR acts as an external trigger that amplifies market fragility and crash risk.</w:t>
      </w:r>
    </w:p>
    <w:p w14:paraId="15D8D532" w14:textId="25B6055A" w:rsidR="00851EC2" w:rsidRDefault="00E43F65" w:rsidP="00E43F65">
      <w:pPr>
        <w:pStyle w:val="Body"/>
        <w:spacing w:after="0"/>
        <w:rPr>
          <w:rFonts w:ascii="Arial" w:hAnsi="Arial" w:cs="Arial"/>
        </w:rPr>
      </w:pPr>
      <w:r w:rsidRPr="00E43F65">
        <w:rPr>
          <w:rFonts w:ascii="Arial" w:hAnsi="Arial" w:cs="Arial"/>
        </w:rPr>
        <w:t xml:space="preserve">Nevertheless, the strength of the GPR effect on crash risk in Indonesia differs from that observed in developed markets. As a country with a strategic position in the Indo-Pacific region, Indonesia is relatively sensitive to the transmission of geopolitical risk through capital flows and exchange rate volatility, which can further deteriorate investor risk perceptions  </w:t>
      </w:r>
      <w:sdt>
        <w:sdtPr>
          <w:rPr>
            <w:rFonts w:ascii="Arial" w:hAnsi="Arial" w:cs="Arial"/>
            <w:color w:val="000000"/>
          </w:rPr>
          <w:tag w:val="MENDELEY_CITATION_v3_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"/>
          <w:id w:val="-1173953169"/>
          <w:placeholder>
            <w:docPart w:val="DefaultPlaceholder_-1854013440"/>
          </w:placeholder>
        </w:sdtPr>
        <w:sdtContent>
          <w:r w:rsidRPr="00E43F65">
            <w:rPr>
              <w:rFonts w:ascii="Arial" w:hAnsi="Arial" w:cs="Arial"/>
              <w:color w:val="000000"/>
            </w:rPr>
            <w:t>(Melzatia et al., 2025)</w:t>
          </w:r>
        </w:sdtContent>
      </w:sdt>
      <w:r w:rsidRPr="00E43F65">
        <w:rPr>
          <w:rFonts w:ascii="Arial" w:hAnsi="Arial" w:cs="Arial"/>
        </w:rPr>
        <w:t xml:space="preserve">. At the same time, recent studies suggest that the dominance of domestic investors and relatively concentrated ownership structures may provide a degree of resilience against excessive volatility, preventing geopolitical shocks from translating into prolonged market crashes </w:t>
      </w:r>
      <w:sdt>
        <w:sdtPr>
          <w:rPr>
            <w:rFonts w:ascii="Arial" w:hAnsi="Arial" w:cs="Arial"/>
            <w:color w:val="000000"/>
          </w:rPr>
          <w:tag w:val="MENDELEY_CITATION_v3_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"/>
          <w:id w:val="-1722358328"/>
          <w:placeholder>
            <w:docPart w:val="DefaultPlaceholder_-1854013440"/>
          </w:placeholder>
        </w:sdtPr>
        <w:sdtContent>
          <w:r w:rsidRPr="00E43F65">
            <w:rPr>
              <w:rFonts w:ascii="Arial" w:hAnsi="Arial" w:cs="Arial"/>
              <w:color w:val="000000"/>
            </w:rPr>
            <w:t>(Fiorillo et al., 2024)</w:t>
          </w:r>
        </w:sdtContent>
      </w:sdt>
      <w:r w:rsidRPr="00E43F65">
        <w:rPr>
          <w:rFonts w:ascii="Arial" w:hAnsi="Arial" w:cs="Arial"/>
        </w:rPr>
        <w:t>. These findings imply that while geopolitical risk significantly affects crash risk, its impact is mediated by institutional features and market structure.</w:t>
      </w:r>
    </w:p>
    <w:p w14:paraId="380CFB7F" w14:textId="77777777" w:rsidR="0086722C" w:rsidRDefault="0086722C" w:rsidP="0086722C">
      <w:pPr>
        <w:pStyle w:val="Body"/>
        <w:spacing w:after="0"/>
        <w:rPr>
          <w:rFonts w:ascii="Arial" w:hAnsi="Arial" w:cs="Arial"/>
        </w:rPr>
      </w:pPr>
    </w:p>
    <w:p w14:paraId="263E352E" w14:textId="51F004E6" w:rsidR="0086722C" w:rsidRPr="0086722C" w:rsidRDefault="0086722C" w:rsidP="0086722C">
      <w:pPr>
        <w:pStyle w:val="Body"/>
        <w:spacing w:after="0"/>
        <w:rPr>
          <w:rFonts w:ascii="Arial" w:hAnsi="Arial" w:cs="Arial"/>
          <w:b/>
          <w:bCs/>
          <w:u w:val="single"/>
        </w:rPr>
      </w:pPr>
      <w:r w:rsidRPr="0086722C">
        <w:rPr>
          <w:rFonts w:ascii="Arial" w:hAnsi="Arial" w:cs="Arial"/>
          <w:b/>
          <w:bCs/>
          <w:u w:val="single"/>
        </w:rPr>
        <w:t>3.2.3. CEO Power and Stock Price Crash Risk</w:t>
      </w:r>
    </w:p>
    <w:p w14:paraId="02D426B3" w14:textId="1D9DE1B1" w:rsidR="00E43F65" w:rsidRPr="00E43F65" w:rsidRDefault="00E43F65" w:rsidP="00E43F65">
      <w:pPr>
        <w:pStyle w:val="Body"/>
        <w:rPr>
          <w:rFonts w:ascii="Arial" w:hAnsi="Arial" w:cs="Arial"/>
        </w:rPr>
      </w:pPr>
      <w:r w:rsidRPr="00E43F65">
        <w:rPr>
          <w:rFonts w:ascii="Arial" w:hAnsi="Arial" w:cs="Arial"/>
        </w:rPr>
        <w:t xml:space="preserve">The findings reveal that the effect of CEO power on stock price crash risk depends on the crash risk proxy employed. CEO power is insignificant in the NCSKEW model but shows a positive and significant effect in the DUVOL model. This suggests that CEO dominance does not necessarily lead to the accumulation of negative information that shapes the skewness of weekly return distributions, but instead manifests more strongly in short-term downside volatility. These results are consistent with recent studies indicating that the influence of executive power on market risk is more evident in short-horizon price dynamics than in distribution-based measures of crash risk </w:t>
      </w:r>
      <w:sdt>
        <w:sdtPr>
          <w:rPr>
            <w:rFonts w:ascii="Arial" w:hAnsi="Arial" w:cs="Arial"/>
            <w:color w:val="000000"/>
          </w:rPr>
          <w:tag w:val="MENDELEY_CITATION_v3_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"/>
          <w:id w:val="621346285"/>
          <w:placeholder>
            <w:docPart w:val="DefaultPlaceholder_-1854013440"/>
          </w:placeholder>
        </w:sdtPr>
        <w:sdtContent>
          <w:r w:rsidRPr="00E43F65">
            <w:rPr>
              <w:rFonts w:ascii="Arial" w:hAnsi="Arial" w:cs="Arial"/>
              <w:color w:val="000000"/>
            </w:rPr>
            <w:t>(Kim, 2021; Shahab et al., 2020)</w:t>
          </w:r>
        </w:sdtContent>
      </w:sdt>
      <w:r w:rsidRPr="00E43F65">
        <w:rPr>
          <w:rFonts w:ascii="Arial" w:hAnsi="Arial" w:cs="Arial"/>
        </w:rPr>
        <w:t>.</w:t>
      </w:r>
    </w:p>
    <w:p w14:paraId="4F18D7F9" w14:textId="77D0E83F" w:rsidR="00851EC2" w:rsidRDefault="00E43F65" w:rsidP="00E43F65">
      <w:pPr>
        <w:pStyle w:val="Body"/>
        <w:spacing w:after="0"/>
        <w:rPr>
          <w:rFonts w:ascii="Arial" w:hAnsi="Arial" w:cs="Arial"/>
        </w:rPr>
      </w:pPr>
      <w:r w:rsidRPr="00E43F65">
        <w:rPr>
          <w:rFonts w:ascii="Arial" w:hAnsi="Arial" w:cs="Arial"/>
        </w:rPr>
        <w:t>From the perspectives of agency theory</w:t>
      </w:r>
      <w:r>
        <w:rPr>
          <w:rFonts w:ascii="Arial" w:hAnsi="Arial" w:cs="Arial"/>
        </w:rPr>
        <w:t xml:space="preserve"> </w:t>
      </w:r>
      <w:sdt>
        <w:sdtPr>
          <w:rPr>
            <w:rFonts w:ascii="Arial" w:hAnsi="Arial" w:cs="Arial"/>
            <w:color w:val="000000"/>
          </w:rPr>
          <w:tag w:val="MENDELEY_CITATION_v3_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"/>
          <w:id w:val="-2124445608"/>
          <w:placeholder>
            <w:docPart w:val="DefaultPlaceholder_-1854013440"/>
          </w:placeholder>
        </w:sdtPr>
        <w:sdtContent>
          <w:r w:rsidRPr="00E43F65">
            <w:rPr>
              <w:rFonts w:ascii="Arial" w:hAnsi="Arial" w:cs="Arial"/>
              <w:color w:val="000000"/>
            </w:rPr>
            <w:t>Meckling &amp; Jensen (1976)</w:t>
          </w:r>
        </w:sdtContent>
      </w:sdt>
      <w:r w:rsidRPr="00E43F65">
        <w:rPr>
          <w:rFonts w:ascii="Arial" w:hAnsi="Arial" w:cs="Arial"/>
        </w:rPr>
        <w:t xml:space="preserve"> and information asymmetry theory</w:t>
      </w:r>
      <w:r>
        <w:rPr>
          <w:rFonts w:ascii="Arial" w:hAnsi="Arial" w:cs="Arial"/>
        </w:rPr>
        <w:t xml:space="preserve"> </w:t>
      </w:r>
      <w:sdt>
        <w:sdtPr>
          <w:rPr>
            <w:rFonts w:ascii="Arial" w:hAnsi="Arial" w:cs="Arial"/>
            <w:color w:val="000000"/>
          </w:rPr>
          <w:tag w:val="MENDELEY_CITATION_v3_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"/>
          <w:id w:val="1789855799"/>
          <w:placeholder>
            <w:docPart w:val="DefaultPlaceholder_-1854013440"/>
          </w:placeholder>
        </w:sdtPr>
        <w:sdtContent>
          <w:r w:rsidRPr="00E43F65">
            <w:rPr>
              <w:rFonts w:ascii="Arial" w:hAnsi="Arial" w:cs="Arial"/>
              <w:color w:val="000000"/>
            </w:rPr>
            <w:t>Makadok (2010)</w:t>
          </w:r>
        </w:sdtContent>
      </w:sdt>
      <w:r w:rsidRPr="00E43F65">
        <w:rPr>
          <w:rFonts w:ascii="Arial" w:hAnsi="Arial" w:cs="Arial"/>
        </w:rPr>
        <w:t xml:space="preserve">, higher CEO power theoretically enhances managers’ ability to control information flows and delay the disclosure of bad news, thereby increasing crash. However, the insignificance of CEO power in the NCSKEW model suggests that corporate governance mechanisms and mandatory disclosure regulations in Indonesia are relatively effective in limiting extreme bad news hoarding. In contrast, the significant effect observed in the DUVOL model indicates that CEO power can still influence market behavior under stress conditions, particularly by intensifying short-term downside volatility. This evidence aligns with recent studies emphasizing that the impact of CEO power on crash risk is highly contingent on institutional context and the specific crash risk measure employed </w:t>
      </w:r>
      <w:sdt>
        <w:sdtPr>
          <w:rPr>
            <w:rFonts w:ascii="Arial" w:hAnsi="Arial" w:cs="Arial"/>
            <w:color w:val="000000"/>
          </w:rPr>
          <w:tag w:val="MENDELEY_CITATION_v3_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"/>
          <w:id w:val="753942984"/>
          <w:placeholder>
            <w:docPart w:val="DefaultPlaceholder_-1854013440"/>
          </w:placeholder>
        </w:sdtPr>
        <w:sdtContent>
          <w:r w:rsidRPr="00E43F65">
            <w:rPr>
              <w:rFonts w:ascii="Arial" w:hAnsi="Arial" w:cs="Arial"/>
              <w:color w:val="000000"/>
            </w:rPr>
            <w:t>(Al Mamun et al., 2020)</w:t>
          </w:r>
        </w:sdtContent>
      </w:sdt>
      <w:r w:rsidRPr="00E43F65">
        <w:rPr>
          <w:rFonts w:ascii="Arial" w:hAnsi="Arial" w:cs="Arial"/>
        </w:rPr>
        <w:t>.</w:t>
      </w:r>
    </w:p>
    <w:p w14:paraId="4382781E" w14:textId="77777777" w:rsidR="0086722C" w:rsidRPr="00FB3A86" w:rsidRDefault="0086722C" w:rsidP="00441B6F">
      <w:pPr>
        <w:pStyle w:val="Body"/>
        <w:spacing w:after="0"/>
        <w:rPr>
          <w:rFonts w:ascii="Arial" w:hAnsi="Arial" w:cs="Arial"/>
        </w:rPr>
      </w:pPr>
    </w:p>
    <w:p w14:paraId="68CE0D5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E3BF04" w14:textId="77777777" w:rsidR="00790ADA" w:rsidRPr="00FB3A86" w:rsidRDefault="00790ADA" w:rsidP="00441B6F">
      <w:pPr>
        <w:pStyle w:val="ConcHead"/>
        <w:spacing w:after="0"/>
        <w:jc w:val="both"/>
        <w:rPr>
          <w:rFonts w:ascii="Arial" w:hAnsi="Arial" w:cs="Arial"/>
        </w:rPr>
      </w:pPr>
    </w:p>
    <w:p w14:paraId="61F7A05F" w14:textId="0716D340" w:rsidR="00790ADA" w:rsidRDefault="00D73E42" w:rsidP="00441B6F">
      <w:pPr>
        <w:pStyle w:val="Body"/>
        <w:spacing w:after="0"/>
        <w:rPr>
          <w:rFonts w:ascii="Arial" w:hAnsi="Arial" w:cs="Arial"/>
        </w:rPr>
      </w:pPr>
      <w:r w:rsidRPr="00D73E42">
        <w:rPr>
          <w:rFonts w:ascii="Arial" w:hAnsi="Arial" w:cs="Arial"/>
        </w:rPr>
        <w:t>This study examines whether Economic Policy Uncertainty (EPU), Geopolitical Risk (GPR), and CEO Power are associated with Stock Price Crash Risk among Indonesian listed non-financial firms over 2014–2024 using panel EGLS random effects. The results consistently show that EPU and GPR are positively and significantly associated with crash risk across both crash-risk proxies (NCSKEW and DUVOL), indicating that macro-level uncertainty and global political tensions increase the likelihood and intensity of extreme downside price movements. In contrast, CEO Power exhibits measure-dependent effects: it is insignificant for NCSKEW but positive and significant for DUVOL, suggesting that managerial dominance is more strongly reflected in short-term downside volatility than in the distributional skewness of weekly returns. This difference in statistical significance across crash-risk measures indicates that CEO power influences the intensity of price declines rather than long-term return asymmetry. Overall, the evidence implies that crash risk in Indonesia is shaped by both external uncertainty (policy and geopolitics) and internal governance factors, underscoring the importance of policy clarity, market transparency, and effective corporate governance in mitigating extreme price corrections.</w:t>
      </w:r>
    </w:p>
    <w:p w14:paraId="0D60E422" w14:textId="528973A4" w:rsidR="0086722C" w:rsidRDefault="0086722C" w:rsidP="00441B6F">
      <w:pPr>
        <w:pStyle w:val="ReferHead"/>
        <w:spacing w:after="0"/>
        <w:jc w:val="both"/>
        <w:rPr>
          <w:rFonts w:ascii="Arial" w:hAnsi="Arial" w:cs="Arial"/>
        </w:rPr>
      </w:pPr>
    </w:p>
    <w:p w14:paraId="7E2647AC" w14:textId="1D987D4F" w:rsidR="00257605" w:rsidRDefault="00257605" w:rsidP="00441B6F">
      <w:pPr>
        <w:pStyle w:val="ReferHead"/>
        <w:spacing w:after="0"/>
        <w:jc w:val="both"/>
        <w:rPr>
          <w:rFonts w:ascii="Arial" w:hAnsi="Arial" w:cs="Arial"/>
        </w:rPr>
      </w:pPr>
    </w:p>
    <w:p w14:paraId="7E0C01DC" w14:textId="2DB03DAC" w:rsidR="00257605" w:rsidRDefault="00257605" w:rsidP="00441B6F">
      <w:pPr>
        <w:pStyle w:val="ReferHead"/>
        <w:spacing w:after="0"/>
        <w:jc w:val="both"/>
        <w:rPr>
          <w:rFonts w:ascii="Arial" w:hAnsi="Arial" w:cs="Arial"/>
        </w:rPr>
      </w:pPr>
    </w:p>
    <w:p w14:paraId="32EE4AF7" w14:textId="77777777" w:rsidR="00257605" w:rsidRDefault="00257605" w:rsidP="00257605">
      <w:pPr>
        <w:rPr>
          <w:rFonts w:ascii="Calibri" w:eastAsia="Calibri" w:hAnsi="Calibri"/>
          <w:kern w:val="2"/>
        </w:rPr>
      </w:pPr>
      <w:bookmarkStart w:id="2" w:name="_Hlk192511329"/>
      <w:bookmarkStart w:id="3" w:name="_Hlk187485061"/>
      <w:bookmarkStart w:id="4" w:name="_Hlk194655630"/>
      <w:bookmarkStart w:id="5" w:name="_Hlk209008097"/>
      <w:bookmarkStart w:id="6" w:name="_Hlk213163655"/>
    </w:p>
    <w:p w14:paraId="7F7AFBBB" w14:textId="0680E34E" w:rsidR="00257605" w:rsidRDefault="00257605" w:rsidP="00257605">
      <w:pPr>
        <w:rPr>
          <w:rFonts w:ascii="Calibri" w:eastAsia="Calibri" w:hAnsi="Calibri"/>
          <w:kern w:val="2"/>
          <w:highlight w:val="yellow"/>
        </w:rPr>
      </w:pPr>
      <w:bookmarkStart w:id="7" w:name="_Hlk204003461"/>
      <w:bookmarkStart w:id="8" w:name="_Hlk213070710"/>
      <w:bookmarkEnd w:id="2"/>
      <w:bookmarkEnd w:id="3"/>
      <w:bookmarkEnd w:id="4"/>
      <w:bookmarkEnd w:id="5"/>
      <w:r>
        <w:rPr>
          <w:rFonts w:ascii="Calibri" w:eastAsia="Calibri" w:hAnsi="Calibri"/>
          <w:kern w:val="2"/>
          <w:highlight w:val="yellow"/>
        </w:rPr>
        <w:t>Disclaimer (Artificial intelligence)</w:t>
      </w:r>
    </w:p>
    <w:p w14:paraId="2C1824A7" w14:textId="77777777" w:rsidR="00257605" w:rsidRDefault="00257605" w:rsidP="00257605">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7"/>
    <w:p w14:paraId="1F0850D2" w14:textId="77777777" w:rsidR="00D73E42" w:rsidRDefault="00D73E42" w:rsidP="00257605">
      <w:pPr>
        <w:rPr>
          <w:rFonts w:ascii="Calibri" w:eastAsia="Calibri" w:hAnsi="Calibri"/>
          <w:kern w:val="2"/>
          <w:highlight w:val="yellow"/>
        </w:rPr>
      </w:pPr>
    </w:p>
    <w:bookmarkEnd w:id="6"/>
    <w:bookmarkEnd w:id="8"/>
    <w:p w14:paraId="5D3AC6ED" w14:textId="77777777" w:rsidR="00257605" w:rsidRDefault="00257605" w:rsidP="00441B6F">
      <w:pPr>
        <w:pStyle w:val="ReferHead"/>
        <w:spacing w:after="0"/>
        <w:jc w:val="both"/>
        <w:rPr>
          <w:rFonts w:ascii="Arial" w:hAnsi="Arial" w:cs="Arial"/>
        </w:rPr>
      </w:pPr>
    </w:p>
    <w:p w14:paraId="433A8D85" w14:textId="22115119" w:rsidR="00B01FCD" w:rsidRDefault="00B01FCD" w:rsidP="00441B6F">
      <w:pPr>
        <w:pStyle w:val="ReferHead"/>
        <w:spacing w:after="0"/>
        <w:jc w:val="both"/>
        <w:rPr>
          <w:rFonts w:ascii="Arial" w:hAnsi="Arial" w:cs="Arial"/>
        </w:rPr>
      </w:pPr>
      <w:r w:rsidRPr="00FB3A86">
        <w:rPr>
          <w:rFonts w:ascii="Arial" w:hAnsi="Arial" w:cs="Arial"/>
        </w:rPr>
        <w:t>References</w:t>
      </w:r>
    </w:p>
    <w:p w14:paraId="38540AAC" w14:textId="77777777" w:rsidR="00790ADA" w:rsidRPr="00FB3A86" w:rsidRDefault="00790ADA" w:rsidP="00441B6F">
      <w:pPr>
        <w:pStyle w:val="ReferHead"/>
        <w:spacing w:after="0"/>
        <w:jc w:val="both"/>
        <w:rPr>
          <w:rFonts w:ascii="Arial" w:hAnsi="Arial" w:cs="Arial"/>
        </w:rPr>
      </w:pPr>
    </w:p>
    <w:sdt>
      <w:sdtPr>
        <w:rPr>
          <w:caps/>
          <w:sz w:val="22"/>
        </w:rPr>
        <w:tag w:val="MENDELEY_BIBLIOGRAPHY"/>
        <w:id w:val="-2135930843"/>
        <w:placeholder>
          <w:docPart w:val="DefaultPlaceholder_-1854013440"/>
        </w:placeholder>
      </w:sdtPr>
      <w:sdtEndPr>
        <w:rPr>
          <w:rFonts w:ascii="Arial" w:hAnsi="Arial" w:cs="Arial"/>
          <w:color w:val="000000"/>
        </w:rPr>
      </w:sdtEndPr>
      <w:sdtContent>
        <w:p w14:paraId="19319A85" w14:textId="77777777" w:rsidR="003872DB" w:rsidRPr="003872DB" w:rsidRDefault="003872DB" w:rsidP="00A210D3">
          <w:pPr>
            <w:autoSpaceDE w:val="0"/>
            <w:autoSpaceDN w:val="0"/>
            <w:ind w:hanging="480"/>
            <w:jc w:val="both"/>
            <w:divId w:val="1300920464"/>
            <w:rPr>
              <w:sz w:val="24"/>
              <w:szCs w:val="24"/>
            </w:rPr>
          </w:pPr>
          <w:r w:rsidRPr="003872DB">
            <w:t xml:space="preserve">Al Mamun, M., Balachandran, B., &amp; Duong, H. N. (2020). Powerful CEOs and Stock Price Crash Risk. </w:t>
          </w:r>
          <w:r w:rsidRPr="003872DB">
            <w:rPr>
              <w:i/>
              <w:iCs/>
            </w:rPr>
            <w:t>Journal of Corporate Finance</w:t>
          </w:r>
          <w:r w:rsidRPr="003872DB">
            <w:t xml:space="preserve">, </w:t>
          </w:r>
          <w:r w:rsidRPr="003872DB">
            <w:rPr>
              <w:i/>
              <w:iCs/>
            </w:rPr>
            <w:t>62</w:t>
          </w:r>
          <w:r w:rsidRPr="003872DB">
            <w:t>. https://doi.org/10.1016/j.jcorpfin.2020.101582</w:t>
          </w:r>
        </w:p>
        <w:p w14:paraId="1F01A9AC" w14:textId="77777777" w:rsidR="003872DB" w:rsidRPr="003872DB" w:rsidRDefault="003872DB" w:rsidP="00A210D3">
          <w:pPr>
            <w:autoSpaceDE w:val="0"/>
            <w:autoSpaceDN w:val="0"/>
            <w:ind w:hanging="480"/>
            <w:jc w:val="both"/>
            <w:divId w:val="1970746950"/>
          </w:pPr>
          <w:r w:rsidRPr="003872DB">
            <w:t xml:space="preserve">Baker, S. R., Bloom, N., &amp; Davis, S. J. (2016). Measuring Economic Policy Uncertainty. </w:t>
          </w:r>
          <w:r w:rsidRPr="003872DB">
            <w:rPr>
              <w:i/>
              <w:iCs/>
            </w:rPr>
            <w:t>The Quarterly Journal of Economics</w:t>
          </w:r>
          <w:r w:rsidRPr="003872DB">
            <w:t xml:space="preserve">, </w:t>
          </w:r>
          <w:r w:rsidRPr="003872DB">
            <w:rPr>
              <w:i/>
              <w:iCs/>
            </w:rPr>
            <w:t>131</w:t>
          </w:r>
          <w:r w:rsidRPr="003872DB">
            <w:t>(4), 1593–1636. https://doi.org/10.1093/qje/qjw024</w:t>
          </w:r>
        </w:p>
        <w:p w14:paraId="1DD6FEA8" w14:textId="77777777" w:rsidR="003872DB" w:rsidRPr="003872DB" w:rsidRDefault="003872DB" w:rsidP="00A210D3">
          <w:pPr>
            <w:autoSpaceDE w:val="0"/>
            <w:autoSpaceDN w:val="0"/>
            <w:ind w:hanging="480"/>
            <w:jc w:val="both"/>
            <w:divId w:val="776289311"/>
          </w:pPr>
          <w:r w:rsidRPr="003872DB">
            <w:rPr>
              <w:lang w:val="fi-FI"/>
            </w:rPr>
            <w:t xml:space="preserve">Bawalle, A. A., Khan, M. S. R., &amp; Kadoya, Y. (2025). </w:t>
          </w:r>
          <w:r w:rsidRPr="003872DB">
            <w:t xml:space="preserve">Overconfidence, Financial Literacy, and Panic Selling: Evidence from Japan. </w:t>
          </w:r>
          <w:r w:rsidRPr="003872DB">
            <w:rPr>
              <w:i/>
              <w:iCs/>
            </w:rPr>
            <w:t>PLoS ONE</w:t>
          </w:r>
          <w:r w:rsidRPr="003872DB">
            <w:t xml:space="preserve">, </w:t>
          </w:r>
          <w:r w:rsidRPr="003872DB">
            <w:rPr>
              <w:i/>
              <w:iCs/>
            </w:rPr>
            <w:t>20</w:t>
          </w:r>
          <w:r w:rsidRPr="003872DB">
            <w:t>(3 March). https://doi.org/10.1371/journal.pone.0315622</w:t>
          </w:r>
        </w:p>
        <w:p w14:paraId="5BF43E55" w14:textId="77777777" w:rsidR="003872DB" w:rsidRPr="003872DB" w:rsidRDefault="003872DB" w:rsidP="00A210D3">
          <w:pPr>
            <w:autoSpaceDE w:val="0"/>
            <w:autoSpaceDN w:val="0"/>
            <w:ind w:hanging="480"/>
            <w:jc w:val="both"/>
            <w:divId w:val="992098751"/>
          </w:pPr>
          <w:r w:rsidRPr="003872DB">
            <w:t xml:space="preserve">Caldara, D., &amp; Iacoviell, M. (2022). Measuring Geopolitical Risk. </w:t>
          </w:r>
          <w:r w:rsidRPr="003872DB">
            <w:rPr>
              <w:i/>
              <w:iCs/>
            </w:rPr>
            <w:t>American Economic Review</w:t>
          </w:r>
          <w:r w:rsidRPr="003872DB">
            <w:t xml:space="preserve">, </w:t>
          </w:r>
          <w:r w:rsidRPr="003872DB">
            <w:rPr>
              <w:i/>
              <w:iCs/>
            </w:rPr>
            <w:t>112</w:t>
          </w:r>
          <w:r w:rsidRPr="003872DB">
            <w:t>(4), 1194–1225. https://doi.org/10.1257/aer.20191823</w:t>
          </w:r>
        </w:p>
        <w:p w14:paraId="440831C6" w14:textId="77777777" w:rsidR="003872DB" w:rsidRPr="003872DB" w:rsidRDefault="003872DB" w:rsidP="00A210D3">
          <w:pPr>
            <w:autoSpaceDE w:val="0"/>
            <w:autoSpaceDN w:val="0"/>
            <w:ind w:hanging="480"/>
            <w:jc w:val="both"/>
            <w:divId w:val="2116552495"/>
          </w:pPr>
          <w:r w:rsidRPr="003872DB">
            <w:t xml:space="preserve">Dai, P.-F., Xiong, X., Liu, Z., Huynh, T. L. D., &amp; Sun, J. (2021). Preventing Crash in Stock Market: The Role of Economic Policy Uncertainty During COVID-19. </w:t>
          </w:r>
          <w:r w:rsidRPr="003872DB">
            <w:rPr>
              <w:i/>
              <w:iCs/>
            </w:rPr>
            <w:t>Financial Innovation</w:t>
          </w:r>
          <w:r w:rsidRPr="003872DB">
            <w:t xml:space="preserve">, </w:t>
          </w:r>
          <w:r w:rsidRPr="003872DB">
            <w:rPr>
              <w:i/>
              <w:iCs/>
            </w:rPr>
            <w:t>7</w:t>
          </w:r>
          <w:r w:rsidRPr="003872DB">
            <w:t>(1), 31. https://doi.org/10.1186/s40854-021-00248-y</w:t>
          </w:r>
        </w:p>
        <w:p w14:paraId="096A4C2E" w14:textId="77777777" w:rsidR="003872DB" w:rsidRPr="003872DB" w:rsidRDefault="003872DB" w:rsidP="00A210D3">
          <w:pPr>
            <w:autoSpaceDE w:val="0"/>
            <w:autoSpaceDN w:val="0"/>
            <w:ind w:hanging="480"/>
            <w:jc w:val="both"/>
            <w:divId w:val="1422220399"/>
          </w:pPr>
          <w:r w:rsidRPr="003872DB">
            <w:t xml:space="preserve">Du, Y., Sui, X., Wei, W., &amp; Du, J. (2021). Economic Policy Uncertainty and Stock Price Crash Risk. </w:t>
          </w:r>
          <w:r w:rsidRPr="003872DB">
            <w:rPr>
              <w:i/>
              <w:iCs/>
            </w:rPr>
            <w:t>Asia-Pacific Journal of Accounting &amp; Economics</w:t>
          </w:r>
          <w:r w:rsidRPr="003872DB">
            <w:t>, 1–23. https://doi.org/10.1080/16081625.2021.2007407</w:t>
          </w:r>
        </w:p>
        <w:p w14:paraId="4DF92C9E" w14:textId="77777777" w:rsidR="003872DB" w:rsidRPr="003872DB" w:rsidRDefault="003872DB" w:rsidP="00A210D3">
          <w:pPr>
            <w:autoSpaceDE w:val="0"/>
            <w:autoSpaceDN w:val="0"/>
            <w:ind w:hanging="480"/>
            <w:jc w:val="both"/>
            <w:divId w:val="148138098"/>
          </w:pPr>
          <w:r w:rsidRPr="003872DB">
            <w:t xml:space="preserve">Elkind, D., Kaminski, K., Lo, A. W., Siah, K. W., &amp; Wong, C. H. (2022). When Do Investors Freak Out? Machine Learning Predictions of Panic Selling. </w:t>
          </w:r>
          <w:r w:rsidRPr="003872DB">
            <w:rPr>
              <w:i/>
              <w:iCs/>
            </w:rPr>
            <w:t>Journal of Financial Data Science</w:t>
          </w:r>
          <w:r w:rsidRPr="003872DB">
            <w:t xml:space="preserve">, </w:t>
          </w:r>
          <w:r w:rsidRPr="003872DB">
            <w:rPr>
              <w:i/>
              <w:iCs/>
            </w:rPr>
            <w:t>4</w:t>
          </w:r>
          <w:r w:rsidRPr="003872DB">
            <w:t>(1), 11–39. https://doi.org/10.3905/jfds.2021.1.085</w:t>
          </w:r>
        </w:p>
        <w:p w14:paraId="6B31942B" w14:textId="77777777" w:rsidR="003872DB" w:rsidRPr="003872DB" w:rsidRDefault="003872DB" w:rsidP="00A210D3">
          <w:pPr>
            <w:autoSpaceDE w:val="0"/>
            <w:autoSpaceDN w:val="0"/>
            <w:ind w:hanging="480"/>
            <w:jc w:val="both"/>
            <w:divId w:val="974679446"/>
          </w:pPr>
          <w:r w:rsidRPr="003872DB">
            <w:t xml:space="preserve">Fiorillo, P., Meles, A., Pellegrino, L. R., &amp; Verdoliva, V. (2024). Geopolitical Risk and Stock Price Crash Risk: The Mitigating Role of ESG Performance. </w:t>
          </w:r>
          <w:r w:rsidRPr="003872DB">
            <w:rPr>
              <w:i/>
              <w:iCs/>
            </w:rPr>
            <w:t>International Review of Financial Analysis</w:t>
          </w:r>
          <w:r w:rsidRPr="003872DB">
            <w:t xml:space="preserve">, </w:t>
          </w:r>
          <w:r w:rsidRPr="003872DB">
            <w:rPr>
              <w:i/>
              <w:iCs/>
            </w:rPr>
            <w:t>91</w:t>
          </w:r>
          <w:r w:rsidRPr="003872DB">
            <w:t>, 102958. https://doi.org/10.1016/j.irfa.2023.102958</w:t>
          </w:r>
        </w:p>
        <w:p w14:paraId="680E2F9A" w14:textId="77777777" w:rsidR="003872DB" w:rsidRPr="003872DB" w:rsidRDefault="003872DB" w:rsidP="00A210D3">
          <w:pPr>
            <w:autoSpaceDE w:val="0"/>
            <w:autoSpaceDN w:val="0"/>
            <w:ind w:hanging="480"/>
            <w:jc w:val="both"/>
            <w:divId w:val="459879480"/>
          </w:pPr>
          <w:r w:rsidRPr="003872DB">
            <w:t xml:space="preserve">Gujarati, D. N., &amp; Porter, D. C. (2009). </w:t>
          </w:r>
          <w:r w:rsidRPr="003872DB">
            <w:rPr>
              <w:i/>
              <w:iCs/>
            </w:rPr>
            <w:t>Basic Econometrics</w:t>
          </w:r>
          <w:r w:rsidRPr="003872DB">
            <w:t xml:space="preserve"> (5th ed.). McGraw-Hill/Irwin.</w:t>
          </w:r>
        </w:p>
        <w:p w14:paraId="03451C10" w14:textId="77777777" w:rsidR="003872DB" w:rsidRPr="003872DB" w:rsidRDefault="003872DB" w:rsidP="00A210D3">
          <w:pPr>
            <w:autoSpaceDE w:val="0"/>
            <w:autoSpaceDN w:val="0"/>
            <w:ind w:hanging="480"/>
            <w:jc w:val="both"/>
            <w:divId w:val="211578356"/>
          </w:pPr>
          <w:r w:rsidRPr="003872DB">
            <w:t xml:space="preserve">Han, X., Hsu, S., Li, J., &amp; An, R. (2023). Economic Policy Uncertainty, Non-Financial Enterprises’ Shadow Banking Activities and Stock Price Crash Risk. </w:t>
          </w:r>
          <w:r w:rsidRPr="003872DB">
            <w:rPr>
              <w:i/>
              <w:iCs/>
            </w:rPr>
            <w:t>Emerging Markets Review</w:t>
          </w:r>
          <w:r w:rsidRPr="003872DB">
            <w:t xml:space="preserve">, </w:t>
          </w:r>
          <w:r w:rsidRPr="003872DB">
            <w:rPr>
              <w:i/>
              <w:iCs/>
            </w:rPr>
            <w:t>54</w:t>
          </w:r>
          <w:r w:rsidRPr="003872DB">
            <w:t>, 101003. https://doi.org/https://doi.org/10.1016/j.ememar.2023.101003</w:t>
          </w:r>
        </w:p>
        <w:p w14:paraId="0D52419F" w14:textId="77777777" w:rsidR="003872DB" w:rsidRPr="003872DB" w:rsidRDefault="003872DB" w:rsidP="00A210D3">
          <w:pPr>
            <w:autoSpaceDE w:val="0"/>
            <w:autoSpaceDN w:val="0"/>
            <w:ind w:hanging="480"/>
            <w:jc w:val="both"/>
            <w:divId w:val="197202963"/>
          </w:pPr>
          <w:r w:rsidRPr="003872DB">
            <w:t xml:space="preserve">Katherine, H., &amp; Kim, S. (2024). The Influence of Geopolitical Risk on Stock Price Crash with ESG Moderation in Indonesia. </w:t>
          </w:r>
          <w:r w:rsidRPr="003872DB">
            <w:rPr>
              <w:i/>
              <w:iCs/>
            </w:rPr>
            <w:t>JMBI UNSRAT (Jurnal Ilmiah Manajemen Bisnis Dan Inovasi Universitas Sam Ratulangi).</w:t>
          </w:r>
          <w:r w:rsidRPr="003872DB">
            <w:t xml:space="preserve">, </w:t>
          </w:r>
          <w:r w:rsidRPr="003872DB">
            <w:rPr>
              <w:i/>
              <w:iCs/>
            </w:rPr>
            <w:t>11</w:t>
          </w:r>
          <w:r w:rsidRPr="003872DB">
            <w:t>, 1976–1986. https://doi.org/10.35794/jmbi.v11i3.57621</w:t>
          </w:r>
        </w:p>
        <w:p w14:paraId="27AC1FE5" w14:textId="77777777" w:rsidR="003872DB" w:rsidRPr="003872DB" w:rsidRDefault="003872DB" w:rsidP="00A210D3">
          <w:pPr>
            <w:autoSpaceDE w:val="0"/>
            <w:autoSpaceDN w:val="0"/>
            <w:ind w:hanging="480"/>
            <w:jc w:val="both"/>
            <w:divId w:val="1358119275"/>
          </w:pPr>
          <w:r w:rsidRPr="003872DB">
            <w:t xml:space="preserve">Le, V. P., Nguyen, A.-N., &amp; Gregoriou, A. (2024). Insider Trading, Gender Diversity within the Board Room, CEO Pay Gap, and Stock Price Crash Risk. </w:t>
          </w:r>
          <w:r w:rsidRPr="003872DB">
            <w:rPr>
              <w:i/>
              <w:iCs/>
            </w:rPr>
            <w:t>International Journal of Finance &amp; Economics</w:t>
          </w:r>
          <w:r w:rsidRPr="003872DB">
            <w:t xml:space="preserve">, </w:t>
          </w:r>
          <w:r w:rsidRPr="003872DB">
            <w:rPr>
              <w:i/>
              <w:iCs/>
            </w:rPr>
            <w:t>29</w:t>
          </w:r>
          <w:r w:rsidRPr="003872DB">
            <w:t>(2), 1378–1400. https://doi.org/https://doi.org/10.1002/ijfe.2731</w:t>
          </w:r>
        </w:p>
        <w:p w14:paraId="11506854" w14:textId="77777777" w:rsidR="003872DB" w:rsidRPr="003872DB" w:rsidRDefault="003872DB" w:rsidP="00A210D3">
          <w:pPr>
            <w:autoSpaceDE w:val="0"/>
            <w:autoSpaceDN w:val="0"/>
            <w:ind w:hanging="480"/>
            <w:jc w:val="both"/>
            <w:divId w:val="949506102"/>
          </w:pPr>
          <w:r w:rsidRPr="003872DB">
            <w:t xml:space="preserve">Liu, B. (2015). </w:t>
          </w:r>
          <w:r w:rsidRPr="003872DB">
            <w:rPr>
              <w:i/>
              <w:iCs/>
            </w:rPr>
            <w:t>Uncertainty Theory</w:t>
          </w:r>
          <w:r w:rsidRPr="003872DB">
            <w:t>. Springer-Verlag Berlin Heidelberg. https://doi.org/10.1007/978-3-662-44354-5</w:t>
          </w:r>
        </w:p>
        <w:p w14:paraId="54BF286E" w14:textId="77777777" w:rsidR="003872DB" w:rsidRPr="003872DB" w:rsidRDefault="003872DB" w:rsidP="00A210D3">
          <w:pPr>
            <w:autoSpaceDE w:val="0"/>
            <w:autoSpaceDN w:val="0"/>
            <w:ind w:hanging="480"/>
            <w:jc w:val="both"/>
            <w:divId w:val="1671525870"/>
          </w:pPr>
          <w:r w:rsidRPr="003872DB">
            <w:rPr>
              <w:lang w:val="fi-FI"/>
            </w:rPr>
            <w:t xml:space="preserve">Liu, X., Ma, Y., &amp; Xu, Z. (2024). </w:t>
          </w:r>
          <w:r w:rsidRPr="003872DB">
            <w:t xml:space="preserve">Economic Policy Uncertainty, Risk Perception and Stock Price Crash Risk: Evidence from China. </w:t>
          </w:r>
          <w:r w:rsidRPr="003872DB">
            <w:rPr>
              <w:i/>
              <w:iCs/>
            </w:rPr>
            <w:t>Economic Analysis and Policy</w:t>
          </w:r>
          <w:r w:rsidRPr="003872DB">
            <w:t xml:space="preserve">, </w:t>
          </w:r>
          <w:r w:rsidRPr="003872DB">
            <w:rPr>
              <w:i/>
              <w:iCs/>
            </w:rPr>
            <w:t>82</w:t>
          </w:r>
          <w:r w:rsidRPr="003872DB">
            <w:t>, 865–876. https://doi.org/10.1016/j.eap.2024.04.013</w:t>
          </w:r>
        </w:p>
        <w:p w14:paraId="447EF836" w14:textId="77777777" w:rsidR="003872DB" w:rsidRPr="003872DB" w:rsidRDefault="003872DB" w:rsidP="00A210D3">
          <w:pPr>
            <w:autoSpaceDE w:val="0"/>
            <w:autoSpaceDN w:val="0"/>
            <w:ind w:hanging="480"/>
            <w:jc w:val="both"/>
            <w:divId w:val="953094308"/>
          </w:pPr>
          <w:r w:rsidRPr="003872DB">
            <w:t xml:space="preserve">Luo, Y., &amp; Zhang, C. (2020). Economic Policy Uncertainty and Stock Price Crash Risk. </w:t>
          </w:r>
          <w:r w:rsidRPr="003872DB">
            <w:rPr>
              <w:i/>
              <w:iCs/>
            </w:rPr>
            <w:t>Research in International Business and Finance</w:t>
          </w:r>
          <w:r w:rsidRPr="003872DB">
            <w:t xml:space="preserve">, </w:t>
          </w:r>
          <w:r w:rsidRPr="003872DB">
            <w:rPr>
              <w:i/>
              <w:iCs/>
            </w:rPr>
            <w:t>51</w:t>
          </w:r>
          <w:r w:rsidRPr="003872DB">
            <w:t>. https://doi.org/10.1016/j.ribaf.2019.101112</w:t>
          </w:r>
        </w:p>
        <w:p w14:paraId="56051585" w14:textId="77777777" w:rsidR="003872DB" w:rsidRPr="003872DB" w:rsidRDefault="003872DB" w:rsidP="00A210D3">
          <w:pPr>
            <w:autoSpaceDE w:val="0"/>
            <w:autoSpaceDN w:val="0"/>
            <w:ind w:hanging="480"/>
            <w:jc w:val="both"/>
            <w:divId w:val="602569078"/>
          </w:pPr>
          <w:r w:rsidRPr="003872DB">
            <w:t xml:space="preserve">Makadok,  Richard. (2010). Invited Editorial: The Four Theories of Profit and Their Joint Effects. </w:t>
          </w:r>
          <w:r w:rsidRPr="003872DB">
            <w:rPr>
              <w:i/>
              <w:iCs/>
            </w:rPr>
            <w:t>Journal of Management</w:t>
          </w:r>
          <w:r w:rsidRPr="003872DB">
            <w:t xml:space="preserve">, </w:t>
          </w:r>
          <w:r w:rsidRPr="003872DB">
            <w:rPr>
              <w:i/>
              <w:iCs/>
            </w:rPr>
            <w:t>37</w:t>
          </w:r>
          <w:r w:rsidRPr="003872DB">
            <w:t>(5), 1316–1334. https://doi.org/10.1177/0149206310385697</w:t>
          </w:r>
        </w:p>
        <w:p w14:paraId="1C176A5B" w14:textId="77777777" w:rsidR="003872DB" w:rsidRPr="003872DB" w:rsidRDefault="003872DB" w:rsidP="00A210D3">
          <w:pPr>
            <w:autoSpaceDE w:val="0"/>
            <w:autoSpaceDN w:val="0"/>
            <w:ind w:hanging="480"/>
            <w:jc w:val="both"/>
            <w:divId w:val="1760055798"/>
          </w:pPr>
          <w:r w:rsidRPr="003872DB">
            <w:t xml:space="preserve">Makrychoriti, P., &amp; Pyrgiotakis, E. G. (2024). Firm-Level Political Risk and Stock Price Crashes. </w:t>
          </w:r>
          <w:r w:rsidRPr="003872DB">
            <w:rPr>
              <w:i/>
              <w:iCs/>
            </w:rPr>
            <w:t>Journal of Financial Stability</w:t>
          </w:r>
          <w:r w:rsidRPr="003872DB">
            <w:t xml:space="preserve">, </w:t>
          </w:r>
          <w:r w:rsidRPr="003872DB">
            <w:rPr>
              <w:i/>
              <w:iCs/>
            </w:rPr>
            <w:t>74</w:t>
          </w:r>
          <w:r w:rsidRPr="003872DB">
            <w:t>, 101303. https://doi.org/10.1016/j.jfs.2024.101303</w:t>
          </w:r>
        </w:p>
        <w:p w14:paraId="4957F322" w14:textId="77777777" w:rsidR="003872DB" w:rsidRPr="003872DB" w:rsidRDefault="003872DB" w:rsidP="00A210D3">
          <w:pPr>
            <w:autoSpaceDE w:val="0"/>
            <w:autoSpaceDN w:val="0"/>
            <w:ind w:hanging="480"/>
            <w:jc w:val="both"/>
            <w:divId w:val="1514882754"/>
          </w:pPr>
          <w:r w:rsidRPr="003872DB">
            <w:t xml:space="preserve">Manjunath, R. S., Sivarajadhanavel, P., Krishnamoorthy, V., Akshaya, N., &amp; Haleema, K. S. (2020). Foreign Currency such as US Dollar, Euro, Pound Sterling, Japanese Yen, Gold </w:t>
          </w:r>
          <w:r w:rsidRPr="003872DB">
            <w:lastRenderedPageBreak/>
            <w:t xml:space="preserve">and Crude Oil Price Impact on Indian Stock Indices – BSE and NSE. </w:t>
          </w:r>
          <w:r w:rsidRPr="003872DB">
            <w:rPr>
              <w:i/>
              <w:iCs/>
            </w:rPr>
            <w:t>International Journal of Scientific and Technology Research</w:t>
          </w:r>
          <w:r w:rsidRPr="003872DB">
            <w:t xml:space="preserve">, </w:t>
          </w:r>
          <w:r w:rsidRPr="003872DB">
            <w:rPr>
              <w:i/>
              <w:iCs/>
            </w:rPr>
            <w:t>9</w:t>
          </w:r>
          <w:r w:rsidRPr="003872DB">
            <w:t>(3), 6809–6817.</w:t>
          </w:r>
        </w:p>
        <w:p w14:paraId="4E174388" w14:textId="77777777" w:rsidR="003872DB" w:rsidRPr="003872DB" w:rsidRDefault="003872DB" w:rsidP="00A210D3">
          <w:pPr>
            <w:autoSpaceDE w:val="0"/>
            <w:autoSpaceDN w:val="0"/>
            <w:ind w:hanging="480"/>
            <w:jc w:val="both"/>
            <w:divId w:val="1024406414"/>
          </w:pPr>
          <w:r w:rsidRPr="003872DB">
            <w:t xml:space="preserve">Meckling, W. H., &amp; Jensen, M. C. (1976). Theory of the Firm: Managerial Behavior, Agency Costs and Ownership Structure. </w:t>
          </w:r>
          <w:r w:rsidRPr="003872DB">
            <w:rPr>
              <w:i/>
              <w:iCs/>
            </w:rPr>
            <w:t>Journal of Financial Economics (JFE)</w:t>
          </w:r>
          <w:r w:rsidRPr="003872DB">
            <w:t xml:space="preserve">, </w:t>
          </w:r>
          <w:r w:rsidRPr="003872DB">
            <w:rPr>
              <w:i/>
              <w:iCs/>
            </w:rPr>
            <w:t>3</w:t>
          </w:r>
          <w:r w:rsidRPr="003872DB">
            <w:t>(4). https://doi.org/10.2139/ssrn.94043</w:t>
          </w:r>
        </w:p>
        <w:p w14:paraId="6D868CA0" w14:textId="77777777" w:rsidR="003872DB" w:rsidRPr="003872DB" w:rsidRDefault="003872DB" w:rsidP="00A210D3">
          <w:pPr>
            <w:autoSpaceDE w:val="0"/>
            <w:autoSpaceDN w:val="0"/>
            <w:ind w:hanging="480"/>
            <w:jc w:val="both"/>
            <w:divId w:val="795955624"/>
          </w:pPr>
          <w:r w:rsidRPr="003872DB">
            <w:t xml:space="preserve">Oanh, T. T. K., Anh, N. V. H., Phung, N. N. Y., &amp; Duong, K. D. (2023). CEO Overpower and Stock Price Crash Risk: Evidence from Family Businesses in Vietnam. </w:t>
          </w:r>
          <w:r w:rsidRPr="003872DB">
            <w:rPr>
              <w:i/>
              <w:iCs/>
            </w:rPr>
            <w:t>Journal of Eastern European and Central Asian Research (JEECAR)</w:t>
          </w:r>
          <w:r w:rsidRPr="003872DB">
            <w:t xml:space="preserve">, </w:t>
          </w:r>
          <w:r w:rsidRPr="003872DB">
            <w:rPr>
              <w:i/>
              <w:iCs/>
            </w:rPr>
            <w:t>10</w:t>
          </w:r>
          <w:r w:rsidRPr="003872DB">
            <w:t>, 425–438. https://doi.org/10.15549/jeecar.v10i3.1195</w:t>
          </w:r>
        </w:p>
        <w:p w14:paraId="5DCDB642" w14:textId="77777777" w:rsidR="003872DB" w:rsidRPr="003872DB" w:rsidRDefault="003872DB" w:rsidP="00A210D3">
          <w:pPr>
            <w:autoSpaceDE w:val="0"/>
            <w:autoSpaceDN w:val="0"/>
            <w:ind w:hanging="480"/>
            <w:jc w:val="both"/>
            <w:divId w:val="1202980989"/>
          </w:pPr>
          <w:r w:rsidRPr="003872DB">
            <w:t xml:space="preserve">Shahab, Y., Ntim, C. G., Ullah, F., Yugang, C., &amp; Ye, Z. (2020). CEO Power and Stock Price Crash Risk in China: Do Female Directors’ Critical Mass and Ownership Structure Matter? </w:t>
          </w:r>
          <w:r w:rsidRPr="003872DB">
            <w:rPr>
              <w:i/>
              <w:iCs/>
            </w:rPr>
            <w:t>International Review of Financial Analysis</w:t>
          </w:r>
          <w:r w:rsidRPr="003872DB">
            <w:t xml:space="preserve">, </w:t>
          </w:r>
          <w:r w:rsidRPr="003872DB">
            <w:rPr>
              <w:i/>
              <w:iCs/>
            </w:rPr>
            <w:t>68</w:t>
          </w:r>
          <w:r w:rsidRPr="003872DB">
            <w:t>. https://doi.org/10.1016/j.irfa.2020.101457</w:t>
          </w:r>
        </w:p>
        <w:p w14:paraId="37D5DD9D" w14:textId="77777777" w:rsidR="003872DB" w:rsidRPr="003872DB" w:rsidRDefault="003872DB" w:rsidP="00A210D3">
          <w:pPr>
            <w:autoSpaceDE w:val="0"/>
            <w:autoSpaceDN w:val="0"/>
            <w:ind w:hanging="480"/>
            <w:jc w:val="both"/>
            <w:divId w:val="553662514"/>
          </w:pPr>
          <w:r w:rsidRPr="003872DB">
            <w:t xml:space="preserve">Stremitzer, Alexander. (2018). </w:t>
          </w:r>
          <w:r w:rsidRPr="003872DB">
            <w:rPr>
              <w:i/>
              <w:iCs/>
            </w:rPr>
            <w:t>Agency Theory: Methodology, Analysis A Structured Approach to Writing Contracts</w:t>
          </w:r>
          <w:r w:rsidRPr="003872DB">
            <w:t>. Peter Lang International Academic Publishers. https://doi.org/10.3726/b13920</w:t>
          </w:r>
        </w:p>
        <w:p w14:paraId="09045F83" w14:textId="22A3AF7F" w:rsidR="004D4277" w:rsidRPr="00FB3A86" w:rsidRDefault="003872DB" w:rsidP="00A210D3">
          <w:pPr>
            <w:pStyle w:val="Appendix"/>
            <w:spacing w:after="0"/>
            <w:ind w:left="-120"/>
            <w:jc w:val="both"/>
            <w:rPr>
              <w:rFonts w:ascii="Arial" w:hAnsi="Arial" w:cs="Arial"/>
              <w:b w:val="0"/>
            </w:rPr>
            <w:sectPr w:rsidR="004D4277" w:rsidRPr="00FB3A86" w:rsidSect="009B702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3872DB">
            <w:rPr>
              <w:b w:val="0"/>
            </w:rPr>
            <w:t> </w:t>
          </w:r>
        </w:p>
      </w:sdtContent>
    </w:sdt>
    <w:p w14:paraId="07D0DB11" w14:textId="77777777" w:rsidR="00B01FCD" w:rsidRPr="00FB3A86" w:rsidRDefault="00B01FCD" w:rsidP="00A210D3">
      <w:pPr>
        <w:pStyle w:val="Appendix"/>
        <w:spacing w:after="0"/>
        <w:jc w:val="both"/>
        <w:rPr>
          <w:rFonts w:ascii="Arial" w:hAnsi="Arial" w:cs="Arial"/>
          <w:b w:val="0"/>
        </w:rPr>
      </w:pPr>
    </w:p>
    <w:sectPr w:rsidR="00B01FCD" w:rsidRPr="00FB3A86" w:rsidSect="009B702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E6F8" w14:textId="77777777" w:rsidR="009727C8" w:rsidRDefault="009727C8" w:rsidP="00C37E61">
      <w:r>
        <w:separator/>
      </w:r>
    </w:p>
  </w:endnote>
  <w:endnote w:type="continuationSeparator" w:id="0">
    <w:p w14:paraId="736CFEAE" w14:textId="77777777" w:rsidR="009727C8" w:rsidRDefault="009727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326F" w14:textId="77777777" w:rsidR="009B702A" w:rsidRDefault="009B7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B980" w14:textId="58F9D0B2" w:rsidR="00C37E61" w:rsidRPr="00E86B17" w:rsidRDefault="00C37E61" w:rsidP="00E86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1C85" w14:textId="77777777" w:rsidR="009E048A" w:rsidRDefault="009E048A">
    <w:pPr>
      <w:pStyle w:val="Footer"/>
      <w:rPr>
        <w:rFonts w:ascii="Arial" w:hAnsi="Arial" w:cs="Arial"/>
        <w:sz w:val="16"/>
      </w:rPr>
    </w:pPr>
  </w:p>
  <w:p w14:paraId="30C0DB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1C01E1A" w14:textId="77777777" w:rsidR="009E048A" w:rsidRDefault="009E048A">
    <w:pPr>
      <w:pStyle w:val="Footer"/>
      <w:rPr>
        <w:rFonts w:ascii="Arial" w:hAnsi="Arial" w:cs="Arial"/>
        <w:sz w:val="16"/>
      </w:rPr>
    </w:pPr>
  </w:p>
  <w:p w14:paraId="724FC3B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07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84A8" w14:textId="77777777" w:rsidR="009727C8" w:rsidRDefault="009727C8" w:rsidP="00C37E61">
      <w:r>
        <w:separator/>
      </w:r>
    </w:p>
  </w:footnote>
  <w:footnote w:type="continuationSeparator" w:id="0">
    <w:p w14:paraId="424031F9" w14:textId="77777777" w:rsidR="009727C8" w:rsidRDefault="009727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6B64" w14:textId="426ED732" w:rsidR="009B702A" w:rsidRDefault="00000000">
    <w:pPr>
      <w:pStyle w:val="Header"/>
    </w:pPr>
    <w:r>
      <w:rPr>
        <w:noProof/>
      </w:rPr>
      <w:pict w14:anchorId="767A0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89ED" w14:textId="64C3F7CA" w:rsidR="009B702A" w:rsidRDefault="00000000">
    <w:pPr>
      <w:pStyle w:val="Header"/>
    </w:pPr>
    <w:r>
      <w:rPr>
        <w:noProof/>
      </w:rPr>
      <w:pict w14:anchorId="17850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CD63" w14:textId="00FA9A87" w:rsidR="00296529" w:rsidRPr="00296529" w:rsidRDefault="00000000" w:rsidP="00296529">
    <w:pPr>
      <w:ind w:left="2160"/>
      <w:jc w:val="center"/>
      <w:rPr>
        <w:rFonts w:ascii="Times New Roman" w:eastAsia="Calibri" w:hAnsi="Times New Roman"/>
        <w:i/>
        <w:sz w:val="18"/>
        <w:szCs w:val="22"/>
      </w:rPr>
    </w:pPr>
    <w:r>
      <w:rPr>
        <w:noProof/>
      </w:rPr>
      <w:pict w14:anchorId="2EB56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5327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2BDA3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5E4C0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97E4F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38911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229D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6450" w14:textId="4EAF7CFE" w:rsidR="009B702A" w:rsidRDefault="00000000">
    <w:pPr>
      <w:pStyle w:val="Header"/>
    </w:pPr>
    <w:r>
      <w:rPr>
        <w:noProof/>
      </w:rPr>
      <w:pict w14:anchorId="1DAB4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7AC1" w14:textId="54F3CA47" w:rsidR="009B702A" w:rsidRDefault="00000000">
    <w:pPr>
      <w:pStyle w:val="Header"/>
    </w:pPr>
    <w:r>
      <w:rPr>
        <w:noProof/>
      </w:rPr>
      <w:pict w14:anchorId="3CBA5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D0D1" w14:textId="2ACFFD29" w:rsidR="009B702A" w:rsidRDefault="00000000">
    <w:pPr>
      <w:pStyle w:val="Header"/>
    </w:pPr>
    <w:r>
      <w:rPr>
        <w:noProof/>
      </w:rPr>
      <w:pict w14:anchorId="17120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FA618E"/>
    <w:multiLevelType w:val="hybridMultilevel"/>
    <w:tmpl w:val="CCC2C726"/>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060182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96010582">
    <w:abstractNumId w:val="16"/>
  </w:num>
  <w:num w:numId="3" w16cid:durableId="1914270266">
    <w:abstractNumId w:val="24"/>
  </w:num>
  <w:num w:numId="4" w16cid:durableId="122482967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8224791">
    <w:abstractNumId w:val="7"/>
  </w:num>
  <w:num w:numId="6" w16cid:durableId="434980664">
    <w:abstractNumId w:val="6"/>
  </w:num>
  <w:num w:numId="7" w16cid:durableId="2123379921">
    <w:abstractNumId w:val="1"/>
  </w:num>
  <w:num w:numId="8" w16cid:durableId="1312296126">
    <w:abstractNumId w:val="12"/>
  </w:num>
  <w:num w:numId="9" w16cid:durableId="488398856">
    <w:abstractNumId w:val="26"/>
  </w:num>
  <w:num w:numId="10" w16cid:durableId="1702395406">
    <w:abstractNumId w:val="2"/>
  </w:num>
  <w:num w:numId="11" w16cid:durableId="619261114">
    <w:abstractNumId w:val="19"/>
  </w:num>
  <w:num w:numId="12" w16cid:durableId="936399536">
    <w:abstractNumId w:val="3"/>
  </w:num>
  <w:num w:numId="13" w16cid:durableId="779107162">
    <w:abstractNumId w:val="18"/>
  </w:num>
  <w:num w:numId="14" w16cid:durableId="1035495798">
    <w:abstractNumId w:val="8"/>
  </w:num>
  <w:num w:numId="15" w16cid:durableId="123230692">
    <w:abstractNumId w:val="22"/>
  </w:num>
  <w:num w:numId="16" w16cid:durableId="1407799455">
    <w:abstractNumId w:val="5"/>
  </w:num>
  <w:num w:numId="17" w16cid:durableId="1965889698">
    <w:abstractNumId w:val="23"/>
  </w:num>
  <w:num w:numId="18" w16cid:durableId="430705457">
    <w:abstractNumId w:val="14"/>
  </w:num>
  <w:num w:numId="19" w16cid:durableId="439761420">
    <w:abstractNumId w:val="29"/>
  </w:num>
  <w:num w:numId="20" w16cid:durableId="815881952">
    <w:abstractNumId w:val="11"/>
  </w:num>
  <w:num w:numId="21" w16cid:durableId="758214372">
    <w:abstractNumId w:val="9"/>
  </w:num>
  <w:num w:numId="22" w16cid:durableId="882135007">
    <w:abstractNumId w:val="13"/>
  </w:num>
  <w:num w:numId="23" w16cid:durableId="1232155165">
    <w:abstractNumId w:val="20"/>
  </w:num>
  <w:num w:numId="24" w16cid:durableId="539589030">
    <w:abstractNumId w:val="27"/>
  </w:num>
  <w:num w:numId="25" w16cid:durableId="1200432284">
    <w:abstractNumId w:val="4"/>
  </w:num>
  <w:num w:numId="26" w16cid:durableId="810319367">
    <w:abstractNumId w:val="17"/>
  </w:num>
  <w:num w:numId="27" w16cid:durableId="1107231468">
    <w:abstractNumId w:val="21"/>
  </w:num>
  <w:num w:numId="28" w16cid:durableId="1493063617">
    <w:abstractNumId w:val="28"/>
  </w:num>
  <w:num w:numId="29" w16cid:durableId="239220147">
    <w:abstractNumId w:val="25"/>
  </w:num>
  <w:num w:numId="30" w16cid:durableId="739251755">
    <w:abstractNumId w:val="10"/>
  </w:num>
  <w:num w:numId="31" w16cid:durableId="3934781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271"/>
    <w:rsid w:val="000156E6"/>
    <w:rsid w:val="000274DF"/>
    <w:rsid w:val="00030174"/>
    <w:rsid w:val="0004579C"/>
    <w:rsid w:val="000A47FA"/>
    <w:rsid w:val="000A65D3"/>
    <w:rsid w:val="000B1E33"/>
    <w:rsid w:val="000D689F"/>
    <w:rsid w:val="000E7B7B"/>
    <w:rsid w:val="000E7D62"/>
    <w:rsid w:val="00100D14"/>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345"/>
    <w:rsid w:val="0024282C"/>
    <w:rsid w:val="002460DC"/>
    <w:rsid w:val="00250985"/>
    <w:rsid w:val="00253389"/>
    <w:rsid w:val="002556F6"/>
    <w:rsid w:val="00257605"/>
    <w:rsid w:val="00261E51"/>
    <w:rsid w:val="00283105"/>
    <w:rsid w:val="00284C4C"/>
    <w:rsid w:val="00287E68"/>
    <w:rsid w:val="00296529"/>
    <w:rsid w:val="002B27FB"/>
    <w:rsid w:val="002B685A"/>
    <w:rsid w:val="002C57D2"/>
    <w:rsid w:val="002C7BA8"/>
    <w:rsid w:val="002D0C9C"/>
    <w:rsid w:val="002E0D56"/>
    <w:rsid w:val="00315186"/>
    <w:rsid w:val="0033343E"/>
    <w:rsid w:val="003512C2"/>
    <w:rsid w:val="00371FB6"/>
    <w:rsid w:val="003763C1"/>
    <w:rsid w:val="00376BBE"/>
    <w:rsid w:val="003872DB"/>
    <w:rsid w:val="0039224F"/>
    <w:rsid w:val="003A43A4"/>
    <w:rsid w:val="003A7E18"/>
    <w:rsid w:val="003C4C86"/>
    <w:rsid w:val="003C6258"/>
    <w:rsid w:val="003E2904"/>
    <w:rsid w:val="00401927"/>
    <w:rsid w:val="0041027F"/>
    <w:rsid w:val="004118EF"/>
    <w:rsid w:val="00412475"/>
    <w:rsid w:val="00423789"/>
    <w:rsid w:val="00440F43"/>
    <w:rsid w:val="00441B6F"/>
    <w:rsid w:val="00446221"/>
    <w:rsid w:val="00450E62"/>
    <w:rsid w:val="004539DB"/>
    <w:rsid w:val="00471A80"/>
    <w:rsid w:val="004B05B0"/>
    <w:rsid w:val="004B0659"/>
    <w:rsid w:val="004D305E"/>
    <w:rsid w:val="004D4277"/>
    <w:rsid w:val="00502516"/>
    <w:rsid w:val="00505F06"/>
    <w:rsid w:val="00506828"/>
    <w:rsid w:val="00511092"/>
    <w:rsid w:val="0053056E"/>
    <w:rsid w:val="005472E3"/>
    <w:rsid w:val="00554FDA"/>
    <w:rsid w:val="005A33A2"/>
    <w:rsid w:val="005C784C"/>
    <w:rsid w:val="005D17F6"/>
    <w:rsid w:val="005E5539"/>
    <w:rsid w:val="005F760F"/>
    <w:rsid w:val="00602BF5"/>
    <w:rsid w:val="00617FDD"/>
    <w:rsid w:val="006314A0"/>
    <w:rsid w:val="00633614"/>
    <w:rsid w:val="00633F68"/>
    <w:rsid w:val="00636EB2"/>
    <w:rsid w:val="006375B8"/>
    <w:rsid w:val="00643867"/>
    <w:rsid w:val="0066510A"/>
    <w:rsid w:val="00673F9F"/>
    <w:rsid w:val="00686953"/>
    <w:rsid w:val="00687DEA"/>
    <w:rsid w:val="00687E67"/>
    <w:rsid w:val="00694FC4"/>
    <w:rsid w:val="006967F7"/>
    <w:rsid w:val="006A250C"/>
    <w:rsid w:val="006B21D3"/>
    <w:rsid w:val="006B57D0"/>
    <w:rsid w:val="006B7BE9"/>
    <w:rsid w:val="006D30FF"/>
    <w:rsid w:val="006D6940"/>
    <w:rsid w:val="006F11EC"/>
    <w:rsid w:val="0070082C"/>
    <w:rsid w:val="00724A12"/>
    <w:rsid w:val="007369E6"/>
    <w:rsid w:val="00746E59"/>
    <w:rsid w:val="00754C9A"/>
    <w:rsid w:val="0075599A"/>
    <w:rsid w:val="00761D52"/>
    <w:rsid w:val="0077749E"/>
    <w:rsid w:val="00790ADA"/>
    <w:rsid w:val="007A3ED5"/>
    <w:rsid w:val="007D2288"/>
    <w:rsid w:val="007E088F"/>
    <w:rsid w:val="007E49BD"/>
    <w:rsid w:val="007F7B32"/>
    <w:rsid w:val="00804BC2"/>
    <w:rsid w:val="0081431A"/>
    <w:rsid w:val="0081700C"/>
    <w:rsid w:val="0083216F"/>
    <w:rsid w:val="00851EC2"/>
    <w:rsid w:val="00860000"/>
    <w:rsid w:val="00863BD3"/>
    <w:rsid w:val="008641ED"/>
    <w:rsid w:val="00866D66"/>
    <w:rsid w:val="008671C6"/>
    <w:rsid w:val="0086722C"/>
    <w:rsid w:val="00875803"/>
    <w:rsid w:val="008B459E"/>
    <w:rsid w:val="008E13AE"/>
    <w:rsid w:val="008E1506"/>
    <w:rsid w:val="008E710C"/>
    <w:rsid w:val="008F69D6"/>
    <w:rsid w:val="00902823"/>
    <w:rsid w:val="00904BE1"/>
    <w:rsid w:val="00915CA6"/>
    <w:rsid w:val="009201FB"/>
    <w:rsid w:val="00927834"/>
    <w:rsid w:val="009500A6"/>
    <w:rsid w:val="00957C18"/>
    <w:rsid w:val="009659BA"/>
    <w:rsid w:val="009727C8"/>
    <w:rsid w:val="00983040"/>
    <w:rsid w:val="00997275"/>
    <w:rsid w:val="009B3FB9"/>
    <w:rsid w:val="009B702A"/>
    <w:rsid w:val="009C2465"/>
    <w:rsid w:val="009D35A0"/>
    <w:rsid w:val="009D7EB7"/>
    <w:rsid w:val="009E048A"/>
    <w:rsid w:val="009E08E9"/>
    <w:rsid w:val="009E3DB9"/>
    <w:rsid w:val="009E5699"/>
    <w:rsid w:val="009E6E35"/>
    <w:rsid w:val="009F0EDA"/>
    <w:rsid w:val="00A02159"/>
    <w:rsid w:val="00A03B96"/>
    <w:rsid w:val="00A05B19"/>
    <w:rsid w:val="00A1134E"/>
    <w:rsid w:val="00A17AAC"/>
    <w:rsid w:val="00A210D3"/>
    <w:rsid w:val="00A24E7E"/>
    <w:rsid w:val="00A258C3"/>
    <w:rsid w:val="00A347C0"/>
    <w:rsid w:val="00A51431"/>
    <w:rsid w:val="00A539AD"/>
    <w:rsid w:val="00A76E54"/>
    <w:rsid w:val="00A94063"/>
    <w:rsid w:val="00AA6219"/>
    <w:rsid w:val="00AA74E0"/>
    <w:rsid w:val="00AB703F"/>
    <w:rsid w:val="00AC6BB8"/>
    <w:rsid w:val="00AE008F"/>
    <w:rsid w:val="00B01FCD"/>
    <w:rsid w:val="00B1776C"/>
    <w:rsid w:val="00B26FDC"/>
    <w:rsid w:val="00B52583"/>
    <w:rsid w:val="00B52896"/>
    <w:rsid w:val="00B95236"/>
    <w:rsid w:val="00B95D3F"/>
    <w:rsid w:val="00B96BD9"/>
    <w:rsid w:val="00BA1B01"/>
    <w:rsid w:val="00BA2641"/>
    <w:rsid w:val="00BB37AA"/>
    <w:rsid w:val="00BC53A0"/>
    <w:rsid w:val="00BE62AD"/>
    <w:rsid w:val="00BF121F"/>
    <w:rsid w:val="00BF1F80"/>
    <w:rsid w:val="00C166EF"/>
    <w:rsid w:val="00C17EB0"/>
    <w:rsid w:val="00C27F5F"/>
    <w:rsid w:val="00C30A0F"/>
    <w:rsid w:val="00C36232"/>
    <w:rsid w:val="00C37E61"/>
    <w:rsid w:val="00C70F1B"/>
    <w:rsid w:val="00C71A47"/>
    <w:rsid w:val="00C7464C"/>
    <w:rsid w:val="00C85588"/>
    <w:rsid w:val="00CD6755"/>
    <w:rsid w:val="00CD6856"/>
    <w:rsid w:val="00CE0089"/>
    <w:rsid w:val="00CE793C"/>
    <w:rsid w:val="00CF193C"/>
    <w:rsid w:val="00D173F1"/>
    <w:rsid w:val="00D33219"/>
    <w:rsid w:val="00D73E42"/>
    <w:rsid w:val="00D74CB0"/>
    <w:rsid w:val="00D8295D"/>
    <w:rsid w:val="00DC2A65"/>
    <w:rsid w:val="00DE15F0"/>
    <w:rsid w:val="00DE5663"/>
    <w:rsid w:val="00DE5DB9"/>
    <w:rsid w:val="00DE78AA"/>
    <w:rsid w:val="00E053D0"/>
    <w:rsid w:val="00E15994"/>
    <w:rsid w:val="00E3114E"/>
    <w:rsid w:val="00E31A70"/>
    <w:rsid w:val="00E35B02"/>
    <w:rsid w:val="00E43F65"/>
    <w:rsid w:val="00E66496"/>
    <w:rsid w:val="00E66B35"/>
    <w:rsid w:val="00E66E10"/>
    <w:rsid w:val="00E75022"/>
    <w:rsid w:val="00E769F6"/>
    <w:rsid w:val="00E8407C"/>
    <w:rsid w:val="00E84F3C"/>
    <w:rsid w:val="00E8594F"/>
    <w:rsid w:val="00E86B17"/>
    <w:rsid w:val="00EA012C"/>
    <w:rsid w:val="00EC6A55"/>
    <w:rsid w:val="00ED0288"/>
    <w:rsid w:val="00EE52CB"/>
    <w:rsid w:val="00EF581D"/>
    <w:rsid w:val="00EF7FD8"/>
    <w:rsid w:val="00F012B9"/>
    <w:rsid w:val="00F06F59"/>
    <w:rsid w:val="00F140C9"/>
    <w:rsid w:val="00F15D01"/>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EA591"/>
  <w15:docId w15:val="{0BC75741-8762-4B2C-9674-D9E32318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6B7BE9"/>
    <w:rPr>
      <w:color w:val="666666"/>
    </w:rPr>
  </w:style>
  <w:style w:type="paragraph" w:styleId="ListParagraph">
    <w:name w:val="List Paragraph"/>
    <w:basedOn w:val="Normal"/>
    <w:uiPriority w:val="34"/>
    <w:qFormat/>
    <w:rsid w:val="00A76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4980506">
      <w:marLeft w:val="480"/>
      <w:marRight w:val="0"/>
      <w:marTop w:val="0"/>
      <w:marBottom w:val="0"/>
      <w:divBdr>
        <w:top w:val="none" w:sz="0" w:space="0" w:color="auto"/>
        <w:left w:val="none" w:sz="0" w:space="0" w:color="auto"/>
        <w:bottom w:val="none" w:sz="0" w:space="0" w:color="auto"/>
        <w:right w:val="none" w:sz="0" w:space="0" w:color="auto"/>
      </w:divBdr>
    </w:div>
    <w:div w:id="148138098">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7202963">
      <w:marLeft w:val="480"/>
      <w:marRight w:val="0"/>
      <w:marTop w:val="0"/>
      <w:marBottom w:val="0"/>
      <w:divBdr>
        <w:top w:val="none" w:sz="0" w:space="0" w:color="auto"/>
        <w:left w:val="none" w:sz="0" w:space="0" w:color="auto"/>
        <w:bottom w:val="none" w:sz="0" w:space="0" w:color="auto"/>
        <w:right w:val="none" w:sz="0" w:space="0" w:color="auto"/>
      </w:divBdr>
    </w:div>
    <w:div w:id="211578356">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99562">
      <w:marLeft w:val="480"/>
      <w:marRight w:val="0"/>
      <w:marTop w:val="0"/>
      <w:marBottom w:val="0"/>
      <w:divBdr>
        <w:top w:val="none" w:sz="0" w:space="0" w:color="auto"/>
        <w:left w:val="none" w:sz="0" w:space="0" w:color="auto"/>
        <w:bottom w:val="none" w:sz="0" w:space="0" w:color="auto"/>
        <w:right w:val="none" w:sz="0" w:space="0" w:color="auto"/>
      </w:divBdr>
    </w:div>
    <w:div w:id="282536746">
      <w:marLeft w:val="480"/>
      <w:marRight w:val="0"/>
      <w:marTop w:val="0"/>
      <w:marBottom w:val="0"/>
      <w:divBdr>
        <w:top w:val="none" w:sz="0" w:space="0" w:color="auto"/>
        <w:left w:val="none" w:sz="0" w:space="0" w:color="auto"/>
        <w:bottom w:val="none" w:sz="0" w:space="0" w:color="auto"/>
        <w:right w:val="none" w:sz="0" w:space="0" w:color="auto"/>
      </w:divBdr>
    </w:div>
    <w:div w:id="338507237">
      <w:marLeft w:val="480"/>
      <w:marRight w:val="0"/>
      <w:marTop w:val="0"/>
      <w:marBottom w:val="0"/>
      <w:divBdr>
        <w:top w:val="none" w:sz="0" w:space="0" w:color="auto"/>
        <w:left w:val="none" w:sz="0" w:space="0" w:color="auto"/>
        <w:bottom w:val="none" w:sz="0" w:space="0" w:color="auto"/>
        <w:right w:val="none" w:sz="0" w:space="0" w:color="auto"/>
      </w:divBdr>
    </w:div>
    <w:div w:id="459879480">
      <w:marLeft w:val="480"/>
      <w:marRight w:val="0"/>
      <w:marTop w:val="0"/>
      <w:marBottom w:val="0"/>
      <w:divBdr>
        <w:top w:val="none" w:sz="0" w:space="0" w:color="auto"/>
        <w:left w:val="none" w:sz="0" w:space="0" w:color="auto"/>
        <w:bottom w:val="none" w:sz="0" w:space="0" w:color="auto"/>
        <w:right w:val="none" w:sz="0" w:space="0" w:color="auto"/>
      </w:divBdr>
    </w:div>
    <w:div w:id="523443142">
      <w:marLeft w:val="480"/>
      <w:marRight w:val="0"/>
      <w:marTop w:val="0"/>
      <w:marBottom w:val="0"/>
      <w:divBdr>
        <w:top w:val="none" w:sz="0" w:space="0" w:color="auto"/>
        <w:left w:val="none" w:sz="0" w:space="0" w:color="auto"/>
        <w:bottom w:val="none" w:sz="0" w:space="0" w:color="auto"/>
        <w:right w:val="none" w:sz="0" w:space="0" w:color="auto"/>
      </w:divBdr>
    </w:div>
    <w:div w:id="553662514">
      <w:marLeft w:val="480"/>
      <w:marRight w:val="0"/>
      <w:marTop w:val="0"/>
      <w:marBottom w:val="0"/>
      <w:divBdr>
        <w:top w:val="none" w:sz="0" w:space="0" w:color="auto"/>
        <w:left w:val="none" w:sz="0" w:space="0" w:color="auto"/>
        <w:bottom w:val="none" w:sz="0" w:space="0" w:color="auto"/>
        <w:right w:val="none" w:sz="0" w:space="0" w:color="auto"/>
      </w:divBdr>
    </w:div>
    <w:div w:id="602569078">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6289311">
      <w:marLeft w:val="480"/>
      <w:marRight w:val="0"/>
      <w:marTop w:val="0"/>
      <w:marBottom w:val="0"/>
      <w:divBdr>
        <w:top w:val="none" w:sz="0" w:space="0" w:color="auto"/>
        <w:left w:val="none" w:sz="0" w:space="0" w:color="auto"/>
        <w:bottom w:val="none" w:sz="0" w:space="0" w:color="auto"/>
        <w:right w:val="none" w:sz="0" w:space="0" w:color="auto"/>
      </w:divBdr>
    </w:div>
    <w:div w:id="795955624">
      <w:marLeft w:val="480"/>
      <w:marRight w:val="0"/>
      <w:marTop w:val="0"/>
      <w:marBottom w:val="0"/>
      <w:divBdr>
        <w:top w:val="none" w:sz="0" w:space="0" w:color="auto"/>
        <w:left w:val="none" w:sz="0" w:space="0" w:color="auto"/>
        <w:bottom w:val="none" w:sz="0" w:space="0" w:color="auto"/>
        <w:right w:val="none" w:sz="0" w:space="0" w:color="auto"/>
      </w:divBdr>
    </w:div>
    <w:div w:id="869875255">
      <w:marLeft w:val="480"/>
      <w:marRight w:val="0"/>
      <w:marTop w:val="0"/>
      <w:marBottom w:val="0"/>
      <w:divBdr>
        <w:top w:val="none" w:sz="0" w:space="0" w:color="auto"/>
        <w:left w:val="none" w:sz="0" w:space="0" w:color="auto"/>
        <w:bottom w:val="none" w:sz="0" w:space="0" w:color="auto"/>
        <w:right w:val="none" w:sz="0" w:space="0" w:color="auto"/>
      </w:divBdr>
    </w:div>
    <w:div w:id="949506102">
      <w:marLeft w:val="480"/>
      <w:marRight w:val="0"/>
      <w:marTop w:val="0"/>
      <w:marBottom w:val="0"/>
      <w:divBdr>
        <w:top w:val="none" w:sz="0" w:space="0" w:color="auto"/>
        <w:left w:val="none" w:sz="0" w:space="0" w:color="auto"/>
        <w:bottom w:val="none" w:sz="0" w:space="0" w:color="auto"/>
        <w:right w:val="none" w:sz="0" w:space="0" w:color="auto"/>
      </w:divBdr>
    </w:div>
    <w:div w:id="953094308">
      <w:marLeft w:val="480"/>
      <w:marRight w:val="0"/>
      <w:marTop w:val="0"/>
      <w:marBottom w:val="0"/>
      <w:divBdr>
        <w:top w:val="none" w:sz="0" w:space="0" w:color="auto"/>
        <w:left w:val="none" w:sz="0" w:space="0" w:color="auto"/>
        <w:bottom w:val="none" w:sz="0" w:space="0" w:color="auto"/>
        <w:right w:val="none" w:sz="0" w:space="0" w:color="auto"/>
      </w:divBdr>
    </w:div>
    <w:div w:id="974679446">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0788879">
      <w:marLeft w:val="480"/>
      <w:marRight w:val="0"/>
      <w:marTop w:val="0"/>
      <w:marBottom w:val="0"/>
      <w:divBdr>
        <w:top w:val="none" w:sz="0" w:space="0" w:color="auto"/>
        <w:left w:val="none" w:sz="0" w:space="0" w:color="auto"/>
        <w:bottom w:val="none" w:sz="0" w:space="0" w:color="auto"/>
        <w:right w:val="none" w:sz="0" w:space="0" w:color="auto"/>
      </w:divBdr>
    </w:div>
    <w:div w:id="992098751">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4406414">
      <w:marLeft w:val="480"/>
      <w:marRight w:val="0"/>
      <w:marTop w:val="0"/>
      <w:marBottom w:val="0"/>
      <w:divBdr>
        <w:top w:val="none" w:sz="0" w:space="0" w:color="auto"/>
        <w:left w:val="none" w:sz="0" w:space="0" w:color="auto"/>
        <w:bottom w:val="none" w:sz="0" w:space="0" w:color="auto"/>
        <w:right w:val="none" w:sz="0" w:space="0" w:color="auto"/>
      </w:divBdr>
    </w:div>
    <w:div w:id="1056011850">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4129513">
      <w:marLeft w:val="480"/>
      <w:marRight w:val="0"/>
      <w:marTop w:val="0"/>
      <w:marBottom w:val="0"/>
      <w:divBdr>
        <w:top w:val="none" w:sz="0" w:space="0" w:color="auto"/>
        <w:left w:val="none" w:sz="0" w:space="0" w:color="auto"/>
        <w:bottom w:val="none" w:sz="0" w:space="0" w:color="auto"/>
        <w:right w:val="none" w:sz="0" w:space="0" w:color="auto"/>
      </w:divBdr>
    </w:div>
    <w:div w:id="1202980989">
      <w:marLeft w:val="480"/>
      <w:marRight w:val="0"/>
      <w:marTop w:val="0"/>
      <w:marBottom w:val="0"/>
      <w:divBdr>
        <w:top w:val="none" w:sz="0" w:space="0" w:color="auto"/>
        <w:left w:val="none" w:sz="0" w:space="0" w:color="auto"/>
        <w:bottom w:val="none" w:sz="0" w:space="0" w:color="auto"/>
        <w:right w:val="none" w:sz="0" w:space="0" w:color="auto"/>
      </w:divBdr>
    </w:div>
    <w:div w:id="1251698136">
      <w:marLeft w:val="480"/>
      <w:marRight w:val="0"/>
      <w:marTop w:val="0"/>
      <w:marBottom w:val="0"/>
      <w:divBdr>
        <w:top w:val="none" w:sz="0" w:space="0" w:color="auto"/>
        <w:left w:val="none" w:sz="0" w:space="0" w:color="auto"/>
        <w:bottom w:val="none" w:sz="0" w:space="0" w:color="auto"/>
        <w:right w:val="none" w:sz="0" w:space="0" w:color="auto"/>
      </w:divBdr>
    </w:div>
    <w:div w:id="1300920464">
      <w:marLeft w:val="480"/>
      <w:marRight w:val="0"/>
      <w:marTop w:val="0"/>
      <w:marBottom w:val="0"/>
      <w:divBdr>
        <w:top w:val="none" w:sz="0" w:space="0" w:color="auto"/>
        <w:left w:val="none" w:sz="0" w:space="0" w:color="auto"/>
        <w:bottom w:val="none" w:sz="0" w:space="0" w:color="auto"/>
        <w:right w:val="none" w:sz="0" w:space="0" w:color="auto"/>
      </w:divBdr>
    </w:div>
    <w:div w:id="1309018294">
      <w:marLeft w:val="480"/>
      <w:marRight w:val="0"/>
      <w:marTop w:val="0"/>
      <w:marBottom w:val="0"/>
      <w:divBdr>
        <w:top w:val="none" w:sz="0" w:space="0" w:color="auto"/>
        <w:left w:val="none" w:sz="0" w:space="0" w:color="auto"/>
        <w:bottom w:val="none" w:sz="0" w:space="0" w:color="auto"/>
        <w:right w:val="none" w:sz="0" w:space="0" w:color="auto"/>
      </w:divBdr>
    </w:div>
    <w:div w:id="1358119275">
      <w:marLeft w:val="480"/>
      <w:marRight w:val="0"/>
      <w:marTop w:val="0"/>
      <w:marBottom w:val="0"/>
      <w:divBdr>
        <w:top w:val="none" w:sz="0" w:space="0" w:color="auto"/>
        <w:left w:val="none" w:sz="0" w:space="0" w:color="auto"/>
        <w:bottom w:val="none" w:sz="0" w:space="0" w:color="auto"/>
        <w:right w:val="none" w:sz="0" w:space="0" w:color="auto"/>
      </w:divBdr>
    </w:div>
    <w:div w:id="1422220399">
      <w:marLeft w:val="480"/>
      <w:marRight w:val="0"/>
      <w:marTop w:val="0"/>
      <w:marBottom w:val="0"/>
      <w:divBdr>
        <w:top w:val="none" w:sz="0" w:space="0" w:color="auto"/>
        <w:left w:val="none" w:sz="0" w:space="0" w:color="auto"/>
        <w:bottom w:val="none" w:sz="0" w:space="0" w:color="auto"/>
        <w:right w:val="none" w:sz="0" w:space="0" w:color="auto"/>
      </w:divBdr>
    </w:div>
    <w:div w:id="1429735829">
      <w:marLeft w:val="480"/>
      <w:marRight w:val="0"/>
      <w:marTop w:val="0"/>
      <w:marBottom w:val="0"/>
      <w:divBdr>
        <w:top w:val="none" w:sz="0" w:space="0" w:color="auto"/>
        <w:left w:val="none" w:sz="0" w:space="0" w:color="auto"/>
        <w:bottom w:val="none" w:sz="0" w:space="0" w:color="auto"/>
        <w:right w:val="none" w:sz="0" w:space="0" w:color="auto"/>
      </w:divBdr>
    </w:div>
    <w:div w:id="1450777292">
      <w:marLeft w:val="480"/>
      <w:marRight w:val="0"/>
      <w:marTop w:val="0"/>
      <w:marBottom w:val="0"/>
      <w:divBdr>
        <w:top w:val="none" w:sz="0" w:space="0" w:color="auto"/>
        <w:left w:val="none" w:sz="0" w:space="0" w:color="auto"/>
        <w:bottom w:val="none" w:sz="0" w:space="0" w:color="auto"/>
        <w:right w:val="none" w:sz="0" w:space="0" w:color="auto"/>
      </w:divBdr>
    </w:div>
    <w:div w:id="1514882754">
      <w:marLeft w:val="480"/>
      <w:marRight w:val="0"/>
      <w:marTop w:val="0"/>
      <w:marBottom w:val="0"/>
      <w:divBdr>
        <w:top w:val="none" w:sz="0" w:space="0" w:color="auto"/>
        <w:left w:val="none" w:sz="0" w:space="0" w:color="auto"/>
        <w:bottom w:val="none" w:sz="0" w:space="0" w:color="auto"/>
        <w:right w:val="none" w:sz="0" w:space="0" w:color="auto"/>
      </w:divBdr>
    </w:div>
    <w:div w:id="1546092139">
      <w:marLeft w:val="480"/>
      <w:marRight w:val="0"/>
      <w:marTop w:val="0"/>
      <w:marBottom w:val="0"/>
      <w:divBdr>
        <w:top w:val="none" w:sz="0" w:space="0" w:color="auto"/>
        <w:left w:val="none" w:sz="0" w:space="0" w:color="auto"/>
        <w:bottom w:val="none" w:sz="0" w:space="0" w:color="auto"/>
        <w:right w:val="none" w:sz="0" w:space="0" w:color="auto"/>
      </w:divBdr>
    </w:div>
    <w:div w:id="1638147581">
      <w:marLeft w:val="480"/>
      <w:marRight w:val="0"/>
      <w:marTop w:val="0"/>
      <w:marBottom w:val="0"/>
      <w:divBdr>
        <w:top w:val="none" w:sz="0" w:space="0" w:color="auto"/>
        <w:left w:val="none" w:sz="0" w:space="0" w:color="auto"/>
        <w:bottom w:val="none" w:sz="0" w:space="0" w:color="auto"/>
        <w:right w:val="none" w:sz="0" w:space="0" w:color="auto"/>
      </w:divBdr>
    </w:div>
    <w:div w:id="1671525870">
      <w:marLeft w:val="480"/>
      <w:marRight w:val="0"/>
      <w:marTop w:val="0"/>
      <w:marBottom w:val="0"/>
      <w:divBdr>
        <w:top w:val="none" w:sz="0" w:space="0" w:color="auto"/>
        <w:left w:val="none" w:sz="0" w:space="0" w:color="auto"/>
        <w:bottom w:val="none" w:sz="0" w:space="0" w:color="auto"/>
        <w:right w:val="none" w:sz="0" w:space="0" w:color="auto"/>
      </w:divBdr>
    </w:div>
    <w:div w:id="1672876178">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9136239">
      <w:marLeft w:val="480"/>
      <w:marRight w:val="0"/>
      <w:marTop w:val="0"/>
      <w:marBottom w:val="0"/>
      <w:divBdr>
        <w:top w:val="none" w:sz="0" w:space="0" w:color="auto"/>
        <w:left w:val="none" w:sz="0" w:space="0" w:color="auto"/>
        <w:bottom w:val="none" w:sz="0" w:space="0" w:color="auto"/>
        <w:right w:val="none" w:sz="0" w:space="0" w:color="auto"/>
      </w:divBdr>
    </w:div>
    <w:div w:id="1760055798">
      <w:marLeft w:val="480"/>
      <w:marRight w:val="0"/>
      <w:marTop w:val="0"/>
      <w:marBottom w:val="0"/>
      <w:divBdr>
        <w:top w:val="none" w:sz="0" w:space="0" w:color="auto"/>
        <w:left w:val="none" w:sz="0" w:space="0" w:color="auto"/>
        <w:bottom w:val="none" w:sz="0" w:space="0" w:color="auto"/>
        <w:right w:val="none" w:sz="0" w:space="0" w:color="auto"/>
      </w:divBdr>
    </w:div>
    <w:div w:id="1769890912">
      <w:marLeft w:val="480"/>
      <w:marRight w:val="0"/>
      <w:marTop w:val="0"/>
      <w:marBottom w:val="0"/>
      <w:divBdr>
        <w:top w:val="none" w:sz="0" w:space="0" w:color="auto"/>
        <w:left w:val="none" w:sz="0" w:space="0" w:color="auto"/>
        <w:bottom w:val="none" w:sz="0" w:space="0" w:color="auto"/>
        <w:right w:val="none" w:sz="0" w:space="0" w:color="auto"/>
      </w:divBdr>
    </w:div>
    <w:div w:id="1970746950">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4581054">
      <w:marLeft w:val="480"/>
      <w:marRight w:val="0"/>
      <w:marTop w:val="0"/>
      <w:marBottom w:val="0"/>
      <w:divBdr>
        <w:top w:val="none" w:sz="0" w:space="0" w:color="auto"/>
        <w:left w:val="none" w:sz="0" w:space="0" w:color="auto"/>
        <w:bottom w:val="none" w:sz="0" w:space="0" w:color="auto"/>
        <w:right w:val="none" w:sz="0" w:space="0" w:color="auto"/>
      </w:divBdr>
    </w:div>
    <w:div w:id="2037921014">
      <w:marLeft w:val="480"/>
      <w:marRight w:val="0"/>
      <w:marTop w:val="0"/>
      <w:marBottom w:val="0"/>
      <w:divBdr>
        <w:top w:val="none" w:sz="0" w:space="0" w:color="auto"/>
        <w:left w:val="none" w:sz="0" w:space="0" w:color="auto"/>
        <w:bottom w:val="none" w:sz="0" w:space="0" w:color="auto"/>
        <w:right w:val="none" w:sz="0" w:space="0" w:color="auto"/>
      </w:divBdr>
    </w:div>
    <w:div w:id="2084839631">
      <w:marLeft w:val="480"/>
      <w:marRight w:val="0"/>
      <w:marTop w:val="0"/>
      <w:marBottom w:val="0"/>
      <w:divBdr>
        <w:top w:val="none" w:sz="0" w:space="0" w:color="auto"/>
        <w:left w:val="none" w:sz="0" w:space="0" w:color="auto"/>
        <w:bottom w:val="none" w:sz="0" w:space="0" w:color="auto"/>
        <w:right w:val="none" w:sz="0" w:space="0" w:color="auto"/>
      </w:divBdr>
    </w:div>
    <w:div w:id="2116552495">
      <w:marLeft w:val="480"/>
      <w:marRight w:val="0"/>
      <w:marTop w:val="0"/>
      <w:marBottom w:val="0"/>
      <w:divBdr>
        <w:top w:val="none" w:sz="0" w:space="0" w:color="auto"/>
        <w:left w:val="none" w:sz="0" w:space="0" w:color="auto"/>
        <w:bottom w:val="none" w:sz="0" w:space="0" w:color="auto"/>
        <w:right w:val="none" w:sz="0" w:space="0" w:color="auto"/>
      </w:divBdr>
    </w:div>
    <w:div w:id="2121338141">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E2A0BA-AC17-4A2B-96B6-B3AE5E6B6816}"/>
      </w:docPartPr>
      <w:docPartBody>
        <w:p w:rsidR="0091632E" w:rsidRDefault="0091632E">
          <w:r w:rsidRPr="00A937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2E"/>
    <w:rsid w:val="00215EE4"/>
    <w:rsid w:val="005A33A2"/>
    <w:rsid w:val="007446F3"/>
    <w:rsid w:val="007A3ED5"/>
    <w:rsid w:val="0080738F"/>
    <w:rsid w:val="0081700C"/>
    <w:rsid w:val="0091632E"/>
    <w:rsid w:val="009E5699"/>
    <w:rsid w:val="00A04764"/>
    <w:rsid w:val="00AB4067"/>
    <w:rsid w:val="00BD3377"/>
    <w:rsid w:val="00C36232"/>
    <w:rsid w:val="00CD4A82"/>
    <w:rsid w:val="00DC6635"/>
    <w:rsid w:val="00E30C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32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9"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66A9CB-016C-40E1-90B4-84F03253BCAA}">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5311294704"/>
    <we:property name="MENDELEY_CITATIONS" value="[{&quot;citationID&quot;:&quot;MENDELEY_CITATION_5e583fe7-4af9-45e8-8cfd-219e7cababe6&quot;,&quot;properties&quot;:{&quot;noteIndex&quot;:0,&quot;mode&quot;:&quot;composite&quot;},&quot;isEdited&quot;:false,&quot;manualOverride&quot;:{&quot;isManuallyOverridden&quot;:false,&quot;citeprocText&quot;:&quot;Manjunath et al. (2020)&quot;,&quot;manualOverrideText&quot;:&quot;&quot;},&quot;citationTag&quot;:&quot;MENDELEY_CITATION_v3_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&quot;,&quot;citationItems&quot;:[{&quot;id&quot;:&quot;77e62f62-58bb-31c9-a23f-e72876ba16be&quot;,&quot;itemData&quot;:{&quot;type&quot;:&quot;article-journal&quot;,&quot;id&quot;:&quot;77e62f62-58bb-31c9-a23f-e72876ba16be&quot;,&quot;title&quot;:&quot;Foreign Currency such as US Dollar, Euro, Pound Sterling, Japanese Yen, Gold and Crude Oil Price Impact on Indian Stock Indices – BSE and NSE&quot;,&quot;author&quot;:[{&quot;family&quot;:&quot;Manjunath&quot;,&quot;given&quot;:&quot;Rekha S.&quot;,&quot;parse-names&quot;:false,&quot;dropping-particle&quot;:&quot;&quot;,&quot;non-dropping-particle&quot;:&quot;&quot;},{&quot;family&quot;:&quot;Sivarajadhanavel&quot;,&quot;given&quot;:&quot;P.&quot;,&quot;parse-names&quot;:false,&quot;dropping-particle&quot;:&quot;&quot;,&quot;non-dropping-particle&quot;:&quot;&quot;},{&quot;family&quot;:&quot;Krishnamoorthy&quot;,&quot;given&quot;:&quot;V.&quot;,&quot;parse-names&quot;:false,&quot;dropping-particle&quot;:&quot;&quot;,&quot;non-dropping-particle&quot;:&quot;&quot;},{&quot;family&quot;:&quot;Akshaya&quot;,&quot;given&quot;:&quot;N.&quot;,&quot;parse-names&quot;:false,&quot;dropping-particle&quot;:&quot;&quot;,&quot;non-dropping-particle&quot;:&quot;&quot;},{&quot;family&quot;:&quot;Haleema&quot;,&quot;given&quot;:&quot;K.S.&quot;,&quot;parse-names&quot;:false,&quot;dropping-particle&quot;:&quot;&quot;,&quot;non-dropping-particle&quot;:&quot;&quot;}],&quot;container-title&quot;:&quot;International Journal of Scientific and Technology Research&quot;,&quot;issued&quot;:{&quot;date-parts&quot;:[[2020]]},&quot;page&quot;:&quot;6809-6817&quot;,&quot;abstract&quot;:&quot;A stock market is the center of a network of transactions where buyers and sellers of securities meet at a specified price. Stock market plays a key role in the mobilization of capital in emerging and developed countries, leading to the growth of industry and commerce of the country, as a consequence of liberalized and globalized policies adopted by most emerging and developed government. Many factors can be a signal to stock market participants to expect a higher or lower return when investing in stock and one of these factors are other country currencies. The market for foreign currencies or foreign exchange, where the relative prices of national units of account or exchange rates are determined. If you plan to travel to any of those places, you’ll want to know so you can evaluate prices. The change in currency variables can significantly impact stock price return. In this research, we will examine the impact of currencies in India. They claim that macroeconomic variables affect stock market behavior is a well-established theory in the financial economics literature. However, in the Past two decades several researchers made an attempt to study the macroeconomic effects on stock market.&quot;,&quot;issue&quot;:&quot;3&quot;,&quot;volume&quot;:&quot;9&quot;,&quot;container-title-short&quot;:&quot;&quot;},&quot;isTemporary&quot;:false,&quot;displayAs&quot;:&quot;composite&quot;,&quot;suppress-author&quot;:false,&quot;composite&quot;:true,&quot;author-only&quot;:false}]},{&quot;citationID&quot;:&quot;MENDELEY_CITATION_29657851-9381-4292-a61a-07df121b8ee7&quot;,&quot;properties&quot;:{&quot;noteIndex&quot;:0},&quot;isEdited&quot;:false,&quot;manualOverride&quot;:{&quot;isManuallyOverridden&quot;:false,&quot;citeprocText&quot;:&quot;(Bawalle et al., 2025; Elkind et al., 2022)&quot;,&quot;manualOverrideText&quot;:&quot;&quot;},&quot;citationTag&quot;:&quot;MENDELEY_CITATION_v3_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&quot;,&quot;citationItems&quot;:[{&quot;id&quot;:&quot;01c5e2af-c241-35e8-aafe-98902ed4eaed&quot;,&quot;itemData&quot;:{&quot;type&quot;:&quot;article-journal&quot;,&quot;id&quot;:&quot;01c5e2af-c241-35e8-aafe-98902ed4eaed&quot;,&quot;title&quot;:&quot;Overconfidence, Financial Literacy, and Panic Selling: Evidence from Japan&quot;,&quot;author&quot;:[{&quot;family&quot;:&quot;Bawalle&quot;,&quot;given&quot;:&quot;A.A.&quot;,&quot;parse-names&quot;:false,&quot;dropping-particle&quot;:&quot;&quot;,&quot;non-dropping-particle&quot;:&quot;&quot;},{&quot;family&quot;:&quot;Khan&quot;,&quot;given&quot;:&quot;M.S.R.&quot;,&quot;parse-names&quot;:false,&quot;dropping-particle&quot;:&quot;&quot;,&quot;non-dropping-particle&quot;:&quot;&quot;},{&quot;family&quot;:&quot;Kadoya&quot;,&quot;given&quot;:&quot;Y.&quot;,&quot;parse-names&quot;:false,&quot;dropping-particle&quot;:&quot;&quot;,&quot;non-dropping-particle&quot;:&quot;&quot;}],&quot;container-title&quot;:&quot;PLoS ONE&quot;,&quot;container-title-short&quot;:&quot;PLoS One&quot;,&quot;DOI&quot;:&quot;10.1371/journal.pone.0315622&quot;,&quot;issued&quot;:{&quot;date-parts&quot;:[[2025]]},&quot;abstract&quot;:&quot;This study investigates the phenomenon of panic selling, in which investors rapidly sell financial securities due to fear or uncertainty, often causing asset prices to plummet. Despite the significance of this behavior during market crises, there is limited understanding of the factors that drive panic selling. To address this gap, we applied the overreaction hypothesis, integrating financial literacy to explore whether investor sentiment influences trading decisions even when financial knowledge is present. We analyzed individual investor level data from a survey conducted by Rakuten Securities Company and Hiroshima University in Japan, covering the period between November and December 2023. Using probit regression models, we examined the relationship between panic selling, financial literacy, and overconfidence, while controlling for demographic, socioeconomic, and psychological factors. Our findings reveal that overconfident investors are more likely to engage in panic selling during market downturns, even when financial literacy reduces such tendencies. This relationship persists across various degrees of selling, including partial and full divestment of stocks and mutual funds. The results underscore the importance for policymakers to monitor the dissemination of negative information during crises to mitigate panic selling. At the household level, the findings highlight the need for investors to acquire financial knowledge and seek reliable information to make informed decisions, thereby reducing their susceptibility to panic selling.&quot;,&quot;issue&quot;:&quot;3 March&quot;,&quot;volume&quot;:&quot;20&quot;},&quot;isTemporary&quot;:false},{&quot;id&quot;:&quot;70c39430-78dc-3174-88df-d1b25006b4f3&quot;,&quot;itemData&quot;:{&quot;type&quot;:&quot;article-journal&quot;,&quot;id&quot;:&quot;70c39430-78dc-3174-88df-d1b25006b4f3&quot;,&quot;title&quot;:&quot;When Do Investors Freak Out? Machine Learning Predictions of Panic Selling&quot;,&quot;author&quot;:[{&quot;family&quot;:&quot;Elkind&quot;,&quot;given&quot;:&quot;D.&quot;,&quot;parse-names&quot;:false,&quot;dropping-particle&quot;:&quot;&quot;,&quot;non-dropping-particle&quot;:&quot;&quot;},{&quot;family&quot;:&quot;Kaminski&quot;,&quot;given&quot;:&quot;K.&quot;,&quot;parse-names&quot;:false,&quot;dropping-particle&quot;:&quot;&quot;,&quot;non-dropping-particle&quot;:&quot;&quot;},{&quot;family&quot;:&quot;Lo&quot;,&quot;given&quot;:&quot;A.W.&quot;,&quot;parse-names&quot;:false,&quot;dropping-particle&quot;:&quot;&quot;,&quot;non-dropping-particle&quot;:&quot;&quot;},{&quot;family&quot;:&quot;Siah&quot;,&quot;given&quot;:&quot;K.W.&quot;,&quot;parse-names&quot;:false,&quot;dropping-particle&quot;:&quot;&quot;,&quot;non-dropping-particle&quot;:&quot;&quot;},{&quot;family&quot;:&quot;Wong&quot;,&quot;given&quot;:&quot;C.H.&quot;,&quot;parse-names&quot;:false,&quot;dropping-particle&quot;:&quot;&quot;,&quot;non-dropping-particle&quot;:&quot;&quot;}],&quot;container-title&quot;:&quot;Journal of Financial Data Science&quot;,&quot;DOI&quot;:&quot;10.3905/jfds.2021.1.085&quot;,&quot;issued&quot;:{&quot;date-parts&quot;:[[2022]]},&quot;page&quot;:&quot;11-39&quot;,&quot;abstract&quot;:&quot;Using a novel dataset of 653,455 individual brokerage accounts belonging to 298,556 households, the authors document the frequency, timing, and duration of panic sales, which they define as a decline of 90% of a household account’s equity assets over the course of one month, of which 50% or more is due to trades. The authors find that a disproportionate number of households make panic sales when there are sharp market downturns, a phenomenon they call freaking out. The authors also show that panic selling and freak-outs are predictable and fundamentally different from other well-known behavioral patterns such as overtrading or the disposition effect.&quot;,&quot;issue&quot;:&quot;1&quot;,&quot;volume&quot;:&quot;4&quot;,&quot;container-title-short&quot;:&quot;&quot;},&quot;isTemporary&quot;:false}]},{&quot;citationID&quot;:&quot;MENDELEY_CITATION_e1dff64b-7124-4caf-94ac-6d86b4eefdd9&quot;,&quot;properties&quot;:{&quot;noteIndex&quot;:0},&quot;isEdited&quot;:false,&quot;manualOverride&quot;:{&quot;isManuallyOverridden&quot;:false,&quot;citeprocText&quot;:&quot;(Han et al., 2023)&quot;,&quot;manualOverrideText&quot;:&quot;&quot;},&quot;citationTag&quot;:&quot;MENDELEY_CITATION_v3_eyJjaXRhdGlvbklEIjoiTUVOREVMRVlfQ0lUQVRJT05fZTFkZmY2NGItNzEyNC00Y2FmLTk0YWMtNmQ4NmI0ZWVmZGQ5IiwicHJvcGVydGllcyI6eyJub3RlSW5kZXgiOjB9LCJpc0VkaXRlZCI6ZmFsc2UsIm1hbnVhbE92ZXJyaWRlIjp7ImlzTWFudWFsbHlPdmVycmlkZGVuIjpmYWxzZSwiY2l0ZXByb2NUZXh0IjoiKEhhbiBldCBhbC4sIDIwMjMpIiwibWFudWFsT3ZlcnJpZGVUZXh0IjoiIn0sImNpdGF0aW9uSXRlbXMiOlt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LCJzdXBwcmVzcy1hdXRob3IiOmZhbHNlLCJjb21wb3NpdGUiOmZhbHNlLCJhdXRob3Itb25seSI6ZmFsc2V9XX0=&quot;,&quot;citationItems&quot;:[{&quot;id&quot;:&quot;d3b69386-5cb1-3953-8237-5470671e3e95&quot;,&quot;itemData&quot;:{&quot;type&quot;:&quot;article-journal&quot;,&quot;id&quot;:&quot;d3b69386-5cb1-3953-8237-5470671e3e95&quot;,&quot;title&quot;:&quot;Economic Policy Uncertainty, Non-Financial Enterprises' Shadow Banking Activities and Stock Price Crash Risk&quot;,&quot;author&quot;:[{&quot;family&quot;:&quot;Han&quot;,&quot;given&quot;:&quot;Xun&quot;,&quot;parse-names&quot;:false,&quot;dropping-particle&quot;:&quot;&quot;,&quot;non-dropping-particle&quot;:&quot;&quot;},{&quot;family&quot;:&quot;Hsu&quot;,&quot;given&quot;:&quot;Sara&quot;,&quot;parse-names&quot;:false,&quot;dropping-particle&quot;:&quot;&quot;,&quot;non-dropping-particle&quot;:&quot;&quot;},{&quot;family&quot;:&quot;Li&quot;,&quot;given&quot;:&quot;Jianjun&quot;,&quot;parse-names&quot;:false,&quot;dropping-particle&quot;:&quot;&quot;,&quot;non-dropping-particle&quot;:&quot;&quot;},{&quot;family&quot;:&quot;An&quot;,&quot;given&quot;:&quot;Ran&quot;,&quot;parse-names&quot;:false,&quot;dropping-particle&quot;:&quot;&quot;,&quot;non-dropping-particle&quot;:&quot;&quot;}],&quot;container-title&quot;:&quot;Emerging Markets Review&quot;,&quot;DOI&quot;:&quot;https://doi.org/10.1016/j.ememar.2023.101003&quot;,&quot;ISSN&quot;:&quot;1566-0141&quot;,&quot;URL&quot;:&quot;https://www.sciencedirect.com/science/article/pii/S1566014123000080&quot;,&quot;issued&quot;:{&quot;date-parts&quot;:[[2023]]},&quot;page&quot;:&quot;101003&quot;,&quot;abstract&quot;:&quot;At present, the structural contradiction between Economic Financialization and the real economy's long-term weakness has become increasingly prominent. As China enters a “new normal” stage of economic growth, the real investment rate drops, non-financial enterprises continuously allocate resources to the shadow banking system. The financial economy becomes increasingly divorced from reality. This leads us to the questions: will the shadow banking behavior of non-financial companies exacerbate the risk of stock price crash risk? How does the increase in economic policy uncertainty affect the relationship between non-financial companies' shadow banking activities and stock price crash risk? This article uses non-financial listed companies' data from 2007 to 2017 and conducts empirical analysis to answer this question. The study finds that companies engaged in high-leverage, high-risk shadow banking business exacerbate stock crash risk. This effect is only pronounced in non-state-owned enterprises and low social trust regions. The increase in the degree of economic policy uncertainty positively impacts the relationship between non-financial companies' shadow banking business and stock price crash risk. The theoretical mechanism is as follows: the rise in economic policy uncertainty amplifies the positive relationship between shadow banking activities of non-financial companies and stock price crashes by increasing bank loans, investors' sensitivity to external information, risk cross-contagion, and inefficient investment mechanisms. Various robustness tests do not change the research conclusion. This paper has important theoretical and policy guidance significance for reviewing the existing diversified shadow banking system and preventing systemic risks.&quot;,&quot;volume&quot;:&quot;54&quot;,&quot;container-title-short&quot;:&quot;&quot;},&quot;isTemporary&quot;:false,&quot;suppress-author&quot;:false,&quot;composite&quot;:false,&quot;author-only&quot;:false}]},{&quot;citationID&quot;:&quot;MENDELEY_CITATION_d03f8f46-72d4-4e95-8815-6cb170c9629a&quot;,&quot;properties&quot;:{&quot;noteIndex&quot;:0},&quot;isEdited&quot;:false,&quot;manualOverride&quot;:{&quot;isManuallyOverridden&quot;:false,&quot;citeprocText&quot;:&quot;(Shahab et al., 2020)&quot;,&quot;manualOverrideText&quot;:&quot;&quot;},&quot;citationTag&quot;:&quot;MENDELEY_CITATION_v3_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&quot;,&quot;citationItems&quot;:[{&quot;id&quot;:&quot;ce7b3336-cf45-3f98-8b16-d43ca7a4b76b&quot;,&quot;itemData&quot;:{&quot;type&quot;:&quot;article-journal&quot;,&quot;id&quot;:&quot;ce7b3336-cf45-3f98-8b16-d43ca7a4b76b&quot;,&quot;title&quot;:&quot;CEO Power and Stock Price Crash Risk in China: Do Female Directors' Critical Mass and Ownership Structure Matter?&quot;,&quot;author&quot;:[{&quot;family&quot;:&quot;Shahab&quot;,&quot;given&quot;:&quot;Y.&quot;,&quot;parse-names&quot;:false,&quot;dropping-particle&quot;:&quot;&quot;,&quot;non-dropping-particle&quot;:&quot;&quot;},{&quot;family&quot;:&quot;Ntim&quot;,&quot;given&quot;:&quot;C.G.&quot;,&quot;parse-names&quot;:false,&quot;dropping-particle&quot;:&quot;&quot;,&quot;non-dropping-particle&quot;:&quot;&quot;},{&quot;family&quot;:&quot;Ullah&quot;,&quot;given&quot;:&quot;F.&quot;,&quot;parse-names&quot;:false,&quot;dropping-particle&quot;:&quot;&quot;,&quot;non-dropping-particle&quot;:&quot;&quot;},{&quot;family&quot;:&quot;Yugang&quot;,&quot;given&quot;:&quot;C.&quot;,&quot;parse-names&quot;:false,&quot;dropping-particle&quot;:&quot;&quot;,&quot;non-dropping-particle&quot;:&quot;&quot;},{&quot;family&quot;:&quot;Ye&quot;,&quot;given&quot;:&quot;Z.&quot;,&quot;parse-names&quot;:false,&quot;dropping-particle&quot;:&quot;&quot;,&quot;non-dropping-particle&quot;:&quot;&quot;}],&quot;container-title&quot;:&quot;International Review of Financial Analysis&quot;,&quot;DOI&quot;:&quot;10.1016/j.irfa.2020.101457&quot;,&quot;issued&quot;:{&quot;date-parts&quot;:[[2020]]},&quot;abstract&quot;:&quot;This study investigates how CEO power is associated with stock price crash risk. We further examine the moderating roles of female directors' critical mass and ownership structure on the relationship between CEO power and stock price crash risk. Employing one of the largest datasets to-date of Chinese listed firms over the 2005–2015 period (13,421 firm-year observations), we find that CEO's power to increase the likelihood of stock price crash risk is significantly mitigated when the percentage of: (a) female directors; and (b) ownership by blockholders and institutions, is high within firms. We interpret our findings within a theoretical framework that draws insights from neo-institutional, managerial power and critical mass theories. The findings are robust to the use of alternative measures, estimation methods and endogeneity issues.&quot;,&quot;volume&quot;:&quot;68&quot;,&quot;container-title-short&quot;:&quot;&quot;},&quot;isTemporary&quot;:false,&quot;suppress-author&quot;:false,&quot;composite&quot;:false,&quot;author-only&quot;:false}]},{&quot;citationID&quot;:&quot;MENDELEY_CITATION_84f7442a-53a9-4c28-a913-dc798deadd5e&quot;,&quot;properties&quot;:{&quot;noteIndex&quot;:0},&quot;isEdited&quot;:false,&quot;manualOverride&quot;:{&quot;isManuallyOverridden&quot;:false,&quot;citeprocText&quot;:&quot;(X. Liu et al., 2024)&quot;,&quot;manualOverrideText&quot;:&quot;&quot;},&quot;citationTag&quot;:&quot;MENDELEY_CITATION_v3_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&quot;,&quot;citationItems&quot;:[{&quot;id&quot;:&quot;4bf3af54-9757-3ac2-880d-ba05ef3073b6&quot;,&quot;itemData&quot;:{&quot;type&quot;:&quot;article-journal&quot;,&quot;id&quot;:&quot;4bf3af54-9757-3ac2-880d-ba05ef3073b6&quot;,&quot;title&quot;:&quot;Economic Policy Uncertainty, Risk Perception and Stock Price Crash Risk: Evidence from China&quot;,&quot;author&quot;:[{&quot;family&quot;:&quot;Liu&quot;,&quot;given&quot;:&quot;Xiaojun&quot;,&quot;parse-names&quot;:false,&quot;dropping-particle&quot;:&quot;&quot;,&quot;non-dropping-particle&quot;:&quot;&quot;},{&quot;family&quot;:&quot;Ma&quot;,&quot;given&quot;:&quot;Y.&quot;,&quot;parse-names&quot;:false,&quot;dropping-particle&quot;:&quot;&quot;,&quot;non-dropping-particle&quot;:&quot;&quot;},{&quot;family&quot;:&quot;Xu&quot;,&quot;given&quot;:&quot;Z.&quot;,&quot;parse-names&quot;:false,&quot;dropping-particle&quot;:&quot;&quot;,&quot;non-dropping-particle&quot;:&quot;&quot;}],&quot;container-title&quot;:&quot;Economic Analysis and Policy&quot;,&quot;container-title-short&quot;:&quot;Econ Anal Policy&quot;,&quot;DOI&quot;:&quot;10.1016/j.eap.2024.04.013&quot;,&quot;issued&quot;:{&quot;date-parts&quot;:[[2024]]},&quot;page&quot;:&quot;865-876&quot;,&quot;abstract&quot;:&quot;This paper investigates the moderating role of the macroeconomic environment in the crash risk-policy uncertainty sensitivity. We find that managers have lower risk perception and crash risk is less sensitive to policy uncertainty during periods of economic expansion. Managers’ risk perception is the critical channel through which the macroeconomic environment affects the relationship between crash risk and policy uncertainty. Consequently, when firms’ managers have an accurate understanding of the future economic environment, the moderating effect of economic growth is lower. This manifests in the weaker moderating effect of economic growth for SOEs and firms with stronger managerial ability, lower managerial ownership, and high media attention, which further supports the risk perception channel.&quot;,&quot;volume&quot;:&quot;82&quot;},&quot;isTemporary&quot;:false,&quot;suppress-author&quot;:false,&quot;composite&quot;:false,&quot;author-only&quot;:false}]},{&quot;citationID&quot;:&quot;MENDELEY_CITATION_7c361c59-47c0-4207-9925-f4af970517b2&quot;,&quot;properties&quot;:{&quot;noteIndex&quot;:0,&quot;mode&quot;:&quot;composite&quot;},&quot;isEdited&quot;:false,&quot;manualOverride&quot;:{&quot;isManuallyOverridden&quot;:false,&quot;citeprocText&quot;:&quot;Dai et al. (2021)&quot;,&quot;manualOverrideText&quot;:&quot;&quot;},&quot;citationTag&quot;:&quot;MENDELEY_CITATION_v3_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&quot;,&quot;citationItems&quot;:[{&quot;id&quot;:&quot;53f48ee1-898d-3c48-8df2-c84ac6678007&quot;,&quot;itemData&quot;:{&quot;type&quot;:&quot;article-journal&quot;,&quot;id&quot;:&quot;53f48ee1-898d-3c48-8df2-c84ac6678007&quot;,&quot;title&quot;:&quot;Preventing Crash in Stock Market: The Role of Economic Policy Uncertainty During COVID-19&quot;,&quot;author&quot;:[{&quot;family&quot;:&quot;Dai&quot;,&quot;given&quot;:&quot;Peng-Fei&quot;,&quot;parse-names&quot;:false,&quot;dropping-particle&quot;:&quot;&quot;,&quot;non-dropping-particle&quot;:&quot;&quot;},{&quot;family&quot;:&quot;Xiong&quot;,&quot;given&quot;:&quot;Xiong&quot;,&quot;parse-names&quot;:false,&quot;dropping-particle&quot;:&quot;&quot;,&quot;non-dropping-particle&quot;:&quot;&quot;},{&quot;family&quot;:&quot;Liu&quot;,&quot;given&quot;:&quot;Zhifeng&quot;,&quot;parse-names&quot;:false,&quot;dropping-particle&quot;:&quot;&quot;,&quot;non-dropping-particle&quot;:&quot;&quot;},{&quot;family&quot;:&quot;Huynh&quot;,&quot;given&quot;:&quot;Toan Luu Duc&quot;,&quot;parse-names&quot;:false,&quot;dropping-particle&quot;:&quot;&quot;,&quot;non-dropping-particle&quot;:&quot;&quot;},{&quot;family&quot;:&quot;Sun&quot;,&quot;given&quot;:&quot;Jianjun&quot;,&quot;parse-names&quot;:false,&quot;dropping-particle&quot;:&quot;&quot;,&quot;non-dropping-particle&quot;:&quot;&quot;}],&quot;container-title&quot;:&quot;Financial Innovation&quot;,&quot;DOI&quot;:&quot;10.1186/s40854-021-00248-y&quot;,&quot;ISSN&quot;:&quot;2199-4730&quot;,&quot;URL&quot;:&quot;https://doi.org/10.1186/s40854-021-00248-y&quot;,&quot;issued&quot;:{&quot;date-parts&quot;:[[2021]]},&quot;page&quot;:&quot;31&quot;,&quot;abstract&quot;:&quot;This paper investigates the impact of economic policy uncertainty (EPU) on the crash risk of US stock market during the COVID-19 pandemic. To this end, we use the GARCH-S (GARCH with skewness) model to estimate daily skewness as a proxy for the stock market crash risk. The empirical results show the significantly negative correlation between EPU and stock market crash risk, indicating the aggravation of EPU increase the crash risk. Moreover, the negative correlation gets stronger after the global COVID-19 outbreak, which shows the crash risk of the US stock market will be more affected by EPU during the epidemic.&quot;,&quot;issue&quot;:&quot;1&quot;,&quot;volume&quot;:&quot;7&quot;,&quot;container-title-short&quot;:&quot;&quot;},&quot;isTemporary&quot;:false,&quot;displayAs&quot;:&quot;composite&quot;,&quot;suppress-author&quot;:false,&quot;composite&quot;:true,&quot;author-only&quot;:false}]},{&quot;citationID&quot;:&quot;MENDELEY_CITATION_791df88b-7824-4190-9706-65ab585bc41d&quot;,&quot;properties&quot;:{&quot;noteIndex&quot;:0,&quot;mode&quot;:&quot;composite&quot;},&quot;isEdited&quot;:false,&quot;manualOverride&quot;:{&quot;isManuallyOverridden&quot;:false,&quot;citeprocText&quot;:&quot;Han et al. (2023)&quot;,&quot;manualOverrideText&quot;:&quot;&quot;},&quot;citationTag&quot;:&quot;MENDELEY_CITATION_v3_eyJjaXRhdGlvbklEIjoiTUVOREVMRVlfQ0lUQVRJT05fNzkxZGY4OGItNzgyNC00MTkwLTk3MDYtNjVhYjU4NWJjNDFkIiwicHJvcGVydGllcyI6eyJub3RlSW5kZXgiOjAsIm1vZGUiOiJjb21wb3NpdGUifSwiaXNFZGl0ZWQiOmZhbHNlLCJtYW51YWxPdmVycmlkZSI6eyJpc01hbnVhbGx5T3ZlcnJpZGRlbiI6ZmFsc2UsImNpdGVwcm9jVGV4dCI6IkhhbiBldCBhbC4gKDIwMjMpIiwibWFudWFsT3ZlcnJpZGVUZXh0IjoiIn0sImNpdGF0aW9uSXRlbXMiOlt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LCJkaXNwbGF5QXMiOiJjb21wb3NpdGUiLCJzdXBwcmVzcy1hdXRob3IiOmZhbHNlLCJjb21wb3NpdGUiOnRydWUsImF1dGhvci1vbmx5IjpmYWxzZX1dfQ==&quot;,&quot;citationItems&quot;:[{&quot;id&quot;:&quot;d3b69386-5cb1-3953-8237-5470671e3e95&quot;,&quot;itemData&quot;:{&quot;type&quot;:&quot;article-journal&quot;,&quot;id&quot;:&quot;d3b69386-5cb1-3953-8237-5470671e3e95&quot;,&quot;title&quot;:&quot;Economic Policy Uncertainty, Non-Financial Enterprises' Shadow Banking Activities and Stock Price Crash Risk&quot;,&quot;author&quot;:[{&quot;family&quot;:&quot;Han&quot;,&quot;given&quot;:&quot;Xun&quot;,&quot;parse-names&quot;:false,&quot;dropping-particle&quot;:&quot;&quot;,&quot;non-dropping-particle&quot;:&quot;&quot;},{&quot;family&quot;:&quot;Hsu&quot;,&quot;given&quot;:&quot;Sara&quot;,&quot;parse-names&quot;:false,&quot;dropping-particle&quot;:&quot;&quot;,&quot;non-dropping-particle&quot;:&quot;&quot;},{&quot;family&quot;:&quot;Li&quot;,&quot;given&quot;:&quot;Jianjun&quot;,&quot;parse-names&quot;:false,&quot;dropping-particle&quot;:&quot;&quot;,&quot;non-dropping-particle&quot;:&quot;&quot;},{&quot;family&quot;:&quot;An&quot;,&quot;given&quot;:&quot;Ran&quot;,&quot;parse-names&quot;:false,&quot;dropping-particle&quot;:&quot;&quot;,&quot;non-dropping-particle&quot;:&quot;&quot;}],&quot;container-title&quot;:&quot;Emerging Markets Review&quot;,&quot;DOI&quot;:&quot;https://doi.org/10.1016/j.ememar.2023.101003&quot;,&quot;ISSN&quot;:&quot;1566-0141&quot;,&quot;URL&quot;:&quot;https://www.sciencedirect.com/science/article/pii/S1566014123000080&quot;,&quot;issued&quot;:{&quot;date-parts&quot;:[[2023]]},&quot;page&quot;:&quot;101003&quot;,&quot;abstract&quot;:&quot;At present, the structural contradiction between Economic Financialization and the real economy's long-term weakness has become increasingly prominent. As China enters a “new normal” stage of economic growth, the real investment rate drops, non-financial enterprises continuously allocate resources to the shadow banking system. The financial economy becomes increasingly divorced from reality. This leads us to the questions: will the shadow banking behavior of non-financial companies exacerbate the risk of stock price crash risk? How does the increase in economic policy uncertainty affect the relationship between non-financial companies' shadow banking activities and stock price crash risk? This article uses non-financial listed companies' data from 2007 to 2017 and conducts empirical analysis to answer this question. The study finds that companies engaged in high-leverage, high-risk shadow banking business exacerbate stock crash risk. This effect is only pronounced in non-state-owned enterprises and low social trust regions. The increase in the degree of economic policy uncertainty positively impacts the relationship between non-financial companies' shadow banking business and stock price crash risk. The theoretical mechanism is as follows: the rise in economic policy uncertainty amplifies the positive relationship between shadow banking activities of non-financial companies and stock price crashes by increasing bank loans, investors' sensitivity to external information, risk cross-contagion, and inefficient investment mechanisms. Various robustness tests do not change the research conclusion. This paper has important theoretical and policy guidance significance for reviewing the existing diversified shadow banking system and preventing systemic risks.&quot;,&quot;volume&quot;:&quot;54&quot;,&quot;container-title-short&quot;:&quot;&quot;},&quot;isTemporary&quot;:false,&quot;displayAs&quot;:&quot;composite&quot;,&quot;suppress-author&quot;:false,&quot;composite&quot;:true,&quot;author-only&quot;:false}]},{&quot;citationID&quot;:&quot;MENDELEY_CITATION_542beadb-a2e4-470a-8eba-125ff6468464&quot;,&quot;properties&quot;:{&quot;noteIndex&quot;:0,&quot;mode&quot;:&quot;composite&quot;},&quot;isEdited&quot;:false,&quot;manualOverride&quot;:{&quot;isManuallyOverridden&quot;:false,&quot;citeprocText&quot;:&quot;X. Liu et al. (2024)&quot;,&quot;manualOverrideText&quot;:&quot;&quot;},&quot;citationTag&quot;:&quot;MENDELEY_CITATION_v3_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&quot;,&quot;citationItems&quot;:[{&quot;id&quot;:&quot;4bf3af54-9757-3ac2-880d-ba05ef3073b6&quot;,&quot;itemData&quot;:{&quot;type&quot;:&quot;article-journal&quot;,&quot;id&quot;:&quot;4bf3af54-9757-3ac2-880d-ba05ef3073b6&quot;,&quot;title&quot;:&quot;Economic Policy Uncertainty, Risk Perception and Stock Price Crash Risk: Evidence from China&quot;,&quot;author&quot;:[{&quot;family&quot;:&quot;Liu&quot;,&quot;given&quot;:&quot;Xiaojun&quot;,&quot;parse-names&quot;:false,&quot;dropping-particle&quot;:&quot;&quot;,&quot;non-dropping-particle&quot;:&quot;&quot;},{&quot;family&quot;:&quot;Ma&quot;,&quot;given&quot;:&quot;Y.&quot;,&quot;parse-names&quot;:false,&quot;dropping-particle&quot;:&quot;&quot;,&quot;non-dropping-particle&quot;:&quot;&quot;},{&quot;family&quot;:&quot;Xu&quot;,&quot;given&quot;:&quot;Z.&quot;,&quot;parse-names&quot;:false,&quot;dropping-particle&quot;:&quot;&quot;,&quot;non-dropping-particle&quot;:&quot;&quot;}],&quot;container-title&quot;:&quot;Economic Analysis and Policy&quot;,&quot;container-title-short&quot;:&quot;Econ Anal Policy&quot;,&quot;DOI&quot;:&quot;10.1016/j.eap.2024.04.013&quot;,&quot;issued&quot;:{&quot;date-parts&quot;:[[2024]]},&quot;page&quot;:&quot;865-876&quot;,&quot;abstract&quot;:&quot;This paper investigates the moderating role of the macroeconomic environment in the crash risk-policy uncertainty sensitivity. We find that managers have lower risk perception and crash risk is less sensitive to policy uncertainty during periods of economic expansion. Managers’ risk perception is the critical channel through which the macroeconomic environment affects the relationship between crash risk and policy uncertainty. Consequently, when firms’ managers have an accurate understanding of the future economic environment, the moderating effect of economic growth is lower. This manifests in the weaker moderating effect of economic growth for SOEs and firms with stronger managerial ability, lower managerial ownership, and high media attention, which further supports the risk perception channel.&quot;,&quot;volume&quot;:&quot;82&quot;},&quot;isTemporary&quot;:false,&quot;displayAs&quot;:&quot;composite&quot;,&quot;suppress-author&quot;:false,&quot;composite&quot;:true,&quot;author-only&quot;:false}]},{&quot;citationID&quot;:&quot;MENDELEY_CITATION_c972e88e-4c80-45fe-9509-10a3904061e2&quot;,&quot;properties&quot;:{&quot;noteIndex&quot;:0},&quot;isEdited&quot;:false,&quot;manualOverride&quot;:{&quot;isManuallyOverridden&quot;:false,&quot;citeprocText&quot;:&quot;(Du et al., 2021; Luo &amp;#38; Zhang, 2020)&quot;,&quot;manualOverrideText&quot;:&quot;&quot;},&quot;citationTag&quot;:&quot;MENDELEY_CITATION_v3_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&quot;,&quot;citationItems&quot;:[{&quot;id&quot;:&quot;2c97a1d2-1d37-3f64-86c3-a8650c6cbae1&quot;,&quot;itemData&quot;:{&quot;type&quot;:&quot;article-journal&quot;,&quot;id&quot;:&quot;2c97a1d2-1d37-3f64-86c3-a8650c6cbae1&quot;,&quot;title&quot;:&quot;Economic Policy Uncertainty and Stock Price Crash Risk&quot;,&quot;author&quot;:[{&quot;family&quot;:&quot;Luo&quot;,&quot;given&quot;:&quot;Y.&quot;,&quot;parse-names&quot;:false,&quot;dropping-particle&quot;:&quot;&quot;,&quot;non-dropping-particle&quot;:&quot;&quot;},{&quot;family&quot;:&quot;Zhang&quot;,&quot;given&quot;:&quot;C.&quot;,&quot;parse-names&quot;:false,&quot;dropping-particle&quot;:&quot;&quot;,&quot;non-dropping-particle&quot;:&quot;&quot;}],&quot;container-title&quot;:&quot;Research in International Business and Finance&quot;,&quot;container-title-short&quot;:&quot;Res Int Bus Finance&quot;,&quot;DOI&quot;:&quot;10.1016/j.ribaf.2019.101112&quot;,&quot;issued&quot;:{&quot;date-parts&quot;:[[2020]]},&quot;abstract&quot;:&quot;We examine the impact of economic policy uncertainty (EPU) on firm-specific crash risk. Based on a large sample of Chinese listed firms over the period from 2000 to 2017, we provide empirical evidence that firms are more likely to experience stock price crashes when EPU increases. Cross-sectionally analysis further reveals that the impact of EPU on stock price crash risk is stronger for firms whose returns are more sensitive to EPU. More specifically, young stocks, small stocks, high volatility stocks, and growth stocks, which have higher valuation uncertainty per se, are more sensitive to EPU and are more affected by EPU in terms of crash risk. We further show that EPU is significantly and positively associated with aggregated stock price crash risk at the market level.&quot;,&quot;volume&quot;:&quot;51&quot;},&quot;isTemporary&quot;:false},{&quot;id&quot;:&quot;acfad4f8-a5aa-3f6b-82f4-8ff5d747d632&quot;,&quot;itemData&quot;:{&quot;type&quot;:&quot;article-journal&quot;,&quot;id&quot;:&quot;acfad4f8-a5aa-3f6b-82f4-8ff5d747d632&quot;,&quot;title&quot;:&quot;Economic Policy Uncertainty and Stock Price Crash Risk&quot;,&quot;author&quot;:[{&quot;family&quot;:&quot;Du&quot;,&quot;given&quot;:&quot;Yong&quot;,&quot;parse-names&quot;:false,&quot;dropping-particle&quot;:&quot;&quot;,&quot;non-dropping-particle&quot;:&quot;&quot;},{&quot;family&quot;:&quot;Sui&quot;,&quot;given&quot;:&quot;Xin&quot;,&quot;parse-names&quot;:false,&quot;dropping-particle&quot;:&quot;&quot;,&quot;non-dropping-particle&quot;:&quot;&quot;},{&quot;family&quot;:&quot;Wei&quot;,&quot;given&quot;:&quot;Wei&quot;,&quot;parse-names&quot;:false,&quot;dropping-particle&quot;:&quot;&quot;,&quot;non-dropping-particle&quot;:&quot;&quot;},{&quot;family&quot;:&quot;Du&quot;,&quot;given&quot;:&quot;Jun&quot;,&quot;parse-names&quot;:false,&quot;dropping-particle&quot;:&quot;&quot;,&quot;non-dropping-particle&quot;:&quot;&quot;}],&quot;container-title&quot;:&quot;Asia-Pacific Journal of Accounting &amp; Economics&quot;,&quot;DOI&quot;:&quot;10.1080/16081625.2021.2007407&quot;,&quot;issued&quot;:{&quot;date-parts&quot;:[[2021,12,20]]},&quot;page&quot;:&quot;1-23&quot;,&quot;container-title-short&quot;:&quot;&quot;},&quot;isTemporary&quot;:false}]},{&quot;citationID&quot;:&quot;MENDELEY_CITATION_40d9991a-1409-4379-98f0-ab6ca09050c2&quot;,&quot;properties&quot;:{&quot;noteIndex&quot;:0},&quot;isEdited&quot;:false,&quot;manualOverride&quot;:{&quot;isManuallyOverridden&quot;:false,&quot;citeprocText&quot;:&quot;(Fiorillo et al., 2024; Makrychoriti &amp;#38; Pyrgiotakis, 2024)&quot;,&quot;manualOverrideText&quot;:&quot;&quot;},&quot;citationTag&quot;:&quot;MENDELEY_CITATION_v3_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&quot;,&quot;citationItems&quot;:[{&quot;id&quot;:&quot;3b5c73bd-e372-3a56-8013-ed28777cd66b&quot;,&quot;itemData&quot;:{&quot;type&quot;:&quot;article-journal&quot;,&quot;id&quot;:&quot;3b5c73bd-e372-3a56-8013-ed28777cd66b&quot;,&quot;title&quot;:&quot;Firm-Level Political Risk and Stock Price Crashes&quot;,&quot;author&quot;:[{&quot;family&quot;:&quot;Makrychoriti&quot;,&quot;given&quot;:&quot;Panagiota&quot;,&quot;parse-names&quot;:false,&quot;dropping-particle&quot;:&quot;&quot;,&quot;non-dropping-particle&quot;:&quot;&quot;},{&quot;family&quot;:&quot;Pyrgiotakis&quot;,&quot;given&quot;:&quot;Emmanouil G&quot;,&quot;parse-names&quot;:false,&quot;dropping-particle&quot;:&quot;&quot;,&quot;non-dropping-particle&quot;:&quot;&quot;}],&quot;container-title&quot;:&quot;Journal of Financial Stability&quot;,&quot;DOI&quot;:&quot;10.1016/j.jfs.2024.101303&quot;,&quot;ISSN&quot;:&quot;1572-3089&quot;,&quot;URL&quot;:&quot;https://www.sciencedirect.com/science/article/pii/S1572308924000883&quot;,&quot;issued&quot;:{&quot;date-parts&quot;:[[2024]]},&quot;page&quot;:&quot;101303&quot;,&quot;abstract&quot;:&quot;In this study, we examine the relationship between firm-level political risk and stock price crash risk. Using a broad dataset of 4230 U.S. firms, 38,097 firm-year observations from 2002 to 2019, we reveal a positive association between political risk and stock price crash risk. These findings are robust to several model specifications and endogeneity checks. By using the Brexit referendum as a quasi-natural experiment, we provide evidence of a causal relationship between political risk and crash risk. Through channel analysis, we identify that this relationship is mediated via higher idiosyncratic volatility, lower price informativeness, and higher distress risk. We also find that our results are more pronounced in intangible-intensive firms. Interestingly, we show that managers of these firms respond to political risk by engaging in bad news hoarding. Finally, strong (external or internal) corporate governance mechanisms can moderate the positive relationship between political risk and stock price crash risk.&quot;,&quot;volume&quot;:&quot;74&quot;,&quot;container-title-short&quot;:&quot;&quot;},&quot;isTemporary&quot;:false},{&quot;id&quot;:&quot;0ef668ba-0de9-34dc-9ade-cc40683aece8&quot;,&quot;itemData&quot;:{&quot;type&quot;:&quot;article-journal&quot;,&quot;id&quot;:&quot;0ef668ba-0de9-34dc-9ade-cc40683aece8&quot;,&quot;title&quot;:&quot;Geopolitical Risk and Stock Price Crash Risk: The Mitigating Role of ESG Performance&quot;,&quot;author&quot;:[{&quot;family&quot;:&quot;Fiorillo&quot;,&quot;given&quot;:&quot;Paolo&quot;,&quot;parse-names&quot;:false,&quot;dropping-particle&quot;:&quot;&quot;,&quot;non-dropping-particle&quot;:&quot;&quot;},{&quot;family&quot;:&quot;Meles&quot;,&quot;given&quot;:&quot;Antonio&quot;,&quot;parse-names&quot;:false,&quot;dropping-particle&quot;:&quot;&quot;,&quot;non-dropping-particle&quot;:&quot;&quot;},{&quot;family&quot;:&quot;Pellegrino&quot;,&quot;given&quot;:&quot;Luigi Raffaele&quot;,&quot;parse-names&quot;:false,&quot;dropping-particle&quot;:&quot;&quot;,&quot;non-dropping-particle&quot;:&quot;&quot;},{&quot;family&quot;:&quot;Verdoliva&quot;,&quot;given&quot;:&quot;Vincenzo&quot;,&quot;parse-names&quot;:false,&quot;dropping-particle&quot;:&quot;&quot;,&quot;non-dropping-particle&quot;:&quot;&quot;}],&quot;container-title&quot;:&quot;International Review of Financial Analysis&quot;,&quot;DOI&quot;:&quot;https://doi.org/10.1016/j.irfa.2023.102958&quot;,&quot;ISSN&quot;:&quot;1057-5219&quot;,&quot;URL&quot;:&quot;https://www.sciencedirect.com/science/article/pii/S105752192300474X&quot;,&quot;issued&quot;:{&quot;date-parts&quot;:[[2024]]},&quot;page&quot;:&quot;102958&quot;,&quot;abstract&quot;:&quot;We study the effect of geopolitical risk (GPR) on stock price crash risk and we investigate the mediating role of the ESG factors in this relationship. Using a large international sample of publicly listed firms, we find that higher GPR causes stock price crashes to occur more frequently. This result holds to several robustness checks and to the use of different measures of stock price crash risk and we rule out any potential endogeneity concern using an Instrumental Variables (IV) approach. We also find that the causal effect of GPR on crash events is mainly driven by the expectations and threats of geopolitical tensions (geopolitical threats), rather than their effective realization and escalation (geopolitical acts). However, when exploring the potential mitigating role of ESG factors, we observe these negative implications to be less severe for high ESG-rated issuers and, specifically, for firms scoring high in the Environmental and Social dimensions. Our study demonstrates that firms more engaged in ESG practices are more resilient to the GPR's adverse effect on stock price crash risk.&quot;,&quot;volume&quot;:&quot;91&quot;,&quot;container-title-short&quot;:&quot;&quot;},&quot;isTemporary&quot;:false}]},{&quot;citationID&quot;:&quot;MENDELEY_CITATION_41d1a25f-b6ee-437f-966c-b7f962b8606e&quot;,&quot;properties&quot;:{&quot;noteIndex&quot;:0},&quot;isEdited&quot;:false,&quot;manualOverride&quot;:{&quot;isManuallyOverridden&quot;:false,&quot;citeprocText&quot;:&quot;(Katherine &amp;#38; Kim, 2024)&quot;,&quot;manualOverrideText&quot;:&quot;&quot;},&quot;citationTag&quot;:&quot;MENDELEY_CITATION_v3_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&quot;,&quot;citationItems&quot;:[{&quot;id&quot;:&quot;9d40fa2c-5a80-3c20-8879-05f58863430b&quot;,&quot;itemData&quot;:{&quot;type&quot;:&quot;article-journal&quot;,&quot;id&quot;:&quot;9d40fa2c-5a80-3c20-8879-05f58863430b&quot;,&quot;title&quot;:&quot;The Influence of Geopolitical Risk on Stock Price Crash with ESG Moderation in Indonesia&quot;,&quot;author&quot;:[{&quot;family&quot;:&quot;Katherine&quot;,&quot;given&quot;:&quot;Hartati&quot;,&quot;parse-names&quot;:false,&quot;dropping-particle&quot;:&quot;&quot;,&quot;non-dropping-particle&quot;:&quot;&quot;},{&quot;family&quot;:&quot;Kim&quot;,&quot;given&quot;:&quot;Sung&quot;,&quot;parse-names&quot;:false,&quot;dropping-particle&quot;:&quot;&quot;,&quot;non-dropping-particle&quot;:&quot;&quot;}],&quot;container-title&quot;:&quot;JMBI UNSRAT (Jurnal Ilmiah Manajemen Bisnis dan Inovasi Universitas Sam Ratulangi).&quot;,&quot;DOI&quot;:&quot;10.35794/jmbi.v11i3.57621&quot;,&quot;issued&quot;:{&quot;date-parts&quot;:[[2024,12,30]]},&quot;page&quot;:&quot;1976-1986&quot;,&quot;volume&quot;:&quot;11&quot;,&quot;container-title-short&quot;:&quot;&quot;},&quot;isTemporary&quot;:false,&quot;suppress-author&quot;:false,&quot;composite&quot;:false,&quot;author-only&quot;:false}]},{&quot;citationID&quot;:&quot;MENDELEY_CITATION_0a34a9ad-af05-4dd9-9b51-a6c9f3a3efc9&quot;,&quot;properties&quot;:{&quot;noteIndex&quot;:0},&quot;isEdited&quot;:false,&quot;manualOverride&quot;:{&quot;isManuallyOverridden&quot;:false,&quot;citeprocText&quot;:&quot;(Le et al., 2024; Oanh et al., 2023; Shahab et al., 2020)&quot;,&quot;manualOverrideText&quot;:&quot;&quot;},&quot;citationTag&quot;:&quot;MENDELEY_CITATION_v3_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&quot;,&quot;citationItems&quot;:[{&quot;id&quot;:&quot;ce7b3336-cf45-3f98-8b16-d43ca7a4b76b&quot;,&quot;itemData&quot;:{&quot;type&quot;:&quot;article-journal&quot;,&quot;id&quot;:&quot;ce7b3336-cf45-3f98-8b16-d43ca7a4b76b&quot;,&quot;title&quot;:&quot;CEO Power and Stock Price Crash Risk in China: Do Female Directors' Critical Mass and Ownership Structure Matter?&quot;,&quot;author&quot;:[{&quot;family&quot;:&quot;Shahab&quot;,&quot;given&quot;:&quot;Y.&quot;,&quot;parse-names&quot;:false,&quot;dropping-particle&quot;:&quot;&quot;,&quot;non-dropping-particle&quot;:&quot;&quot;},{&quot;family&quot;:&quot;Ntim&quot;,&quot;given&quot;:&quot;C.G.&quot;,&quot;parse-names&quot;:false,&quot;dropping-particle&quot;:&quot;&quot;,&quot;non-dropping-particle&quot;:&quot;&quot;},{&quot;family&quot;:&quot;Ullah&quot;,&quot;given&quot;:&quot;F.&quot;,&quot;parse-names&quot;:false,&quot;dropping-particle&quot;:&quot;&quot;,&quot;non-dropping-particle&quot;:&quot;&quot;},{&quot;family&quot;:&quot;Yugang&quot;,&quot;given&quot;:&quot;C.&quot;,&quot;parse-names&quot;:false,&quot;dropping-particle&quot;:&quot;&quot;,&quot;non-dropping-particle&quot;:&quot;&quot;},{&quot;family&quot;:&quot;Ye&quot;,&quot;given&quot;:&quot;Z.&quot;,&quot;parse-names&quot;:false,&quot;dropping-particle&quot;:&quot;&quot;,&quot;non-dropping-particle&quot;:&quot;&quot;}],&quot;container-title&quot;:&quot;International Review of Financial Analysis&quot;,&quot;DOI&quot;:&quot;10.1016/j.irfa.2020.101457&quot;,&quot;issued&quot;:{&quot;date-parts&quot;:[[2020]]},&quot;abstract&quot;:&quot;This study investigates how CEO power is associated with stock price crash risk. We further examine the moderating roles of female directors' critical mass and ownership structure on the relationship between CEO power and stock price crash risk. Employing one of the largest datasets to-date of Chinese listed firms over the 2005–2015 period (13,421 firm-year observations), we find that CEO's power to increase the likelihood of stock price crash risk is significantly mitigated when the percentage of: (a) female directors; and (b) ownership by blockholders and institutions, is high within firms. We interpret our findings within a theoretical framework that draws insights from neo-institutional, managerial power and critical mass theories. The findings are robust to the use of alternative measures, estimation methods and endogeneity issues.&quot;,&quot;volume&quot;:&quot;68&quot;,&quot;container-title-short&quot;:&quot;&quot;},&quot;isTemporary&quot;:false},{&quot;id&quot;:&quot;a26fb20b-8539-39b8-a794-72ad7b522e46&quot;,&quot;itemData&quot;:{&quot;type&quot;:&quot;article-journal&quot;,&quot;id&quot;:&quot;a26fb20b-8539-39b8-a794-72ad7b522e46&quot;,&quot;title&quot;:&quot;CEO Overpower and Stock Price Crash Risk: Evidence from Family Businesses in Vietnam&quot;,&quot;author&quot;:[{&quot;family&quot;:&quot;Oanh&quot;,&quot;given&quot;:&quot;Tran Thi Kim&quot;,&quot;parse-names&quot;:false,&quot;dropping-particle&quot;:&quot;&quot;,&quot;non-dropping-particle&quot;:&quot;&quot;},{&quot;family&quot;:&quot;Anh&quot;,&quot;given&quot;:&quot;Nguyen Viet Hong&quot;,&quot;parse-names&quot;:false,&quot;dropping-particle&quot;:&quot;&quot;,&quot;non-dropping-particle&quot;:&quot;&quot;},{&quot;family&quot;:&quot;Phung&quot;,&quot;given&quot;:&quot;Nguyen Ngoc Y&quot;,&quot;parse-names&quot;:false,&quot;dropping-particle&quot;:&quot;&quot;,&quot;non-dropping-particle&quot;:&quot;&quot;},{&quot;family&quot;:&quot;Duong&quot;,&quot;given&quot;:&quot;Khoa Dang&quot;,&quot;parse-names&quot;:false,&quot;dropping-particle&quot;:&quot;&quot;,&quot;non-dropping-particle&quot;:&quot;&quot;}],&quot;container-title&quot;:&quot;Journal of Eastern European and Central Asian Research (JEECAR)&quot;,&quot;DOI&quot;:&quot;10.15549/jeecar.v10i3.1195&quot;,&quot;issued&quot;:{&quot;date-parts&quot;:[[2023,6,5]]},&quot;page&quot;:&quot;425-438&quot;,&quot;volume&quot;:&quot;10&quot;,&quot;container-title-short&quot;:&quot;&quot;},&quot;isTemporary&quot;:false},{&quot;id&quot;:&quot;661f1963-ab01-32cf-b8ca-66fbe015c9ca&quot;,&quot;itemData&quot;:{&quot;type&quot;:&quot;article-journal&quot;,&quot;id&quot;:&quot;661f1963-ab01-32cf-b8ca-66fbe015c9ca&quot;,&quot;title&quot;:&quot;Insider Trading, Gender Diversity within the Board Room, CEO Pay Gap, and Stock Price Crash Risk&quot;,&quot;author&quot;:[{&quot;family&quot;:&quot;Le&quot;,&quot;given&quot;:&quot;Viet Phuong&quot;,&quot;parse-names&quot;:false,&quot;dropping-particle&quot;:&quot;&quot;,&quot;non-dropping-particle&quot;:&quot;&quot;},{&quot;family&quot;:&quot;Nguyen&quot;,&quot;given&quot;:&quot;Ann-Ngoc&quot;,&quot;parse-names&quot;:false,&quot;dropping-particle&quot;:&quot;&quot;,&quot;non-dropping-particle&quot;:&quot;&quot;},{&quot;family&quot;:&quot;Gregoriou&quot;,&quot;given&quot;:&quot;Andros&quot;,&quot;parse-names&quot;:false,&quot;dropping-particle&quot;:&quot;&quot;,&quot;non-dropping-particle&quot;:&quot;&quot;}],&quot;container-title&quot;:&quot;International Journal of Finance &amp; Economics&quot;,&quot;DOI&quot;:&quot;https://doi.org/10.1002/ijfe.2731&quot;,&quot;ISSN&quot;:&quot;1076-9307&quot;,&quot;URL&quot;:&quot;https://doi.org/10.1002/ijfe.2731&quot;,&quot;issued&quot;:{&quot;date-parts&quot;:[[2024,4,1]]},&quot;page&quot;:&quot;1378-1400&quot;,&quot;abstract&quot;:&quot;Abstract This paper investigates the impact of insider trading and managerial attributes on future stock price crashes. We conduct a series of regressions addressing the managerial attributes determinants of future stock price crashes including gender diversity, CEO age, and CEO power (measured by CEO pay disparity, CEO tenure and CEO duality). Our empirical results reveal a positive association between insider purchases and price crash risk. This implies that other than compensation and career concerns, insiders hoard bad news to fulfil their trading incentives. Our positive coefficients of insider sales also suggest that insider sellers can assess inside information promptly and anticipate shortly before the crashes. We further document that the presence of female directors on boards can mitigate stock price crash risk. However, firms with powerful or younger Chief Executive Officers are more likely to experience crashes. Overall, we highlight the importance of corporate managerial attributes in dealing with information asymmetry problems.&quot;,&quot;publisher&quot;:&quot;John Wiley &amp; Sons, Ltd&quot;,&quot;issue&quot;:&quot;2&quot;,&quot;volume&quot;:&quot;29&quot;,&quot;container-title-short&quot;:&quot;&quot;},&quot;isTemporary&quot;:false}]},{&quot;citationID&quot;:&quot;MENDELEY_CITATION_6feae428-4e7f-43b3-8b73-ede997fbc8c3&quot;,&quot;properties&quot;:{&quot;noteIndex&quot;:0,&quot;mode&quot;:&quot;composite&quot;},&quot;isEdited&quot;:false,&quot;manualOverride&quot;:{&quot;isManuallyOverridden&quot;:false,&quot;citeprocText&quot;:&quot;Meckling &amp;#38; Jensen (1976)&quot;,&quot;manualOverrideText&quot;:&quot;&quot;},&quot;citationTag&quot;:&quot;MENDELEY_CITATION_v3_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&quot;,&quot;citationItems&quot;:[{&quot;id&quot;:&quot;f63fe871-cc20-3cc9-aa41-81562645a049&quot;,&quot;itemData&quot;:{&quot;type&quot;:&quot;article-journal&quot;,&quot;id&quot;:&quot;f63fe871-cc20-3cc9-aa41-81562645a049&quot;,&quot;title&quot;:&quot;Theory of the Firm: Managerial Behavior, Agency Costs and Ownership Structure&quot;,&quot;author&quot;:[{&quot;family&quot;:&quot;Meckling&quot;,&quot;given&quot;:&quot;William H&quot;,&quot;parse-names&quot;:false,&quot;dropping-particle&quot;:&quot;&quot;,&quot;non-dropping-particle&quot;:&quot;&quot;},{&quot;family&quot;:&quot;Jensen&quot;,&quot;given&quot;:&quot;Michael C&quot;,&quot;parse-names&quot;:false,&quot;dropping-particle&quot;:&quot;&quot;,&quot;non-dropping-particle&quot;:&quot;&quot;}],&quot;container-title&quot;:&quot;Journal of Financial Economics (JFE)&quot;,&quot;DOI&quot;:&quot;10.2139/ssrn.94043&quot;,&quot;issued&quot;:{&quot;date-parts&quot;:[[1976]]},&quot;publisher&quot;:&quot;Springer&quot;,&quot;issue&quot;:&quot;4&quot;,&quot;volume&quot;:&quot;3&quot;,&quot;container-title-short&quot;:&quot;&quot;},&quot;isTemporary&quot;:false,&quot;displayAs&quot;:&quot;composite&quot;,&quot;suppress-author&quot;:false,&quot;composite&quot;:true,&quot;author-only&quot;:false}]},{&quot;citationID&quot;:&quot;MENDELEY_CITATION_4093fa86-c6e2-4979-9b1b-e00caeaed68a&quot;,&quot;properties&quot;:{&quot;noteIndex&quot;:0,&quot;mode&quot;:&quot;composite&quot;},&quot;isEdited&quot;:false,&quot;manualOverride&quot;:{&quot;isManuallyOverridden&quot;:false,&quot;citeprocText&quot;:&quot;Stremitzer (2018)&quot;,&quot;manualOverrideText&quot;:&quot;&quot;},&quot;citationTag&quot;:&quot;MENDELEY_CITATION_v3_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&quot;,&quot;citationItems&quot;:[{&quot;id&quot;:&quot;899dc827-397d-39bb-a72e-281ade0a899c&quot;,&quot;itemData&quot;:{&quot;type&quot;:&quot;book&quot;,&quot;id&quot;:&quot;899dc827-397d-39bb-a72e-281ade0a899c&quot;,&quot;title&quot;:&quot;Agency Theory: Methodology, Analysis A Structured Approach to Writing Contracts&quot;,&quot;author&quot;:[{&quot;family&quot;:&quot;Stremitzer&quot;,&quot;given&quot;:&quot;Alexander.&quot;,&quot;parse-names&quot;:false,&quot;dropping-particle&quot;:&quot;&quot;,&quot;non-dropping-particle&quot;:&quot;&quot;}],&quot;accessed&quot;:{&quot;date-parts&quot;:[[2025,4,4]]},&quot;DOI&quot;:&quot;10.3726/b13920&quot;,&quot;ISBN&quot;:&quot;9783631754009&quot;,&quot;issued&quot;:{&quot;date-parts&quot;:[[2018]]},&quot;publisher-place&quot;:&quot;Bern&quot;,&quot;abstract&quot;:&quot;1st, New ed. Designing a contract is often more of an economic than a legal problem. A good contract protects parties against opportunistic behavior while providing motivation to cooperate. This is where economics and, especially contract theory, may prove helpful by enhancing our understanding of incentive issues. The purpose of this book is to provide specific tools which will help to write better contracts in real world environments. Concentrating on moral hazard literature, this book derives a tentative checklist for drafting contracts. As an economic contribution to a field traditionally considered an art rather than a science, this treatment also gives much attention to methodological issues. Classic Risk-Incentive Trade-off -- Risk Sharing -- Error in Judgement -- Bankruptcy Constraints -- Transaction Costs -- Distortion -- Bonding -- Dynamic Extensions -- Income Smoothing -- Reputation Effects -- Career Concerns -- Epistemological Issues -- Sceptical Tradition -- Value of Axiomatic Approaches -- Methodological Individualism -- Methodology of Contract Theory -- Checklist for Drafting Contracts -- Programmatic Outlook.&quot;,&quot;publisher&quot;:&quot;Peter Lang International Academic Publishers&quot;,&quot;container-title-short&quot;:&quot;&quot;},&quot;isTemporary&quot;:false,&quot;displayAs&quot;:&quot;composite&quot;,&quot;suppress-author&quot;:false,&quot;composite&quot;:true,&quot;author-only&quot;:false}]},{&quot;citationID&quot;:&quot;MENDELEY_CITATION_505fb365-6396-435e-9491-aee4bd454166&quot;,&quot;properties&quot;:{&quot;noteIndex&quot;:0},&quot;isEdited&quot;:false,&quot;manualOverride&quot;:{&quot;isManuallyOverridden&quot;:false,&quot;citeprocText&quot;:&quot;(Makadok, 2010)&quot;,&quot;manualOverrideText&quot;:&quot;&quot;},&quot;citationTag&quot;:&quot;MENDELEY_CITATION_v3_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&quot;,&quot;citationItems&quot;:[{&quot;id&quot;:&quot;58e6e92d-ede4-3d08-b527-1b3d1efa3172&quot;,&quot;itemData&quot;:{&quot;type&quot;:&quot;article-journal&quot;,&quot;id&quot;:&quot;58e6e92d-ede4-3d08-b527-1b3d1efa3172&quot;,&quot;title&quot;:&quot;Invited Editorial: The Four Theories of Profit and Their Joint Effects&quot;,&quot;author&quot;:[{&quot;family&quot;:&quot;Makadok&quot;,&quot;given&quot;:&quot; Richard&quot;,&quot;parse-names&quot;:false,&quot;dropping-particle&quot;:&quot;&quot;,&quot;non-dropping-particle&quot;:&quot;&quot;}],&quot;container-title&quot;:&quot;Journal of Management&quot;,&quot;container-title-short&quot;:&quot;J Manage&quot;,&quot;DOI&quot;:&quot;10.1177/0149206310385697&quot;,&quot;ISSN&quot;:&quot;0149-2063&quot;,&quot;URL&quot;:&quot;https://doi.org/10.1177/0149206310385697&quot;,&quot;issued&quot;:{&quot;date-parts&quot;:[[2010,10,19]]},&quot;page&quot;:&quot;1316-1334&quot;,&quot;abstract&quot;:&quot;As a theory of profit, resource-based theory is focused on a single causal mechanism?competitive advantage. Although this focus has been useful in helping to understand some sources of interfirm profit differentials, it is nevertheless highly limiting because competitive advantage is not the only causal mechanism by which profit can be generated. Three other mechanisms, labeled here as rivalry restraint, information asymmetry, and commitment timing, have also been extensively studied as sources of profit. Rather than continuing to examine each of these four mechanisms? main effects on profit in isolation, and thereby generate increasingly incremental knowledge over time, the author proposes an alternative agenda for future research?namely, to synthesize multiple mechanisms in order to focus on their relatively unexplored interaction effects on profit. This article reviews the small but emerging literature of research that has already begun to pursue this agenda and outlines some logical next steps for further development.&quot;,&quot;publisher&quot;:&quot;SAGE Publications Inc&quot;,&quot;issue&quot;:&quot;5&quot;,&quot;volume&quot;:&quot;37&quot;},&quot;isTemporary&quot;:false,&quot;suppress-author&quot;:false,&quot;composite&quot;:false,&quot;author-only&quot;:false}]},{&quot;citationID&quot;:&quot;MENDELEY_CITATION_746365af-ebf6-4178-b63f-eaebeda72ec1&quot;,&quot;properties&quot;:{&quot;noteIndex&quot;:0},&quot;isEdited&quot;:false,&quot;manualOverride&quot;:{&quot;isManuallyOverridden&quot;:false,&quot;citeprocText&quot;:&quot;(B. Liu, 2015)&quot;,&quot;manualOverrideText&quot;:&quot;&quot;},&quot;citationTag&quot;:&quot;MENDELEY_CITATION_v3_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&quot;,&quot;citationItems&quot;:[{&quot;id&quot;:&quot;d66e3ada-992d-377e-acc2-5d75ebc0e2af&quot;,&quot;itemData&quot;:{&quot;type&quot;:&quot;book&quot;,&quot;id&quot;:&quot;d66e3ada-992d-377e-acc2-5d75ebc0e2af&quot;,&quot;title&quot;:&quot;Uncertainty Theory&quot;,&quot;author&quot;:[{&quot;family&quot;:&quot;Liu&quot;,&quot;given&quot;:&quot;Baoding&quot;,&quot;parse-names&quot;:false,&quot;dropping-particle&quot;:&quot;&quot;,&quot;non-dropping-particle&quot;:&quot;&quot;}],&quot;accessed&quot;:{&quot;date-parts&quot;:[[2025,4,4]]},&quot;DOI&quot;:&quot;10.1007/978-3-662-44354-5&quot;,&quot;issued&quot;:{&quot;date-parts&quot;:[[2015]]},&quot;publisher-place&quot;:&quot;New York&quot;,&quot;publisher&quot;:&quot;Springer-Verlag Berlin Heidelberg&quot;,&quot;container-title-short&quot;:&quot;&quot;},&quot;isTemporary&quot;:false,&quot;suppress-author&quot;:false,&quot;composite&quot;:false,&quot;author-only&quot;:false}]},{&quot;citationID&quot;:&quot;MENDELEY_CITATION_7f244963-ed27-4368-a803-4e21d29b31e3&quot;,&quot;properties&quot;:{&quot;noteIndex&quot;:0},&quot;isEdited&quot;:false,&quot;manualOverride&quot;:{&quot;isManuallyOverridden&quot;:false,&quot;citeprocText&quot;:&quot;(Al Mamun et al., 2020; Han et al., 2023; Le et al., 2024)&quot;,&quot;manualOverrideText&quot;:&quot;&quot;},&quot;citationTag&quot;:&quot;MENDELEY_CITATION_v3_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&quot;,&quot;citationItems&quot;:[{&quot;id&quot;:&quot;3d68ead3-9a29-35ee-a43d-3bfe6dda9691&quot;,&quot;itemData&quot;:{&quot;type&quot;:&quot;article-journal&quot;,&quot;id&quot;:&quot;3d68ead3-9a29-35ee-a43d-3bfe6dda9691&quot;,&quot;title&quot;:&quot;Powerful CEOs and Stock Price Crash Risk&quot;,&quot;author&quot;:[{&quot;family&quot;:&quot;Mamun&quot;,&quot;given&quot;:&quot;M.&quot;,&quot;parse-names&quot;:false,&quot;dropping-particle&quot;:&quot;&quot;,&quot;non-dropping-particle&quot;:&quot;Al&quot;},{&quot;family&quot;:&quot;Balachandran&quot;,&quot;given&quot;:&quot;B.&quot;,&quot;parse-names&quot;:false,&quot;dropping-particle&quot;:&quot;&quot;,&quot;non-dropping-particle&quot;:&quot;&quot;},{&quot;family&quot;:&quot;Duong&quot;,&quot;given&quot;:&quot;H.N.&quot;,&quot;parse-names&quot;:false,&quot;dropping-particle&quot;:&quot;&quot;,&quot;non-dropping-particle&quot;:&quot;&quot;}],&quot;container-title&quot;:&quot;Journal of Corporate Finance&quot;,&quot;DOI&quot;:&quot;10.1016/j.jcorpfin.2020.101582&quot;,&quot;issued&quot;:{&quot;date-parts&quot;:[[2020]]},&quot;abstract&quot;:&quot;We find that powerful chief executive officers (CEOs) are associated with higher crash risk. The positive association between CEO power and crash risk holds when controlling for earnings management, tax avoidance, chief executive officer's option incentives, and CEO overconfidence. Firms with powerful CEOs have higher probability of financial restatements, lower proportion of negative to positive earnings guidance, and lower ratio of negative to positive words in their financial statements. The association between powerful CEOs and higher crash risk is mostly evident among firms with higher sensitivity of CEO wealth to stock prices and when CEOs have lower general skills. External monitoring mechanisms weaken but do not eliminate the association between powerful founder CEOs and higher crash risk.&quot;,&quot;volume&quot;:&quot;62&quot;,&quot;container-title-short&quot;:&quot;&quot;},&quot;isTemporary&quot;:false},{&quot;id&quot;:&quot;d3b69386-5cb1-3953-8237-5470671e3e95&quot;,&quot;itemData&quot;:{&quot;type&quot;:&quot;article-journal&quot;,&quot;id&quot;:&quot;d3b69386-5cb1-3953-8237-5470671e3e95&quot;,&quot;title&quot;:&quot;Economic Policy Uncertainty, Non-Financial Enterprises' Shadow Banking Activities and Stock Price Crash Risk&quot;,&quot;author&quot;:[{&quot;family&quot;:&quot;Han&quot;,&quot;given&quot;:&quot;Xun&quot;,&quot;parse-names&quot;:false,&quot;dropping-particle&quot;:&quot;&quot;,&quot;non-dropping-particle&quot;:&quot;&quot;},{&quot;family&quot;:&quot;Hsu&quot;,&quot;given&quot;:&quot;Sara&quot;,&quot;parse-names&quot;:false,&quot;dropping-particle&quot;:&quot;&quot;,&quot;non-dropping-particle&quot;:&quot;&quot;},{&quot;family&quot;:&quot;Li&quot;,&quot;given&quot;:&quot;Jianjun&quot;,&quot;parse-names&quot;:false,&quot;dropping-particle&quot;:&quot;&quot;,&quot;non-dropping-particle&quot;:&quot;&quot;},{&quot;family&quot;:&quot;An&quot;,&quot;given&quot;:&quot;Ran&quot;,&quot;parse-names&quot;:false,&quot;dropping-particle&quot;:&quot;&quot;,&quot;non-dropping-particle&quot;:&quot;&quot;}],&quot;container-title&quot;:&quot;Emerging Markets Review&quot;,&quot;DOI&quot;:&quot;https://doi.org/10.1016/j.ememar.2023.101003&quot;,&quot;ISSN&quot;:&quot;1566-0141&quot;,&quot;URL&quot;:&quot;https://www.sciencedirect.com/science/article/pii/S1566014123000080&quot;,&quot;issued&quot;:{&quot;date-parts&quot;:[[2023]]},&quot;page&quot;:&quot;101003&quot;,&quot;abstract&quot;:&quot;At present, the structural contradiction between Economic Financialization and the real economy's long-term weakness has become increasingly prominent. As China enters a “new normal” stage of economic growth, the real investment rate drops, non-financial enterprises continuously allocate resources to the shadow banking system. The financial economy becomes increasingly divorced from reality. This leads us to the questions: will the shadow banking behavior of non-financial companies exacerbate the risk of stock price crash risk? How does the increase in economic policy uncertainty affect the relationship between non-financial companies' shadow banking activities and stock price crash risk? This article uses non-financial listed companies' data from 2007 to 2017 and conducts empirical analysis to answer this question. The study finds that companies engaged in high-leverage, high-risk shadow banking business exacerbate stock crash risk. This effect is only pronounced in non-state-owned enterprises and low social trust regions. The increase in the degree of economic policy uncertainty positively impacts the relationship between non-financial companies' shadow banking business and stock price crash risk. The theoretical mechanism is as follows: the rise in economic policy uncertainty amplifies the positive relationship between shadow banking activities of non-financial companies and stock price crashes by increasing bank loans, investors' sensitivity to external information, risk cross-contagion, and inefficient investment mechanisms. Various robustness tests do not change the research conclusion. This paper has important theoretical and policy guidance significance for reviewing the existing diversified shadow banking system and preventing systemic risks.&quot;,&quot;volume&quot;:&quot;54&quot;,&quot;container-title-short&quot;:&quot;&quot;},&quot;isTemporary&quot;:false},{&quot;id&quot;:&quot;661f1963-ab01-32cf-b8ca-66fbe015c9ca&quot;,&quot;itemData&quot;:{&quot;type&quot;:&quot;article-journal&quot;,&quot;id&quot;:&quot;661f1963-ab01-32cf-b8ca-66fbe015c9ca&quot;,&quot;title&quot;:&quot;Insider Trading, Gender Diversity within the Board Room, CEO Pay Gap, and Stock Price Crash Risk&quot;,&quot;author&quot;:[{&quot;family&quot;:&quot;Le&quot;,&quot;given&quot;:&quot;Viet Phuong&quot;,&quot;parse-names&quot;:false,&quot;dropping-particle&quot;:&quot;&quot;,&quot;non-dropping-particle&quot;:&quot;&quot;},{&quot;family&quot;:&quot;Nguyen&quot;,&quot;given&quot;:&quot;Ann-Ngoc&quot;,&quot;parse-names&quot;:false,&quot;dropping-particle&quot;:&quot;&quot;,&quot;non-dropping-particle&quot;:&quot;&quot;},{&quot;family&quot;:&quot;Gregoriou&quot;,&quot;given&quot;:&quot;Andros&quot;,&quot;parse-names&quot;:false,&quot;dropping-particle&quot;:&quot;&quot;,&quot;non-dropping-particle&quot;:&quot;&quot;}],&quot;container-title&quot;:&quot;International Journal of Finance &amp; Economics&quot;,&quot;DOI&quot;:&quot;https://doi.org/10.1002/ijfe.2731&quot;,&quot;ISSN&quot;:&quot;1076-9307&quot;,&quot;URL&quot;:&quot;https://doi.org/10.1002/ijfe.2731&quot;,&quot;issued&quot;:{&quot;date-parts&quot;:[[2024,4,1]]},&quot;page&quot;:&quot;1378-1400&quot;,&quot;abstract&quot;:&quot;Abstract This paper investigates the impact of insider trading and managerial attributes on future stock price crashes. We conduct a series of regressions addressing the managerial attributes determinants of future stock price crashes including gender diversity, CEO age, and CEO power (measured by CEO pay disparity, CEO tenure and CEO duality). Our empirical results reveal a positive association between insider purchases and price crash risk. This implies that other than compensation and career concerns, insiders hoard bad news to fulfil their trading incentives. Our positive coefficients of insider sales also suggest that insider sellers can assess inside information promptly and anticipate shortly before the crashes. We further document that the presence of female directors on boards can mitigate stock price crash risk. However, firms with powerful or younger Chief Executive Officers are more likely to experience crashes. Overall, we highlight the importance of corporate managerial attributes in dealing with information asymmetry problems.&quot;,&quot;publisher&quot;:&quot;John Wiley &amp; Sons, Ltd&quot;,&quot;issue&quot;:&quot;2&quot;,&quot;volume&quot;:&quot;29&quot;,&quot;container-title-short&quot;:&quot;&quot;},&quot;isTemporary&quot;:false}]},{&quot;citationID&quot;:&quot;MENDELEY_CITATION_1af87687-f915-4570-a401-57b0c08a2aef&quot;,&quot;properties&quot;:{&quot;noteIndex&quot;:0,&quot;mode&quot;:&quot;composite&quot;},&quot;isEdited&quot;:false,&quot;manualOverride&quot;:{&quot;isManuallyOverridden&quot;:false,&quot;citeprocText&quot;:&quot;Le et al. (2024)&quot;,&quot;manualOverrideText&quot;:&quot;&quot;},&quot;citationTag&quot;:&quot;MENDELEY_CITATION_v3_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&quot;,&quot;citationItems&quot;:[{&quot;id&quot;:&quot;661f1963-ab01-32cf-b8ca-66fbe015c9ca&quot;,&quot;itemData&quot;:{&quot;type&quot;:&quot;article-journal&quot;,&quot;id&quot;:&quot;661f1963-ab01-32cf-b8ca-66fbe015c9ca&quot;,&quot;title&quot;:&quot;Insider Trading, Gender Diversity within the Board Room, CEO Pay Gap, and Stock Price Crash Risk&quot;,&quot;author&quot;:[{&quot;family&quot;:&quot;Le&quot;,&quot;given&quot;:&quot;Viet Phuong&quot;,&quot;parse-names&quot;:false,&quot;dropping-particle&quot;:&quot;&quot;,&quot;non-dropping-particle&quot;:&quot;&quot;},{&quot;family&quot;:&quot;Nguyen&quot;,&quot;given&quot;:&quot;Ann-Ngoc&quot;,&quot;parse-names&quot;:false,&quot;dropping-particle&quot;:&quot;&quot;,&quot;non-dropping-particle&quot;:&quot;&quot;},{&quot;family&quot;:&quot;Gregoriou&quot;,&quot;given&quot;:&quot;Andros&quot;,&quot;parse-names&quot;:false,&quot;dropping-particle&quot;:&quot;&quot;,&quot;non-dropping-particle&quot;:&quot;&quot;}],&quot;container-title&quot;:&quot;International Journal of Finance &amp; Economics&quot;,&quot;DOI&quot;:&quot;https://doi.org/10.1002/ijfe.2731&quot;,&quot;ISSN&quot;:&quot;1076-9307&quot;,&quot;URL&quot;:&quot;https://doi.org/10.1002/ijfe.2731&quot;,&quot;issued&quot;:{&quot;date-parts&quot;:[[2024,4,1]]},&quot;page&quot;:&quot;1378-1400&quot;,&quot;abstract&quot;:&quot;Abstract This paper investigates the impact of insider trading and managerial attributes on future stock price crashes. We conduct a series of regressions addressing the managerial attributes determinants of future stock price crashes including gender diversity, CEO age, and CEO power (measured by CEO pay disparity, CEO tenure and CEO duality). Our empirical results reveal a positive association between insider purchases and price crash risk. This implies that other than compensation and career concerns, insiders hoard bad news to fulfil their trading incentives. Our positive coefficients of insider sales also suggest that insider sellers can assess inside information promptly and anticipate shortly before the crashes. We further document that the presence of female directors on boards can mitigate stock price crash risk. However, firms with powerful or younger Chief Executive Officers are more likely to experience crashes. Overall, we highlight the importance of corporate managerial attributes in dealing with information asymmetry problems.&quot;,&quot;publisher&quot;:&quot;John Wiley &amp; Sons, Ltd&quot;,&quot;issue&quot;:&quot;2&quot;,&quot;volume&quot;:&quot;29&quot;,&quot;container-title-short&quot;:&quot;&quot;},&quot;isTemporary&quot;:false,&quot;displayAs&quot;:&quot;composite&quot;,&quot;suppress-author&quot;:false,&quot;composite&quot;:true,&quot;author-only&quot;:false}]},{&quot;citationID&quot;:&quot;MENDELEY_CITATION_aa6bb10d-5620-4027-9c6f-5a2267f149d6&quot;,&quot;properties&quot;:{&quot;noteIndex&quot;:0,&quot;mode&quot;:&quot;composite&quot;},&quot;isEdited&quot;:false,&quot;manualOverride&quot;:{&quot;isManuallyOverridden&quot;:false,&quot;citeprocText&quot;:&quot;Baker et al. (2016)&quot;,&quot;manualOverrideText&quot;:&quot;&quot;},&quot;citationTag&quot;:&quot;MENDELEY_CITATION_v3_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&quot;,&quot;citationItems&quot;:[{&quot;id&quot;:&quot;cca97754-b0dc-3b97-8f4b-32bf7d197cfa&quot;,&quot;itemData&quot;:{&quot;type&quot;:&quot;article-journal&quot;,&quot;id&quot;:&quot;cca97754-b0dc-3b97-8f4b-32bf7d197cfa&quot;,&quot;title&quot;:&quot;Measuring Economic Policy Uncertainty&quot;,&quot;author&quot;:[{&quot;family&quot;:&quot;Baker&quot;,&quot;given&quot;:&quot;Scott R&quot;,&quot;parse-names&quot;:false,&quot;dropping-particle&quot;:&quot;&quot;,&quot;non-dropping-particle&quot;:&quot;&quot;},{&quot;family&quot;:&quot;Bloom&quot;,&quot;given&quot;:&quot;Nicholas&quot;,&quot;parse-names&quot;:false,&quot;dropping-particle&quot;:&quot;&quot;,&quot;non-dropping-particle&quot;:&quot;&quot;},{&quot;family&quot;:&quot;Davis&quot;,&quot;given&quot;:&quot;Steven J&quot;,&quot;parse-names&quot;:false,&quot;dropping-particle&quot;:&quot;&quot;,&quot;non-dropping-particle&quot;:&quot;&quot;}],&quot;container-title&quot;:&quot;The Quarterly Journal of Economics&quot;,&quot;container-title-short&quot;:&quot;Q J Econ&quot;,&quot;DOI&quot;:&quot;10.1093/qje/qjw024&quot;,&quot;ISSN&quot;:&quot;0033-5533&quot;,&quot;URL&quot;:&quot;https://doi.org/10.1093/qje/qjw024&quot;,&quot;issued&quot;:{&quot;date-parts&quot;:[[2016,11,1]]},&quot;page&quot;:&quot;1593-1636&quot;,&quot;abstract&quot;:&quot;We develop a new index of economic policy uncertainty (EPU) based on newspaper\n                    coverage frequency. Several types of evidence—including human readings of 12,000\n                    newspaper articles—indicate that our index proxies for movements in\n                    policy-related economic uncertainty. Our U.S. index spikes near tight\n                    presidential elections, Gulf Wars I and II, the 9/11 attacks, the failure of\n                    Lehman Brothers, the 2011 debt ceiling dispute, and other major battles over\n                    fiscal policy. Using firm-level data, we find that policy uncertainty is\n                    associated with greater stock price volatility and reduced investment and\n                    employment in policy-sensitive sectors like defense, health care, finance, and\n                    infrastructure construction. At the macro level, innovations in policy\n                    uncertainty foreshadow declines in investment, output, and employment in the\n                    United States and, in a panel vector autoregressive setting, for 12 major\n                    economies. Extending our U.S. index back to 1900, EPU rose dramatically in the\n                    1930s (from late 1931) and has drifted upward since the 1960s.&quot;,&quot;issue&quot;:&quot;4&quot;,&quot;volume&quot;:&quot;131&quot;},&quot;isTemporary&quot;:false,&quot;displayAs&quot;:&quot;composite&quot;,&quot;suppress-author&quot;:false,&quot;composite&quot;:true,&quot;author-only&quot;:false}]},{&quot;citationID&quot;:&quot;MENDELEY_CITATION_bb518e35-aa75-4dd6-bb39-c66f5c5eff02&quot;,&quot;properties&quot;:{&quot;noteIndex&quot;:0,&quot;mode&quot;:&quot;composite&quot;},&quot;isEdited&quot;:false,&quot;manualOverride&quot;:{&quot;isManuallyOverridden&quot;:false,&quot;citeprocText&quot;:&quot;Caldara &amp;#38; Iacoviell (2022)&quot;,&quot;manualOverrideText&quot;:&quot;&quot;},&quot;citationTag&quot;:&quot;MENDELEY_CITATION_v3_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&quot;,&quot;citationItems&quot;:[{&quot;id&quot;:&quot;7770e23c-6b2c-3884-87a7-c92bba85bc73&quot;,&quot;itemData&quot;:{&quot;type&quot;:&quot;article-journal&quot;,&quot;id&quot;:&quot;7770e23c-6b2c-3884-87a7-c92bba85bc73&quot;,&quot;title&quot;:&quot;Measuring Geopolitical Risk&quot;,&quot;author&quot;:[{&quot;family&quot;:&quot;Caldara&quot;,&quot;given&quot;:&quot;Dario&quot;,&quot;parse-names&quot;:false,&quot;dropping-particle&quot;:&quot;&quot;,&quot;non-dropping-particle&quot;:&quot;&quot;},{&quot;family&quot;:&quot;Iacoviell&quot;,&quot;given&quot;:&quot;Matteo&quot;,&quot;parse-names&quot;:false,&quot;dropping-particle&quot;:&quot;&quot;,&quot;non-dropping-particle&quot;:&quot;&quot;}],&quot;container-title&quot;:&quot;American Economic Review&quot;,&quot;DOI&quot;:&quot;10.1257/aer.20191823&quot;,&quot;ISSN&quot;:&quot;19447981&quot;,&quot;issued&quot;:{&quot;date-parts&quot;:[[2022,4,1]]},&quot;page&quot;:&quot;1194-1225&quot;,&quot;abstract&quot;:&quot;We present a news-based measure of adverse geopolitical events and associated risks. The geopolitical risk (GPR) index spikes around the two world wars, at the beginning of the Korean War, during the Cuban Missile Crisis, and after 9/11. Higher geopolitical risk foreshadows lower investment and employment and is associated with higher disaster probability and larger downside risks. The adverse consequences of the GPR index are driven by both the threat and the realization of adverse geopolitical events. We complement our aggregate measures with industry- and firm-level indicators of geopolitical risk. Investment drops more in industries that are exposed to aggregate geopolitical risk. Higher firm-level geopolitical risk is associated with lower firm-level investment. (JEL C43, E32, F51, F52, G31, H56, N40)&quot;,&quot;publisher&quot;:&quot;American Economic Association&quot;,&quot;issue&quot;:&quot;4&quot;,&quot;volume&quot;:&quot;112&quot;,&quot;container-title-short&quot;:&quot;&quot;},&quot;isTemporary&quot;:false,&quot;displayAs&quot;:&quot;composite&quot;,&quot;suppress-author&quot;:false,&quot;composite&quot;:true,&quot;author-only&quot;:false}]},{&quot;citationID&quot;:&quot;MENDELEY_CITATION_42c5ad94-5cc0-490c-87cf-79f5765860b7&quot;,&quot;properties&quot;:{&quot;noteIndex&quot;:0,&quot;mode&quot;:&quot;composite&quot;},&quot;isEdited&quot;:false,&quot;manualOverride&quot;:{&quot;isManuallyOverridden&quot;:false,&quot;citeprocText&quot;:&quot;Gujarati &amp;#38; Porter (2009)&quot;,&quot;manualOverrideText&quot;:&quot;&quot;},&quot;citationTag&quot;:&quot;MENDELEY_CITATION_v3_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&quot;,&quot;citationItems&quot;:[{&quot;id&quot;:&quot;05127e85-f0a9-34fe-9063-dc8ff4c8273e&quot;,&quot;itemData&quot;:{&quot;type&quot;:&quot;book&quot;,&quot;id&quot;:&quot;05127e85-f0a9-34fe-9063-dc8ff4c8273e&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publisher-place&quot;:&quot;New York&quot;,&quot;edition&quot;:&quot;5&quot;,&quot;publisher&quot;:&quot;McGraw-Hill/Irwin&quot;,&quot;container-title-short&quot;:&quot;&quot;},&quot;isTemporary&quot;:false,&quot;displayAs&quot;:&quot;composite&quot;,&quot;suppress-author&quot;:false,&quot;composite&quot;:true,&quot;author-only&quot;:false}]},{&quot;citationID&quot;:&quot;MENDELEY_CITATION_8c9a877c-4aa6-404b-8dc8-d3c5776fde28&quot;,&quot;properties&quot;:{&quot;noteIndex&quot;:0},&quot;isEdited&quot;:false,&quot;manualOverride&quot;:{&quot;isManuallyOverridden&quot;:false,&quot;citeprocText&quot;:&quot;(Han et al., 2023; Yuan et al., 2022)&quot;,&quot;manualOverrideText&quot;:&quot;&quot;},&quot;citationTag&quot;:&quot;MENDELEY_CITATION_v3_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&quot;,&quot;citationItems&quot;:[{&quot;id&quot;:&quot;8f2539d3-6397-3f2e-a262-7c1c87067b12&quot;,&quot;itemData&quot;:{&quot;type&quot;:&quot;article-journal&quot;,&quot;id&quot;:&quot;8f2539d3-6397-3f2e-a262-7c1c87067b12&quot;,&quot;title&quot;:&quot;Economic Policy Uncertainty and Stock Price Crash Risk of Commercial Banks: Evidence from China&quot;,&quot;author&quot;:[{&quot;family&quot;:&quot;Yuan&quot;,&quot;given&quot;:&quot;M.&quot;,&quot;parse-names&quot;:false,&quot;dropping-particle&quot;:&quot;&quot;,&quot;non-dropping-particle&quot;:&quot;&quot;},{&quot;family&quot;:&quot;Zhang&quot;,&quot;given&quot;:&quot;L.&quot;,&quot;parse-names&quot;:false,&quot;dropping-particle&quot;:&quot;&quot;,&quot;non-dropping-particle&quot;:&quot;&quot;},{&quot;family&quot;:&quot;Lian&quot;,&quot;given&quot;:&quot;Y.&quot;,&quot;parse-names&quot;:false,&quot;dropping-particle&quot;:&quot;&quot;,&quot;non-dropping-particle&quot;:&quot;&quot;}],&quot;container-title&quot;:&quot;Economic Analysis and Policy&quot;,&quot;container-title-short&quot;:&quot;Econ Anal Policy&quot;,&quot;DOI&quot;:&quot;10.1016/j.eap.2022.03.018&quot;,&quot;issued&quot;:{&quot;date-parts&quot;:[[2022]]},&quot;page&quot;:&quot;587-605&quot;,&quot;abstract&quot;:&quot;This study examines the impact of economic policy uncertainty on the stock price crash risk of commercial banks based on a sample of 32 Chinese A-share listed banks from Q1 2007 to Q4 2019. Empirical analysis revealed that economic policy uncertainty significantly increases the banks’ stock price crash risk. The main findings were valid in a series of robustness tests, including replacing measures of economic policy uncertainty and stock price crash indicators, adding control variables to the model, changing the sample size, and addressing endogenous issues. Further analysis of the moderating effects revealed that higher the financial risk and lower the information transparency of commercial banks, higher are the chances of stock price crash risk being affected by economic policy uncertainty.&quot;,&quot;volume&quot;:&quot;74&quot;},&quot;isTemporary&quot;:false},{&quot;id&quot;:&quot;d3b69386-5cb1-3953-8237-5470671e3e95&quot;,&quot;itemData&quot;:{&quot;type&quot;:&quot;article-journal&quot;,&quot;id&quot;:&quot;d3b69386-5cb1-3953-8237-5470671e3e95&quot;,&quot;title&quot;:&quot;Economic Policy Uncertainty, Non-Financial Enterprises' Shadow Banking Activities and Stock Price Crash Risk&quot;,&quot;author&quot;:[{&quot;family&quot;:&quot;Han&quot;,&quot;given&quot;:&quot;Xun&quot;,&quot;parse-names&quot;:false,&quot;dropping-particle&quot;:&quot;&quot;,&quot;non-dropping-particle&quot;:&quot;&quot;},{&quot;family&quot;:&quot;Hsu&quot;,&quot;given&quot;:&quot;Sara&quot;,&quot;parse-names&quot;:false,&quot;dropping-particle&quot;:&quot;&quot;,&quot;non-dropping-particle&quot;:&quot;&quot;},{&quot;family&quot;:&quot;Li&quot;,&quot;given&quot;:&quot;Jianjun&quot;,&quot;parse-names&quot;:false,&quot;dropping-particle&quot;:&quot;&quot;,&quot;non-dropping-particle&quot;:&quot;&quot;},{&quot;family&quot;:&quot;An&quot;,&quot;given&quot;:&quot;Ran&quot;,&quot;parse-names&quot;:false,&quot;dropping-particle&quot;:&quot;&quot;,&quot;non-dropping-particle&quot;:&quot;&quot;}],&quot;container-title&quot;:&quot;Emerging Markets Review&quot;,&quot;DOI&quot;:&quot;https://doi.org/10.1016/j.ememar.2023.101003&quot;,&quot;ISSN&quot;:&quot;1566-0141&quot;,&quot;URL&quot;:&quot;https://www.sciencedirect.com/science/article/pii/S1566014123000080&quot;,&quot;issued&quot;:{&quot;date-parts&quot;:[[2023]]},&quot;page&quot;:&quot;101003&quot;,&quot;abstract&quot;:&quot;At present, the structural contradiction between Economic Financialization and the real economy's long-term weakness has become increasingly prominent. As China enters a “new normal” stage of economic growth, the real investment rate drops, non-financial enterprises continuously allocate resources to the shadow banking system. The financial economy becomes increasingly divorced from reality. This leads us to the questions: will the shadow banking behavior of non-financial companies exacerbate the risk of stock price crash risk? How does the increase in economic policy uncertainty affect the relationship between non-financial companies' shadow banking activities and stock price crash risk? This article uses non-financial listed companies' data from 2007 to 2017 and conducts empirical analysis to answer this question. The study finds that companies engaged in high-leverage, high-risk shadow banking business exacerbate stock crash risk. This effect is only pronounced in non-state-owned enterprises and low social trust regions. The increase in the degree of economic policy uncertainty positively impacts the relationship between non-financial companies' shadow banking business and stock price crash risk. The theoretical mechanism is as follows: the rise in economic policy uncertainty amplifies the positive relationship between shadow banking activities of non-financial companies and stock price crashes by increasing bank loans, investors' sensitivity to external information, risk cross-contagion, and inefficient investment mechanisms. Various robustness tests do not change the research conclusion. This paper has important theoretical and policy guidance significance for reviewing the existing diversified shadow banking system and preventing systemic risks.&quot;,&quot;volume&quot;:&quot;54&quot;,&quot;container-title-short&quot;:&quot;&quot;},&quot;isTemporary&quot;:false}]},{&quot;citationID&quot;:&quot;MENDELEY_CITATION_192c64aa-ecbc-4fd0-8618-4af105569426&quot;,&quot;properties&quot;:{&quot;noteIndex&quot;:0},&quot;isEdited&quot;:false,&quot;manualOverride&quot;:{&quot;isManuallyOverridden&quot;:false,&quot;citeprocText&quot;:&quot;(B. Liu, 2015; Xu &amp;#38; Liu, 2024)&quot;,&quot;manualOverrideText&quot;:&quot;&quot;},&quot;citationTag&quot;:&quot;MENDELEY_CITATION_v3_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&quot;,&quot;citationItems&quot;:[{&quot;id&quot;:&quot;d66e3ada-992d-377e-acc2-5d75ebc0e2af&quot;,&quot;itemData&quot;:{&quot;type&quot;:&quot;book&quot;,&quot;id&quot;:&quot;d66e3ada-992d-377e-acc2-5d75ebc0e2af&quot;,&quot;title&quot;:&quot;Uncertainty Theory&quot;,&quot;author&quot;:[{&quot;family&quot;:&quot;Liu&quot;,&quot;given&quot;:&quot;Baoding&quot;,&quot;parse-names&quot;:false,&quot;dropping-particle&quot;:&quot;&quot;,&quot;non-dropping-particle&quot;:&quot;&quot;}],&quot;accessed&quot;:{&quot;date-parts&quot;:[[2025,4,4]]},&quot;DOI&quot;:&quot;10.1007/978-3-662-44354-5&quot;,&quot;issued&quot;:{&quot;date-parts&quot;:[[2015]]},&quot;publisher-place&quot;:&quot;New York&quot;,&quot;publisher&quot;:&quot;Springer-Verlag Berlin Heidelberg&quot;,&quot;container-title-short&quot;:&quot;&quot;},&quot;isTemporary&quot;:false},{&quot;id&quot;:&quot;0b45537a-7c2a-3866-9b00-5f4a3f180e6c&quot;,&quot;itemData&quot;:{&quot;type&quot;:&quot;article-journal&quot;,&quot;id&quot;:&quot;0b45537a-7c2a-3866-9b00-5f4a3f180e6c&quot;,&quot;title&quot;:&quot;How does technological progress affect provincial financial resilience? Evidence at the Provincial Level in China&quot;,&quot;author&quot;:[{&quot;family&quot;:&quot;Xu&quot;,&quot;given&quot;:&quot;Dandan&quot;,&quot;parse-names&quot;:false,&quot;dropping-particle&quot;:&quot;&quot;,&quot;non-dropping-particle&quot;:&quot;&quot;},{&quot;family&quot;:&quot;Liu&quot;,&quot;given&quot;:&quot;Yuting&quot;,&quot;parse-names&quot;:false,&quot;dropping-particle&quot;:&quot;&quot;,&quot;non-dropping-particle&quot;:&quot;&quot;}],&quot;container-title&quot;:&quot;Emerging Markets Review&quot;,&quot;DOI&quot;:&quot;https://doi-org.unesalibrary.remotexs.co/10.1016/j.ememar.2024.101137&quot;,&quot;ISSN&quot;:&quot;1566-0141&quot;,&quot;URL&quot;:&quot;https://www-sciencedirect-com.unesalibrary.remotexs.co/science/article/pii/S1566014124000323&quot;,&quot;issued&quot;:{&quot;date-parts&quot;:[[2024]]},&quot;page&quot;:&quot;101137&quot;,&quot;abstract&quot;:&quot;The ever-changing global economy and sudden global public health events have posed challenges to financial resilience worldwide. As its important role in maintaining domestic economic stability, safeguarding national security, and enhancing international status, financial resilience has long been widely studied. However, few studies have empirically explored how technological progress affects financial resilience. Based on data from 30 provinces in China, this study adopts a panel two-way fixed effect model to identify the impact of technological progress on financial resilience and the underlying mechanisms. Results show that technological progress can significantly enhance financial resilience, and this impact is stronger in provinces with large population size, high employment proportion in the tertiary sector, high social consumption capacity, and provinces located in Central China. Further, technological progress have a positive impact on financial resilience through increased asset liquidity and government intervention.&quot;,&quot;volume&quot;:&quot;60&quot;,&quot;container-title-short&quot;:&quot;&quot;},&quot;isTemporary&quot;:false}]},{&quot;citationID&quot;:&quot;MENDELEY_CITATION_264e8221-0929-472a-bfce-a43deb378d47&quot;,&quot;properties&quot;:{&quot;noteIndex&quot;:0},&quot;isEdited&quot;:false,&quot;manualOverride&quot;:{&quot;isManuallyOverridden&quot;:false,&quot;citeprocText&quot;:&quot;(Dai et al., 2021; Zainorrahman, 2025)&quot;,&quot;manualOverrideText&quot;:&quot;&quot;},&quot;citationTag&quot;:&quot;MENDELEY_CITATION_v3_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&quot;,&quot;citationItems&quot;:[{&quot;id&quot;:&quot;53f48ee1-898d-3c48-8df2-c84ac6678007&quot;,&quot;itemData&quot;:{&quot;type&quot;:&quot;article-journal&quot;,&quot;id&quot;:&quot;53f48ee1-898d-3c48-8df2-c84ac6678007&quot;,&quot;title&quot;:&quot;Preventing Crash in Stock Market: The Role of Economic Policy Uncertainty During COVID-19&quot;,&quot;author&quot;:[{&quot;family&quot;:&quot;Dai&quot;,&quot;given&quot;:&quot;Peng-Fei&quot;,&quot;parse-names&quot;:false,&quot;dropping-particle&quot;:&quot;&quot;,&quot;non-dropping-particle&quot;:&quot;&quot;},{&quot;family&quot;:&quot;Xiong&quot;,&quot;given&quot;:&quot;Xiong&quot;,&quot;parse-names&quot;:false,&quot;dropping-particle&quot;:&quot;&quot;,&quot;non-dropping-particle&quot;:&quot;&quot;},{&quot;family&quot;:&quot;Liu&quot;,&quot;given&quot;:&quot;Zhifeng&quot;,&quot;parse-names&quot;:false,&quot;dropping-particle&quot;:&quot;&quot;,&quot;non-dropping-particle&quot;:&quot;&quot;},{&quot;family&quot;:&quot;Huynh&quot;,&quot;given&quot;:&quot;Toan Luu Duc&quot;,&quot;parse-names&quot;:false,&quot;dropping-particle&quot;:&quot;&quot;,&quot;non-dropping-particle&quot;:&quot;&quot;},{&quot;family&quot;:&quot;Sun&quot;,&quot;given&quot;:&quot;Jianjun&quot;,&quot;parse-names&quot;:false,&quot;dropping-particle&quot;:&quot;&quot;,&quot;non-dropping-particle&quot;:&quot;&quot;}],&quot;container-title&quot;:&quot;Financial Innovation&quot;,&quot;DOI&quot;:&quot;10.1186/s40854-021-00248-y&quot;,&quot;ISSN&quot;:&quot;2199-4730&quot;,&quot;URL&quot;:&quot;https://doi.org/10.1186/s40854-021-00248-y&quot;,&quot;issued&quot;:{&quot;date-parts&quot;:[[2021]]},&quot;page&quot;:&quot;31&quot;,&quot;abstract&quot;:&quot;This paper investigates the impact of economic policy uncertainty (EPU) on the crash risk of US stock market during the COVID-19 pandemic. To this end, we use the GARCH-S (GARCH with skewness) model to estimate daily skewness as a proxy for the stock market crash risk. The empirical results show the significantly negative correlation between EPU and stock market crash risk, indicating the aggravation of EPU increase the crash risk. Moreover, the negative correlation gets stronger after the global COVID-19 outbreak, which shows the crash risk of the US stock market will be more affected by EPU during the epidemic.&quot;,&quot;issue&quot;:&quot;1&quot;,&quot;volume&quot;:&quot;7&quot;,&quot;container-title-short&quot;:&quot;&quot;},&quot;isTemporary&quot;:false},{&quot;id&quot;:&quot;cf49751a-816f-3664-9992-2fec98f50c6c&quot;,&quot;itemData&quot;:{&quot;type&quot;:&quot;article-journal&quot;,&quot;id&quot;:&quot;cf49751a-816f-3664-9992-2fec98f50c6c&quot;,&quot;title&quot;:&quot;Persepsi dan Ekspektasi Investor terhadap Volatilitas IHSG akibat Faktor Ekonomi Global : Studi Interpretatif&quot;,&quot;author&quot;:[{&quot;family&quot;:&quot;Zainorrahman&quot;,&quot;given&quot;:&quot;&quot;,&quot;parse-names&quot;:false,&quot;dropping-particle&quot;:&quot;&quot;,&quot;non-dropping-particle&quot;:&quot;&quot;}],&quot;container-title&quot;:&quot;Taswiq: Jurnal Manajemen dan Bisnis Syariah&quot;,&quot;URL&quot;:&quot;https://jurnal.inkadha.ac.id/index.php/taswiq&quot;,&quot;issued&quot;:{&quot;date-parts&quot;:[[2025]]},&quot;page&quot;:&quot;1-16&quot;,&quot;issue&quot;:&quot;2&quot;,&quot;volume&quot;:&quot;1&quot;,&quot;container-title-short&quot;:&quot;&quot;},&quot;isTemporary&quot;:false}]},{&quot;citationID&quot;:&quot;MENDELEY_CITATION_48e4ef41-6070-4814-babe-6a063bd9fefb&quot;,&quot;properties&quot;:{&quot;noteIndex&quot;:0},&quot;isEdited&quot;:false,&quot;manualOverride&quot;:{&quot;isManuallyOverridden&quot;:false,&quot;citeprocText&quot;:&quot;(Yuan et al., 2022)&quot;,&quot;manualOverrideText&quot;:&quot;&quot;},&quot;citationTag&quot;:&quot;MENDELEY_CITATION_v3_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&quot;,&quot;citationItems&quot;:[{&quot;id&quot;:&quot;8f2539d3-6397-3f2e-a262-7c1c87067b12&quot;,&quot;itemData&quot;:{&quot;type&quot;:&quot;article-journal&quot;,&quot;id&quot;:&quot;8f2539d3-6397-3f2e-a262-7c1c87067b12&quot;,&quot;title&quot;:&quot;Economic Policy Uncertainty and Stock Price Crash Risk of Commercial Banks: Evidence from China&quot;,&quot;author&quot;:[{&quot;family&quot;:&quot;Yuan&quot;,&quot;given&quot;:&quot;M.&quot;,&quot;parse-names&quot;:false,&quot;dropping-particle&quot;:&quot;&quot;,&quot;non-dropping-particle&quot;:&quot;&quot;},{&quot;family&quot;:&quot;Zhang&quot;,&quot;given&quot;:&quot;L.&quot;,&quot;parse-names&quot;:false,&quot;dropping-particle&quot;:&quot;&quot;,&quot;non-dropping-particle&quot;:&quot;&quot;},{&quot;family&quot;:&quot;Lian&quot;,&quot;given&quot;:&quot;Y.&quot;,&quot;parse-names&quot;:false,&quot;dropping-particle&quot;:&quot;&quot;,&quot;non-dropping-particle&quot;:&quot;&quot;}],&quot;container-title&quot;:&quot;Economic Analysis and Policy&quot;,&quot;container-title-short&quot;:&quot;Econ Anal Policy&quot;,&quot;DOI&quot;:&quot;10.1016/j.eap.2022.03.018&quot;,&quot;issued&quot;:{&quot;date-parts&quot;:[[2022]]},&quot;page&quot;:&quot;587-605&quot;,&quot;abstract&quot;:&quot;This study examines the impact of economic policy uncertainty on the stock price crash risk of commercial banks based on a sample of 32 Chinese A-share listed banks from Q1 2007 to Q4 2019. Empirical analysis revealed that economic policy uncertainty significantly increases the banks’ stock price crash risk. The main findings were valid in a series of robustness tests, including replacing measures of economic policy uncertainty and stock price crash indicators, adding control variables to the model, changing the sample size, and addressing endogenous issues. Further analysis of the moderating effects revealed that higher the financial risk and lower the information transparency of commercial banks, higher are the chances of stock price crash risk being affected by economic policy uncertainty.&quot;,&quot;volume&quot;:&quot;74&quot;},&quot;isTemporary&quot;:false,&quot;suppress-author&quot;:false,&quot;composite&quot;:false,&quot;author-only&quot;:false}]},{&quot;citationID&quot;:&quot;MENDELEY_CITATION_bc42e763-2b4d-4a62-8e11-cdf291ce5c1f&quot;,&quot;properties&quot;:{&quot;noteIndex&quot;:0},&quot;isEdited&quot;:false,&quot;manualOverride&quot;:{&quot;isManuallyOverridden&quot;:false,&quot;citeprocText&quot;:&quot;(Fiorillo et al., 2024; Saputra et al., 2023)&quot;,&quot;manualOverrideText&quot;:&quot;&quot;},&quot;citationTag&quot;:&quot;MENDELEY_CITATION_v3_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&quot;,&quot;citationItems&quot;:[{&quot;id&quot;:&quot;476aa607-b27a-3a35-acfd-62badca50448&quot;,&quot;itemData&quot;:{&quot;type&quot;:&quot;article-journal&quot;,&quot;id&quot;:&quot;476aa607-b27a-3a35-acfd-62badca50448&quot;,&quot;title&quot;:&quot;Geopolitical Risk &amp; Indonesian Stock Market Response&quot;,&quot;author&quot;:[{&quot;family&quot;:&quot;Saputra&quot;,&quot;given&quot;:&quot;Sahdan&quot;,&quot;parse-names&quot;:false,&quot;dropping-particle&quot;:&quot;&quot;,&quot;non-dropping-particle&quot;:&quot;&quot;},{&quot;family&quot;:&quot;Dwi Putri Marswandi&quot;,&quot;given&quot;:&quot;Ega&quot;,&quot;parse-names&quot;:false,&quot;dropping-particle&quot;:&quot;&quot;,&quot;non-dropping-particle&quot;:&quot;&quot;},{&quot;family&quot;:&quot;Hendri&quot;,&quot;given&quot;:&quot;Wira&quot;,&quot;parse-names&quot;:false,&quot;dropping-particle&quot;:&quot;&quot;,&quot;non-dropping-particle&quot;:&quot;&quot;}],&quot;container-title&quot;:&quot;Jurnal Ecoment Global&quot;,&quot;DOI&quot;:&quot;10.36982/jeg.v8i3.3486&quot;,&quot;ISSN&quot;:&quot;2540-816X&quot;,&quot;issued&quot;:{&quot;date-parts&quot;:[[2023]]},&quot;page&quot;:&quot;90-99&quot;,&quot;abstract&quot;:&quot;Objective: The aim of this research is to determine empirically the impact of geopolitical risk originating from countries with high geopolitical risk and domestic ones on the Composite Stock Price Index in Indonesia. In addition, this research aims to determine the role of geopolitical actions in strengthening or weakening the relationship between geopolitical risk and the Composite Stock Price Index in Indonesia. Design/Methods/Approach: This research uses geopolitical risk index (GPRH) data from countries with the highest geopolitical risk index in the last 3 years and domestic ones consisting of Ukraine, Russia, America, China and Indonesia. Meanwhile, geopolitical action risk (GPRA) is a risk index measured in aggregate from January 2004-October 2023, so the number of observations in this study reached 238. Findings: The findings in the research show that Ukraine and America have a negative and significant influence, while China and Russia have a positive and significant impact on the composite stock price index in Indonesia. Apart from that, this research also found that the influence of geopolitical risk on the composite stock price index in Indonesia is greater when geopolitical actions such as escalation of war and acts of terror occur.   Originality/Value: This research complements several previous studies regarding the impact of geopolitical risk on the Indonesian composite stock price index. Several previous studies have not examined the impact of each country's geopolitical risk on the composite stock price index and how it is moderated by geopolitical action. Practical/Policy implication: The findings in this research prove that countries that have high geopolitical risk have a significant influence on the Composite Stock Price Index in Indonesia. So that investors can use this research as a consideration when investing in the capital market by considering geopolitical risks originating from abroad and domestically.&quot;,&quot;issue&quot;:&quot;3&quot;,&quot;volume&quot;:&quot;8&quot;,&quot;container-title-short&quot;:&quot;&quot;},&quot;isTemporary&quot;:false},{&quot;id&quot;:&quot;0ef668ba-0de9-34dc-9ade-cc40683aece8&quot;,&quot;itemData&quot;:{&quot;type&quot;:&quot;article-journal&quot;,&quot;id&quot;:&quot;0ef668ba-0de9-34dc-9ade-cc40683aece8&quot;,&quot;title&quot;:&quot;Geopolitical Risk and Stock Price Crash Risk: The Mitigating Role of ESG Performance&quot;,&quot;author&quot;:[{&quot;family&quot;:&quot;Fiorillo&quot;,&quot;given&quot;:&quot;Paolo&quot;,&quot;parse-names&quot;:false,&quot;dropping-particle&quot;:&quot;&quot;,&quot;non-dropping-particle&quot;:&quot;&quot;},{&quot;family&quot;:&quot;Meles&quot;,&quot;given&quot;:&quot;Antonio&quot;,&quot;parse-names&quot;:false,&quot;dropping-particle&quot;:&quot;&quot;,&quot;non-dropping-particle&quot;:&quot;&quot;},{&quot;family&quot;:&quot;Pellegrino&quot;,&quot;given&quot;:&quot;Luigi Raffaele&quot;,&quot;parse-names&quot;:false,&quot;dropping-particle&quot;:&quot;&quot;,&quot;non-dropping-particle&quot;:&quot;&quot;},{&quot;family&quot;:&quot;Verdoliva&quot;,&quot;given&quot;:&quot;Vincenzo&quot;,&quot;parse-names&quot;:false,&quot;dropping-particle&quot;:&quot;&quot;,&quot;non-dropping-particle&quot;:&quot;&quot;}],&quot;container-title&quot;:&quot;International Review of Financial Analysis&quot;,&quot;DOI&quot;:&quot;10.1016/j.irfa.2023.102958&quot;,&quot;ISSN&quot;:&quot;1057-5219&quot;,&quot;URL&quot;:&quot;https://www.sciencedirect.com/science/article/pii/S105752192300474X&quot;,&quot;issued&quot;:{&quot;date-parts&quot;:[[2024]]},&quot;page&quot;:&quot;102958&quot;,&quot;abstract&quot;:&quot;We study the effect of geopolitical risk (GPR) on stock price crash risk and we investigate the mediating role of the ESG factors in this relationship. Using a large international sample of publicly listed firms, we find that higher GPR causes stock price crashes to occur more frequently. This result holds to several robustness checks and to the use of different measures of stock price crash risk and we rule out any potential endogeneity concern using an Instrumental Variables (IV) approach. We also find that the causal effect of GPR on crash events is mainly driven by the expectations and threats of geopolitical tensions (geopolitical threats), rather than their effective realization and escalation (geopolitical acts). However, when exploring the potential mitigating role of ESG factors, we observe these negative implications to be less severe for high ESG-rated issuers and, specifically, for firms scoring high in the Environmental and Social dimensions. Our study demonstrates that firms more engaged in ESG practices are more resilient to the GPR's adverse effect on stock price crash risk.&quot;,&quot;volume&quot;:&quot;91&quot;,&quot;container-title-short&quot;:&quot;&quot;},&quot;isTemporary&quot;:false}]},{&quot;citationID&quot;:&quot;MENDELEY_CITATION_e617d421-d727-4f05-90f9-adcb329e63a8&quot;,&quot;properties&quot;:{&quot;noteIndex&quot;:0},&quot;isEdited&quot;:false,&quot;manualOverride&quot;:{&quot;isManuallyOverridden&quot;:false,&quot;citeprocText&quot;:&quot;(Dai et al., 2021)&quot;,&quot;manualOverrideText&quot;:&quot;&quot;},&quot;citationTag&quot;:&quot;MENDELEY_CITATION_v3_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&quot;,&quot;citationItems&quot;:[{&quot;id&quot;:&quot;53f48ee1-898d-3c48-8df2-c84ac6678007&quot;,&quot;itemData&quot;:{&quot;type&quot;:&quot;article-journal&quot;,&quot;id&quot;:&quot;53f48ee1-898d-3c48-8df2-c84ac6678007&quot;,&quot;title&quot;:&quot;Preventing Crash in Stock Market: The Role of Economic Policy Uncertainty During COVID-19&quot;,&quot;author&quot;:[{&quot;family&quot;:&quot;Dai&quot;,&quot;given&quot;:&quot;Peng-Fei&quot;,&quot;parse-names&quot;:false,&quot;dropping-particle&quot;:&quot;&quot;,&quot;non-dropping-particle&quot;:&quot;&quot;},{&quot;family&quot;:&quot;Xiong&quot;,&quot;given&quot;:&quot;Xiong&quot;,&quot;parse-names&quot;:false,&quot;dropping-particle&quot;:&quot;&quot;,&quot;non-dropping-particle&quot;:&quot;&quot;},{&quot;family&quot;:&quot;Liu&quot;,&quot;given&quot;:&quot;Zhifeng&quot;,&quot;parse-names&quot;:false,&quot;dropping-particle&quot;:&quot;&quot;,&quot;non-dropping-particle&quot;:&quot;&quot;},{&quot;family&quot;:&quot;Huynh&quot;,&quot;given&quot;:&quot;Toan Luu Duc&quot;,&quot;parse-names&quot;:false,&quot;dropping-particle&quot;:&quot;&quot;,&quot;non-dropping-particle&quot;:&quot;&quot;},{&quot;family&quot;:&quot;Sun&quot;,&quot;given&quot;:&quot;Jianjun&quot;,&quot;parse-names&quot;:false,&quot;dropping-particle&quot;:&quot;&quot;,&quot;non-dropping-particle&quot;:&quot;&quot;}],&quot;container-title&quot;:&quot;Financial Innovation&quot;,&quot;DOI&quot;:&quot;10.1186/s40854-021-00248-y&quot;,&quot;ISSN&quot;:&quot;2199-4730&quot;,&quot;URL&quot;:&quot;https://doi.org/10.1186/s40854-021-00248-y&quot;,&quot;issued&quot;:{&quot;date-parts&quot;:[[2021]]},&quot;page&quot;:&quot;31&quot;,&quot;abstract&quot;:&quot;This paper investigates the impact of economic policy uncertainty (EPU) on the crash risk of US stock market during the COVID-19 pandemic. To this end, we use the GARCH-S (GARCH with skewness) model to estimate daily skewness as a proxy for the stock market crash risk. The empirical results show the significantly negative correlation between EPU and stock market crash risk, indicating the aggravation of EPU increase the crash risk. Moreover, the negative correlation gets stronger after the global COVID-19 outbreak, which shows the crash risk of the US stock market will be more affected by EPU during the epidemic.&quot;,&quot;issue&quot;:&quot;1&quot;,&quot;volume&quot;:&quot;7&quot;,&quot;container-title-short&quot;:&quot;&quot;},&quot;isTemporary&quot;:false,&quot;suppress-author&quot;:false,&quot;composite&quot;:false,&quot;author-only&quot;:false}]},{&quot;citationID&quot;:&quot;MENDELEY_CITATION_1818de9b-cdb3-4968-903a-e66c12b4fc22&quot;,&quot;properties&quot;:{&quot;noteIndex&quot;:0},&quot;isEdited&quot;:false,&quot;manualOverride&quot;:{&quot;isManuallyOverridden&quot;:false,&quot;citeprocText&quot;:&quot;(Melzatia et al., 2025)&quot;,&quot;manualOverrideText&quot;:&quot;&quot;},&quot;citationTag&quot;:&quot;MENDELEY_CITATION_v3_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&quot;,&quot;citationItems&quot;:[{&quot;id&quot;:&quot;2cd9fcc1-1174-3de0-af99-3adff7f39bee&quot;,&quot;itemData&quot;:{&quot;type&quot;:&quot;article-journal&quot;,&quot;id&quot;:&quot;2cd9fcc1-1174-3de0-af99-3adff7f39bee&quot;,&quot;title&quot;:&quot;Geopolitical Conflict and Indonesia’s Economic Stability&quot;,&quot;author&quot;:[{&quot;family&quot;:&quot;Melzatia&quot;,&quot;given&quot;:&quot;Shinta&quot;,&quot;parse-names&quot;:false,&quot;dropping-particle&quot;:&quot;&quot;,&quot;non-dropping-particle&quot;:&quot;&quot;},{&quot;family&quot;:&quot;Mahroji&quot;,&quot;given&quot;:&quot;&quot;,&quot;parse-names&quot;:false,&quot;dropping-particle&quot;:&quot;&quot;,&quot;non-dropping-particle&quot;:&quot;&quot;},{&quot;family&quot;:&quot;Apollo&quot;,&quot;given&quot;:&quot;&quot;,&quot;parse-names&quot;:false,&quot;dropping-particle&quot;:&quot;&quot;,&quot;non-dropping-particle&quot;:&quot;&quot;},{&quot;family&quot;:&quot;Zahri&quot;,&quot;given&quot;:&quot;Adli&quot;,&quot;parse-names&quot;:false,&quot;dropping-particle&quot;:&quot;&quot;,&quot;non-dropping-particle&quot;:&quot;&quot;}],&quot;container-title&quot;:&quot;Jurnal Lemhannas RI&quot;,&quot;DOI&quot;:&quot;10.55960/jlri.v12i4.1132&quot;,&quot;issued&quot;:{&quot;date-parts&quot;:[[2025]]},&quot;page&quot;:&quot;581-595&quot;,&quot;abstract&quot;:&quot;Purpose: Global geopolitical turmoil creates uncertainty that has direct implications for Indonesia's economic stability. The gap phenomenon arises when the government's fiscal and monetary policies fail to fully anticipate external risks, particularly those related to fluctuations in energy prices, trade tensions, and regional political dynamics. This study aims to understand the relationship between geopolitical conflicts and national economic resilience.\r Study Design/Methodology/Approach: This study use a qualitative approach with descriptive analysis, drawing on literature studies, secondary data, and official documents.\r Findings: The findings indicate that fiscal discipline, export market diversification, and strengthening foreign exchange reserves are key strategies for mitigating external pressures. In addition, strict fiscal oversight and enforcement of public governance is crucial in preventing the erosion of the economic structure due to potential corruption. The theoretical implications of this study enrich the perspective of Prospect Theory by emphasising how risk perception and government decision-making shape the direction of macroeconomic policy. From a practical perspective, the findings provide a reference for policymakers to formulate anticipatory strategies against geopolitical shocks. The policy implications underscore the importance of striking a balance between short-term stability and sustainable development.\r Originality/Value: The novelty of this research lies in the integration of geopolitical analysis with fiscal discipline as a key instrument to maintain Indonesia's economic resilience amid global uncertainty&quot;,&quot;issue&quot;:&quot;4&quot;,&quot;volume&quot;:&quot;12&quot;,&quot;container-title-short&quot;:&quot;&quot;},&quot;isTemporary&quot;:false,&quot;suppress-author&quot;:false,&quot;composite&quot;:false,&quot;author-only&quot;:false}]},{&quot;citationID&quot;:&quot;MENDELEY_CITATION_0a525c56-1467-4071-bf8f-8cefe9a96fbc&quot;,&quot;properties&quot;:{&quot;noteIndex&quot;:0},&quot;isEdited&quot;:false,&quot;manualOverride&quot;:{&quot;isManuallyOverridden&quot;:false,&quot;citeprocText&quot;:&quot;(Fiorillo et al., 2024)&quot;,&quot;manualOverrideText&quot;:&quot;&quot;},&quot;citationTag&quot;:&quot;MENDELEY_CITATION_v3_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&quot;,&quot;citationItems&quot;:[{&quot;id&quot;:&quot;0ef668ba-0de9-34dc-9ade-cc40683aece8&quot;,&quot;itemData&quot;:{&quot;type&quot;:&quot;article-journal&quot;,&quot;id&quot;:&quot;0ef668ba-0de9-34dc-9ade-cc40683aece8&quot;,&quot;title&quot;:&quot;Geopolitical Risk and Stock Price Crash Risk: The Mitigating Role of ESG Performance&quot;,&quot;author&quot;:[{&quot;family&quot;:&quot;Fiorillo&quot;,&quot;given&quot;:&quot;Paolo&quot;,&quot;parse-names&quot;:false,&quot;dropping-particle&quot;:&quot;&quot;,&quot;non-dropping-particle&quot;:&quot;&quot;},{&quot;family&quot;:&quot;Meles&quot;,&quot;given&quot;:&quot;Antonio&quot;,&quot;parse-names&quot;:false,&quot;dropping-particle&quot;:&quot;&quot;,&quot;non-dropping-particle&quot;:&quot;&quot;},{&quot;family&quot;:&quot;Pellegrino&quot;,&quot;given&quot;:&quot;Luigi Raffaele&quot;,&quot;parse-names&quot;:false,&quot;dropping-particle&quot;:&quot;&quot;,&quot;non-dropping-particle&quot;:&quot;&quot;},{&quot;family&quot;:&quot;Verdoliva&quot;,&quot;given&quot;:&quot;Vincenzo&quot;,&quot;parse-names&quot;:false,&quot;dropping-particle&quot;:&quot;&quot;,&quot;non-dropping-particle&quot;:&quot;&quot;}],&quot;container-title&quot;:&quot;International Review of Financial Analysis&quot;,&quot;DOI&quot;:&quot;10.1016/j.irfa.2023.102958&quot;,&quot;ISSN&quot;:&quot;1057-5219&quot;,&quot;URL&quot;:&quot;https://www.sciencedirect.com/science/article/pii/S105752192300474X&quot;,&quot;issued&quot;:{&quot;date-parts&quot;:[[2024]]},&quot;page&quot;:&quot;102958&quot;,&quot;abstract&quot;:&quot;We study the effect of geopolitical risk (GPR) on stock price crash risk and we investigate the mediating role of the ESG factors in this relationship. Using a large international sample of publicly listed firms, we find that higher GPR causes stock price crashes to occur more frequently. This result holds to several robustness checks and to the use of different measures of stock price crash risk and we rule out any potential endogeneity concern using an Instrumental Variables (IV) approach. We also find that the causal effect of GPR on crash events is mainly driven by the expectations and threats of geopolitical tensions (geopolitical threats), rather than their effective realization and escalation (geopolitical acts). However, when exploring the potential mitigating role of ESG factors, we observe these negative implications to be less severe for high ESG-rated issuers and, specifically, for firms scoring high in the Environmental and Social dimensions. Our study demonstrates that firms more engaged in ESG practices are more resilient to the GPR's adverse effect on stock price crash risk.&quot;,&quot;volume&quot;:&quot;91&quot;,&quot;container-title-short&quot;:&quot;&quot;},&quot;isTemporary&quot;:false}]},{&quot;citationID&quot;:&quot;MENDELEY_CITATION_be1dd1c4-2a32-4230-948b-40fd6e7f2108&quot;,&quot;properties&quot;:{&quot;noteIndex&quot;:0},&quot;isEdited&quot;:false,&quot;manualOverride&quot;:{&quot;isManuallyOverridden&quot;:false,&quot;citeprocText&quot;:&quot;(Kim, 2021; Shahab et al., 2020)&quot;,&quot;manualOverrideText&quot;:&quot;&quot;},&quot;citationTag&quot;:&quot;MENDELEY_CITATION_v3_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&quot;,&quot;citationItems&quot;:[{&quot;id&quot;:&quot;ce7b3336-cf45-3f98-8b16-d43ca7a4b76b&quot;,&quot;itemData&quot;:{&quot;type&quot;:&quot;article-journal&quot;,&quot;id&quot;:&quot;ce7b3336-cf45-3f98-8b16-d43ca7a4b76b&quot;,&quot;title&quot;:&quot;CEO Power and Stock Price Crash Risk in China: Do Female Directors' Critical Mass and Ownership Structure Matter?&quot;,&quot;author&quot;:[{&quot;family&quot;:&quot;Shahab&quot;,&quot;given&quot;:&quot;Y.&quot;,&quot;parse-names&quot;:false,&quot;dropping-particle&quot;:&quot;&quot;,&quot;non-dropping-particle&quot;:&quot;&quot;},{&quot;family&quot;:&quot;Ntim&quot;,&quot;given&quot;:&quot;C.G.&quot;,&quot;parse-names&quot;:false,&quot;dropping-particle&quot;:&quot;&quot;,&quot;non-dropping-particle&quot;:&quot;&quot;},{&quot;family&quot;:&quot;Ullah&quot;,&quot;given&quot;:&quot;F.&quot;,&quot;parse-names&quot;:false,&quot;dropping-particle&quot;:&quot;&quot;,&quot;non-dropping-particle&quot;:&quot;&quot;},{&quot;family&quot;:&quot;Yugang&quot;,&quot;given&quot;:&quot;C.&quot;,&quot;parse-names&quot;:false,&quot;dropping-particle&quot;:&quot;&quot;,&quot;non-dropping-particle&quot;:&quot;&quot;},{&quot;family&quot;:&quot;Ye&quot;,&quot;given&quot;:&quot;Z.&quot;,&quot;parse-names&quot;:false,&quot;dropping-particle&quot;:&quot;&quot;,&quot;non-dropping-particle&quot;:&quot;&quot;}],&quot;container-title&quot;:&quot;International Review of Financial Analysis&quot;,&quot;DOI&quot;:&quot;10.1016/j.irfa.2020.101457&quot;,&quot;issued&quot;:{&quot;date-parts&quot;:[[2020]]},&quot;abstract&quot;:&quot;This study investigates how CEO power is associated with stock price crash risk. We further examine the moderating roles of female directors' critical mass and ownership structure on the relationship between CEO power and stock price crash risk. Employing one of the largest datasets to-date of Chinese listed firms over the 2005–2015 period (13,421 firm-year observations), we find that CEO's power to increase the likelihood of stock price crash risk is significantly mitigated when the percentage of: (a) female directors; and (b) ownership by blockholders and institutions, is high within firms. We interpret our findings within a theoretical framework that draws insights from neo-institutional, managerial power and critical mass theories. The findings are robust to the use of alternative measures, estimation methods and endogeneity issues.&quot;,&quot;volume&quot;:&quot;68&quot;,&quot;container-title-short&quot;:&quot;&quot;},&quot;isTemporary&quot;:false},{&quot;id&quot;:&quot;fa7e3974-aa58-3555-b926-f557f6e52653&quot;,&quot;itemData&quot;:{&quot;type&quot;:&quot;article-journal&quot;,&quot;id&quot;:&quot;fa7e3974-aa58-3555-b926-f557f6e52653&quot;,&quot;title&quot;:&quot;Exploring Nonlinear Effects of CEO Power on Stock Price Crash Risk&quot;,&quot;author&quot;:[{&quot;family&quot;:&quot;Kim&quot;,&quot;given&quot;:&quot;C.&quot;,&quot;parse-names&quot;:false,&quot;dropping-particle&quot;:&quot;&quot;,&quot;non-dropping-particle&quot;:&quot;&quot;}],&quot;container-title&quot;:&quot;Asian Review of Financial Research&quot;,&quot;DOI&quot;:&quot;10.37197/ARFR.2021.34.3.1&quot;,&quot;issued&quot;:{&quot;date-parts&quot;:[[2021]]},&quot;page&quot;:&quot;1-23&quot;,&quot;abstract&quot;:&quot;This study investigates the role of powerful CEOs on future stock price crashes. Our results reveal an inverted U-shaped relationship between CEO power and stock price crash risk. Specifically, powerful CEOs tend to conceal more negative news, increasing stock price crash risk, which indicates the presence of incentives to take private benefits. However, extremely powerful CEOs decrease stock price crash risk, suggestingwww.earticle.net that sufficient entrenchment may mitigate further private benefits from concealing negative news. Additionally, the nonlinear relationship is observed only in competitive industries. This fact implies that strong external monitoring mitigates CEOs’ incentives to pursue private benefits, but raises extremely powerful CEOs’ career concerns, which encourages them to conceal more negative news.&quot;,&quot;issue&quot;:&quot;3&quot;,&quot;volume&quot;:&quot;34&quot;,&quot;container-title-short&quot;:&quot;&quot;},&quot;isTemporary&quot;:false}]},{&quot;citationID&quot;:&quot;MENDELEY_CITATION_4aca00b3-b209-4add-bd50-d2ad0a805804&quot;,&quot;properties&quot;:{&quot;noteIndex&quot;:0,&quot;mode&quot;:&quot;composite&quot;},&quot;isEdited&quot;:false,&quot;manualOverride&quot;:{&quot;isManuallyOverridden&quot;:false,&quot;citeprocText&quot;:&quot;Meckling &amp;#38; Jensen (1976)&quot;,&quot;manualOverrideText&quot;:&quot;&quot;},&quot;citationTag&quot;:&quot;MENDELEY_CITATION_v3_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&quot;,&quot;citationItems&quot;:[{&quot;id&quot;:&quot;f63fe871-cc20-3cc9-aa41-81562645a049&quot;,&quot;itemData&quot;:{&quot;type&quot;:&quot;article-journal&quot;,&quot;id&quot;:&quot;f63fe871-cc20-3cc9-aa41-81562645a049&quot;,&quot;title&quot;:&quot;Theory of the Firm: Managerial Behavior, Agency Costs and Ownership Structure&quot;,&quot;author&quot;:[{&quot;family&quot;:&quot;Meckling&quot;,&quot;given&quot;:&quot;William H&quot;,&quot;parse-names&quot;:false,&quot;dropping-particle&quot;:&quot;&quot;,&quot;non-dropping-particle&quot;:&quot;&quot;},{&quot;family&quot;:&quot;Jensen&quot;,&quot;given&quot;:&quot;Michael C&quot;,&quot;parse-names&quot;:false,&quot;dropping-particle&quot;:&quot;&quot;,&quot;non-dropping-particle&quot;:&quot;&quot;}],&quot;container-title&quot;:&quot;Journal of Financial Economics (JFE)&quot;,&quot;DOI&quot;:&quot;10.2139/ssrn.94043&quot;,&quot;issued&quot;:{&quot;date-parts&quot;:[[1976]]},&quot;publisher&quot;:&quot;Springer&quot;,&quot;issue&quot;:&quot;4&quot;,&quot;volume&quot;:&quot;3&quot;,&quot;container-title-short&quot;:&quot;&quot;},&quot;isTemporary&quot;:false,&quot;displayAs&quot;:&quot;composite&quot;,&quot;suppress-author&quot;:false,&quot;composite&quot;:true,&quot;author-only&quot;:false}]},{&quot;citationID&quot;:&quot;MENDELEY_CITATION_d089df17-0cec-46fe-9b44-effd4bd25a56&quot;,&quot;properties&quot;:{&quot;noteIndex&quot;:0,&quot;mode&quot;:&quot;composite&quot;},&quot;isEdited&quot;:false,&quot;manualOverride&quot;:{&quot;isManuallyOverridden&quot;:false,&quot;citeprocText&quot;:&quot;Makadok (2010)&quot;,&quot;manualOverrideText&quot;:&quot;&quot;},&quot;citationTag&quot;:&quot;MENDELEY_CITATION_v3_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&quot;,&quot;citationItems&quot;:[{&quot;id&quot;:&quot;58e6e92d-ede4-3d08-b527-1b3d1efa3172&quot;,&quot;itemData&quot;:{&quot;type&quot;:&quot;article-journal&quot;,&quot;id&quot;:&quot;58e6e92d-ede4-3d08-b527-1b3d1efa3172&quot;,&quot;title&quot;:&quot;Invited Editorial: The Four Theories of Profit and Their Joint Effects&quot;,&quot;author&quot;:[{&quot;family&quot;:&quot;Makadok&quot;,&quot;given&quot;:&quot; Richard&quot;,&quot;parse-names&quot;:false,&quot;dropping-particle&quot;:&quot;&quot;,&quot;non-dropping-particle&quot;:&quot;&quot;}],&quot;container-title&quot;:&quot;Journal of Management&quot;,&quot;container-title-short&quot;:&quot;J Manage&quot;,&quot;DOI&quot;:&quot;10.1177/0149206310385697&quot;,&quot;ISSN&quot;:&quot;0149-2063&quot;,&quot;URL&quot;:&quot;https://doi.org/10.1177/0149206310385697&quot;,&quot;issued&quot;:{&quot;date-parts&quot;:[[2010,10,19]]},&quot;page&quot;:&quot;1316-1334&quot;,&quot;abstract&quot;:&quot;As a theory of profit, resource-based theory is focused on a single causal mechanism?competitive advantage. Although this focus has been useful in helping to understand some sources of interfirm profit differentials, it is nevertheless highly limiting because competitive advantage is not the only causal mechanism by which profit can be generated. Three other mechanisms, labeled here as rivalry restraint, information asymmetry, and commitment timing, have also been extensively studied as sources of profit. Rather than continuing to examine each of these four mechanisms? main effects on profit in isolation, and thereby generate increasingly incremental knowledge over time, the author proposes an alternative agenda for future research?namely, to synthesize multiple mechanisms in order to focus on their relatively unexplored interaction effects on profit. This article reviews the small but emerging literature of research that has already begun to pursue this agenda and outlines some logical next steps for further development.&quot;,&quot;publisher&quot;:&quot;SAGE Publications Inc&quot;,&quot;issue&quot;:&quot;5&quot;,&quot;volume&quot;:&quot;37&quot;},&quot;isTemporary&quot;:false,&quot;displayAs&quot;:&quot;composite&quot;,&quot;suppress-author&quot;:false,&quot;composite&quot;:true,&quot;author-only&quot;:false}]},{&quot;citationID&quot;:&quot;MENDELEY_CITATION_cfb73968-39b7-4546-8624-d40fb3fd0628&quot;,&quot;properties&quot;:{&quot;noteIndex&quot;:0},&quot;isEdited&quot;:false,&quot;manualOverride&quot;:{&quot;isManuallyOverridden&quot;:false,&quot;citeprocText&quot;:&quot;(Al Mamun et al., 2020)&quot;,&quot;manualOverrideText&quot;:&quot;&quot;},&quot;citationTag&quot;:&quot;MENDELEY_CITATION_v3_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&quot;,&quot;citationItems&quot;:[{&quot;id&quot;:&quot;3d68ead3-9a29-35ee-a43d-3bfe6dda9691&quot;,&quot;itemData&quot;:{&quot;type&quot;:&quot;article-journal&quot;,&quot;id&quot;:&quot;3d68ead3-9a29-35ee-a43d-3bfe6dda9691&quot;,&quot;title&quot;:&quot;Powerful CEOs and Stock Price Crash Risk&quot;,&quot;author&quot;:[{&quot;family&quot;:&quot;Mamun&quot;,&quot;given&quot;:&quot;M.&quot;,&quot;parse-names&quot;:false,&quot;dropping-particle&quot;:&quot;&quot;,&quot;non-dropping-particle&quot;:&quot;Al&quot;},{&quot;family&quot;:&quot;Balachandran&quot;,&quot;given&quot;:&quot;B.&quot;,&quot;parse-names&quot;:false,&quot;dropping-particle&quot;:&quot;&quot;,&quot;non-dropping-particle&quot;:&quot;&quot;},{&quot;family&quot;:&quot;Duong&quot;,&quot;given&quot;:&quot;H.N.&quot;,&quot;parse-names&quot;:false,&quot;dropping-particle&quot;:&quot;&quot;,&quot;non-dropping-particle&quot;:&quot;&quot;}],&quot;container-title&quot;:&quot;Journal of Corporate Finance&quot;,&quot;DOI&quot;:&quot;10.1016/j.jcorpfin.2020.101582&quot;,&quot;issued&quot;:{&quot;date-parts&quot;:[[2020]]},&quot;abstract&quot;:&quot;We find that powerful chief executive officers (CEOs) are associated with higher crash risk. The positive association between CEO power and crash risk holds when controlling for earnings management, tax avoidance, chief executive officer's option incentives, and CEO overconfidence. Firms with powerful CEOs have higher probability of financial restatements, lower proportion of negative to positive earnings guidance, and lower ratio of negative to positive words in their financial statements. The association between powerful CEOs and higher crash risk is mostly evident among firms with higher sensitivity of CEO wealth to stock prices and when CEOs have lower general skills. External monitoring mechanisms weaken but do not eliminate the association between powerful founder CEOs and higher crash risk.&quot;,&quot;volume&quot;:&quot;62&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CC243-4464-4184-B1EC-4634E6A5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89</TotalTime>
  <Pages>11</Pages>
  <Words>4847</Words>
  <Characters>27632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Anik Kurnia Ningsih</cp:lastModifiedBy>
  <cp:revision>19</cp:revision>
  <cp:lastPrinted>1999-07-06T11:00:00Z</cp:lastPrinted>
  <dcterms:created xsi:type="dcterms:W3CDTF">2025-12-16T03:38:00Z</dcterms:created>
  <dcterms:modified xsi:type="dcterms:W3CDTF">2026-01-06T05:25:00Z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0219edc5-4477-4a4f-927c-33594dfa24f2</vt:lpwstr>
  </property>
</Properties>
</file>