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05E9F" w14:textId="77777777" w:rsidR="007C0A09" w:rsidRDefault="007C0A09" w:rsidP="007C0A09">
      <w:pPr>
        <w:spacing w:before="100" w:beforeAutospacing="1" w:after="100" w:afterAutospacing="1" w:line="240" w:lineRule="auto"/>
        <w:outlineLvl w:val="0"/>
        <w:rPr>
          <w:rFonts w:ascii="Times New Roman" w:eastAsia="Times New Roman" w:hAnsi="Times New Roman" w:cs="Times New Roman"/>
          <w:b/>
          <w:bCs/>
          <w:kern w:val="36"/>
        </w:rPr>
      </w:pPr>
      <w:r w:rsidRPr="0082426B">
        <w:rPr>
          <w:rFonts w:ascii="Times New Roman" w:eastAsia="Times New Roman" w:hAnsi="Times New Roman" w:cs="Times New Roman"/>
          <w:b/>
          <w:bCs/>
          <w:kern w:val="36"/>
        </w:rPr>
        <w:t>Predictive Modeling of Early-Life Agrochemical Exposure and Pediatric Cancer Risk in U.</w:t>
      </w:r>
      <w:commentRangeStart w:id="0"/>
      <w:r w:rsidRPr="0082426B">
        <w:rPr>
          <w:rFonts w:ascii="Times New Roman" w:eastAsia="Times New Roman" w:hAnsi="Times New Roman" w:cs="Times New Roman"/>
          <w:b/>
          <w:bCs/>
          <w:kern w:val="36"/>
        </w:rPr>
        <w:t>S</w:t>
      </w:r>
      <w:commentRangeEnd w:id="0"/>
      <w:r w:rsidR="000E0B45">
        <w:rPr>
          <w:rStyle w:val="aa"/>
        </w:rPr>
        <w:commentReference w:id="0"/>
      </w:r>
      <w:r w:rsidRPr="0082426B">
        <w:rPr>
          <w:rFonts w:ascii="Times New Roman" w:eastAsia="Times New Roman" w:hAnsi="Times New Roman" w:cs="Times New Roman"/>
          <w:b/>
          <w:bCs/>
          <w:kern w:val="36"/>
        </w:rPr>
        <w:t>. Farmers’ Children</w:t>
      </w:r>
    </w:p>
    <w:p w14:paraId="554AE5CF" w14:textId="77777777" w:rsidR="00781932" w:rsidRDefault="00781932" w:rsidP="007C0A09">
      <w:pPr>
        <w:spacing w:before="100" w:beforeAutospacing="1" w:after="100" w:afterAutospacing="1" w:line="240" w:lineRule="auto"/>
        <w:rPr>
          <w:rFonts w:ascii="Times New Roman" w:eastAsia="Times New Roman" w:hAnsi="Times New Roman" w:cs="Times New Roman"/>
          <w:b/>
          <w:bCs/>
          <w:kern w:val="0"/>
        </w:rPr>
      </w:pPr>
    </w:p>
    <w:p w14:paraId="355F0D58" w14:textId="77777777"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r w:rsidRPr="007C0A09">
        <w:rPr>
          <w:rFonts w:ascii="Times New Roman" w:eastAsia="Times New Roman" w:hAnsi="Times New Roman" w:cs="Times New Roman"/>
          <w:b/>
          <w:bCs/>
          <w:kern w:val="0"/>
        </w:rPr>
        <w:t>Abstract</w:t>
      </w:r>
    </w:p>
    <w:p w14:paraId="1A8FA5F7" w14:textId="77777777"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r w:rsidRPr="007C0A09">
        <w:rPr>
          <w:rFonts w:ascii="Times New Roman" w:eastAsia="Times New Roman" w:hAnsi="Times New Roman" w:cs="Times New Roman"/>
          <w:kern w:val="0"/>
        </w:rPr>
        <w:t>Children residing in agricultural settings are uniquely vulnerable to early-life exposure to agrochemicals, which may contribute to the development of pediatric cancers. This narrative review synthesizes current evidence on the relationship between prenatal and early childhood agrochemical exposures and pediatric cancer risk, with a focus on predictive and spatial modeling approaches. Epidemiologic studies consistently implicate leukemia, particularly acute lymphoblastic leukemia, as the malignancy most strongly associated with early-life exposure, while evidence for central nervous system tumors and rarer pediatric cancers is emerging but less consistent. Mechanistic data support biological plausibility through pathways including genotoxicity, endocrine disruption, epigenetic reprogramming, and immune dysregulation during critical developmental windows. Predictive models, ranging from traditional regression and Bayesian hierarchical frameworks to machine learning and GIS-based approaches, enhance exposure estimation, risk stratification, and identification of high-risk subgroups, although challenges remain regarding exposure misclassification, modeling of chemical mixtures, and integration of mechanistic evidence. We identify key research gaps, including the need for longitudinal, biomarker-validated studies and hybrid causal–predictive modeling frameworks. Advancing interdisciplinary, prevention-oriented research in this area is critical for informing evidence-based interventions, reducing pediatric cancer burden in agricultural populations, and promoting equitable environmental health outcomes.</w:t>
      </w:r>
    </w:p>
    <w:p w14:paraId="13DEA2AA" w14:textId="77777777"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r w:rsidRPr="007C0A09">
        <w:rPr>
          <w:rFonts w:ascii="Times New Roman" w:eastAsia="Times New Roman" w:hAnsi="Times New Roman" w:cs="Times New Roman"/>
          <w:b/>
          <w:bCs/>
          <w:kern w:val="0"/>
        </w:rPr>
        <w:t>Keywords:</w:t>
      </w:r>
      <w:r w:rsidRPr="007C0A09">
        <w:rPr>
          <w:rFonts w:ascii="Times New Roman" w:eastAsia="Times New Roman" w:hAnsi="Times New Roman" w:cs="Times New Roman"/>
          <w:kern w:val="0"/>
        </w:rPr>
        <w:t xml:space="preserve"> Pediatric cancer, early-life exposure, agrochemicals, predictive modeling, GIS, environmental epidemiology, agricultural health</w:t>
      </w:r>
    </w:p>
    <w:p w14:paraId="5F13147F" w14:textId="77777777" w:rsidR="007C0A09" w:rsidRPr="0082426B" w:rsidRDefault="007C0A09" w:rsidP="007C0A09">
      <w:pPr>
        <w:spacing w:before="100" w:beforeAutospacing="1" w:after="100" w:afterAutospacing="1" w:line="240" w:lineRule="auto"/>
        <w:outlineLvl w:val="0"/>
        <w:rPr>
          <w:rFonts w:ascii="Times New Roman" w:eastAsia="Times New Roman" w:hAnsi="Times New Roman" w:cs="Times New Roman"/>
          <w:b/>
          <w:bCs/>
          <w:kern w:val="36"/>
        </w:rPr>
      </w:pPr>
    </w:p>
    <w:p w14:paraId="7A062393" w14:textId="77777777" w:rsidR="005D4314" w:rsidRPr="005D4314" w:rsidRDefault="005D4314" w:rsidP="005D4314">
      <w:pPr>
        <w:spacing w:before="100" w:beforeAutospacing="1" w:after="100" w:afterAutospacing="1" w:line="240" w:lineRule="auto"/>
        <w:outlineLvl w:val="2"/>
        <w:rPr>
          <w:rFonts w:ascii="Times New Roman" w:eastAsia="Times New Roman" w:hAnsi="Times New Roman" w:cs="Times New Roman"/>
          <w:b/>
          <w:bCs/>
          <w:kern w:val="0"/>
          <w:sz w:val="27"/>
          <w:szCs w:val="27"/>
        </w:rPr>
      </w:pPr>
      <w:r w:rsidRPr="005D4314">
        <w:rPr>
          <w:rFonts w:ascii="Times New Roman" w:eastAsia="Times New Roman" w:hAnsi="Times New Roman" w:cs="Times New Roman"/>
          <w:b/>
          <w:bCs/>
          <w:kern w:val="0"/>
          <w:sz w:val="27"/>
          <w:szCs w:val="27"/>
        </w:rPr>
        <w:t>1. Introduction</w:t>
      </w:r>
    </w:p>
    <w:p w14:paraId="588FBDA1"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 xml:space="preserve">Pediatric cancers remain a leading cause of disease-related mortality among children in the United States, with leukemia, central nervous system tumors, and lymphomas accounting for the majority of </w:t>
      </w:r>
      <w:commentRangeStart w:id="1"/>
      <w:r w:rsidRPr="005D4314">
        <w:rPr>
          <w:rFonts w:ascii="Times New Roman" w:eastAsia="Times New Roman" w:hAnsi="Times New Roman" w:cs="Times New Roman"/>
          <w:kern w:val="0"/>
        </w:rPr>
        <w:t>cases</w:t>
      </w:r>
      <w:commentRangeEnd w:id="1"/>
      <w:r w:rsidR="000E0B45">
        <w:rPr>
          <w:rStyle w:val="aa"/>
        </w:rPr>
        <w:commentReference w:id="1"/>
      </w:r>
      <w:r w:rsidR="00A6031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{"citationID":"E1evALwV","properties":{"formattedCitation":"(Siegel et al., 2023)","plainCitation":"(Siegel et al., 2023)","noteIndex":0},"citationItems":[{"id":13332,"uris":["http://zotero.org/users/16652950/items/SMZTS3ZW"],"itemData":{"id":13332,"type":"article-journal","abstract":"Background:\nCancer is a leading cause of death by disease among children and adolescents in the United States. This study updates cancer incidence rates and trends using the most recent and comprehensive US cancer registry data available.\n\nMethods:\nWe used data from US Cancer Statistics to evaluate counts, age-adjusted incidence rates, and trends among children and adolescents younger than 20years of age diagnosed with malignant tumors between 2003 and 2019. We calculated the average annual percent change (APC) and APC using joinpoint regression. Rates and trends were stratified by demographic and geographic characteristics and by cancer type.\n\nResults:\nWith 248749 cases reported between 2003 and 2019, the overall cancer incidence rate was 178.3 per 1 million; incidence rates were highest for leukemia (46.6), central nervous system neoplasms (30.8), and lymphoma (27.3). Rates were highest for males, children 0 to 4years of age, Non-Hispanic White children and adolescents, those in the Northeast census region, the top 25% of counties by economic status, and metropolitan counties with a population of 1 million people or more. Although the overall incidence rate of pediatric cancer increased 0.5% per year on average between 2003 and 2019, the rate increased between 2003 and 2016 (APC = 1.1%), and then decreased between 2016 and 2019 (APC = −2.1%). Between 2003 and 2019, rates of leukemia, lymphoma, hepatic tumors, bone tumors, and thyroid carcinomas increased, while melanoma rates decreased. Rates of central nervous system neoplasms increased until 2017, and then decreased. Rates of other cancer types remained stable.\n\nConclusions:\nIncidence of pediatric cancer increased overall, although increases were limited to certain cancer types. These findings may guide future public health and research priorities.","container-title":"Journal of the National Cancer Institute","DOI":"10.1093/jnci/djad115","ISSN":"0027-8874","issue":"11","journalAbbreviation":"J Natl Cancer Inst","note":"PMID: 37433078\nPMCID: PMC11018256","page":"1337-1354","source":"PubMed Central","title":"Counts, incidence rates, and trends of pediatric cancer in the United States, 2003–2019","volume":"115","author":[{"family":"Siegel","given":"David A."},{"family":"King","given":"Jessica B."},{"family":"Lupo","given":"Philip J."},{"family":"Durbin","given":"Eric B."},{"family":"Tai","given":"Eric"},{"family":"Mills","given":"Kathi"},{"family":"Van Dyne","given":"Elizabeth"},{"family":"Lunsford","given":"Natasha Buchanan"},{"family":"Henley","given":"S. Jane"},{"family":"Wilson","given":"Reda J."}],"issued":{"date-parts":[["2023",11,8]]}}}],"schema":"https://github.com/citation-style-language/schema/raw/master/csl-citation.json"} </w:instrText>
      </w:r>
      <w:r w:rsidR="00A60316">
        <w:rPr>
          <w:rFonts w:ascii="Times New Roman" w:eastAsia="Times New Roman" w:hAnsi="Times New Roman" w:cs="Times New Roman"/>
          <w:kern w:val="0"/>
        </w:rPr>
        <w:fldChar w:fldCharType="separate"/>
      </w:r>
      <w:r w:rsidR="003170B5" w:rsidRPr="003170B5">
        <w:rPr>
          <w:rFonts w:ascii="Times New Roman" w:hAnsi="Times New Roman" w:cs="Times New Roman"/>
        </w:rPr>
        <w:t>(Siegel et al., 2023)</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 Although overall incidence rates are relatively low compared with adult malignancies, their lifelong consequences, combined with the limited scope for primary prevention, render pediatric cancers a major public health concern. Emerging epidemiologic evidence suggests that children residing in agricultural regions experience disproportionate cancer burdens, raising concerns about chronic, low-dose exposure to agrochemicals as a contributing environmental risk factor</w:t>
      </w:r>
      <w:r w:rsidR="00A6031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{"citationID":"5EwREQ9A","properties":{"formattedCitation":"(Zahnreich et al., 2021)","plainCitation":"(Zahnreich et al., 2021)","noteIndex":0},"citationItems":[{"id":13334,"uris":["http://zotero.org/users/16652950/items/ZPXQDJDM"],"itemData":{"id":13334,"type":"article-journal","abstract":"Simple SummaryChildhood cancers are mostly of unknown etiology and represent devastating diagnoses. The clinical benefits of steadily increasing tumor...","container-title":"Cancers","DOI":"10.3390/cancers13112607","ISSN":"2072-6694","issue":"11","language":"en","license":"http://creativecommons.org/licenses/by/3.0/","note":"Company: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publisher","source":"www.mdpi.com","title":"Childhood Cancer: Occurrence, Treatment and Risk of Second Primary Malignancies","title-short":"Childhood Cancer","URL":"https://www.mdpi.com/2072-6694/13/11/2607","volume":"13","author":[{"family":"Zahnreich","given":"Sebastian"},{"family":"Schmidberger","given":"Heinz"},{"family":"Zahnreich","given":"Sebastian"},{"family":"Schmidberger","given":"Heinz"}],"accessed":{"date-parts":[["2026",1,15]]},"issued":{"date-parts":[["2021",5,25]]}}}],"schema":"https://github.com/citation-style-language/schema/raw/master/csl-citation.json"} </w:instrText>
      </w:r>
      <w:r w:rsidR="00A60316">
        <w:rPr>
          <w:rFonts w:ascii="Times New Roman" w:eastAsia="Times New Roman" w:hAnsi="Times New Roman" w:cs="Times New Roman"/>
          <w:kern w:val="0"/>
        </w:rPr>
        <w:fldChar w:fldCharType="separate"/>
      </w:r>
      <w:r w:rsidR="003170B5" w:rsidRPr="003170B5">
        <w:rPr>
          <w:rFonts w:ascii="Times New Roman" w:hAnsi="Times New Roman" w:cs="Times New Roman"/>
        </w:rPr>
        <w:t>(Zahnreich et al., 2021)</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 These patterns are particularly salient in farming communities, where residential proximity to treated fields, occupational take-home exposures, and reliance on local environmental resources collectively elevate exposure potential</w:t>
      </w:r>
      <w:r w:rsidR="00A6031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{"citationID":"5s8M2YVH","properties":{"formattedCitation":"(Chen et al., 2023)","plainCitation":"(Chen et al., 2023)","noteIndex":0},"citationItems":[{"id":13336,"uris":["http://zotero.org/users/16652950/items/I7KKE52D"],"itemData":{"id":13336,"type":"article-journal","abstract":"Pesticides are widely used globally. Due to their widespread use, exposure to pesticides is of concern. In addition to occupational exposure, residential exposure during pesticide application is a concern for those living in or near agricultural areas. The objective of this study was to analyze the association between residential proximity to agricultural pesticide use and birth outcomes. The association between residential proximity to agricultural land use as pesticide exposure and birth outcomes was explored in a birth cohort including 283 pregnant women from a medical center in Hualien during 2013-2016. In the third trimester, we collected demographic information and the residential addresses of pregnant women via structured questionnaires. After delivery, newborn birth weight, gestational age, and head circumference were collected from medical records. Maternal residential address during pregnancy was collected for geospatial mapping. The percentages of farmland area within circular buffers of different sizes were applied to estimate pesticide exposure. Associations between residential proximity to agricultural land use as pesticide exposure and birth outcomes were analyzed by multiple linear regression analyses. A significantly smaller head circumference was associated with agricultural farmland located within 400 m (β =  - 0.51 [95% CI, - 0.99, - 0.03], P = 0.037) and 500 m (β =  - 0.67 [95% CI, - 1.14, - 0.19], P = 0.006) radii of residences in the tertile 2 group. A significantly smaller head circumference was also associated with dry farming area within 400 m (β =  - 0.70 [95% CI, - 1.17, - 0.24], P = 0.003) and 500 m (β =  - 0.81 [95% CI, - 1.27, - 0.34], P = 0.001) radii of residences in the tertile 2 group. The multivariate linear regression analyses did not show any significant association between residential farmland area and birth weight or gestational age. In conclusion, residential proximity to agricultural land use as pesticide exposure was associated with negative infant birth outcomes, especially a small head circumference. In the future, agricultural land use information could be combined with biological samples to more accurately assess exposure in pregnant women.","container-title":"Environmental Science and Pollution Research International","DOI":"10.1007/s11356-022-24571-8","ISSN":"1614-7499","issue":"12","journalAbbreviation":"Environ Sci Pollut Res Int","language":"eng","note":"PMID: 36478559","page":"33253-33263","source":"PubMed","title":"Associations between residential proximity to agricultural land use as pesticides exposure and birth outcomes","volume":"30","author":[{"family":"Chen","given":"Kuna-Chun"},{"family":"Lee","given":"Shuo-Fang"},{"family":"Lin","given":"Shyang-Woei"},{"family":"Xie","given":"Jia-Shan"},{"family":"Chang","given":"Yu-Hsun"},{"family":"Yiin","given":"Lih-Ming"},{"family":"Hsieh","given":"Chia-Jung"}],"issued":{"date-parts":[["2023",3]]}}}],"schema":"https://github.com/citation-style-language/schema/raw/master/csl-citation.json"} </w:instrText>
      </w:r>
      <w:r w:rsidR="00A60316">
        <w:rPr>
          <w:rFonts w:ascii="Times New Roman" w:eastAsia="Times New Roman" w:hAnsi="Times New Roman" w:cs="Times New Roman"/>
          <w:kern w:val="0"/>
        </w:rPr>
        <w:fldChar w:fldCharType="separate"/>
      </w:r>
      <w:r w:rsidR="003170B5" w:rsidRPr="003170B5">
        <w:rPr>
          <w:rFonts w:ascii="Times New Roman" w:hAnsi="Times New Roman" w:cs="Times New Roman"/>
        </w:rPr>
        <w:t>(Chen et al., 2023)</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14:paraId="1D6AB3D0"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lastRenderedPageBreak/>
        <w:t>Fetuses and young children are biologically more susceptible to environmental toxicants than adults due to rapid cellular proliferation, immature detoxification pathways, and critical periods of organ and immune system development. Prenatal and early postnatal exposures can disrupt tightly regulated developmental processes, leading to long-lasting molecular and epigenetic alterations that may predispose individuals to malignancy later in childhood. Many commonly used agricultural chemicals exhibit properties consistent with carcinogenic or tumor-promoting mechanisms, including genotoxicity, endocrine disruption, oxidative stress induction, and immune modulation. When exposure occurs during sensitive developmental windows, even low-level environmental contact may carry disproportionate risk</w:t>
      </w:r>
      <w:r w:rsidR="00A60316">
        <w:rPr>
          <w:rFonts w:ascii="Times New Roman" w:eastAsia="Times New Roman" w:hAnsi="Times New Roman" w:cs="Times New Roman"/>
          <w:kern w:val="0"/>
        </w:rPr>
        <w:fldChar w:fldCharType="begin"/>
      </w:r>
      <w:r w:rsidR="00DE3645">
        <w:rPr>
          <w:rFonts w:ascii="Times New Roman" w:eastAsia="Times New Roman" w:hAnsi="Times New Roman" w:cs="Times New Roman"/>
          <w:kern w:val="0"/>
        </w:rPr>
        <w:instrText xml:space="preserve"> ADDIN ZOTERO_ITEM CSL_CITATION {"citationID":"XB7tRHiD","properties":{"formattedCitation":"(Vinnars et al., 2023)","plainCitation":"(Vinnars et al., 2023)","noteIndex":0},"citationItems":[{"id":13338,"uris":["http://zotero.org/users/16652950/items/4VU8DF6V"],"itemData":{"id":13338,"type":"article-journal","abstract":"Prenatal life represents a susceptible window of development during which chemical exposures can permanently alter fetal development, leading to an increased likelihood of disease later in life. Therefore, it is essential to assess exposure in the fetus. However, direct assessment in human fetuses is challenging, so most research measures maternal exposure. Pregnancy induces a range of significant physiological changes in women that may affect chemical metabolism and responses. Moreover, placental function, fetal sex, and pregnancy complications may further modify these exposures. The purpose of this narrative review is to give an overview of major pregnancy-related physiological changes, including placental function and impacts of pregnancy complications, to summarize existing studies assessing chemical exposure in human fetal organs, and to discuss possible interactions between physiological changes and exposures. Our review reveals major knowledge gaps in factors affecting fetal chemical exposure, highlighting the need to develop more sophisticated tools for chemical health risk assessment in fetuses.","container-title":"Molecular and Cellular Endocrinology","DOI":"10.1016/j.mce.2023.112064","ISSN":"0303-7207","journalAbbreviation":"Molecular and Cellular Endocrinology","page":"112064","source":"ScienceDirect","title":"Pregnancy-related maternal physiological adaptations and fetal chemical exposure","volume":"578","author":[{"family":"Vinnars","given":"Marie-Therese"},{"family":"Bixo","given":"Marie"},{"family":"Damdimopoulou","given":"Pauliina"}],"issued":{"date-parts":[["2023",12,1]]}}}],"schema":"https://github.com/citation-style-language/schema/raw/master/csl-citation.json"} </w:instrText>
      </w:r>
      <w:r w:rsidR="00A60316">
        <w:rPr>
          <w:rFonts w:ascii="Times New Roman" w:eastAsia="Times New Roman" w:hAnsi="Times New Roman" w:cs="Times New Roman"/>
          <w:kern w:val="0"/>
        </w:rPr>
        <w:fldChar w:fldCharType="separate"/>
      </w:r>
      <w:r w:rsidR="00DE3645" w:rsidRPr="00DE3645">
        <w:rPr>
          <w:rFonts w:ascii="Times New Roman" w:hAnsi="Times New Roman" w:cs="Times New Roman"/>
        </w:rPr>
        <w:t>(Vinnars et al., 2023)</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14:paraId="218102BD"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 xml:space="preserve">Despite growing concern, traditional epidemiologic approaches have struggled to fully characterize the complex relationships between early-life agrochemical exposure and pediatric cancer risk. Conventional exposure assessment methods, such as self-reported pesticide use or broad occupational classifications, often lack spatial and temporal resolution and are prone to substantial misclassification. In this context, predictive modeling approaches, including spatially resolved exposure models and data-driven risk prediction frameworks, offer a means to integrate diverse data sources and capture heterogeneity in exposure patterns across time, geography, and chemical mixtures. Such approaches have the potential to improve risk estimation, identify high-risk subpopulations, and inform targeted prevention </w:t>
      </w:r>
      <w:proofErr w:type="gramStart"/>
      <w:r w:rsidRPr="005D4314">
        <w:rPr>
          <w:rFonts w:ascii="Times New Roman" w:eastAsia="Times New Roman" w:hAnsi="Times New Roman" w:cs="Times New Roman"/>
          <w:kern w:val="0"/>
        </w:rPr>
        <w:t>strategies</w:t>
      </w:r>
      <w:r w:rsidR="00DE3645" w:rsidRPr="00DE3645">
        <w:rPr>
          <w:rFonts w:ascii="Times New Roman" w:eastAsia="Times New Roman" w:hAnsi="Times New Roman" w:cs="Times New Roman"/>
          <w:kern w:val="0"/>
        </w:rPr>
        <w:t>(</w:t>
      </w:r>
      <w:proofErr w:type="gramEnd"/>
      <w:r w:rsidR="00DE3645" w:rsidRPr="00DE3645">
        <w:rPr>
          <w:rFonts w:ascii="Times New Roman" w:eastAsia="Times New Roman" w:hAnsi="Times New Roman" w:cs="Times New Roman"/>
          <w:kern w:val="0"/>
        </w:rPr>
        <w:t>Castro-Vargas et al., 2025; Cavalier et al., 2023)</w:t>
      </w:r>
      <w:r w:rsidRPr="005D4314">
        <w:rPr>
          <w:rFonts w:ascii="Times New Roman" w:eastAsia="Times New Roman" w:hAnsi="Times New Roman" w:cs="Times New Roman"/>
          <w:kern w:val="0"/>
        </w:rPr>
        <w:t>.</w:t>
      </w:r>
    </w:p>
    <w:p w14:paraId="6D52CDC5"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Children of farmers constitute a particularly critical yet under-studied population in environmental cancer research. Unlike the general rural population, these children may experience continuous exposure across multiple pathways, beginning in utero and extending throughout early childhood. However, they are frequently underrepresented or inadequately characterized in large population-based studies, which often lack detailed occupational, residential, and exposure data specific to farming households. This gap limits the ability to translate existing evidence into effective public health interventions for agricultural communities</w:t>
      </w:r>
      <w:r w:rsidR="00A60316">
        <w:rPr>
          <w:rFonts w:ascii="Times New Roman" w:eastAsia="Times New Roman" w:hAnsi="Times New Roman" w:cs="Times New Roman"/>
          <w:kern w:val="0"/>
        </w:rPr>
        <w:fldChar w:fldCharType="begin"/>
      </w:r>
      <w:r w:rsidR="00372F01">
        <w:rPr>
          <w:rFonts w:ascii="Times New Roman" w:eastAsia="Times New Roman" w:hAnsi="Times New Roman" w:cs="Times New Roman"/>
          <w:kern w:val="0"/>
        </w:rPr>
        <w:instrText xml:space="preserve"> ADDIN ZOTERO_ITEM CSL_CITATION {"citationID":"viSUXBmj","properties":{"formattedCitation":"(Silva et al., 2025)","plainCitation":"(Silva et al., 2025)","noteIndex":0},"citationItems":[{"id":13342,"uris":["http://zotero.org/users/16652950/items/UUF4B6D8"],"itemData":{"id":13342,"type":"article-journal","abstract":"Leukemias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rsidR="00A60316">
        <w:rPr>
          <w:rFonts w:ascii="Times New Roman" w:eastAsia="Times New Roman" w:hAnsi="Times New Roman" w:cs="Times New Roman"/>
          <w:kern w:val="0"/>
        </w:rPr>
        <w:fldChar w:fldCharType="separate"/>
      </w:r>
      <w:r w:rsidR="00372F01" w:rsidRPr="00372F01">
        <w:rPr>
          <w:rFonts w:ascii="Times New Roman" w:hAnsi="Times New Roman" w:cs="Times New Roman"/>
        </w:rPr>
        <w:t>(Silva et al., 2025)</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14:paraId="1CACF8DA" w14:textId="77777777"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commentRangeStart w:id="2"/>
      <w:r w:rsidRPr="005D4314">
        <w:rPr>
          <w:rFonts w:ascii="Times New Roman" w:eastAsia="Times New Roman" w:hAnsi="Times New Roman" w:cs="Times New Roman"/>
          <w:kern w:val="0"/>
        </w:rPr>
        <w:t>The</w:t>
      </w:r>
      <w:commentRangeEnd w:id="2"/>
      <w:r w:rsidR="000E0B45">
        <w:rPr>
          <w:rStyle w:val="aa"/>
        </w:rPr>
        <w:commentReference w:id="2"/>
      </w:r>
      <w:r w:rsidRPr="005D4314">
        <w:rPr>
          <w:rFonts w:ascii="Times New Roman" w:eastAsia="Times New Roman" w:hAnsi="Times New Roman" w:cs="Times New Roman"/>
          <w:kern w:val="0"/>
        </w:rPr>
        <w:t xml:space="preserve"> objective of this review is to synthesize current evidence on early-life agrochemical exposure and pediatric cancer risk among farmers’ children, with a specific focus on the role of predictive modeling approaches in advancing exposure assessment and risk estimation. By integrating epidemiologic findings, exposure modeling methodologies, and emerging predictive frameworks, this review aims to critically evaluate the state of the science, identify methodological limitations, and outline priorities for future research and policy-relevant applications.</w:t>
      </w:r>
    </w:p>
    <w:p w14:paraId="32D38775" w14:textId="77777777" w:rsidR="00AD780F" w:rsidRDefault="00AD780F"/>
    <w:p w14:paraId="7800592F" w14:textId="77777777" w:rsidR="005D4314" w:rsidRDefault="005D4314" w:rsidP="005D4314">
      <w:pPr>
        <w:pStyle w:val="3"/>
      </w:pPr>
      <w:r>
        <w:t>2. Conceptual Framework</w:t>
      </w:r>
    </w:p>
    <w:p w14:paraId="406A5D6E" w14:textId="77777777" w:rsidR="005D4314" w:rsidRDefault="005D4314" w:rsidP="005D4314">
      <w:pPr>
        <w:pStyle w:val="a3"/>
      </w:pPr>
      <w:r>
        <w:t xml:space="preserve">This review is grounded in a life-course exposure paradigm, which posits that disease risk is shaped by environmental influences operating across critical stages of development, beginning in utero and extending through early childhood. Within this framework, pediatric cancer is understood not solely as the result of proximate exposures but as the downstream manifestation </w:t>
      </w:r>
      <w:r>
        <w:lastRenderedPageBreak/>
        <w:t>of biological perturbations initiated during sensitive developmental windows. The developmental origins of cancer hypothesis emphasizes that early-life insults can induce persistent molecular, epigenetic, and immunologic changes that increase susceptibility to malignant transformation during childhood, when growth and differentiation processes remain highly active</w:t>
      </w:r>
      <w:r w:rsidR="00A60316">
        <w:fldChar w:fldCharType="begin"/>
      </w:r>
      <w:r w:rsidR="006935BD">
        <w:instrText xml:space="preserve"> ADDIN ZOTERO_ITEM CSL_CITATION {"citationID":"93fhxct1","properties":{"formattedCitation":"(Zhang et al., 2024)","plainCitation":"(Zhang et al., 2024)","noteIndex":0},"citationItems":[{"id":13345,"uris":["http://zotero.org/users/16652950/items/4TBCGY8J"],"itemData":{"id":13345,"type":"article-journal","abstract":"Tumorigenesis is a multistep process, with oncogenic mutations in a normal cell conferring clonal advantage as the initial event. However, despite pervasive somatic mutations and clonal expansion in normal tissues, their transformation into cancer remains a rare event, indicating the presence of additional driver events for progression to an irreversible, highly heterogeneous, and invasive lesion. Recently, researchers are emphasizing the mechanisms of environmental tumor risk factors and epigenetic alterations that are profoundly influencing early clonal expansion and malignant evolution, independently of inducing mutations. Additionally, clonal evolution in tumorigenesis reflects a multifaceted interplay between cell-intrinsic identities and various cell-extrinsic factors that exert selective pressures to either restrain uncontrolled proliferation or allow specific clones to progress into tumors. However, the mechanisms by which driver events induce both intrinsic cellular competency and remodel environmental stress to facilitate malignant transformation are not fully understood. In this review, we summarize the genetic, epigenetic, and external driver events, and their effects on the co-evolution of the transformed cells and their ecosystem during tumor initiation and early malignant evolution. A deeper understanding of the earliest molecular events holds promise for translational applications, predicting individuals at high-risk of tumor and developing strategies to intercept malignant transformation.","container-title":"Signal Transduction and Targeted Therapy","DOI":"10.1038/s41392-024-01848-7","ISSN":"2059-3635","issue":"1","journalAbbreviation":"Sig Transduct Target Ther","language":"en","license":"2024 The Author(s)","note":"publisher: Nature Publishing Group","page":"149","source":"www.nature.com","title":"Tumor initiation and early tumorigenesis: molecular mechanisms and interventional targets","title-short":"Tumor initiation and early tumorigenesis","volume":"9","author":[{"family":"Zhang","given":"Shaosen"},{"family":"Xiao","given":"Xinyi"},{"family":"Yi","given":"Yonglin"},{"family":"Wang","given":"Xinyu"},{"family":"Zhu","given":"Lingxuan"},{"family":"Shen","given":"Yanrong"},{"family":"Lin","given":"Dongxin"},{"family":"Wu","given":"Chen"}],"issued":{"date-parts":[["2024",6,19]]}}}],"schema":"https://github.com/citation-style-language/schema/raw/master/csl-citation.json"} </w:instrText>
      </w:r>
      <w:r w:rsidR="00A60316">
        <w:fldChar w:fldCharType="separate"/>
      </w:r>
      <w:r w:rsidR="006935BD" w:rsidRPr="006935BD">
        <w:t>(Zhang et al., 2024)</w:t>
      </w:r>
      <w:r w:rsidR="00A60316">
        <w:fldChar w:fldCharType="end"/>
      </w:r>
      <w:r>
        <w:t>.</w:t>
      </w:r>
    </w:p>
    <w:p w14:paraId="4B8F1A74" w14:textId="77777777" w:rsidR="005D4314" w:rsidRDefault="005D4314" w:rsidP="005D4314">
      <w:pPr>
        <w:pStyle w:val="a3"/>
      </w:pPr>
      <w:r>
        <w:t>The exposure–disease continuum linking agrochemical use to pediatric cancer risk is inherently multi-stage and spatially structured. Agricultural pesticide application represents the upstream driver, introducing chemical agents into the environment through routine farming practices. These agents undergo environmental dispersion via processes such as spray drift, volatilization, runoff, and soil persistence, resulting in heterogeneous contamination of air, water, and residential surroundings. Early-life exposure occurs when fetuses and young children come into contact with these contaminants through placental transfer, inhalation, ingestion, or dermal absorption. At the biological level, such exposures may disrupt key developmental pathways, including DNA integrity, endocrine signaling, immune maturation, and epigenetic regulation, thereby increasing the likelihood of pediatric cancer initiation and progression</w:t>
      </w:r>
      <w:r w:rsidR="00A60316">
        <w:fldChar w:fldCharType="begin"/>
      </w:r>
      <w:r w:rsidR="006935BD">
        <w:instrText xml:space="preserve"> ADDIN ZOTERO_ITEM CSL_CITATION {"citationID":"SgshpxWQ","properties":{"formattedCitation":"(Ashish Pandey, 2023; Mu\\uc0\\u241{}oz-Bautista et al., 2025)","plainCitation":"(Ashish Pandey, 2023; Muñoz-Bautista et al., 2025)","noteIndex":0},"citationItems":[{"id":13238,"uris":["http://zotero.org/users/16652950/items/3DM4SSQJ"],"itemData":{"id":13238,"type":"article-journal","abstract":"To study the effect of chemical toxic pesticides used in agricultural for pest control the maximum risk involved to applicator and handling the chemical pesticides with excess cancer risk. In this study, the epidemiological, molecular biology and toxicological evidence emerging from recent literature which pesticides are responsible for several type of cancer in human beings and other health hazards in environment.","container-title":"World Journal of Advanced Research and Reviews","DOI":"10.30574/wjarr.2023.17.2.0199","ISSN":"25819615","issue":"2","journalAbbreviation":"World J. Adv. Res. Rev.","language":"en","page":"121-125","source":"DOI.org (Crossref)","title":"Study on the cancer by chemical pesticides exposure to pesticide applicators, farm workers and consumers: Urgent need for safer eco-friendly pesticides","title-short":"Study on the cancer by chemical pesticides exposure to pesticide applicators, farm workers and consumers","volume":"17","author":[{"literal":"Ashish Pandey"}],"issued":{"date-parts":[["2023",2,28]]}}},{"id":13347,"uris":["http://zotero.org/users/16652950/items/76TD6SI6"],"itemData":{"id":13347,"type":"article-journal","abstract":"The extensive use of conventional pesticides has been a fundamental strategy in modern agriculture for controlling pests and increasing crop productiv...","container-title":"Agronomy","DOI":"10.3390/agronomy15081878","ISSN":"2073-4395","issue":"8","language":"en","license":"http://creativecommons.org/licenses/by/3.0/","note":"Company: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Impacts of Pesticides and Nanotechnology as an Alternative in Agriculture","URL":"https://www.mdpi.com/2073-4395/15/8/1878","volume":"15","author":[{"family":"Muñoz-Bautista","given":"Jesús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Lizette"}],"accessed":{"date-parts":[["2026",1,15]]},"issued":{"date-parts":[["2025",8,2]]}}}],"schema":"https://github.com/citation-style-language/schema/raw/master/csl-citation.json"} </w:instrText>
      </w:r>
      <w:r w:rsidR="00A60316">
        <w:fldChar w:fldCharType="separate"/>
      </w:r>
      <w:r w:rsidR="006935BD" w:rsidRPr="006935BD">
        <w:t>(Ashish Pandey, 2023; Muñoz-Bautista et al., 2025)</w:t>
      </w:r>
      <w:r w:rsidR="00A60316">
        <w:fldChar w:fldCharType="end"/>
      </w:r>
      <w:r>
        <w:t>.</w:t>
      </w:r>
    </w:p>
    <w:p w14:paraId="4BF6B7A5" w14:textId="77777777" w:rsidR="00676515" w:rsidRDefault="005D4314" w:rsidP="00676515">
      <w:pPr>
        <w:pStyle w:val="a3"/>
      </w:pPr>
      <w:r>
        <w:t>Predictive and spatial modeling approaches play a central role in operationalizing this conceptual framework by bridging the gap between upstream environmental processes and downstream health outcomes. Geographic information system–based models enable the reconstruction of spatially and temporally resolved exposure profiles by linking residential histories with pesticide application records, land-use data, and environmental transport parameters. Predictive models, including statistical and machine learning–based approaches, further integrate these exposure estimates with demographic and contextual factors to characterize cancer risk patterns at the individual and population levels. Within this framework, such models serve not only as analytical tools but also as hypothesis-generating and translational instruments, supporting risk stratification, early identification of vulnerable subgroups, and evidence-informed prevention strategies in agricultural communities</w:t>
      </w:r>
      <w:r w:rsidR="00A60316">
        <w:fldChar w:fldCharType="begin"/>
      </w:r>
      <w:r w:rsidR="001850B9">
        <w:instrText xml:space="preserve"> ADDIN ZOTERO_ITEM CSL_CITATION {"citationID":"MeLU5cU7","properties":{"formattedCitation":"(Augustin et al., 2023; Jerrett et al., 2010)","plainCitation":"(Augustin et al., 2023; Jerrett et al., 2010)","noteIndex":0},"citationItems":[{"id":13349,"uris":["http://zotero.org/users/16652950/items/8W8VHFEP"],"itemData":{"id":13349,"type":"article-journal","abstract":"Numerous studies and models address the determinants of health. However, in existing models, the spatial aspects of the determinants are not or only m...","container-title":"International Journal of Environmental Research and Public Health","DOI":"10.3390/ijerph20031817","ISSN":"1660-4601","issue":"3","language":"en","license":"http://creativecommons.org/licenses/by/3.0/","note":"Company: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publisher","source":"www.mdpi.com","title":"Spatial Aspects of Health—Developing a Conceptual Framework","URL":"https://www.mdpi.com/1660-4601/20/3/1817","volume":"20","author":[{"family":"Augustin","given":"Jobst"},{"family":"Andrees","given":"Valerie"},{"family":"Walsh","given":"David"},{"family":"Reintjes","given":"Ralf"},{"family":"Koller","given":"Daniela"},{"family":"Augustin","given":"Jobst"},{"family":"Andrees","given":"Valerie"},{"family":"Walsh","given":"David"},{"family":"Reintjes","given":"Ralf"},{"family":"Koller","given":"Daniela"}],"accessed":{"date-parts":[["2026",1,15]]},"issued":{"date-parts":[["2023",1,18]]}}},{"id":13351,"uris":["http://zotero.org/users/16652950/items/UABHP2Z7"],"itemData":{"id":13351,"type":"article-journal","abstract":"This paper has two aims: (1) to summarize various geographic information science methods; and (2) to provide a review of studies that have employed su...","container-title":"International Journal of Environmental Research and Public Health","DOI":"10.3390/ijerph7041302","ISSN":"1660-4601","issue":"4","language":"en","license":"http://creativecommons.org/licenses/by/3.0/","note":"Company: Molecular Diversity Preservation International\nDistributor: Molecular Diversity Preservation International\nInstitution: Molecular Diversity Preservation International\nLabel: Molecular Diversity Preservation International\npublisher: publisher","page":"1302-1329","source":"www.mdpi.com","title":"Spatial Modeling in Environmental and Public Health Research","volume":"7","author":[{"family":"Jerrett","given":"Michael"},{"family":"Gale","given":"Sara"},{"family":"Kontgis","given":"Caitlin"},{"family":"Jerrett","given":"Michael"},{"family":"Gale","given":"Sara"},{"family":"Kontgis","given":"Caitlin"}],"issued":{"date-parts":[["2010",3,25]]}}}],"schema":"https://github.com/citation-style-language/schema/raw/master/csl-citation.json"} </w:instrText>
      </w:r>
      <w:r w:rsidR="00A60316">
        <w:fldChar w:fldCharType="separate"/>
      </w:r>
      <w:r w:rsidR="001850B9" w:rsidRPr="001850B9">
        <w:t>(Augustin et al., 2023; Jerrett et al., 2010)</w:t>
      </w:r>
      <w:r w:rsidR="00A60316">
        <w:fldChar w:fldCharType="end"/>
      </w:r>
      <w:r>
        <w:t>.</w:t>
      </w:r>
      <w:r w:rsidR="00676515">
        <w:t xml:space="preserve"> </w:t>
      </w:r>
      <w:r w:rsidR="00676515">
        <w:rPr>
          <w:rStyle w:val="a5"/>
        </w:rPr>
        <w:t>Figure 1 presents an integrated life-course framework illustrating how upstream agrochemical use is translated into early-life exposure estimates through predictive and spatial modeling approaches, and how these exposures interface with biologically plausible mechanisms to influence pediatric cancer risk.</w:t>
      </w:r>
    </w:p>
    <w:p w14:paraId="52F0172C" w14:textId="77777777" w:rsidR="005D4314" w:rsidRDefault="005D4314" w:rsidP="005D4314">
      <w:pPr>
        <w:pStyle w:val="a3"/>
      </w:pPr>
    </w:p>
    <w:p w14:paraId="5FB5D1D8" w14:textId="77777777" w:rsidR="005D4314" w:rsidRDefault="00676515" w:rsidP="00676515">
      <w:pPr>
        <w:pStyle w:val="a3"/>
      </w:pPr>
      <w:r>
        <w:rPr>
          <w:b/>
          <w:bCs/>
          <w:noProof/>
        </w:rPr>
        <w:lastRenderedPageBreak/>
        <w:drawing>
          <wp:inline distT="0" distB="0" distL="0" distR="0" wp14:anchorId="63D9EAA6" wp14:editId="3A0BC8BB">
            <wp:extent cx="5943600" cy="3962400"/>
            <wp:effectExtent l="19050" t="0" r="0" b="0"/>
            <wp:docPr id="1" name="Picture 0" descr="ChatGPT Image Jan 15, 2026, 12_03_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an 15, 2026, 12_03_58 AM.png"/>
                    <pic:cNvPicPr/>
                  </pic:nvPicPr>
                  <pic:blipFill>
                    <a:blip r:embed="rId9"/>
                    <a:stretch>
                      <a:fillRect/>
                    </a:stretch>
                  </pic:blipFill>
                  <pic:spPr>
                    <a:xfrm>
                      <a:off x="0" y="0"/>
                      <a:ext cx="5943600" cy="3962400"/>
                    </a:xfrm>
                    <a:prstGeom prst="rect">
                      <a:avLst/>
                    </a:prstGeom>
                  </pic:spPr>
                </pic:pic>
              </a:graphicData>
            </a:graphic>
          </wp:inline>
        </w:drawing>
      </w:r>
      <w:r>
        <w:rPr>
          <w:rStyle w:val="a4"/>
        </w:rPr>
        <w:t>Figure 1. Integrated life-course predictive modeling framework linking early-life agrochemical exposure to pediatric cancer risk.</w:t>
      </w:r>
      <w:r>
        <w:br/>
        <w:t xml:space="preserve">The figure conceptualizes the exposure–disease continuum beginning with agricultural pesticide application and environmental dispersion, followed by spatially and temporally resolved exposure reconstruction during critical developmental windows, including prenatal and early childhood periods. Predictive modeling approaches—ranging from statistical and GIS-based methods to machine learning and hybrid causal–predictive frameworks—are shown as integrative tools that link reconstructed exposures with biologically plausible mechanisms such as genotoxicity, endocrine disruption, epigenetic reprogramming, and immune dysregulation. These processes collectively inform risk stratification, identification of vulnerable subpopulations, and prevention-oriented public health strategies for pediatric cancers in agricultural communities. </w:t>
      </w:r>
    </w:p>
    <w:p w14:paraId="5D4023A8" w14:textId="77777777" w:rsidR="005D4314" w:rsidRDefault="005D4314" w:rsidP="005D4314">
      <w:pPr>
        <w:pStyle w:val="3"/>
      </w:pPr>
      <w:r>
        <w:t>3. Methods</w:t>
      </w:r>
    </w:p>
    <w:p w14:paraId="00A4DC38" w14:textId="77777777" w:rsidR="005D4314" w:rsidRDefault="005D4314" w:rsidP="005D4314">
      <w:pPr>
        <w:pStyle w:val="4"/>
      </w:pPr>
      <w:r>
        <w:t>3.1 Review Design</w:t>
      </w:r>
    </w:p>
    <w:p w14:paraId="4FA1114E" w14:textId="77777777" w:rsidR="005D4314" w:rsidRDefault="005D4314" w:rsidP="005D4314">
      <w:pPr>
        <w:pStyle w:val="a3"/>
      </w:pPr>
      <w:r>
        <w:t xml:space="preserve">This study was conducted as a narrative review with systematic elements, designed to provide a critical and integrative synthesis of the literature on early-life agrochemical exposure and pediatric cancer risk, with particular emphasis on predictive and spatial modeling approaches. While not a full systematic review with meta-analysis, the review followed structured search, screening, and appraisal procedures to enhance transparency, reproducibility, and methodological rigor. The overall approach aligns with the principles of the Preferred Reporting </w:t>
      </w:r>
      <w:r>
        <w:lastRenderedPageBreak/>
        <w:t>Items for Systematic Reviews and Meta-Analyses for Scoping Reviews, adapted to accommodate heterogeneit</w:t>
      </w:r>
      <w:bookmarkStart w:id="3" w:name="_GoBack"/>
      <w:bookmarkEnd w:id="3"/>
      <w:r>
        <w:t>y in study designs, exposure metrics, and modeling methodologies that preclude quantitative pooling.</w:t>
      </w:r>
    </w:p>
    <w:p w14:paraId="7121C9AE" w14:textId="77777777" w:rsidR="005D4314" w:rsidRDefault="005D4314" w:rsidP="005D4314">
      <w:pPr>
        <w:pStyle w:val="4"/>
      </w:pPr>
      <w:r>
        <w:t>3.2 Literature Search Strategy</w:t>
      </w:r>
    </w:p>
    <w:p w14:paraId="3843168A" w14:textId="77777777" w:rsidR="005D4314" w:rsidRDefault="005D4314" w:rsidP="005D4314">
      <w:pPr>
        <w:pStyle w:val="a3"/>
      </w:pPr>
      <w:r>
        <w:t xml:space="preserve">A comprehensive literature search was undertaken across major biomedical and interdisciplinary databases, including PubMed, Web of Science, Scopus, and </w:t>
      </w:r>
      <w:proofErr w:type="spellStart"/>
      <w:r>
        <w:t>Embase</w:t>
      </w:r>
      <w:proofErr w:type="spellEnd"/>
      <w:r>
        <w:t>. Searches combined controlled vocabulary terms and free-text keywords related to pediatric cancer, agrochemical or pesticide exposure, agricultural settings, early-life or prenatal exposure, and predictive or spatial modeling. Boolean operators were used to link exposure, population, and outcome concepts, and search strings were iteratively refined to balance sensitivity and specificity. The search covered publications from January 2000 through December 2025 to capture contemporary pesticide use patterns and advances in exposure modeling. Only articles published in English were included due to feasibility constraints.</w:t>
      </w:r>
    </w:p>
    <w:p w14:paraId="00C48F91" w14:textId="77777777" w:rsidR="005D4314" w:rsidRDefault="005D4314" w:rsidP="005D4314">
      <w:pPr>
        <w:pStyle w:val="4"/>
      </w:pPr>
      <w:r>
        <w:t>3.3 Eligibility Criteria</w:t>
      </w:r>
    </w:p>
    <w:p w14:paraId="0FC46294" w14:textId="77777777" w:rsidR="005D4314" w:rsidRDefault="005D4314" w:rsidP="005D4314">
      <w:pPr>
        <w:pStyle w:val="a3"/>
      </w:pPr>
      <w:r>
        <w:t>Studies were eligible for inclusion if they examined children residing in agricultural or farming households, or populations with clearly defined agricultural exposure contexts. Eligible exposures included prenatal, perinatal, or early childhood exposure to agrochemicals, broadly defined to encompass pesticides, herbicides, fungicides, and related formulations. Outcomes of interest were pediatric cancers overall as well as specific malignancies, such as leukemia, lymphomas, and central nervous system tumors. The review included epidemiologic studies, exposure assessment and modeling studies, and investigations employing predictive or machine learning approaches to estimate cancer risk or exposure–outcome relationships. Reviews, editorials, and animal-only studies were excluded, although mechanistic evidence from toxicological studies was considered in the interpretive sections.</w:t>
      </w:r>
    </w:p>
    <w:p w14:paraId="7C068461" w14:textId="77777777" w:rsidR="005D4314" w:rsidRDefault="005D4314" w:rsidP="005D4314">
      <w:pPr>
        <w:pStyle w:val="4"/>
      </w:pPr>
      <w:r>
        <w:t>3.4 Study Selection and Data Extraction</w:t>
      </w:r>
    </w:p>
    <w:p w14:paraId="211186EC" w14:textId="77777777" w:rsidR="005D4314" w:rsidRDefault="005D4314" w:rsidP="005D4314">
      <w:pPr>
        <w:pStyle w:val="a3"/>
      </w:pPr>
      <w:r>
        <w:t>Titles and abstracts were screened for relevance, followed by full-text review of potentially eligible articles. Study selection was guided by predefined inclusion criteria to ensure consistency. For each included study, key data elements were extracted using a standardized framework, including study design, population characteristics, geographic setting, exposure assessment methods, modeling approaches, cancer outcomes assessed, and principal findings. Particular attention was paid to how exposure was operationalized, the temporal windows considered, and the extent to which spatial or predictive modeling techniques were employed.</w:t>
      </w:r>
    </w:p>
    <w:p w14:paraId="3871C967" w14:textId="77777777" w:rsidR="005D4314" w:rsidRDefault="005D4314" w:rsidP="005D4314">
      <w:pPr>
        <w:pStyle w:val="4"/>
      </w:pPr>
      <w:r>
        <w:t>3.5 Quality and Bias Assessment</w:t>
      </w:r>
    </w:p>
    <w:p w14:paraId="00483AB4" w14:textId="77777777" w:rsidR="005D4314" w:rsidRDefault="005D4314" w:rsidP="005D4314">
      <w:pPr>
        <w:pStyle w:val="a3"/>
      </w:pPr>
      <w:r>
        <w:t xml:space="preserve">Methodological quality and risk of bias were evaluated qualitatively, with reference to established tools such as the Newcastle–Ottawa Scale for observational studies and the ROBINS-E framework for non-randomized exposure studies. Assessment focused on selection bias, exposure misclassification, outcome ascertainment, and control for confounding, including </w:t>
      </w:r>
      <w:r>
        <w:lastRenderedPageBreak/>
        <w:t>socioeconomic and occupational factors. For modeling studies, additional considerations included transparency of model assumptions, validation procedures, and interpretability of results. Rather than excluding studies based on quality scores, these assessments informed the weighting of evidence and the critical interpretation of findings throughout the review.</w:t>
      </w:r>
    </w:p>
    <w:p w14:paraId="6E00CD66" w14:textId="77777777" w:rsidR="005D4314" w:rsidRDefault="005D4314"/>
    <w:p w14:paraId="2FD4C33C" w14:textId="77777777" w:rsidR="005D4314" w:rsidRDefault="005D4314" w:rsidP="005D4314">
      <w:pPr>
        <w:pStyle w:val="3"/>
      </w:pPr>
      <w:r>
        <w:t>4. Agrochemical Exposure in Early Life</w:t>
      </w:r>
    </w:p>
    <w:p w14:paraId="10529C5B" w14:textId="77777777" w:rsidR="005D4314" w:rsidRDefault="005D4314" w:rsidP="005D4314">
      <w:pPr>
        <w:pStyle w:val="4"/>
      </w:pPr>
      <w:r>
        <w:t>4.1 Classes of Agrochemicals Implicated</w:t>
      </w:r>
    </w:p>
    <w:p w14:paraId="4C451471" w14:textId="77777777" w:rsidR="005D4314" w:rsidRDefault="005D4314" w:rsidP="005D4314">
      <w:pPr>
        <w:pStyle w:val="a3"/>
      </w:pPr>
      <w:r>
        <w:t xml:space="preserve">A wide range of agrochemicals has been implicated in epidemiologic studies examining pediatric cancer risk in agricultural settings. Organophosphates and carbamates have received sustained attention due to their widespread historical use and established neurotoxic and </w:t>
      </w:r>
      <w:proofErr w:type="spellStart"/>
      <w:r>
        <w:t>immunotoxic</w:t>
      </w:r>
      <w:proofErr w:type="spellEnd"/>
      <w:r>
        <w:t xml:space="preserve"> properties. These compounds can interfere with cholinergic signaling and have been associated with oxidative stress and DNA damage, mechanisms that are relevant to carcinogenesis when exposure occurs during development. Pyrethroids, often introduced as perceived safer alternatives, are now increasingly detected in environmental and biological samples and have been shown to disrupt endocrine function and immune regulation, raising concern about their long-term health effects in children</w:t>
      </w:r>
      <w:r w:rsidR="00A60316">
        <w:fldChar w:fldCharType="begin"/>
      </w:r>
      <w:r w:rsidR="00484549">
        <w:instrText xml:space="preserve"> ADDIN ZOTERO_ITEM CSL_CITATION {"citationID":"GciTwUuA","properties":{"formattedCitation":"(Sokan-Adeaga et al., 2023)","plainCitation":"(Sokan-Adeaga et al., 2023)","noteIndex":0},"citationItems":[{"id":13353,"uris":["http://zotero.org/users/16652950/items/VWJNT7NM"],"itemData":{"id":13353,"type":"article-journal","abstract":"Toxicity arising from environmental contaminants has attracted global interest in the last few decades, due to the high morbidity and mortality associated with them. Efforts have been made to combat the consequential outcomes of environmental toxicity in humans through traditional remediation techniques and therapeutic measures which have been hampered by one or more limitations. Consequently, this scenario has triggered interest in the medicinal properties of phytochemicals. Thus, this review gives a succinct and in-depth elucidation of the various environmental contaminants and their toxicity effects on humans. It delves into the various classes of phytochemicals and their intervention roles. The study adopted a desk review of existing literatures from scientific reports and peer reviewed articles through triangulation of data sources. “Phytochemicals” are group of secondary metabolites obtained from plants with medicinal properties. These groups of compounds are included but not limited to flavonoids, tannins, saponins, alkaloids, cardenoloids, terpenoids, and phytosteroids. This review corroborates the prophylactic and therapeutics efficacy of these phytochemicals as anti-metastatic, anti-inflammatory, anti-aging, anti-oxidant, anti-microbial and live saving substances with empirical findings from several laboratory, clinical trials and epidemiologic studies. It conclude that given the wide range of medicinal properties of phytochemicals, there is an urgent need for its full optimization in the pharmaceutical industry and future studies should focus on identifying the bioactive molecules in these compounds and its effectiveness against mixer toxicity.","container-title":"Journal of Public Health Research","DOI":"10.1177/22799036231181226","ISSN":"2279-9036","issue":"2","language":"EN","note":"publisher: SAGE Publications","page":"22799036231181226","source":"SAGE Journals","title":"Environmental toxicants and health adversities: A review on interventions of phytochemicals","title-short":"Environmental toxicants and health adversities","volume":"12","author":[{"family":"Sokan-Adeaga","given":"Adewale Allen"},{"family":"Sokan-Adeaga","given":"Micheal Ayodeji"},{"family":"Sokan-Adeaga","given":"Eniola Deborah"},{"family":"Oparaji","given":"Anastasia Nkem"},{"family":"Edris","given":"Hoseinzadeh"},{"family":"Tella","given":"Esther Oluwabukunola"},{"family":"Balogun","given":"Francis Adeniyi"},{"family":"Aledeh","given":"Muhammad"},{"family":"Amubieya","given":"Oluwatosin Emmanuel"}],"issued":{"date-parts":[["2023",4,1]]}}}],"schema":"https://github.com/citation-style-language/schema/raw/master/csl-citation.json"} </w:instrText>
      </w:r>
      <w:r w:rsidR="00A60316">
        <w:fldChar w:fldCharType="separate"/>
      </w:r>
      <w:r w:rsidR="00484549" w:rsidRPr="00484549">
        <w:t>(Sokan-Adeaga et al., 2023)</w:t>
      </w:r>
      <w:r w:rsidR="00A60316">
        <w:fldChar w:fldCharType="end"/>
      </w:r>
      <w:r>
        <w:t>.</w:t>
      </w:r>
    </w:p>
    <w:p w14:paraId="112E1489" w14:textId="77777777" w:rsidR="005D4314" w:rsidRDefault="005D4314" w:rsidP="005D4314">
      <w:pPr>
        <w:pStyle w:val="a3"/>
      </w:pPr>
      <w:r>
        <w:t xml:space="preserve">Herbicides represent another major class of concern, particularly glyphosate-based formulations and triazines, which are extensively applied in large-scale crop production. While toxicological profiles vary across compounds, several herbicides exhibit endocrine-disrupting activity and potential genotoxic effects, especially when formulated with adjuvants that enhance environmental persistence and bioavailability. Fungicides, including azoles and </w:t>
      </w:r>
      <w:proofErr w:type="spellStart"/>
      <w:r>
        <w:t>dithiocarbamates</w:t>
      </w:r>
      <w:proofErr w:type="spellEnd"/>
      <w:r>
        <w:t>, are comparatively less studied in pediatric populations but are frequently used in combination with other agrochemicals, creating complex exposure mixtures</w:t>
      </w:r>
      <w:r w:rsidR="00A60316">
        <w:fldChar w:fldCharType="begin"/>
      </w:r>
      <w:r w:rsidR="00484549">
        <w:instrText xml:space="preserve"> ADDIN ZOTERO_ITEM CSL_CITATION {"citationID":"YBWbhvEq","properties":{"formattedCitation":"(Ba\\uc0\\u263{}maga et al., 2024)","plainCitation":"(Baćmaga et al., 2024)","noteIndex":0},"citationItems":[{"id":13355,"uris":["http://zotero.org/users/16652950/items/PYMXKRSJ"],"itemData":{"id":13355,"type":"article-journal","abstract":"One of the guiding principles of the sustainable use of herbicides is their targeted action exclusively against weeds, consisting of blocking photosynthesis and synthesis of amino acids and growth regulators. Herbicides are major elements of plant production, indispensable to the functioning of modern agriculture. Nevertheless, their influence on all elements of the natural environment needs to be continuously controlled. This review article summarizes research addressing the effects of herbicides on the natural environment and the changes they trigger therein. Herbicides, applied to protect crops against weed infestation, are usually mixtures of various active substances; hence, it is generally difficult to analyze their impact on the environment and organisms. Nonetheless, an attempt was made in this review to discuss the effects of selected herbicides on individual elements of the natural environment (water, soil, and air) and organisms (humans, animals, plants, and microorganisms). In addition, the article presents examples of the biodegradation of selected herbicides and mechanisms of their degradation by bacteria and fungi. Based on this information, it can be concluded that the uncontrolled use of herbicides has led to adverse effects on non-target organisms, as documented in the scientific literature. However, further research on the environmental effects of these chemicals is needed address the missing knowledge on this subject.","container-title":"Molecules","DOI":"10.3390/molecules29245965","ISSN":"1420-3049","issue":"24","journalAbbreviation":"Molecules","note":"PMID: 39770054\nPMCID: PMC11677524","page":"5965","source":"PubMed Central","title":"Environmental Implication of Herbicide Use","volume":"29","author":[{"family":"Baćmaga","given":"Małgorzata"},{"family":"Wyszkowska","given":"Jadwiga"},{"family":"Kucharski","given":"Jan"}],"issued":{"date-parts":[["2024",12,18]]}}}],"schema":"https://github.com/citation-style-language/schema/raw/master/csl-citation.json"} </w:instrText>
      </w:r>
      <w:r w:rsidR="00A60316">
        <w:fldChar w:fldCharType="separate"/>
      </w:r>
      <w:r w:rsidR="00484549" w:rsidRPr="00484549">
        <w:t>(Baćmaga et al., 2024)</w:t>
      </w:r>
      <w:r w:rsidR="00A60316">
        <w:fldChar w:fldCharType="end"/>
      </w:r>
      <w:r>
        <w:t>. The cumulative and interactive effects of these mixed formulations pose significant challenges for exposure assessment and risk attribution in early-life cancer research.</w:t>
      </w:r>
    </w:p>
    <w:p w14:paraId="2FD68B4F" w14:textId="77777777" w:rsidR="005D4314" w:rsidRDefault="005D4314" w:rsidP="005D4314">
      <w:pPr>
        <w:pStyle w:val="4"/>
      </w:pPr>
      <w:r>
        <w:t>4.2 Exposure Pathways in Farmers’ Children</w:t>
      </w:r>
    </w:p>
    <w:p w14:paraId="54AB30BC" w14:textId="77777777" w:rsidR="005D4314" w:rsidRDefault="005D4314" w:rsidP="005D4314">
      <w:pPr>
        <w:pStyle w:val="a3"/>
      </w:pPr>
      <w:r>
        <w:t>Children in farming households are exposed to agrochemicals through multiple, overlapping pathways that begin before birth and continue throughout early childhood. Prenatal exposure occurs primarily through placental transfer, as many agrochemicals or their metabolites can cross the placental barrier and reach the developing fetus. Maternal occupational exposure, residential proximity to treated fields, and contamination of household environments contribute to in utero exposure during critical stages of organogenesis and immune system development</w:t>
      </w:r>
      <w:r w:rsidR="00A60316">
        <w:fldChar w:fldCharType="begin"/>
      </w:r>
      <w:r w:rsidR="009F2202">
        <w:instrText xml:space="preserve"> ADDIN ZOTERO_ITEM CSL_CITATION {"citationID":"ClgdcoVW","properties":{"formattedCitation":"(Conejo-Bola\\uc0\\u241{}os et al., 2024)","plainCitation":"(Conejo-Bolaños et al., 2024)","noteIndex":0},"citationItems":[{"id":13358,"uris":["http://zotero.org/users/16652950/items/NVMU3TLN"],"itemData":{"id":13358,"type":"article-journal","abstract":"Background:\nPesticide exposure may affect young children’s neurodevelopment, but only few cohort studies have addressed possible effects of non-organophosphate pesticides.\n\nObjective:\nWe evaluated associations between prenatal current-use pesticide exposure and neurodevelopmental outcomes among 1-year-old children from the Infants’ Environmental Health (ISA) birth cohort.\n\nMethods:\nTo determine prenatal pesticide exposure, we measured biomarkers of pyrimethanil, chlorpyrifos, synthetic pyrethroids, and 2,4-D in urine samples among 355 women, 1–3 times during pregnancy. One-year post-partum, we evaluated children’s neurodevelopment with the Bayley Scales of Infant and Toddler Development 3rd edition (BSID-III). We assessed associations between exposures and neurodevelopmental outcomes (composite and z-scores) using single-chemical linear regression models adjusted for possible confounders (maternal education, parity, sex, gestational age at birth, child age, HOME-score, location of assessment, biomarkers of mancozeb), and studied effect-modification by sex. We evaluated non-linear associations of multiple pesticide exposures with Bayesian kernel machine regression (BKMR).\n\nResults:\nWe found higher prenatal urinary 2,4-D concentrations were associated with lower language (βper ten-fold increase= −2.0, 95% confidence interval (CI) = −3.5, −0.5) and motor (βper ten-fold increase= −2.2, 95%CI= −4.2, −0.1) composite scores among all children. Also, higher chlorpyrifos exposure [measured as urinary 3,5,6-trichloro-2-pyridinol (TCPy)] was associated with lower cognitive composite scores (βper ten-fold increase = −1.9, 95%CI= −4.7, 0.8), and lower motor composite scores among boys (βper ten-fold increase = −3.8, 95% CI= −7.7, 0.1) but not girls (βper ten-fold increase = 2.3, 95%CI= −1.6, 6.3, pINT =0.11). Finally, higher pyrimethanil was associated with lower language abilities among girls, but not boys. Pyrethroid metabolite concentrations did not explain variability in BSID-III composite scores. Associations were similar for BSID-III z-scores, and we found no evidence for non-linear associations or mixture effects.\n\nDiscussion:\nPrenatal exposure to common-use pesticides may affect children’s neurodevelopment at 1-year of age, some effects may be sex-specific.","container-title":"Environmental research","DOI":"10.1016/j.envres.2024.118222","ISSN":"0013-9351","journalAbbreviation":"Environ Res","note":"PMID: 38272290\nPMCID: PMC11065598","page":"118222","source":"PubMed Central","title":"Prenatal current-use pesticide exposure and children’s neurodevelopment at one year of age in the Infants’ Environmental Health (ISA) birth cohort, Costa Rica","volume":"249","author":[{"family":"Conejo-Bolaños","given":"L. Diego"},{"family":"Mora","given":"Ana M."},{"family":"Hernández-Bonilla","given":"David"},{"family":"Cano","given":"Juan Camilo"},{"family":"Menezes-Filho","given":"José A."},{"family":"Eskenazi","given":"Brenda"},{"family":"Lindh","given":"Christian H"},{"family":"Wendel de Joode","given":"Berna","non-dropping-particle":"van"}],"issued":{"date-parts":[["2024",5,15]]}}}],"schema":"https://github.com/citation-style-language/schema/raw/master/csl-citation.json"} </w:instrText>
      </w:r>
      <w:r w:rsidR="00A60316">
        <w:fldChar w:fldCharType="separate"/>
      </w:r>
      <w:r w:rsidR="009F2202" w:rsidRPr="009F2202">
        <w:t>(Conejo-Bolaños et al., 2024)</w:t>
      </w:r>
      <w:r w:rsidR="00A60316">
        <w:fldChar w:fldCharType="end"/>
      </w:r>
      <w:r>
        <w:t>.</w:t>
      </w:r>
    </w:p>
    <w:p w14:paraId="467990BC" w14:textId="77777777" w:rsidR="005D4314" w:rsidRDefault="005D4314" w:rsidP="005D4314">
      <w:pPr>
        <w:pStyle w:val="a3"/>
      </w:pPr>
      <w:r>
        <w:t xml:space="preserve">Postnatal exposure pathways are equally important and often persistent. Take-home exposure occurs when parents inadvertently bring pesticide residues into the home on clothing, footwear, or equipment, leading to chronic indoor contamination. Environmental drift from nearby agricultural applications can result in inhalation or dermal exposure, particularly for children living close to treated fields. In addition, contaminated soil, dust, and water sources serve as </w:t>
      </w:r>
      <w:r>
        <w:lastRenderedPageBreak/>
        <w:t>reservoirs of exposure, increasing the likelihood of ingestion through hand-to-mouth behaviors that are common in young children. The convergence of these pathways results in sustained, low-dose exposure profiles that are difficult to capture using conventional assessment methods</w:t>
      </w:r>
      <w:r w:rsidR="00A60316">
        <w:fldChar w:fldCharType="begin"/>
      </w:r>
      <w:r w:rsidR="009F2202">
        <w:instrText xml:space="preserve"> ADDIN ZOTERO_ITEM CSL_CITATION {"citationID":"TPvo1PhX","properties":{"formattedCitation":"(Khan et al., 2024)","plainCitation":"(Khan et al., 2024)","noteIndex":0},"citationItems":[{"id":13361,"uris":["http://zotero.org/users/16652950/items/X7CIURKW"],"itemData":{"id":13361,"type":"article-journal","abstract":"Background:\nOrganophosphorus pesticide (OP) exposure is known to have adverse effects on the nervous system. Children from agricultural communities are at risk of exposure to these chemicals from their indoor environments that can lead to neurological and developmental problems, including changes in behavior.\n\nObjective:\nThe aim of this study is to evaluate whether the take-home pathway exposure is associated with behavioral deficits in Latino Orchid Community children.\n\nMethod:\nThe study was implemented over a period of two years (2008-2010) in an orchard farming community with a total of 324 parents who had children between the ages of 5-12 years old. Mothers of the children were asked to complete a Child Behavior Checklist (CBCL) and dust from their carpets was collected. Emotional and behavioral deficits were assessed based on the CBCL and house dust was assessed for OP concentrations. In this study, correlations between OPs in house dust and CBCL subscales were estimated using linear regression models with total OP concentrations classified by tertiles. This study also facilitated the comparison between the agricultural and non-agricultural families in terms of behavioral deficits and house dust concentrations of pesticides.\n\nResults:\nThe data from the study shows that there was a positive association between the concentration of OP residues in house dust and internalizing behavior (β=2.06, p=0.05) whereas the association with externalizing behavior was not significant after accounting for sociocultural covariates. Significant positive associations of OP residues with somatic problems (p=0.02) and thought problems (p=0.05) were also found.\n\nConclusion:\nThe data support a potential role of OP exposure in childhood development, with a specific focus on internalizing behavior. Future work focused on longitudinal studies may uncover the long-term consequences of OP exposure and behavior.","container-title":"Neurotoxicology","DOI":"10.1016/j.neuro.2024.03.001","ISSN":"0161-813X","journalAbbreviation":"Neurotoxicology","note":"PMID: 38453034\nPMCID: PMC11684323","page":"29-36","source":"PubMed Central","title":"Organophosphorus pesticide exposure from house dust and parent-reported child behavior in Latino children from an orchard community","volume":"102","author":[{"family":"Khan","given":"Khalid M."},{"family":"Gaine","given":"Marie E."},{"family":"Daniel","given":"Alyssa R."},{"family":"Chilamkuri","given":"Pavani"},{"family":"Rohlman","given":"Diane S."}],"issued":{"date-parts":[["2024",5]]}}}],"schema":"https://github.com/citation-style-language/schema/raw/master/csl-citation.json"} </w:instrText>
      </w:r>
      <w:r w:rsidR="00A60316">
        <w:fldChar w:fldCharType="separate"/>
      </w:r>
      <w:r w:rsidR="009F2202" w:rsidRPr="009F2202">
        <w:t>(Khan et al., 2024)</w:t>
      </w:r>
      <w:r w:rsidR="00A60316">
        <w:fldChar w:fldCharType="end"/>
      </w:r>
      <w:r>
        <w:t>.</w:t>
      </w:r>
    </w:p>
    <w:p w14:paraId="40B2607A" w14:textId="77777777" w:rsidR="005D4314" w:rsidRDefault="005D4314" w:rsidP="005D4314">
      <w:pPr>
        <w:pStyle w:val="4"/>
      </w:pPr>
      <w:r>
        <w:t>4.3 Critical Windows of Susceptibility</w:t>
      </w:r>
    </w:p>
    <w:p w14:paraId="162BFC8B" w14:textId="77777777" w:rsidR="005D4314" w:rsidRDefault="005D4314" w:rsidP="005D4314">
      <w:pPr>
        <w:pStyle w:val="a3"/>
      </w:pPr>
      <w:r>
        <w:t>The timing of exposure is a central determinant of cancer risk in early life. Trimester-specific exposures during pregnancy may have differential effects depending on the developmental processes occurring at the time, such as hematopoietic stem cell expansion, neural tube formation, or immune system priming. Epidemiologic studies have reported stronger associations between agrochemical exposure and pediatric leukemia when exposure occurs during specific prenatal windows, underscoring the importance of temporal resolution in exposure assessment</w:t>
      </w:r>
      <w:r w:rsidR="00A60316">
        <w:fldChar w:fldCharType="begin"/>
      </w:r>
      <w:r w:rsidR="009F2202">
        <w:instrText xml:space="preserve"> ADDIN ZOTERO_ITEM CSL_CITATION {"citationID":"FHBbXegK","properties":{"formattedCitation":"(Struys et al., 2025)","plainCitation":"(Struys et al., 2025)","noteIndex":0},"citationItems":[{"id":13364,"uris":["http://zotero.org/users/16652950/items/ZZXQ43JM"],"itemData":{"id":13364,"type":"article-journal","abstract":"This study demonstrates that environmental mutagenic exposure during pregnancy can increase somatic mutation accumulation in the fetus. Given that detrimental early life exposures can adversely affect health outcomes later in life, our study highlights the need for further research into the impact of environmentally induced genomic insults during the perinatal period. See related commentary by Furudate and Takahashi, p. 870.","container-title":"Cancer Discovery","DOI":"10.1158/2159-8290.CD-24-1368","ISSN":"2159-8290","issue":"5","journalAbbreviation":"Cancer Discov","language":"eng","note":"PMID: 39852764\nPMCID: PMC12046327","page":"903-912","source":"PubMed","title":"Prenatal Exposure to Chemotherapy Increases the Mutation Burden in Human Neonatal Hematopoietic Stem Cells","volume":"15","author":[{"family":"Struys","given":"Ilana"},{"family":"Velázquez","given":"Carolina"},{"family":"Ubels","given":"Joske"},{"family":"LeJeune","given":"Charlotte L."},{"family":"Roosmalen","given":"Markus J.","non-dropping-particle":"van"},{"family":"Rosendahl Huber","given":"Axel K. M."},{"family":"Leeuwen","given":"Anais J. C. N.","non-dropping-particle":"van"},{"family":"Bossuyt","given":"Wouter"},{"family":"Thienpont","given":"Bernard"},{"family":"Voet","given":"Thierry"},{"family":"Van Calsteren","given":"Kristel"},{"family":"Lenaerts","given":"Liesbeth"},{"family":"Boxtel","given":"Ruben","non-dropping-particle":"van"},{"family":"Amant","given":"Frédéric"}],"issued":{"date-parts":[["2025",5,2]]}}}],"schema":"https://github.com/citation-style-language/schema/raw/master/csl-citation.json"} </w:instrText>
      </w:r>
      <w:r w:rsidR="00A60316">
        <w:fldChar w:fldCharType="separate"/>
      </w:r>
      <w:r w:rsidR="009F2202" w:rsidRPr="009F2202">
        <w:t>(Struys et al., 2025)</w:t>
      </w:r>
      <w:r w:rsidR="00A60316">
        <w:fldChar w:fldCharType="end"/>
      </w:r>
      <w:r>
        <w:t>.</w:t>
      </w:r>
    </w:p>
    <w:p w14:paraId="30841A44" w14:textId="77777777" w:rsidR="005D4314" w:rsidRDefault="005D4314" w:rsidP="005D4314">
      <w:pPr>
        <w:pStyle w:val="a3"/>
      </w:pPr>
      <w:r>
        <w:t>Early childhood represents an additional window of heightened susceptibility, characterized by rapid neurodevelopment, immune maturation, and tissue growth. During this period, children have limited capacity for detoxification and DNA repair, which may amplify the biological impact of environmental toxicants. Disruption of neuro-immune interactions during early childhood has been proposed as a plausible pathway linking postnatal agrochemical exposure to malignancies that manifest within the first decade of life. Together, these critical windows highlight the need for life-course–oriented exposure models that explicitly account for timing, duration, and intensity of agrochemical exposure in farmers’ children</w:t>
      </w:r>
      <w:r w:rsidR="00A60316">
        <w:fldChar w:fldCharType="begin"/>
      </w:r>
      <w:r w:rsidR="009F2202">
        <w:instrText xml:space="preserve"> ADDIN ZOTERO_ITEM CSL_CITATION {"citationID":"eMgnGVIS","properties":{"formattedCitation":"(Dallere et al., 2025)","plainCitation":"(Dallere et al., 2025)","noteIndex":0},"citationItems":[{"id":13366,"uris":["http://zotero.org/users/16652950/items/GLGQRMFC"],"itemData":{"id":13366,"type":"article-journal","abstract":"Inspired from the historical debate “nature” versus “nurture”, the concept “exposome” recently emerged as a comprehensive framework encompassing the totality of exposures individuals experience, from conception onward, over a complete lifetime, and how they can affect human health. In this narrative review, we present an overview of current knowledge on the exposome, with a particular focus on its impact on brain health across different life stages, highlighting its role during neurodevelopment/childhood, adulthood, physiological aging and neurodegenerative conditions. We explore the three main exposome domains (general external, specific external, internal), underpinning their interconnection. We also provide examples of how specific factors, ranging from chemicals to lifestyle habits, can either positively or negatively influence the CNS structure and function. To this aim, we included articles (mostly between 2005 and 2024) found in open-access databases, selected using the following search terms: “exposome”, “central nervous system” and “pregnancy” or “childhood” or “adulthood” or “aging” or “neurodegeneration”. Second, we analyzed the relationships between specific exposome domains and each stage of life. Only articles addressing a given risk factor across all life stages were included in the review. In each chapter, we review findings from both human and experimental studies, when available, with an insight on biological mechanisms, in order to link exposure to phenotype. This work highlights the potential of the exposomics’ framework to support public health policies and facilitate the prevention and treatment of multifactorial neurological disorders, while underscoring the importance of interdisciplinary efforts to address the multifaceted environmental determinants endangering the CNS health.","container-title":"Neuroscience &amp; Biobehavioral Reviews","DOI":"10.1016/j.neubiorev.2025.106247","ISSN":"0149-7634","journalAbbreviation":"Neuroscience &amp; Biobehavioral Reviews","page":"106247","source":"ScienceDirect","title":"The exposome from neurodevelopment to neurodegeneration: A narrative review","title-short":"The exposome from neurodevelopment to neurodegeneration","volume":"176","author":[{"family":"Dallere","given":"Sveva"},{"family":"Rasà","given":"Daniela Maria"},{"family":"Pavarino","given":"Gianna"},{"family":"Schellino","given":"Roberta"},{"family":"Vercelli","given":"Alessandro"},{"family":"Boido","given":"Marina"}],"issued":{"date-parts":[["2025",9,1]]}}}],"schema":"https://github.com/citation-style-language/schema/raw/master/csl-citation.json"} </w:instrText>
      </w:r>
      <w:r w:rsidR="00A60316">
        <w:fldChar w:fldCharType="separate"/>
      </w:r>
      <w:r w:rsidR="009F2202" w:rsidRPr="009F2202">
        <w:t>(Dallere et al., 2025)</w:t>
      </w:r>
      <w:r w:rsidR="00A60316">
        <w:fldChar w:fldCharType="end"/>
      </w:r>
      <w:r>
        <w:t>.</w:t>
      </w:r>
    </w:p>
    <w:p w14:paraId="56F07E44" w14:textId="77777777" w:rsidR="005D4314" w:rsidRDefault="005D4314" w:rsidP="005D4314">
      <w:pPr>
        <w:pStyle w:val="3"/>
      </w:pPr>
      <w:r>
        <w:t>5. Epidemiologic Evidence Linking Agrochemical Exposure to Pediatric Cancer</w:t>
      </w:r>
    </w:p>
    <w:p w14:paraId="6328CF31" w14:textId="77777777" w:rsidR="005D4314" w:rsidRDefault="005D4314" w:rsidP="005D4314">
      <w:pPr>
        <w:pStyle w:val="4"/>
      </w:pPr>
      <w:r>
        <w:t>5.1 Overall Pediatric Cancer Risk</w:t>
      </w:r>
    </w:p>
    <w:p w14:paraId="2FA1787F" w14:textId="77777777" w:rsidR="005D4314" w:rsidRDefault="005D4314" w:rsidP="005D4314">
      <w:pPr>
        <w:pStyle w:val="a3"/>
      </w:pPr>
      <w:r>
        <w:t>Epidemiologic investigations conducted over the past several decades have consistently suggested an association between agrochemical exposure and increased risk of pediatric cancers in agricultural populations. Among the malignancies most frequently examined, leukemia, lymphoma, and tumors of the central nervous system predominate, reflecting both their relative incidence in childhood and their hypothesized sensitivity to environmental insults. Population-based case–control studies and registry-linked analyses have reported elevated risks among children residing in proximity to agricultural activities or born to parents engaged in farming occupations, particularly when exposure occurs during prenatal or early postnatal periods. Although effect sizes are generally modest, the recurrence of these associations across diverse geographic settings supports concern regarding the carcinogenic potential of early-life agrochemical exposure</w:t>
      </w:r>
      <w:r w:rsidR="00A60316">
        <w:fldChar w:fldCharType="begin"/>
      </w:r>
      <w:r w:rsidR="00B33182">
        <w:instrText xml:space="preserve"> ADDIN ZOTERO_ITEM CSL_CITATION {"citationID":"uIkAip3c","properties":{"formattedCitation":"(Gerken et al., 2024; Taiba et al., 2025)","plainCitation":"(Gerken et al., 2024; Taiba et al., 2025)","noteIndex":0},"citationItems":[{"id":13182,"uris":["http://zotero.org/users/16652950/items/CXDH8P6L"],"itemData":{"id":13182,"type":"article-journal","abstract":"Pesticides are an essential feature of modern-day agriculture that adds to the list of factors that increase cancer risk. Our study aims to evaluate comprehensibly this relationship through a population-based approach that considers confounding variables such as county-specific rates of smoking, socioeconomic vulnerability, and agricultural land. We achieved our goal with the implementation of latent class pesticide usage patterns that were further modeled among covariates to evaluate their associations to cancer risk. Our findings demonstrated an association between pesticide usage and increased incidence of leukemia, non-Hodgkin's lymphoma, bladder, colon, lung, pancreatic, cancers, and all cancers combined that are comparable to smoking for some cancer types. Through our comprehensive analysis and unique approach, our study emphasizes the importance of a holistic assessment of the risks of pesticide usage for communities, which may be used to impact future policies regarding pesticides.","container-title":"Frontiers in Cancer Control and Society","DOI":"10.3389/fcacs.2024.1368086","ISSN":"2813-835X","journalAbbreviation":"Front. Cancer Control Soc.","language":"English","note":"publisher: Frontiers","source":"Frontiers","title":"Comprehensive assessment of pesticide use patterns and increased cancer risk","URL":"https://www.frontiersin.org/journals/cancer-control-and-society/articles/10.3389/fcacs.2024.1368086/full","volume":"2","author":[{"family":"Gerken","given":"Jacob"},{"family":"Vincent","given":"Gear Thomas"},{"family":"Zapata","given":"Demi"},{"family":"Barron","given":"Ileana G."},{"family":"Zapata","given":"Isain"}],"accessed":{"date-parts":[["2026",1,10]]},"issued":{"date-parts":[["2024",7,25]]}}},{"id":13367,"uris":["http://zotero.org/users/16652950/items/A448IQFC"],"itemData":{"id":13367,"type":"article-journal","abstract":"Nebraska's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rsidR="00A60316">
        <w:fldChar w:fldCharType="separate"/>
      </w:r>
      <w:r w:rsidR="00B33182" w:rsidRPr="00B33182">
        <w:t>(Gerken et al., 2024; Taiba et al., 2025)</w:t>
      </w:r>
      <w:r w:rsidR="00A60316">
        <w:fldChar w:fldCharType="end"/>
      </w:r>
      <w:r>
        <w:t>.</w:t>
      </w:r>
    </w:p>
    <w:p w14:paraId="609876FA" w14:textId="77777777" w:rsidR="005D4314" w:rsidRDefault="005D4314" w:rsidP="005D4314">
      <w:pPr>
        <w:pStyle w:val="4"/>
      </w:pPr>
      <w:r>
        <w:t>5.2 Cancer-Specific Associations</w:t>
      </w:r>
    </w:p>
    <w:p w14:paraId="541942AA" w14:textId="77777777" w:rsidR="005D4314" w:rsidRDefault="005D4314" w:rsidP="005D4314">
      <w:pPr>
        <w:pStyle w:val="a3"/>
      </w:pPr>
      <w:r>
        <w:t xml:space="preserve">Acute lymphoblastic leukemia has emerged as the pediatric cancer most consistently associated with agrochemical exposure. Multiple studies have identified increased risks linked to parental occupational pesticide use, residential proximity to treated fields, and modeled prenatal exposure, with stronger associations observed for exposures occurring during critical </w:t>
      </w:r>
      <w:r>
        <w:lastRenderedPageBreak/>
        <w:t>developmental windows. These findings align with biological hypotheses implicating immune dysregulation and genotoxic damage to developing hematopoietic cells</w:t>
      </w:r>
      <w:r w:rsidR="00A60316">
        <w:fldChar w:fldCharType="begin"/>
      </w:r>
      <w:r w:rsidR="00B33182">
        <w:instrText xml:space="preserve"> ADDIN ZOTERO_ITEM CSL_CITATION {"citationID":"Wq2cV3LD","properties":{"formattedCitation":"(Desai et al., 2025; Silva et al., 2025)","plainCitation":"(Desai et al., 2025; Silva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rsidR="00A60316">
        <w:fldChar w:fldCharType="separate"/>
      </w:r>
      <w:r w:rsidR="00B33182" w:rsidRPr="00B33182">
        <w:t>(Desai et al., 2025; Silva et al., 2025)</w:t>
      </w:r>
      <w:r w:rsidR="00A60316">
        <w:fldChar w:fldCharType="end"/>
      </w:r>
      <w:r>
        <w:t>.</w:t>
      </w:r>
    </w:p>
    <w:p w14:paraId="681F5889" w14:textId="77777777" w:rsidR="005D4314" w:rsidRDefault="005D4314" w:rsidP="005D4314">
      <w:pPr>
        <w:pStyle w:val="a3"/>
      </w:pPr>
      <w:r>
        <w:t>Brain and central nervous system tumors represent a second major category of concern. Epidemiologic evidence suggests associations between early-life exposure to certain herbicides and insecticides and increased risk of pediatric brain tumors, although results are less consistent than those observed for leukemia. Variability in tumor classification, exposure assessment, and latency considerations has contributed to heterogeneity across studies. Nonetheless, the vulnerability of the developing nervous system lends biological plausibility to these observed associations</w:t>
      </w:r>
      <w:r w:rsidR="00A60316">
        <w:fldChar w:fldCharType="begin"/>
      </w:r>
      <w:r w:rsidR="00B33182">
        <w:instrText xml:space="preserve"> ADDIN ZOTERO_ITEM CSL_CITATION {"citationID":"33lfrBPa","properties":{"formattedCitation":"(Onyije et al., 2024)","plainCitation":"(Onyije et al., 2024)","noteIndex":0},"citationItems":[{"id":13373,"uris":["http://zotero.org/users/16652950/items/HVJGWBFA"],"itemData":{"id":13373,"type":"article-journal","abstract":"•Systematic review and meta-analysis of 180 studies evaluating risk factors in children diagnosed of brain tumours.•Childhood and parental exposure to pesticides were found to be associated with childhood brain tumours.•Modestly increased risks of brain tumours for children conceived through assisted reproductive technology or born via Caesarean sections.•Parental lifestyle associated with childhood brain tumours: smoking (fathers), coffee and cured meat intake (mothers).•Maternal intake of vitamins and folic acid during pregnancy is protective against childhood brain tumours.","container-title":"Cancer Epidemiology","DOI":"10.1016/j.canep.2023.102510","ISSN":"1877-7821","journalAbbreviation":"Cancer Epidemiol","note":"PMID: 38056243\nPMCID: PMC10835339","page":"102510","source":"PubMed Central","title":"Risk factors for childhood brain tumours: A systematic review and meta-analysis of observational studies from 1976 to 2022","title-short":"Risk factors for childhood brain tumours","volume":"88","author":[{"family":"Onyije","given":"Felix M."},{"family":"Dolatkhah","given":"Roya"},{"family":"Olsson","given":"Ann"},{"family":"Bouaoun","given":"Liacine"},{"family":"Deltour","given":"Isabelle"},{"family":"Erdmann","given":"Friederike"},{"family":"Bonaventure","given":"Audrey"},{"family":"Scheurer","given":"Michael E."},{"family":"Clavel","given":"Jacqueline"},{"family":"Schüz","given":"Joachim"}],"issued":{"date-parts":[["2024",2]]}}}],"schema":"https://github.com/citation-style-language/schema/raw/master/csl-citation.json"} </w:instrText>
      </w:r>
      <w:r w:rsidR="00A60316">
        <w:fldChar w:fldCharType="separate"/>
      </w:r>
      <w:r w:rsidR="00B33182" w:rsidRPr="00B33182">
        <w:t>(Onyije et al., 2024)</w:t>
      </w:r>
      <w:r w:rsidR="00A60316">
        <w:fldChar w:fldCharType="end"/>
      </w:r>
      <w:r>
        <w:t>.</w:t>
      </w:r>
    </w:p>
    <w:p w14:paraId="15946560" w14:textId="77777777" w:rsidR="005D4314" w:rsidRDefault="005D4314" w:rsidP="005D4314">
      <w:pPr>
        <w:pStyle w:val="a3"/>
      </w:pPr>
      <w:r>
        <w:t>Evidence for rare pediatric malignancies, including soft tissue sarcomas, Wilms tumor, and neuroblastoma, is more limited due to small case numbers and methodological constraints. While some studies have reported elevated risks in agricultural settings, findings remain inconclusive, underscoring the need for larger, well-characterized cohorts and improved exposure assessment strategies to clarify these potential relationships.</w:t>
      </w:r>
    </w:p>
    <w:p w14:paraId="7901D309" w14:textId="77777777" w:rsidR="005D4314" w:rsidRDefault="005D4314" w:rsidP="005D4314">
      <w:pPr>
        <w:pStyle w:val="4"/>
      </w:pPr>
      <w:r>
        <w:t>5.3 Strength and Consistency of Evidence</w:t>
      </w:r>
    </w:p>
    <w:p w14:paraId="560A0531" w14:textId="77777777" w:rsidR="005D4314" w:rsidRDefault="005D4314" w:rsidP="005D4314">
      <w:pPr>
        <w:pStyle w:val="a3"/>
      </w:pPr>
      <w:r>
        <w:t>Across the literature, reported effect estimates generally indicate small to moderate increases in pediatric cancer risk associated with agrochemical exposure, with odds ratios typically ranging from modest elevations to more pronounced effects in high-exposure subgroups. The strength of evidence is greatest for leukemia, particularly acute lymphoblastic leukemia, where associations have been replicated across multiple study designs and exposure metrics. However, substantial heterogeneity exists, driven by differences in study populations, exposure assessment methods, chemical classes evaluated, and timing of exposure</w:t>
      </w:r>
      <w:r w:rsidR="00A60316">
        <w:fldChar w:fldCharType="begin"/>
      </w:r>
      <w:r w:rsidR="008704C6">
        <w:instrText xml:space="preserve"> ADDIN ZOTERO_ITEM CSL_CITATION {"citationID":"2eaQBKnT","properties":{"formattedCitation":"(Emeny et al., 2025)","plainCitation":"(Emeny et al., 2025)","noteIndex":0},"citationItems":[{"id":13375,"uris":["http://zotero.org/users/16652950/items/DIQBJLI9"],"itemData":{"id":13375,"type":"article-journal","abstract":"Simple Summary\nChildhood cancer is a significant public health concern with increasing rates over decades suggesting that environmental factors may contribute to this trend. We reviewed studies published between 2014 and 2021 that examined childhood exposure to air pollution and radiation, as well as parental environmental and occupational exposures before conception or during pregnancy, in relation to childhood cancer. Strong evidence was found for associations between leukemia and exposures to traffic pollution, indoor paint, residential pesticides, and occupational/nonoccupational benzene, and between brain cancer and exposures to residential pesticides and occupational agricultural pesticides. There was mixed evidence of associations between leukemia and electromagnetic fields (EMFs), and ionizing radiation from radon or nuclear power plants. This review consolidates knowledge of environmental factors associated with childhood cancer to inform targeted prevention strategies.\n\nAbstract\nPurpose: To achieve a better understanding of the environmental factors that contribute to childhood cancers, so as to inform future prevention efforts. Methods: We conducted a comprehensive review of epidemiological studies on environmental risk factors and childhood cancer, which was published between January 2014 and March 2021. Potential exposure sources presented in this review include air pollution, radiation, and parental occupational exposures. We considered exposures during childhood and parental exposures occurring before the child’s conception and during pregnancy in relation to all types of childhood cancer. Results: Aggregated evidence is strong for associations between leukemia and parental/child exposure to traffic pollution, indoor paints, residential pesticides, and parental occupational/nonoccupational exposure to benzene. Evidence is also strong for associations between brain cancer and residential pesticides and parental occupational exposure to agricultural pesticides. Evidence of associations between leukemia and ionizing radiation from radon and nuclear power plants remains mixed, as does evidence of a link between electromagnetic fields (EMFs) and childhood leukemia. Conclusions: Clear associations have been demonstrated between childhood cancer and environmental factors, including parent/child exposure to traffic pollution, occupational/nonoccupational benzene, indoor paints, residential pesticides, and parental occupational exposure to agricultural pesticides. These associations can be used to inform further study of interventions and public health campaigns to reduce risk.","container-title":"Cancers","DOI":"10.3390/cancers17213516","ISSN":"2072-6694","issue":"21","journalAbbreviation":"Cancers (Basel)","note":"PMID: 41228305\nPMCID: PMC12609540","page":"3516","source":"PubMed Central","title":"Causes of Childhood Cancer: A Literature Review (2014–2021)—Part 3: Environmental and Occupational Factors","title-short":"Causes of Childhood Cancer","volume":"17","author":[{"family":"Emeny","given":"Rebecca T."},{"family":"Butow","given":"Mary E."},{"family":"Titus","given":"Linda"},{"family":"Ricci","given":"Angela M."},{"family":"Bagley","given":"Pamela J."},{"family":"Blunt","given":"Heather B."},{"family":"Morgan","given":"Alexandra"},{"family":"Alford-Teaster","given":"Jennifer A."},{"family":"Walston","given":"Raymond R."},{"family":"Rees","given":"Judy R."}],"issued":{"date-parts":[["2025",10,31]]}}}],"schema":"https://github.com/citation-style-language/schema/raw/master/csl-citation.json"} </w:instrText>
      </w:r>
      <w:r w:rsidR="00A60316">
        <w:fldChar w:fldCharType="separate"/>
      </w:r>
      <w:r w:rsidR="008704C6" w:rsidRPr="008704C6">
        <w:t>(Emeny et al., 2025)</w:t>
      </w:r>
      <w:r w:rsidR="00A60316">
        <w:fldChar w:fldCharType="end"/>
      </w:r>
      <w:r>
        <w:t>.</w:t>
      </w:r>
    </w:p>
    <w:p w14:paraId="59760BA1" w14:textId="77777777" w:rsidR="005D4314" w:rsidRDefault="005D4314" w:rsidP="005D4314">
      <w:pPr>
        <w:pStyle w:val="a3"/>
      </w:pPr>
      <w:r>
        <w:t>Inconsistencies across studies also reflect challenges inherent to environmental epidemiology, including exposure misclassification, residual confounding, and limited statistical power for rare outcomes. Despite these limitations, the overall pattern of evidence suggests a meaningful link between early-life agrochemical exposure and pediatric cancer risk, warranting continued investigation using refined exposure models and integrative analytic approaches to strengthen causal inference and inform prevention efforts</w:t>
      </w:r>
      <w:r w:rsidR="00A60316">
        <w:fldChar w:fldCharType="begin"/>
      </w:r>
      <w:r w:rsidR="008704C6">
        <w:instrText xml:space="preserve"> ADDIN ZOTERO_ITEM CSL_CITATION {"citationID":"bbzCl5Tq","properties":{"formattedCitation":"(Savitz &amp; Wellenius, 2025)","plainCitation":"(Savitz &amp; Wellenius, 2025)","noteIndex":0},"citationItems":[{"id":13378,"uris":["http://zotero.org/users/16652950/items/WURUFYB3"],"itemData":{"id":13378,"type":"article-journal","container-title":"Environmental Epidemiology","DOI":"10.1097/EE9.0000000000000433","ISSN":"2474-7882","issue":"6","journalAbbreviation":"Environ Epidemiol","note":"PMID: 41140318\nPMCID: PMC12548993","page":"e433","source":"PubMed Central","title":"Consequential (and inconsequential) environmental epidemiology","volume":"9","author":[{"family":"Savitz","given":"David A."},{"family":"Wellenius","given":"Gregory A."}],"issued":{"date-parts":[["2025",10,22]]}}}],"schema":"https://github.com/citation-style-language/schema/raw/master/csl-citation.json"} </w:instrText>
      </w:r>
      <w:r w:rsidR="00A60316">
        <w:fldChar w:fldCharType="separate"/>
      </w:r>
      <w:r w:rsidR="008704C6" w:rsidRPr="008704C6">
        <w:t>(Savitz &amp; Wellenius, 2025)</w:t>
      </w:r>
      <w:r w:rsidR="00A60316">
        <w:fldChar w:fldCharType="end"/>
      </w:r>
      <w:r>
        <w:t>.</w:t>
      </w:r>
    </w:p>
    <w:p w14:paraId="20A90FBC" w14:textId="77777777" w:rsidR="005D4314" w:rsidRDefault="005D4314"/>
    <w:p w14:paraId="10CD5686" w14:textId="77777777" w:rsidR="005D4314" w:rsidRDefault="005D4314" w:rsidP="005D4314">
      <w:pPr>
        <w:pStyle w:val="3"/>
      </w:pPr>
      <w:r>
        <w:t>6. Exposure Assessment and Modeling Approaches</w:t>
      </w:r>
    </w:p>
    <w:p w14:paraId="307D0123" w14:textId="77777777" w:rsidR="005D4314" w:rsidRDefault="005D4314" w:rsidP="005D4314">
      <w:pPr>
        <w:pStyle w:val="4"/>
      </w:pPr>
      <w:r>
        <w:t>6.1 Traditional Exposure Assessment Methods</w:t>
      </w:r>
    </w:p>
    <w:p w14:paraId="46A166DE" w14:textId="77777777" w:rsidR="005D4314" w:rsidRDefault="005D4314" w:rsidP="005D4314">
      <w:pPr>
        <w:pStyle w:val="a3"/>
      </w:pPr>
      <w:r>
        <w:t xml:space="preserve">Early epidemiologic studies of agrochemical exposure and pediatric cancer risk have relied primarily on traditional exposure assessment approaches, including self-reported pesticide use and job-exposure matrices. Self-reported data, typically obtained through parental interviews or questionnaires, have been used to capture information on occupational pesticide handling, household use, and residential proximity to agricultural activities. While such methods offer </w:t>
      </w:r>
      <w:r>
        <w:lastRenderedPageBreak/>
        <w:t>contextual detail, they are vulnerable to recall bias, particularly in case–control studies, and often lack specificity regarding chemical identity, application intensity, and timing of exposure.</w:t>
      </w:r>
    </w:p>
    <w:p w14:paraId="38F4339B" w14:textId="77777777" w:rsidR="005D4314" w:rsidRDefault="005D4314" w:rsidP="005D4314">
      <w:pPr>
        <w:pStyle w:val="a3"/>
      </w:pPr>
      <w:r>
        <w:t>Job-exposure matrices have been employed to infer exposure based on occupational titles and industry classifications, providing a standardized means of assigning exposure probabilities across large populations. Although useful for minimizing recall bias, these matrices generally assume homogeneity of exposure within occupational categories and rarely capture variation in work practices, protective behaviors, or temporal changes in pesticide use. Collectively, these traditional methods are prone to exposure misclassification, which can attenuate observed associations and contribute to inconsistent findings across studies</w:t>
      </w:r>
      <w:r w:rsidR="00A60316">
        <w:fldChar w:fldCharType="begin"/>
      </w:r>
      <w:r w:rsidR="008704C6">
        <w:instrText xml:space="preserve"> ADDIN ZOTERO_ITEM CSL_CITATION {"citationID":"6XYG3pNH","properties":{"formattedCitation":"(Desai et al., 2025; Figueiredo et al., 2025)","plainCitation":"(Desai et al., 2025; Figueiredo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E."},{"family":"Metayer","given":"Catherine"}],"accessed":{"date-parts":[["2026",1,15]]},"issued":{"date-parts":[["2025",3,13]]}}},{"id":13381,"uris":["http://zotero.org/users/16652950/items/6Y52VY4M"],"itemData":{"id":13381,"type":"article-journal","abstract":"Individuals are exposed to pesticides via dietary and non-dietary exposure routes. There is a growing need for aggregated exposure estimates across occupationally and non-occupationally exposed populations. Exposure to current-use and legacy pesticides was studied using silicone wristbands worn by farmers, residents living close to treated fields (neighbors), and the general population (consumers), in total, 641 participants across 10 European countries. Wristband extracts were analyzed for 193 pesticides by targeted Liquid and Gas Chromatography-Mass Spectrometry. Information on exposure predictors, such as frequency of cleaning, was collected by questionnaire. Logistic regressions and multivariable generalized least squares models were used to study predictors of pesticide occurrence and concentrations, respectively. We detected 173 out of 193 pesticides (89 %) across all samples. Per wristband 9 – 74 (median of 36) pesticides were detected in conventional farmers (FC), 8 – 66 (median of 20) in organic farmers, 3 – 66 (median of 20) in neighbors and 2 – 54 (median of 17) in consumers. Insecticides, like permethrin and chlorpyrifos, were commonly detected across all groups (&gt;85 %). Concentrations varied significantly across groups, with the highest levels often observed in FC. We identified pesticide use and having pets as important predictors of personal non-dietary exposure. Mixture analysis revealed one major combination (in 72 % of all samples) of three insecticides, namely permethrin, chlorpyrifos, DDE p,p’, and the synergist piperonyl butoxide. This study highlights that farm workers using a conventional farming system are a highly exposed group. It is unclear what the identified prevalent mixtures mean for cumulative exposure and resulting health risks.","container-title":"Environment International","DOI":"10.1016/j.envint.2025.109734","ISSN":"0160-4120","journalAbbreviation":"Environment International","page":"109734","source":"ScienceDirect","title":"Non-dietary personal pesticide exposure using silicone wristbands across 10 European countries","volume":"203","author":[{"family":"Figueiredo","given":"Daniel Martins"},{"family":"Mu","given":"Hongyu"},{"family":"Osman","given":"Rima"},{"family":"Silva","given":"Vera"},{"family":"Graumans","given":"Martien"},{"family":"Dael","given":"Maurice","non-dropping-particle":"van"},{"family":"Balkhi","given":"Souleiman El"},{"family":"Mol","given":"Hans"},{"family":"Huss","given":"Anke"},{"family":"Vermeulen","given":"Roel"},{"family":"Hofman","given":"Jakub"},{"family":"Abrantes","given":"Nelson"},{"family":"Campos","given":"Isabel"},{"family":"Alcon","given":"Francisco"},{"family":"Contreras","given":"Josefa"},{"family":"Baldi","given":"Isabelle"},{"family":"Bureau","given":"Mathilde"},{"family":"Alaoui","given":"Abdallah"},{"family":"Christ","given":"Florian"},{"family":"Mandrioli","given":"Daniele"},{"family":"Sgargi","given":"Daria"},{"family":"Pasković","given":"Igor"},{"family":"Pasković","given":"Marija Polić"},{"family":"Glavan","given":"Matjaž"},{"family":"Harkes","given":"Paula"},{"family":"Lwanga","given":"Esperanza Huerta"},{"family":"Gai","given":"Lingtong"},{"family":"Norgaard","given":"Trine"},{"family":"Geissen","given":"Violette"},{"family":"Schlünssen","given":"Vivi"},{"family":"Scheepers","given":"Paul T. J."}],"issued":{"date-parts":[["2025",9,1]]}}}],"schema":"https://github.com/citation-style-language/schema/raw/master/csl-citation.json"} </w:instrText>
      </w:r>
      <w:r w:rsidR="00A60316">
        <w:fldChar w:fldCharType="separate"/>
      </w:r>
      <w:r w:rsidR="008704C6" w:rsidRPr="008704C6">
        <w:t>(Desai et al., 2025; Figueiredo et al., 2025)</w:t>
      </w:r>
      <w:r w:rsidR="00A60316">
        <w:fldChar w:fldCharType="end"/>
      </w:r>
      <w:r>
        <w:t>.</w:t>
      </w:r>
    </w:p>
    <w:p w14:paraId="0B6C9CCD" w14:textId="77777777" w:rsidR="005D4314" w:rsidRDefault="005D4314" w:rsidP="005D4314">
      <w:pPr>
        <w:pStyle w:val="4"/>
      </w:pPr>
      <w:r>
        <w:t>6.2 GIS-Based and Spatial Exposure Models</w:t>
      </w:r>
    </w:p>
    <w:p w14:paraId="60C80FA1" w14:textId="77777777" w:rsidR="005D4314" w:rsidRDefault="005D4314" w:rsidP="005D4314">
      <w:pPr>
        <w:pStyle w:val="a3"/>
      </w:pPr>
      <w:r>
        <w:t>In response to the limitations of conventional exposure assessment, GIS-based and spatial modeling approaches have gained prominence in environmental cancer research. Proximity and buffer-based methods estimate exposure by linking residential locations to nearby agricultural pesticide applications, often using predefined distance thresholds or distance-weighted functions. These approaches improve spatial resolution and reduce reliance on self-report, enabling more objective reconstruction of exposure patterns</w:t>
      </w:r>
      <w:r w:rsidR="00A60316">
        <w:fldChar w:fldCharType="begin"/>
      </w:r>
      <w:r w:rsidR="008704C6">
        <w:instrText xml:space="preserve"> ADDIN ZOTERO_ITEM CSL_CITATION {"citationID":"7CBv5MLw","properties":{"formattedCitation":"(Afandi et al., 2023; Yang et al., 2023)","plainCitation":"(Afandi et al., 2023; Yang et al., 2023)","noteIndex":0},"citationItems":[{"id":13262,"uris":["http://zotero.org/users/16652950/items/65NFPS4Q"],"itemData":{"id":13262,"type":"article-journal","abstract":"Farmers utilize pesticides extensively on their farms to control weeds and insects, as well as increase crop productivity. Despite these advantages, t...","container-title":"Agronomy","DOI":"10.3390/agronomy13071759","ISSN":"2073-4395","issue":"7","language":"en","license":"http://creativecommons.org/licenses/by/3.0/","note":"Company: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publisher","source":"www.mdpi.com","title":"Effectiveness of Utilizing Remote Sensing and GIS Techniques to Estimate the Exposure to Organophosphate Pesticides Drift over Macon, Alabama","URL":"https://www.mdpi.com/2073-4395/13/7/1759","volume":"13","author":[{"family":"Afandi","given":"Gamal El"},{"family":"Ismael","given":"Hossam"},{"family":"Fall","given":"Souleymane"},{"family":"Ankumah","given":"Ramble"},{"family":"Afandi","given":"Gamal El"},{"family":"Ismael","given":"Hossam"},{"family":"Fall","given":"Souleymane"},{"family":"Ankumah","given":"Ramble"}],"accessed":{"date-parts":[["2026",1,11]]},"issued":{"date-parts":[["2023",6,28]]}}},{"id":13384,"uris":["http://zotero.org/users/16652950/items/Y3VF2MW6"],"itemData":{"id":13384,"type":"article-journal","abstract":"This retrospective cohort study explores the association between residential proximity to a commercial pesticide application site and chronic rhinosinusitis.","container-title":"JAMA Otolaryngology-- Head &amp; Neck Surgery","DOI":"10.1001/jamaoto.2023.1499","ISSN":"2168-6181","issue":"9","journalAbbreviation":"JAMA Otolaryngol Head Neck Surg","note":"PMID: 37440215\nPMCID: PMC10346512","page":"773-780","source":"PubMed Central","title":"Residential Proximity to a Commercial Pesticide Application Site and Risk of Chronic Rhinosinusitis","volume":"149","author":[{"family":"Yang","given":"Hong-Ho"},{"family":"Paul","given":"Kimberly C."},{"family":"Cockburn","given":"Myles G."},{"family":"Thompson","given":"Laura K."},{"family":"Cheng","given":"Melodyanne Y."},{"family":"Suh","given":"Jeffrey D."},{"family":"Wang","given":"Marilene B."},{"family":"Lee","given":"Jivianne T."}],"issued":{"date-parts":[["2023",9]]}}}],"schema":"https://github.com/citation-style-language/schema/raw/master/csl-citation.json"} </w:instrText>
      </w:r>
      <w:r w:rsidR="00A60316">
        <w:fldChar w:fldCharType="separate"/>
      </w:r>
      <w:r w:rsidR="008704C6" w:rsidRPr="008704C6">
        <w:t>(Afandi et al., 2023; Yang et al., 2023)</w:t>
      </w:r>
      <w:r w:rsidR="00A60316">
        <w:fldChar w:fldCharType="end"/>
      </w:r>
      <w:r>
        <w:t>.</w:t>
      </w:r>
    </w:p>
    <w:p w14:paraId="760C854D" w14:textId="77777777" w:rsidR="005D4314" w:rsidRDefault="005D4314" w:rsidP="005D4314">
      <w:pPr>
        <w:pStyle w:val="a3"/>
      </w:pPr>
      <w:r>
        <w:t>More advanced spatial models incorporate land-use regression techniques and detailed crop-mapping data to estimate pesticide application intensity across geographic areas. By integrating information on crop type, chemical usage, and application frequency, these models better reflect real-world exposure heterogeneity. The incorporation of meteorological variables, such as wind speed, wind direction, temperature, and precipitation, further enhances model realism by accounting for environmental transport processes that influence pesticide dispersion and deposition. Together, these spatially explicit approaches represent a substantial methodological advance in exposure assessment for pediatric populations</w:t>
      </w:r>
      <w:r w:rsidR="00A60316">
        <w:fldChar w:fldCharType="begin"/>
      </w:r>
      <w:r w:rsidR="00271BC5">
        <w:instrText xml:space="preserve"> ADDIN ZOTERO_ITEM CSL_CITATION {"citationID":"WquhcLZx","properties":{"formattedCitation":"(Wang et al., 2025)","plainCitation":"(Wang et al., 2025)","noteIndex":0},"citationItems":[{"id":13386,"uris":["http://zotero.org/users/16652950/items/EBXQJYZ9"],"itemData":{"id":13386,"type":"article-journal","abstract":"Chili (Capsicum sp.) is a high-value crop cultivated by farmers, but its production is vulnerable to weather extremes (such as irregular rainfall, hig...","container-title":"Remote Sensing","DOI":"10.3390/rs17162827","ISSN":"2072-4292","issue":"16","language":"en","license":"http://creativecommons.org/licenses/by/3.0/","note":"Company: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publisher","source":"www.mdpi.com","title":"Application of Remote Sensing and Geographic Information Systems for Monitoring and Managing Chili Crops: A Systematic Review","title-short":"Application of Remote Sensing and Geographic Information Systems for Monitoring and Managing Chili Crops","URL":"https://www.mdpi.com/2072-4292/17/16/2827","volume":"17","author":[{"family":"Wang","given":"Ziyue"},{"family":"Akber","given":"Md Ali"},{"family":"Aziz","given":"Ammar Abdul"},{"family":"Wang","given":"Ziyue"},{"family":"Akber","given":"Md Ali"},{"family":"Aziz","given":"Ammar Abdul"}],"accessed":{"date-parts":[["2026",1,15]]},"issued":{"date-parts":[["2025",8,13]]}}}],"schema":"https://github.com/citation-style-language/schema/raw/master/csl-citation.json"} </w:instrText>
      </w:r>
      <w:r w:rsidR="00A60316">
        <w:fldChar w:fldCharType="separate"/>
      </w:r>
      <w:r w:rsidR="00271BC5" w:rsidRPr="00271BC5">
        <w:t>(Wang et al., 2025)</w:t>
      </w:r>
      <w:r w:rsidR="00A60316">
        <w:fldChar w:fldCharType="end"/>
      </w:r>
      <w:r>
        <w:t>.</w:t>
      </w:r>
    </w:p>
    <w:p w14:paraId="5962D7CD" w14:textId="77777777" w:rsidR="005D4314" w:rsidRDefault="005D4314" w:rsidP="005D4314">
      <w:pPr>
        <w:pStyle w:val="4"/>
      </w:pPr>
      <w:r>
        <w:t>6.3 Advances in Temporal Exposure Modeling</w:t>
      </w:r>
    </w:p>
    <w:p w14:paraId="3FFDC4FD" w14:textId="77777777" w:rsidR="005D4314" w:rsidRDefault="005D4314" w:rsidP="005D4314">
      <w:pPr>
        <w:pStyle w:val="a3"/>
      </w:pPr>
      <w:r>
        <w:t>Beyond spatial resolution, recent methodological developments have emphasized the importance of temporal specificity in exposure modeling. Distinguishing between prenatal and postnatal exposure windows has proven critical for elucidating developmental timing effects, as exposures during gestation may have different biological consequences than those occurring during early childhood. Temporal exposure models increasingly incorporate trimester-specific metrics and align exposure estimates with key developmental milestones</w:t>
      </w:r>
      <w:r w:rsidR="00A60316">
        <w:fldChar w:fldCharType="begin"/>
      </w:r>
      <w:r w:rsidR="00271BC5">
        <w:instrText xml:space="preserve"> ADDIN ZOTERO_ITEM CSL_CITATION {"citationID":"xwyHEMYR","properties":{"formattedCitation":"(Chiu et al., 2025)","plainCitation":"(Chiu et al., 2025)","noteIndex":0},"citationItems":[{"id":13388,"uris":["http://zotero.org/users/16652950/items/VLRQS4XK"],"itemData":{"id":13388,"type":"article-journal","abstract":"Background:\nPrenatal air pollution (AP) exposure has been linked to postpartum psychological functioning, impacting health outcomes in both women and children. Extant studies primarily focused on individual pollutants.\n\nObjective:\nTo assess the association between prenatal exposure to a mixture of seven AP components and postpartum psychological functioning using daily exposure data and data-driven statistical methods.\n\nMethods:\nAnalyses included 981 women recruited at 24.0±9.9 weeks gestation and followed longitudinally. We estimated prenatal daily exposure levels for constituents of fine particles [elemental carbon (EC), organic carbon (OC), nitrate (NO3−), sulfate (SO42−), ammonium (NH4+)], nitrogen dioxide (NO2), and ozone (O3) using validated global 3-D chemical-transport models and satellite-based hybrid models based on residential addresses. Edinburgh Postnatal Depression Scale (EPDS) was administered to participants to derive a total EPDS score and the subconstruct scores for anhedonia and depressive symptoms. A distributed lag model (DLM) was employed within Bayesian Kernel Machine Regression (BKMR) to develop time-weighted exposure profile for each pollutant. These exposures were then input into a Weighted Quantile Sum (WQS) regression to estimate an overall mixture effect, adjusted for maternal age, education, race/ethnicity, season of delivery, and delivery year. Effect modification by race/ethnicity and fetal sex was also examined.\n\nResults:\nWomen were primarily Hispanic (51%) and Black (32%) reporting ≤12 years of education (58%). Prenatal exposure to an AP mixture was significantly associated with increased anhedonia subscale z-scores, particularly in Hispanics (β=0.07, 95%CI=0.004 to 0.13, per unit increase in WQS index). It was also borderline associated with increased total EPDS (β=0.11, 95%CI=0.00 to 0.22) and depressive symptom subscale (β=0.09, 95%CI=−0.02 to 0.19) z-scores, particularly among Hispanic women who gave birth to a male infant. Sulfate (SO42−), O3 and OC were major contributors to these associations.\n\nSignificance:\nAssociations between prenatal exposure to an AP mixture and postpartum psychological functioning might be race/ethnicity- and infant sex-dependent.","container-title":"Journal of exposure science &amp; environmental epidemiology","DOI":"10.1038/s41370-024-00726-2","ISSN":"1559-0631","issue":"4","journalAbbreviation":"J Expo Sci Environ Epidemiol","note":"PMID: 39567710\nPMCID: PMC12092737","page":"548-556","source":"PubMed Central","title":"Air Pollution Mixture Exposure during Pregnancy and Postpartum Psychological Functioning: Racial/ethnic- and fetal sex-specific associations","title-short":"Air Pollution Mixture Exposure during Pregnancy and Postpartum Psychological Functioning","volume":"35","author":[{"family":"Chiu","given":"Yueh-Hsiu Mathilda"},{"family":"Coull","given":"Brent A."},{"family":"Wilson","given":"Ander"},{"family":"Hsu","given":"Hsiao-Hsien Leon"},{"family":"Xhani","given":"Naim"},{"family":"Nentin","given":"Farida"},{"family":"Deli","given":"Barbara C."},{"family":"Schwartz","given":"Joel"},{"family":"Colicino","given":"Elena"},{"family":"Wright","given":"Robert O."},{"family":"Wright","given":"Rosalind J."}],"issued":{"date-parts":[["2025",7]]}}}],"schema":"https://github.com/citation-style-language/schema/raw/master/csl-citation.json"} </w:instrText>
      </w:r>
      <w:r w:rsidR="00A60316">
        <w:fldChar w:fldCharType="separate"/>
      </w:r>
      <w:r w:rsidR="00271BC5" w:rsidRPr="00271BC5">
        <w:t>(Chiu et al., 2025)</w:t>
      </w:r>
      <w:r w:rsidR="00A60316">
        <w:fldChar w:fldCharType="end"/>
      </w:r>
      <w:r>
        <w:t>.</w:t>
      </w:r>
    </w:p>
    <w:p w14:paraId="057AFEDF" w14:textId="77777777" w:rsidR="005D4314" w:rsidRDefault="005D4314" w:rsidP="005D4314">
      <w:pPr>
        <w:pStyle w:val="a3"/>
      </w:pPr>
      <w:r>
        <w:t>In addition, cumulative exposure metrics that aggregate repeated low-dose exposures over time have been used to capture chronic exposure burden, while peak exposure metrics aim to identify short-term, high-intensity events that may trigger biological responses. The integration of both cumulative and peak measures provides a more nuanced representation of exposure dynamics and supports more refined investigation of exposure–response relationships. These advances underscore the growing capacity of exposure modeling approaches to address the complexity of early-life agrochemical exposure in agricultural settings</w:t>
      </w:r>
      <w:r w:rsidR="00A60316">
        <w:fldChar w:fldCharType="begin"/>
      </w:r>
      <w:r w:rsidR="00271BC5">
        <w:instrText xml:space="preserve"> ADDIN ZOTERO_ITEM CSL_CITATION {"citationID":"4sxNT6Cg","properties":{"formattedCitation":"(Shekhar et al., 2024)","plainCitation":"(Shekhar et al., 2024)","noteIndex":0},"citationItems":[{"id":13293,"uris":["http://zotero.org/users/16652950/items/EWAJ2Q55"],"itemData":{"id":13293,"type":"article-journal","abstract":"Pesticides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A60316">
        <w:fldChar w:fldCharType="separate"/>
      </w:r>
      <w:r w:rsidR="00271BC5" w:rsidRPr="00271BC5">
        <w:t>(Shekhar et al., 2024)</w:t>
      </w:r>
      <w:r w:rsidR="00A60316">
        <w:fldChar w:fldCharType="end"/>
      </w:r>
      <w:r>
        <w:t>.</w:t>
      </w:r>
    </w:p>
    <w:p w14:paraId="5A906622" w14:textId="77777777" w:rsidR="005D4314" w:rsidRDefault="005D4314" w:rsidP="005D4314">
      <w:pPr>
        <w:pStyle w:val="3"/>
      </w:pPr>
      <w:r>
        <w:lastRenderedPageBreak/>
        <w:t>7. Predictive Modeling Approaches</w:t>
      </w:r>
    </w:p>
    <w:p w14:paraId="70AB1E3C" w14:textId="77777777" w:rsidR="00B32D1F" w:rsidRPr="00271BC5" w:rsidRDefault="00B32D1F" w:rsidP="00B32D1F">
      <w:pPr>
        <w:pStyle w:val="a3"/>
      </w:pPr>
      <w:r w:rsidRPr="00271BC5">
        <w:t>To address the methodological challenges inherent in assessing early-life agrochemical exposure and pediatric cancer risk, a range of predictive modeling approaches has been applied across epidemiologic and exposure science disciplines. These methods vary substantially in their capacity to resolve spatial and temporal heterogeneity, characterize chemical mixtures, support causal inference, and inform prevention-oriented decision making</w:t>
      </w:r>
      <w:r w:rsidR="00A60316">
        <w:fldChar w:fldCharType="begin"/>
      </w:r>
      <w:r w:rsidR="00271BC5">
        <w:instrText xml:space="preserve"> ADDIN ZOTERO_ITEM CSL_CITATION {"citationID":"QcqJ5n1B","properties":{"formattedCitation":"(Animashaun et al., 2025)","plainCitation":"(Animashaun et al., 2025)","noteIndex":0},"citationItems":[{"id":9014,"uris":["http://zotero.org/users/16652950/items/7R576SRT"],"itemData":{"id":9014,"type":"article-journal","container-title":"Journal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Stephen"}],"issued":{"date-parts":[["2025",9,22]]}}}],"schema":"https://github.com/citation-style-language/schema/raw/master/csl-citation.json"} </w:instrText>
      </w:r>
      <w:r w:rsidR="00A60316">
        <w:fldChar w:fldCharType="separate"/>
      </w:r>
      <w:r w:rsidR="00271BC5" w:rsidRPr="00271BC5">
        <w:t>(Animashaun et al., 2025)</w:t>
      </w:r>
      <w:r w:rsidR="00A60316">
        <w:fldChar w:fldCharType="end"/>
      </w:r>
      <w:r w:rsidRPr="00271BC5">
        <w:t xml:space="preserve">. </w:t>
      </w:r>
      <w:r w:rsidRPr="00271BC5">
        <w:rPr>
          <w:rStyle w:val="a4"/>
        </w:rPr>
        <w:t>Table 1 provides a comparative synthesis of the principal predictive modeling frameworks used in this field, highlighting their relative strengths, limitations, and relevance for pediatric cancer research in agricultural populations.</w:t>
      </w:r>
      <w:r w:rsidRPr="00271BC5">
        <w:t xml:space="preserve"> This structured comparison is intended to clarify the added value of emerging approaches and to identify methodological gaps that warrant further development.</w:t>
      </w:r>
    </w:p>
    <w:p w14:paraId="6FB3D59C" w14:textId="77777777" w:rsidR="008B6408" w:rsidRDefault="008B6408" w:rsidP="006C27AA">
      <w:pPr>
        <w:pStyle w:val="3"/>
      </w:pPr>
      <w:r>
        <w:rPr>
          <w:rStyle w:val="a4"/>
          <w:b/>
          <w:bCs/>
        </w:rPr>
        <w:t>Table 1. Strengths, Limitations, and Added Value of Predictive Modeling Approaches in Early-Life Agrochemical Exposure Research</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0"/>
        <w:gridCol w:w="1407"/>
        <w:gridCol w:w="1151"/>
        <w:gridCol w:w="1803"/>
        <w:gridCol w:w="1994"/>
        <w:gridCol w:w="1725"/>
      </w:tblGrid>
      <w:tr w:rsidR="008B6408" w14:paraId="6D0D9D1E" w14:textId="77777777" w:rsidTr="006C27AA">
        <w:trPr>
          <w:tblHeader/>
          <w:tblCellSpacing w:w="15" w:type="dxa"/>
        </w:trPr>
        <w:tc>
          <w:tcPr>
            <w:tcW w:w="0" w:type="auto"/>
            <w:vAlign w:val="center"/>
            <w:hideMark/>
          </w:tcPr>
          <w:p w14:paraId="6116BE93"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Modeling Approach</w:t>
            </w:r>
          </w:p>
        </w:tc>
        <w:tc>
          <w:tcPr>
            <w:tcW w:w="0" w:type="auto"/>
            <w:vAlign w:val="center"/>
            <w:hideMark/>
          </w:tcPr>
          <w:p w14:paraId="409A05D0"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Exposure Resolution (Spatial / Temporal)</w:t>
            </w:r>
          </w:p>
        </w:tc>
        <w:tc>
          <w:tcPr>
            <w:tcW w:w="0" w:type="auto"/>
            <w:vAlign w:val="center"/>
            <w:hideMark/>
          </w:tcPr>
          <w:p w14:paraId="6FDDD26D"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Ability to Address Mixtures</w:t>
            </w:r>
          </w:p>
        </w:tc>
        <w:tc>
          <w:tcPr>
            <w:tcW w:w="0" w:type="auto"/>
            <w:vAlign w:val="center"/>
            <w:hideMark/>
          </w:tcPr>
          <w:p w14:paraId="2BDEA5F2"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Key Strengths</w:t>
            </w:r>
          </w:p>
        </w:tc>
        <w:tc>
          <w:tcPr>
            <w:tcW w:w="0" w:type="auto"/>
            <w:vAlign w:val="center"/>
            <w:hideMark/>
          </w:tcPr>
          <w:p w14:paraId="1791029E"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Key Limitations</w:t>
            </w:r>
          </w:p>
        </w:tc>
        <w:tc>
          <w:tcPr>
            <w:tcW w:w="0" w:type="auto"/>
            <w:vAlign w:val="center"/>
            <w:hideMark/>
          </w:tcPr>
          <w:p w14:paraId="311E28BD" w14:textId="77777777"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Implications for Pediatric Cancer Research</w:t>
            </w:r>
          </w:p>
        </w:tc>
      </w:tr>
      <w:tr w:rsidR="008B6408" w14:paraId="4ABBAB9A" w14:textId="77777777" w:rsidTr="006C27AA">
        <w:trPr>
          <w:tblCellSpacing w:w="15" w:type="dxa"/>
        </w:trPr>
        <w:tc>
          <w:tcPr>
            <w:tcW w:w="0" w:type="auto"/>
            <w:vAlign w:val="center"/>
            <w:hideMark/>
          </w:tcPr>
          <w:p w14:paraId="3E518C86" w14:textId="77777777" w:rsidR="008B6408" w:rsidRPr="005F12C1" w:rsidRDefault="008B6408">
            <w:pPr>
              <w:rPr>
                <w:rFonts w:ascii="Times New Roman" w:hAnsi="Times New Roman" w:cs="Times New Roman"/>
              </w:rPr>
            </w:pPr>
            <w:r w:rsidRPr="005F12C1">
              <w:rPr>
                <w:rFonts w:ascii="Times New Roman" w:hAnsi="Times New Roman" w:cs="Times New Roman"/>
              </w:rPr>
              <w:t>Traditional regression models</w:t>
            </w:r>
          </w:p>
        </w:tc>
        <w:tc>
          <w:tcPr>
            <w:tcW w:w="0" w:type="auto"/>
            <w:vAlign w:val="center"/>
            <w:hideMark/>
          </w:tcPr>
          <w:p w14:paraId="5988B7A3" w14:textId="77777777" w:rsidR="008B6408" w:rsidRPr="005F12C1" w:rsidRDefault="008B6408">
            <w:pPr>
              <w:rPr>
                <w:rFonts w:ascii="Times New Roman" w:hAnsi="Times New Roman" w:cs="Times New Roman"/>
              </w:rPr>
            </w:pPr>
            <w:r w:rsidRPr="005F12C1">
              <w:rPr>
                <w:rFonts w:ascii="Times New Roman" w:hAnsi="Times New Roman" w:cs="Times New Roman"/>
              </w:rPr>
              <w:t>Low–Moderate</w:t>
            </w:r>
          </w:p>
        </w:tc>
        <w:tc>
          <w:tcPr>
            <w:tcW w:w="0" w:type="auto"/>
            <w:vAlign w:val="center"/>
            <w:hideMark/>
          </w:tcPr>
          <w:p w14:paraId="6CF9C293" w14:textId="77777777" w:rsidR="008B6408" w:rsidRPr="005F12C1" w:rsidRDefault="008B6408">
            <w:pPr>
              <w:rPr>
                <w:rFonts w:ascii="Times New Roman" w:hAnsi="Times New Roman" w:cs="Times New Roman"/>
              </w:rPr>
            </w:pPr>
            <w:r w:rsidRPr="005F12C1">
              <w:rPr>
                <w:rFonts w:ascii="Times New Roman" w:hAnsi="Times New Roman" w:cs="Times New Roman"/>
              </w:rPr>
              <w:t>Poor</w:t>
            </w:r>
          </w:p>
        </w:tc>
        <w:tc>
          <w:tcPr>
            <w:tcW w:w="0" w:type="auto"/>
            <w:vAlign w:val="center"/>
            <w:hideMark/>
          </w:tcPr>
          <w:p w14:paraId="44AA83DA" w14:textId="77777777" w:rsidR="008B6408" w:rsidRPr="005F12C1" w:rsidRDefault="008B6408">
            <w:pPr>
              <w:rPr>
                <w:rFonts w:ascii="Times New Roman" w:hAnsi="Times New Roman" w:cs="Times New Roman"/>
              </w:rPr>
            </w:pPr>
            <w:r w:rsidRPr="005F12C1">
              <w:rPr>
                <w:rFonts w:ascii="Times New Roman" w:hAnsi="Times New Roman" w:cs="Times New Roman"/>
              </w:rPr>
              <w:t>High interpretability; causal inference</w:t>
            </w:r>
          </w:p>
        </w:tc>
        <w:tc>
          <w:tcPr>
            <w:tcW w:w="0" w:type="auto"/>
            <w:vAlign w:val="center"/>
            <w:hideMark/>
          </w:tcPr>
          <w:p w14:paraId="5C91252D" w14:textId="77777777" w:rsidR="008B6408" w:rsidRPr="005F12C1" w:rsidRDefault="008B6408">
            <w:pPr>
              <w:rPr>
                <w:rFonts w:ascii="Times New Roman" w:hAnsi="Times New Roman" w:cs="Times New Roman"/>
              </w:rPr>
            </w:pPr>
            <w:r w:rsidRPr="005F12C1">
              <w:rPr>
                <w:rFonts w:ascii="Times New Roman" w:hAnsi="Times New Roman" w:cs="Times New Roman"/>
              </w:rPr>
              <w:t>Exposure misclassification; linear assumptions</w:t>
            </w:r>
          </w:p>
        </w:tc>
        <w:tc>
          <w:tcPr>
            <w:tcW w:w="0" w:type="auto"/>
            <w:vAlign w:val="center"/>
            <w:hideMark/>
          </w:tcPr>
          <w:p w14:paraId="474C072A" w14:textId="77777777" w:rsidR="008B6408" w:rsidRPr="005F12C1" w:rsidRDefault="008B6408">
            <w:pPr>
              <w:rPr>
                <w:rFonts w:ascii="Times New Roman" w:hAnsi="Times New Roman" w:cs="Times New Roman"/>
              </w:rPr>
            </w:pPr>
            <w:r w:rsidRPr="005F12C1">
              <w:rPr>
                <w:rFonts w:ascii="Times New Roman" w:hAnsi="Times New Roman" w:cs="Times New Roman"/>
              </w:rPr>
              <w:t>Useful for hypothesis testing but limited for complex exposures</w:t>
            </w:r>
          </w:p>
        </w:tc>
      </w:tr>
      <w:tr w:rsidR="008B6408" w14:paraId="4AC74480" w14:textId="77777777" w:rsidTr="006C27AA">
        <w:trPr>
          <w:tblCellSpacing w:w="15" w:type="dxa"/>
        </w:trPr>
        <w:tc>
          <w:tcPr>
            <w:tcW w:w="0" w:type="auto"/>
            <w:vAlign w:val="center"/>
            <w:hideMark/>
          </w:tcPr>
          <w:p w14:paraId="1CB30884" w14:textId="77777777" w:rsidR="008B6408" w:rsidRPr="005F12C1" w:rsidRDefault="008B6408">
            <w:pPr>
              <w:rPr>
                <w:rFonts w:ascii="Times New Roman" w:hAnsi="Times New Roman" w:cs="Times New Roman"/>
              </w:rPr>
            </w:pPr>
            <w:r w:rsidRPr="005F12C1">
              <w:rPr>
                <w:rFonts w:ascii="Times New Roman" w:hAnsi="Times New Roman" w:cs="Times New Roman"/>
              </w:rPr>
              <w:t>Bayesian hierarchical models</w:t>
            </w:r>
          </w:p>
        </w:tc>
        <w:tc>
          <w:tcPr>
            <w:tcW w:w="0" w:type="auto"/>
            <w:vAlign w:val="center"/>
            <w:hideMark/>
          </w:tcPr>
          <w:p w14:paraId="1B5A7411" w14:textId="77777777" w:rsidR="008B6408" w:rsidRPr="005F12C1" w:rsidRDefault="008B6408">
            <w:pPr>
              <w:rPr>
                <w:rFonts w:ascii="Times New Roman" w:hAnsi="Times New Roman" w:cs="Times New Roman"/>
              </w:rPr>
            </w:pPr>
            <w:r w:rsidRPr="005F12C1">
              <w:rPr>
                <w:rFonts w:ascii="Times New Roman" w:hAnsi="Times New Roman" w:cs="Times New Roman"/>
              </w:rPr>
              <w:t>Moderate–High</w:t>
            </w:r>
          </w:p>
        </w:tc>
        <w:tc>
          <w:tcPr>
            <w:tcW w:w="0" w:type="auto"/>
            <w:vAlign w:val="center"/>
            <w:hideMark/>
          </w:tcPr>
          <w:p w14:paraId="782367EB" w14:textId="77777777" w:rsidR="008B6408" w:rsidRPr="005F12C1" w:rsidRDefault="008B6408">
            <w:pPr>
              <w:rPr>
                <w:rFonts w:ascii="Times New Roman" w:hAnsi="Times New Roman" w:cs="Times New Roman"/>
              </w:rPr>
            </w:pPr>
            <w:r w:rsidRPr="005F12C1">
              <w:rPr>
                <w:rFonts w:ascii="Times New Roman" w:hAnsi="Times New Roman" w:cs="Times New Roman"/>
              </w:rPr>
              <w:t>Moderate</w:t>
            </w:r>
          </w:p>
        </w:tc>
        <w:tc>
          <w:tcPr>
            <w:tcW w:w="0" w:type="auto"/>
            <w:vAlign w:val="center"/>
            <w:hideMark/>
          </w:tcPr>
          <w:p w14:paraId="0156A7F9" w14:textId="77777777" w:rsidR="008B6408" w:rsidRPr="005F12C1" w:rsidRDefault="008B6408">
            <w:pPr>
              <w:rPr>
                <w:rFonts w:ascii="Times New Roman" w:hAnsi="Times New Roman" w:cs="Times New Roman"/>
              </w:rPr>
            </w:pPr>
            <w:r w:rsidRPr="005F12C1">
              <w:rPr>
                <w:rFonts w:ascii="Times New Roman" w:hAnsi="Times New Roman" w:cs="Times New Roman"/>
              </w:rPr>
              <w:t>Handles sparse data; integrates uncertainty</w:t>
            </w:r>
          </w:p>
        </w:tc>
        <w:tc>
          <w:tcPr>
            <w:tcW w:w="0" w:type="auto"/>
            <w:vAlign w:val="center"/>
            <w:hideMark/>
          </w:tcPr>
          <w:p w14:paraId="7476A9D6" w14:textId="77777777" w:rsidR="008B6408" w:rsidRPr="005F12C1" w:rsidRDefault="008B6408">
            <w:pPr>
              <w:rPr>
                <w:rFonts w:ascii="Times New Roman" w:hAnsi="Times New Roman" w:cs="Times New Roman"/>
              </w:rPr>
            </w:pPr>
            <w:r w:rsidRPr="005F12C1">
              <w:rPr>
                <w:rFonts w:ascii="Times New Roman" w:hAnsi="Times New Roman" w:cs="Times New Roman"/>
              </w:rPr>
              <w:t>Computationally intensive; requires priors</w:t>
            </w:r>
          </w:p>
        </w:tc>
        <w:tc>
          <w:tcPr>
            <w:tcW w:w="0" w:type="auto"/>
            <w:vAlign w:val="center"/>
            <w:hideMark/>
          </w:tcPr>
          <w:p w14:paraId="075E614C" w14:textId="77777777" w:rsidR="008B6408" w:rsidRPr="005F12C1" w:rsidRDefault="008B6408">
            <w:pPr>
              <w:rPr>
                <w:rFonts w:ascii="Times New Roman" w:hAnsi="Times New Roman" w:cs="Times New Roman"/>
              </w:rPr>
            </w:pPr>
            <w:r w:rsidRPr="005F12C1">
              <w:rPr>
                <w:rFonts w:ascii="Times New Roman" w:hAnsi="Times New Roman" w:cs="Times New Roman"/>
              </w:rPr>
              <w:t>Suitable for rare pediatric cancers</w:t>
            </w:r>
          </w:p>
        </w:tc>
      </w:tr>
      <w:tr w:rsidR="008B6408" w14:paraId="13805D35" w14:textId="77777777" w:rsidTr="006C27AA">
        <w:trPr>
          <w:tblCellSpacing w:w="15" w:type="dxa"/>
        </w:trPr>
        <w:tc>
          <w:tcPr>
            <w:tcW w:w="0" w:type="auto"/>
            <w:vAlign w:val="center"/>
            <w:hideMark/>
          </w:tcPr>
          <w:p w14:paraId="599BBC90" w14:textId="77777777" w:rsidR="008B6408" w:rsidRPr="005F12C1" w:rsidRDefault="008B6408">
            <w:pPr>
              <w:rPr>
                <w:rFonts w:ascii="Times New Roman" w:hAnsi="Times New Roman" w:cs="Times New Roman"/>
              </w:rPr>
            </w:pPr>
            <w:r w:rsidRPr="005F12C1">
              <w:rPr>
                <w:rFonts w:ascii="Times New Roman" w:hAnsi="Times New Roman" w:cs="Times New Roman"/>
              </w:rPr>
              <w:t>GIS-based spatial models</w:t>
            </w:r>
          </w:p>
        </w:tc>
        <w:tc>
          <w:tcPr>
            <w:tcW w:w="0" w:type="auto"/>
            <w:vAlign w:val="center"/>
            <w:hideMark/>
          </w:tcPr>
          <w:p w14:paraId="469DC6E4" w14:textId="77777777" w:rsidR="008B6408" w:rsidRPr="005F12C1" w:rsidRDefault="008B6408">
            <w:pPr>
              <w:rPr>
                <w:rFonts w:ascii="Times New Roman" w:hAnsi="Times New Roman" w:cs="Times New Roman"/>
              </w:rPr>
            </w:pPr>
            <w:r w:rsidRPr="005F12C1">
              <w:rPr>
                <w:rFonts w:ascii="Times New Roman" w:hAnsi="Times New Roman" w:cs="Times New Roman"/>
              </w:rPr>
              <w:t>High spatial, moderate temporal</w:t>
            </w:r>
          </w:p>
        </w:tc>
        <w:tc>
          <w:tcPr>
            <w:tcW w:w="0" w:type="auto"/>
            <w:vAlign w:val="center"/>
            <w:hideMark/>
          </w:tcPr>
          <w:p w14:paraId="2DE3E5DB" w14:textId="77777777" w:rsidR="008B6408" w:rsidRPr="005F12C1" w:rsidRDefault="008B6408">
            <w:pPr>
              <w:rPr>
                <w:rFonts w:ascii="Times New Roman" w:hAnsi="Times New Roman" w:cs="Times New Roman"/>
              </w:rPr>
            </w:pPr>
            <w:r w:rsidRPr="005F12C1">
              <w:rPr>
                <w:rFonts w:ascii="Times New Roman" w:hAnsi="Times New Roman" w:cs="Times New Roman"/>
              </w:rPr>
              <w:t>Poor–Moderate</w:t>
            </w:r>
          </w:p>
        </w:tc>
        <w:tc>
          <w:tcPr>
            <w:tcW w:w="0" w:type="auto"/>
            <w:vAlign w:val="center"/>
            <w:hideMark/>
          </w:tcPr>
          <w:p w14:paraId="1AF5D1E9" w14:textId="77777777" w:rsidR="008B6408" w:rsidRPr="005F12C1" w:rsidRDefault="008B6408">
            <w:pPr>
              <w:rPr>
                <w:rFonts w:ascii="Times New Roman" w:hAnsi="Times New Roman" w:cs="Times New Roman"/>
              </w:rPr>
            </w:pPr>
            <w:r w:rsidRPr="005F12C1">
              <w:rPr>
                <w:rFonts w:ascii="Times New Roman" w:hAnsi="Times New Roman" w:cs="Times New Roman"/>
              </w:rPr>
              <w:t>Improves exposure estimation; policy relevance</w:t>
            </w:r>
          </w:p>
        </w:tc>
        <w:tc>
          <w:tcPr>
            <w:tcW w:w="0" w:type="auto"/>
            <w:vAlign w:val="center"/>
            <w:hideMark/>
          </w:tcPr>
          <w:p w14:paraId="638298D5" w14:textId="77777777" w:rsidR="008B6408" w:rsidRPr="005F12C1" w:rsidRDefault="008B6408">
            <w:pPr>
              <w:rPr>
                <w:rFonts w:ascii="Times New Roman" w:hAnsi="Times New Roman" w:cs="Times New Roman"/>
              </w:rPr>
            </w:pPr>
            <w:r w:rsidRPr="005F12C1">
              <w:rPr>
                <w:rFonts w:ascii="Times New Roman" w:hAnsi="Times New Roman" w:cs="Times New Roman"/>
              </w:rPr>
              <w:t>Limited biological integration</w:t>
            </w:r>
          </w:p>
        </w:tc>
        <w:tc>
          <w:tcPr>
            <w:tcW w:w="0" w:type="auto"/>
            <w:vAlign w:val="center"/>
            <w:hideMark/>
          </w:tcPr>
          <w:p w14:paraId="242DFE45" w14:textId="77777777" w:rsidR="008B6408" w:rsidRPr="005F12C1" w:rsidRDefault="008B6408">
            <w:pPr>
              <w:rPr>
                <w:rFonts w:ascii="Times New Roman" w:hAnsi="Times New Roman" w:cs="Times New Roman"/>
              </w:rPr>
            </w:pPr>
            <w:r w:rsidRPr="005F12C1">
              <w:rPr>
                <w:rFonts w:ascii="Times New Roman" w:hAnsi="Times New Roman" w:cs="Times New Roman"/>
              </w:rPr>
              <w:t>Strong for identifying high-risk communities</w:t>
            </w:r>
          </w:p>
        </w:tc>
      </w:tr>
      <w:tr w:rsidR="008B6408" w14:paraId="25772618" w14:textId="77777777" w:rsidTr="006C27AA">
        <w:trPr>
          <w:tblCellSpacing w:w="15" w:type="dxa"/>
        </w:trPr>
        <w:tc>
          <w:tcPr>
            <w:tcW w:w="0" w:type="auto"/>
            <w:vAlign w:val="center"/>
            <w:hideMark/>
          </w:tcPr>
          <w:p w14:paraId="3E848050" w14:textId="77777777" w:rsidR="008B6408" w:rsidRPr="005F12C1" w:rsidRDefault="008B6408">
            <w:pPr>
              <w:rPr>
                <w:rFonts w:ascii="Times New Roman" w:hAnsi="Times New Roman" w:cs="Times New Roman"/>
              </w:rPr>
            </w:pPr>
            <w:r w:rsidRPr="005F12C1">
              <w:rPr>
                <w:rFonts w:ascii="Times New Roman" w:hAnsi="Times New Roman" w:cs="Times New Roman"/>
              </w:rPr>
              <w:t>Machine learning models</w:t>
            </w:r>
          </w:p>
        </w:tc>
        <w:tc>
          <w:tcPr>
            <w:tcW w:w="0" w:type="auto"/>
            <w:vAlign w:val="center"/>
            <w:hideMark/>
          </w:tcPr>
          <w:p w14:paraId="7C3B5087"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0A8D5896"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6B8C2A9C" w14:textId="77777777" w:rsidR="008B6408" w:rsidRPr="005F12C1" w:rsidRDefault="008B6408">
            <w:pPr>
              <w:rPr>
                <w:rFonts w:ascii="Times New Roman" w:hAnsi="Times New Roman" w:cs="Times New Roman"/>
              </w:rPr>
            </w:pPr>
            <w:r w:rsidRPr="005F12C1">
              <w:rPr>
                <w:rFonts w:ascii="Times New Roman" w:hAnsi="Times New Roman" w:cs="Times New Roman"/>
              </w:rPr>
              <w:t>Captures non-linearity and interactions</w:t>
            </w:r>
          </w:p>
        </w:tc>
        <w:tc>
          <w:tcPr>
            <w:tcW w:w="0" w:type="auto"/>
            <w:vAlign w:val="center"/>
            <w:hideMark/>
          </w:tcPr>
          <w:p w14:paraId="7B4BA4BE" w14:textId="77777777" w:rsidR="008B6408" w:rsidRPr="005F12C1" w:rsidRDefault="008B6408">
            <w:pPr>
              <w:rPr>
                <w:rFonts w:ascii="Times New Roman" w:hAnsi="Times New Roman" w:cs="Times New Roman"/>
              </w:rPr>
            </w:pPr>
            <w:r w:rsidRPr="005F12C1">
              <w:rPr>
                <w:rFonts w:ascii="Times New Roman" w:hAnsi="Times New Roman" w:cs="Times New Roman"/>
              </w:rPr>
              <w:t>Limited interpretability</w:t>
            </w:r>
          </w:p>
        </w:tc>
        <w:tc>
          <w:tcPr>
            <w:tcW w:w="0" w:type="auto"/>
            <w:vAlign w:val="center"/>
            <w:hideMark/>
          </w:tcPr>
          <w:p w14:paraId="1FFC19D1" w14:textId="77777777" w:rsidR="008B6408" w:rsidRPr="005F12C1" w:rsidRDefault="008B6408">
            <w:pPr>
              <w:rPr>
                <w:rFonts w:ascii="Times New Roman" w:hAnsi="Times New Roman" w:cs="Times New Roman"/>
              </w:rPr>
            </w:pPr>
            <w:r w:rsidRPr="005F12C1">
              <w:rPr>
                <w:rFonts w:ascii="Times New Roman" w:hAnsi="Times New Roman" w:cs="Times New Roman"/>
              </w:rPr>
              <w:t>Strong for risk stratification, weaker for causality</w:t>
            </w:r>
          </w:p>
        </w:tc>
      </w:tr>
      <w:tr w:rsidR="008B6408" w14:paraId="1DE880DD" w14:textId="77777777" w:rsidTr="006C27AA">
        <w:trPr>
          <w:tblCellSpacing w:w="15" w:type="dxa"/>
        </w:trPr>
        <w:tc>
          <w:tcPr>
            <w:tcW w:w="0" w:type="auto"/>
            <w:vAlign w:val="center"/>
            <w:hideMark/>
          </w:tcPr>
          <w:p w14:paraId="66FD1EEA" w14:textId="77777777" w:rsidR="008B6408" w:rsidRPr="005F12C1" w:rsidRDefault="008B6408">
            <w:pPr>
              <w:rPr>
                <w:rFonts w:ascii="Times New Roman" w:hAnsi="Times New Roman" w:cs="Times New Roman"/>
              </w:rPr>
            </w:pPr>
            <w:r w:rsidRPr="005F12C1">
              <w:rPr>
                <w:rFonts w:ascii="Times New Roman" w:hAnsi="Times New Roman" w:cs="Times New Roman"/>
              </w:rPr>
              <w:lastRenderedPageBreak/>
              <w:t>Hybrid causal–predictive models</w:t>
            </w:r>
          </w:p>
        </w:tc>
        <w:tc>
          <w:tcPr>
            <w:tcW w:w="0" w:type="auto"/>
            <w:vAlign w:val="center"/>
            <w:hideMark/>
          </w:tcPr>
          <w:p w14:paraId="1797D9B1"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3787173F" w14:textId="77777777"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14:paraId="54938B5A" w14:textId="77777777" w:rsidR="008B6408" w:rsidRPr="005F12C1" w:rsidRDefault="008B6408">
            <w:pPr>
              <w:rPr>
                <w:rFonts w:ascii="Times New Roman" w:hAnsi="Times New Roman" w:cs="Times New Roman"/>
              </w:rPr>
            </w:pPr>
            <w:r w:rsidRPr="005F12C1">
              <w:rPr>
                <w:rFonts w:ascii="Times New Roman" w:hAnsi="Times New Roman" w:cs="Times New Roman"/>
              </w:rPr>
              <w:t>Balances prediction and inference</w:t>
            </w:r>
          </w:p>
        </w:tc>
        <w:tc>
          <w:tcPr>
            <w:tcW w:w="0" w:type="auto"/>
            <w:vAlign w:val="center"/>
            <w:hideMark/>
          </w:tcPr>
          <w:p w14:paraId="3B55CFC4" w14:textId="77777777" w:rsidR="008B6408" w:rsidRPr="005F12C1" w:rsidRDefault="008B6408">
            <w:pPr>
              <w:rPr>
                <w:rFonts w:ascii="Times New Roman" w:hAnsi="Times New Roman" w:cs="Times New Roman"/>
              </w:rPr>
            </w:pPr>
            <w:r w:rsidRPr="005F12C1">
              <w:rPr>
                <w:rFonts w:ascii="Times New Roman" w:hAnsi="Times New Roman" w:cs="Times New Roman"/>
              </w:rPr>
              <w:t>Methodologically complex</w:t>
            </w:r>
          </w:p>
        </w:tc>
        <w:tc>
          <w:tcPr>
            <w:tcW w:w="0" w:type="auto"/>
            <w:vAlign w:val="center"/>
            <w:hideMark/>
          </w:tcPr>
          <w:p w14:paraId="66106466" w14:textId="77777777" w:rsidR="008B6408" w:rsidRPr="005F12C1" w:rsidRDefault="008B6408">
            <w:pPr>
              <w:rPr>
                <w:rFonts w:ascii="Times New Roman" w:hAnsi="Times New Roman" w:cs="Times New Roman"/>
              </w:rPr>
            </w:pPr>
            <w:r w:rsidRPr="005F12C1">
              <w:rPr>
                <w:rFonts w:ascii="Times New Roman" w:hAnsi="Times New Roman" w:cs="Times New Roman"/>
              </w:rPr>
              <w:t>High future potential for prevention strategies</w:t>
            </w:r>
          </w:p>
        </w:tc>
      </w:tr>
    </w:tbl>
    <w:p w14:paraId="7BA44FA9" w14:textId="77777777" w:rsidR="005D4314" w:rsidRDefault="005D4314" w:rsidP="005D4314">
      <w:pPr>
        <w:pStyle w:val="4"/>
      </w:pPr>
      <w:r>
        <w:t>7.1 Statistical Models</w:t>
      </w:r>
    </w:p>
    <w:p w14:paraId="6990FB21" w14:textId="77777777" w:rsidR="005D4314" w:rsidRDefault="005D4314" w:rsidP="005D4314">
      <w:pPr>
        <w:pStyle w:val="a3"/>
      </w:pPr>
      <w:r>
        <w:t>Conventional statistical models have long served as the foundation for evaluating associations between agrochemical exposure and pediatric cancer risk. Logistic regression remains the most commonly applied approach in case–control studies, enabling estimation of odds ratios while adjusting for measured confounders. Cox proportional hazards models are similarly used in cohort designs to account for time-to-event outcomes and varying follow-up periods. These models offer transparency and interpretability, allowing investigators to directly assess exposure–response relationships and test a priori hypotheses</w:t>
      </w:r>
      <w:r w:rsidR="00A60316">
        <w:fldChar w:fldCharType="begin"/>
      </w:r>
      <w:r w:rsidR="00271BC5">
        <w:instrText xml:space="preserve"> ADDIN ZOTERO_ITEM CSL_CITATION {"citationID":"ZDDLX8M6","properties":{"formattedCitation":"(Taiba et al., 2025)","plainCitation":"(Taiba et al., 2025)","noteIndex":0},"citationItems":[{"id":13367,"uris":["http://zotero.org/users/16652950/items/A448IQFC"],"itemData":{"id":13367,"type":"article-journal","abstract":"Nebraska's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rsidR="00A60316">
        <w:fldChar w:fldCharType="separate"/>
      </w:r>
      <w:r w:rsidR="00271BC5" w:rsidRPr="00271BC5">
        <w:t>(Taiba et al., 2025)</w:t>
      </w:r>
      <w:r w:rsidR="00A60316">
        <w:fldChar w:fldCharType="end"/>
      </w:r>
      <w:r>
        <w:t>.</w:t>
      </w:r>
    </w:p>
    <w:p w14:paraId="79FF2130" w14:textId="77777777" w:rsidR="005D4314" w:rsidRDefault="005D4314" w:rsidP="005D4314">
      <w:pPr>
        <w:pStyle w:val="a3"/>
      </w:pPr>
      <w:r>
        <w:t>Bayesian hierarchical models represent an important extension of traditional regression frameworks, particularly in settings characterized by sparse data, multiple exposure metrics, or hierarchical data structures. By borrowing strength across related parameters and incorporating prior information, Bayesian approaches can improve estimation stability and facilitate joint modeling of spatial, temporal, and individual-level variability. Such models are especially valuable for pediatric cancer research, where outcomes are rare and exposure patterns are heterogeneous across geographic regions and time</w:t>
      </w:r>
      <w:r w:rsidR="00A60316">
        <w:fldChar w:fldCharType="begin"/>
      </w:r>
      <w:r w:rsidR="00271BC5">
        <w:instrText xml:space="preserve"> ADDIN ZOTERO_ITEM CSL_CITATION {"citationID":"Kw8KwC6v","properties":{"formattedCitation":"(Parsons et al., 2022)","plainCitation":"(Parsons et al., 2022)","noteIndex":0},"citationItems":[{"id":13391,"uris":["http://zotero.org/users/16652950/items/Z3YZJ3LA"],"itemData":{"id":13391,"type":"article-journal","abstract":"To combat the HIV/AIDS pandemic effectively, targeted interventions among certain key populations play a critical role. Examples of such key populations include sex workers, people who inject drugs, and men who have sex with men. While having accurate estimates for the size of these key populations is important, any attempt to directly contact or count members of these populations is difficult. As a result, indirect methods are used to produce size estimates. Multiple approaches for estimating the size of such populations have been suggested but often give conflicting results. It is, therefore, necessary to have a principled way to combine and reconcile these estimates. To this end, we present a Bayesian hierarchical model for estimating the size of key populations that combines multiple estimates from different sources of information. The proposed model makes use of multiple years of data and explicitly models the systematic error in the data sources used. We use the model to estimate the size of people who inject drugs in Ukraine. We evaluate the appropriateness of the model and compare the contribution of each data source to the final estimates.","container-title":"The annals of applied statistics","DOI":"10.1214/21-AOAS1556","ISSN":"1932-6157","issue":"3","journalAbbreviation":"Ann Appl Stat","note":"PMID: 37131525\nPMCID: PMC10150643","page":"1550-1562","source":"PubMed Central","title":"A BAYESIAN HIERARCHICAL MODEL FOR COMBINING MULTIPLE DATA SOURCES IN POPULATION SIZE ESTIMATION","volume":"16","author":[{"family":"Parsons","given":"Jacob"},{"family":"Niu","given":"Xiaoyue"},{"family":"Bao","given":"Le"}],"issued":{"date-parts":[["2022",9]]}}}],"schema":"https://github.com/citation-style-language/schema/raw/master/csl-citation.json"} </w:instrText>
      </w:r>
      <w:r w:rsidR="00A60316">
        <w:fldChar w:fldCharType="separate"/>
      </w:r>
      <w:r w:rsidR="00271BC5" w:rsidRPr="00271BC5">
        <w:t>(Parsons et al., 2022)</w:t>
      </w:r>
      <w:r w:rsidR="00A60316">
        <w:fldChar w:fldCharType="end"/>
      </w:r>
      <w:r>
        <w:t>.</w:t>
      </w:r>
    </w:p>
    <w:p w14:paraId="4BA92679" w14:textId="77777777" w:rsidR="005D4314" w:rsidRDefault="005D4314" w:rsidP="005D4314">
      <w:pPr>
        <w:pStyle w:val="4"/>
      </w:pPr>
      <w:r>
        <w:t>7.2 Machine Learning and Data-Driven Models</w:t>
      </w:r>
    </w:p>
    <w:p w14:paraId="3335C97F" w14:textId="77777777" w:rsidR="005D4314" w:rsidRDefault="005D4314" w:rsidP="005D4314">
      <w:pPr>
        <w:pStyle w:val="a3"/>
      </w:pPr>
      <w:r>
        <w:t>In recent years, machine learning and other data-driven modeling approaches have been increasingly applied to environmental health research to address complex, high-dimensional data structures</w:t>
      </w:r>
      <w:r w:rsidR="00A60316">
        <w:fldChar w:fldCharType="begin"/>
      </w:r>
      <w:r w:rsidR="00271BC5">
        <w:instrText xml:space="preserve"> ADDIN ZOTERO_ITEM CSL_CITATION {"citationID":"jAy6oCgW","properties":{"formattedCitation":"(Lawal, Igwe, et al., 2025)","plainCitation":"(Lawal, Igwe, et al., 2025)","noteIndex":0},"citationItems":[{"id":3122,"uris":["http://zotero.org/users/16652950/items/3RZR4GGY"],"itemData":{"id":3122,"type":"article-journal","abstract":"The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A60316">
        <w:fldChar w:fldCharType="separate"/>
      </w:r>
      <w:r w:rsidR="00271BC5" w:rsidRPr="00271BC5">
        <w:t>(Lawal, Igwe, et al., 2025)</w:t>
      </w:r>
      <w:r w:rsidR="00A60316">
        <w:fldChar w:fldCharType="end"/>
      </w:r>
      <w:r>
        <w:t>. Tree-based methods, including random forests and gradient boosting algorithms, are well suited to capturing non-linear relationships and interactions among multiple agrochemical exposures and contextual variables without requiring explicit model specification. These approaches have demonstrated improved predictive performance in settings involving chemical mixtures and spatially resolved exposure data</w:t>
      </w:r>
      <w:r w:rsidR="00A60316">
        <w:fldChar w:fldCharType="begin"/>
      </w:r>
      <w:r w:rsidR="00271BC5">
        <w:instrText xml:space="preserve"> ADDIN ZOTERO_ITEM CSL_CITATION {"citationID":"MkSjTTeQ","properties":{"formattedCitation":"(Malashin et al., 2025)","plainCitation":"(Malashin et al., 2025)","noteIndex":0},"citationItems":[{"id":13394,"uris":["http://zotero.org/users/16652950/items/H6ACTG4T"],"itemData":{"id":13394,"type":"article-journal","abstract":"The increasing complexity of polymer systems in both experimental and computational studies has led to an expanding interest in machine learning (ML) ...","container-title":"Polymers","DOI":"10.3390/polym17040499","ISSN":"2073-4360","issue":"4","language":"en","license":"http://creativecommons.org/licenses/by/3.0/","note":"Company: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publisher","source":"www.mdpi.com","title":"Boosting-Based Machine Learning Applications in Polymer Science: A Review","title-short":"Boosting-Based Machine Learning Applications in Polymer Science","URL":"https://www.mdpi.com/2073-4360/17/4/499","volume":"17","author":[{"family":"Malashin","given":"Ivan"},{"family":"Tynchenko","given":"Vadim"},{"family":"Gantimurov","given":"Andrei"},{"family":"Nelyub","given":"Vladimir"},{"family":"Borodulin","given":"Aleksei"},{"family":"Malashin","given":"Ivan"},{"family":"Tynchenko","given":"Vadim"},{"family":"Gantimurov","given":"Andrei"},{"family":"Nelyub","given":"Vladimir"},{"family":"Borodulin","given":"Aleksei"}],"accessed":{"date-parts":[["2026",1,15]]},"issued":{"date-parts":[["2025",2,13]]}}}],"schema":"https://github.com/citation-style-language/schema/raw/master/csl-citation.json"} </w:instrText>
      </w:r>
      <w:r w:rsidR="00A60316">
        <w:fldChar w:fldCharType="separate"/>
      </w:r>
      <w:r w:rsidR="00271BC5" w:rsidRPr="00271BC5">
        <w:t>(Malashin et al., 2025)</w:t>
      </w:r>
      <w:r w:rsidR="00A60316">
        <w:fldChar w:fldCharType="end"/>
      </w:r>
      <w:r>
        <w:t>.</w:t>
      </w:r>
    </w:p>
    <w:p w14:paraId="317FE94D" w14:textId="77777777" w:rsidR="005D4314" w:rsidRDefault="005D4314" w:rsidP="005D4314">
      <w:pPr>
        <w:pStyle w:val="a3"/>
      </w:pPr>
      <w:r>
        <w:t>Neural networks and ensemble models further extend predictive capacity by integrating diverse data sources, such as GIS-derived exposure estimates, demographic variables, and environmental covariates. Ensemble approaches that combine multiple modeling techniques can enhance robustness and reduce overfitting, particularly when validated using independent data. However, the application of these methods in pediatric cancer research remains relatively limited, and their added value over traditional models depends on careful implementation and validation.</w:t>
      </w:r>
    </w:p>
    <w:p w14:paraId="1325F27C" w14:textId="77777777" w:rsidR="005D4314" w:rsidRDefault="005D4314" w:rsidP="005D4314">
      <w:pPr>
        <w:pStyle w:val="4"/>
      </w:pPr>
      <w:r>
        <w:lastRenderedPageBreak/>
        <w:t>7.3 Model Performance and Interpretability</w:t>
      </w:r>
    </w:p>
    <w:p w14:paraId="31D44BC6" w14:textId="77777777" w:rsidR="005D4314" w:rsidRDefault="005D4314" w:rsidP="005D4314">
      <w:pPr>
        <w:pStyle w:val="a3"/>
      </w:pPr>
      <w:r>
        <w:t>A central methodological tension in predictive modeling lies in balancing predictive accuracy with interpretability and causal inference. While machine learning models often achieve superior discrimination and classification performance, their complexity can obscure underlying exposure–disease relationships, limiting their utility for etiologic interpretation and policy translation. In contrast, traditional statistical models offer clearer inferential pathways but may inadequately capture complex, non-linear exposure dynamics.</w:t>
      </w:r>
      <w:r w:rsidR="00A60316">
        <w:fldChar w:fldCharType="begin"/>
      </w:r>
      <w:r w:rsidR="00271BC5">
        <w:instrText xml:space="preserve"> ADDIN ZOTERO_ITEM CSL_CITATION {"citationID":"MKZH4eTD","properties":{"formattedCitation":"(Lawal, Adedayo, et al., 2025; Zhao et al., 2024)","plainCitation":"(Lawal, Adedayo, et al., 2025; Zhao et al., 2024)","noteIndex":0},"citationItems":[{"id":3602,"uris":["http://zotero.org/users/16652950/items/ZY4XC6G8"],"itemData":{"id":3602,"type":"article-journal","abstract":"Tuberculosis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M."}],"issued":{"date-parts":[["2025",5,20]]}}},{"id":2003,"uris":["http://zotero.org/users/16652950/items/MDSDWTIM"],"itemData":{"id":2003,"type":"article-journal","abstract":"The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0316">
        <w:fldChar w:fldCharType="separate"/>
      </w:r>
      <w:r w:rsidR="00271BC5" w:rsidRPr="00271BC5">
        <w:t>(Lawal, Adedayo, et al., 2025; Zhao et al., 2024)</w:t>
      </w:r>
      <w:r w:rsidR="00A60316">
        <w:fldChar w:fldCharType="end"/>
      </w:r>
    </w:p>
    <w:p w14:paraId="386BC4C5" w14:textId="77777777" w:rsidR="005D4314" w:rsidRDefault="005D4314" w:rsidP="005D4314">
      <w:pPr>
        <w:pStyle w:val="a3"/>
      </w:pPr>
      <w:r>
        <w:t>To address this challenge, explainable artificial intelligence approaches have been introduced to enhance transparency in data-driven models. Techniques such as variable importance measures and SHAP values enable identification of influential predictors and characterization of their contributions to model output. When applied judiciously, these tools can improve interpretability without sacrificing predictive performance, supporting the integration of predictive modeling into environmental cancer research while maintaining relevance for causal reasoning and public health decision-making</w:t>
      </w:r>
      <w:r w:rsidR="00A60316">
        <w:fldChar w:fldCharType="begin"/>
      </w:r>
      <w:r w:rsidR="00271BC5">
        <w:instrText xml:space="preserve"> ADDIN ZOTERO_ITEM CSL_CITATION {"citationID":"t3g7ofT8","properties":{"formattedCitation":"(Ma et al., 2025)","plainCitation":"(Ma et al., 2025)","noteIndex":0},"citationItems":[{"id":13396,"uris":["http://zotero.org/users/16652950/items/IDLCGQDN"],"itemData":{"id":13396,"type":"article-journal","abstract":"Sports injury prediction is crucial for university football player health, yet existing research predominantly focuses on professional athletes and lacks interpretability. Using the Kaggle ”University Football Injury Prediction Dataset” (800 Chinese university players), we constructed a comprehensive 18-feature evaluation system across four dimensions: basic information, training factors, physical fitness, and lifestyle habits. We systematically compared 10 machine learning algorithms. The Support Vector Machine achieved optimal performance (95.6% accuracy, 95.7% F1-score, 99.2% ROC-AUC). SHAP interpretability analysis identified stress level (importance: 0.10), sleep duration (0.09), and balance ability (0.08) as key injury risk factors, with psychological stress showing positive correlation and adequate sleep/balance showing protective effects. Notably, lifestyle factors outweighed traditional physical fitness indicators in importance. Despite promising results, this study’s single-dataset design and lack of external validation limit generalizability. Prospective validation is essential before clinical deployment. This work demonstrates the feasibility of interpretable injury risk prediction for university athletes, providing a foundation for evidence-based prevention strategies.","container-title":"Scientific Reports","DOI":"10.1038/s41598-025-24144-y","ISSN":"2045-2322","issue":"1","journalAbbreviation":"Sci Rep","language":"en","license":"2025 The Author(s)","note":"publisher: Nature Publishing Group","page":"40252","source":"www.nature.com","title":"SHAP-based interpretable machine learning for injury risk prediction in university football players: a multi-dimensional data analysis approach","title-short":"SHAP-based interpretable machine learning for injury risk prediction in university football players","volume":"15","author":[{"family":"Ma","given":"Jiacheng"},{"family":"Liu","given":"Shengrui"},{"family":"Pei","given":"Yuting"}],"issued":{"date-parts":[["2025",11,17]]}}}],"schema":"https://github.com/citation-style-language/schema/raw/master/csl-citation.json"} </w:instrText>
      </w:r>
      <w:r w:rsidR="00A60316">
        <w:fldChar w:fldCharType="separate"/>
      </w:r>
      <w:r w:rsidR="00271BC5" w:rsidRPr="00271BC5">
        <w:t>(Ma et al., 2025)</w:t>
      </w:r>
      <w:r w:rsidR="00A60316">
        <w:fldChar w:fldCharType="end"/>
      </w:r>
      <w:r>
        <w:t>.</w:t>
      </w:r>
    </w:p>
    <w:p w14:paraId="19688B3E" w14:textId="77777777" w:rsidR="005D4314" w:rsidRDefault="005D4314" w:rsidP="005D4314">
      <w:pPr>
        <w:pStyle w:val="3"/>
      </w:pPr>
      <w:r>
        <w:t>8. Biological Plausibility and Mechanistic Evidence</w:t>
      </w:r>
    </w:p>
    <w:p w14:paraId="5AB27C8C" w14:textId="77777777" w:rsidR="005D4314" w:rsidRDefault="005D4314" w:rsidP="005D4314">
      <w:pPr>
        <w:pStyle w:val="a3"/>
      </w:pPr>
      <w:r>
        <w:t>The epidemiologic associations observed between early-life agrochemical exposure and pediatric cancer risk are supported by a growing body of mechanistic evidence demonstrating biologically plausible pathways through which these exposures may contribute to carcinogenesis. Many agrochemicals used in agricultural settings possess properties capable of disrupting fundamental cellular and developmental processes, particularly when exposure occurs during sensitive periods of growth</w:t>
      </w:r>
      <w:r w:rsidR="00A60316">
        <w:fldChar w:fldCharType="begin"/>
      </w:r>
      <w:r w:rsidR="00CD2CA2">
        <w:instrText xml:space="preserve"> ADDIN ZOTERO_ITEM CSL_CITATION {"citationID":"qVlmRL1p","properties":{"formattedCitation":"(Karalexi et al., 2021a)","plainCitation":"(Karalexi et al., 2021a)","noteIndex":0},"citationItems":[{"id":13398,"uris":["http://zotero.org/users/16652950/items/ZLIHPCVI"],"itemData":{"id":13398,"type":"article-journal","abstract":"Despite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Pollution","DOI":"10.1016/j.envpol.2021.117376","ISSN":"0269-7491","journalAbbreviation":"Environmental Pollution","page":"117376","source":"ScienceDirect","title":"Exposure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rsidR="00A60316">
        <w:fldChar w:fldCharType="separate"/>
      </w:r>
      <w:r w:rsidR="00CD2CA2" w:rsidRPr="00CD2CA2">
        <w:t>(Karalexi et al., 2021a)</w:t>
      </w:r>
      <w:r w:rsidR="00A60316">
        <w:fldChar w:fldCharType="end"/>
      </w:r>
      <w:r>
        <w:t>.</w:t>
      </w:r>
    </w:p>
    <w:p w14:paraId="0C60FB74" w14:textId="77777777" w:rsidR="005D4314" w:rsidRDefault="005D4314" w:rsidP="005D4314">
      <w:pPr>
        <w:pStyle w:val="a3"/>
      </w:pPr>
      <w:r>
        <w:t>Genotoxicity and oxidative stress represent central mechanisms by which agrochemicals may initiate or promote malignant transformation. Several classes of pesticides have been shown to induce DNA strand breaks, chromosomal aberrations, and oxidative damage in experimental models. In developing tissues, where cell proliferation rates are high and DNA repair systems are not fully mature, such damage may persist and give rise to oncogenic mutations. Oxidative stress can further exacerbate genomic instability by generating reactive oxygen species that damage nucleic acids, proteins, and cellular membranes, creating a pro-carcinogenic intracellular environment</w:t>
      </w:r>
      <w:r w:rsidR="00A60316">
        <w:fldChar w:fldCharType="begin"/>
      </w:r>
      <w:r w:rsidR="003F0132">
        <w:instrText xml:space="preserve"> ADDIN ZOTERO_ITEM CSL_CITATION {"citationID":"XTDW3zNK","properties":{"formattedCitation":"(Desai et al., 2025)","plainCitation":"(Desai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E."},{"family":"Metayer","given":"Catherine"}],"accessed":{"date-parts":[["2026",1,15]]},"issued":{"date-parts":[["2025",3,13]]}}}],"schema":"https://github.com/citation-style-language/schema/raw/master/csl-citation.json"} </w:instrText>
      </w:r>
      <w:r w:rsidR="00A60316">
        <w:fldChar w:fldCharType="separate"/>
      </w:r>
      <w:r w:rsidR="003F0132" w:rsidRPr="003F0132">
        <w:t>(Desai et al., 2025)</w:t>
      </w:r>
      <w:r w:rsidR="00A60316">
        <w:fldChar w:fldCharType="end"/>
      </w:r>
      <w:r>
        <w:t>.</w:t>
      </w:r>
    </w:p>
    <w:p w14:paraId="7F9B3687" w14:textId="77777777" w:rsidR="005D4314" w:rsidRDefault="005D4314" w:rsidP="005D4314">
      <w:pPr>
        <w:pStyle w:val="a3"/>
      </w:pPr>
      <w:r>
        <w:t>Endocrine disruption provides an additional mechanistic link between agrochemical exposure and cancer risk. Many pesticides and herbicides can interfere with hormone signaling pathways that regulate growth, differentiation, and immune function. Disruption of thyroid, estrogenic, or androgenic signaling during prenatal or early postnatal development may alter tissue patterning and cellular maturation, thereby increasing susceptibility to malignant transformation. These effects are of particular concern in pediatric populations, where hormonal cues play a critical role in orchestrating developmental trajectories</w:t>
      </w:r>
      <w:r w:rsidR="00A60316">
        <w:fldChar w:fldCharType="begin"/>
      </w:r>
      <w:r w:rsidR="00770E2E">
        <w:instrText xml:space="preserve"> ADDIN ZOTERO_ITEM CSL_CITATION {"citationID":"pCkkIjti","properties":{"formattedCitation":"(Soni et al., 2025; Tajai et al., 2023)","plainCitation":"(Soni et al., 2025; Tajai et al., 2023)","noteIndex":0},"citationItems":[{"id":12783,"uris":["http://zotero.org/users/16652950/items/Z22LRPZH"],"itemData":{"id":12783,"type":"article-journal","abstract":"Type 2 diabetes mellitus (T2DM) is associated with an increased risk of cardiovascular complications, with heart failure (HF) remaining a major cause of hospitalisation and mortality. Empagliflozin, a sodiumglucose cotransporter 2 (SGLT2) inhibitor, has demonstrated consistent cardioprotective effects in patients with type 2 diabetes mellitus (T2DM). Evidence shows that treatment with empagliflozin reduces the risk of hospitalisation for HF, with benefits that appear to extend beyond glucose lowering. These effects are thought to be mediated through mechanisms such as improved cardiac loading conditions, enhanced natriuresis, and optimised myocardial metabolism. Overall, empagliflozin represents an effective therapeutic option for reducing cardiovascular morbidity and hospital admissions in individuals with T2DM who are at risk for HF.","container-title":"Cureus","DOI":"10.7759/cureus.96593","ISSN":"2168-8184","language":"en","source":"DOI.org (Crossref)","title":"Evaluating the Beneficial Effect of Empagliflozin in Reducing Hospitalisation for Heart Failure in Patients With Type 2 Diabetes Mellitus: A Systematic Review","title-short":"Evaluating the Beneficial Effect of Empagliflozin in Reducing Hospitalisation for Heart Failure in Patients With Type 2 Diabetes Mellitus","URL":"https://www.cureus.com/articles/386179-evaluating-the-beneficial-effect-of-empagliflozin-in-reducing-hospitalisation-for-heart-failure-in-patients-with-type-2-diabetes-mellitus-a-systematic-review","author":[{"family":"Soni","given":"Akanksha"},{"family":"Lawal","given":"Olabisi P"},{"family":"Oyovwi","given":"Japheth O"},{"family":"Olaniyi","given":"Happiness I"},{"family":"Anosike","given":"Wonderful O"},{"family":"Orobator","given":"Enibokun  T"},{"family":"Gabriels","given":"Nazeem"},{"family":"Ghori","given":"Ibad Ali Khan"},{"family":"Olaniyi","given":"Aliyu O"}],"accessed":{"date-parts":[["2025",12,30]]},"issued":{"date-parts":[["2025",11,11]]}}},{"id":13402,"uris":["http://zotero.org/users/16652950/items/4WZMKP6T"],"itemData":{"id":13402,"type":"article-journal","abstract":"Glyphosate-based herbicides (GBHs) containing glyphosate as the active component are extensively used worldwide. Concerns have arisen about their potential risk to human, as glyphosate has been detected in human body fluids. Current controversies surround the endocrine-disrupting properties and transgenerational inheritance of diseases and germline epimutations resulting from exposure to GBHs and glyphosate. This review discusses evidence from in vitro, in vivo, and clinical studies on their impact on sex hormone regulation and reproductive system. Evidence suggests that they act as endocrine-disrupting chemicals, which altering sex hormone levels. Mechanistically, they interfere with hormone signaling pathways by disrupting proteins involved in hormone transport and metabolism. Pathological changes have been observed in male and female reproductive systems, potentially leading to reproductive toxicity. Prenatal exposure may lead to transgenerational inheritance of pathologies and sperm epimutations. However, due to the complexity of glyphosate formulations containing adjuvants identifying higher risk components in environmental exposure becomes challenging.","container-title":"Environmental Toxicology and Pharmacology","DOI":"10.1016/j.etap.2023.104252","ISSN":"1382-6689","journalAbbreviation":"Environmental Toxicology and Pharmacology","page":"104252","source":"ScienceDirect","title":"Effects of glyphosate-based herbicides and glyphosate exposure on sex hormones and the reproductive system: From epidemiological evidence to mechanistic insights","title-short":"Effects of glyphosate-based herbicides and glyphosate exposure on sex hormones and the reproductive system","volume":"102","author":[{"family":"Tajai","given":"Preechaya"},{"family":"Pruksakorn","given":"Dumnoensun"},{"family":"Chattipakorn","given":"Siriporn C."},{"family":"Chattipakorn","given":"Nipon"},{"family":"Shinlapawittayatorn","given":"Krekwit"}],"issued":{"date-parts":[["2023",9,1]]}}}],"schema":"https://github.com/citation-style-language/schema/raw/master/csl-citation.json"} </w:instrText>
      </w:r>
      <w:r w:rsidR="00A60316">
        <w:fldChar w:fldCharType="separate"/>
      </w:r>
      <w:r w:rsidR="00770E2E" w:rsidRPr="00770E2E">
        <w:t>(Soni et al., 2025; Tajai et al., 2023)</w:t>
      </w:r>
      <w:r w:rsidR="00A60316">
        <w:fldChar w:fldCharType="end"/>
      </w:r>
      <w:r>
        <w:t>.</w:t>
      </w:r>
    </w:p>
    <w:p w14:paraId="0087CB63" w14:textId="77777777" w:rsidR="005D4314" w:rsidRDefault="005D4314" w:rsidP="005D4314">
      <w:pPr>
        <w:pStyle w:val="a3"/>
      </w:pPr>
      <w:r>
        <w:t xml:space="preserve">Epigenetic reprogramming during development has emerged as a key mechanism linking early-life environmental exposures to long-term disease risk. Agrochemicals have been shown to </w:t>
      </w:r>
      <w:r>
        <w:lastRenderedPageBreak/>
        <w:t>influence DNA methylation patterns, histone modifications, and non-coding RNA expression, leading to persistent changes in gene regulation without altering the underlying DNA sequence. Such epigenetic alterations can affect pathways involved in cell cycle control, apoptosis, and immune surveillance, potentially predisposing exposed children to cancer later in life</w:t>
      </w:r>
      <w:r w:rsidR="00A60316">
        <w:fldChar w:fldCharType="begin"/>
      </w:r>
      <w:r w:rsidR="00770E2E">
        <w:instrText xml:space="preserve"> ADDIN ZOTERO_ITEM CSL_CITATION {"citationID":"3znt3E1b","properties":{"formattedCitation":"(Mija\\uc0\\u269{} et al., 2024)","plainCitation":"(Mijač et al., 2024)","noteIndex":0},"citationItems":[{"id":13404,"uris":["http://zotero.org/users/16652950/items/CVGNDH8D"],"itemData":{"id":13404,"type":"article-journal","abstract":"Allergic diseases are one of the most common chronic conditions and their prevalence is on the rise. Environmental exposure, primarily prenatal and ea...","container-title":"Medicina","DOI":"10.3390/medicina60010110","ISSN":"1648-9144","issue":"1","language":"en","license":"http://creativecommons.org/licenses/by/3.0/","note":"Company: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Effects of Environmental Exposure on Epigenetic Modifications in Allergic Diseases","URL":"https://www.mdpi.com/1648-9144/60/1/110","volume":"60","author":[{"family":"Mijač","given":"Sandra"},{"family":"Banić","given":"Ivana"},{"family":"Genc","given":"Ana-Marija"},{"family":"Lipej","given":"Marcel"},{"family":"Turkalj","given":"Mirjana"},{"family":"Mijač","given":"Sandra"},{"family":"Banić","given":"Ivana"},{"family":"Genc","given":"Ana-Marija"},{"family":"Lipej","given":"Marcel"},{"family":"Turkalj","given":"Mirjana"}],"accessed":{"date-parts":[["2026",1,15]]},"issued":{"date-parts":[["2024",1,6]]}}}],"schema":"https://github.com/citation-style-language/schema/raw/master/csl-citation.json"} </w:instrText>
      </w:r>
      <w:r w:rsidR="00A60316">
        <w:fldChar w:fldCharType="separate"/>
      </w:r>
      <w:r w:rsidR="00770E2E" w:rsidRPr="00770E2E">
        <w:t>(Mijač et al., 2024)</w:t>
      </w:r>
      <w:r w:rsidR="00A60316">
        <w:fldChar w:fldCharType="end"/>
      </w:r>
      <w:r>
        <w:t>.</w:t>
      </w:r>
    </w:p>
    <w:p w14:paraId="74924FA1" w14:textId="77777777" w:rsidR="005D4314" w:rsidRDefault="005D4314" w:rsidP="005D4314">
      <w:pPr>
        <w:pStyle w:val="a3"/>
      </w:pPr>
      <w:r>
        <w:t xml:space="preserve">Immune dysregulation represents a further plausible pathway, particularly in relation to hematologic malignancies. Early-life exposure to </w:t>
      </w:r>
      <w:proofErr w:type="spellStart"/>
      <w:r>
        <w:t>immunotoxic</w:t>
      </w:r>
      <w:proofErr w:type="spellEnd"/>
      <w:r>
        <w:t xml:space="preserve"> agrochemicals may impair immune system maturation, disrupt cytokine signaling, and alter the balance between immune tolerance and surveillance. These changes can reduce the capacity to eliminate pre-malignant cells and facilitate the clonal expansion of transformed cells</w:t>
      </w:r>
      <w:r w:rsidR="00A60316">
        <w:fldChar w:fldCharType="begin"/>
      </w:r>
      <w:r w:rsidR="00770E2E">
        <w:instrText xml:space="preserve"> ADDIN ZOTERO_ITEM CSL_CITATION {"citationID":"qmCiejnK","properties":{"formattedCitation":"(Jurkowska, 2024)","plainCitation":"(Jurkowska, 2024)","noteIndex":0},"citationItems":[{"id":13406,"uris":["http://zotero.org/users/16652950/items/W2XQRCK4"],"itemData":{"id":13406,"type":"article-journal","abstract":"Epigenetic modifications are chemical groups in our DNA (and chromatin) that determine which genes are active and which are shut off. Importantly, they integrate environmental signals to direct cellular function. Upon chronic environmental exposures, the epigenetic signature of lung cells gets altered, triggering aberrant gene expression programs that can lead to the development of chronic lung diseases. In addition to driving disease, epigenetic marks can serve as attractive lung disease biomarkers, due to early onset, disease specificity, and stability, warranting the need for more epigenetic research in the lung field. Despite substantial progress in mapping epigenetic alterations (mostly DNA methylation) in chronic lung diseases, the molecular mechanisms leading to their establishment are largely unknown. This review is meant as a guide for clinicians and lung researchers interested in epigenetic regulation with a focus on DNA methylation. It provides a short introduction to the main epigenetic mechanisms (DNA methylation, histone modifications and non-coding RNA) and the machinery responsible for their establishment and removal. It presents examples of epigenetic dysregulation across a spectrum of chronic lung diseases and discusses the current state of epigenetic therapies. Finally, it introduces the concept of epigenetic editing, an exciting novel approach to dissecting the functional role of epigenetic modifications. The promise of this emerging technology for the functional study of epigenetic mechanisms in cells and its potential future use in the clinic is further discussed.","container-title":"Pharmacology &amp; Therapeutics","DOI":"10.1016/j.pharmthera.2024.108732","ISSN":"0163-7258","journalAbbreviation":"Pharmacology &amp; Therapeutics","page":"108732","source":"ScienceDirect","title":"Role of epigenetic mechanisms in the pathogenesis of chronic respiratory diseases and response to inhaled exposures: From basic concepts to clinical applications","title-short":"Role of epigenetic mechanisms in the pathogenesis of chronic respiratory diseases and response to inhaled exposures","volume":"264","author":[{"family":"Jurkowska","given":"Renata Z."}],"issued":{"date-parts":[["2024",12,1]]}}}],"schema":"https://github.com/citation-style-language/schema/raw/master/csl-citation.json"} </w:instrText>
      </w:r>
      <w:r w:rsidR="00A60316">
        <w:fldChar w:fldCharType="separate"/>
      </w:r>
      <w:r w:rsidR="00770E2E" w:rsidRPr="00770E2E">
        <w:t>(Jurkowska, 2024)</w:t>
      </w:r>
      <w:r w:rsidR="00A60316">
        <w:fldChar w:fldCharType="end"/>
      </w:r>
      <w:r>
        <w:t>. Taken together, these mechanistic insights provide a coherent biological foundation supporting the observed associations between early-life agrochemical exposure and pediatric cancer risk and underscore the importance of integrating mechanistic evidence into epidemiologic and predictive modeling frameworks.</w:t>
      </w:r>
    </w:p>
    <w:p w14:paraId="2C05DC4F" w14:textId="77777777" w:rsidR="005D4314" w:rsidRDefault="005D4314" w:rsidP="005D4314">
      <w:pPr>
        <w:pStyle w:val="3"/>
      </w:pPr>
      <w:r>
        <w:t>9. Methodological Challenges and Research Gaps</w:t>
      </w:r>
    </w:p>
    <w:p w14:paraId="77E19BA3" w14:textId="77777777" w:rsidR="005D4314" w:rsidRDefault="005D4314" w:rsidP="005D4314">
      <w:pPr>
        <w:pStyle w:val="a3"/>
      </w:pPr>
      <w:r>
        <w:t xml:space="preserve">Despite considerable advances in understanding the relationship between early-life agrochemical exposure and pediatric cancer risk, several methodological challenges limit the precision, interpretability, and generalizability of existing evidence. A primary concern is </w:t>
      </w:r>
      <w:r>
        <w:rPr>
          <w:rStyle w:val="a4"/>
          <w:rFonts w:eastAsiaTheme="majorEastAsia"/>
        </w:rPr>
        <w:t>exposure misclassification</w:t>
      </w:r>
      <w:r>
        <w:t>, which arises from reliance on self-reported pesticide use, indirect occupational proxies, or static residential addresses. Children in agricultural families may experience highly dynamic exposure profiles due to seasonal application cycles, parental occupational mobility, and household practices, making accurate reconstruction of individual exposure trajectories challenging. Residential mobility further compounds this issue, as changes in home location during critical prenatal or early postnatal periods may not be adequately captured, potentially diluting observed associations</w:t>
      </w:r>
      <w:r w:rsidR="00A60316">
        <w:fldChar w:fldCharType="begin"/>
      </w:r>
      <w:r w:rsidR="00CD2CA2">
        <w:instrText xml:space="preserve"> ADDIN ZOTERO_ITEM CSL_CITATION {"citationID":"tm3HFRqX","properties":{"formattedCitation":"(Karalexi et al., 2021b)","plainCitation":"(Karalexi et al., 2021b)","noteIndex":0},"citationItems":[{"id":13409,"uris":["http://zotero.org/users/16652950/items/84MD7435"],"itemData":{"id":13409,"type":"article-journal","abstract":"Despite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 (Barking, Essex: 1987)","DOI":"10.1016/j.envpol.2021.117376","ISSN":"1873-6424","journalAbbreviation":"Environ Pollut","language":"eng","note":"PMID: 34380208","page":"117376","source":"PubMed","title":"Exposure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rsidR="00A60316">
        <w:fldChar w:fldCharType="separate"/>
      </w:r>
      <w:r w:rsidR="00CD2CA2" w:rsidRPr="00CD2CA2">
        <w:t>(Karalexi et al., 2021b)</w:t>
      </w:r>
      <w:r w:rsidR="00A60316">
        <w:fldChar w:fldCharType="end"/>
      </w:r>
      <w:r>
        <w:t>.</w:t>
      </w:r>
    </w:p>
    <w:p w14:paraId="251CAD5C" w14:textId="77777777" w:rsidR="005D4314" w:rsidRDefault="005D4314" w:rsidP="005D4314">
      <w:pPr>
        <w:pStyle w:val="a3"/>
      </w:pPr>
      <w:r>
        <w:t xml:space="preserve">Another persistent gap is the </w:t>
      </w:r>
      <w:r>
        <w:rPr>
          <w:rStyle w:val="a4"/>
          <w:rFonts w:eastAsiaTheme="majorEastAsia"/>
        </w:rPr>
        <w:t>assessment of chemical mixtures and cumulative risk</w:t>
      </w:r>
      <w:r>
        <w:t>. Most epidemiologic studies focus on single chemicals or broad classes, ignoring the complex reality of simultaneous exposure to multiple agrochemicals. Interactions among chemicals may produce synergistic or antagonistic effects, and cumulative exposure over time may be more relevant to carcinogenesis than isolated events. Current predictive models often struggle to incorporate high-dimensional mixture data in a way that is biologically meaningful and interpretable</w:t>
      </w:r>
      <w:r w:rsidR="00A60316">
        <w:fldChar w:fldCharType="begin"/>
      </w:r>
      <w:r w:rsidR="00CD2CA2">
        <w:instrText xml:space="preserve"> ADDIN ZOTERO_ITEM CSL_CITATION {"citationID":"lDPZEBUW","properties":{"formattedCitation":"(Sch\\uc0\\u228{}fer et al., 2023)","plainCitation":"(Schäfer et al., 2023)","noteIndex":0},"citationItems":[{"id":13413,"uris":["http://zotero.org/users/16652950/items/5E69JT9L"],"itemData":{"id":13413,"type":"article-journal","abstract":"Ecosystems are strongly influenced by multiple anthropogenic stressors, including a wide range of chemicals and their mixtures. Studies on the effects of multiple stressors have largely focussed on nonchemical stressors, whereas studies on chemical mixtures have largely ignored other stressors. However, both research areas face similar challenges and require similar tools and methods to predict the joint effects of chemicals or nonchemical stressors, and frameworks to integrate multiple chemical and nonchemical stressors are missing. We provide an overview of the research paradigms, tools, and methods commonly used in multiple stressor and chemical mixture research and discuss potential domains of cross-fertilization and joint challenges. First, we compare the general paradigms of ecotoxicology and (applied) ecology to explain the historical divide. Subsequently, we compare methods and approaches for the identification of interactions, stressor characterization, and designing experiments. We suggest that both multiple stressor and chemical mixture research are too focused on interactions and would benefit from integration regarding null model selection. Stressor characterization is typically more costly for chemical mixtures. While for chemical mixtures comprehensive classification systems at suborganismal level have been developed, recent classification systems for multiple stressors account for environmental context. Both research areas suffer from rather simplified experimental designs that focus on only a limited number of stressors, chemicals, and treatments. We discuss concepts that can guide more realistic designs capturing spatiotemporal stressor dynamics. We suggest that process-based and data-driven models are particularly promising to tackle the challenge of prediction of effects of chemical mixtures and nonchemical stressors on (meta-)communities and (meta-)food webs. We propose a framework to integrate the assessment of effects for multiple stressors and chemical mixtures. Environ Toxicol Chem 2023;42:1915–1936. © 2023 The Authors. Environmental Toxicology and Chemistry published by Wiley Periodicals LLC on behalf of SETAC.","container-title":"Environmental Toxicology and Chemistry","DOI":"10.1002/etc.5629","ISSN":"1552-8618","issue":"9","language":"en","license":"© 2023 The Authors. Environmental Toxicology and Chemistry published by Wiley Periodicals LLC on behalf of SETAC.","note":"_eprint: https://onlinelibrary.wiley.com/doi/pdf/10.1002/etc.5629","page":"1915-1936","source":"Wiley Online Library","title":"Chemical Mixtures and Multiple Stressors: Same but Different?","title-short":"Chemical Mixtures and Multiple Stressors","volume":"42","author":[{"family":"Schäfer","given":"Ralf B."},{"family":"Jackson","given":"Michelle"},{"family":"Juvigny-Khenafou","given":"Noel"},{"family":"Osakpolor","given":"Stephen E."},{"family":"Posthuma","given":"Leo"},{"family":"Schneeweiss","given":"Anke"},{"family":"Spaak","given":"Jürg"},{"family":"Vinebrooke","given":"Rolf"}],"issued":{"date-parts":[["2023"]]}}}],"schema":"https://github.com/citation-style-language/schema/raw/master/csl-citation.json"} </w:instrText>
      </w:r>
      <w:r w:rsidR="00A60316">
        <w:fldChar w:fldCharType="separate"/>
      </w:r>
      <w:r w:rsidR="00CD2CA2" w:rsidRPr="00CD2CA2">
        <w:t>(Schäfer et al., 2023)</w:t>
      </w:r>
      <w:r w:rsidR="00A60316">
        <w:fldChar w:fldCharType="end"/>
      </w:r>
      <w:r>
        <w:t>.</w:t>
      </w:r>
    </w:p>
    <w:p w14:paraId="583360B0" w14:textId="77777777" w:rsidR="005D4314" w:rsidRDefault="005D4314" w:rsidP="005D4314">
      <w:pPr>
        <w:pStyle w:val="a3"/>
      </w:pPr>
      <w:r>
        <w:t xml:space="preserve">A third limitation is the </w:t>
      </w:r>
      <w:r>
        <w:rPr>
          <w:rStyle w:val="a4"/>
          <w:rFonts w:eastAsiaTheme="majorEastAsia"/>
        </w:rPr>
        <w:t>scarcity of longitudinal and biomarker-validated studies</w:t>
      </w:r>
      <w:r>
        <w:t xml:space="preserve">. Prospective cohorts that follow children from in utero through early childhood with repeated exposure measurement are rare, and few studies integrate biomonitoring data, such as maternal or cord blood pesticide metabolites, which could improve exposure accuracy. Without such validation, estimates derived from modeled or proxy measures remain vulnerable to misclassification and reduced inferential </w:t>
      </w:r>
      <w:proofErr w:type="spellStart"/>
      <w:r>
        <w:t>powe</w:t>
      </w:r>
      <w:proofErr w:type="spellEnd"/>
      <w:r w:rsidR="00A60316">
        <w:fldChar w:fldCharType="begin"/>
      </w:r>
      <w:r w:rsidR="00CD2CA2">
        <w:instrText xml:space="preserve"> ADDIN ZOTERO_ITEM CSL_CITATION {"citationID":"QtzIbBXX","properties":{"formattedCitation":"(L\\uc0\\u243{}pez-Flores et al., 2025)","plainCitation":"(López-Flores et al., 2025)","noteIndex":0},"citationItems":[{"id":13411,"uris":["http://zotero.org/users/16652950/items/NYP2VI4W"],"itemData":{"id":13411,"type":"article-journal","abstract":"Early developmental exposure to organophosphate (OP) pesticides has been linked to adverse health effects, though the underlying molecular pathways remain unclear. This study examined urinary metabolomic profiles of 387 pregnant women in their first and third trimesters using UPLC-MS/MS to identify metabolic disruptions associated with OPs exposure measured via dialkyl phosphate (DAPs) metabolites, including total, methyl and ethyl forms. Multiple linear regression models, adjusted for covariates and corrected for multiple comparisons revealed that first trimester OP exposure was significantly associated with 4-pyridoxic acid, a vitamin B6 metabolite. In the third trimester, OP exposure was linked to metabolites related to amino acid metabolism, synaptic function, cytochrome P450-mediated detoxification, cancer and immune pathways. These findings suggest that OP exposure may disrupt maternal metabolic processes during pregnancy, potentially affecting foetal development. This study highlights potential targets for future hypothesis-driven studies and potential interventions to mitigate OP pesticide exposure during pregnancy.","container-title":"Environmental Toxicology and Pharmacology","DOI":"10.1016/j.etap.2025.104793","ISSN":"1382-6689","journalAbbreviation":"Environmental Toxicology and Pharmacology","page":"104793","source":"ScienceDirect","title":"Gestational exposure to organophosphate pesticides and maternal urine metabolomic profile in the GENEIDA birth cohort","volume":"118","author":[{"family":"López-Flores","given":"Inmaculada"},{"family":"González-Alzaga","given":"Beatriz"},{"family":"Romero-Molina","given":"Desirée"},{"family":"Hernández","given":"Antonio F."},{"family":"Pérez-Luzardo","given":"Octavio"},{"family":"Acosta-Dacal","given":"Andrea"},{"family":"Macías-Montes","given":"Ana"},{"family":"Henríquez-Hernández","given":"Luis A."},{"family":"Boada","given":"Luis D."},{"family":"Pelegrí","given":"Dolors"},{"family":"González","given":"Juan R."},{"family":"Lacasaña","given":"Marina"}],"issued":{"date-parts":[["2025",9,1]]}}}],"schema":"https://github.com/citation-style-language/schema/raw/master/csl-citation.json"} </w:instrText>
      </w:r>
      <w:r w:rsidR="00A60316">
        <w:fldChar w:fldCharType="separate"/>
      </w:r>
      <w:r w:rsidR="00CD2CA2" w:rsidRPr="00CD2CA2">
        <w:t>(López-Flores et al., 2025)</w:t>
      </w:r>
      <w:r w:rsidR="00A60316">
        <w:fldChar w:fldCharType="end"/>
      </w:r>
      <w:r>
        <w:t>r.</w:t>
      </w:r>
    </w:p>
    <w:p w14:paraId="4611179B" w14:textId="77777777" w:rsidR="005D4314" w:rsidRDefault="005D4314" w:rsidP="005D4314">
      <w:pPr>
        <w:pStyle w:val="a3"/>
      </w:pPr>
      <w:r>
        <w:t xml:space="preserve">Finally, there is a notable </w:t>
      </w:r>
      <w:r>
        <w:rPr>
          <w:rStyle w:val="a4"/>
          <w:rFonts w:eastAsiaTheme="majorEastAsia"/>
        </w:rPr>
        <w:t>underrepresentation of mechanistic integration in predictive models</w:t>
      </w:r>
      <w:r>
        <w:t xml:space="preserve">. While statistical and machine learning models can identify patterns and associations, </w:t>
      </w:r>
      <w:r>
        <w:lastRenderedPageBreak/>
        <w:t>they rarely incorporate mechanistic or toxicological evidence, such as pathways of genotoxicity, endocrine disruption, or immune dysregulation. The absence of mechanistic constraints limits the models’ ability to distinguish causal signals from spurious correlations, reduces interpretability, and constrains translation into actionable prevention strategies</w:t>
      </w:r>
      <w:r w:rsidR="00A60316">
        <w:fldChar w:fldCharType="begin"/>
      </w:r>
      <w:r w:rsidR="00CD2CA2">
        <w:instrText xml:space="preserve"> ADDIN ZOTERO_ITEM CSL_CITATION {"citationID":"kN00x95s","properties":{"formattedCitation":"(Deepika et al., 2025)","plainCitation":"(Deepika et al., 2025)","noteIndex":0},"citationItems":[{"id":13417,"uris":["http://zotero.org/users/16652950/items/2X28EUFH"],"itemData":{"id":13417,"type":"article-journal","abstract":"New Approach Methodologies (NAMs) hold great potential to fill data gaps for chemicals and modernisation of chemical risk assessment practices. Current toxicity testing is based on conventional approaches with high reliability on in-vivo studies, but with time, regulators are trying to move towards in-vitro and in silico tools enabling efficient risk assessment strategies. Herein, we discuss about different emerging techniques which are or can become a NAM including both in-vitro and in silico models with particular focus on reducing animal studies and improving decision-making for hazard and exposure assessment. We also discussed about the way to strengthen the regulatory and public confidence in different NAMs and automation of these approaches. Some of these NAMs can help in identifying biochemical mechanisms for toxicity, calculate the point of departure (PoD), develop adverse outcome pathways (AOP), translate risk to multiple species and quantify uncertainty from predictions for multiple chemicals. Scientists and regulators can work together to frame robust guidelines for the practical application of these tools and ensure reproducible results., \nFlowchart illustrating risk assessment through various processes. Human biomonitoring, in-vitro cell lines, docking, and OMICS data are components feeding into data harmonization at the center. Predictive modeling outputs to risk assessment at the bottom. Arrows indicate data flow between elements.","container-title":"Frontiers in Toxicology","DOI":"10.3389/ftox.2025.1632941","ISSN":"2673-3080","journalAbbreviation":"Front Toxicol","note":"PMID: 41127258\nPMCID: PMC12537679","page":"1632941","source":"PubMed Central","title":"Advancing human health risk assessment: the role of new approach methodologies","title-short":"Advancing human health risk assessment","volume":"7","author":[{"family":"Deepika","given":"Deepika"},{"family":"Bharti","given":"Kanchan"},{"family":"Sharma","given":"Shubh"},{"family":"Kumar","given":"Saurav"},{"family":"Pathak","given":"Rajesh Kumar"},{"family":"Biosca Brull","given":"Judit"},{"family":"Sabuz","given":"Oscar"},{"family":"García Vilana","given":"Silvia"},{"family":"Kumar","given":"Vikas"}],"issued":{"date-parts":[["2025",10,7]]}}}],"schema":"https://github.com/citation-style-language/schema/raw/master/csl-citation.json"} </w:instrText>
      </w:r>
      <w:r w:rsidR="00A60316">
        <w:fldChar w:fldCharType="separate"/>
      </w:r>
      <w:r w:rsidR="00CD2CA2" w:rsidRPr="00CD2CA2">
        <w:t>(Deepika et al., 2025)</w:t>
      </w:r>
      <w:r w:rsidR="00A60316">
        <w:fldChar w:fldCharType="end"/>
      </w:r>
      <w:r>
        <w:t>.</w:t>
      </w:r>
    </w:p>
    <w:p w14:paraId="18C35CB8" w14:textId="77777777" w:rsidR="005D4314" w:rsidRDefault="005D4314" w:rsidP="005D4314">
      <w:pPr>
        <w:pStyle w:val="a3"/>
      </w:pPr>
      <w:r>
        <w:t>Addressing these gaps requires the development of integrative, multi-level study designs that combine longitudinal data, high-resolution exposure assessment, mixture analysis, biomarker validation, and mechanistic insights. Such approaches will enhance both the accuracy of exposure–disease modeling and the relevance of findings for public health intervention in agricultural populations.</w:t>
      </w:r>
    </w:p>
    <w:p w14:paraId="19C8B64B" w14:textId="77777777" w:rsidR="005D4314" w:rsidRDefault="005D4314" w:rsidP="005D4314">
      <w:pPr>
        <w:pStyle w:val="3"/>
      </w:pPr>
      <w:r>
        <w:t>10. Implications for Public Health, Policy, and Prevention</w:t>
      </w:r>
    </w:p>
    <w:p w14:paraId="44061E9B" w14:textId="77777777" w:rsidR="005D4314" w:rsidRDefault="005D4314" w:rsidP="005D4314">
      <w:pPr>
        <w:pStyle w:val="a3"/>
      </w:pPr>
      <w:r>
        <w:t xml:space="preserve">The growing body of evidence linking early-life agrochemical exposure to pediatric cancer underscores important implications for public health, regulatory policy, and preventive interventions. Predictive and spatial modeling approaches provide powerful tools for </w:t>
      </w:r>
      <w:r>
        <w:rPr>
          <w:rStyle w:val="a4"/>
          <w:rFonts w:eastAsiaTheme="majorEastAsia"/>
        </w:rPr>
        <w:t>early risk stratification</w:t>
      </w:r>
      <w:r>
        <w:t>, enabling the identification of high-exposure households and communities where children may be most vulnerable. By integrating exposure estimates with demographic and environmental data, these models can inform targeted surveillance, early screening programs, and tailored educational initiatives for farming families, thereby mitigating risk before disease onset</w:t>
      </w:r>
      <w:r w:rsidR="00A60316">
        <w:fldChar w:fldCharType="begin"/>
      </w:r>
      <w:r w:rsidR="00CD2CA2">
        <w:instrText xml:space="preserve"> ADDIN ZOTERO_ITEM CSL_CITATION {"citationID":"t6rO9y1Q","properties":{"formattedCitation":"(Shakeel et al., 2025)","plainCitation":"(Shakeel et al., 2025)","noteIndex":0},"citationItems":[{"id":13420,"uris":["http://zotero.org/users/16652950/items/WJHDMMTD"],"itemData":{"id":13420,"type":"article-journal","abstract":"Simple SummaryThis communication reviews how environmental exposures to air pollution, tobacco smoke, extreme weather events, and pesticides can negat...","container-title":"Cancers","DOI":"10.3390/cancers17132223","ISSN":"2072-6694","issue":"13","language":"en","license":"http://creativecommons.org/licenses/by/3.0/","note":"Company: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Exposures Increase Health Risks in Childhood Cancer Survivors","URL":"https://www.mdpi.com/2072-6694/17/13/2223","volume":"17","author":[{"family":"Shakeel","given":"Omar"},{"family":"Wood","given":"Nicole M."},{"family":"Thompson","given":"Hannah M."},{"family":"Scheurer","given":"Michael E."},{"family":"Miller","given":"Mark D."},{"family":"Shakeel","given":"Omar"},{"family":"Wood","given":"Nicole M."},{"family":"Thompson","given":"Hannah M."},{"family":"Scheurer","given":"Michael E."},{"family":"Miller","given":"Mark D."}],"accessed":{"date-parts":[["2026",1,15]]},"issued":{"date-parts":[["2025",7,1]]}}}],"schema":"https://github.com/citation-style-language/schema/raw/master/csl-citation.json"} </w:instrText>
      </w:r>
      <w:r w:rsidR="00A60316">
        <w:fldChar w:fldCharType="separate"/>
      </w:r>
      <w:r w:rsidR="00CD2CA2" w:rsidRPr="00CD2CA2">
        <w:t>(Shakeel et al., 2025)</w:t>
      </w:r>
      <w:r w:rsidR="00A60316">
        <w:fldChar w:fldCharType="end"/>
      </w:r>
      <w:r>
        <w:t>.</w:t>
      </w:r>
    </w:p>
    <w:p w14:paraId="39D10576" w14:textId="77777777" w:rsidR="005D4314" w:rsidRDefault="005D4314" w:rsidP="005D4314">
      <w:pPr>
        <w:pStyle w:val="a3"/>
      </w:pPr>
      <w:r>
        <w:t xml:space="preserve">From a regulatory perspective, findings highlight the need to </w:t>
      </w:r>
      <w:r>
        <w:rPr>
          <w:rStyle w:val="a4"/>
          <w:rFonts w:eastAsiaTheme="majorEastAsia"/>
        </w:rPr>
        <w:t>reconsider pesticide application practices near residential areas</w:t>
      </w:r>
      <w:r>
        <w:t>. Current guidelines may not fully account for the unique vulnerabilities of developing children or the cumulative effects of chronic low-dose exposure. Policies that limit drift, enforce buffer zones, and monitor environmental residues can reduce inadvertent exposure and enhance the safety of agricultural communities.</w:t>
      </w:r>
    </w:p>
    <w:p w14:paraId="22CB61F3" w14:textId="77777777" w:rsidR="005D4314" w:rsidRDefault="005D4314" w:rsidP="005D4314">
      <w:pPr>
        <w:pStyle w:val="a3"/>
      </w:pPr>
      <w:r>
        <w:rPr>
          <w:rStyle w:val="a4"/>
          <w:rFonts w:eastAsiaTheme="majorEastAsia"/>
        </w:rPr>
        <w:t>Occupational health protections for farming families</w:t>
      </w:r>
      <w:r>
        <w:t xml:space="preserve"> are also essential. Interventions such as personal protective equipment for pesticide applicators, safe handling training, decontamination protocols, and restrictions on take-home exposure can substantially reduce secondary exposure to children. These measures not only protect child health but also enhance the overall safety of the farm workforce</w:t>
      </w:r>
      <w:r w:rsidR="00A60316">
        <w:fldChar w:fldCharType="begin"/>
      </w:r>
      <w:r w:rsidR="00AF5059">
        <w:instrText xml:space="preserve"> ADDIN ZOTERO_ITEM CSL_CITATION {"citationID":"ANPj0rvk","properties":{"formattedCitation":"(Norvivor et al., 2025)","plainCitation":"(Norvivor et al., 2025)","noteIndex":0},"citationItems":[{"id":13424,"uris":["http://zotero.org/users/16652950/items/V3WJJYL7"],"itemData":{"id":13424,"type":"article-journal","abstract":"Introduction Occupational pesticide exposure poses significant health risks, particularly among smallholder farmers in developing countries like Ghana, where such exposures are common due to widespread subsistence agricultural activities. The Environmental Protection Agency (EPA) of Ghana is responsible for registering and monitoring pesticide use and regulating the presence of unregistered or banned products on the local market; however, this regulation is ineffective. Farmers frequently acquire pesticides directly from vendors who may not possess sufficient training, and the lack of stringent measures facilitates the accessibility of hazardous products. Furthermore, while regulations mandate safe handling and disposal practices, there are also possible oversights at the community level, leaving farmers largely dependent on their own knowledge, practices, or what they have learnt from other colleagues. This study explores the safety practices, perceived exposure levels, and awareness among rural farmers in the Hohoe municipality of Ghana. Methods A qualitative ethnographic approach was adopted, involving in-depth interviews with 13 purposively selected farmers with over five years of farming experience. Data was collected using semi-structured interviews guide informed by prior literature. Thematic analysis was conducted using ATLAS.ti version 25, with open and selective coding techniques. Results Four major themes emerged: knowledge and practices of pesticide use, health risks and exposure, safety practices, pesticide storage and disposal. Most farmers (approximately 10 out of 13) reported using Glyphosate as their primary herbicide, followed by Paraquat Dichloride and 2,4-D, relying on vendor recommendations for application methods. Common health complaints included eye and skin irritation, waist pain, and temporary vision loss. While some farmers used PPE like boots and gloves, many lacked complete protective gear, especially eye protection. Pesticide containers were often stored at home or discarded on farms or by burning, indicating poor disposal practices. Awareness of pesticide expiry dates and proper dosage was inconsistent. Conclusion The study reveals substantial gaps in pesticide safety knowledge and practices among rural farmers, posing significant public health risks. Targeted interventions, including regular training on safe pesticide handling, PPE use, and environmentally sound disposal methods, are critical to reducing occupational exposure and its associated health burdens.","container-title":"PLOS ONE","DOI":"10.1371/journal.pone.0337693","ISSN":"1932-6203","issue":"12","journalAbbreviation":"PLOS ONE","language":"en","note":"publisher: Public Library of Science","page":"e0337693","source":"PLoS Journals","title":"Occupational pesticide exposure and safety assessment among farmers in Hohoe municipality: An ethnographic qualitative study","title-short":"Occupational pesticide exposure and safety assessment among farmers in Hohoe municipality","volume":"20","author":[{"family":"Norvivor","given":"Forgive Awo"},{"family":"Peprah","given":"Elijah Kwasi"},{"family":"Danso","given":"Doreen"},{"family":"Konutse","given":"Obed Woani"}],"issued":{"date-parts":[["2025",12,2]]}}}],"schema":"https://github.com/citation-style-language/schema/raw/master/csl-citation.json"} </w:instrText>
      </w:r>
      <w:r w:rsidR="00A60316">
        <w:fldChar w:fldCharType="separate"/>
      </w:r>
      <w:r w:rsidR="00AF5059" w:rsidRPr="00AF5059">
        <w:t>(Norvivor et al., 2025)</w:t>
      </w:r>
      <w:r w:rsidR="00A60316">
        <w:fldChar w:fldCharType="end"/>
      </w:r>
      <w:r>
        <w:t>.</w:t>
      </w:r>
    </w:p>
    <w:p w14:paraId="6F797833" w14:textId="77777777" w:rsidR="005D4314" w:rsidRDefault="005D4314" w:rsidP="005D4314">
      <w:pPr>
        <w:pStyle w:val="a3"/>
      </w:pPr>
      <w:r>
        <w:t xml:space="preserve">Finally, these issues intersect with broader </w:t>
      </w:r>
      <w:r>
        <w:rPr>
          <w:rStyle w:val="a4"/>
          <w:rFonts w:eastAsiaTheme="majorEastAsia"/>
        </w:rPr>
        <w:t>environmental justice considerations</w:t>
      </w:r>
      <w:r>
        <w:t>. Children in agricultural households, often residing in rural and socioeconomically disadvantaged areas, face disproportionate exposure to hazardous chemicals, reflecting structural inequities in environmental risk distribution. Integrating predictive modeling with equitable policy design can support more just allocation of resources, ensure community engagement in risk reduction strategies, and prioritize interventions for populations that have historically borne a disproportionate environmental burden.</w:t>
      </w:r>
    </w:p>
    <w:p w14:paraId="22051CF6" w14:textId="77777777" w:rsidR="005D4314" w:rsidRDefault="005D4314" w:rsidP="005D4314">
      <w:pPr>
        <w:pStyle w:val="a3"/>
      </w:pPr>
      <w:r>
        <w:t>Together, these public health, regulatory, and equity-focused approaches emphasize that scientific evidence on early-life agrochemical exposure should inform not only research priorities but also practical strategies to prevent pediatric cancer in agricultural communities.</w:t>
      </w:r>
    </w:p>
    <w:p w14:paraId="3934DA84" w14:textId="77777777" w:rsidR="005D4314" w:rsidRDefault="005D4314" w:rsidP="005D4314">
      <w:pPr>
        <w:pStyle w:val="3"/>
      </w:pPr>
      <w:r>
        <w:lastRenderedPageBreak/>
        <w:t>11. Future Directions</w:t>
      </w:r>
    </w:p>
    <w:p w14:paraId="3BAFC8EE" w14:textId="77777777" w:rsidR="005D4314" w:rsidRDefault="005D4314" w:rsidP="005D4314">
      <w:pPr>
        <w:pStyle w:val="a3"/>
      </w:pPr>
      <w:r>
        <w:t xml:space="preserve">Advancing the understanding of early-life agrochemical exposure and pediatric cancer risk will require innovative, multidisciplinary approaches that integrate exposure science, epidemiology, and predictive modeling. A promising avenue is the </w:t>
      </w:r>
      <w:r>
        <w:rPr>
          <w:rStyle w:val="a4"/>
          <w:rFonts w:eastAsiaTheme="majorEastAsia"/>
        </w:rPr>
        <w:t xml:space="preserve">integration of </w:t>
      </w:r>
      <w:proofErr w:type="spellStart"/>
      <w:r>
        <w:rPr>
          <w:rStyle w:val="a4"/>
          <w:rFonts w:eastAsiaTheme="majorEastAsia"/>
        </w:rPr>
        <w:t>exposomics</w:t>
      </w:r>
      <w:proofErr w:type="spellEnd"/>
      <w:r>
        <w:rPr>
          <w:rStyle w:val="a4"/>
          <w:rFonts w:eastAsiaTheme="majorEastAsia"/>
        </w:rPr>
        <w:t xml:space="preserve"> and biomonitoring</w:t>
      </w:r>
      <w:r>
        <w:t>, which allows for comprehensive characterization of chemical exposures across multiple pathways and time points. High-resolution measurement of metabolites, adducts, and other biomarkers can complement modeled exposures, improving accuracy and enabling more precise delineation of exposure–response relationships.</w:t>
      </w:r>
    </w:p>
    <w:p w14:paraId="61BC172B" w14:textId="77777777" w:rsidR="005D4314" w:rsidRDefault="005D4314" w:rsidP="005D4314">
      <w:pPr>
        <w:pStyle w:val="a3"/>
      </w:pPr>
      <w:r>
        <w:t xml:space="preserve">The development of </w:t>
      </w:r>
      <w:r>
        <w:rPr>
          <w:rStyle w:val="a4"/>
          <w:rFonts w:eastAsiaTheme="majorEastAsia"/>
        </w:rPr>
        <w:t>hybrid causal–predictive modeling frameworks</w:t>
      </w:r>
      <w:r>
        <w:t xml:space="preserve"> represents another critical frontier</w:t>
      </w:r>
      <w:r w:rsidR="00A60316">
        <w:fldChar w:fldCharType="begin"/>
      </w:r>
      <w:r w:rsidR="00CD2CA2">
        <w:instrText xml:space="preserve"> ADDIN ZOTERO_ITEM CSL_CITATION {"citationID":"gGyD9IFb","properties":{"formattedCitation":"(Enabulele et al., 2025)","plainCitation":"(Enabulele et al., 2025)","noteIndex":0},"citationItems":[{"id":9007,"uris":["http://zotero.org/users/16652950/items/LJFDFURG"],"itemData":{"id":9007,"type":"article-journal","abstract":"This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A60316">
        <w:fldChar w:fldCharType="separate"/>
      </w:r>
      <w:r w:rsidR="00CD2CA2" w:rsidRPr="00CD2CA2">
        <w:t>(Enabulele et al., 2025)</w:t>
      </w:r>
      <w:r w:rsidR="00A60316">
        <w:fldChar w:fldCharType="end"/>
      </w:r>
      <w:r>
        <w:t>. By combining machine learning–based predictive approaches with causal inference principles, researchers can better identify high-risk populations while preserving interpretability and mechanistic relevance. Such frameworks facilitate both robust risk prediction and etiologic understanding, supporting translation into evidence-informed interventions.</w:t>
      </w:r>
    </w:p>
    <w:p w14:paraId="07D1BC1E" w14:textId="77777777" w:rsidR="005D4314" w:rsidRDefault="005D4314" w:rsidP="005D4314">
      <w:pPr>
        <w:pStyle w:val="a3"/>
      </w:pPr>
      <w:r>
        <w:t xml:space="preserve">Establishing </w:t>
      </w:r>
      <w:r>
        <w:rPr>
          <w:rStyle w:val="a4"/>
          <w:rFonts w:eastAsiaTheme="majorEastAsia"/>
        </w:rPr>
        <w:t>prospective birth cohorts in agricultural settings</w:t>
      </w:r>
      <w:r>
        <w:t xml:space="preserve"> is essential to capture temporally resolved exposures and developmental windows of susceptibility. Longitudinal designs that follow children from prenatal stages through early childhood can generate high-quality data on exposure dynamics, health outcomes, and potential modifiers, providing a foundation for both mechanistic and predictive analyses</w:t>
      </w:r>
      <w:r w:rsidR="00A60316">
        <w:fldChar w:fldCharType="begin"/>
      </w:r>
      <w:r w:rsidR="00AF5059">
        <w:instrText xml:space="preserve"> ADDIN ZOTERO_ITEM CSL_CITATION {"citationID":"GKq6AHVg","properties":{"formattedCitation":"(Fiedler et al., 2025)","plainCitation":"(Fiedler et al., 2025)","noteIndex":0},"citationItems":[{"id":13426,"uris":["http://zotero.org/users/16652950/items/44FV7A7B"],"itemData":{"id":13426,"type":"article-journal","abstract":"Background\nOrganophosphates (OPs) are neurotoxicants used to control pests on crops (e.g., rice). Thai women farmworkers (</w:instrText>
      </w:r>
      <w:r w:rsidR="00AF5059">
        <w:rPr>
          <w:rFonts w:ascii="Cambria Math" w:hAnsi="Cambria Math" w:cs="Cambria Math"/>
        </w:rPr>
        <w:instrText>∼</w:instrText>
      </w:r>
      <w:r w:rsidR="00AF5059">
        <w:instrText xml:space="preserve">23%) may be exposed during childbearing years. Previous literature documents adverse neurodevelopmental effects of prenatal exposure to pesticides although findings are inconsistent.\nObjective\nWe evaluated the associations of prenatal OPs with measures of attention, memory, and information processing.\nMethods\nWe recruited 323 mother/infant pairs and analyzed maternal urine for OPs (∑DAPs) during each trimester of pregnancy. Infants completed computerized tests of visual habituation (VH) (attention), visual paired comparison (VPC) (recognition memory), and continuous performance (CFT) (information processing). Adjusted regression models associated maternal biomarkers with infant measures.\nResults\nWe did not find adverse effects of ∑DAPs associated with VH at 4 or 7 months. However, males in the highest relative to lowest tertile of 2nd trimester ∑DAPs did not exhibit the expected decline in speed of VH from 4 to 7 months. Overall ∑DAPs at 7 and 18 months were negatively associated with VPC for males and females with strongest associations for females. CFT trials to criterion were positively associated with ∑DAPs at 12 and 18 months particularly for males at 18 months, suggesting slower encoding. However, females achieved better performance on visual habituation and continuous familiarization associated with higher maternal ∑DAPs at 4 and 7 months, respectively. We also observed better performance for VPC among males and females at 12 months.\nDiscussion\nBecause infant visual attention, recognition memory, and information processing are predictive of later cognitive development such as emerging executive function, alterations associated with prenatal OPs could have long-term consequences for school readiness.","container-title":"Environmental Research","DOI":"10.1016/j.envres.2025.121197","ISSN":"0013-9351","journalAbbreviation":"Environmental Research","page":"121197","source":"ScienceDirect","title":"A birth cohort observational study to assess the association of prenatal biomarkers of organophosphates with visual attention, recognition memory and information processing among Thai infants","volume":"274","author":[{"family":"Fiedler","given":"Nancy"},{"family":"Nimmapirat","given":"Pimjuta"},{"family":"Sullivan","given":"Margaret Wolan"},{"family":"Promduang","given":"Wathoosiri"},{"family":"Chaikittipornlert","given":"Nattapon"},{"family":"Prapamontol","given":"Tippawan"},{"family":"Naksen","given":"Warangkana"},{"family":"Panuwet","given":"Parinya"},{"family":"Barr","given":"Dana Boyd"},{"family":"Baumert","given":"Brittney O."},{"family":"Ohman-Strickland","given":"Pamela"},{"family":"Suttiwan","given":"Panrapee"}],"issued":{"date-parts":[["2025",6,1]]}}}],"schema":"https://github.com/citation-style-language/schema/raw/master/csl-citation.json"} </w:instrText>
      </w:r>
      <w:r w:rsidR="00A60316">
        <w:fldChar w:fldCharType="separate"/>
      </w:r>
      <w:r w:rsidR="00AF5059" w:rsidRPr="00AF5059">
        <w:t>(Fiedler et al., 2025)</w:t>
      </w:r>
      <w:r w:rsidR="00A60316">
        <w:fldChar w:fldCharType="end"/>
      </w:r>
      <w:r>
        <w:t>.</w:t>
      </w:r>
    </w:p>
    <w:p w14:paraId="142A892B" w14:textId="77777777" w:rsidR="005D4314" w:rsidRDefault="005D4314" w:rsidP="005D4314">
      <w:pPr>
        <w:pStyle w:val="a3"/>
      </w:pPr>
      <w:r>
        <w:t xml:space="preserve">Finally, these advances should be leveraged to enable </w:t>
      </w:r>
      <w:r>
        <w:rPr>
          <w:rStyle w:val="a4"/>
          <w:rFonts w:eastAsiaTheme="majorEastAsia"/>
        </w:rPr>
        <w:t>precision environmental health</w:t>
      </w:r>
      <w:r>
        <w:t xml:space="preserve"> interventions. By integrating individual- and community-level exposure profiles with predictive models, it is possible to develop targeted prevention strategies, optimize surveillance efforts, and inform personalized guidance for high-risk families. Such an approach bridges fundamental research with actionable public health practice, offering a pathway to reduce pediatric cancer burden in agricultural populations while addressing broader issues of environmental justice and equity.</w:t>
      </w:r>
    </w:p>
    <w:p w14:paraId="3EDCE7ED" w14:textId="77777777" w:rsidR="005D4314" w:rsidRDefault="005D4314"/>
    <w:p w14:paraId="3BBA3681" w14:textId="77777777" w:rsidR="007C0A09" w:rsidRDefault="007C0A09" w:rsidP="007C0A09">
      <w:pPr>
        <w:pStyle w:val="3"/>
      </w:pPr>
      <w:r>
        <w:t>12. Conclusions</w:t>
      </w:r>
    </w:p>
    <w:p w14:paraId="71C9D0AC" w14:textId="77777777" w:rsidR="007C0A09" w:rsidRDefault="007C0A09" w:rsidP="007C0A09">
      <w:pPr>
        <w:pStyle w:val="a3"/>
      </w:pPr>
      <w:r>
        <w:t>The accumulated evidence indicates that early-life exposure to agrochemicals in agricultural environments is associated with an increased risk of pediatric cancers, with the strongest support observed for acute lymphoblastic leukemia and, to a lesser extent, central nervous system tumors. Mechanistic studies provide biological plausibility, highlighting pathways such as DNA damage, endocrine disruption, epigenetic reprogramming, and immune dysregulation, particularly during sensitive prenatal and early childhood developmental windows.</w:t>
      </w:r>
    </w:p>
    <w:p w14:paraId="66574035" w14:textId="77777777" w:rsidR="007C0A09" w:rsidRDefault="007C0A09" w:rsidP="007C0A09">
      <w:pPr>
        <w:pStyle w:val="a3"/>
      </w:pPr>
      <w:r>
        <w:t xml:space="preserve">Predictive modeling approaches, including GIS-based exposure models, statistical regression frameworks, and machine learning algorithms, have enhanced the capacity to quantify and interpret complex exposure patterns. These tools offer significant value for risk stratification, identification of high-exposure subgroups, and the integration of spatial and temporal exposure </w:t>
      </w:r>
      <w:r>
        <w:lastRenderedPageBreak/>
        <w:t>dynamics. However, their utility is tempered by limitations, including potential exposure misclassification, challenges in modeling chemical mixtures, and limited incorporation of mechanistic evidence, which can constrain causal inference and policy translation.</w:t>
      </w:r>
    </w:p>
    <w:p w14:paraId="3C47167C" w14:textId="77777777" w:rsidR="007C0A09" w:rsidRDefault="007C0A09" w:rsidP="007C0A09">
      <w:pPr>
        <w:pStyle w:val="a3"/>
      </w:pPr>
      <w:r>
        <w:t xml:space="preserve">Addressing these limitations will require </w:t>
      </w:r>
      <w:r>
        <w:rPr>
          <w:rStyle w:val="a4"/>
          <w:rFonts w:eastAsiaTheme="majorEastAsia"/>
        </w:rPr>
        <w:t>interdisciplinary, prevention-oriented research</w:t>
      </w:r>
      <w:r>
        <w:t xml:space="preserve"> that integrates longitudinal cohort designs, high-resolution biomonitoring, mechanistic insights, and hybrid causal–predictive modeling frameworks. Such efforts are essential to advance the science of early-life environmental exposures, inform targeted interventions, and ultimately reduce the burden of pediatric cancers in agricultural communities while promoting equitable health outcomes.</w:t>
      </w:r>
    </w:p>
    <w:p w14:paraId="0E3655BD" w14:textId="77777777" w:rsidR="007C0A09" w:rsidRPr="00D76780" w:rsidRDefault="007C0A09">
      <w:pPr>
        <w:rPr>
          <w:rFonts w:ascii="Times New Roman" w:hAnsi="Times New Roman" w:cs="Times New Roman"/>
          <w:b/>
        </w:rPr>
      </w:pPr>
    </w:p>
    <w:p w14:paraId="5583DA19" w14:textId="77777777" w:rsidR="00D76780" w:rsidRDefault="00D76780">
      <w:pPr>
        <w:rPr>
          <w:rFonts w:ascii="Times New Roman" w:hAnsi="Times New Roman" w:cs="Times New Roman"/>
          <w:b/>
        </w:rPr>
      </w:pPr>
      <w:r w:rsidRPr="00D76780">
        <w:rPr>
          <w:rFonts w:ascii="Times New Roman" w:hAnsi="Times New Roman" w:cs="Times New Roman"/>
          <w:b/>
        </w:rPr>
        <w:t>REFERENCES</w:t>
      </w:r>
    </w:p>
    <w:p w14:paraId="3E52D1E4" w14:textId="77777777" w:rsidR="00D76780" w:rsidRDefault="00D76780">
      <w:pPr>
        <w:rPr>
          <w:rFonts w:ascii="Times New Roman" w:hAnsi="Times New Roman" w:cs="Times New Roman"/>
          <w:b/>
        </w:rPr>
      </w:pPr>
    </w:p>
    <w:p w14:paraId="0A4AE562" w14:textId="77777777" w:rsidR="00D76780" w:rsidRPr="00D76780" w:rsidRDefault="00A60316" w:rsidP="00D76780">
      <w:pPr>
        <w:pStyle w:val="a7"/>
        <w:rPr>
          <w:rFonts w:ascii="Times New Roman" w:hAnsi="Times New Roman" w:cs="Times New Roman"/>
        </w:rPr>
      </w:pPr>
      <w:r>
        <w:rPr>
          <w:b/>
        </w:rPr>
        <w:fldChar w:fldCharType="begin"/>
      </w:r>
      <w:r w:rsidR="00D76780">
        <w:rPr>
          <w:b/>
        </w:rPr>
        <w:instrText xml:space="preserve"> ADDIN ZOTERO_BIBL {"uncited":[],"omitted":[],"custom":[]} CSL_BIBLIOGRAPHY </w:instrText>
      </w:r>
      <w:r>
        <w:rPr>
          <w:b/>
        </w:rPr>
        <w:fldChar w:fldCharType="separate"/>
      </w:r>
      <w:r w:rsidR="00D76780" w:rsidRPr="00D76780">
        <w:rPr>
          <w:rFonts w:ascii="Times New Roman" w:hAnsi="Times New Roman" w:cs="Times New Roman"/>
        </w:rPr>
        <w:t xml:space="preserve">Afandi, G. E., Ismael, H., Fall, S., Ankumah, R., Afandi, G. E., Ismael, H., Fall, S., &amp; Ankumah, R. (2023). Effectiveness of Utilizing Remote Sensing and GIS Techniques to Estimate the Exposure to Organophosphate Pesticides Drift over Macon, Alabama. </w:t>
      </w:r>
      <w:r w:rsidR="00D76780" w:rsidRPr="00D76780">
        <w:rPr>
          <w:rFonts w:ascii="Times New Roman" w:hAnsi="Times New Roman" w:cs="Times New Roman"/>
          <w:i/>
          <w:iCs/>
        </w:rPr>
        <w:t>Agronomy</w:t>
      </w:r>
      <w:r w:rsidR="00D76780" w:rsidRPr="00D76780">
        <w:rPr>
          <w:rFonts w:ascii="Times New Roman" w:hAnsi="Times New Roman" w:cs="Times New Roman"/>
        </w:rPr>
        <w:t xml:space="preserve">, </w:t>
      </w:r>
      <w:r w:rsidR="00D76780" w:rsidRPr="00D76780">
        <w:rPr>
          <w:rFonts w:ascii="Times New Roman" w:hAnsi="Times New Roman" w:cs="Times New Roman"/>
          <w:i/>
          <w:iCs/>
        </w:rPr>
        <w:t>13</w:t>
      </w:r>
      <w:r w:rsidR="00D76780" w:rsidRPr="00D76780">
        <w:rPr>
          <w:rFonts w:ascii="Times New Roman" w:hAnsi="Times New Roman" w:cs="Times New Roman"/>
        </w:rPr>
        <w:t>(7). https://doi.org/10.3390/agronomy13071759</w:t>
      </w:r>
    </w:p>
    <w:p w14:paraId="764E9400"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Animashaun, T. A., Sunday, O., Ogunleye, E., Agbahiwe, O. K., Afolayan, O. N., Okpoko, O. A., Enabulele, A. B. O., Enobakhare, B. O., &amp; Ifionu, E. S. (2025). AI-Powered Digital Twin Platforms for Next-Generation Structural Health Monitoring: From Concept to Intelligent Decision-Making. </w:t>
      </w:r>
      <w:r w:rsidRPr="00D76780">
        <w:rPr>
          <w:rFonts w:ascii="Times New Roman" w:hAnsi="Times New Roman" w:cs="Times New Roman"/>
          <w:i/>
          <w:iCs/>
        </w:rPr>
        <w:t>Journal of Engineering Research and Reports</w:t>
      </w:r>
      <w:r w:rsidRPr="00D76780">
        <w:rPr>
          <w:rFonts w:ascii="Times New Roman" w:hAnsi="Times New Roman" w:cs="Times New Roman"/>
        </w:rPr>
        <w:t xml:space="preserve">, </w:t>
      </w:r>
      <w:r w:rsidRPr="00D76780">
        <w:rPr>
          <w:rFonts w:ascii="Times New Roman" w:hAnsi="Times New Roman" w:cs="Times New Roman"/>
          <w:i/>
          <w:iCs/>
        </w:rPr>
        <w:t>27</w:t>
      </w:r>
      <w:r w:rsidRPr="00D76780">
        <w:rPr>
          <w:rFonts w:ascii="Times New Roman" w:hAnsi="Times New Roman" w:cs="Times New Roman"/>
        </w:rPr>
        <w:t>(10), 12–37. https://doi.org/10.9734/jerr/2025/v27i101652</w:t>
      </w:r>
    </w:p>
    <w:p w14:paraId="3F90B511"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Ashish Pandey. (2023). Study on the cancer by chemical pesticides exposure to pesticide applicators, farm workers and consumers: Urgent need for safer eco-friendly pesticides. </w:t>
      </w:r>
      <w:r w:rsidRPr="00D76780">
        <w:rPr>
          <w:rFonts w:ascii="Times New Roman" w:hAnsi="Times New Roman" w:cs="Times New Roman"/>
          <w:i/>
          <w:iCs/>
        </w:rPr>
        <w:t>World Journal of Advanced Research and Reviews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(2), 121–125. https://doi.org/10.30574/wjarr.2023.17.2.0199</w:t>
      </w:r>
    </w:p>
    <w:p w14:paraId="2D7F2AC3"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Augustin, J., Andrees, V., Walsh, D., Reintjes, R., Koller, D., Augustin, J., Andrees, V., Walsh, D., Reintjes, R., &amp; Koller, D. (2023). Spatial Aspects of Health—Developing a </w:t>
      </w:r>
      <w:r w:rsidRPr="00D76780">
        <w:rPr>
          <w:rFonts w:ascii="Times New Roman" w:hAnsi="Times New Roman" w:cs="Times New Roman"/>
        </w:rPr>
        <w:lastRenderedPageBreak/>
        <w:t xml:space="preserve">Conceptual Framework. </w:t>
      </w:r>
      <w:r w:rsidRPr="00D76780">
        <w:rPr>
          <w:rFonts w:ascii="Times New Roman" w:hAnsi="Times New Roman" w:cs="Times New Roman"/>
          <w:i/>
          <w:iCs/>
        </w:rPr>
        <w:t>International Journal of Environmental Research and Public Health</w:t>
      </w:r>
      <w:r w:rsidRPr="00D76780">
        <w:rPr>
          <w:rFonts w:ascii="Times New Roman" w:hAnsi="Times New Roman" w:cs="Times New Roman"/>
        </w:rPr>
        <w:t xml:space="preserve">, </w:t>
      </w:r>
      <w:r w:rsidRPr="00D76780">
        <w:rPr>
          <w:rFonts w:ascii="Times New Roman" w:hAnsi="Times New Roman" w:cs="Times New Roman"/>
          <w:i/>
          <w:iCs/>
        </w:rPr>
        <w:t>20</w:t>
      </w:r>
      <w:r w:rsidRPr="00D76780">
        <w:rPr>
          <w:rFonts w:ascii="Times New Roman" w:hAnsi="Times New Roman" w:cs="Times New Roman"/>
        </w:rPr>
        <w:t>(3). https://doi.org/10.3390/ijerph20031817</w:t>
      </w:r>
    </w:p>
    <w:p w14:paraId="02984FAA"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Baćmaga, M., Wyszkowska, J., &amp; Kucharski, J. (2024). Environmental Implication of Herbicide Use. </w:t>
      </w:r>
      <w:r w:rsidRPr="00D76780">
        <w:rPr>
          <w:rFonts w:ascii="Times New Roman" w:hAnsi="Times New Roman" w:cs="Times New Roman"/>
          <w:i/>
          <w:iCs/>
        </w:rPr>
        <w:t>Molecules</w:t>
      </w:r>
      <w:r w:rsidRPr="00D76780">
        <w:rPr>
          <w:rFonts w:ascii="Times New Roman" w:hAnsi="Times New Roman" w:cs="Times New Roman"/>
        </w:rPr>
        <w:t xml:space="preserve">, </w:t>
      </w:r>
      <w:r w:rsidRPr="00D76780">
        <w:rPr>
          <w:rFonts w:ascii="Times New Roman" w:hAnsi="Times New Roman" w:cs="Times New Roman"/>
          <w:i/>
          <w:iCs/>
        </w:rPr>
        <w:t>29</w:t>
      </w:r>
      <w:r w:rsidRPr="00D76780">
        <w:rPr>
          <w:rFonts w:ascii="Times New Roman" w:hAnsi="Times New Roman" w:cs="Times New Roman"/>
        </w:rPr>
        <w:t>(24), 5965. https://doi.org/10.3390/molecules29245965</w:t>
      </w:r>
    </w:p>
    <w:p w14:paraId="2834D18D"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Chen, K.-C., Lee, S.-F., Lin, S.-W., Xie, J.-S., Chang, Y.-H., Yiin, L.-M., &amp; Hsieh, C.-J. (2023). Associations between residential proximity to agricultural land use as pesticides exposure and birth outcomes. </w:t>
      </w:r>
      <w:r w:rsidRPr="00D76780">
        <w:rPr>
          <w:rFonts w:ascii="Times New Roman" w:hAnsi="Times New Roman" w:cs="Times New Roman"/>
          <w:i/>
          <w:iCs/>
        </w:rPr>
        <w:t>Environmental Science and Pollution Research International</w:t>
      </w:r>
      <w:r w:rsidRPr="00D76780">
        <w:rPr>
          <w:rFonts w:ascii="Times New Roman" w:hAnsi="Times New Roman" w:cs="Times New Roman"/>
        </w:rPr>
        <w:t xml:space="preserve">, </w:t>
      </w:r>
      <w:r w:rsidRPr="00D76780">
        <w:rPr>
          <w:rFonts w:ascii="Times New Roman" w:hAnsi="Times New Roman" w:cs="Times New Roman"/>
          <w:i/>
          <w:iCs/>
        </w:rPr>
        <w:t>30</w:t>
      </w:r>
      <w:r w:rsidRPr="00D76780">
        <w:rPr>
          <w:rFonts w:ascii="Times New Roman" w:hAnsi="Times New Roman" w:cs="Times New Roman"/>
        </w:rPr>
        <w:t>(12), 33253–33263. https://doi.org/10.1007/s11356-022-24571-8</w:t>
      </w:r>
    </w:p>
    <w:p w14:paraId="0D57C8D3"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Chiu, Y.-H. M., Coull, B. A., Wilson, A., Hsu, H.-H. L., Xhani, N., Nentin, F., Deli, B. C., Schwartz, J., Colicino, E., Wright, R. O., &amp; Wright, R. J. (2025). Air Pollution Mixture Exposure during Pregnancy and Postpartum Psychological Functioning: Racial/ethnic- and fetal sex-specific associations. </w:t>
      </w:r>
      <w:r w:rsidRPr="00D76780">
        <w:rPr>
          <w:rFonts w:ascii="Times New Roman" w:hAnsi="Times New Roman" w:cs="Times New Roman"/>
          <w:i/>
          <w:iCs/>
        </w:rPr>
        <w:t>Journal of Exposure Science &amp; Environmental Epidemiology</w:t>
      </w:r>
      <w:r w:rsidRPr="00D76780">
        <w:rPr>
          <w:rFonts w:ascii="Times New Roman" w:hAnsi="Times New Roman" w:cs="Times New Roman"/>
        </w:rPr>
        <w:t xml:space="preserve">, </w:t>
      </w:r>
      <w:r w:rsidRPr="00D76780">
        <w:rPr>
          <w:rFonts w:ascii="Times New Roman" w:hAnsi="Times New Roman" w:cs="Times New Roman"/>
          <w:i/>
          <w:iCs/>
        </w:rPr>
        <w:t>35</w:t>
      </w:r>
      <w:r w:rsidRPr="00D76780">
        <w:rPr>
          <w:rFonts w:ascii="Times New Roman" w:hAnsi="Times New Roman" w:cs="Times New Roman"/>
        </w:rPr>
        <w:t>(4), 548–556. https://doi.org/10.1038/s41370-024-00726-2</w:t>
      </w:r>
    </w:p>
    <w:p w14:paraId="7BBFEC6A"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Conejo-Bolaños, L. D., Mora, A. M., Hernández-Bonilla, D., Cano, J. C., Menezes-Filho, J. A., Eskenazi, B., Lindh, C. H., &amp; van Wendel de Joode, B. (2024). Prenatal current-use pesticide exposure and children’s neurodevelopment at one year of age in the Infants’ Environmental Health (ISA) birth cohort, Costa Rica. </w:t>
      </w:r>
      <w:r w:rsidRPr="00D76780">
        <w:rPr>
          <w:rFonts w:ascii="Times New Roman" w:hAnsi="Times New Roman" w:cs="Times New Roman"/>
          <w:i/>
          <w:iCs/>
        </w:rPr>
        <w:t>Environmental Research</w:t>
      </w:r>
      <w:r w:rsidRPr="00D76780">
        <w:rPr>
          <w:rFonts w:ascii="Times New Roman" w:hAnsi="Times New Roman" w:cs="Times New Roman"/>
        </w:rPr>
        <w:t xml:space="preserve">, </w:t>
      </w:r>
      <w:r w:rsidRPr="00D76780">
        <w:rPr>
          <w:rFonts w:ascii="Times New Roman" w:hAnsi="Times New Roman" w:cs="Times New Roman"/>
          <w:i/>
          <w:iCs/>
        </w:rPr>
        <w:t>249</w:t>
      </w:r>
      <w:r w:rsidRPr="00D76780">
        <w:rPr>
          <w:rFonts w:ascii="Times New Roman" w:hAnsi="Times New Roman" w:cs="Times New Roman"/>
        </w:rPr>
        <w:t>, 118222. https://doi.org/10.1016/j.envres.2024.118222</w:t>
      </w:r>
    </w:p>
    <w:p w14:paraId="0CDD8D55"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Dallere, S., Rasà, D. M., Pavarino, G., Schellino, R., Vercelli, A., &amp; Boido, M. (2025). The exposome from neurodevelopment to neurodegeneration: A narrative review. </w:t>
      </w:r>
      <w:r w:rsidRPr="00D76780">
        <w:rPr>
          <w:rFonts w:ascii="Times New Roman" w:hAnsi="Times New Roman" w:cs="Times New Roman"/>
          <w:i/>
          <w:iCs/>
        </w:rPr>
        <w:t>Neuroscience &amp; Biobehavioral Reviews</w:t>
      </w:r>
      <w:r w:rsidRPr="00D76780">
        <w:rPr>
          <w:rFonts w:ascii="Times New Roman" w:hAnsi="Times New Roman" w:cs="Times New Roman"/>
        </w:rPr>
        <w:t xml:space="preserve">, </w:t>
      </w:r>
      <w:r w:rsidRPr="00D76780">
        <w:rPr>
          <w:rFonts w:ascii="Times New Roman" w:hAnsi="Times New Roman" w:cs="Times New Roman"/>
          <w:i/>
          <w:iCs/>
        </w:rPr>
        <w:t>176</w:t>
      </w:r>
      <w:r w:rsidRPr="00D76780">
        <w:rPr>
          <w:rFonts w:ascii="Times New Roman" w:hAnsi="Times New Roman" w:cs="Times New Roman"/>
        </w:rPr>
        <w:t>, 106247. https://doi.org/10.1016/j.neubiorev.2025.106247</w:t>
      </w:r>
    </w:p>
    <w:p w14:paraId="2A839BDF"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lastRenderedPageBreak/>
        <w:t xml:space="preserve">Deepika, D., Bharti, K., Sharma, S., Kumar, S., Pathak, R. K., Biosca Brull, J., Sabuz, O., García Vilana, S., &amp; Kumar, V. (2025). Advancing human health risk assessment: The role of new approach methodologies. </w:t>
      </w:r>
      <w:r w:rsidRPr="00D76780">
        <w:rPr>
          <w:rFonts w:ascii="Times New Roman" w:hAnsi="Times New Roman" w:cs="Times New Roman"/>
          <w:i/>
          <w:iCs/>
        </w:rPr>
        <w:t>Frontiers in Toxicology</w:t>
      </w:r>
      <w:r w:rsidRPr="00D76780">
        <w:rPr>
          <w:rFonts w:ascii="Times New Roman" w:hAnsi="Times New Roman" w:cs="Times New Roman"/>
        </w:rPr>
        <w:t xml:space="preserve">, </w:t>
      </w:r>
      <w:r w:rsidRPr="00D76780">
        <w:rPr>
          <w:rFonts w:ascii="Times New Roman" w:hAnsi="Times New Roman" w:cs="Times New Roman"/>
          <w:i/>
          <w:iCs/>
        </w:rPr>
        <w:t>7</w:t>
      </w:r>
      <w:r w:rsidRPr="00D76780">
        <w:rPr>
          <w:rFonts w:ascii="Times New Roman" w:hAnsi="Times New Roman" w:cs="Times New Roman"/>
        </w:rPr>
        <w:t>, 1632941. https://doi.org/10.3389/ftox.2025.1632941</w:t>
      </w:r>
    </w:p>
    <w:p w14:paraId="15FF7103"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Desai, S., Morimoto, L. M., Kang, A. Y., Miller, M. D., Wiemels, J. L., Winestone, L. E., Metayer, C., Desai, S., Morimoto, L. M., Kang, A. Y., Miller, M. D., Wiemels, J. L., Winestone, L. E., &amp; Metayer, C. (2025). Pre- and Postnatal Exposures to Residential Pesticides and Survival of Childhood Acute Lymphoblastic Leukemia.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(6). https://doi.org/10.3390/cancers17060978</w:t>
      </w:r>
    </w:p>
    <w:p w14:paraId="039F4002"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Emeny, R. T., Butow, M. E., Titus, L., Ricci, A. M., Bagley, P. J., Blunt, H. B., Morgan, A., Alford-Teaster, J. A., Walston, R. R., &amp; Rees, J. R. (2025). Causes of Childhood Cancer: A Literature Review (2014–2021)—Part 3: Environmental and Occupational Factors.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(21), 3516. https://doi.org/10.3390/cancers17213516</w:t>
      </w:r>
    </w:p>
    <w:p w14:paraId="0F673DE2"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Enabulele, A. B. O., Omo-Enabulele, A. P., Borokinni, M., Iwerumoh, A. N., Olatunbosun, A., Enobakha, B. O., &amp; Ifionu, E. S. (2025). Agile Leadership in Hybrid Workplaces: Evolving Roles and Competencies of Project Managers. </w:t>
      </w:r>
      <w:r w:rsidRPr="00D76780">
        <w:rPr>
          <w:rFonts w:ascii="Times New Roman" w:hAnsi="Times New Roman" w:cs="Times New Roman"/>
          <w:i/>
          <w:iCs/>
        </w:rPr>
        <w:t>Journal of Global Economics, Management and Business Research</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(3), 211–225. https://doi.org/10.56557/jgembr/2025/v17i39756</w:t>
      </w:r>
    </w:p>
    <w:p w14:paraId="06BDC093"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Fiedler, N., Nimmapirat, P., Sullivan, M. W., Promduang, W., Chaikittipornlert, N., Prapamontol, T., Naksen, W., Panuwet, P., Barr, D. B., Baumert, B. O., Ohman-Strickland, P., &amp; Suttiwan, P. (2025). A birth cohort observational study to assess the association of prenatal biomarkers of organophosphates with visual attention, recognition memory and </w:t>
      </w:r>
      <w:r w:rsidRPr="00D76780">
        <w:rPr>
          <w:rFonts w:ascii="Times New Roman" w:hAnsi="Times New Roman" w:cs="Times New Roman"/>
        </w:rPr>
        <w:lastRenderedPageBreak/>
        <w:t xml:space="preserve">information processing among Thai infants. </w:t>
      </w:r>
      <w:r w:rsidRPr="00D76780">
        <w:rPr>
          <w:rFonts w:ascii="Times New Roman" w:hAnsi="Times New Roman" w:cs="Times New Roman"/>
          <w:i/>
          <w:iCs/>
        </w:rPr>
        <w:t>Environmental Research</w:t>
      </w:r>
      <w:r w:rsidRPr="00D76780">
        <w:rPr>
          <w:rFonts w:ascii="Times New Roman" w:hAnsi="Times New Roman" w:cs="Times New Roman"/>
        </w:rPr>
        <w:t xml:space="preserve">, </w:t>
      </w:r>
      <w:r w:rsidRPr="00D76780">
        <w:rPr>
          <w:rFonts w:ascii="Times New Roman" w:hAnsi="Times New Roman" w:cs="Times New Roman"/>
          <w:i/>
          <w:iCs/>
        </w:rPr>
        <w:t>274</w:t>
      </w:r>
      <w:r w:rsidRPr="00D76780">
        <w:rPr>
          <w:rFonts w:ascii="Times New Roman" w:hAnsi="Times New Roman" w:cs="Times New Roman"/>
        </w:rPr>
        <w:t>, 121197. https://doi.org/10.1016/j.envres.2025.121197</w:t>
      </w:r>
    </w:p>
    <w:p w14:paraId="38918718"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Figueiredo, D. M., Mu, H., Osman, R., Silva, V., Graumans, M., van Dael, M., Balkhi, S. E., Mol, H., Huss, A., Vermeulen, R., Hofman, J., Abrantes, N., Campos, I., Alcon, F., Contreras, J., Baldi, I., Bureau, M., Alaoui, A., Christ, F., … Scheepers, P. T. J. (2025). Non-dietary personal pesticide exposure using silicone wristbands across 10 European countries. </w:t>
      </w:r>
      <w:r w:rsidRPr="00D76780">
        <w:rPr>
          <w:rFonts w:ascii="Times New Roman" w:hAnsi="Times New Roman" w:cs="Times New Roman"/>
          <w:i/>
          <w:iCs/>
        </w:rPr>
        <w:t>Environment International</w:t>
      </w:r>
      <w:r w:rsidRPr="00D76780">
        <w:rPr>
          <w:rFonts w:ascii="Times New Roman" w:hAnsi="Times New Roman" w:cs="Times New Roman"/>
        </w:rPr>
        <w:t xml:space="preserve">, </w:t>
      </w:r>
      <w:r w:rsidRPr="00D76780">
        <w:rPr>
          <w:rFonts w:ascii="Times New Roman" w:hAnsi="Times New Roman" w:cs="Times New Roman"/>
          <w:i/>
          <w:iCs/>
        </w:rPr>
        <w:t>203</w:t>
      </w:r>
      <w:r w:rsidRPr="00D76780">
        <w:rPr>
          <w:rFonts w:ascii="Times New Roman" w:hAnsi="Times New Roman" w:cs="Times New Roman"/>
        </w:rPr>
        <w:t>, 109734. https://doi.org/10.1016/j.envint.2025.109734</w:t>
      </w:r>
    </w:p>
    <w:p w14:paraId="41F86655"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Gerken, J., Vincent, G. T., Zapata, D., Barron, I. G., &amp; Zapata, I. (2024). Comprehensive assessment of pesticide use patterns and increased cancer risk. </w:t>
      </w:r>
      <w:r w:rsidRPr="00D76780">
        <w:rPr>
          <w:rFonts w:ascii="Times New Roman" w:hAnsi="Times New Roman" w:cs="Times New Roman"/>
          <w:i/>
          <w:iCs/>
        </w:rPr>
        <w:t>Frontiers in Cancer Control and Society</w:t>
      </w:r>
      <w:r w:rsidRPr="00D76780">
        <w:rPr>
          <w:rFonts w:ascii="Times New Roman" w:hAnsi="Times New Roman" w:cs="Times New Roman"/>
        </w:rPr>
        <w:t xml:space="preserve">, </w:t>
      </w:r>
      <w:r w:rsidRPr="00D76780">
        <w:rPr>
          <w:rFonts w:ascii="Times New Roman" w:hAnsi="Times New Roman" w:cs="Times New Roman"/>
          <w:i/>
          <w:iCs/>
        </w:rPr>
        <w:t>2</w:t>
      </w:r>
      <w:r w:rsidRPr="00D76780">
        <w:rPr>
          <w:rFonts w:ascii="Times New Roman" w:hAnsi="Times New Roman" w:cs="Times New Roman"/>
        </w:rPr>
        <w:t>. https://doi.org/10.3389/fcacs.2024.1368086</w:t>
      </w:r>
    </w:p>
    <w:p w14:paraId="717A90B6"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Jerrett, M., Gale, S., Kontgis, C., Jerrett, M., Gale, S., &amp; Kontgis, C. (2010). Spatial Modeling in Environmental and Public Health Research. </w:t>
      </w:r>
      <w:r w:rsidRPr="00D76780">
        <w:rPr>
          <w:rFonts w:ascii="Times New Roman" w:hAnsi="Times New Roman" w:cs="Times New Roman"/>
          <w:i/>
          <w:iCs/>
        </w:rPr>
        <w:t>International Journal of Environmental Research and Public Health</w:t>
      </w:r>
      <w:r w:rsidRPr="00D76780">
        <w:rPr>
          <w:rFonts w:ascii="Times New Roman" w:hAnsi="Times New Roman" w:cs="Times New Roman"/>
        </w:rPr>
        <w:t xml:space="preserve">, </w:t>
      </w:r>
      <w:r w:rsidRPr="00D76780">
        <w:rPr>
          <w:rFonts w:ascii="Times New Roman" w:hAnsi="Times New Roman" w:cs="Times New Roman"/>
          <w:i/>
          <w:iCs/>
        </w:rPr>
        <w:t>7</w:t>
      </w:r>
      <w:r w:rsidRPr="00D76780">
        <w:rPr>
          <w:rFonts w:ascii="Times New Roman" w:hAnsi="Times New Roman" w:cs="Times New Roman"/>
        </w:rPr>
        <w:t>(4), 1302–1329. https://doi.org/10.3390/ijerph7041302</w:t>
      </w:r>
    </w:p>
    <w:p w14:paraId="060E7B0D"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Jurkowska, R. Z. (2024). Role of epigenetic mechanisms in the pathogenesis of chronic respiratory diseases and response to inhaled exposures: From basic concepts to clinical applications. </w:t>
      </w:r>
      <w:r w:rsidRPr="00D76780">
        <w:rPr>
          <w:rFonts w:ascii="Times New Roman" w:hAnsi="Times New Roman" w:cs="Times New Roman"/>
          <w:i/>
          <w:iCs/>
        </w:rPr>
        <w:t>Pharmacology &amp; Therapeutics</w:t>
      </w:r>
      <w:r w:rsidRPr="00D76780">
        <w:rPr>
          <w:rFonts w:ascii="Times New Roman" w:hAnsi="Times New Roman" w:cs="Times New Roman"/>
        </w:rPr>
        <w:t xml:space="preserve">, </w:t>
      </w:r>
      <w:r w:rsidRPr="00D76780">
        <w:rPr>
          <w:rFonts w:ascii="Times New Roman" w:hAnsi="Times New Roman" w:cs="Times New Roman"/>
          <w:i/>
          <w:iCs/>
        </w:rPr>
        <w:t>264</w:t>
      </w:r>
      <w:r w:rsidRPr="00D76780">
        <w:rPr>
          <w:rFonts w:ascii="Times New Roman" w:hAnsi="Times New Roman" w:cs="Times New Roman"/>
        </w:rPr>
        <w:t>, 108732. https://doi.org/10.1016/j.pharmthera.2024.108732</w:t>
      </w:r>
    </w:p>
    <w:p w14:paraId="7493489C"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Karalexi, M. A., Tagkas, C. F., Markozannes, G., Tseretopoulou, X., Hernández, A. F., Schüz, J., Halldorsson, T. I., Psaltopoulou, T., Petridou, E. T., Tzoulaki, I., &amp; Ntzani, E. E. (2021a). Exposure to pesticides and childhood leukemia risk: A systematic review and meta-analysis. </w:t>
      </w:r>
      <w:r w:rsidRPr="00D76780">
        <w:rPr>
          <w:rFonts w:ascii="Times New Roman" w:hAnsi="Times New Roman" w:cs="Times New Roman"/>
          <w:i/>
          <w:iCs/>
        </w:rPr>
        <w:t>Environmental Pollution</w:t>
      </w:r>
      <w:r w:rsidRPr="00D76780">
        <w:rPr>
          <w:rFonts w:ascii="Times New Roman" w:hAnsi="Times New Roman" w:cs="Times New Roman"/>
        </w:rPr>
        <w:t xml:space="preserve">, </w:t>
      </w:r>
      <w:r w:rsidRPr="00D76780">
        <w:rPr>
          <w:rFonts w:ascii="Times New Roman" w:hAnsi="Times New Roman" w:cs="Times New Roman"/>
          <w:i/>
          <w:iCs/>
        </w:rPr>
        <w:t>285</w:t>
      </w:r>
      <w:r w:rsidRPr="00D76780">
        <w:rPr>
          <w:rFonts w:ascii="Times New Roman" w:hAnsi="Times New Roman" w:cs="Times New Roman"/>
        </w:rPr>
        <w:t>, 117376. https://doi.org/10.1016/j.envpol.2021.117376</w:t>
      </w:r>
    </w:p>
    <w:p w14:paraId="51556CED"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lastRenderedPageBreak/>
        <w:t xml:space="preserve">Karalexi, M. A., Tagkas, C. F., Markozannes, G., Tseretopoulou, X., Hernández, A. F., Schüz, J., Halldorsson, T. I., Psaltopoulou, T., Petridou, E. T., Tzoulaki, I., &amp; Ntzani, E. E. (2021b). Exposure to pesticides and childhood leukemia risk: A systematic review and meta-analysis. </w:t>
      </w:r>
      <w:r w:rsidRPr="00D76780">
        <w:rPr>
          <w:rFonts w:ascii="Times New Roman" w:hAnsi="Times New Roman" w:cs="Times New Roman"/>
          <w:i/>
          <w:iCs/>
        </w:rPr>
        <w:t>Environmental Pollution (Barking, Essex: 1987)</w:t>
      </w:r>
      <w:r w:rsidRPr="00D76780">
        <w:rPr>
          <w:rFonts w:ascii="Times New Roman" w:hAnsi="Times New Roman" w:cs="Times New Roman"/>
        </w:rPr>
        <w:t xml:space="preserve">, </w:t>
      </w:r>
      <w:r w:rsidRPr="00D76780">
        <w:rPr>
          <w:rFonts w:ascii="Times New Roman" w:hAnsi="Times New Roman" w:cs="Times New Roman"/>
          <w:i/>
          <w:iCs/>
        </w:rPr>
        <w:t>285</w:t>
      </w:r>
      <w:r w:rsidRPr="00D76780">
        <w:rPr>
          <w:rFonts w:ascii="Times New Roman" w:hAnsi="Times New Roman" w:cs="Times New Roman"/>
        </w:rPr>
        <w:t>, 117376. https://doi.org/10.1016/j.envpol.2021.117376</w:t>
      </w:r>
    </w:p>
    <w:p w14:paraId="55409B6F"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Khan, K. M., Gaine, M. E., Daniel, A. R., Chilamkuri, P., &amp; Rohlman, D. S. (2024). Organophosphorus pesticide exposure from house dust and parent-reported child behavior in Latino children from an orchard community. </w:t>
      </w:r>
      <w:r w:rsidRPr="00D76780">
        <w:rPr>
          <w:rFonts w:ascii="Times New Roman" w:hAnsi="Times New Roman" w:cs="Times New Roman"/>
          <w:i/>
          <w:iCs/>
        </w:rPr>
        <w:t>Neurotoxicology</w:t>
      </w:r>
      <w:r w:rsidRPr="00D76780">
        <w:rPr>
          <w:rFonts w:ascii="Times New Roman" w:hAnsi="Times New Roman" w:cs="Times New Roman"/>
        </w:rPr>
        <w:t xml:space="preserve">, </w:t>
      </w:r>
      <w:r w:rsidRPr="00D76780">
        <w:rPr>
          <w:rFonts w:ascii="Times New Roman" w:hAnsi="Times New Roman" w:cs="Times New Roman"/>
          <w:i/>
          <w:iCs/>
        </w:rPr>
        <w:t>102</w:t>
      </w:r>
      <w:r w:rsidRPr="00D76780">
        <w:rPr>
          <w:rFonts w:ascii="Times New Roman" w:hAnsi="Times New Roman" w:cs="Times New Roman"/>
        </w:rPr>
        <w:t>, 29–36. https://doi.org/10.1016/j.neuro.2024.03.001</w:t>
      </w:r>
    </w:p>
    <w:p w14:paraId="2A97DB46"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Lawal, O. P., Adedayo, O. A., Dorcas, S. I., Akanbi, O. O., Okafor, B. C., Kanu, I., Sone, P. E., Patrick, J. O., Fabiyi, T. O., Adeyemi, B. I., Oziegbe, E. E., &amp; Busari, A. M. (2025). Biomarkers for Tuberculosis Diagnosis and Monitoring: A Review of Translational Progress. </w:t>
      </w:r>
      <w:r w:rsidRPr="00D76780">
        <w:rPr>
          <w:rFonts w:ascii="Times New Roman" w:hAnsi="Times New Roman" w:cs="Times New Roman"/>
          <w:i/>
          <w:iCs/>
        </w:rPr>
        <w:t>Asian Journal of Microbiology and Biotechnology</w:t>
      </w:r>
      <w:r w:rsidRPr="00D76780">
        <w:rPr>
          <w:rFonts w:ascii="Times New Roman" w:hAnsi="Times New Roman" w:cs="Times New Roman"/>
        </w:rPr>
        <w:t xml:space="preserve">, </w:t>
      </w:r>
      <w:r w:rsidRPr="00D76780">
        <w:rPr>
          <w:rFonts w:ascii="Times New Roman" w:hAnsi="Times New Roman" w:cs="Times New Roman"/>
          <w:i/>
          <w:iCs/>
        </w:rPr>
        <w:t>10</w:t>
      </w:r>
      <w:r w:rsidRPr="00D76780">
        <w:rPr>
          <w:rFonts w:ascii="Times New Roman" w:hAnsi="Times New Roman" w:cs="Times New Roman"/>
        </w:rPr>
        <w:t>(1), 115–130. https://doi.org/10.56557/ajmab/2025/v10i19351</w:t>
      </w:r>
    </w:p>
    <w:p w14:paraId="1EC3E020"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Lawal, O. P., Igwe, E. P., Olosunde, A., Chisom, E. P., Okeh, D. U., Olowookere, A. K., Adedayo, O. A., Agu, C. P., Mustapha, F. A., Odubo, F., &amp; Orobator, E. T. (2025). Integrating Real-Time Data and Machine Learning in Predicting Infectious Disease Outbreaks: Enhancing Response Strategies in Sub-Saharan Africa. </w:t>
      </w:r>
      <w:r w:rsidRPr="00D76780">
        <w:rPr>
          <w:rFonts w:ascii="Times New Roman" w:hAnsi="Times New Roman" w:cs="Times New Roman"/>
          <w:i/>
          <w:iCs/>
        </w:rPr>
        <w:t>Asian Journal of Microbiology and Biotechnology</w:t>
      </w:r>
      <w:r w:rsidRPr="00D76780">
        <w:rPr>
          <w:rFonts w:ascii="Times New Roman" w:hAnsi="Times New Roman" w:cs="Times New Roman"/>
        </w:rPr>
        <w:t xml:space="preserve">, </w:t>
      </w:r>
      <w:r w:rsidRPr="00D76780">
        <w:rPr>
          <w:rFonts w:ascii="Times New Roman" w:hAnsi="Times New Roman" w:cs="Times New Roman"/>
          <w:i/>
          <w:iCs/>
        </w:rPr>
        <w:t>10</w:t>
      </w:r>
      <w:r w:rsidRPr="00D76780">
        <w:rPr>
          <w:rFonts w:ascii="Times New Roman" w:hAnsi="Times New Roman" w:cs="Times New Roman"/>
        </w:rPr>
        <w:t>(1), 147–163. https://doi.org/10.56557/ajmab/2025/v10i19371</w:t>
      </w:r>
    </w:p>
    <w:p w14:paraId="5B7A0157"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López-Flores, I., González-Alzaga, B., Romero-Molina, D., Hernández, A. F., Pérez-Luzardo, O., Acosta-Dacal, A., Macías-Montes, A., Henríquez-Hernández, L. A., Boada, L. D., Pelegrí, D., González, J. R., &amp; Lacasaña, M. (2025). Gestational exposure to </w:t>
      </w:r>
      <w:r w:rsidRPr="00D76780">
        <w:rPr>
          <w:rFonts w:ascii="Times New Roman" w:hAnsi="Times New Roman" w:cs="Times New Roman"/>
        </w:rPr>
        <w:lastRenderedPageBreak/>
        <w:t xml:space="preserve">organophosphate pesticides and maternal urine metabolomic profile in the GENEIDA birth cohort. </w:t>
      </w:r>
      <w:r w:rsidRPr="00D76780">
        <w:rPr>
          <w:rFonts w:ascii="Times New Roman" w:hAnsi="Times New Roman" w:cs="Times New Roman"/>
          <w:i/>
          <w:iCs/>
        </w:rPr>
        <w:t>Environmental Toxicology and Pharmacology</w:t>
      </w:r>
      <w:r w:rsidRPr="00D76780">
        <w:rPr>
          <w:rFonts w:ascii="Times New Roman" w:hAnsi="Times New Roman" w:cs="Times New Roman"/>
        </w:rPr>
        <w:t xml:space="preserve">, </w:t>
      </w:r>
      <w:r w:rsidRPr="00D76780">
        <w:rPr>
          <w:rFonts w:ascii="Times New Roman" w:hAnsi="Times New Roman" w:cs="Times New Roman"/>
          <w:i/>
          <w:iCs/>
        </w:rPr>
        <w:t>118</w:t>
      </w:r>
      <w:r w:rsidRPr="00D76780">
        <w:rPr>
          <w:rFonts w:ascii="Times New Roman" w:hAnsi="Times New Roman" w:cs="Times New Roman"/>
        </w:rPr>
        <w:t>, 104793. https://doi.org/10.1016/j.etap.2025.104793</w:t>
      </w:r>
    </w:p>
    <w:p w14:paraId="72925F03"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Ma, J., Liu, S., &amp; Pei, Y. (2025). SHAP-based interpretable machine learning for injury risk prediction in university football players: A multi-dimensional data analysis approach. </w:t>
      </w:r>
      <w:r w:rsidRPr="00D76780">
        <w:rPr>
          <w:rFonts w:ascii="Times New Roman" w:hAnsi="Times New Roman" w:cs="Times New Roman"/>
          <w:i/>
          <w:iCs/>
        </w:rPr>
        <w:t>Scientific Reports</w:t>
      </w:r>
      <w:r w:rsidRPr="00D76780">
        <w:rPr>
          <w:rFonts w:ascii="Times New Roman" w:hAnsi="Times New Roman" w:cs="Times New Roman"/>
        </w:rPr>
        <w:t xml:space="preserve">, </w:t>
      </w:r>
      <w:r w:rsidRPr="00D76780">
        <w:rPr>
          <w:rFonts w:ascii="Times New Roman" w:hAnsi="Times New Roman" w:cs="Times New Roman"/>
          <w:i/>
          <w:iCs/>
        </w:rPr>
        <w:t>15</w:t>
      </w:r>
      <w:r w:rsidRPr="00D76780">
        <w:rPr>
          <w:rFonts w:ascii="Times New Roman" w:hAnsi="Times New Roman" w:cs="Times New Roman"/>
        </w:rPr>
        <w:t>(1), 40252. https://doi.org/10.1038/s41598-025-24144-y</w:t>
      </w:r>
    </w:p>
    <w:p w14:paraId="7453F251"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Malashin, I., Tynchenko, V., Gantimurov, A., Nelyub, V., Borodulin, A., Malashin, I., Tynchenko, V., Gantimurov, A., Nelyub, V., &amp; Borodulin, A. (2025). Boosting-Based Machine Learning Applications in Polymer Science: A Review. </w:t>
      </w:r>
      <w:r w:rsidRPr="00D76780">
        <w:rPr>
          <w:rFonts w:ascii="Times New Roman" w:hAnsi="Times New Roman" w:cs="Times New Roman"/>
          <w:i/>
          <w:iCs/>
        </w:rPr>
        <w:t>Polymers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(4). https://doi.org/10.3390/polym17040499</w:t>
      </w:r>
    </w:p>
    <w:p w14:paraId="538413EC"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Mijač, S., Banić, I., Genc, A.-M., Lipej, M., Turkalj, M., Mijač, S., Banić, I., Genc, A.-M., Lipej, M., &amp; Turkalj, M. (2024). The Effects of Environmental Exposure on Epigenetic Modifications in Allergic Diseases. </w:t>
      </w:r>
      <w:r w:rsidRPr="00D76780">
        <w:rPr>
          <w:rFonts w:ascii="Times New Roman" w:hAnsi="Times New Roman" w:cs="Times New Roman"/>
          <w:i/>
          <w:iCs/>
        </w:rPr>
        <w:t>Medicina</w:t>
      </w:r>
      <w:r w:rsidRPr="00D76780">
        <w:rPr>
          <w:rFonts w:ascii="Times New Roman" w:hAnsi="Times New Roman" w:cs="Times New Roman"/>
        </w:rPr>
        <w:t xml:space="preserve">, </w:t>
      </w:r>
      <w:r w:rsidRPr="00D76780">
        <w:rPr>
          <w:rFonts w:ascii="Times New Roman" w:hAnsi="Times New Roman" w:cs="Times New Roman"/>
          <w:i/>
          <w:iCs/>
        </w:rPr>
        <w:t>60</w:t>
      </w:r>
      <w:r w:rsidRPr="00D76780">
        <w:rPr>
          <w:rFonts w:ascii="Times New Roman" w:hAnsi="Times New Roman" w:cs="Times New Roman"/>
        </w:rPr>
        <w:t>(1). https://doi.org/10.3390/medicina60010110</w:t>
      </w:r>
    </w:p>
    <w:p w14:paraId="0CFD2060"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Muñoz-Bautista, J. M., Bernal-Mercado, A. T., Martínez-Cruz, O., Burgos-Hernández, A., López-Zavala, A. A., Ruiz-Cruz, S., Ornelas-Paz, J. de J., Borboa-Flores, J., Ramos-Enríquez, J. R., Del-Toro-Sánchez, C. L., Muñoz-Bautista, J. M., Bernal-Mercado, A. T., Martínez-Cruz, O., Burgos-Hernández, A., López-Zavala, A. A., Ruiz-Cruz, S., Ornelas-Paz, J. de J., Borboa-Flores, J., Ramos-Enríquez, J. R., &amp; Del-Toro-Sánchez, C. L. (2025). Environmental and Health Impacts of Pesticides and Nanotechnology as an Alternative in Agriculture. </w:t>
      </w:r>
      <w:r w:rsidRPr="00D76780">
        <w:rPr>
          <w:rFonts w:ascii="Times New Roman" w:hAnsi="Times New Roman" w:cs="Times New Roman"/>
          <w:i/>
          <w:iCs/>
        </w:rPr>
        <w:t>Agronomy</w:t>
      </w:r>
      <w:r w:rsidRPr="00D76780">
        <w:rPr>
          <w:rFonts w:ascii="Times New Roman" w:hAnsi="Times New Roman" w:cs="Times New Roman"/>
        </w:rPr>
        <w:t xml:space="preserve">, </w:t>
      </w:r>
      <w:r w:rsidRPr="00D76780">
        <w:rPr>
          <w:rFonts w:ascii="Times New Roman" w:hAnsi="Times New Roman" w:cs="Times New Roman"/>
          <w:i/>
          <w:iCs/>
        </w:rPr>
        <w:t>15</w:t>
      </w:r>
      <w:r w:rsidRPr="00D76780">
        <w:rPr>
          <w:rFonts w:ascii="Times New Roman" w:hAnsi="Times New Roman" w:cs="Times New Roman"/>
        </w:rPr>
        <w:t>(8). https://doi.org/10.3390/agronomy15081878</w:t>
      </w:r>
    </w:p>
    <w:p w14:paraId="65CFBBF8"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Norvivor, F. A., Peprah, E. K., Danso, D., &amp; Konutse, O. W. (2025). Occupational pesticide exposure and safety assessment among farmers in Hohoe municipality: An ethnographic </w:t>
      </w:r>
      <w:r w:rsidRPr="00D76780">
        <w:rPr>
          <w:rFonts w:ascii="Times New Roman" w:hAnsi="Times New Roman" w:cs="Times New Roman"/>
        </w:rPr>
        <w:lastRenderedPageBreak/>
        <w:t xml:space="preserve">qualitative study. </w:t>
      </w:r>
      <w:r w:rsidRPr="00D76780">
        <w:rPr>
          <w:rFonts w:ascii="Times New Roman" w:hAnsi="Times New Roman" w:cs="Times New Roman"/>
          <w:i/>
          <w:iCs/>
        </w:rPr>
        <w:t>PLOS ONE</w:t>
      </w:r>
      <w:r w:rsidRPr="00D76780">
        <w:rPr>
          <w:rFonts w:ascii="Times New Roman" w:hAnsi="Times New Roman" w:cs="Times New Roman"/>
        </w:rPr>
        <w:t xml:space="preserve">, </w:t>
      </w:r>
      <w:r w:rsidRPr="00D76780">
        <w:rPr>
          <w:rFonts w:ascii="Times New Roman" w:hAnsi="Times New Roman" w:cs="Times New Roman"/>
          <w:i/>
          <w:iCs/>
        </w:rPr>
        <w:t>20</w:t>
      </w:r>
      <w:r w:rsidRPr="00D76780">
        <w:rPr>
          <w:rFonts w:ascii="Times New Roman" w:hAnsi="Times New Roman" w:cs="Times New Roman"/>
        </w:rPr>
        <w:t>(12), e0337693. https://doi.org/10.1371/journal.pone.0337693</w:t>
      </w:r>
    </w:p>
    <w:p w14:paraId="6D6B02AA"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Onyije, F. M., Dolatkhah, R., Olsson, A., Bouaoun, L., Deltour, I., Erdmann, F., Bonaventure, A., Scheurer, M. E., Clavel, J., &amp; Schüz, J. (2024). Risk factors for childhood brain tumours: A systematic review and meta-analysis of observational studies from 1976 to 2022. </w:t>
      </w:r>
      <w:r w:rsidRPr="00D76780">
        <w:rPr>
          <w:rFonts w:ascii="Times New Roman" w:hAnsi="Times New Roman" w:cs="Times New Roman"/>
          <w:i/>
          <w:iCs/>
        </w:rPr>
        <w:t>Cancer Epidemiology</w:t>
      </w:r>
      <w:r w:rsidRPr="00D76780">
        <w:rPr>
          <w:rFonts w:ascii="Times New Roman" w:hAnsi="Times New Roman" w:cs="Times New Roman"/>
        </w:rPr>
        <w:t xml:space="preserve">, </w:t>
      </w:r>
      <w:r w:rsidRPr="00D76780">
        <w:rPr>
          <w:rFonts w:ascii="Times New Roman" w:hAnsi="Times New Roman" w:cs="Times New Roman"/>
          <w:i/>
          <w:iCs/>
        </w:rPr>
        <w:t>88</w:t>
      </w:r>
      <w:r w:rsidRPr="00D76780">
        <w:rPr>
          <w:rFonts w:ascii="Times New Roman" w:hAnsi="Times New Roman" w:cs="Times New Roman"/>
        </w:rPr>
        <w:t>, 102510. https://doi.org/10.1016/j.canep.2023.102510</w:t>
      </w:r>
    </w:p>
    <w:p w14:paraId="3D523157"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Parsons, J., Niu, X., &amp; Bao, L. (2022). A BAYESIAN HIERARCHICAL MODEL FOR COMBINING MULTIPLE DATA SOURCES IN POPULATION SIZE ESTIMATION. </w:t>
      </w:r>
      <w:r w:rsidRPr="00D76780">
        <w:rPr>
          <w:rFonts w:ascii="Times New Roman" w:hAnsi="Times New Roman" w:cs="Times New Roman"/>
          <w:i/>
          <w:iCs/>
        </w:rPr>
        <w:t>The Annals of Applied Statistics</w:t>
      </w:r>
      <w:r w:rsidRPr="00D76780">
        <w:rPr>
          <w:rFonts w:ascii="Times New Roman" w:hAnsi="Times New Roman" w:cs="Times New Roman"/>
        </w:rPr>
        <w:t xml:space="preserve">, </w:t>
      </w:r>
      <w:r w:rsidRPr="00D76780">
        <w:rPr>
          <w:rFonts w:ascii="Times New Roman" w:hAnsi="Times New Roman" w:cs="Times New Roman"/>
          <w:i/>
          <w:iCs/>
        </w:rPr>
        <w:t>16</w:t>
      </w:r>
      <w:r w:rsidRPr="00D76780">
        <w:rPr>
          <w:rFonts w:ascii="Times New Roman" w:hAnsi="Times New Roman" w:cs="Times New Roman"/>
        </w:rPr>
        <w:t>(3), 1550–1562. https://doi.org/10.1214/21-AOAS1556</w:t>
      </w:r>
    </w:p>
    <w:p w14:paraId="153B9A92"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Savitz, D. A., &amp; Wellenius, G. A. (2025). Consequential (and inconsequential) environmental epidemiology. </w:t>
      </w:r>
      <w:r w:rsidRPr="00D76780">
        <w:rPr>
          <w:rFonts w:ascii="Times New Roman" w:hAnsi="Times New Roman" w:cs="Times New Roman"/>
          <w:i/>
          <w:iCs/>
        </w:rPr>
        <w:t>Environmental Epidemiology</w:t>
      </w:r>
      <w:r w:rsidRPr="00D76780">
        <w:rPr>
          <w:rFonts w:ascii="Times New Roman" w:hAnsi="Times New Roman" w:cs="Times New Roman"/>
        </w:rPr>
        <w:t xml:space="preserve">, </w:t>
      </w:r>
      <w:r w:rsidRPr="00D76780">
        <w:rPr>
          <w:rFonts w:ascii="Times New Roman" w:hAnsi="Times New Roman" w:cs="Times New Roman"/>
          <w:i/>
          <w:iCs/>
        </w:rPr>
        <w:t>9</w:t>
      </w:r>
      <w:r w:rsidRPr="00D76780">
        <w:rPr>
          <w:rFonts w:ascii="Times New Roman" w:hAnsi="Times New Roman" w:cs="Times New Roman"/>
        </w:rPr>
        <w:t>(6), e433. https://doi.org/10.1097/EE9.0000000000000433</w:t>
      </w:r>
    </w:p>
    <w:p w14:paraId="2AA57CDA"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Schäfer, R. B., Jackson, M., Juvigny-Khenafou, N., Osakpolor, S. E., Posthuma, L., Schneeweiss, A., Spaak, J., &amp; Vinebrooke, R. (2023). Chemical Mixtures and Multiple Stressors: Same but Different? </w:t>
      </w:r>
      <w:r w:rsidRPr="00D76780">
        <w:rPr>
          <w:rFonts w:ascii="Times New Roman" w:hAnsi="Times New Roman" w:cs="Times New Roman"/>
          <w:i/>
          <w:iCs/>
        </w:rPr>
        <w:t>Environmental Toxicology and Chemistry</w:t>
      </w:r>
      <w:r w:rsidRPr="00D76780">
        <w:rPr>
          <w:rFonts w:ascii="Times New Roman" w:hAnsi="Times New Roman" w:cs="Times New Roman"/>
        </w:rPr>
        <w:t xml:space="preserve">, </w:t>
      </w:r>
      <w:r w:rsidRPr="00D76780">
        <w:rPr>
          <w:rFonts w:ascii="Times New Roman" w:hAnsi="Times New Roman" w:cs="Times New Roman"/>
          <w:i/>
          <w:iCs/>
        </w:rPr>
        <w:t>42</w:t>
      </w:r>
      <w:r w:rsidRPr="00D76780">
        <w:rPr>
          <w:rFonts w:ascii="Times New Roman" w:hAnsi="Times New Roman" w:cs="Times New Roman"/>
        </w:rPr>
        <w:t>(9), 1915–1936. https://doi.org/10.1002/etc.5629</w:t>
      </w:r>
    </w:p>
    <w:p w14:paraId="29B3784F"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Shakeel, O., Wood, N. M., Thompson, H. M., Scheurer, M. E., Miller, M. D., Shakeel, O., Wood, N. M., Thompson, H. M., Scheurer, M. E., &amp; Miller, M. D. (2025). Environmental Exposures Increase Health Risks in Childhood Cancer Survivors.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(13). https://doi.org/10.3390/cancers17132223</w:t>
      </w:r>
    </w:p>
    <w:p w14:paraId="651B429E"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Shekhar, C., Khosya, R., Thakur, K., Mahajan, D., Kumar, R., Kumar, S., &amp; Sharma, A. K. (2024). A systematic review of pesticide exposure, associated risks, and long-term human </w:t>
      </w:r>
      <w:r w:rsidRPr="00D76780">
        <w:rPr>
          <w:rFonts w:ascii="Times New Roman" w:hAnsi="Times New Roman" w:cs="Times New Roman"/>
        </w:rPr>
        <w:lastRenderedPageBreak/>
        <w:t xml:space="preserve">health impacts. </w:t>
      </w:r>
      <w:r w:rsidRPr="00D76780">
        <w:rPr>
          <w:rFonts w:ascii="Times New Roman" w:hAnsi="Times New Roman" w:cs="Times New Roman"/>
          <w:i/>
          <w:iCs/>
        </w:rPr>
        <w:t>Toxicology Reports</w:t>
      </w:r>
      <w:r w:rsidRPr="00D76780">
        <w:rPr>
          <w:rFonts w:ascii="Times New Roman" w:hAnsi="Times New Roman" w:cs="Times New Roman"/>
        </w:rPr>
        <w:t xml:space="preserve">, </w:t>
      </w:r>
      <w:r w:rsidRPr="00D76780">
        <w:rPr>
          <w:rFonts w:ascii="Times New Roman" w:hAnsi="Times New Roman" w:cs="Times New Roman"/>
          <w:i/>
          <w:iCs/>
        </w:rPr>
        <w:t>13</w:t>
      </w:r>
      <w:r w:rsidRPr="00D76780">
        <w:rPr>
          <w:rFonts w:ascii="Times New Roman" w:hAnsi="Times New Roman" w:cs="Times New Roman"/>
        </w:rPr>
        <w:t>, 101840. https://doi.org/10.1016/j.toxrep.2024.101840</w:t>
      </w:r>
    </w:p>
    <w:p w14:paraId="61D79205"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Siegel, D. A., King, J. B., Lupo, P. J., Durbin, E. B., Tai, E., Mills, K., Van Dyne, E., Lunsford, N. B., Henley, S. J., &amp; Wilson, R. J. (2023). Counts, incidence rates, and trends of pediatric cancer in the United States, 2003–2019. </w:t>
      </w:r>
      <w:r w:rsidRPr="00D76780">
        <w:rPr>
          <w:rFonts w:ascii="Times New Roman" w:hAnsi="Times New Roman" w:cs="Times New Roman"/>
          <w:i/>
          <w:iCs/>
        </w:rPr>
        <w:t>Journal of the National Cancer Institute</w:t>
      </w:r>
      <w:r w:rsidRPr="00D76780">
        <w:rPr>
          <w:rFonts w:ascii="Times New Roman" w:hAnsi="Times New Roman" w:cs="Times New Roman"/>
        </w:rPr>
        <w:t xml:space="preserve">, </w:t>
      </w:r>
      <w:r w:rsidRPr="00D76780">
        <w:rPr>
          <w:rFonts w:ascii="Times New Roman" w:hAnsi="Times New Roman" w:cs="Times New Roman"/>
          <w:i/>
          <w:iCs/>
        </w:rPr>
        <w:t>115</w:t>
      </w:r>
      <w:r w:rsidRPr="00D76780">
        <w:rPr>
          <w:rFonts w:ascii="Times New Roman" w:hAnsi="Times New Roman" w:cs="Times New Roman"/>
        </w:rPr>
        <w:t>(11), 1337–1354. https://doi.org/10.1093/jnci/djad115</w:t>
      </w:r>
    </w:p>
    <w:p w14:paraId="2609B5DD"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Silva, K. C. de S., Oliveira, G. E. B., Amarante, M. K., &amp; Panis, C. (2025). Evidence concerning parental exposure to pesticides and the occurrence of leukemia in offspring: A systematic review. </w:t>
      </w:r>
      <w:r w:rsidRPr="00D76780">
        <w:rPr>
          <w:rFonts w:ascii="Times New Roman" w:hAnsi="Times New Roman" w:cs="Times New Roman"/>
          <w:i/>
          <w:iCs/>
        </w:rPr>
        <w:t>Frontiers in Pediatrics</w:t>
      </w:r>
      <w:r w:rsidRPr="00D76780">
        <w:rPr>
          <w:rFonts w:ascii="Times New Roman" w:hAnsi="Times New Roman" w:cs="Times New Roman"/>
        </w:rPr>
        <w:t xml:space="preserve">, </w:t>
      </w:r>
      <w:r w:rsidRPr="00D76780">
        <w:rPr>
          <w:rFonts w:ascii="Times New Roman" w:hAnsi="Times New Roman" w:cs="Times New Roman"/>
          <w:i/>
          <w:iCs/>
        </w:rPr>
        <w:t>13</w:t>
      </w:r>
      <w:r w:rsidRPr="00D76780">
        <w:rPr>
          <w:rFonts w:ascii="Times New Roman" w:hAnsi="Times New Roman" w:cs="Times New Roman"/>
        </w:rPr>
        <w:t>. https://doi.org/10.3389/fped.2025.1560678</w:t>
      </w:r>
    </w:p>
    <w:p w14:paraId="5D92B647"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Sokan-Adeaga, A. A., Sokan-Adeaga, M. A., Sokan-Adeaga, E. D., Oparaji, A. N., Edris, H., Tella, E. O., Balogun, F. A., Aledeh, M., &amp; Amubieya, O. E. (2023). Environmental toxicants and health adversities: A review on interventions of phytochemicals. </w:t>
      </w:r>
      <w:r w:rsidRPr="00D76780">
        <w:rPr>
          <w:rFonts w:ascii="Times New Roman" w:hAnsi="Times New Roman" w:cs="Times New Roman"/>
          <w:i/>
          <w:iCs/>
        </w:rPr>
        <w:t>Journal of Public Health Research</w:t>
      </w:r>
      <w:r w:rsidRPr="00D76780">
        <w:rPr>
          <w:rFonts w:ascii="Times New Roman" w:hAnsi="Times New Roman" w:cs="Times New Roman"/>
        </w:rPr>
        <w:t xml:space="preserve">, </w:t>
      </w:r>
      <w:r w:rsidRPr="00D76780">
        <w:rPr>
          <w:rFonts w:ascii="Times New Roman" w:hAnsi="Times New Roman" w:cs="Times New Roman"/>
          <w:i/>
          <w:iCs/>
        </w:rPr>
        <w:t>12</w:t>
      </w:r>
      <w:r w:rsidRPr="00D76780">
        <w:rPr>
          <w:rFonts w:ascii="Times New Roman" w:hAnsi="Times New Roman" w:cs="Times New Roman"/>
        </w:rPr>
        <w:t>(2), 22799036231181226. https://doi.org/10.1177/22799036231181226</w:t>
      </w:r>
    </w:p>
    <w:p w14:paraId="60679736"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Soni, A., Lawal, O. P., Oyovwi, J. O., Olaniyi, H. I., Anosike, W. O., Orobator, E. T., Gabriels, N., Ghori, I. A. K., &amp; Olaniyi, A. O. (2025). Evaluating the Beneficial Effect of Empagliflozin in Reducing Hospitalisation for Heart Failure in Patients With Type 2 Diabetes Mellitus: A Systematic Review. </w:t>
      </w:r>
      <w:r w:rsidRPr="00D76780">
        <w:rPr>
          <w:rFonts w:ascii="Times New Roman" w:hAnsi="Times New Roman" w:cs="Times New Roman"/>
          <w:i/>
          <w:iCs/>
        </w:rPr>
        <w:t>Cureus</w:t>
      </w:r>
      <w:r w:rsidRPr="00D76780">
        <w:rPr>
          <w:rFonts w:ascii="Times New Roman" w:hAnsi="Times New Roman" w:cs="Times New Roman"/>
        </w:rPr>
        <w:t>. https://doi.org/10.7759/cureus.96593</w:t>
      </w:r>
    </w:p>
    <w:p w14:paraId="0120CF28"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Struys, I., Velázquez, C., Ubels, J., LeJeune, C. L., van Roosmalen, M. J., Rosendahl Huber, A. K. M., van Leeuwen, A. J. C. N., Bossuyt, W., Thienpont, B., Voet, T., Van Calsteren, K., Lenaerts, L., van Boxtel, R., &amp; Amant, F. (2025). Prenatal Exposure to Chemotherapy Increases the Mutation Burden in Human Neonatal Hematopoietic Stem Cells. </w:t>
      </w:r>
      <w:r w:rsidRPr="00D76780">
        <w:rPr>
          <w:rFonts w:ascii="Times New Roman" w:hAnsi="Times New Roman" w:cs="Times New Roman"/>
          <w:i/>
          <w:iCs/>
        </w:rPr>
        <w:t>Cancer Discovery</w:t>
      </w:r>
      <w:r w:rsidRPr="00D76780">
        <w:rPr>
          <w:rFonts w:ascii="Times New Roman" w:hAnsi="Times New Roman" w:cs="Times New Roman"/>
        </w:rPr>
        <w:t xml:space="preserve">, </w:t>
      </w:r>
      <w:r w:rsidRPr="00D76780">
        <w:rPr>
          <w:rFonts w:ascii="Times New Roman" w:hAnsi="Times New Roman" w:cs="Times New Roman"/>
          <w:i/>
          <w:iCs/>
        </w:rPr>
        <w:t>15</w:t>
      </w:r>
      <w:r w:rsidRPr="00D76780">
        <w:rPr>
          <w:rFonts w:ascii="Times New Roman" w:hAnsi="Times New Roman" w:cs="Times New Roman"/>
        </w:rPr>
        <w:t>(5), 903–912. https://doi.org/10.1158/2159-8290.CD-24-1368</w:t>
      </w:r>
    </w:p>
    <w:p w14:paraId="62B7F185"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lastRenderedPageBreak/>
        <w:t xml:space="preserve">Taiba, J., Beseler, C., Zahid, M., Bartelt‐Hunt, S., Kolok, A., &amp; Rogan, E. (2025). Exploring the Joint Association Between Agrichemical Mixtures and Pediatric Cancer. </w:t>
      </w:r>
      <w:r w:rsidRPr="00D76780">
        <w:rPr>
          <w:rFonts w:ascii="Times New Roman" w:hAnsi="Times New Roman" w:cs="Times New Roman"/>
          <w:i/>
          <w:iCs/>
        </w:rPr>
        <w:t>GeoHealth</w:t>
      </w:r>
      <w:r w:rsidRPr="00D76780">
        <w:rPr>
          <w:rFonts w:ascii="Times New Roman" w:hAnsi="Times New Roman" w:cs="Times New Roman"/>
        </w:rPr>
        <w:t xml:space="preserve">, </w:t>
      </w:r>
      <w:r w:rsidRPr="00D76780">
        <w:rPr>
          <w:rFonts w:ascii="Times New Roman" w:hAnsi="Times New Roman" w:cs="Times New Roman"/>
          <w:i/>
          <w:iCs/>
        </w:rPr>
        <w:t>9</w:t>
      </w:r>
      <w:r w:rsidRPr="00D76780">
        <w:rPr>
          <w:rFonts w:ascii="Times New Roman" w:hAnsi="Times New Roman" w:cs="Times New Roman"/>
        </w:rPr>
        <w:t>(2), e2024GH001236. https://doi.org/10.1029/2024GH001236</w:t>
      </w:r>
    </w:p>
    <w:p w14:paraId="45B959CD"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Tajai, P., Pruksakorn, D., Chattipakorn, S. C., Chattipakorn, N., &amp; Shinlapawittayatorn, K. (2023). Effects of glyphosate-based herbicides and glyphosate exposure on sex hormones and the reproductive system: From epidemiological evidence to mechanistic insights. </w:t>
      </w:r>
      <w:r w:rsidRPr="00D76780">
        <w:rPr>
          <w:rFonts w:ascii="Times New Roman" w:hAnsi="Times New Roman" w:cs="Times New Roman"/>
          <w:i/>
          <w:iCs/>
        </w:rPr>
        <w:t>Environmental Toxicology and Pharmacology</w:t>
      </w:r>
      <w:r w:rsidRPr="00D76780">
        <w:rPr>
          <w:rFonts w:ascii="Times New Roman" w:hAnsi="Times New Roman" w:cs="Times New Roman"/>
        </w:rPr>
        <w:t xml:space="preserve">, </w:t>
      </w:r>
      <w:r w:rsidRPr="00D76780">
        <w:rPr>
          <w:rFonts w:ascii="Times New Roman" w:hAnsi="Times New Roman" w:cs="Times New Roman"/>
          <w:i/>
          <w:iCs/>
        </w:rPr>
        <w:t>102</w:t>
      </w:r>
      <w:r w:rsidRPr="00D76780">
        <w:rPr>
          <w:rFonts w:ascii="Times New Roman" w:hAnsi="Times New Roman" w:cs="Times New Roman"/>
        </w:rPr>
        <w:t>, 104252. https://doi.org/10.1016/j.etap.2023.104252</w:t>
      </w:r>
    </w:p>
    <w:p w14:paraId="72B6F4A5"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Vinnars, M.-T., Bixo, M., &amp; Damdimopoulou, P. (2023). Pregnancy-related maternal physiological adaptations and fetal chemical exposure. </w:t>
      </w:r>
      <w:r w:rsidRPr="00D76780">
        <w:rPr>
          <w:rFonts w:ascii="Times New Roman" w:hAnsi="Times New Roman" w:cs="Times New Roman"/>
          <w:i/>
          <w:iCs/>
        </w:rPr>
        <w:t>Molecular and Cellular Endocrinology</w:t>
      </w:r>
      <w:r w:rsidRPr="00D76780">
        <w:rPr>
          <w:rFonts w:ascii="Times New Roman" w:hAnsi="Times New Roman" w:cs="Times New Roman"/>
        </w:rPr>
        <w:t xml:space="preserve">, </w:t>
      </w:r>
      <w:r w:rsidRPr="00D76780">
        <w:rPr>
          <w:rFonts w:ascii="Times New Roman" w:hAnsi="Times New Roman" w:cs="Times New Roman"/>
          <w:i/>
          <w:iCs/>
        </w:rPr>
        <w:t>578</w:t>
      </w:r>
      <w:r w:rsidRPr="00D76780">
        <w:rPr>
          <w:rFonts w:ascii="Times New Roman" w:hAnsi="Times New Roman" w:cs="Times New Roman"/>
        </w:rPr>
        <w:t>, 112064. https://doi.org/10.1016/j.mce.2023.112064</w:t>
      </w:r>
    </w:p>
    <w:p w14:paraId="6FD462B6"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Wang, Z., Akber, M. A., Aziz, A. A., Wang, Z., Akber, M. A., &amp; Aziz, A. A. (2025). Application of Remote Sensing and Geographic Information Systems for Monitoring and Managing Chili Crops: A Systematic Review. </w:t>
      </w:r>
      <w:r w:rsidRPr="00D76780">
        <w:rPr>
          <w:rFonts w:ascii="Times New Roman" w:hAnsi="Times New Roman" w:cs="Times New Roman"/>
          <w:i/>
          <w:iCs/>
        </w:rPr>
        <w:t>Remote Sensing</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(16). https://doi.org/10.3390/rs17162827</w:t>
      </w:r>
    </w:p>
    <w:p w14:paraId="41DBDB39"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Yang, H.-H., Paul, K. C., Cockburn, M. G., Thompson, L. K., Cheng, M. Y., Suh, J. D., Wang, M. B., &amp; Lee, J. T. (2023). Residential Proximity to a Commercial Pesticide Application Site and Risk of Chronic Rhinosinusitis. </w:t>
      </w:r>
      <w:r w:rsidRPr="00D76780">
        <w:rPr>
          <w:rFonts w:ascii="Times New Roman" w:hAnsi="Times New Roman" w:cs="Times New Roman"/>
          <w:i/>
          <w:iCs/>
        </w:rPr>
        <w:t>JAMA Otolaryngology-- Head &amp; Neck Surgery</w:t>
      </w:r>
      <w:r w:rsidRPr="00D76780">
        <w:rPr>
          <w:rFonts w:ascii="Times New Roman" w:hAnsi="Times New Roman" w:cs="Times New Roman"/>
        </w:rPr>
        <w:t xml:space="preserve">, </w:t>
      </w:r>
      <w:r w:rsidRPr="00D76780">
        <w:rPr>
          <w:rFonts w:ascii="Times New Roman" w:hAnsi="Times New Roman" w:cs="Times New Roman"/>
          <w:i/>
          <w:iCs/>
        </w:rPr>
        <w:t>149</w:t>
      </w:r>
      <w:r w:rsidRPr="00D76780">
        <w:rPr>
          <w:rFonts w:ascii="Times New Roman" w:hAnsi="Times New Roman" w:cs="Times New Roman"/>
        </w:rPr>
        <w:t>(9), 773–780. https://doi.org/10.1001/jamaoto.2023.1499</w:t>
      </w:r>
    </w:p>
    <w:p w14:paraId="2A760455"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Zahnreich, S., Schmidberger, H., Zahnreich, S., &amp; Schmidberger, H. (2021). Childhood Cancer: Occurrence, Treatment and Risk of Second Primary Malignancies.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13</w:t>
      </w:r>
      <w:r w:rsidRPr="00D76780">
        <w:rPr>
          <w:rFonts w:ascii="Times New Roman" w:hAnsi="Times New Roman" w:cs="Times New Roman"/>
        </w:rPr>
        <w:t>(11). https://doi.org/10.3390/cancers13112607</w:t>
      </w:r>
    </w:p>
    <w:p w14:paraId="0C90F691"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lastRenderedPageBreak/>
        <w:t xml:space="preserve">Zhang, S., Xiao, X., Yi, Y., Wang, X., Zhu, L., Shen, Y., Lin, D., &amp; Wu, C. (2024). Tumor initiation and early tumorigenesis: Molecular mechanisms and interventional targets. </w:t>
      </w:r>
      <w:r w:rsidRPr="00D76780">
        <w:rPr>
          <w:rFonts w:ascii="Times New Roman" w:hAnsi="Times New Roman" w:cs="Times New Roman"/>
          <w:i/>
          <w:iCs/>
        </w:rPr>
        <w:t>Signal Transduction and Targeted Therapy</w:t>
      </w:r>
      <w:r w:rsidRPr="00D76780">
        <w:rPr>
          <w:rFonts w:ascii="Times New Roman" w:hAnsi="Times New Roman" w:cs="Times New Roman"/>
        </w:rPr>
        <w:t xml:space="preserve">, </w:t>
      </w:r>
      <w:r w:rsidRPr="00D76780">
        <w:rPr>
          <w:rFonts w:ascii="Times New Roman" w:hAnsi="Times New Roman" w:cs="Times New Roman"/>
          <w:i/>
          <w:iCs/>
        </w:rPr>
        <w:t>9</w:t>
      </w:r>
      <w:r w:rsidRPr="00D76780">
        <w:rPr>
          <w:rFonts w:ascii="Times New Roman" w:hAnsi="Times New Roman" w:cs="Times New Roman"/>
        </w:rPr>
        <w:t>(1), 149. https://doi.org/10.1038/s41392-024-01848-7</w:t>
      </w:r>
    </w:p>
    <w:p w14:paraId="304FC94E" w14:textId="77777777" w:rsidR="00D76780" w:rsidRPr="00D76780" w:rsidRDefault="00D76780" w:rsidP="00D76780">
      <w:pPr>
        <w:pStyle w:val="a7"/>
        <w:rPr>
          <w:rFonts w:ascii="Times New Roman" w:hAnsi="Times New Roman" w:cs="Times New Roman"/>
        </w:rPr>
      </w:pPr>
      <w:r w:rsidRPr="00D76780">
        <w:rPr>
          <w:rFonts w:ascii="Times New Roman" w:hAnsi="Times New Roman" w:cs="Times New Roman"/>
        </w:rPr>
        <w:t xml:space="preserve">Zhao, A. P., Li, S., Cao, Z., Hu, P. J.-H., Wang, J., Xiang, Y., Xie, D., &amp; Lu, X. (2024). AI for science: Predicting infectious diseases. </w:t>
      </w:r>
      <w:r w:rsidRPr="00D76780">
        <w:rPr>
          <w:rFonts w:ascii="Times New Roman" w:hAnsi="Times New Roman" w:cs="Times New Roman"/>
          <w:i/>
          <w:iCs/>
        </w:rPr>
        <w:t>Journal of Safety Science and Resilience</w:t>
      </w:r>
      <w:r w:rsidRPr="00D76780">
        <w:rPr>
          <w:rFonts w:ascii="Times New Roman" w:hAnsi="Times New Roman" w:cs="Times New Roman"/>
        </w:rPr>
        <w:t xml:space="preserve">, </w:t>
      </w:r>
      <w:r w:rsidRPr="00D76780">
        <w:rPr>
          <w:rFonts w:ascii="Times New Roman" w:hAnsi="Times New Roman" w:cs="Times New Roman"/>
          <w:i/>
          <w:iCs/>
        </w:rPr>
        <w:t>5</w:t>
      </w:r>
      <w:r w:rsidRPr="00D76780">
        <w:rPr>
          <w:rFonts w:ascii="Times New Roman" w:hAnsi="Times New Roman" w:cs="Times New Roman"/>
        </w:rPr>
        <w:t>(2), 130–146. https://doi.org/10.1016/j.jnlssr.2024.02.002</w:t>
      </w:r>
    </w:p>
    <w:p w14:paraId="7FEA8AC0" w14:textId="77777777" w:rsidR="00D76780" w:rsidRPr="00D76780" w:rsidRDefault="00A60316">
      <w:pPr>
        <w:rPr>
          <w:rFonts w:ascii="Times New Roman" w:hAnsi="Times New Roman" w:cs="Times New Roman"/>
          <w:b/>
        </w:rPr>
      </w:pPr>
      <w:r>
        <w:rPr>
          <w:rFonts w:ascii="Times New Roman" w:hAnsi="Times New Roman" w:cs="Times New Roman"/>
          <w:b/>
        </w:rPr>
        <w:fldChar w:fldCharType="end"/>
      </w:r>
    </w:p>
    <w:sectPr w:rsidR="00D76780" w:rsidRPr="00D76780" w:rsidSect="00D44D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l Manar" w:date="2026-01-21T09:42:00Z" w:initials="AM">
    <w:p w14:paraId="09C3148F" w14:textId="77777777" w:rsidR="000E0B45" w:rsidRDefault="000E0B45">
      <w:pPr>
        <w:pStyle w:val="ab"/>
      </w:pPr>
      <w:r>
        <w:rPr>
          <w:rStyle w:val="aa"/>
        </w:rPr>
        <w:annotationRef/>
      </w:r>
      <w:r>
        <w:t xml:space="preserve">Please you can mention here word review article </w:t>
      </w:r>
    </w:p>
  </w:comment>
  <w:comment w:id="1" w:author="Al Manar" w:date="2026-01-21T09:43:00Z" w:initials="AM">
    <w:p w14:paraId="1BF87277" w14:textId="77777777" w:rsidR="000E0B45" w:rsidRDefault="000E0B45">
      <w:pPr>
        <w:pStyle w:val="ab"/>
      </w:pPr>
      <w:r>
        <w:rPr>
          <w:rStyle w:val="aa"/>
        </w:rPr>
        <w:annotationRef/>
      </w:r>
      <w:r>
        <w:t xml:space="preserve">Write it like </w:t>
      </w:r>
      <w:r w:rsidRPr="000E0B45">
        <w:rPr>
          <w:i/>
          <w:iCs/>
        </w:rPr>
        <w:t xml:space="preserve">et </w:t>
      </w:r>
      <w:proofErr w:type="gramStart"/>
      <w:r w:rsidRPr="000E0B45">
        <w:rPr>
          <w:i/>
          <w:iCs/>
        </w:rPr>
        <w:t>al</w:t>
      </w:r>
      <w:r>
        <w:t xml:space="preserve"> .</w:t>
      </w:r>
      <w:proofErr w:type="gramEnd"/>
      <w:r>
        <w:t xml:space="preserve">, </w:t>
      </w:r>
    </w:p>
  </w:comment>
  <w:comment w:id="2" w:author="Al Manar" w:date="2026-01-21T09:45:00Z" w:initials="AM">
    <w:p w14:paraId="254C01C5" w14:textId="77777777" w:rsidR="000E0B45" w:rsidRDefault="000E0B45">
      <w:pPr>
        <w:pStyle w:val="ab"/>
      </w:pPr>
      <w:r>
        <w:rPr>
          <w:rStyle w:val="aa"/>
        </w:rPr>
        <w:annotationRef/>
      </w:r>
      <w:r>
        <w:t xml:space="preserve">Please is better to include the objective of this review with abstract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C3148F" w15:done="0"/>
  <w15:commentEx w15:paraId="1BF87277" w15:done="0"/>
  <w15:commentEx w15:paraId="254C01C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DC142" w14:textId="77777777" w:rsidR="00B93D60" w:rsidRDefault="00B93D60" w:rsidP="00781932">
      <w:pPr>
        <w:spacing w:after="0" w:line="240" w:lineRule="auto"/>
      </w:pPr>
      <w:r>
        <w:separator/>
      </w:r>
    </w:p>
  </w:endnote>
  <w:endnote w:type="continuationSeparator" w:id="0">
    <w:p w14:paraId="7BD7DB49" w14:textId="77777777" w:rsidR="00B93D60" w:rsidRDefault="00B93D60" w:rsidP="0078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9C0FA" w14:textId="77777777" w:rsidR="00781932" w:rsidRDefault="00781932">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85151" w14:textId="77777777" w:rsidR="00781932" w:rsidRDefault="00781932">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6F19F" w14:textId="77777777" w:rsidR="00781932" w:rsidRDefault="0078193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192E9" w14:textId="77777777" w:rsidR="00B93D60" w:rsidRDefault="00B93D60" w:rsidP="00781932">
      <w:pPr>
        <w:spacing w:after="0" w:line="240" w:lineRule="auto"/>
      </w:pPr>
      <w:r>
        <w:separator/>
      </w:r>
    </w:p>
  </w:footnote>
  <w:footnote w:type="continuationSeparator" w:id="0">
    <w:p w14:paraId="373B55AA" w14:textId="77777777" w:rsidR="00B93D60" w:rsidRDefault="00B93D60" w:rsidP="0078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4B987" w14:textId="77777777" w:rsidR="00781932" w:rsidRDefault="00B93D60">
    <w:pPr>
      <w:pStyle w:val="a8"/>
    </w:pPr>
    <w:r>
      <w:rPr>
        <w:noProof/>
      </w:rPr>
      <w:pict w14:anchorId="0BB8B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F4546" w14:textId="77777777" w:rsidR="00781932" w:rsidRDefault="00B93D60">
    <w:pPr>
      <w:pStyle w:val="a8"/>
    </w:pPr>
    <w:r>
      <w:rPr>
        <w:noProof/>
      </w:rPr>
      <w:pict w14:anchorId="48333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2ACC9" w14:textId="77777777" w:rsidR="00781932" w:rsidRDefault="00B93D60">
    <w:pPr>
      <w:pStyle w:val="a8"/>
    </w:pPr>
    <w:r>
      <w:rPr>
        <w:noProof/>
      </w:rPr>
      <w:pict w14:anchorId="708D6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97AB8"/>
    <w:multiLevelType w:val="multilevel"/>
    <w:tmpl w:val="52E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20D1E"/>
    <w:multiLevelType w:val="multilevel"/>
    <w:tmpl w:val="CB70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D68A6"/>
    <w:multiLevelType w:val="multilevel"/>
    <w:tmpl w:val="DF2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E44A6"/>
    <w:multiLevelType w:val="multilevel"/>
    <w:tmpl w:val="882E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2344"/>
    <w:multiLevelType w:val="multilevel"/>
    <w:tmpl w:val="3C061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07040B"/>
    <w:multiLevelType w:val="multilevel"/>
    <w:tmpl w:val="904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E3930"/>
    <w:multiLevelType w:val="multilevel"/>
    <w:tmpl w:val="6B7E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3E7731"/>
    <w:multiLevelType w:val="multilevel"/>
    <w:tmpl w:val="B00E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B8747F"/>
    <w:multiLevelType w:val="multilevel"/>
    <w:tmpl w:val="1F00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A680B"/>
    <w:multiLevelType w:val="multilevel"/>
    <w:tmpl w:val="6960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06E0F"/>
    <w:multiLevelType w:val="multilevel"/>
    <w:tmpl w:val="0B9C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10"/>
  </w:num>
  <w:num w:numId="6">
    <w:abstractNumId w:val="3"/>
  </w:num>
  <w:num w:numId="7">
    <w:abstractNumId w:val="7"/>
  </w:num>
  <w:num w:numId="8">
    <w:abstractNumId w:val="1"/>
  </w:num>
  <w:num w:numId="9">
    <w:abstractNumId w:val="6"/>
  </w:num>
  <w:num w:numId="10">
    <w:abstractNumId w:val="9"/>
  </w:num>
  <w:num w:numId="11">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 Manar">
    <w15:presenceInfo w15:providerId="None" w15:userId="Al Man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D4314"/>
    <w:rsid w:val="0004444D"/>
    <w:rsid w:val="000E0B45"/>
    <w:rsid w:val="00140182"/>
    <w:rsid w:val="00143BB5"/>
    <w:rsid w:val="001850B9"/>
    <w:rsid w:val="00271BC5"/>
    <w:rsid w:val="002F6694"/>
    <w:rsid w:val="003170B5"/>
    <w:rsid w:val="00352278"/>
    <w:rsid w:val="00372F01"/>
    <w:rsid w:val="00396F77"/>
    <w:rsid w:val="003A0DEC"/>
    <w:rsid w:val="003F0132"/>
    <w:rsid w:val="00484549"/>
    <w:rsid w:val="00551344"/>
    <w:rsid w:val="005610FF"/>
    <w:rsid w:val="005D4314"/>
    <w:rsid w:val="005F0D82"/>
    <w:rsid w:val="005F12C1"/>
    <w:rsid w:val="00676515"/>
    <w:rsid w:val="006935BD"/>
    <w:rsid w:val="006C27AA"/>
    <w:rsid w:val="00770E2E"/>
    <w:rsid w:val="0077462B"/>
    <w:rsid w:val="00781932"/>
    <w:rsid w:val="007C0A09"/>
    <w:rsid w:val="0082378F"/>
    <w:rsid w:val="00857D2E"/>
    <w:rsid w:val="008704C6"/>
    <w:rsid w:val="008B6408"/>
    <w:rsid w:val="009F2202"/>
    <w:rsid w:val="00A60316"/>
    <w:rsid w:val="00AD780F"/>
    <w:rsid w:val="00AF5059"/>
    <w:rsid w:val="00B32D1F"/>
    <w:rsid w:val="00B33182"/>
    <w:rsid w:val="00B93D60"/>
    <w:rsid w:val="00BA1AA7"/>
    <w:rsid w:val="00C0706C"/>
    <w:rsid w:val="00CD2CA2"/>
    <w:rsid w:val="00D44DF3"/>
    <w:rsid w:val="00D76780"/>
    <w:rsid w:val="00DC70BD"/>
    <w:rsid w:val="00DE3645"/>
    <w:rsid w:val="00E962B3"/>
    <w:rsid w:val="00EE4476"/>
    <w:rsid w:val="00F711F4"/>
    <w:rsid w:val="00FF090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74B948"/>
  <w15:docId w15:val="{62B09EDF-4906-42D0-BDEE-2A599DEC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4DF3"/>
  </w:style>
  <w:style w:type="paragraph" w:styleId="2">
    <w:name w:val="heading 2"/>
    <w:basedOn w:val="a"/>
    <w:next w:val="a"/>
    <w:link w:val="2Char"/>
    <w:uiPriority w:val="9"/>
    <w:semiHidden/>
    <w:unhideWhenUsed/>
    <w:qFormat/>
    <w:rsid w:val="00B32D1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Char"/>
    <w:uiPriority w:val="9"/>
    <w:qFormat/>
    <w:rsid w:val="005D4314"/>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paragraph" w:styleId="4">
    <w:name w:val="heading 4"/>
    <w:basedOn w:val="a"/>
    <w:next w:val="a"/>
    <w:link w:val="4Char"/>
    <w:uiPriority w:val="9"/>
    <w:semiHidden/>
    <w:unhideWhenUsed/>
    <w:qFormat/>
    <w:rsid w:val="005D4314"/>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5D4314"/>
    <w:rPr>
      <w:rFonts w:ascii="Times New Roman" w:eastAsia="Times New Roman" w:hAnsi="Times New Roman" w:cs="Times New Roman"/>
      <w:b/>
      <w:bCs/>
      <w:kern w:val="0"/>
      <w:sz w:val="27"/>
      <w:szCs w:val="27"/>
    </w:rPr>
  </w:style>
  <w:style w:type="paragraph" w:styleId="a3">
    <w:name w:val="Normal (Web)"/>
    <w:basedOn w:val="a"/>
    <w:uiPriority w:val="99"/>
    <w:unhideWhenUsed/>
    <w:rsid w:val="005D4314"/>
    <w:pPr>
      <w:spacing w:before="100" w:beforeAutospacing="1" w:after="100" w:afterAutospacing="1" w:line="240" w:lineRule="auto"/>
    </w:pPr>
    <w:rPr>
      <w:rFonts w:ascii="Times New Roman" w:eastAsia="Times New Roman" w:hAnsi="Times New Roman" w:cs="Times New Roman"/>
      <w:kern w:val="0"/>
    </w:rPr>
  </w:style>
  <w:style w:type="character" w:customStyle="1" w:styleId="4Char">
    <w:name w:val="عنوان 4 Char"/>
    <w:basedOn w:val="a0"/>
    <w:link w:val="4"/>
    <w:uiPriority w:val="9"/>
    <w:semiHidden/>
    <w:rsid w:val="005D4314"/>
    <w:rPr>
      <w:rFonts w:asciiTheme="majorHAnsi" w:eastAsiaTheme="majorEastAsia" w:hAnsiTheme="majorHAnsi" w:cstheme="majorBidi"/>
      <w:b/>
      <w:bCs/>
      <w:i/>
      <w:iCs/>
      <w:color w:val="4472C4" w:themeColor="accent1"/>
    </w:rPr>
  </w:style>
  <w:style w:type="character" w:styleId="a4">
    <w:name w:val="Strong"/>
    <w:basedOn w:val="a0"/>
    <w:uiPriority w:val="22"/>
    <w:qFormat/>
    <w:rsid w:val="005D4314"/>
    <w:rPr>
      <w:b/>
      <w:bCs/>
    </w:rPr>
  </w:style>
  <w:style w:type="character" w:styleId="a5">
    <w:name w:val="Emphasis"/>
    <w:basedOn w:val="a0"/>
    <w:uiPriority w:val="20"/>
    <w:qFormat/>
    <w:rsid w:val="007C0A09"/>
    <w:rPr>
      <w:i/>
      <w:iCs/>
    </w:rPr>
  </w:style>
  <w:style w:type="character" w:customStyle="1" w:styleId="2Char">
    <w:name w:val="عنوان 2 Char"/>
    <w:basedOn w:val="a0"/>
    <w:link w:val="2"/>
    <w:uiPriority w:val="9"/>
    <w:semiHidden/>
    <w:rsid w:val="00B32D1F"/>
    <w:rPr>
      <w:rFonts w:asciiTheme="majorHAnsi" w:eastAsiaTheme="majorEastAsia" w:hAnsiTheme="majorHAnsi" w:cstheme="majorBidi"/>
      <w:b/>
      <w:bCs/>
      <w:color w:val="4472C4" w:themeColor="accent1"/>
      <w:sz w:val="26"/>
      <w:szCs w:val="26"/>
    </w:rPr>
  </w:style>
  <w:style w:type="paragraph" w:styleId="a6">
    <w:name w:val="Balloon Text"/>
    <w:basedOn w:val="a"/>
    <w:link w:val="Char"/>
    <w:uiPriority w:val="99"/>
    <w:semiHidden/>
    <w:unhideWhenUsed/>
    <w:rsid w:val="00676515"/>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676515"/>
    <w:rPr>
      <w:rFonts w:ascii="Tahoma" w:hAnsi="Tahoma" w:cs="Tahoma"/>
      <w:sz w:val="16"/>
      <w:szCs w:val="16"/>
    </w:rPr>
  </w:style>
  <w:style w:type="paragraph" w:styleId="a7">
    <w:name w:val="Bibliography"/>
    <w:basedOn w:val="a"/>
    <w:next w:val="a"/>
    <w:uiPriority w:val="37"/>
    <w:unhideWhenUsed/>
    <w:rsid w:val="00D76780"/>
    <w:pPr>
      <w:spacing w:after="0" w:line="480" w:lineRule="auto"/>
      <w:ind w:left="720" w:hanging="720"/>
    </w:pPr>
  </w:style>
  <w:style w:type="character" w:styleId="Hyperlink">
    <w:name w:val="Hyperlink"/>
    <w:basedOn w:val="a0"/>
    <w:uiPriority w:val="99"/>
    <w:unhideWhenUsed/>
    <w:rsid w:val="00BA1AA7"/>
    <w:rPr>
      <w:color w:val="0563C1" w:themeColor="hyperlink"/>
      <w:u w:val="single"/>
    </w:rPr>
  </w:style>
  <w:style w:type="character" w:customStyle="1" w:styleId="UnresolvedMention">
    <w:name w:val="Unresolved Mention"/>
    <w:basedOn w:val="a0"/>
    <w:uiPriority w:val="99"/>
    <w:semiHidden/>
    <w:unhideWhenUsed/>
    <w:rsid w:val="00DC70BD"/>
    <w:rPr>
      <w:color w:val="605E5C"/>
      <w:shd w:val="clear" w:color="auto" w:fill="E1DFDD"/>
    </w:rPr>
  </w:style>
  <w:style w:type="paragraph" w:styleId="a8">
    <w:name w:val="header"/>
    <w:basedOn w:val="a"/>
    <w:link w:val="Char0"/>
    <w:uiPriority w:val="99"/>
    <w:unhideWhenUsed/>
    <w:rsid w:val="00781932"/>
    <w:pPr>
      <w:tabs>
        <w:tab w:val="center" w:pos="4680"/>
        <w:tab w:val="right" w:pos="9360"/>
      </w:tabs>
      <w:spacing w:after="0" w:line="240" w:lineRule="auto"/>
    </w:pPr>
  </w:style>
  <w:style w:type="character" w:customStyle="1" w:styleId="Char0">
    <w:name w:val="رأس الصفحة Char"/>
    <w:basedOn w:val="a0"/>
    <w:link w:val="a8"/>
    <w:uiPriority w:val="99"/>
    <w:rsid w:val="00781932"/>
  </w:style>
  <w:style w:type="paragraph" w:styleId="a9">
    <w:name w:val="footer"/>
    <w:basedOn w:val="a"/>
    <w:link w:val="Char1"/>
    <w:uiPriority w:val="99"/>
    <w:unhideWhenUsed/>
    <w:rsid w:val="00781932"/>
    <w:pPr>
      <w:tabs>
        <w:tab w:val="center" w:pos="4680"/>
        <w:tab w:val="right" w:pos="9360"/>
      </w:tabs>
      <w:spacing w:after="0" w:line="240" w:lineRule="auto"/>
    </w:pPr>
  </w:style>
  <w:style w:type="character" w:customStyle="1" w:styleId="Char1">
    <w:name w:val="تذييل الصفحة Char"/>
    <w:basedOn w:val="a0"/>
    <w:link w:val="a9"/>
    <w:uiPriority w:val="99"/>
    <w:rsid w:val="00781932"/>
  </w:style>
  <w:style w:type="character" w:styleId="aa">
    <w:name w:val="annotation reference"/>
    <w:basedOn w:val="a0"/>
    <w:uiPriority w:val="99"/>
    <w:semiHidden/>
    <w:unhideWhenUsed/>
    <w:rsid w:val="000E0B45"/>
    <w:rPr>
      <w:sz w:val="16"/>
      <w:szCs w:val="16"/>
    </w:rPr>
  </w:style>
  <w:style w:type="paragraph" w:styleId="ab">
    <w:name w:val="annotation text"/>
    <w:basedOn w:val="a"/>
    <w:link w:val="Char2"/>
    <w:uiPriority w:val="99"/>
    <w:semiHidden/>
    <w:unhideWhenUsed/>
    <w:rsid w:val="000E0B45"/>
    <w:pPr>
      <w:spacing w:line="240" w:lineRule="auto"/>
    </w:pPr>
    <w:rPr>
      <w:sz w:val="20"/>
      <w:szCs w:val="20"/>
    </w:rPr>
  </w:style>
  <w:style w:type="character" w:customStyle="1" w:styleId="Char2">
    <w:name w:val="نص تعليق Char"/>
    <w:basedOn w:val="a0"/>
    <w:link w:val="ab"/>
    <w:uiPriority w:val="99"/>
    <w:semiHidden/>
    <w:rsid w:val="000E0B45"/>
    <w:rPr>
      <w:sz w:val="20"/>
      <w:szCs w:val="20"/>
    </w:rPr>
  </w:style>
  <w:style w:type="paragraph" w:styleId="ac">
    <w:name w:val="annotation subject"/>
    <w:basedOn w:val="ab"/>
    <w:next w:val="ab"/>
    <w:link w:val="Char3"/>
    <w:uiPriority w:val="99"/>
    <w:semiHidden/>
    <w:unhideWhenUsed/>
    <w:rsid w:val="000E0B45"/>
    <w:rPr>
      <w:b/>
      <w:bCs/>
    </w:rPr>
  </w:style>
  <w:style w:type="character" w:customStyle="1" w:styleId="Char3">
    <w:name w:val="موضوع تعليق Char"/>
    <w:basedOn w:val="Char2"/>
    <w:link w:val="ac"/>
    <w:uiPriority w:val="99"/>
    <w:semiHidden/>
    <w:rsid w:val="000E0B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30426">
      <w:bodyDiv w:val="1"/>
      <w:marLeft w:val="0"/>
      <w:marRight w:val="0"/>
      <w:marTop w:val="0"/>
      <w:marBottom w:val="0"/>
      <w:divBdr>
        <w:top w:val="none" w:sz="0" w:space="0" w:color="auto"/>
        <w:left w:val="none" w:sz="0" w:space="0" w:color="auto"/>
        <w:bottom w:val="none" w:sz="0" w:space="0" w:color="auto"/>
        <w:right w:val="none" w:sz="0" w:space="0" w:color="auto"/>
      </w:divBdr>
    </w:div>
    <w:div w:id="188446996">
      <w:bodyDiv w:val="1"/>
      <w:marLeft w:val="0"/>
      <w:marRight w:val="0"/>
      <w:marTop w:val="0"/>
      <w:marBottom w:val="0"/>
      <w:divBdr>
        <w:top w:val="none" w:sz="0" w:space="0" w:color="auto"/>
        <w:left w:val="none" w:sz="0" w:space="0" w:color="auto"/>
        <w:bottom w:val="none" w:sz="0" w:space="0" w:color="auto"/>
        <w:right w:val="none" w:sz="0" w:space="0" w:color="auto"/>
      </w:divBdr>
    </w:div>
    <w:div w:id="416439797">
      <w:bodyDiv w:val="1"/>
      <w:marLeft w:val="0"/>
      <w:marRight w:val="0"/>
      <w:marTop w:val="0"/>
      <w:marBottom w:val="0"/>
      <w:divBdr>
        <w:top w:val="none" w:sz="0" w:space="0" w:color="auto"/>
        <w:left w:val="none" w:sz="0" w:space="0" w:color="auto"/>
        <w:bottom w:val="none" w:sz="0" w:space="0" w:color="auto"/>
        <w:right w:val="none" w:sz="0" w:space="0" w:color="auto"/>
      </w:divBdr>
    </w:div>
    <w:div w:id="505635894">
      <w:bodyDiv w:val="1"/>
      <w:marLeft w:val="0"/>
      <w:marRight w:val="0"/>
      <w:marTop w:val="0"/>
      <w:marBottom w:val="0"/>
      <w:divBdr>
        <w:top w:val="none" w:sz="0" w:space="0" w:color="auto"/>
        <w:left w:val="none" w:sz="0" w:space="0" w:color="auto"/>
        <w:bottom w:val="none" w:sz="0" w:space="0" w:color="auto"/>
        <w:right w:val="none" w:sz="0" w:space="0" w:color="auto"/>
      </w:divBdr>
    </w:div>
    <w:div w:id="586381411">
      <w:bodyDiv w:val="1"/>
      <w:marLeft w:val="0"/>
      <w:marRight w:val="0"/>
      <w:marTop w:val="0"/>
      <w:marBottom w:val="0"/>
      <w:divBdr>
        <w:top w:val="none" w:sz="0" w:space="0" w:color="auto"/>
        <w:left w:val="none" w:sz="0" w:space="0" w:color="auto"/>
        <w:bottom w:val="none" w:sz="0" w:space="0" w:color="auto"/>
        <w:right w:val="none" w:sz="0" w:space="0" w:color="auto"/>
      </w:divBdr>
      <w:divsChild>
        <w:div w:id="118825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907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284547">
      <w:bodyDiv w:val="1"/>
      <w:marLeft w:val="0"/>
      <w:marRight w:val="0"/>
      <w:marTop w:val="0"/>
      <w:marBottom w:val="0"/>
      <w:divBdr>
        <w:top w:val="none" w:sz="0" w:space="0" w:color="auto"/>
        <w:left w:val="none" w:sz="0" w:space="0" w:color="auto"/>
        <w:bottom w:val="none" w:sz="0" w:space="0" w:color="auto"/>
        <w:right w:val="none" w:sz="0" w:space="0" w:color="auto"/>
      </w:divBdr>
      <w:divsChild>
        <w:div w:id="44311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714164">
      <w:bodyDiv w:val="1"/>
      <w:marLeft w:val="0"/>
      <w:marRight w:val="0"/>
      <w:marTop w:val="0"/>
      <w:marBottom w:val="0"/>
      <w:divBdr>
        <w:top w:val="none" w:sz="0" w:space="0" w:color="auto"/>
        <w:left w:val="none" w:sz="0" w:space="0" w:color="auto"/>
        <w:bottom w:val="none" w:sz="0" w:space="0" w:color="auto"/>
        <w:right w:val="none" w:sz="0" w:space="0" w:color="auto"/>
      </w:divBdr>
    </w:div>
    <w:div w:id="938678154">
      <w:bodyDiv w:val="1"/>
      <w:marLeft w:val="0"/>
      <w:marRight w:val="0"/>
      <w:marTop w:val="0"/>
      <w:marBottom w:val="0"/>
      <w:divBdr>
        <w:top w:val="none" w:sz="0" w:space="0" w:color="auto"/>
        <w:left w:val="none" w:sz="0" w:space="0" w:color="auto"/>
        <w:bottom w:val="none" w:sz="0" w:space="0" w:color="auto"/>
        <w:right w:val="none" w:sz="0" w:space="0" w:color="auto"/>
      </w:divBdr>
    </w:div>
    <w:div w:id="1068193350">
      <w:bodyDiv w:val="1"/>
      <w:marLeft w:val="0"/>
      <w:marRight w:val="0"/>
      <w:marTop w:val="0"/>
      <w:marBottom w:val="0"/>
      <w:divBdr>
        <w:top w:val="none" w:sz="0" w:space="0" w:color="auto"/>
        <w:left w:val="none" w:sz="0" w:space="0" w:color="auto"/>
        <w:bottom w:val="none" w:sz="0" w:space="0" w:color="auto"/>
        <w:right w:val="none" w:sz="0" w:space="0" w:color="auto"/>
      </w:divBdr>
    </w:div>
    <w:div w:id="1172570119">
      <w:bodyDiv w:val="1"/>
      <w:marLeft w:val="0"/>
      <w:marRight w:val="0"/>
      <w:marTop w:val="0"/>
      <w:marBottom w:val="0"/>
      <w:divBdr>
        <w:top w:val="none" w:sz="0" w:space="0" w:color="auto"/>
        <w:left w:val="none" w:sz="0" w:space="0" w:color="auto"/>
        <w:bottom w:val="none" w:sz="0" w:space="0" w:color="auto"/>
        <w:right w:val="none" w:sz="0" w:space="0" w:color="auto"/>
      </w:divBdr>
    </w:div>
    <w:div w:id="1397900939">
      <w:bodyDiv w:val="1"/>
      <w:marLeft w:val="0"/>
      <w:marRight w:val="0"/>
      <w:marTop w:val="0"/>
      <w:marBottom w:val="0"/>
      <w:divBdr>
        <w:top w:val="none" w:sz="0" w:space="0" w:color="auto"/>
        <w:left w:val="none" w:sz="0" w:space="0" w:color="auto"/>
        <w:bottom w:val="none" w:sz="0" w:space="0" w:color="auto"/>
        <w:right w:val="none" w:sz="0" w:space="0" w:color="auto"/>
      </w:divBdr>
    </w:div>
    <w:div w:id="1524054052">
      <w:bodyDiv w:val="1"/>
      <w:marLeft w:val="0"/>
      <w:marRight w:val="0"/>
      <w:marTop w:val="0"/>
      <w:marBottom w:val="0"/>
      <w:divBdr>
        <w:top w:val="none" w:sz="0" w:space="0" w:color="auto"/>
        <w:left w:val="none" w:sz="0" w:space="0" w:color="auto"/>
        <w:bottom w:val="none" w:sz="0" w:space="0" w:color="auto"/>
        <w:right w:val="none" w:sz="0" w:space="0" w:color="auto"/>
      </w:divBdr>
    </w:div>
    <w:div w:id="1645354805">
      <w:bodyDiv w:val="1"/>
      <w:marLeft w:val="0"/>
      <w:marRight w:val="0"/>
      <w:marTop w:val="0"/>
      <w:marBottom w:val="0"/>
      <w:divBdr>
        <w:top w:val="none" w:sz="0" w:space="0" w:color="auto"/>
        <w:left w:val="none" w:sz="0" w:space="0" w:color="auto"/>
        <w:bottom w:val="none" w:sz="0" w:space="0" w:color="auto"/>
        <w:right w:val="none" w:sz="0" w:space="0" w:color="auto"/>
      </w:divBdr>
    </w:div>
    <w:div w:id="1690058947">
      <w:bodyDiv w:val="1"/>
      <w:marLeft w:val="0"/>
      <w:marRight w:val="0"/>
      <w:marTop w:val="0"/>
      <w:marBottom w:val="0"/>
      <w:divBdr>
        <w:top w:val="none" w:sz="0" w:space="0" w:color="auto"/>
        <w:left w:val="none" w:sz="0" w:space="0" w:color="auto"/>
        <w:bottom w:val="none" w:sz="0" w:space="0" w:color="auto"/>
        <w:right w:val="none" w:sz="0" w:space="0" w:color="auto"/>
      </w:divBdr>
    </w:div>
    <w:div w:id="1704750799">
      <w:bodyDiv w:val="1"/>
      <w:marLeft w:val="0"/>
      <w:marRight w:val="0"/>
      <w:marTop w:val="0"/>
      <w:marBottom w:val="0"/>
      <w:divBdr>
        <w:top w:val="none" w:sz="0" w:space="0" w:color="auto"/>
        <w:left w:val="none" w:sz="0" w:space="0" w:color="auto"/>
        <w:bottom w:val="none" w:sz="0" w:space="0" w:color="auto"/>
        <w:right w:val="none" w:sz="0" w:space="0" w:color="auto"/>
      </w:divBdr>
    </w:div>
    <w:div w:id="21350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25</Pages>
  <Words>27968</Words>
  <Characters>159419</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Al Manar</cp:lastModifiedBy>
  <cp:revision>22</cp:revision>
  <dcterms:created xsi:type="dcterms:W3CDTF">2026-01-15T05:39:00Z</dcterms:created>
  <dcterms:modified xsi:type="dcterms:W3CDTF">2026-01-21T06:46:00Z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id="n2InqGId"/&gt;&lt;style id="http://www.zotero.org/styles/apa" locale="en-US" hasBibliography="1" bibliographyStyleHasBeenSet="1"/&gt;&lt;prefs&gt;&lt;pref name="fieldType" value="Field"/&gt;&lt;/prefs&gt;&lt;/data&gt;</vt:lpwstr>
  </property>
</Properties>
</file>