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1543E6">
      <w:pPr>
        <w:spacing w:before="100" w:beforeAutospacing="1" w:after="100" w:afterAutospacing="1" w:line="240" w:lineRule="auto"/>
        <w:outlineLvl w:val="0"/>
        <w:rPr>
          <w:rFonts w:ascii="Times New Roman" w:hAnsi="Times New Roman" w:eastAsia="Times New Roman" w:cs="Times New Roman"/>
          <w:b/>
          <w:bCs/>
          <w:kern w:val="36"/>
        </w:rPr>
      </w:pPr>
      <w:r>
        <w:rPr>
          <w:rFonts w:ascii="Times New Roman" w:hAnsi="Times New Roman" w:eastAsia="Times New Roman" w:cs="Times New Roman"/>
          <w:b/>
          <w:bCs/>
          <w:kern w:val="36"/>
        </w:rPr>
        <w:t>Predictive Modeling of Early-Life Agrochemical Exposure and Pediatric Cancer Risk in U.S. Farmers’ Children</w:t>
      </w:r>
    </w:p>
    <w:p w14:paraId="1803ABD0">
      <w:pPr>
        <w:spacing w:before="100" w:beforeAutospacing="1" w:after="100" w:afterAutospacing="1" w:line="240" w:lineRule="auto"/>
        <w:rPr>
          <w:rFonts w:ascii="Times New Roman" w:hAnsi="Times New Roman" w:eastAsia="Times New Roman" w:cs="Times New Roman"/>
          <w:b/>
          <w:bCs/>
          <w:kern w:val="0"/>
        </w:rPr>
      </w:pPr>
    </w:p>
    <w:p w14:paraId="6C7C63BB">
      <w:pPr>
        <w:spacing w:before="100" w:beforeAutospacing="1" w:after="100" w:afterAutospacing="1" w:line="240" w:lineRule="auto"/>
        <w:jc w:val="both"/>
        <w:rPr>
          <w:rFonts w:ascii="Times New Roman" w:hAnsi="Times New Roman" w:eastAsia="Times New Roman" w:cs="Times New Roman"/>
          <w:kern w:val="0"/>
        </w:rPr>
      </w:pPr>
      <w:r>
        <w:rPr>
          <w:rFonts w:ascii="Times New Roman" w:hAnsi="Times New Roman" w:eastAsia="Times New Roman" w:cs="Times New Roman"/>
          <w:b/>
          <w:bCs/>
          <w:kern w:val="0"/>
        </w:rPr>
        <w:t>Abstract</w:t>
      </w:r>
    </w:p>
    <w:p w14:paraId="202786FF">
      <w:pPr>
        <w:spacing w:before="100" w:beforeAutospacing="1" w:after="100" w:afterAutospacing="1" w:line="240" w:lineRule="auto"/>
        <w:jc w:val="both"/>
        <w:rPr>
          <w:rFonts w:ascii="Times New Roman" w:hAnsi="Times New Roman" w:eastAsia="Times New Roman" w:cs="Times New Roman"/>
          <w:kern w:val="0"/>
        </w:rPr>
      </w:pPr>
      <w:r>
        <w:rPr>
          <w:rFonts w:ascii="Times New Roman" w:hAnsi="Times New Roman" w:eastAsia="Times New Roman" w:cs="Times New Roman"/>
          <w:kern w:val="0"/>
        </w:rPr>
        <w:t>Children residing in agricultural settings are uniquely vulnerable to early-life exposure to agrochemicals, which may contribute to the development of pediatric cancers. This narrative review synthesizes current evidence on the relationship between prenatal and early childhood agrochemical exposures and pediatric cancer risk, with a focus on predictive and spatial modeling approaches. Epidemiologic studies consistently implicate leukemia, particularly acute lymphoblastic leukemia, as the malignancy most strongly associated with early-life exposure, while evidence for central nervous system tumors and rarer pediatric cancers is emerging but less consistent. Mechanistic data support biological plausibility through pathways including genotoxicity, endocrine disruption, epigenetic reprogramming, and immune dysregulation during critical developmental windows. Predictive models, ranging from traditional regression and Bayesian hierarchical frameworks to machine learning and GIS-based approaches, enhance exposure estimation, risk stratification, and identification of high-risk subgroups, although challenges remain regarding exposure misclassification, modeling of chemical mixtures, and integration of mechanistic evidence. We identify key research gaps, including the need for longitudinal, biomarker-validated studies and hybrid causal–predictive modeling frameworks. Advancing interdisciplinary, prevention-oriented research in this area is critical for informing evidence-based interventions, reducing pediatric cancer burden in agricultural populations, and promoting equitable environmental health outcomes.</w:t>
      </w:r>
    </w:p>
    <w:p w14:paraId="3A7B926A">
      <w:pPr>
        <w:spacing w:before="100" w:beforeAutospacing="1" w:after="100" w:afterAutospacing="1" w:line="240" w:lineRule="auto"/>
        <w:jc w:val="both"/>
        <w:rPr>
          <w:rFonts w:ascii="Times New Roman" w:hAnsi="Times New Roman" w:eastAsia="Times New Roman" w:cs="Times New Roman"/>
          <w:kern w:val="0"/>
        </w:rPr>
      </w:pPr>
      <w:r>
        <w:rPr>
          <w:rFonts w:ascii="Times New Roman" w:hAnsi="Times New Roman" w:eastAsia="Times New Roman" w:cs="Times New Roman"/>
          <w:b/>
          <w:bCs/>
          <w:kern w:val="0"/>
        </w:rPr>
        <w:t>Keywords:</w:t>
      </w:r>
      <w:r>
        <w:rPr>
          <w:rFonts w:ascii="Times New Roman" w:hAnsi="Times New Roman" w:eastAsia="Times New Roman" w:cs="Times New Roman"/>
          <w:kern w:val="0"/>
        </w:rPr>
        <w:t xml:space="preserve"> Pediatric cancer, early-life exposure, agrochemicals, predictive modeling, GIS, environmental epidemiology, agricultural health</w:t>
      </w:r>
    </w:p>
    <w:p w14:paraId="5145CC56">
      <w:pPr>
        <w:spacing w:before="100" w:beforeAutospacing="1" w:after="100" w:afterAutospacing="1" w:line="240" w:lineRule="auto"/>
        <w:jc w:val="both"/>
        <w:outlineLvl w:val="0"/>
        <w:rPr>
          <w:rFonts w:ascii="Times New Roman" w:hAnsi="Times New Roman" w:eastAsia="Times New Roman" w:cs="Times New Roman"/>
          <w:b/>
          <w:bCs/>
          <w:kern w:val="36"/>
        </w:rPr>
      </w:pPr>
    </w:p>
    <w:p w14:paraId="6270C9B6">
      <w:pPr>
        <w:spacing w:before="100" w:beforeAutospacing="1" w:after="100" w:afterAutospacing="1" w:line="240" w:lineRule="auto"/>
        <w:jc w:val="both"/>
        <w:outlineLvl w:val="2"/>
        <w:rPr>
          <w:rFonts w:ascii="Times New Roman" w:hAnsi="Times New Roman" w:eastAsia="Times New Roman" w:cs="Times New Roman"/>
          <w:b/>
          <w:bCs/>
          <w:kern w:val="0"/>
          <w:sz w:val="27"/>
          <w:szCs w:val="27"/>
        </w:rPr>
      </w:pPr>
      <w:r>
        <w:rPr>
          <w:rFonts w:ascii="Times New Roman" w:hAnsi="Times New Roman" w:eastAsia="Times New Roman" w:cs="Times New Roman"/>
          <w:b/>
          <w:bCs/>
          <w:kern w:val="0"/>
          <w:sz w:val="27"/>
          <w:szCs w:val="27"/>
        </w:rPr>
        <w:t>1. Introduction</w:t>
      </w:r>
    </w:p>
    <w:p w14:paraId="345BE819">
      <w:pPr>
        <w:spacing w:before="100" w:beforeAutospacing="1" w:after="100" w:afterAutospacing="1" w:line="240" w:lineRule="auto"/>
        <w:jc w:val="both"/>
        <w:rPr>
          <w:rFonts w:ascii="Times New Roman" w:hAnsi="Times New Roman" w:eastAsia="Times New Roman" w:cs="Times New Roman"/>
          <w:kern w:val="0"/>
        </w:rPr>
      </w:pPr>
      <w:r>
        <w:rPr>
          <w:rFonts w:ascii="Times New Roman" w:hAnsi="Times New Roman" w:eastAsia="Times New Roman" w:cs="Times New Roman"/>
          <w:kern w:val="0"/>
        </w:rPr>
        <w:t>Pediatric cancers remain a leading cause of disease-related mortality among children in the United States, with leukemia, central nervous system tumors, and lymphomas accounting for the majority of cases</w:t>
      </w:r>
      <w:commentRangeStart w:id="0"/>
      <w:r>
        <w:rPr>
          <w:rFonts w:ascii="Times New Roman" w:hAnsi="Times New Roman" w:eastAsia="Times New Roman" w:cs="Times New Roman"/>
          <w:kern w:val="0"/>
        </w:rPr>
        <w:fldChar w:fldCharType="begin"/>
      </w:r>
      <w:r>
        <w:rPr>
          <w:rFonts w:ascii="Times New Roman" w:hAnsi="Times New Roman" w:eastAsia="Times New Roman" w:cs="Times New Roman"/>
          <w:kern w:val="0"/>
        </w:rPr>
        <w:instrText xml:space="preserve"> ADDIN ZOTERO_ITEM CSL_CITATION {"citationID":"E1evALwV","properties":{"formattedCitation":"(Siegel et al., 2023)","plainCitation":"(Siegel et al., 2023)","noteIndex":0},"citationItems":[{"id":13332,"uris":["http://zotero.org/users/16652950/items/SMZTS3ZW"],"itemData":{"id":13332,"type":"article-journal","abstract":"Background:\nCancer is a leading cause of death by disease among children and adolescents in the United States. This study updates cancer incidence rates and trends using the most recent and comprehensive US cancer registry data available.\n\nMethods:\nWe used data from US Cancer Statistics to evaluate counts, age-adjusted incidence rates, and trends among children and adolescents younger than 20years of age diagnosed with malignant tumors between 2003 and 2019. We calculated the average annual percent change (APC) and APC using joinpoint regression. Rates and trends were stratified by demographic and geographic characteristics and by cancer type.\n\nResults:\nWith 248749 cases reported between 2003 and 2019, the overall cancer incidence rate was 178.3 per 1 million; incidence rates were highest for leukemia (46.6), central nervous system neoplasms (30.8), and lymphoma (27.3). Rates were highest for males, children 0 to 4years of age, Non-Hispanic White children and adolescents, those in the Northeast census region, the top 25% of counties by economic status, and metropolitan counties with a population of 1 million people or more. Although the overall incidence rate of pediatric cancer increased 0.5% per year on average between 2003 and 2019, the rate increased between 2003 and 2016 (APC = 1.1%), and then decreased between 2016 and 2019 (APC = −2.1%). Between 2003 and 2019, rates of leukemia, lymphoma, hepatic tumors, bone tumors, and thyroid carcinomas increased, while melanoma rates decreased. Rates of central nervous system neoplasms increased until 2017, and then decreased. Rates of other cancer types remained stable.\n\nConclusions:\nIncidence of pediatric cancer increased overall, although increases were limited to certain cancer types. These findings may guide future public health and research priorities.","container-title":"Journal of the National Cancer Institute","DOI":"10.1093/jnci/djad115","ISSN":"0027-8874","issue":"11","journalAbbreviation":"J Natl Cancer Inst","note":"PMID: 37433078\nPMCID: PMC11018256","page":"1337-1354","source":"PubMed Central","title":"Counts, incidence rates, and trends of pediatric cancer in the United States, 2003–2019","volume":"115","author":[{"family":"Siegel","given":"David A."},{"family":"King","given":"Jessica B."},{"family":"Lupo","given":"Philip J."},{"family":"Durbin","given":"Eric B."},{"family":"Tai","given":"Eric"},{"family":"Mills","given":"Kathi"},{"family":"Van Dyne","given":"Elizabeth"},{"family":"Lunsford","given":"Natasha Buchanan"},{"family":"Henley","given":"S. Jane"},{"family":"Wilson","given":"Reda J."}],"issued":{"date-parts":[["2023",11,8]]}}}],"schema":"https://github.com/citation-style-language/schema/raw/master/csl-citation.json"} </w:instrText>
      </w:r>
      <w:r>
        <w:rPr>
          <w:rFonts w:ascii="Times New Roman" w:hAnsi="Times New Roman" w:eastAsia="Times New Roman" w:cs="Times New Roman"/>
          <w:kern w:val="0"/>
        </w:rPr>
        <w:fldChar w:fldCharType="separate"/>
      </w:r>
      <w:r>
        <w:rPr>
          <w:rFonts w:ascii="Times New Roman" w:hAnsi="Times New Roman" w:cs="Times New Roman"/>
        </w:rPr>
        <w:t>(Siegel et al., 2023)</w:t>
      </w:r>
      <w:r>
        <w:rPr>
          <w:rFonts w:ascii="Times New Roman" w:hAnsi="Times New Roman" w:eastAsia="Times New Roman" w:cs="Times New Roman"/>
          <w:kern w:val="0"/>
        </w:rPr>
        <w:fldChar w:fldCharType="end"/>
      </w:r>
      <w:commentRangeEnd w:id="0"/>
      <w:r>
        <w:commentReference w:id="0"/>
      </w:r>
      <w:r>
        <w:rPr>
          <w:rFonts w:ascii="Times New Roman" w:hAnsi="Times New Roman" w:eastAsia="Times New Roman" w:cs="Times New Roman"/>
          <w:kern w:val="0"/>
        </w:rPr>
        <w:t>. Although overall incidence rates are relatively low compared with adult malignancies, their lifelong consequences, combined with the limited scope for primary prevention, render pediatric cancers a major public health concern. Emerging epidemiologic evidence suggests that children residing in agricultural regions experience disproportionate cancer burdens, raising concerns about chronic, low-dose exposure to agrochemicals as a contributing environmental risk factor</w:t>
      </w:r>
      <w:r>
        <w:rPr>
          <w:rFonts w:ascii="Times New Roman" w:hAnsi="Times New Roman" w:eastAsia="Times New Roman" w:cs="Times New Roman"/>
          <w:kern w:val="0"/>
        </w:rPr>
        <w:fldChar w:fldCharType="begin"/>
      </w:r>
      <w:r>
        <w:rPr>
          <w:rFonts w:ascii="Times New Roman" w:hAnsi="Times New Roman" w:eastAsia="Times New Roman" w:cs="Times New Roman"/>
          <w:kern w:val="0"/>
        </w:rPr>
        <w:instrText xml:space="preserve"> ADDIN ZOTERO_ITEM CSL_CITATION {"citationID":"5EwREQ9A","properties":{"formattedCitation":"(Zahnreich et al., 2021)","plainCitation":"(Zahnreich et al., 2021)","noteIndex":0},"citationItems":[{"id":13334,"uris":["http://zotero.org/users/16652950/items/ZPXQDJDM"],"itemData":{"id":13334,"type":"article-journal","abstract":"Simple SummaryChildhood cancers are mostly of unknown etiology and represent devastating diagnoses. The clinical benefits of steadily increasing tumor...","container-title":"Cancers","DOI":"10.3390/cancers13112607","ISSN":"2072-6694","issue":"11","language":"en","license":"http://creativecommons.org/licenses/by/3.0/","note":"Company: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publisher","source":"www.mdpi.com","title":"Childhood Cancer: Occurrence, Treatment and Risk of Second Primary Malignancies","title-short":"Childhood Cancer","URL":"https://www.mdpi.com/2072-6694/13/11/2607","volume":"13","author":[{"family":"Zahnreich","given":"Sebastian"},{"family":"Schmidberger","given":"Heinz"},{"family":"Zahnreich","given":"Sebastian"},{"family":"Schmidberger","given":"Heinz"}],"accessed":{"date-parts":[["2026",1,15]]},"issued":{"date-parts":[["2021",5,25]]}}}],"schema":"https://github.com/citation-style-language/schema/raw/master/csl-citation.json"} </w:instrText>
      </w:r>
      <w:r>
        <w:rPr>
          <w:rFonts w:ascii="Times New Roman" w:hAnsi="Times New Roman" w:eastAsia="Times New Roman" w:cs="Times New Roman"/>
          <w:kern w:val="0"/>
        </w:rPr>
        <w:fldChar w:fldCharType="separate"/>
      </w:r>
      <w:r>
        <w:rPr>
          <w:rFonts w:ascii="Times New Roman" w:hAnsi="Times New Roman" w:cs="Times New Roman"/>
        </w:rPr>
        <w:t>(Zahnreich et al., 2021)</w:t>
      </w:r>
      <w:r>
        <w:rPr>
          <w:rFonts w:ascii="Times New Roman" w:hAnsi="Times New Roman" w:eastAsia="Times New Roman" w:cs="Times New Roman"/>
          <w:kern w:val="0"/>
        </w:rPr>
        <w:fldChar w:fldCharType="end"/>
      </w:r>
      <w:r>
        <w:rPr>
          <w:rFonts w:ascii="Times New Roman" w:hAnsi="Times New Roman" w:eastAsia="Times New Roman" w:cs="Times New Roman"/>
          <w:kern w:val="0"/>
        </w:rPr>
        <w:t>. These patterns are particularly salient in farming communities, where residential proximity to treated fields, occupational take-home exposures, and reliance on local environmental resources collectively elevate exposure potential</w:t>
      </w:r>
      <w:r>
        <w:rPr>
          <w:rFonts w:ascii="Times New Roman" w:hAnsi="Times New Roman" w:eastAsia="Times New Roman" w:cs="Times New Roman"/>
          <w:kern w:val="0"/>
        </w:rPr>
        <w:fldChar w:fldCharType="begin"/>
      </w:r>
      <w:r>
        <w:rPr>
          <w:rFonts w:ascii="Times New Roman" w:hAnsi="Times New Roman" w:eastAsia="Times New Roman" w:cs="Times New Roman"/>
          <w:kern w:val="0"/>
        </w:rPr>
        <w:instrText xml:space="preserve"> ADDIN ZOTERO_ITEM CSL_CITATION {"citationID":"5s8M2YVH","properties":{"formattedCitation":"(Chen et al., 2023)","plainCitation":"(Chen et al., 2023)","noteIndex":0},"citationItems":[{"id":13336,"uris":["http://zotero.org/users/16652950/items/I7KKE52D"],"itemData":{"id":13336,"type":"article-journal","abstract":"Pesticides are widely used globally. Due to their widespread use, exposure to pesticides is of concern. In addition to occupational exposure, residential exposure during pesticide application is a concern for those living in or near agricultural areas. The objective of this study was to analyze the association between residential proximity to agricultural pesticide use and birth outcomes. The association between residential proximity to agricultural land use as pesticide exposure and birth outcomes was explored in a birth cohort including 283 pregnant women from a medical center in Hualien during 2013-2016. In the third trimester, we collected demographic information and the residential addresses of pregnant women via structured questionnaires. After delivery, newborn birth weight, gestational age, and head circumference were collected from medical records. Maternal residential address during pregnancy was collected for geospatial mapping. The percentages of farmland area within circular buffers of different sizes were applied to estimate pesticide exposure. Associations between residential proximity to agricultural land use as pesticide exposure and birth outcomes were analyzed by multiple linear regression analyses. A significantly smaller head circumference was associated with agricultural farmland located within 400 m (β =  - 0.51 [95% CI, - 0.99, - 0.03], P = 0.037) and 500 m (β =  - 0.67 [95% CI, - 1.14, - 0.19], P = 0.006) radii of residences in the tertile 2 group. A significantly smaller head circumference was also associated with dry farming area within 400 m (β =  - 0.70 [95% CI, - 1.17, - 0.24], P = 0.003) and 500 m (β =  - 0.81 [95% CI, - 1.27, - 0.34], P = 0.001) radii of residences in the tertile 2 group. The multivariate linear regression analyses did not show any significant association between residential farmland area and birth weight or gestational age. In conclusion, residential proximity to agricultural land use as pesticide exposure was associated with negative infant birth outcomes, especially a small head circumference. In the future, agricultural land use information could be combined with biological samples to more accurately assess exposure in pregnant women.","container-title":"Environmental Science and Pollution Research International","DOI":"10.1007/s11356-022-24571-8","ISSN":"1614-7499","issue":"12","journalAbbreviation":"Environ Sci Pollut Res Int","language":"eng","note":"PMID: 36478559","page":"33253-33263","source":"PubMed","title":"Associations between residential proximity to agricultural land use as pesticides exposure and birth outcomes","volume":"30","author":[{"family":"Chen","given":"Kuna-Chun"},{"family":"Lee","given":"Shuo-Fang"},{"family":"Lin","given":"Shyang-Woei"},{"family":"Xie","given":"Jia-Shan"},{"family":"Chang","given":"Yu-Hsun"},{"family":"Yiin","given":"Lih-Ming"},{"family":"Hsieh","given":"Chia-Jung"}],"issued":{"date-parts":[["2023",3]]}}}],"schema":"https://github.com/citation-style-language/schema/raw/master/csl-citation.json"} </w:instrText>
      </w:r>
      <w:r>
        <w:rPr>
          <w:rFonts w:ascii="Times New Roman" w:hAnsi="Times New Roman" w:eastAsia="Times New Roman" w:cs="Times New Roman"/>
          <w:kern w:val="0"/>
        </w:rPr>
        <w:fldChar w:fldCharType="separate"/>
      </w:r>
      <w:r>
        <w:rPr>
          <w:rFonts w:ascii="Times New Roman" w:hAnsi="Times New Roman" w:cs="Times New Roman"/>
        </w:rPr>
        <w:t>(Chen et al., 2023)</w:t>
      </w:r>
      <w:r>
        <w:rPr>
          <w:rFonts w:ascii="Times New Roman" w:hAnsi="Times New Roman" w:eastAsia="Times New Roman" w:cs="Times New Roman"/>
          <w:kern w:val="0"/>
        </w:rPr>
        <w:fldChar w:fldCharType="end"/>
      </w:r>
      <w:r>
        <w:rPr>
          <w:rFonts w:ascii="Times New Roman" w:hAnsi="Times New Roman" w:eastAsia="Times New Roman" w:cs="Times New Roman"/>
          <w:kern w:val="0"/>
        </w:rPr>
        <w:t>.</w:t>
      </w:r>
    </w:p>
    <w:p w14:paraId="1B2168C8">
      <w:pPr>
        <w:spacing w:before="100" w:beforeAutospacing="1" w:after="100" w:afterAutospacing="1" w:line="240" w:lineRule="auto"/>
        <w:jc w:val="both"/>
        <w:rPr>
          <w:rFonts w:ascii="Times New Roman" w:hAnsi="Times New Roman" w:eastAsia="Times New Roman" w:cs="Times New Roman"/>
          <w:kern w:val="0"/>
        </w:rPr>
      </w:pPr>
      <w:r>
        <w:rPr>
          <w:rFonts w:ascii="Times New Roman" w:hAnsi="Times New Roman" w:eastAsia="Times New Roman" w:cs="Times New Roman"/>
          <w:kern w:val="0"/>
        </w:rPr>
        <w:t>Fetuses and young children are biologically more susceptible to environmental toxicants than adults due to rapid cellular proliferation, immature detoxification pathways, and critical periods of organ and immune system development. Prenatal and early postnatal exposures can disrupt tightly regulated developmental processes, leading to long-lasting molecular and epigenetic alterations that may predispose individuals to malignancy later in childhood. Many commonly used agricultural chemicals exhibit properties consistent with carcinogenic or tumor-promoting mechanisms, including genotoxicity, endocrine disruption, oxidative stress induction, and immune modulation. When exposure occurs during sensitive developmental windows, even low-level environmental contact may carry disproportionate risk</w:t>
      </w:r>
      <w:r>
        <w:rPr>
          <w:rFonts w:ascii="Times New Roman" w:hAnsi="Times New Roman" w:eastAsia="Times New Roman" w:cs="Times New Roman"/>
          <w:kern w:val="0"/>
        </w:rPr>
        <w:fldChar w:fldCharType="begin"/>
      </w:r>
      <w:r>
        <w:rPr>
          <w:rFonts w:ascii="Times New Roman" w:hAnsi="Times New Roman" w:eastAsia="Times New Roman" w:cs="Times New Roman"/>
          <w:kern w:val="0"/>
        </w:rPr>
        <w:instrText xml:space="preserve"> ADDIN ZOTERO_ITEM CSL_CITATION {"citationID":"XB7tRHiD","properties":{"formattedCitation":"(Vinnars et al., 2023)","plainCitation":"(Vinnars et al., 2023)","noteIndex":0},"citationItems":[{"id":13338,"uris":["http://zotero.org/users/16652950/items/4VU8DF6V"],"itemData":{"id":13338,"type":"article-journal","abstract":"Prenatal life represents a susceptible window of development during which chemical exposures can permanently alter fetal development, leading to an increased likelihood of disease later in life. Therefore, it is essential to assess exposure in the fetus. However, direct assessment in human fetuses is challenging, so most research measures maternal exposure. Pregnancy induces a range of significant physiological changes in women that may affect chemical metabolism and responses. Moreover, placental function, fetal sex, and pregnancy complications may further modify these exposures. The purpose of this narrative review is to give an overview of major pregnancy-related physiological changes, including placental function and impacts of pregnancy complications, to summarize existing studies assessing chemical exposure in human fetal organs, and to discuss possible interactions between physiological changes and exposures. Our review reveals major knowledge gaps in factors affecting fetal chemical exposure, highlighting the need to develop more sophisticated tools for chemical health risk assessment in fetuses.","container-title":"Molecular and Cellular Endocrinology","DOI":"10.1016/j.mce.2023.112064","ISSN":"0303-7207","journalAbbreviation":"Molecular and Cellular Endocrinology","page":"112064","source":"ScienceDirect","title":"Pregnancy-related maternal physiological adaptations and fetal chemical exposure","volume":"578","author":[{"family":"Vinnars","given":"Marie-Therese"},{"family":"Bixo","given":"Marie"},{"family":"Damdimopoulou","given":"Pauliina"}],"issued":{"date-parts":[["2023",12,1]]}}}],"schema":"https://github.com/citation-style-language/schema/raw/master/csl-citation.json"} </w:instrText>
      </w:r>
      <w:r>
        <w:rPr>
          <w:rFonts w:ascii="Times New Roman" w:hAnsi="Times New Roman" w:eastAsia="Times New Roman" w:cs="Times New Roman"/>
          <w:kern w:val="0"/>
        </w:rPr>
        <w:fldChar w:fldCharType="separate"/>
      </w:r>
      <w:r>
        <w:rPr>
          <w:rFonts w:ascii="Times New Roman" w:hAnsi="Times New Roman" w:cs="Times New Roman"/>
        </w:rPr>
        <w:t>(Vinnars et al., 2023)</w:t>
      </w:r>
      <w:r>
        <w:rPr>
          <w:rFonts w:ascii="Times New Roman" w:hAnsi="Times New Roman" w:eastAsia="Times New Roman" w:cs="Times New Roman"/>
          <w:kern w:val="0"/>
        </w:rPr>
        <w:fldChar w:fldCharType="end"/>
      </w:r>
      <w:r>
        <w:rPr>
          <w:rFonts w:ascii="Times New Roman" w:hAnsi="Times New Roman" w:eastAsia="Times New Roman" w:cs="Times New Roman"/>
          <w:kern w:val="0"/>
        </w:rPr>
        <w:t>.</w:t>
      </w:r>
    </w:p>
    <w:p w14:paraId="7A2D9475">
      <w:pPr>
        <w:spacing w:before="100" w:beforeAutospacing="1" w:after="100" w:afterAutospacing="1" w:line="240" w:lineRule="auto"/>
        <w:jc w:val="both"/>
        <w:rPr>
          <w:rFonts w:ascii="Times New Roman" w:hAnsi="Times New Roman" w:eastAsia="Times New Roman" w:cs="Times New Roman"/>
          <w:kern w:val="0"/>
        </w:rPr>
      </w:pPr>
      <w:r>
        <w:rPr>
          <w:rFonts w:ascii="Times New Roman" w:hAnsi="Times New Roman" w:eastAsia="Times New Roman" w:cs="Times New Roman"/>
          <w:kern w:val="0"/>
        </w:rPr>
        <w:t>Despite growing concern, traditional epidemiologic approaches have struggled to fully characterize the complex relationships between early-life agrochemical exposure and pediatric cancer risk. Conventional exposure assessment methods, such as self-reported pesticide use or broad occupational classifications, often lack spatial and temporal resolution and are prone to substantial misclassification. In this context, predictive modeling approaches, including spatially resolved exposure models and data-driven risk prediction frameworks, offer a means to integrate diverse data sources and capture heterogeneity in exposure patterns across time, geography, and chemical mixtures. Such approaches have the potential to improve risk estimation, identify high-risk subpopulations, and inform targeted prevention strategies(Castro-Vargas et al., 2025; Cavalier et al., 2023).</w:t>
      </w:r>
    </w:p>
    <w:p w14:paraId="00A3A9E7">
      <w:pPr>
        <w:spacing w:before="100" w:beforeAutospacing="1" w:after="100" w:afterAutospacing="1" w:line="240" w:lineRule="auto"/>
        <w:jc w:val="both"/>
        <w:rPr>
          <w:rFonts w:ascii="Times New Roman" w:hAnsi="Times New Roman" w:eastAsia="Times New Roman" w:cs="Times New Roman"/>
          <w:kern w:val="0"/>
        </w:rPr>
      </w:pPr>
      <w:r>
        <w:rPr>
          <w:rFonts w:ascii="Times New Roman" w:hAnsi="Times New Roman" w:eastAsia="Times New Roman" w:cs="Times New Roman"/>
          <w:kern w:val="0"/>
        </w:rPr>
        <w:t>Children of farmers constitute a particularly critical yet under-studied population in environmental cancer research. Unlike the general rural population, these children may experience continuous exposure across multiple pathways, beginning in utero and extending throughout early childhood. However, they are frequently underrepresented or inadequately characterized in large population-based studies, which often lack detailed occupational, residential, and exposure data specific to farming households. This gap limits the ability to translate existing evidence into effective public health interventions for agricultural communities</w:t>
      </w:r>
      <w:r>
        <w:rPr>
          <w:rFonts w:ascii="Times New Roman" w:hAnsi="Times New Roman" w:eastAsia="Times New Roman" w:cs="Times New Roman"/>
          <w:kern w:val="0"/>
        </w:rPr>
        <w:fldChar w:fldCharType="begin"/>
      </w:r>
      <w:r>
        <w:rPr>
          <w:rFonts w:ascii="Times New Roman" w:hAnsi="Times New Roman" w:eastAsia="Times New Roman" w:cs="Times New Roman"/>
          <w:kern w:val="0"/>
        </w:rPr>
        <w:instrText xml:space="preserve"> ADDIN ZOTERO_ITEM CSL_CITATION {"citationID":"viSUXBmj","properties":{"formattedCitation":"(Silva et al., 2025)","plainCitation":"(Silva et al., 2025)","noteIndex":0},"citationItems":[{"id":13342,"uris":["http://zotero.org/users/16652950/items/UUF4B6D8"],"itemData":{"id":13342,"type":"article-journal","abstract":"Leukemias are among the most common childhood cancers. Although its causes are still unclear, parents' environmental exposure to carcinogenic risk factors may have considerable potential. In this context, we revised the literature concerning parental exposure to pesticides, the development of leukemia in offspring, and the underlying molecular mechanisms involved. This systematic review was based on the PRISMA methodology. Only original studies were included; review articles and case reports were excluded. In total, 312 articles were screened. Of the 29 articles selected and 14 were included in this review. The main findings described in the studies above raise the hypothesis that parental pesticide exposure may be related to the development of leukemia in offspring. However, the literature reinforces the lack of well-designed studies highlighting the mechanism triggered by this exposure and its relationship with childhood cancer. The revised literature provides strong evidence supporting the relationship between parental exposure to pesticides and leukemia development in offspring. While gaps remain in understanding the precise mechanisms involved, the findings emphasize the potential risk posed by pesticide exposure and highlight the need for well-designed studies to clarify the underlying biological pathways.","container-title":"Frontiers in Pediatrics","DOI":"10.3389/fped.2025.1560678","ISSN":"2296-2360","journalAbbreviation":"Front. Pediatr.","language":"English","note":"publisher: Frontiers","source":"Frontiers","title":"Evidence concerning parental exposure to pesticides and the occurrence of leukemia in offspring: a systematic review","title-short":"Evidence concerning parental exposure to pesticides and the occurrence of leukemia in offspring","URL":"https://www.frontiersin.org/journals/pediatrics/articles/10.3389/fped.2025.1560678/full","volume":"13","author":[{"family":"Silva","given":"Kennia Cristine de Souza"},{"family":"Oliveira","given":"Geise Ellen Broto"},{"family":"Amarante","given":"Marla Karine"},{"family":"Panis","given":"Carolina"}],"accessed":{"date-parts":[["2026",1,15]]},"issued":{"date-parts":[["2025",4,10]]}}}],"schema":"https://github.com/citation-style-language/schema/raw/master/csl-citation.json"} </w:instrText>
      </w:r>
      <w:r>
        <w:rPr>
          <w:rFonts w:ascii="Times New Roman" w:hAnsi="Times New Roman" w:eastAsia="Times New Roman" w:cs="Times New Roman"/>
          <w:kern w:val="0"/>
        </w:rPr>
        <w:fldChar w:fldCharType="separate"/>
      </w:r>
      <w:r>
        <w:rPr>
          <w:rFonts w:ascii="Times New Roman" w:hAnsi="Times New Roman" w:cs="Times New Roman"/>
        </w:rPr>
        <w:t>(Silva et al., 2025)</w:t>
      </w:r>
      <w:r>
        <w:rPr>
          <w:rFonts w:ascii="Times New Roman" w:hAnsi="Times New Roman" w:eastAsia="Times New Roman" w:cs="Times New Roman"/>
          <w:kern w:val="0"/>
        </w:rPr>
        <w:fldChar w:fldCharType="end"/>
      </w:r>
      <w:r>
        <w:rPr>
          <w:rFonts w:ascii="Times New Roman" w:hAnsi="Times New Roman" w:eastAsia="Times New Roman" w:cs="Times New Roman"/>
          <w:kern w:val="0"/>
        </w:rPr>
        <w:t>.</w:t>
      </w:r>
    </w:p>
    <w:p w14:paraId="028D104F">
      <w:pPr>
        <w:spacing w:before="100" w:beforeAutospacing="1" w:after="100" w:afterAutospacing="1" w:line="240" w:lineRule="auto"/>
        <w:jc w:val="both"/>
      </w:pPr>
      <w:r>
        <w:rPr>
          <w:rFonts w:ascii="Times New Roman" w:hAnsi="Times New Roman" w:eastAsia="Times New Roman" w:cs="Times New Roman"/>
          <w:kern w:val="0"/>
        </w:rPr>
        <w:t>The objective of this review is to synthesize current evidence on early-life agrochemical exposure and pediatric cancer risk among farmers’ children, with a specific focus on the role of predictive modeling approaches in advancing exposure assessment and risk estimation. By integrating epidemiologic findings, exposure modeling methodologies, and emerging predictive frameworks, this review aims to critically evaluate the state of the science, identify methodological limitations, and outline priorities for future research and policy-relevant applications.</w:t>
      </w:r>
    </w:p>
    <w:p w14:paraId="5B303CFD">
      <w:pPr>
        <w:pStyle w:val="3"/>
        <w:jc w:val="both"/>
      </w:pPr>
      <w:r>
        <w:t>2. Conceptual Framework</w:t>
      </w:r>
    </w:p>
    <w:p w14:paraId="7CE65CCE">
      <w:pPr>
        <w:pStyle w:val="13"/>
        <w:jc w:val="both"/>
      </w:pPr>
      <w:r>
        <w:t>This review is grounded in a life-course exposure paradigm, which posits that disease risk is shaped by environmental influences operating across critical stages of development, beginning in utero and extending through early childhood. Within this framework, pediatric cancer is understood not solely as the result of proximate exposures but as the downstream manifestation of biological perturbations initiated during sensitive developmental windows. The developmental origins of cancer hypothesis emphasizes that early-life insults can induce persistent molecular, epigenetic, and immunologic changes that increase susceptibility to malignant transformation during childhood, when growth and differentiation processes remain highly active</w:t>
      </w:r>
      <w:r>
        <w:fldChar w:fldCharType="begin"/>
      </w:r>
      <w:r>
        <w:instrText xml:space="preserve"> ADDIN ZOTERO_ITEM CSL_CITATION {"citationID":"93fhxct1","properties":{"formattedCitation":"(Zhang et al., 2024)","plainCitation":"(Zhang et al., 2024)","noteIndex":0},"citationItems":[{"id":13345,"uris":["http://zotero.org/users/16652950/items/4TBCGY8J"],"itemData":{"id":13345,"type":"article-journal","abstract":"Tumorigenesis is a multistep process, with oncogenic mutations in a normal cell conferring clonal advantage as the initial event. However, despite pervasive somatic mutations and clonal expansion in normal tissues, their transformation into cancer remains a rare event, indicating the presence of additional driver events for progression to an irreversible, highly heterogeneous, and invasive lesion. Recently, researchers are emphasizing the mechanisms of environmental tumor risk factors and epigenetic alterations that are profoundly influencing early clonal expansion and malignant evolution, independently of inducing mutations. Additionally, clonal evolution in tumorigenesis reflects a multifaceted interplay between cell-intrinsic identities and various cell-extrinsic factors that exert selective pressures to either restrain uncontrolled proliferation or allow specific clones to progress into tumors. However, the mechanisms by which driver events induce both intrinsic cellular competency and remodel environmental stress to facilitate malignant transformation are not fully understood. In this review, we summarize the genetic, epigenetic, and external driver events, and their effects on the co-evolution of the transformed cells and their ecosystem during tumor initiation and early malignant evolution. A deeper understanding of the earliest molecular events holds promise for translational applications, predicting individuals at high-risk of tumor and developing strategies to intercept malignant transformation.","container-title":"Signal Transduction and Targeted Therapy","DOI":"10.1038/s41392-024-01848-7","ISSN":"2059-3635","issue":"1","journalAbbreviation":"Sig Transduct Target Ther","language":"en","license":"2024 The Author(s)","note":"publisher: Nature Publishing Group","page":"149","source":"www.nature.com","title":"Tumor initiation and early tumorigenesis: molecular mechanisms and interventional targets","title-short":"Tumor initiation and early tumorigenesis","volume":"9","author":[{"family":"Zhang","given":"Shaosen"},{"family":"Xiao","given":"Xinyi"},{"family":"Yi","given":"Yonglin"},{"family":"Wang","given":"Xinyu"},{"family":"Zhu","given":"Lingxuan"},{"family":"Shen","given":"Yanrong"},{"family":"Lin","given":"Dongxin"},{"family":"Wu","given":"Chen"}],"issued":{"date-parts":[["2024",6,19]]}}}],"schema":"https://github.com/citation-style-language/schema/raw/master/csl-citation.json"} </w:instrText>
      </w:r>
      <w:r>
        <w:fldChar w:fldCharType="separate"/>
      </w:r>
      <w:r>
        <w:t>(Zhang et al., 2024)</w:t>
      </w:r>
      <w:r>
        <w:fldChar w:fldCharType="end"/>
      </w:r>
      <w:r>
        <w:t>.</w:t>
      </w:r>
    </w:p>
    <w:p w14:paraId="6BE5099B">
      <w:pPr>
        <w:pStyle w:val="13"/>
        <w:jc w:val="both"/>
      </w:pPr>
      <w:r>
        <w:t>The exposure–disease continuum linking agrochemical use to pediatric cancer risk is inherently multi-stage and spatially structured. Agricultural pesticide application represents the upstream driver, introducing chemical agents into the environment through routine farming practices. These agents undergo environmental dispersion via processes such as spray drift, volatilization, runoff, and soil persistence, resulting in heterogeneous contamination of air, water, and residential surroundings. Early-life exposure occurs when fetuses and young children come into contact with these contaminants through placental transfer, inhalation, ingestion, or dermal absorption. At the biological level, such exposures may disrupt key developmental pathways, including DNA integrity, endocrine signaling, immune maturation, and epigenetic regulation, thereby increasing the likelihood of pediatric cancer initiation and progression</w:t>
      </w:r>
      <w:r>
        <w:fldChar w:fldCharType="begin"/>
      </w:r>
      <w:r>
        <w:instrText xml:space="preserve"> ADDIN ZOTERO_ITEM CSL_CITATION {"citationID":"SgshpxWQ","properties":{"formattedCitation":"(Ashish Pandey, 2023; Mu\\uc0\\u241{}oz-Bautista et al., 2025)","plainCitation":"(Ashish Pandey, 2023; Muñoz-Bautista et al., 2025)","noteIndex":0},"citationItems":[{"id":13238,"uris":["http://zotero.org/users/16652950/items/3DM4SSQJ"],"itemData":{"id":13238,"type":"article-journal","abstract":"To study the effect of chemical toxic pesticides used in agricultural for pest control the maximum risk involved to applicator and handling the chemical pesticides with excess cancer risk. In this study, the epidemiological, molecular biology and toxicological evidence emerging from recent literature which pesticides are responsible for several type of cancer in human beings and other health hazards in environment.","container-title":"World Journal of Advanced Research and Reviews","DOI":"10.30574/wjarr.2023.17.2.0199","ISSN":"25819615","issue":"2","journalAbbreviation":"World J. Adv. Res. Rev.","language":"en","page":"121-125","source":"DOI.org (Crossref)","title":"Study on the cancer by chemical pesticides exposure to pesticide applicators, farm workers and consumers: Urgent need for safer eco-friendly pesticides","title-short":"Study on the cancer by chemical pesticides exposure to pesticide applicators, farm workers and consumers","volume":"17","author":[{"literal":"Ashish Pandey"}],"issued":{"date-parts":[["2023",2,28]]}}},{"id":13347,"uris":["http://zotero.org/users/16652950/items/76TD6SI6"],"itemData":{"id":13347,"type":"article-journal","abstract":"The extensive use of conventional pesticides has been a fundamental strategy in modern agriculture for controlling pests and increasing crop productiv...","container-title":"Agronomy","DOI":"10.3390/agronomy15081878","ISSN":"2073-4395","issue":"8","language":"en","license":"http://creativecommons.org/licenses/by/3.0/","note":"Company: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publisher","source":"www.mdpi.com","title":"Environmental and Health Impacts of Pesticides and Nanotechnology as an Alternative in Agriculture","URL":"https://www.mdpi.com/2073-4395/15/8/1878","volume":"15","author":[{"family":"Muñoz-Bautista","given":"Jesús Martín"},{"family":"Bernal-Mercado","given":"Ariadna Thalía"},{"family":"Martínez-Cruz","given":"Oliviert"},{"family":"Burgos-Hernández","given":"Armando"},{"family":"López-Zavala","given":"Alonso Alexis"},{"family":"Ruiz-Cruz","given":"Saul"},{"family":"Ornelas-Paz","given":"José de Jesús"},{"family":"Borboa-Flores","given":"Jesús"},{"family":"Ramos-Enríquez","given":"José Rogelio"},{"family":"Del-Toro-Sánchez","given":"Carmen Lizette"},{"family":"Muñoz-Bautista","given":"Jesús Martín"},{"family":"Bernal-Mercado","given":"Ariadna Thalía"},{"family":"Martínez-Cruz","given":"Oliviert"},{"family":"Burgos-Hernández","given":"Armando"},{"family":"López-Zavala","given":"Alonso Alexis"},{"family":"Ruiz-Cruz","given":"Saul"},{"family":"Ornelas-Paz","given":"José de Jesús"},{"family":"Borboa-Flores","given":"Jesús"},{"family":"Ramos-Enríquez","given":"José Rogelio"},{"family":"Del-Toro-Sánchez","given":"Carmen Lizette"}],"accessed":{"date-parts":[["2026",1,15]]},"issued":{"date-parts":[["2025",8,2]]}}}],"schema":"https://github.com/citation-style-language/schema/raw/master/csl-citation.json"} </w:instrText>
      </w:r>
      <w:r>
        <w:fldChar w:fldCharType="separate"/>
      </w:r>
      <w:r>
        <w:t>(Ashish Pandey, 2023; Muñoz-Bautista et al., 2025)</w:t>
      </w:r>
      <w:r>
        <w:fldChar w:fldCharType="end"/>
      </w:r>
      <w:r>
        <w:t>.</w:t>
      </w:r>
    </w:p>
    <w:p w14:paraId="5F9029A2">
      <w:pPr>
        <w:pStyle w:val="13"/>
        <w:jc w:val="both"/>
      </w:pPr>
      <w:r>
        <w:t>Predictive and spatial modeling approaches play a central role in operationalizing this conceptual framework by bridging the gap between upstream environmental processes and downstream health outcomes. Geographic information system–based models enable the reconstruction of spatially and temporally resolved exposure profiles by linking residential histories with pesticide application records, land-use data, and environmental transport parameters. Predictive models, including statistical and machine learning–based approaches, further integrate these exposure estimates with demographic and contextual factors to characterize cancer risk patterns at the individual and population levels. Within this framework, such models serve not only as analytical tools but also as hypothesis-generating and translational instruments, supporting risk stratification, early identification of vulnerable subgroups, and evidence-informed prevention strategies in agricultural communities</w:t>
      </w:r>
      <w:r>
        <w:fldChar w:fldCharType="begin"/>
      </w:r>
      <w:r>
        <w:instrText xml:space="preserve"> ADDIN ZOTERO_ITEM CSL_CITATION {"citationID":"MeLU5cU7","properties":{"formattedCitation":"(Augustin et al., 2023; Jerrett et al., 2010)","plainCitation":"(Augustin et al., 2023; Jerrett et al., 2010)","noteIndex":0},"citationItems":[{"id":13349,"uris":["http://zotero.org/users/16652950/items/8W8VHFEP"],"itemData":{"id":13349,"type":"article-journal","abstract":"Numerous studies and models address the determinants of health. However, in existing models, the spatial aspects of the determinants are not or only m...","container-title":"International Journal of Environmental Research and Public Health","DOI":"10.3390/ijerph20031817","ISSN":"1660-4601","issue":"3","language":"en","license":"http://creativecommons.org/licenses/by/3.0/","note":"Company: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publisher","source":"www.mdpi.com","title":"Spatial Aspects of Health—Developing a Conceptual Framework","URL":"https://www.mdpi.com/1660-4601/20/3/1817","volume":"20","author":[{"family":"Augustin","given":"Jobst"},{"family":"Andrees","given":"Valerie"},{"family":"Walsh","given":"David"},{"family":"Reintjes","given":"Ralf"},{"family":"Koller","given":"Daniela"},{"family":"Augustin","given":"Jobst"},{"family":"Andrees","given":"Valerie"},{"family":"Walsh","given":"David"},{"family":"Reintjes","given":"Ralf"},{"family":"Koller","given":"Daniela"}],"accessed":{"date-parts":[["2026",1,15]]},"issued":{"date-parts":[["2023",1,18]]}}},{"id":13351,"uris":["http://zotero.org/users/16652950/items/UABHP2Z7"],"itemData":{"id":13351,"type":"article-journal","abstract":"This paper has two aims: (1) to summarize various geographic information science methods; and (2) to provide a review of studies that have employed su...","container-title":"International Journal of Environmental Research and Public Health","DOI":"10.3390/ijerph7041302","ISSN":"1660-4601","issue":"4","language":"en","license":"http://creativecommons.org/licenses/by/3.0/","note":"Company: Molecular Diversity Preservation International\nDistributor: Molecular Diversity Preservation International\nInstitution: Molecular Diversity Preservation International\nLabel: Molecular Diversity Preservation International\npublisher: publisher","page":"1302-1329","source":"www.mdpi.com","title":"Spatial Modeling in Environmental and Public Health Research","volume":"7","author":[{"family":"Jerrett","given":"Michael"},{"family":"Gale","given":"Sara"},{"family":"Kontgis","given":"Caitlin"},{"family":"Jerrett","given":"Michael"},{"family":"Gale","given":"Sara"},{"family":"Kontgis","given":"Caitlin"}],"issued":{"date-parts":[["2010",3,25]]}}}],"schema":"https://github.com/citation-style-language/schema/raw/master/csl-citation.json"} </w:instrText>
      </w:r>
      <w:r>
        <w:fldChar w:fldCharType="separate"/>
      </w:r>
      <w:r>
        <w:t>(Augustin et al., 2023; Jerrett et al., 2010)</w:t>
      </w:r>
      <w:r>
        <w:fldChar w:fldCharType="end"/>
      </w:r>
      <w:r>
        <w:t xml:space="preserve">. </w:t>
      </w:r>
      <w:r>
        <w:rPr>
          <w:rStyle w:val="9"/>
        </w:rPr>
        <w:t>Figure 1 presents an integrated life-course framework illustrating how upstream agrochemical use is translated into early-life exposure estimates through predictive and spatial modeling approaches, and how these exposures interface with biologically plausible mechanisms to influence pediatric cancer risk.</w:t>
      </w:r>
    </w:p>
    <w:p w14:paraId="59E2D97E">
      <w:pPr>
        <w:pStyle w:val="13"/>
        <w:jc w:val="both"/>
      </w:pPr>
    </w:p>
    <w:p w14:paraId="499D02BD">
      <w:pPr>
        <w:pStyle w:val="13"/>
        <w:jc w:val="both"/>
        <w:rPr>
          <w:rStyle w:val="14"/>
        </w:rPr>
      </w:pPr>
      <w:r>
        <w:rPr>
          <w:b/>
          <w:bCs/>
        </w:rPr>
        <w:drawing>
          <wp:inline distT="0" distB="0" distL="0" distR="0">
            <wp:extent cx="5943600" cy="3962400"/>
            <wp:effectExtent l="19050" t="0" r="0" b="0"/>
            <wp:docPr id="1" name="Picture 0" descr="ChatGPT Image Jan 15, 2026, 12_03_5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ChatGPT Image Jan 15, 2026, 12_03_58 AM.png"/>
                    <pic:cNvPicPr>
                      <a:picLocks noChangeAspect="1"/>
                    </pic:cNvPicPr>
                  </pic:nvPicPr>
                  <pic:blipFill>
                    <a:blip r:embed="rId14"/>
                    <a:stretch>
                      <a:fillRect/>
                    </a:stretch>
                  </pic:blipFill>
                  <pic:spPr>
                    <a:xfrm>
                      <a:off x="0" y="0"/>
                      <a:ext cx="5943600" cy="3962400"/>
                    </a:xfrm>
                    <a:prstGeom prst="rect">
                      <a:avLst/>
                    </a:prstGeom>
                  </pic:spPr>
                </pic:pic>
              </a:graphicData>
            </a:graphic>
          </wp:inline>
        </w:drawing>
      </w:r>
      <w:r>
        <w:rPr>
          <w:rStyle w:val="14"/>
        </w:rPr>
        <w:t>Figure 1. Integrated life-course predictive modeling framework linking early-life agrochemical exposure to pediatric cancer risk.</w:t>
      </w:r>
    </w:p>
    <w:p w14:paraId="47BDDADB">
      <w:pPr>
        <w:pStyle w:val="13"/>
        <w:jc w:val="both"/>
      </w:pPr>
      <w:r>
        <w:br w:type="textWrapping"/>
      </w:r>
      <w:r>
        <w:t xml:space="preserve">The figure conceptualizes the exposure–disease continuum beginning with agricultural pesticide application and environmental dispersion, followed by spatially and temporally resolved exposure reconstruction during critical developmental windows, including prenatal and early childhood periods. Predictive modeling approaches—ranging from statistical and GIS-based methods to machine learning and hybrid causal–predictive frameworks—are shown as integrative tools that link reconstructed exposures with biologically plausible mechanisms such as genotoxicity, endocrine disruption, epigenetic reprogramming, and immune dysregulation. These processes collectively inform risk stratification, identification of vulnerable subpopulations, and prevention-oriented public health strategies for pediatric cancers in agricultural communities. </w:t>
      </w:r>
    </w:p>
    <w:p w14:paraId="7C248932">
      <w:pPr>
        <w:pStyle w:val="3"/>
        <w:jc w:val="both"/>
      </w:pPr>
      <w:r>
        <w:t>3. Methods</w:t>
      </w:r>
    </w:p>
    <w:p w14:paraId="49FFDA83">
      <w:pPr>
        <w:pStyle w:val="4"/>
        <w:jc w:val="both"/>
      </w:pPr>
      <w:r>
        <w:t>3.1 Review Design</w:t>
      </w:r>
    </w:p>
    <w:p w14:paraId="61853472">
      <w:pPr>
        <w:pStyle w:val="13"/>
        <w:jc w:val="both"/>
      </w:pPr>
      <w:r>
        <w:t>This study was conducted as a narrative review with systematic elements, designed to provide a critical and integrative synthesis of the literature on early-life agrochemical exposure and pediatric cancer risk, with particular emphasis on predictive and spatial modeling approaches. While not a full systematic review with meta-analysis, the review followed structured search, screening, and appraisal procedures to enhance transparency, reproducibility, and methodological rigor. The overall approach aligns with the principles of the Preferred Reporting Items for Systematic Reviews and Meta-Analyses for Scoping Reviews, adapted to accommodate heterogeneity in study designs, exposure metrics, and modeling methodologies that preclude quantitative pooling.</w:t>
      </w:r>
    </w:p>
    <w:p w14:paraId="6B7220BF">
      <w:pPr>
        <w:pStyle w:val="4"/>
        <w:jc w:val="both"/>
      </w:pPr>
      <w:r>
        <w:t>3.2 Literature Search Strategy</w:t>
      </w:r>
    </w:p>
    <w:p w14:paraId="701295F4">
      <w:pPr>
        <w:pStyle w:val="13"/>
        <w:jc w:val="both"/>
      </w:pPr>
      <w:r>
        <w:t xml:space="preserve">A comprehensive literature search was undertaken across major biomedical and interdisciplinary databases, including PubMed, Web of Science, Scopus, and Embase. Searches combined controlled vocabulary terms and free-text keywords related to pediatric cancer, agrochemical or pesticide exposure, agricultural settings, early-life or prenatal exposure, and predictive or spatial modeling. Boolean operators were used to link exposure, population, and outcome concepts, and search strings were </w:t>
      </w:r>
      <w:commentRangeStart w:id="1"/>
      <w:r>
        <w:t>iteratively</w:t>
      </w:r>
      <w:commentRangeEnd w:id="1"/>
      <w:r>
        <w:commentReference w:id="1"/>
      </w:r>
      <w:r>
        <w:t xml:space="preserve"> refined to balance sensitivity and specificity. The search covered publications from January 2000 through December 2025 to capture contemporary pesticide use patterns and advances in exposure modeling. Only articles published in English were included due to feasibility constraints.</w:t>
      </w:r>
    </w:p>
    <w:p w14:paraId="48E101AA">
      <w:pPr>
        <w:pStyle w:val="4"/>
        <w:jc w:val="both"/>
      </w:pPr>
      <w:r>
        <w:t>3.3 Eligibility Criteria</w:t>
      </w:r>
    </w:p>
    <w:p w14:paraId="3679EBD2">
      <w:pPr>
        <w:pStyle w:val="13"/>
        <w:jc w:val="both"/>
      </w:pPr>
      <w:r>
        <w:t>Studies were eligible for inclusion if they examined children residing in agricultural or farming households, or populations with clearly defined agricultural exposure contexts. Eligible exposures included prenatal, perinatal, or early childhood exposure to agrochemicals, broadly defined to encompass pesticides, herbicides, fungicides, and related formulations. Outcomes of interest were pediatric cancers overall as well as specific malignancies, such as leukemia, lymphomas, and central nervous system tumors. The review included epidemiologic studies, exposure assessment and modeling studies, and investigations employing predictive or machine learning approaches to estimate cancer risk or exposure–outcome relationships. Reviews, editorials, and animal-only studies were excluded, although mechanistic evidence from toxicological studies was considered in the interpretive sections.</w:t>
      </w:r>
    </w:p>
    <w:p w14:paraId="01BFD22E">
      <w:pPr>
        <w:pStyle w:val="4"/>
        <w:jc w:val="both"/>
      </w:pPr>
      <w:r>
        <w:t>3.4 Study Selection and Data Extraction</w:t>
      </w:r>
    </w:p>
    <w:p w14:paraId="3F575F1A">
      <w:pPr>
        <w:pStyle w:val="13"/>
        <w:jc w:val="both"/>
      </w:pPr>
      <w:r>
        <w:t>Titles and abstracts were screened for relevance, followed by full-text review of potentially eligible articles. Study selection was guided by predefined inclusion criteria to ensure consistency. For each included study, key data elements were extracted using a standardized framework, including study design, population characteristics, geographic setting, exposure assessment methods, modeling approaches, cancer outcomes assessed, and principal findings. Particular attention was paid to how exposure was operationalized, the temporal windows considered, and the extent to which spatial or predictive modeling techniques were employed.</w:t>
      </w:r>
    </w:p>
    <w:p w14:paraId="6E208172">
      <w:pPr>
        <w:pStyle w:val="4"/>
        <w:jc w:val="both"/>
      </w:pPr>
      <w:r>
        <w:t>3.5 Quality and Bias Assessment</w:t>
      </w:r>
    </w:p>
    <w:p w14:paraId="124AE160">
      <w:pPr>
        <w:pStyle w:val="13"/>
        <w:jc w:val="both"/>
      </w:pPr>
      <w:r>
        <w:t>Methodological quality and risk of bias were evaluated qualitatively, with reference to established tools such as the Newcastle–Ottawa Scale for observational studies and the ROBINS-E framework for non-randomized exposure studies. Assessment focused on selection bias, exposure misclassification, outcome ascertainment, and control for confounding, including socioeconomic and occupational factors. For modeling studies, additional considerations included transparency of model assumptions, validation procedures, and interpretability of results. Rather than excluding studies based on quality scores, these assessments informed the weighting of evidence and the critical interpretation of findings throughout the review.</w:t>
      </w:r>
    </w:p>
    <w:p w14:paraId="1382048B">
      <w:pPr>
        <w:jc w:val="both"/>
      </w:pPr>
    </w:p>
    <w:p w14:paraId="21148D88">
      <w:pPr>
        <w:pStyle w:val="3"/>
        <w:jc w:val="both"/>
      </w:pPr>
      <w:r>
        <w:t>4. Agrochemical Exposure in Early Life</w:t>
      </w:r>
    </w:p>
    <w:p w14:paraId="5BC3F74F">
      <w:pPr>
        <w:pStyle w:val="4"/>
        <w:jc w:val="both"/>
      </w:pPr>
      <w:r>
        <w:t>4.1 Classes of Agrochemicals Implicated</w:t>
      </w:r>
    </w:p>
    <w:p w14:paraId="63141372">
      <w:pPr>
        <w:pStyle w:val="13"/>
        <w:jc w:val="both"/>
      </w:pPr>
      <w:r>
        <w:t>A wide range of agrochemicals has been implicated in epidemiologic studies examining pediatric cancer risk in agricultural settings. Organophosphates and carbamates have received sustained attention due to their widespread historical use and established neurotoxic and immunotoxic properties. These compounds can interfere with cholinergic signaling and have been associated with oxidative stress and DNA damage, mechanisms that are relevant to carcinogenesis when exposure occurs during development. Pyrethroids, often introduced as perceived safer alternatives, are now increasingly detected in environmental and biological samples and have been shown to disrupt endocrine function and immune regulation, raising concern about their long-term health effects in children</w:t>
      </w:r>
      <w:r>
        <w:fldChar w:fldCharType="begin"/>
      </w:r>
      <w:r>
        <w:instrText xml:space="preserve"> ADDIN ZOTERO_ITEM CSL_CITATION {"citationID":"GciTwUuA","properties":{"formattedCitation":"(Sokan-Adeaga et al., 2023)","plainCitation":"(Sokan-Adeaga et al., 2023)","noteIndex":0},"citationItems":[{"id":13353,"uris":["http://zotero.org/users/16652950/items/VWJNT7NM"],"itemData":{"id":13353,"type":"article-journal","abstract":"Toxicity arising from environmental contaminants has attracted global interest in the last few decades, due to the high morbidity and mortality associated with them. Efforts have been made to combat the consequential outcomes of environmental toxicity in humans through traditional remediation techniques and therapeutic measures which have been hampered by one or more limitations. Consequently, this scenario has triggered interest in the medicinal properties of phytochemicals. Thus, this review gives a succinct and in-depth elucidation of the various environmental contaminants and their toxicity effects on humans. It delves into the various classes of phytochemicals and their intervention roles. The study adopted a desk review of existing literatures from scientific reports and peer reviewed articles through triangulation of data sources. “Phytochemicals” are group of secondary metabolites obtained from plants with medicinal properties. These groups of compounds are included but not limited to flavonoids, tannins, saponins, alkaloids, cardenoloids, terpenoids, and phytosteroids. This review corroborates the prophylactic and therapeutics efficacy of these phytochemicals as anti-metastatic, anti-inflammatory, anti-aging, anti-oxidant, anti-microbial and live saving substances with empirical findings from several laboratory, clinical trials and epidemiologic studies. It conclude that given the wide range of medicinal properties of phytochemicals, there is an urgent need for its full optimization in the pharmaceutical industry and future studies should focus on identifying the bioactive molecules in these compounds and its effectiveness against mixer toxicity.","container-title":"Journal of Public Health Research","DOI":"10.1177/22799036231181226","ISSN":"2279-9036","issue":"2","language":"EN","note":"publisher: SAGE Publications","page":"22799036231181226","source":"SAGE Journals","title":"Environmental toxicants and health adversities: A review on interventions of phytochemicals","title-short":"Environmental toxicants and health adversities","volume":"12","author":[{"family":"Sokan-Adeaga","given":"Adewale Allen"},{"family":"Sokan-Adeaga","given":"Micheal Ayodeji"},{"family":"Sokan-Adeaga","given":"Eniola Deborah"},{"family":"Oparaji","given":"Anastasia Nkem"},{"family":"Edris","given":"Hoseinzadeh"},{"family":"Tella","given":"Esther Oluwabukunola"},{"family":"Balogun","given":"Francis Adeniyi"},{"family":"Aledeh","given":"Muhammad"},{"family":"Amubieya","given":"Oluwatosin Emmanuel"}],"issued":{"date-parts":[["2023",4,1]]}}}],"schema":"https://github.com/citation-style-language/schema/raw/master/csl-citation.json"} </w:instrText>
      </w:r>
      <w:r>
        <w:fldChar w:fldCharType="separate"/>
      </w:r>
      <w:r>
        <w:t>(Sokan-Adeaga et al., 2023)</w:t>
      </w:r>
      <w:r>
        <w:fldChar w:fldCharType="end"/>
      </w:r>
      <w:r>
        <w:t>.</w:t>
      </w:r>
    </w:p>
    <w:p w14:paraId="04123B6B">
      <w:pPr>
        <w:pStyle w:val="13"/>
        <w:jc w:val="both"/>
      </w:pPr>
      <w:r>
        <w:t>Herbicides represent another major class of concern, particularly glyphosate-based formulations and triazines, which are extensively applied in large-scale crop production. While toxicological profiles vary across compounds, several herbicides exhibit endocrine-disrupting activity and potential genotoxic effects, especially when formulated with adjuvants that enhance environmental persistence and bioavailability. Fungicides, including azoles and dithiocarbamates, are comparatively less studied in pediatric populations but are frequently used in combination with other agrochemicals, creating complex exposure mixtures</w:t>
      </w:r>
      <w:r>
        <w:rPr>
          <w:rFonts w:hint="default"/>
          <w:lang w:val="en-US"/>
        </w:rPr>
        <w:t xml:space="preserve"> </w:t>
      </w:r>
      <w:r>
        <w:fldChar w:fldCharType="begin"/>
      </w:r>
      <w:r>
        <w:instrText xml:space="preserve"> ADDIN ZOTERO_ITEM CSL_CITATION {"citationID":"YBWbhvEq","properties":{"formattedCitation":"(Ba\\uc0\\u263{}maga et al., 2024)","plainCitation":"(Baćmaga et al., 2024)","noteIndex":0},"citationItems":[{"id":13355,"uris":["http://zotero.org/users/16652950/items/PYMXKRSJ"],"itemData":{"id":13355,"type":"article-journal","abstract":"One of the guiding principles of the sustainable use of herbicides is their targeted action exclusively against weeds, consisting of blocking photosynthesis and synthesis of amino acids and growth regulators. Herbicides are major elements of plant production, indispensable to the functioning of modern agriculture. Nevertheless, their influence on all elements of the natural environment needs to be continuously controlled. This review article summarizes research addressing the effects of herbicides on the natural environment and the changes they trigger therein. Herbicides, applied to protect crops against weed infestation, are usually mixtures of various active substances; hence, it is generally difficult to analyze their impact on the environment and organisms. Nonetheless, an attempt was made in this review to discuss the effects of selected herbicides on individual elements of the natural environment (water, soil, and air) and organisms (humans, animals, plants, and microorganisms). In addition, the article presents examples of the biodegradation of selected herbicides and mechanisms of their degradation by bacteria and fungi. Based on this information, it can be concluded that the uncontrolled use of herbicides has led to adverse effects on non-target organisms, as documented in the scientific literature. However, further research on the environmental effects of these chemicals is needed address the missing knowledge on this subject.","container-title":"Molecules","DOI":"10.3390/molecules29245965","ISSN":"1420-3049","issue":"24","journalAbbreviation":"Molecules","note":"PMID: 39770054\nPMCID: PMC11677524","page":"5965","source":"PubMed Central","title":"Environmental Implication of Herbicide Use","volume":"29","author":[{"family":"Baćmaga","given":"Małgorzata"},{"family":"Wyszkowska","given":"Jadwiga"},{"family":"Kucharski","given":"Jan"}],"issued":{"date-parts":[["2024",12,18]]}}}],"schema":"https://github.com/citation-style-language/schema/raw/master/csl-citation.json"} </w:instrText>
      </w:r>
      <w:r>
        <w:fldChar w:fldCharType="separate"/>
      </w:r>
      <w:r>
        <w:t>(Baćmaga et al., 2024)</w:t>
      </w:r>
      <w:r>
        <w:fldChar w:fldCharType="end"/>
      </w:r>
      <w:r>
        <w:t>. The cumulative and interactive effects of these mixed formulations pose significant challenges for exposure assessment and risk attribution in early-life cancer research.</w:t>
      </w:r>
    </w:p>
    <w:p w14:paraId="070CA2FF">
      <w:pPr>
        <w:pStyle w:val="4"/>
        <w:jc w:val="both"/>
      </w:pPr>
      <w:r>
        <w:t>4.2 Exposure Pathways in Farmers’ Children</w:t>
      </w:r>
    </w:p>
    <w:p w14:paraId="1BABDA12">
      <w:pPr>
        <w:pStyle w:val="13"/>
        <w:jc w:val="both"/>
      </w:pPr>
      <w:r>
        <w:t>Children in farming households are exposed to agrochemicals through multiple, overlapping pathways that begin before birth and continue throughout early childhood. Prenatal exposure occurs primarily through placental transfer, as many agrochemicals or their metabolites can cross the placental barrier and reach the developing fetus.</w:t>
      </w:r>
      <w:commentRangeStart w:id="2"/>
      <w:r>
        <w:t xml:space="preserve"> </w:t>
      </w:r>
      <w:commentRangeEnd w:id="2"/>
      <w:r>
        <w:commentReference w:id="2"/>
      </w:r>
      <w:r>
        <w:t>Maternal occupational exposure, residential proximity to treated fields, and contamination of household environments contribute to in utero exposure during critical stages of organogenesis and immune system development</w:t>
      </w:r>
      <w:r>
        <w:fldChar w:fldCharType="begin"/>
      </w:r>
      <w:r>
        <w:instrText xml:space="preserve"> ADDIN ZOTERO_ITEM CSL_CITATION {"citationID":"ClgdcoVW","properties":{"formattedCitation":"(Conejo-Bola\\uc0\\u241{}os et al., 2024)","plainCitation":"(Conejo-Bolaños et al., 2024)","noteIndex":0},"citationItems":[{"id":13358,"uris":["http://zotero.org/users/16652950/items/NVMU3TLN"],"itemData":{"id":13358,"type":"article-journal","abstract":"Background:\nPesticide exposure may affect young children’s neurodevelopment, but only few cohort studies have addressed possible effects of non-organophosphate pesticides.\n\nObjective:\nWe evaluated associations between prenatal current-use pesticide exposure and neurodevelopmental outcomes among 1-year-old children from the Infants’ Environmental Health (ISA) birth cohort.\n\nMethods:\nTo determine prenatal pesticide exposure, we measured biomarkers of pyrimethanil, chlorpyrifos, synthetic pyrethroids, and 2,4-D in urine samples among 355 women, 1–3 times during pregnancy. One-year post-partum, we evaluated children’s neurodevelopment with the Bayley Scales of Infant and Toddler Development 3rd edition (BSID-III). We assessed associations between exposures and neurodevelopmental outcomes (composite and z-scores) using single-chemical linear regression models adjusted for possible confounders (maternal education, parity, sex, gestational age at birth, child age, HOME-score, location of assessment, biomarkers of mancozeb), and studied effect-modification by sex. We evaluated non-linear associations of multiple pesticide exposures with Bayesian kernel machine regression (BKMR).\n\nResults:\nWe found higher prenatal urinary 2,4-D concentrations were associated with lower language (βper ten-fold increase= −2.0, 95% confidence interval (CI) = −3.5, −0.5) and motor (βper ten-fold increase= −2.2, 95%CI= −4.2, −0.1) composite scores among all children. Also, higher chlorpyrifos exposure [measured as urinary 3,5,6-trichloro-2-pyridinol (TCPy)] was associated with lower cognitive composite scores (βper ten-fold increase = −1.9, 95%CI= −4.7, 0.8), and lower motor composite scores among boys (βper ten-fold increase = −3.8, 95% CI= −7.7, 0.1) but not girls (βper ten-fold increase = 2.3, 95%CI= −1.6, 6.3, pINT =0.11). Finally, higher pyrimethanil was associated with lower language abilities among girls, but not boys. Pyrethroid metabolite concentrations did not explain variability in BSID-III composite scores. Associations were similar for BSID-III z-scores, and we found no evidence for non-linear associations or mixture effects.\n\nDiscussion:\nPrenatal exposure to common-use pesticides may affect children’s neurodevelopment at 1-year of age, some effects may be sex-specific.","container-title":"Environmental research","DOI":"10.1016/j.envres.2024.118222","ISSN":"0013-9351","journalAbbreviation":"Environ Res","note":"PMID: 38272290\nPMCID: PMC11065598","page":"118222","source":"PubMed Central","title":"Prenatal current-use pesticide exposure and children’s neurodevelopment at one year of age in the Infants’ Environmental Health (ISA) birth cohort, Costa Rica","volume":"249","author":[{"family":"Conejo-Bolaños","given":"L. Diego"},{"family":"Mora","given":"Ana M."},{"family":"Hernández-Bonilla","given":"David"},{"family":"Cano","given":"Juan Camilo"},{"family":"Menezes-Filho","given":"José A."},{"family":"Eskenazi","given":"Brenda"},{"family":"Lindh","given":"Christian H"},{"family":"Wendel de Joode","given":"Berna","non-dropping-particle":"van"}],"issued":{"date-parts":[["2024",5,15]]}}}],"schema":"https://github.com/citation-style-language/schema/raw/master/csl-citation.json"} </w:instrText>
      </w:r>
      <w:r>
        <w:fldChar w:fldCharType="separate"/>
      </w:r>
      <w:r>
        <w:t>(Conejo-Bolaños et al., 2024)</w:t>
      </w:r>
      <w:r>
        <w:fldChar w:fldCharType="end"/>
      </w:r>
      <w:r>
        <w:t>.</w:t>
      </w:r>
    </w:p>
    <w:p w14:paraId="128516E1">
      <w:pPr>
        <w:pStyle w:val="13"/>
        <w:jc w:val="both"/>
      </w:pPr>
      <w:r>
        <w:t>Postnatal exposure pathways are equally important and often persistent. Take-home exposure occurs when parents inadvertently bring pesticide residues into the home on clothing, footwear, or equipment, leading to chronic indoor contamination.</w:t>
      </w:r>
      <w:commentRangeStart w:id="3"/>
      <w:commentRangeStart w:id="4"/>
      <w:r>
        <w:t xml:space="preserve"> </w:t>
      </w:r>
      <w:commentRangeEnd w:id="3"/>
      <w:r>
        <w:commentReference w:id="3"/>
      </w:r>
      <w:commentRangeEnd w:id="4"/>
      <w:r>
        <w:commentReference w:id="4"/>
      </w:r>
      <w:r>
        <w:t>Environmental drift from nearby agricultural applications can result in inhalation or dermal exposure, particularly for children living close to treated fields. In addition, contaminated soil, dust, and water sources serve as reservoirs of exposure, increasing the likelihood of ingestion through hand-to-mouth behaviors that are common in young children. The convergence of these pathways results in sustained, low-dose exposure profiles that are difficult to capture using conventional assessment methods</w:t>
      </w:r>
      <w:commentRangeStart w:id="5"/>
      <w:r>
        <w:fldChar w:fldCharType="begin"/>
      </w:r>
      <w:r>
        <w:instrText xml:space="preserve"> ADDIN ZOTERO_ITEM CSL_CITATION {"citationID":"TPvo1PhX","properties":{"formattedCitation":"(Khan et al., 2024)","plainCitation":"(Khan et al., 2024)","noteIndex":0},"citationItems":[{"id":13361,"uris":["http://zotero.org/users/16652950/items/X7CIURKW"],"itemData":{"id":13361,"type":"article-journal","abstract":"Background:\nOrganophosphorus pesticide (OP) exposure is known to have adverse effects on the nervous system. Children from agricultural communities are at risk of exposure to these chemicals from their indoor environments that can lead to neurological and developmental problems, including changes in behavior.\n\nObjective:\nThe aim of this study is to evaluate whether the take-home pathway exposure is associated with behavioral deficits in Latino Orchid Community children.\n\nMethod:\nThe study was implemented over a period of two years (2008-2010) in an orchard farming community with a total of 324 parents who had children between the ages of 5-12 years old. Mothers of the children were asked to complete a Child Behavior Checklist (CBCL) and dust from their carpets was collected. Emotional and behavioral deficits were assessed based on the CBCL and house dust was assessed for OP concentrations. In this study, correlations between OPs in house dust and CBCL subscales were estimated using linear regression models with total OP concentrations classified by tertiles. This study also facilitated the comparison between the agricultural and non-agricultural families in terms of behavioral deficits and house dust concentrations of pesticides.\n\nResults:\nThe data from the study shows that there was a positive association between the concentration of OP residues in house dust and internalizing behavior (β=2.06, p=0.05) whereas the association with externalizing behavior was not significant after accounting for sociocultural covariates. Significant positive associations of OP residues with somatic problems (p=0.02) and thought problems (p=0.05) were also found.\n\nConclusion:\nThe data support a potential role of OP exposure in childhood development, with a specific focus on internalizing behavior. Future work focused on longitudinal studies may uncover the long-term consequences of OP exposure and behavior.","container-title":"Neurotoxicology","DOI":"10.1016/j.neuro.2024.03.001","ISSN":"0161-813X","journalAbbreviation":"Neurotoxicology","note":"PMID: 38453034\nPMCID: PMC11684323","page":"29-36","source":"PubMed Central","title":"Organophosphorus pesticide exposure from house dust and parent-reported child behavior in Latino children from an orchard community","volume":"102","author":[{"family":"Khan","given":"Khalid M."},{"family":"Gaine","given":"Marie E."},{"family":"Daniel","given":"Alyssa R."},{"family":"Chilamkuri","given":"Pavani"},{"family":"Rohlman","given":"Diane S."}],"issued":{"date-parts":[["2024",5]]}}}],"schema":"https://github.com/citation-style-language/schema/raw/master/csl-citation.json"} </w:instrText>
      </w:r>
      <w:r>
        <w:fldChar w:fldCharType="separate"/>
      </w:r>
      <w:r>
        <w:t>(Khan et al., 2024)</w:t>
      </w:r>
      <w:r>
        <w:fldChar w:fldCharType="end"/>
      </w:r>
      <w:commentRangeEnd w:id="5"/>
      <w:r>
        <w:commentReference w:id="5"/>
      </w:r>
      <w:r>
        <w:t>.</w:t>
      </w:r>
    </w:p>
    <w:p w14:paraId="22EF4312">
      <w:pPr>
        <w:pStyle w:val="4"/>
        <w:jc w:val="both"/>
      </w:pPr>
      <w:r>
        <w:t>4.3 Critical Windows of Susceptibility</w:t>
      </w:r>
    </w:p>
    <w:p w14:paraId="69E8AF8B">
      <w:pPr>
        <w:pStyle w:val="13"/>
        <w:jc w:val="both"/>
      </w:pPr>
      <w:r>
        <w:t>The timing of exposure is a central determinant of cancer risk in early life. Trimester-specific exposures during pregnancy may have differential effects depending on the developmental processes occurring at the time, such as hematopoietic stem cell expansion, neural tube formation, or immune system priming. Epidemiologic studies have reported stronger associations between agrochemical exposure and pediatric leukemia when exposure occurs during specific prenatal windows, underscoring the importance of temporal resolution in exposure assessment</w:t>
      </w:r>
      <w:r>
        <w:fldChar w:fldCharType="begin"/>
      </w:r>
      <w:r>
        <w:instrText xml:space="preserve"> ADDIN ZOTERO_ITEM CSL_CITATION {"citationID":"FHBbXegK","properties":{"formattedCitation":"(Struys et al., 2025)","plainCitation":"(Struys et al., 2025)","noteIndex":0},"citationItems":[{"id":13364,"uris":["http://zotero.org/users/16652950/items/ZZXQ43JM"],"itemData":{"id":13364,"type":"article-journal","abstract":"This study demonstrates that environmental mutagenic exposure during pregnancy can increase somatic mutation accumulation in the fetus. Given that detrimental early life exposures can adversely affect health outcomes later in life, our study highlights the need for further research into the impact of environmentally induced genomic insults during the perinatal period. See related commentary by Furudate and Takahashi, p. 870.","container-title":"Cancer Discovery","DOI":"10.1158/2159-8290.CD-24-1368","ISSN":"2159-8290","issue":"5","journalAbbreviation":"Cancer Discov","language":"eng","note":"PMID: 39852764\nPMCID: PMC12046327","page":"903-912","source":"PubMed","title":"Prenatal Exposure to Chemotherapy Increases the Mutation Burden in Human Neonatal Hematopoietic Stem Cells","volume":"15","author":[{"family":"Struys","given":"Ilana"},{"family":"Velázquez","given":"Carolina"},{"family":"Ubels","given":"Joske"},{"family":"LeJeune","given":"Charlotte L."},{"family":"Roosmalen","given":"Markus J.","non-dropping-particle":"van"},{"family":"Rosendahl Huber","given":"Axel K. M."},{"family":"Leeuwen","given":"Anais J. C. N.","non-dropping-particle":"van"},{"family":"Bossuyt","given":"Wouter"},{"family":"Thienpont","given":"Bernard"},{"family":"Voet","given":"Thierry"},{"family":"Van Calsteren","given":"Kristel"},{"family":"Lenaerts","given":"Liesbeth"},{"family":"Boxtel","given":"Ruben","non-dropping-particle":"van"},{"family":"Amant","given":"Frédéric"}],"issued":{"date-parts":[["2025",5,2]]}}}],"schema":"https://github.com/citation-style-language/schema/raw/master/csl-citation.json"} </w:instrText>
      </w:r>
      <w:r>
        <w:fldChar w:fldCharType="separate"/>
      </w:r>
      <w:r>
        <w:t>(Struys et al., 2025)</w:t>
      </w:r>
      <w:r>
        <w:fldChar w:fldCharType="end"/>
      </w:r>
      <w:r>
        <w:t>.</w:t>
      </w:r>
    </w:p>
    <w:p w14:paraId="74D4D063">
      <w:pPr>
        <w:pStyle w:val="13"/>
        <w:jc w:val="both"/>
      </w:pPr>
      <w:r>
        <w:t>Early childhood represents an additional window of heightened susceptibility, characterized by rapid neurodevelopment, immune maturation, and tissue growth. During this period, children have limited capacity for detoxification and DNA repair, which may amplify the biological impact of environmental toxicants. Disruption of neuro-immune interactions during early childhood has been proposed as a plausible pathway linking postnatal agrochemical exposure to malignancies that manifest within the first decade of life. Together, these critical windows highlight the need for life-course–oriented exposure models that explicitly account for timing, duration, and intensity of agrochemical exposure in farmers’ children</w:t>
      </w:r>
      <w:r>
        <w:fldChar w:fldCharType="begin"/>
      </w:r>
      <w:r>
        <w:instrText xml:space="preserve"> ADDIN ZOTERO_ITEM CSL_CITATION {"citationID":"eMgnGVIS","properties":{"formattedCitation":"(Dallere et al., 2025)","plainCitation":"(Dallere et al., 2025)","noteIndex":0},"citationItems":[{"id":13366,"uris":["http://zotero.org/users/16652950/items/GLGQRMFC"],"itemData":{"id":13366,"type":"article-journal","abstract":"Inspired from the historical debate “nature” versus “nurture”, the concept “exposome” recently emerged as a comprehensive framework encompassing the totality of exposures individuals experience, from conception onward, over a complete lifetime, and how they can affect human health. In this narrative review, we present an overview of current knowledge on the exposome, with a particular focus on its impact on brain health across different life stages, highlighting its role during neurodevelopment/childhood, adulthood, physiological aging and neurodegenerative conditions. We explore the three main exposome domains (general external, specific external, internal), underpinning their interconnection. We also provide examples of how specific factors, ranging from chemicals to lifestyle habits, can either positively or negatively influence the CNS structure and function. To this aim, we included articles (mostly between 2005 and 2024) found in open-access databases, selected using the following search terms: “exposome”, “central nervous system” and “pregnancy” or “childhood” or “adulthood” or “aging” or “neurodegeneration”. Second, we analyzed the relationships between specific exposome domains and each stage of life. Only articles addressing a given risk factor across all life stages were included in the review. In each chapter, we review findings from both human and experimental studies, when available, with an insight on biological mechanisms, in order to link exposure to phenotype. This work highlights the potential of the exposomics’ framework to support public health policies and facilitate the prevention and treatment of multifactorial neurological disorders, while underscoring the importance of interdisciplinary efforts to address the multifaceted environmental determinants endangering the CNS health.","container-title":"Neuroscience &amp; Biobehavioral Reviews","DOI":"10.1016/j.neubiorev.2025.106247","ISSN":"0149-7634","journalAbbreviation":"Neuroscience &amp; Biobehavioral Reviews","page":"106247","source":"ScienceDirect","title":"The exposome from neurodevelopment to neurodegeneration: A narrative review","title-short":"The exposome from neurodevelopment to neurodegeneration","volume":"176","author":[{"family":"Dallere","given":"Sveva"},{"family":"Rasà","given":"Daniela Maria"},{"family":"Pavarino","given":"Gianna"},{"family":"Schellino","given":"Roberta"},{"family":"Vercelli","given":"Alessandro"},{"family":"Boido","given":"Marina"}],"issued":{"date-parts":[["2025",9,1]]}}}],"schema":"https://github.com/citation-style-language/schema/raw/master/csl-citation.json"} </w:instrText>
      </w:r>
      <w:r>
        <w:fldChar w:fldCharType="separate"/>
      </w:r>
      <w:r>
        <w:t>(Dallere et al., 2025)</w:t>
      </w:r>
      <w:r>
        <w:fldChar w:fldCharType="end"/>
      </w:r>
      <w:r>
        <w:t>.</w:t>
      </w:r>
    </w:p>
    <w:p w14:paraId="2F65E43B">
      <w:pPr>
        <w:pStyle w:val="3"/>
        <w:jc w:val="both"/>
      </w:pPr>
      <w:r>
        <w:t>5. Epidemiologic Evidence Linking Agrochemical Exposure to Pediatric Cancer</w:t>
      </w:r>
    </w:p>
    <w:p w14:paraId="572A641E">
      <w:pPr>
        <w:pStyle w:val="4"/>
        <w:jc w:val="both"/>
      </w:pPr>
      <w:r>
        <w:t>5.1 Overall Pediatric Cancer Risk</w:t>
      </w:r>
    </w:p>
    <w:p w14:paraId="20B57C35">
      <w:pPr>
        <w:pStyle w:val="13"/>
        <w:jc w:val="both"/>
      </w:pPr>
      <w:r>
        <w:t>Epidemiologic investigations conducted over the past several decades have consistently suggested an association between agrochemical exposure and increased risk of pediatric cancers in agricultural populations. Among the malignancies most frequently examined, leukemia, lymphoma, and tumors of the central nervous system predominate, reflecting both their relative incidence in childhood and their hypothesized sensitivity to environmental insults. Population-based case–control studies and registry-linked analyses have reported elevated risks among children residing in proximity to agricultural activities or born to parents engaged in farming occupations, particularly when exposure occurs during prenatal or early postnatal periods. Although effect sizes are generally modest, the recurrence of these associations across diverse geographic settings supports concern regarding the carcinogenic potential of early-life agrochemical exposure</w:t>
      </w:r>
      <w:r>
        <w:fldChar w:fldCharType="begin"/>
      </w:r>
      <w:r>
        <w:instrText xml:space="preserve"> ADDIN ZOTERO_ITEM CSL_CITATION {"citationID":"uIkAip3c","properties":{"formattedCitation":"(Gerken et al., 2024; Taiba et al., 2025)","plainCitation":"(Gerken et al., 2024; Taiba et al., 2025)","noteIndex":0},"citationItems":[{"id":13182,"uris":["http://zotero.org/users/16652950/items/CXDH8P6L"],"itemData":{"id":13182,"type":"article-journal","abstract":"Pesticides are an essential feature of modern-day agriculture that adds to the list of factors that increase cancer risk. Our study aims to evaluate comprehensibly this relationship through a population-based approach that considers confounding variables such as county-specific rates of smoking, socioeconomic vulnerability, and agricultural land. We achieved our goal with the implementation of latent class pesticide usage patterns that were further modeled among covariates to evaluate their associations to cancer risk. Our findings demonstrated an association between pesticide usage and increased incidence of leukemia, non-Hodgkin's lymphoma, bladder, colon, lung, pancreatic, cancers, and all cancers combined that are comparable to smoking for some cancer types. Through our comprehensive analysis and unique approach, our study emphasizes the importance of a holistic assessment of the risks of pesticide usage for communities, which may be used to impact future policies regarding pesticides.","container-title":"Frontiers in Cancer Control and Society","DOI":"10.3389/fcacs.2024.1368086","ISSN":"2813-835X","journalAbbreviation":"Front. Cancer Control Soc.","language":"English","note":"publisher: Frontiers","source":"Frontiers","title":"Comprehensive assessment of pesticide use patterns and increased cancer risk","URL":"https://www.frontiersin.org/journals/cancer-control-and-society/articles/10.3389/fcacs.2024.1368086/full","volume":"2","author":[{"family":"Gerken","given":"Jacob"},{"family":"Vincent","given":"Gear Thomas"},{"family":"Zapata","given":"Demi"},{"family":"Barron","given":"Ileana G."},{"family":"Zapata","given":"Isain"}],"accessed":{"date-parts":[["2026",1,10]]},"issued":{"date-parts":[["2024",7,25]]}}},{"id":13367,"uris":["http://zotero.org/users/16652950/items/A448IQFC"],"itemData":{"id":13367,"type":"article-journal","abstract":"Nebraska's age‐adjusted incidence rates for childhood cancers are among the highest in the US. Previous studies indicated associations between agrichemical exposures (atrazine and nitrates) and pediatric cancer rate, assuming single pollutant exposure. We evaluated the joint association between the agricultural mixture and pediatric cancer. Agrichemical exposures at a county scale were quantified using the USGS Pesticide National Synthesis Project for frequently applied pesticides from 1992 to 2014 in 93 Nebraska counties. Outcomes were quantified using pediatric cancer diagnosed among children &lt;20 years of age (1992–2014) from the Nebraska cancer registry. We adjusted for social vulnerability factors such as race, income, employment, and access to care. The associations between 32 agrichemicals and cancer subtypes were assessed using the Generalized Weighted Quantile Sum Regression (gWQS) model. The model was fit assuming a Poisson distribution and using the pediatric population as an offset‐term and social vulnerability factors as covariates. We observed a statistically significant positive association between the 32 agrichemicals and overall pediatric cancer and subtypes. The strength of associations was slightly stronger among brain and CNS cancers (β = 0.36, CI = 0.14, 0.57) compared to overall cancer (β = 0.30, CI = 0.16, 0.44) and leukemia (β = 0.23, CI = 0.09, 0.38). Dicamba, glyphosate, paraquat, quizalofop, triasulfuron, and tefluthrin largely contributed to the joint association. These findings may explain the joint associations of the agrichemical mixture on childhood cancer. Alternative biomarker‐based approaches to measuring human exposure are worth investigating for chemicals of concern, particularly in counties with high agrichemical and cancer rates., \nWe observed positive associations between agrichemical mixtures and overall cancer, brain and CNS cancers, and leukemia among childrenAbout a 10% increase in pesticide, mixtures was associated with a 23%–36% increase in these cancer ratesAmong the pesticides considered in the mixture, herbicides contributed the most toward these joint associations","container-title":"GeoHealth","DOI":"10.1029/2024GH001236","ISSN":"2471-1403","issue":"2","journalAbbreviation":"Geohealth","note":"PMID: 39944898\nPMCID: PMC11815328","page":"e2024GH001236","source":"PubMed Central","title":"Exploring the Joint Association Between Agrichemical Mixtures and Pediatric Cancer","volume":"9","author":[{"family":"Taiba","given":"Jabeen"},{"family":"Beseler","given":"Cheryl"},{"family":"Zahid","given":"Muhammad"},{"family":"Bartelt‐Hunt","given":"Shannon"},{"family":"Kolok","given":"Alan"},{"family":"Rogan","given":"Eleanor"}],"issued":{"date-parts":[["2025",2,12]]}}}],"schema":"https://github.com/citation-style-language/schema/raw/master/csl-citation.json"} </w:instrText>
      </w:r>
      <w:r>
        <w:fldChar w:fldCharType="separate"/>
      </w:r>
      <w:r>
        <w:t>(Gerken et al., 2024; Taiba et al., 2025)</w:t>
      </w:r>
      <w:r>
        <w:fldChar w:fldCharType="end"/>
      </w:r>
      <w:r>
        <w:t>.</w:t>
      </w:r>
    </w:p>
    <w:p w14:paraId="7093FE35">
      <w:pPr>
        <w:pStyle w:val="4"/>
        <w:jc w:val="both"/>
      </w:pPr>
      <w:r>
        <w:t>5.2 Cancer-Specific Associations</w:t>
      </w:r>
    </w:p>
    <w:p w14:paraId="291E2C7A">
      <w:pPr>
        <w:pStyle w:val="13"/>
        <w:jc w:val="both"/>
      </w:pPr>
      <w:r>
        <w:t>Acute lymphoblastic leukemia has emerged as the pediatric cancer most consistently associated with agrochemical exposure. Multiple studies have identified increased risks linked to parental occupational pesticide use, residential proximity to treated fields, and modeled prenatal exposure, with stronger associations observed for exposures occurring during critical developmental windows. These findings align with biological hypotheses implicating immune dysregulation and genotoxic damage to developing hematopoietic cells</w:t>
      </w:r>
      <w:r>
        <w:fldChar w:fldCharType="begin"/>
      </w:r>
      <w:r>
        <w:instrText xml:space="preserve"> ADDIN ZOTERO_ITEM CSL_CITATION {"citationID":"Wq2cV3LD","properties":{"formattedCitation":"(Desai et al., 2025; Silva et al., 2025)","plainCitation":"(Desai et al., 2025; Silva et al., 2025)","noteIndex":0},"citationItems":[{"id":13371,"uris":["http://zotero.org/users/16652950/items/CC767BB4"],"itemData":{"id":13371,"type":"article-journal","abstract":"Simple SummaryPesticides have been linked to an increased risk of developing childhood leukemia, yet their impact on survival remains unclear. This st...","container-title":"Cancers","DOI":"10.3390/cancers17060978","ISSN":"2072-6694","issue":"6","language":"en","license":"http://creativecommons.org/licenses/by/3.0/","note":"Company: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publisher","source":"www.mdpi.com","title":"Pre- and Postnatal Exposures to Residential Pesticides and Survival of Childhood Acute Lymphoblastic Leukemia","URL":"https://www.mdpi.com/2072-6694/17/6/978","volume":"17","author":[{"family":"Desai","given":"Seema"},{"family":"Morimoto","given":"Libby M."},{"family":"Kang","given":"Alice Y."},{"family":"Miller","given":"Mark D."},{"family":"Wiemels","given":"Joseph L."},{"family":"Winestone","given":"Lena E."},{"family":"Metayer","given":"Catherine"},{"family":"Desai","given":"Seema"},{"family":"Morimoto","given":"Libby M."},{"family":"Kang","given":"Alice Y."},{"family":"Miller","given":"Mark D."},{"family":"Wiemels","given":"Joseph L."},{"family":"Winestone","given":"Lena E."},{"family":"Metayer","given":"Catherine"}],"accessed":{"date-parts":[["2026",1,15]]},"issued":{"date-parts":[["2025",3,13]]}}},{"id":13342,"uris":["http://zotero.org/users/16652950/items/UUF4B6D8"],"itemData":{"id":13342,"type":"article-journal","abstract":"Leukemias are among the most common childhood cancers. Although its causes are still unclear, parents' environmental exposure to carcinogenic risk factors may have considerable potential. In this context, we revised the literature concerning parental exposure to pesticides, the development of leukemia in offspring, and the underlying molecular mechanisms involved. This systematic review was based on the PRISMA methodology. Only original studies were included; review articles and case reports were excluded. In total, 312 articles were screened. Of the 29 articles selected and 14 were included in this review. The main findings described in the studies above raise the hypothesis that parental pesticide exposure may be related to the development of leukemia in offspring. However, the literature reinforces the lack of well-designed studies highlighting the mechanism triggered by this exposure and its relationship with childhood cancer. The revised literature provides strong evidence supporting the relationship between parental exposure to pesticides and leukemia development in offspring. While gaps remain in understanding the precise mechanisms involved, the findings emphasize the potential risk posed by pesticide exposure and highlight the need for well-designed studies to clarify the underlying biological pathways.","container-title":"Frontiers in Pediatrics","DOI":"10.3389/fped.2025.1560678","ISSN":"2296-2360","journalAbbreviation":"Front. Pediatr.","language":"English","note":"publisher: Frontiers","source":"Frontiers","title":"Evidence concerning parental exposure to pesticides and the occurrence of leukemia in offspring: a systematic review","title-short":"Evidence concerning parental exposure to pesticides and the occurrence of leukemia in offspring","URL":"https://www.frontiersin.org/journals/pediatrics/articles/10.3389/fped.2025.1560678/full","volume":"13","author":[{"family":"Silva","given":"Kennia Cristine de Souza"},{"family":"Oliveira","given":"Geise Ellen Broto"},{"family":"Amarante","given":"Marla Karine"},{"family":"Panis","given":"Carolina"}],"accessed":{"date-parts":[["2026",1,15]]},"issued":{"date-parts":[["2025",4,10]]}}}],"schema":"https://github.com/citation-style-language/schema/raw/master/csl-citation.json"} </w:instrText>
      </w:r>
      <w:r>
        <w:fldChar w:fldCharType="separate"/>
      </w:r>
      <w:r>
        <w:t>(Desai et al., 2025; Silva et al., 2025)</w:t>
      </w:r>
      <w:r>
        <w:fldChar w:fldCharType="end"/>
      </w:r>
      <w:r>
        <w:t>.</w:t>
      </w:r>
    </w:p>
    <w:p w14:paraId="7597416A">
      <w:pPr>
        <w:pStyle w:val="13"/>
        <w:jc w:val="both"/>
      </w:pPr>
      <w:r>
        <w:t>Brain and central nervous system tumors represent a second major category of concern. Epidemiologic evidence suggests associations between early-life exposure to certain herbicides and insecticides and increased risk of pediatric brain tumors, although results are less consistent than those observed for leukemia. Variability in tumor classification, exposure assessment, and latency considerations has contributed to heterogeneity across studies. Nonetheless, the vulnerability of the developing nervous system lends biological plausibility to these observed associations</w:t>
      </w:r>
      <w:r>
        <w:fldChar w:fldCharType="begin"/>
      </w:r>
      <w:r>
        <w:instrText xml:space="preserve"> ADDIN ZOTERO_ITEM CSL_CITATION {"citationID":"33lfrBPa","properties":{"formattedCitation":"(Onyije et al., 2024)","plainCitation":"(Onyije et al., 2024)","noteIndex":0},"citationItems":[{"id":13373,"uris":["http://zotero.org/users/16652950/items/HVJGWBFA"],"itemData":{"id":13373,"type":"article-journal","abstract":"•Systematic review and meta-analysis of 180 studies evaluating risk factors in children diagnosed of brain tumours.•Childhood and parental exposure to pesticides were found to be associated with childhood brain tumours.•Modestly increased risks of brain tumours for children conceived through assisted reproductive technology or born via Caesarean sections.•Parental lifestyle associated with childhood brain tumours: smoking (fathers), coffee and cured meat intake (mothers).•Maternal intake of vitamins and folic acid during pregnancy is protective against childhood brain tumours.","container-title":"Cancer Epidemiology","DOI":"10.1016/j.canep.2023.102510","ISSN":"1877-7821","journalAbbreviation":"Cancer Epidemiol","note":"PMID: 38056243\nPMCID: PMC10835339","page":"102510","source":"PubMed Central","title":"Risk factors for childhood brain tumours: A systematic review and meta-analysis of observational studies from 1976 to 2022","title-short":"Risk factors for childhood brain tumours","volume":"88","author":[{"family":"Onyije","given":"Felix M."},{"family":"Dolatkhah","given":"Roya"},{"family":"Olsson","given":"Ann"},{"family":"Bouaoun","given":"Liacine"},{"family":"Deltour","given":"Isabelle"},{"family":"Erdmann","given":"Friederike"},{"family":"Bonaventure","given":"Audrey"},{"family":"Scheurer","given":"Michael E."},{"family":"Clavel","given":"Jacqueline"},{"family":"Schüz","given":"Joachim"}],"issued":{"date-parts":[["2024",2]]}}}],"schema":"https://github.com/citation-style-language/schema/raw/master/csl-citation.json"} </w:instrText>
      </w:r>
      <w:r>
        <w:fldChar w:fldCharType="separate"/>
      </w:r>
      <w:r>
        <w:t>(Onyije et al., 2024)</w:t>
      </w:r>
      <w:r>
        <w:fldChar w:fldCharType="end"/>
      </w:r>
      <w:r>
        <w:t>.</w:t>
      </w:r>
    </w:p>
    <w:p w14:paraId="248EED89">
      <w:pPr>
        <w:pStyle w:val="13"/>
        <w:jc w:val="both"/>
      </w:pPr>
      <w:r>
        <w:t>Evidence for rare pediatric malignancies, including soft tissue sarcomas, Wilms tumor, and neuroblastoma, is more limited due to small case numbers and methodological constraints. While some studies have reported elevated risks in agricultural settings, findings remain inconclusive, underscoring the need for larger, well-characterized cohorts and improved exposure assessment strategies to clarify these potential relationships.</w:t>
      </w:r>
    </w:p>
    <w:p w14:paraId="19959C70">
      <w:pPr>
        <w:pStyle w:val="4"/>
        <w:jc w:val="both"/>
      </w:pPr>
      <w:r>
        <w:t>5.3 Strength and Consistency of Evidence</w:t>
      </w:r>
    </w:p>
    <w:p w14:paraId="24593F6E">
      <w:pPr>
        <w:pStyle w:val="13"/>
        <w:jc w:val="both"/>
      </w:pPr>
      <w:r>
        <w:t>Across the literature, reported effect estimates generally indicate small to moderate increases in pediatric cancer risk associated with agrochemical exposure, with odds ratios typically ranging from modest elevations to more pronounced effects in high-exposure subgroups. The strength of evidence is greatest for leukemia, particularly acute lymphoblastic leukemia, where associations have been replicated across multiple study designs and exposure metrics. However, substantial heterogeneity exists, driven by differences in study populations, exposure assessment methods, chemical classes evaluated, and timing of exposure</w:t>
      </w:r>
      <w:r>
        <w:fldChar w:fldCharType="begin"/>
      </w:r>
      <w:r>
        <w:instrText xml:space="preserve"> ADDIN ZOTERO_ITEM CSL_CITATION {"citationID":"2eaQBKnT","properties":{"formattedCitation":"(Emeny et al., 2025)","plainCitation":"(Emeny et al., 2025)","noteIndex":0},"citationItems":[{"id":13375,"uris":["http://zotero.org/users/16652950/items/DIQBJLI9"],"itemData":{"id":13375,"type":"article-journal","abstract":"Simple Summary\nChildhood cancer is a significant public health concern with increasing rates over decades suggesting that environmental factors may contribute to this trend. We reviewed studies published between 2014 and 2021 that examined childhood exposure to air pollution and radiation, as well as parental environmental and occupational exposures before conception or during pregnancy, in relation to childhood cancer. Strong evidence was found for associations between leukemia and exposures to traffic pollution, indoor paint, residential pesticides, and occupational/nonoccupational benzene, and between brain cancer and exposures to residential pesticides and occupational agricultural pesticides. There was mixed evidence of associations between leukemia and electromagnetic fields (EMFs), and ionizing radiation from radon or nuclear power plants. This review consolidates knowledge of environmental factors associated with childhood cancer to inform targeted prevention strategies.\n\nAbstract\nPurpose: To achieve a better understanding of the environmental factors that contribute to childhood cancers, so as to inform future prevention efforts. Methods: We conducted a comprehensive review of epidemiological studies on environmental risk factors and childhood cancer, which was published between January 2014 and March 2021. Potential exposure sources presented in this review include air pollution, radiation, and parental occupational exposures. We considered exposures during childhood and parental exposures occurring before the child’s conception and during pregnancy in relation to all types of childhood cancer. Results: Aggregated evidence is strong for associations between leukemia and parental/child exposure to traffic pollution, indoor paints, residential pesticides, and parental occupational/nonoccupational exposure to benzene. Evidence is also strong for associations between brain cancer and residential pesticides and parental occupational exposure to agricultural pesticides. Evidence of associations between leukemia and ionizing radiation from radon and nuclear power plants remains mixed, as does evidence of a link between electromagnetic fields (EMFs) and childhood leukemia. Conclusions: Clear associations have been demonstrated between childhood cancer and environmental factors, including parent/child exposure to traffic pollution, occupational/nonoccupational benzene, indoor paints, residential pesticides, and parental occupational exposure to agricultural pesticides. These associations can be used to inform further study of interventions and public health campaigns to reduce risk.","container-title":"Cancers","DOI":"10.3390/cancers17213516","ISSN":"2072-6694","issue":"21","journalAbbreviation":"Cancers (Basel)","note":"PMID: 41228305\nPMCID: PMC12609540","page":"3516","source":"PubMed Central","title":"Causes of Childhood Cancer: A Literature Review (2014–2021)—Part 3: Environmental and Occupational Factors","title-short":"Causes of Childhood Cancer","volume":"17","author":[{"family":"Emeny","given":"Rebecca T."},{"family":"Butow","given":"Mary E."},{"family":"Titus","given":"Linda"},{"family":"Ricci","given":"Angela M."},{"family":"Bagley","given":"Pamela J."},{"family":"Blunt","given":"Heather B."},{"family":"Morgan","given":"Alexandra"},{"family":"Alford-Teaster","given":"Jennifer A."},{"family":"Walston","given":"Raymond R."},{"family":"Rees","given":"Judy R."}],"issued":{"date-parts":[["2025",10,31]]}}}],"schema":"https://github.com/citation-style-language/schema/raw/master/csl-citation.json"} </w:instrText>
      </w:r>
      <w:r>
        <w:fldChar w:fldCharType="separate"/>
      </w:r>
      <w:r>
        <w:t>(Emeny et al., 2025)</w:t>
      </w:r>
      <w:r>
        <w:fldChar w:fldCharType="end"/>
      </w:r>
      <w:r>
        <w:t>.</w:t>
      </w:r>
    </w:p>
    <w:p w14:paraId="11AC3DC3">
      <w:pPr>
        <w:pStyle w:val="13"/>
        <w:jc w:val="both"/>
      </w:pPr>
      <w:r>
        <w:t>Inconsistencies across studies also reflect challenges inherent to environmental epidemiology, including exposure misclassification, residual confounding, and limited statistical power for rare outcomes. Despite these limitations, the overall pattern of evidence suggests a meaningful link between early-life agrochemical exposure and pediatric cancer risk, warranting continued investigation using refined exposure models and integrative analytic approaches to strengthen causal inference and inform prevention efforts</w:t>
      </w:r>
      <w:r>
        <w:fldChar w:fldCharType="begin"/>
      </w:r>
      <w:r>
        <w:instrText xml:space="preserve"> ADDIN ZOTERO_ITEM CSL_CITATION {"citationID":"bbzCl5Tq","properties":{"formattedCitation":"(Savitz &amp; Wellenius, 2025)","plainCitation":"(Savitz &amp; Wellenius, 2025)","noteIndex":0},"citationItems":[{"id":13378,"uris":["http://zotero.org/users/16652950/items/WURUFYB3"],"itemData":{"id":13378,"type":"article-journal","container-title":"Environmental Epidemiology","DOI":"10.1097/EE9.0000000000000433","ISSN":"2474-7882","issue":"6","journalAbbreviation":"Environ Epidemiol","note":"PMID: 41140318\nPMCID: PMC12548993","page":"e433","source":"PubMed Central","title":"Consequential (and inconsequential) environmental epidemiology","volume":"9","author":[{"family":"Savitz","given":"David A."},{"family":"Wellenius","given":"Gregory A."}],"issued":{"date-parts":[["2025",10,22]]}}}],"schema":"https://github.com/citation-style-language/schema/raw/master/csl-citation.json"} </w:instrText>
      </w:r>
      <w:r>
        <w:fldChar w:fldCharType="separate"/>
      </w:r>
      <w:r>
        <w:t>(Savitz &amp; Wellenius, 2025)</w:t>
      </w:r>
      <w:r>
        <w:fldChar w:fldCharType="end"/>
      </w:r>
      <w:r>
        <w:t>.</w:t>
      </w:r>
    </w:p>
    <w:p w14:paraId="718BA872">
      <w:pPr>
        <w:jc w:val="both"/>
      </w:pPr>
    </w:p>
    <w:p w14:paraId="294AE70A">
      <w:pPr>
        <w:pStyle w:val="3"/>
        <w:jc w:val="both"/>
      </w:pPr>
      <w:r>
        <w:t>6. Exposure Assessment and Modeling Approaches</w:t>
      </w:r>
    </w:p>
    <w:p w14:paraId="6907518A">
      <w:pPr>
        <w:pStyle w:val="4"/>
        <w:jc w:val="both"/>
      </w:pPr>
      <w:r>
        <w:t>6.1 Traditional Exposure Assessment Methods</w:t>
      </w:r>
    </w:p>
    <w:p w14:paraId="75878F20">
      <w:pPr>
        <w:pStyle w:val="13"/>
        <w:jc w:val="both"/>
      </w:pPr>
      <w:r>
        <w:t>Early epidemiologic studies of agrochemical exposure and pediatric cancer risk have relied primarily on traditional exposure assessment approaches, including self-reported pesticide use and job-exposure matrices. Self-reported data, typically obtained through parental interviews or questionnaires, have been used to capture information on occupational pesticide handling, household use, and residential proximity to agricultural activities. While such methods offer contextual detail, they are vulnerable to recall bias, particularly in case–control studies, and often lack specificity regarding chemical identity, application intensity, and timing of exposure.</w:t>
      </w:r>
    </w:p>
    <w:p w14:paraId="11CAF36E">
      <w:pPr>
        <w:pStyle w:val="13"/>
        <w:jc w:val="both"/>
      </w:pPr>
      <w:r>
        <w:t>Job-exposure matrices have been employed to infer exposure based on occupational titles and industry classifications, providing a standardized means of assigning exposure probabilities across large populations. Although useful for minimizing recall bias, these matrices generally assume homogeneity of exposure within occupational categories and rarely capture variation in work practices, protective behaviors, or temporal changes in pesticide use. Collectively, these traditional methods are prone to exposure misclassification, which can attenuate observed associations and contribute to inconsistent findings across studies</w:t>
      </w:r>
      <w:r>
        <w:fldChar w:fldCharType="begin"/>
      </w:r>
      <w:r>
        <w:instrText xml:space="preserve"> ADDIN ZOTERO_ITEM CSL_CITATION {"citationID":"6XYG3pNH","properties":{"formattedCitation":"(Desai et al., 2025; Figueiredo et al., 2025)","plainCitation":"(Desai et al., 2025; Figueiredo et al., 2025)","noteIndex":0},"citationItems":[{"id":13371,"uris":["http://zotero.org/users/16652950/items/CC767BB4"],"itemData":{"id":13371,"type":"article-journal","abstract":"Simple SummaryPesticides have been linked to an increased risk of developing childhood leukemia, yet their impact on survival remains unclear. This st...","container-title":"Cancers","DOI":"10.3390/cancers17060978","ISSN":"2072-6694","issue":"6","language":"en","license":"http://creativecommons.org/licenses/by/3.0/","note":"Company: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publisher","source":"www.mdpi.com","title":"Pre- and Postnatal Exposures to Residential Pesticides and Survival of Childhood Acute Lymphoblastic Leukemia","URL":"https://www.mdpi.com/2072-6694/17/6/978","volume":"17","author":[{"family":"Desai","given":"Seema"},{"family":"Morimoto","given":"Libby M."},{"family":"Kang","given":"Alice Y."},{"family":"Miller","given":"Mark D."},{"family":"Wiemels","given":"Joseph L."},{"family":"Winestone","given":"Lena E."},{"family":"Metayer","given":"Catherine"},{"family":"Desai","given":"Seema"},{"family":"Morimoto","given":"Libby M."},{"family":"Kang","given":"Alice Y."},{"family":"Miller","given":"Mark D."},{"family":"Wiemels","given":"Joseph L."},{"family":"Winestone","given":"Lena E."},{"family":"Metayer","given":"Catherine"}],"accessed":{"date-parts":[["2026",1,15]]},"issued":{"date-parts":[["2025",3,13]]}}},{"id":13381,"uris":["http://zotero.org/users/16652950/items/6Y52VY4M"],"itemData":{"id":13381,"type":"article-journal","abstract":"Individuals are exposed to pesticides via dietary and non-dietary exposure routes. There is a growing need for aggregated exposure estimates across occupationally and non-occupationally exposed populations. Exposure to current-use and legacy pesticides was studied using silicone wristbands worn by farmers, residents living close to treated fields (neighbors), and the general population (consumers), in total, 641 participants across 10 European countries. Wristband extracts were analyzed for 193 pesticides by targeted Liquid and Gas Chromatography-Mass Spectrometry. Information on exposure predictors, such as frequency of cleaning, was collected by questionnaire. Logistic regressions and multivariable generalized least squares models were used to study predictors of pesticide occurrence and concentrations, respectively. We detected 173 out of 193 pesticides (89 %) across all samples. Per wristband 9 – 74 (median of 36) pesticides were detected in conventional farmers (FC), 8 – 66 (median of 20) in organic farmers, 3 – 66 (median of 20) in neighbors and 2 – 54 (median of 17) in consumers. Insecticides, like permethrin and chlorpyrifos, were commonly detected across all groups (&gt;85 %). Concentrations varied significantly across groups, with the highest levels often observed in FC. We identified pesticide use and having pets as important predictors of personal non-dietary exposure. Mixture analysis revealed one major combination (in 72 % of all samples) of three insecticides, namely permethrin, chlorpyrifos, DDE p,p’, and the synergist piperonyl butoxide. This study highlights that farm workers using a conventional farming system are a highly exposed group. It is unclear what the identified prevalent mixtures mean for cumulative exposure and resulting health risks.","container-title":"Environment International","DOI":"10.1016/j.envint.2025.109734","ISSN":"0160-4120","journalAbbreviation":"Environment International","page":"109734","source":"ScienceDirect","title":"Non-dietary personal pesticide exposure using silicone wristbands across 10 European countries","volume":"203","author":[{"family":"Figueiredo","given":"Daniel Martins"},{"family":"Mu","given":"Hongyu"},{"family":"Osman","given":"Rima"},{"family":"Silva","given":"Vera"},{"family":"Graumans","given":"Martien"},{"family":"Dael","given":"Maurice","non-dropping-particle":"van"},{"family":"Balkhi","given":"Souleiman El"},{"family":"Mol","given":"Hans"},{"family":"Huss","given":"Anke"},{"family":"Vermeulen","given":"Roel"},{"family":"Hofman","given":"Jakub"},{"family":"Abrantes","given":"Nelson"},{"family":"Campos","given":"Isabel"},{"family":"Alcon","given":"Francisco"},{"family":"Contreras","given":"Josefa"},{"family":"Baldi","given":"Isabelle"},{"family":"Bureau","given":"Mathilde"},{"family":"Alaoui","given":"Abdallah"},{"family":"Christ","given":"Florian"},{"family":"Mandrioli","given":"Daniele"},{"family":"Sgargi","given":"Daria"},{"family":"Pasković","given":"Igor"},{"family":"Pasković","given":"Marija Polić"},{"family":"Glavan","given":"Matjaž"},{"family":"Harkes","given":"Paula"},{"family":"Lwanga","given":"Esperanza Huerta"},{"family":"Gai","given":"Lingtong"},{"family":"Norgaard","given":"Trine"},{"family":"Geissen","given":"Violette"},{"family":"Schlünssen","given":"Vivi"},{"family":"Scheepers","given":"Paul T. J."}],"issued":{"date-parts":[["2025",9,1]]}}}],"schema":"https://github.com/citation-style-language/schema/raw/master/csl-citation.json"} </w:instrText>
      </w:r>
      <w:r>
        <w:fldChar w:fldCharType="separate"/>
      </w:r>
      <w:r>
        <w:t>(Desai et al., 2025; Figueiredo et al., 2025)</w:t>
      </w:r>
      <w:r>
        <w:fldChar w:fldCharType="end"/>
      </w:r>
      <w:r>
        <w:t>.</w:t>
      </w:r>
    </w:p>
    <w:p w14:paraId="4634A31C">
      <w:pPr>
        <w:pStyle w:val="4"/>
        <w:jc w:val="both"/>
      </w:pPr>
      <w:r>
        <w:t>6.2 GIS-Based and Spatial Exposure Models</w:t>
      </w:r>
    </w:p>
    <w:p w14:paraId="3BB86F65">
      <w:pPr>
        <w:pStyle w:val="13"/>
        <w:jc w:val="both"/>
      </w:pPr>
      <w:r>
        <w:t>In response to the limitations of conventional exposure assessment, GIS-based and spatial modeling approaches have gained prominence in environmental cancer research. Proximity and buffer-based methods estimate exposure by linking residential locations to nearby agricultural pesticide applications, often using predefined distance thresholds or distance-weighted functions. These approaches improve spatial resolution and reduce reliance on self-report, enabling more objective reconstruction of exposure patterns</w:t>
      </w:r>
      <w:r>
        <w:fldChar w:fldCharType="begin"/>
      </w:r>
      <w:r>
        <w:instrText xml:space="preserve"> ADDIN ZOTERO_ITEM CSL_CITATION {"citationID":"7CBv5MLw","properties":{"formattedCitation":"(Afandi et al., 2023; Yang et al., 2023)","plainCitation":"(Afandi et al., 2023; Yang et al., 2023)","noteIndex":0},"citationItems":[{"id":13262,"uris":["http://zotero.org/users/16652950/items/65NFPS4Q"],"itemData":{"id":13262,"type":"article-journal","abstract":"Farmers utilize pesticides extensively on their farms to control weeds and insects, as well as increase crop productivity. Despite these advantages, t...","container-title":"Agronomy","DOI":"10.3390/agronomy13071759","ISSN":"2073-4395","issue":"7","language":"en","license":"http://creativecommons.org/licenses/by/3.0/","note":"Company: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publisher","source":"www.mdpi.com","title":"Effectiveness of Utilizing Remote Sensing and GIS Techniques to Estimate the Exposure to Organophosphate Pesticides Drift over Macon, Alabama","URL":"https://www.mdpi.com/2073-4395/13/7/1759","volume":"13","author":[{"family":"Afandi","given":"Gamal El"},{"family":"Ismael","given":"Hossam"},{"family":"Fall","given":"Souleymane"},{"family":"Ankumah","given":"Ramble"},{"family":"Afandi","given":"Gamal El"},{"family":"Ismael","given":"Hossam"},{"family":"Fall","given":"Souleymane"},{"family":"Ankumah","given":"Ramble"}],"accessed":{"date-parts":[["2026",1,11]]},"issued":{"date-parts":[["2023",6,28]]}}},{"id":13384,"uris":["http://zotero.org/users/16652950/items/Y3VF2MW6"],"itemData":{"id":13384,"type":"article-journal","abstract":"This retrospective cohort study explores the association between residential proximity to a commercial pesticide application site and chronic rhinosinusitis.","container-title":"JAMA Otolaryngology-- Head &amp; Neck Surgery","DOI":"10.1001/jamaoto.2023.1499","ISSN":"2168-6181","issue":"9","journalAbbreviation":"JAMA Otolaryngol Head Neck Surg","note":"PMID: 37440215\nPMCID: PMC10346512","page":"773-780","source":"PubMed Central","title":"Residential Proximity to a Commercial Pesticide Application Site and Risk of Chronic Rhinosinusitis","volume":"149","author":[{"family":"Yang","given":"Hong-Ho"},{"family":"Paul","given":"Kimberly C."},{"family":"Cockburn","given":"Myles G."},{"family":"Thompson","given":"Laura K."},{"family":"Cheng","given":"Melodyanne Y."},{"family":"Suh","given":"Jeffrey D."},{"family":"Wang","given":"Marilene B."},{"family":"Lee","given":"Jivianne T."}],"issued":{"date-parts":[["2023",9]]}}}],"schema":"https://github.com/citation-style-language/schema/raw/master/csl-citation.json"} </w:instrText>
      </w:r>
      <w:r>
        <w:fldChar w:fldCharType="separate"/>
      </w:r>
      <w:r>
        <w:t>(Afandi et al., 2023; Yang et al., 2023)</w:t>
      </w:r>
      <w:r>
        <w:fldChar w:fldCharType="end"/>
      </w:r>
      <w:r>
        <w:t>.</w:t>
      </w:r>
    </w:p>
    <w:p w14:paraId="3A73134E">
      <w:pPr>
        <w:pStyle w:val="13"/>
        <w:jc w:val="both"/>
      </w:pPr>
      <w:r>
        <w:t>More advanced spatial models incorporate land-use regression techniques and detailed crop-mapping data to estimate pesticide application intensity across geographic areas. By integrating information on crop type, chemical usage, and application frequency, these models better reflect real-world exposure heterogeneity. The incorporation of meteorological variables, such as wind speed, wind direction, temperature, and precipitation, further enhances model realism by accounting for environmental transport processes that influence pesticide dispersion and deposition. Together, these spatially explicit approaches represent a substantial methodological advance in exposure assessment for pediatric populations</w:t>
      </w:r>
      <w:r>
        <w:fldChar w:fldCharType="begin"/>
      </w:r>
      <w:r>
        <w:instrText xml:space="preserve"> ADDIN ZOTERO_ITEM CSL_CITATION {"citationID":"WquhcLZx","properties":{"formattedCitation":"(Wang et al., 2025)","plainCitation":"(Wang et al., 2025)","noteIndex":0},"citationItems":[{"id":13386,"uris":["http://zotero.org/users/16652950/items/EBXQJYZ9"],"itemData":{"id":13386,"type":"article-journal","abstract":"Chili (Capsicum sp.) is a high-value crop cultivated by farmers, but its production is vulnerable to weather extremes (such as irregular rainfall, hig...","container-title":"Remote Sensing","DOI":"10.3390/rs17162827","ISSN":"2072-4292","issue":"16","language":"en","license":"http://creativecommons.org/licenses/by/3.0/","note":"Company: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publisher","source":"www.mdpi.com","title":"Application of Remote Sensing and Geographic Information Systems for Monitoring and Managing Chili Crops: A Systematic Review","title-short":"Application of Remote Sensing and Geographic Information Systems for Monitoring and Managing Chili Crops","URL":"https://www.mdpi.com/2072-4292/17/16/2827","volume":"17","author":[{"family":"Wang","given":"Ziyue"},{"family":"Akber","given":"Md Ali"},{"family":"Aziz","given":"Ammar Abdul"},{"family":"Wang","given":"Ziyue"},{"family":"Akber","given":"Md Ali"},{"family":"Aziz","given":"Ammar Abdul"}],"accessed":{"date-parts":[["2026",1,15]]},"issued":{"date-parts":[["2025",8,13]]}}}],"schema":"https://github.com/citation-style-language/schema/raw/master/csl-citation.json"} </w:instrText>
      </w:r>
      <w:r>
        <w:fldChar w:fldCharType="separate"/>
      </w:r>
      <w:r>
        <w:t>(Wang et al., 2025)</w:t>
      </w:r>
      <w:r>
        <w:fldChar w:fldCharType="end"/>
      </w:r>
      <w:r>
        <w:t>.</w:t>
      </w:r>
    </w:p>
    <w:p w14:paraId="00A41B51">
      <w:pPr>
        <w:pStyle w:val="4"/>
        <w:jc w:val="both"/>
      </w:pPr>
      <w:r>
        <w:t>6.3 Advances in Temporal Exposure Modeling</w:t>
      </w:r>
    </w:p>
    <w:p w14:paraId="4BA2B0A0">
      <w:pPr>
        <w:pStyle w:val="13"/>
        <w:jc w:val="both"/>
      </w:pPr>
      <w:r>
        <w:t>Beyond spatial resolution, recent methodological developments have emphasized the importance of temporal specificity in exposure modeling. Distinguishing between prenatal and postnatal exposure windows has proven critical for elucidating developmental timing effects, as exposures during gestation may have different biological consequences than those occurring during early childhood. Temporal exposure models increasingly incorporate trimester-specific metrics and align exposure estimates with key developmental milestones</w:t>
      </w:r>
      <w:r>
        <w:fldChar w:fldCharType="begin"/>
      </w:r>
      <w:r>
        <w:instrText xml:space="preserve"> ADDIN ZOTERO_ITEM CSL_CITATION {"citationID":"xwyHEMYR","properties":{"formattedCitation":"(Chiu et al., 2025)","plainCitation":"(Chiu et al., 2025)","noteIndex":0},"citationItems":[{"id":13388,"uris":["http://zotero.org/users/16652950/items/VLRQS4XK"],"itemData":{"id":13388,"type":"article-journal","abstract":"Background:\nPrenatal air pollution (AP) exposure has been linked to postpartum psychological functioning, impacting health outcomes in both women and children. Extant studies primarily focused on individual pollutants.\n\nObjective:\nTo assess the association between prenatal exposure to a mixture of seven AP components and postpartum psychological functioning using daily exposure data and data-driven statistical methods.\n\nMethods:\nAnalyses included 981 women recruited at 24.0±9.9 weeks gestation and followed longitudinally. We estimated prenatal daily exposure levels for constituents of fine particles [elemental carbon (EC), organic carbon (OC), nitrate (NO3−), sulfate (SO42−), ammonium (NH4+)], nitrogen dioxide (NO2), and ozone (O3) using validated global 3-D chemical-transport models and satellite-based hybrid models based on residential addresses. Edinburgh Postnatal Depression Scale (EPDS) was administered to participants to derive a total EPDS score and the subconstruct scores for anhedonia and depressive symptoms. A distributed lag model (DLM) was employed within Bayesian Kernel Machine Regression (BKMR) to develop time-weighted exposure profile for each pollutant. These exposures were then input into a Weighted Quantile Sum (WQS) regression to estimate an overall mixture effect, adjusted for maternal age, education, race/ethnicity, season of delivery, and delivery year. Effect modification by race/ethnicity and fetal sex was also examined.\n\nResults:\nWomen were primarily Hispanic (51%) and Black (32%) reporting ≤12 years of education (58%). Prenatal exposure to an AP mixture was significantly associated with increased anhedonia subscale z-scores, particularly in Hispanics (β=0.07, 95%CI=0.004 to 0.13, per unit increase in WQS index). It was also borderline associated with increased total EPDS (β=0.11, 95%CI=0.00 to 0.22) and depressive symptom subscale (β=0.09, 95%CI=−0.02 to 0.19) z-scores, particularly among Hispanic women who gave birth to a male infant. Sulfate (SO42−), O3 and OC were major contributors to these associations.\n\nSignificance:\nAssociations between prenatal exposure to an AP mixture and postpartum psychological functioning might be race/ethnicity- and infant sex-dependent.","container-title":"Journal of exposure science &amp; environmental epidemiology","DOI":"10.1038/s41370-024-00726-2","ISSN":"1559-0631","issue":"4","journalAbbreviation":"J Expo Sci Environ Epidemiol","note":"PMID: 39567710\nPMCID: PMC12092737","page":"548-556","source":"PubMed Central","title":"Air Pollution Mixture Exposure during Pregnancy and Postpartum Psychological Functioning: Racial/ethnic- and fetal sex-specific associations","title-short":"Air Pollution Mixture Exposure during Pregnancy and Postpartum Psychological Functioning","volume":"35","author":[{"family":"Chiu","given":"Yueh-Hsiu Mathilda"},{"family":"Coull","given":"Brent A."},{"family":"Wilson","given":"Ander"},{"family":"Hsu","given":"Hsiao-Hsien Leon"},{"family":"Xhani","given":"Naim"},{"family":"Nentin","given":"Farida"},{"family":"Deli","given":"Barbara C."},{"family":"Schwartz","given":"Joel"},{"family":"Colicino","given":"Elena"},{"family":"Wright","given":"Robert O."},{"family":"Wright","given":"Rosalind J."}],"issued":{"date-parts":[["2025",7]]}}}],"schema":"https://github.com/citation-style-language/schema/raw/master/csl-citation.json"} </w:instrText>
      </w:r>
      <w:r>
        <w:fldChar w:fldCharType="separate"/>
      </w:r>
      <w:r>
        <w:t>(Chiu et al., 2025)</w:t>
      </w:r>
      <w:r>
        <w:fldChar w:fldCharType="end"/>
      </w:r>
      <w:r>
        <w:t>.</w:t>
      </w:r>
    </w:p>
    <w:p w14:paraId="39215C5B">
      <w:pPr>
        <w:pStyle w:val="13"/>
        <w:jc w:val="both"/>
      </w:pPr>
      <w:r>
        <w:t>In addition, cumulative exposure metrics that aggregate repeated low-dose exposures over time have been used to capture chronic exposure burden, while peak exposure metrics aim to identify short-term, high-intensity events that may trigger biological responses. The integration of both cumulative and peak measures provides a more nuanced representation of exposure dynamics and supports more refined investigation of exposure–response relationships. These advances underscore the growing capacity of exposure modeling approaches to address the complexity of early-life agrochemical exposure in agricultural settings</w:t>
      </w:r>
      <w:r>
        <w:fldChar w:fldCharType="begin"/>
      </w:r>
      <w:r>
        <w:instrText xml:space="preserve"> ADDIN ZOTERO_ITEM CSL_CITATION {"citationID":"4sxNT6Cg","properties":{"formattedCitation":"(Shekhar et al., 2024)","plainCitation":"(Shekhar et al., 2024)","noteIndex":0},"citationItems":[{"id":13293,"uris":["http://zotero.org/users/16652950/items/EWAJ2Q55"],"itemData":{"id":13293,"type":"article-journal","abstract":"Pesticides are widely used to control pests, but their widespread use raises concerns regarding potential health risks for humans. There are several routes through which pesticides can be ingested, inhaled, and absorbed, resulting in acute and long-term health consequences. This systematic review synthesizes the available evidence regarding the health risks and long-term effects of pesticide exposure, with a particular focus on epidemiological and toxicological studies. A systematic review was conducted by searching scientific databases i.e. Scopus, and Web of Science for peer-reviewed articles published between 2000 and 2024. Studies were selected based on their focus on pesticide exposure, health risks, and long-term effects. Meta-analysis was conducted where sufficient homogeneity of outcomes allowed. This review identified consistent associations between chronic pesticide exposure and non-communicable diseases, including cancer, neurological disorders, and endocrine disruptions. An increased incidence of respiratory issues and neurodegenerative diseases was often associated with occupational exposure to pesticides. People exposed for a prolonged or high intensity time period, particularly agricultural workers, were more likely to experience long-term health effects. There are a number of factors that influences the ability to draw definitive conclusions, including variations in pesticide types, exposure levels, and health outcomes. Chronic exposure to pesticides presents significant health risks, particularly for individuals in high-exposure environments like agriculture. While evidence indicates strong associations with several long-term health conditions, additional research is necessary to elucidate dose-response relationships and mechanisms of action. This review underscores the necessity for enhanced regulatory measures and improved safety protocols to mitigate pesticide-related health risks.","container-title":"Toxicology Reports","DOI":"10.1016/j.toxrep.2024.101840","ISSN":"2214-7500","journalAbbreviation":"Toxicology Reports","page":"101840","source":"ScienceDirect","title":"A systematic review of pesticide exposure, associated risks, and long-term human health impacts","volume":"13","author":[{"family":"Shekhar","given":"Chander"},{"family":"Khosya","given":"Reetu"},{"family":"Thakur","given":"Kushal"},{"family":"Mahajan","given":"Danish"},{"family":"Kumar","given":"Rakesh"},{"family":"Kumar","given":"Sunil"},{"family":"Sharma","given":"Amit Kumar"}],"issued":{"date-parts":[["2024",12,1]]}}}],"schema":"https://github.com/citation-style-language/schema/raw/master/csl-citation.json"} </w:instrText>
      </w:r>
      <w:r>
        <w:fldChar w:fldCharType="separate"/>
      </w:r>
      <w:r>
        <w:t>(Shekhar et al., 2024)</w:t>
      </w:r>
      <w:r>
        <w:fldChar w:fldCharType="end"/>
      </w:r>
      <w:r>
        <w:t>.</w:t>
      </w:r>
    </w:p>
    <w:p w14:paraId="3EA47F73">
      <w:pPr>
        <w:pStyle w:val="3"/>
        <w:jc w:val="both"/>
      </w:pPr>
      <w:r>
        <w:t>7. Predictive Modeling Approaches</w:t>
      </w:r>
    </w:p>
    <w:p w14:paraId="440354FD">
      <w:pPr>
        <w:pStyle w:val="13"/>
        <w:jc w:val="both"/>
      </w:pPr>
      <w:r>
        <w:t>To address the methodological challenges inherent in assessing early-life agrochemical exposure and pediatric cancer risk, a range of predictive modeling approaches has been applied across epidemiologic and exposure science disciplines. These methods vary substantially in their capacity to resolve spatial and temporal heterogeneity, characterize chemical mixtures, support causal inference, and inform prevention-oriented decision making</w:t>
      </w:r>
      <w:r>
        <w:fldChar w:fldCharType="begin"/>
      </w:r>
      <w:r>
        <w:instrText xml:space="preserve"> ADDIN ZOTERO_ITEM CSL_CITATION {"citationID":"QcqJ5n1B","properties":{"formattedCitation":"(Animashaun et al., 2025)","plainCitation":"(Animashaun et al., 2025)","noteIndex":0},"citationItems":[{"id":9014,"uris":["http://zotero.org/users/16652950/items/7R576SRT"],"itemData":{"id":9014,"type":"article-journal","container-title":"Journal of Engineering Research and Reports","DOI":"10.9734/jerr/2025/v27i101652","ISSN":"2582-2926","issue":"10","language":"en","page":"12-37","source":"journaljerr.com","title":"AI-Powered Digital Twin Platforms for Next-Generation Structural Health Monitoring: From Concept to Intelligent Decision-Making","title-short":"AI-Powered Digital Twin Platforms for Next-Generation Structural Health Monitoring","volume":"27","author":[{"family":"Animashaun","given":"Toheeb Abbey"},{"family":"Sunday","given":"Omolayo"},{"family":"Ogunleye","given":"Emmanuel"},{"family":"Agbahiwe","given":"Ogonna Kizzito"},{"family":"Afolayan","given":"Oladele Nicholas"},{"family":"Okpoko","given":"Oghenetega A."},{"family":"Enabulele","given":"Amienye Babatunde Omo"},{"family":"Enobakhare","given":"Benjamin Osaze"},{"family":"Ifionu","given":"Ebuka Stephen"}],"issued":{"date-parts":[["2025",9,22]]}}}],"schema":"https://github.com/citation-style-language/schema/raw/master/csl-citation.json"} </w:instrText>
      </w:r>
      <w:r>
        <w:fldChar w:fldCharType="separate"/>
      </w:r>
      <w:r>
        <w:t>(Animashaun et al., 2025)</w:t>
      </w:r>
      <w:r>
        <w:fldChar w:fldCharType="end"/>
      </w:r>
      <w:r>
        <w:t xml:space="preserve">. </w:t>
      </w:r>
      <w:r>
        <w:rPr>
          <w:rStyle w:val="14"/>
        </w:rPr>
        <w:t>Table 1 provides a comparative synthesis of the principal predictive modeling frameworks used in this field, highlighting their relative strengths, limitations, and relevance for pediatric cancer research in agricultural populations.</w:t>
      </w:r>
      <w:r>
        <w:t xml:space="preserve"> This structured comparison is intended to clarify the added value of emerging approaches and to identify methodological gaps that warrant further development.</w:t>
      </w:r>
    </w:p>
    <w:p w14:paraId="7FA9AE9D">
      <w:pPr>
        <w:pStyle w:val="3"/>
        <w:jc w:val="both"/>
      </w:pPr>
      <w:r>
        <w:rPr>
          <w:rStyle w:val="14"/>
          <w:b/>
          <w:bCs/>
        </w:rPr>
        <w:t>Table 1. Strengths, Limitations, and Added Value of Predictive Modeling Approaches in Early-Life Agrochemical Exposure Research</w:t>
      </w:r>
    </w:p>
    <w:tbl>
      <w:tblPr>
        <w:tblStyle w:val="6"/>
        <w:tblW w:w="0" w:type="auto"/>
        <w:tblCellSpacing w:w="15" w:type="dxa"/>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15" w:type="dxa"/>
          <w:left w:w="15" w:type="dxa"/>
          <w:bottom w:w="15" w:type="dxa"/>
          <w:right w:w="15" w:type="dxa"/>
        </w:tblCellMar>
      </w:tblPr>
      <w:tblGrid>
        <w:gridCol w:w="1726"/>
        <w:gridCol w:w="1565"/>
        <w:gridCol w:w="1538"/>
        <w:gridCol w:w="1538"/>
        <w:gridCol w:w="1747"/>
        <w:gridCol w:w="1336"/>
      </w:tblGrid>
      <w:tr w14:paraId="0A19D53E">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15" w:type="dxa"/>
            <w:left w:w="15" w:type="dxa"/>
            <w:bottom w:w="15" w:type="dxa"/>
            <w:right w:w="15" w:type="dxa"/>
          </w:tblCellMar>
        </w:tblPrEx>
        <w:trPr>
          <w:tblHeader/>
          <w:tblCellSpacing w:w="15" w:type="dxa"/>
        </w:trPr>
        <w:tc>
          <w:tcPr>
            <w:tcW w:w="0" w:type="auto"/>
            <w:vAlign w:val="center"/>
          </w:tcPr>
          <w:p w14:paraId="3C7D2221">
            <w:pPr>
              <w:jc w:val="both"/>
              <w:rPr>
                <w:rFonts w:ascii="Times New Roman" w:hAnsi="Times New Roman" w:cs="Times New Roman"/>
                <w:b/>
                <w:bCs/>
              </w:rPr>
            </w:pPr>
            <w:r>
              <w:rPr>
                <w:rFonts w:ascii="Times New Roman" w:hAnsi="Times New Roman" w:cs="Times New Roman"/>
                <w:b/>
                <w:bCs/>
              </w:rPr>
              <w:t>Modeling Approach</w:t>
            </w:r>
          </w:p>
        </w:tc>
        <w:tc>
          <w:tcPr>
            <w:tcW w:w="0" w:type="auto"/>
            <w:vAlign w:val="center"/>
          </w:tcPr>
          <w:p w14:paraId="5A8E9192">
            <w:pPr>
              <w:jc w:val="both"/>
              <w:rPr>
                <w:rFonts w:ascii="Times New Roman" w:hAnsi="Times New Roman" w:cs="Times New Roman"/>
                <w:b/>
                <w:bCs/>
              </w:rPr>
            </w:pPr>
            <w:r>
              <w:rPr>
                <w:rFonts w:ascii="Times New Roman" w:hAnsi="Times New Roman" w:cs="Times New Roman"/>
                <w:b/>
                <w:bCs/>
              </w:rPr>
              <w:t>Exposure Resolution (Spatial / Temporal)</w:t>
            </w:r>
          </w:p>
        </w:tc>
        <w:tc>
          <w:tcPr>
            <w:tcW w:w="0" w:type="auto"/>
            <w:vAlign w:val="center"/>
          </w:tcPr>
          <w:p w14:paraId="58A5381A">
            <w:pPr>
              <w:jc w:val="both"/>
              <w:rPr>
                <w:rFonts w:ascii="Times New Roman" w:hAnsi="Times New Roman" w:cs="Times New Roman"/>
                <w:b/>
                <w:bCs/>
              </w:rPr>
            </w:pPr>
            <w:r>
              <w:rPr>
                <w:rFonts w:ascii="Times New Roman" w:hAnsi="Times New Roman" w:cs="Times New Roman"/>
                <w:b/>
                <w:bCs/>
              </w:rPr>
              <w:t>Ability to Address Mixtures</w:t>
            </w:r>
          </w:p>
        </w:tc>
        <w:tc>
          <w:tcPr>
            <w:tcW w:w="0" w:type="auto"/>
            <w:vAlign w:val="center"/>
          </w:tcPr>
          <w:p w14:paraId="43940250">
            <w:pPr>
              <w:jc w:val="both"/>
              <w:rPr>
                <w:rFonts w:ascii="Times New Roman" w:hAnsi="Times New Roman" w:cs="Times New Roman"/>
                <w:b/>
                <w:bCs/>
              </w:rPr>
            </w:pPr>
            <w:r>
              <w:rPr>
                <w:rFonts w:ascii="Times New Roman" w:hAnsi="Times New Roman" w:cs="Times New Roman"/>
                <w:b/>
                <w:bCs/>
              </w:rPr>
              <w:t>Key Strengths</w:t>
            </w:r>
          </w:p>
        </w:tc>
        <w:tc>
          <w:tcPr>
            <w:tcW w:w="0" w:type="auto"/>
            <w:vAlign w:val="center"/>
          </w:tcPr>
          <w:p w14:paraId="37D862DF">
            <w:pPr>
              <w:jc w:val="both"/>
              <w:rPr>
                <w:rFonts w:ascii="Times New Roman" w:hAnsi="Times New Roman" w:cs="Times New Roman"/>
                <w:b/>
                <w:bCs/>
              </w:rPr>
            </w:pPr>
            <w:r>
              <w:rPr>
                <w:rFonts w:ascii="Times New Roman" w:hAnsi="Times New Roman" w:cs="Times New Roman"/>
                <w:b/>
                <w:bCs/>
              </w:rPr>
              <w:t>Key Limitations</w:t>
            </w:r>
          </w:p>
        </w:tc>
        <w:tc>
          <w:tcPr>
            <w:tcW w:w="0" w:type="auto"/>
            <w:vAlign w:val="center"/>
          </w:tcPr>
          <w:p w14:paraId="432067BD">
            <w:pPr>
              <w:jc w:val="both"/>
              <w:rPr>
                <w:rFonts w:ascii="Times New Roman" w:hAnsi="Times New Roman" w:cs="Times New Roman"/>
                <w:b/>
                <w:bCs/>
              </w:rPr>
            </w:pPr>
            <w:r>
              <w:rPr>
                <w:rFonts w:ascii="Times New Roman" w:hAnsi="Times New Roman" w:cs="Times New Roman"/>
                <w:b/>
                <w:bCs/>
              </w:rPr>
              <w:t>Implications for Pediatric Cancer Research</w:t>
            </w:r>
          </w:p>
        </w:tc>
      </w:tr>
      <w:tr w14:paraId="4C91167A">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0" w:type="auto"/>
            <w:vAlign w:val="center"/>
          </w:tcPr>
          <w:p w14:paraId="64FB28D6">
            <w:pPr>
              <w:jc w:val="both"/>
              <w:rPr>
                <w:rFonts w:ascii="Times New Roman" w:hAnsi="Times New Roman" w:cs="Times New Roman"/>
              </w:rPr>
            </w:pPr>
            <w:r>
              <w:rPr>
                <w:rFonts w:ascii="Times New Roman" w:hAnsi="Times New Roman" w:cs="Times New Roman"/>
              </w:rPr>
              <w:t>Traditional regression models</w:t>
            </w:r>
          </w:p>
        </w:tc>
        <w:tc>
          <w:tcPr>
            <w:tcW w:w="0" w:type="auto"/>
            <w:vAlign w:val="center"/>
          </w:tcPr>
          <w:p w14:paraId="61549306">
            <w:pPr>
              <w:jc w:val="both"/>
              <w:rPr>
                <w:rFonts w:ascii="Times New Roman" w:hAnsi="Times New Roman" w:cs="Times New Roman"/>
              </w:rPr>
            </w:pPr>
            <w:r>
              <w:rPr>
                <w:rFonts w:ascii="Times New Roman" w:hAnsi="Times New Roman" w:cs="Times New Roman"/>
              </w:rPr>
              <w:t>Low–Moderate</w:t>
            </w:r>
          </w:p>
        </w:tc>
        <w:tc>
          <w:tcPr>
            <w:tcW w:w="0" w:type="auto"/>
            <w:vAlign w:val="center"/>
          </w:tcPr>
          <w:p w14:paraId="7750385F">
            <w:pPr>
              <w:jc w:val="both"/>
              <w:rPr>
                <w:rFonts w:ascii="Times New Roman" w:hAnsi="Times New Roman" w:cs="Times New Roman"/>
              </w:rPr>
            </w:pPr>
            <w:r>
              <w:rPr>
                <w:rFonts w:ascii="Times New Roman" w:hAnsi="Times New Roman" w:cs="Times New Roman"/>
              </w:rPr>
              <w:t>Poor</w:t>
            </w:r>
          </w:p>
        </w:tc>
        <w:tc>
          <w:tcPr>
            <w:tcW w:w="0" w:type="auto"/>
            <w:vAlign w:val="center"/>
          </w:tcPr>
          <w:p w14:paraId="07069F61">
            <w:pPr>
              <w:jc w:val="both"/>
              <w:rPr>
                <w:rFonts w:ascii="Times New Roman" w:hAnsi="Times New Roman" w:cs="Times New Roman"/>
              </w:rPr>
            </w:pPr>
            <w:r>
              <w:rPr>
                <w:rFonts w:ascii="Times New Roman" w:hAnsi="Times New Roman" w:cs="Times New Roman"/>
              </w:rPr>
              <w:t>High interpretability; causal inference</w:t>
            </w:r>
          </w:p>
        </w:tc>
        <w:tc>
          <w:tcPr>
            <w:tcW w:w="0" w:type="auto"/>
            <w:vAlign w:val="center"/>
          </w:tcPr>
          <w:p w14:paraId="25D536A5">
            <w:pPr>
              <w:jc w:val="both"/>
              <w:rPr>
                <w:rFonts w:ascii="Times New Roman" w:hAnsi="Times New Roman" w:cs="Times New Roman"/>
              </w:rPr>
            </w:pPr>
            <w:r>
              <w:rPr>
                <w:rFonts w:ascii="Times New Roman" w:hAnsi="Times New Roman" w:cs="Times New Roman"/>
              </w:rPr>
              <w:t>Exposure misclassification; linear assumptions</w:t>
            </w:r>
          </w:p>
        </w:tc>
        <w:tc>
          <w:tcPr>
            <w:tcW w:w="0" w:type="auto"/>
            <w:vAlign w:val="center"/>
          </w:tcPr>
          <w:p w14:paraId="4B8D187E">
            <w:pPr>
              <w:jc w:val="both"/>
              <w:rPr>
                <w:rFonts w:ascii="Times New Roman" w:hAnsi="Times New Roman" w:cs="Times New Roman"/>
              </w:rPr>
            </w:pPr>
            <w:r>
              <w:rPr>
                <w:rFonts w:ascii="Times New Roman" w:hAnsi="Times New Roman" w:cs="Times New Roman"/>
              </w:rPr>
              <w:t>Useful for hypothesis testing but limited for complex exposures</w:t>
            </w:r>
          </w:p>
        </w:tc>
      </w:tr>
      <w:tr w14:paraId="42C7BD72">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0" w:type="auto"/>
            <w:vAlign w:val="center"/>
          </w:tcPr>
          <w:p w14:paraId="6E4EBF3A">
            <w:pPr>
              <w:jc w:val="both"/>
              <w:rPr>
                <w:rFonts w:ascii="Times New Roman" w:hAnsi="Times New Roman" w:cs="Times New Roman"/>
              </w:rPr>
            </w:pPr>
            <w:r>
              <w:rPr>
                <w:rFonts w:ascii="Times New Roman" w:hAnsi="Times New Roman" w:cs="Times New Roman"/>
              </w:rPr>
              <w:t>Bayesian hierarchical models</w:t>
            </w:r>
          </w:p>
        </w:tc>
        <w:tc>
          <w:tcPr>
            <w:tcW w:w="0" w:type="auto"/>
            <w:vAlign w:val="center"/>
          </w:tcPr>
          <w:p w14:paraId="34CD9857">
            <w:pPr>
              <w:jc w:val="both"/>
              <w:rPr>
                <w:rFonts w:ascii="Times New Roman" w:hAnsi="Times New Roman" w:cs="Times New Roman"/>
              </w:rPr>
            </w:pPr>
            <w:r>
              <w:rPr>
                <w:rFonts w:ascii="Times New Roman" w:hAnsi="Times New Roman" w:cs="Times New Roman"/>
              </w:rPr>
              <w:t>Moderate–High</w:t>
            </w:r>
          </w:p>
        </w:tc>
        <w:tc>
          <w:tcPr>
            <w:tcW w:w="0" w:type="auto"/>
            <w:vAlign w:val="center"/>
          </w:tcPr>
          <w:p w14:paraId="33A2364C">
            <w:pPr>
              <w:jc w:val="both"/>
              <w:rPr>
                <w:rFonts w:ascii="Times New Roman" w:hAnsi="Times New Roman" w:cs="Times New Roman"/>
              </w:rPr>
            </w:pPr>
            <w:r>
              <w:rPr>
                <w:rFonts w:ascii="Times New Roman" w:hAnsi="Times New Roman" w:cs="Times New Roman"/>
              </w:rPr>
              <w:t>Moderate</w:t>
            </w:r>
          </w:p>
        </w:tc>
        <w:tc>
          <w:tcPr>
            <w:tcW w:w="0" w:type="auto"/>
            <w:vAlign w:val="center"/>
          </w:tcPr>
          <w:p w14:paraId="39D57552">
            <w:pPr>
              <w:jc w:val="both"/>
              <w:rPr>
                <w:rFonts w:ascii="Times New Roman" w:hAnsi="Times New Roman" w:cs="Times New Roman"/>
              </w:rPr>
            </w:pPr>
            <w:r>
              <w:rPr>
                <w:rFonts w:ascii="Times New Roman" w:hAnsi="Times New Roman" w:cs="Times New Roman"/>
              </w:rPr>
              <w:t>Handles sparse data; integrates uncertainty</w:t>
            </w:r>
          </w:p>
        </w:tc>
        <w:tc>
          <w:tcPr>
            <w:tcW w:w="0" w:type="auto"/>
            <w:vAlign w:val="center"/>
          </w:tcPr>
          <w:p w14:paraId="508426F0">
            <w:pPr>
              <w:jc w:val="both"/>
              <w:rPr>
                <w:rFonts w:ascii="Times New Roman" w:hAnsi="Times New Roman" w:cs="Times New Roman"/>
              </w:rPr>
            </w:pPr>
            <w:r>
              <w:rPr>
                <w:rFonts w:ascii="Times New Roman" w:hAnsi="Times New Roman" w:cs="Times New Roman"/>
              </w:rPr>
              <w:t>Computationally intensive; requires priors</w:t>
            </w:r>
          </w:p>
        </w:tc>
        <w:tc>
          <w:tcPr>
            <w:tcW w:w="0" w:type="auto"/>
            <w:vAlign w:val="center"/>
          </w:tcPr>
          <w:p w14:paraId="0C115D07">
            <w:pPr>
              <w:jc w:val="both"/>
              <w:rPr>
                <w:rFonts w:ascii="Times New Roman" w:hAnsi="Times New Roman" w:cs="Times New Roman"/>
              </w:rPr>
            </w:pPr>
            <w:r>
              <w:rPr>
                <w:rFonts w:ascii="Times New Roman" w:hAnsi="Times New Roman" w:cs="Times New Roman"/>
              </w:rPr>
              <w:t>Suitable for rare pediatric cancers</w:t>
            </w:r>
          </w:p>
        </w:tc>
      </w:tr>
      <w:tr w14:paraId="02B44382">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0" w:type="auto"/>
            <w:vAlign w:val="center"/>
          </w:tcPr>
          <w:p w14:paraId="43332B19">
            <w:pPr>
              <w:jc w:val="both"/>
              <w:rPr>
                <w:rFonts w:ascii="Times New Roman" w:hAnsi="Times New Roman" w:cs="Times New Roman"/>
              </w:rPr>
            </w:pPr>
            <w:r>
              <w:rPr>
                <w:rFonts w:ascii="Times New Roman" w:hAnsi="Times New Roman" w:cs="Times New Roman"/>
              </w:rPr>
              <w:t>GIS-based spatial models</w:t>
            </w:r>
          </w:p>
        </w:tc>
        <w:tc>
          <w:tcPr>
            <w:tcW w:w="0" w:type="auto"/>
            <w:vAlign w:val="center"/>
          </w:tcPr>
          <w:p w14:paraId="37BF5F92">
            <w:pPr>
              <w:jc w:val="both"/>
              <w:rPr>
                <w:rFonts w:ascii="Times New Roman" w:hAnsi="Times New Roman" w:cs="Times New Roman"/>
              </w:rPr>
            </w:pPr>
            <w:r>
              <w:rPr>
                <w:rFonts w:ascii="Times New Roman" w:hAnsi="Times New Roman" w:cs="Times New Roman"/>
              </w:rPr>
              <w:t>High spatial, moderate temporal</w:t>
            </w:r>
          </w:p>
        </w:tc>
        <w:tc>
          <w:tcPr>
            <w:tcW w:w="0" w:type="auto"/>
            <w:vAlign w:val="center"/>
          </w:tcPr>
          <w:p w14:paraId="7926BABA">
            <w:pPr>
              <w:jc w:val="both"/>
              <w:rPr>
                <w:rFonts w:ascii="Times New Roman" w:hAnsi="Times New Roman" w:cs="Times New Roman"/>
              </w:rPr>
            </w:pPr>
            <w:r>
              <w:rPr>
                <w:rFonts w:ascii="Times New Roman" w:hAnsi="Times New Roman" w:cs="Times New Roman"/>
              </w:rPr>
              <w:t>Poor–Moderate</w:t>
            </w:r>
          </w:p>
        </w:tc>
        <w:tc>
          <w:tcPr>
            <w:tcW w:w="0" w:type="auto"/>
            <w:vAlign w:val="center"/>
          </w:tcPr>
          <w:p w14:paraId="7F5B4DF9">
            <w:pPr>
              <w:jc w:val="both"/>
              <w:rPr>
                <w:rFonts w:ascii="Times New Roman" w:hAnsi="Times New Roman" w:cs="Times New Roman"/>
              </w:rPr>
            </w:pPr>
            <w:r>
              <w:rPr>
                <w:rFonts w:ascii="Times New Roman" w:hAnsi="Times New Roman" w:cs="Times New Roman"/>
              </w:rPr>
              <w:t>Improves exposure estimation; policy relevance</w:t>
            </w:r>
          </w:p>
        </w:tc>
        <w:tc>
          <w:tcPr>
            <w:tcW w:w="0" w:type="auto"/>
            <w:vAlign w:val="center"/>
          </w:tcPr>
          <w:p w14:paraId="435804E9">
            <w:pPr>
              <w:jc w:val="both"/>
              <w:rPr>
                <w:rFonts w:ascii="Times New Roman" w:hAnsi="Times New Roman" w:cs="Times New Roman"/>
              </w:rPr>
            </w:pPr>
            <w:r>
              <w:rPr>
                <w:rFonts w:ascii="Times New Roman" w:hAnsi="Times New Roman" w:cs="Times New Roman"/>
              </w:rPr>
              <w:t>Limited biological integration</w:t>
            </w:r>
          </w:p>
        </w:tc>
        <w:tc>
          <w:tcPr>
            <w:tcW w:w="0" w:type="auto"/>
            <w:vAlign w:val="center"/>
          </w:tcPr>
          <w:p w14:paraId="0826F517">
            <w:pPr>
              <w:jc w:val="both"/>
              <w:rPr>
                <w:rFonts w:ascii="Times New Roman" w:hAnsi="Times New Roman" w:cs="Times New Roman"/>
              </w:rPr>
            </w:pPr>
            <w:r>
              <w:rPr>
                <w:rFonts w:ascii="Times New Roman" w:hAnsi="Times New Roman" w:cs="Times New Roman"/>
              </w:rPr>
              <w:t>Strong for identifying high-risk communities</w:t>
            </w:r>
          </w:p>
        </w:tc>
      </w:tr>
      <w:tr w14:paraId="787DCC68">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0" w:type="auto"/>
            <w:vAlign w:val="center"/>
          </w:tcPr>
          <w:p w14:paraId="56D3CC5D">
            <w:pPr>
              <w:jc w:val="both"/>
              <w:rPr>
                <w:rFonts w:ascii="Times New Roman" w:hAnsi="Times New Roman" w:cs="Times New Roman"/>
              </w:rPr>
            </w:pPr>
            <w:r>
              <w:rPr>
                <w:rFonts w:ascii="Times New Roman" w:hAnsi="Times New Roman" w:cs="Times New Roman"/>
              </w:rPr>
              <w:t>Machine learning models</w:t>
            </w:r>
          </w:p>
        </w:tc>
        <w:tc>
          <w:tcPr>
            <w:tcW w:w="0" w:type="auto"/>
            <w:vAlign w:val="center"/>
          </w:tcPr>
          <w:p w14:paraId="36268FF6">
            <w:pPr>
              <w:jc w:val="both"/>
              <w:rPr>
                <w:rFonts w:ascii="Times New Roman" w:hAnsi="Times New Roman" w:cs="Times New Roman"/>
              </w:rPr>
            </w:pPr>
            <w:r>
              <w:rPr>
                <w:rFonts w:ascii="Times New Roman" w:hAnsi="Times New Roman" w:cs="Times New Roman"/>
              </w:rPr>
              <w:t>High</w:t>
            </w:r>
          </w:p>
        </w:tc>
        <w:tc>
          <w:tcPr>
            <w:tcW w:w="0" w:type="auto"/>
            <w:vAlign w:val="center"/>
          </w:tcPr>
          <w:p w14:paraId="0DA070F1">
            <w:pPr>
              <w:jc w:val="both"/>
              <w:rPr>
                <w:rFonts w:ascii="Times New Roman" w:hAnsi="Times New Roman" w:cs="Times New Roman"/>
              </w:rPr>
            </w:pPr>
            <w:r>
              <w:rPr>
                <w:rFonts w:ascii="Times New Roman" w:hAnsi="Times New Roman" w:cs="Times New Roman"/>
              </w:rPr>
              <w:t>High</w:t>
            </w:r>
          </w:p>
        </w:tc>
        <w:tc>
          <w:tcPr>
            <w:tcW w:w="0" w:type="auto"/>
            <w:vAlign w:val="center"/>
          </w:tcPr>
          <w:p w14:paraId="3F81DAAF">
            <w:pPr>
              <w:jc w:val="both"/>
              <w:rPr>
                <w:rFonts w:ascii="Times New Roman" w:hAnsi="Times New Roman" w:cs="Times New Roman"/>
              </w:rPr>
            </w:pPr>
            <w:r>
              <w:rPr>
                <w:rFonts w:ascii="Times New Roman" w:hAnsi="Times New Roman" w:cs="Times New Roman"/>
              </w:rPr>
              <w:t>Captures non-linearity and interactions</w:t>
            </w:r>
          </w:p>
        </w:tc>
        <w:tc>
          <w:tcPr>
            <w:tcW w:w="0" w:type="auto"/>
            <w:vAlign w:val="center"/>
          </w:tcPr>
          <w:p w14:paraId="4A364FC6">
            <w:pPr>
              <w:jc w:val="both"/>
              <w:rPr>
                <w:rFonts w:ascii="Times New Roman" w:hAnsi="Times New Roman" w:cs="Times New Roman"/>
              </w:rPr>
            </w:pPr>
            <w:r>
              <w:rPr>
                <w:rFonts w:ascii="Times New Roman" w:hAnsi="Times New Roman" w:cs="Times New Roman"/>
              </w:rPr>
              <w:t>Limited interpretability</w:t>
            </w:r>
          </w:p>
        </w:tc>
        <w:tc>
          <w:tcPr>
            <w:tcW w:w="0" w:type="auto"/>
            <w:vAlign w:val="center"/>
          </w:tcPr>
          <w:p w14:paraId="43999127">
            <w:pPr>
              <w:jc w:val="both"/>
              <w:rPr>
                <w:rFonts w:ascii="Times New Roman" w:hAnsi="Times New Roman" w:cs="Times New Roman"/>
              </w:rPr>
            </w:pPr>
            <w:r>
              <w:rPr>
                <w:rFonts w:ascii="Times New Roman" w:hAnsi="Times New Roman" w:cs="Times New Roman"/>
              </w:rPr>
              <w:t>Strong for risk stratification, weaker for causality</w:t>
            </w:r>
          </w:p>
        </w:tc>
      </w:tr>
      <w:tr w14:paraId="5196DB20">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0" w:type="auto"/>
            <w:vAlign w:val="center"/>
          </w:tcPr>
          <w:p w14:paraId="4BDC9B90">
            <w:pPr>
              <w:jc w:val="both"/>
              <w:rPr>
                <w:rFonts w:ascii="Times New Roman" w:hAnsi="Times New Roman" w:cs="Times New Roman"/>
              </w:rPr>
            </w:pPr>
            <w:r>
              <w:rPr>
                <w:rFonts w:ascii="Times New Roman" w:hAnsi="Times New Roman" w:cs="Times New Roman"/>
              </w:rPr>
              <w:t>Hybrid causal–predictive models</w:t>
            </w:r>
          </w:p>
        </w:tc>
        <w:tc>
          <w:tcPr>
            <w:tcW w:w="0" w:type="auto"/>
            <w:vAlign w:val="center"/>
          </w:tcPr>
          <w:p w14:paraId="57A0D820">
            <w:pPr>
              <w:jc w:val="both"/>
              <w:rPr>
                <w:rFonts w:ascii="Times New Roman" w:hAnsi="Times New Roman" w:cs="Times New Roman"/>
              </w:rPr>
            </w:pPr>
            <w:r>
              <w:rPr>
                <w:rFonts w:ascii="Times New Roman" w:hAnsi="Times New Roman" w:cs="Times New Roman"/>
              </w:rPr>
              <w:t>High</w:t>
            </w:r>
          </w:p>
        </w:tc>
        <w:tc>
          <w:tcPr>
            <w:tcW w:w="0" w:type="auto"/>
            <w:vAlign w:val="center"/>
          </w:tcPr>
          <w:p w14:paraId="11668854">
            <w:pPr>
              <w:jc w:val="both"/>
              <w:rPr>
                <w:rFonts w:ascii="Times New Roman" w:hAnsi="Times New Roman" w:cs="Times New Roman"/>
              </w:rPr>
            </w:pPr>
            <w:r>
              <w:rPr>
                <w:rFonts w:ascii="Times New Roman" w:hAnsi="Times New Roman" w:cs="Times New Roman"/>
              </w:rPr>
              <w:t>High</w:t>
            </w:r>
          </w:p>
        </w:tc>
        <w:tc>
          <w:tcPr>
            <w:tcW w:w="0" w:type="auto"/>
            <w:vAlign w:val="center"/>
          </w:tcPr>
          <w:p w14:paraId="6C4CCC35">
            <w:pPr>
              <w:jc w:val="both"/>
              <w:rPr>
                <w:rFonts w:ascii="Times New Roman" w:hAnsi="Times New Roman" w:cs="Times New Roman"/>
              </w:rPr>
            </w:pPr>
            <w:r>
              <w:rPr>
                <w:rFonts w:ascii="Times New Roman" w:hAnsi="Times New Roman" w:cs="Times New Roman"/>
              </w:rPr>
              <w:t>Balances prediction and inference</w:t>
            </w:r>
          </w:p>
        </w:tc>
        <w:tc>
          <w:tcPr>
            <w:tcW w:w="0" w:type="auto"/>
            <w:vAlign w:val="center"/>
          </w:tcPr>
          <w:p w14:paraId="178E1BFB">
            <w:pPr>
              <w:jc w:val="both"/>
              <w:rPr>
                <w:rFonts w:ascii="Times New Roman" w:hAnsi="Times New Roman" w:cs="Times New Roman"/>
              </w:rPr>
            </w:pPr>
            <w:r>
              <w:rPr>
                <w:rFonts w:ascii="Times New Roman" w:hAnsi="Times New Roman" w:cs="Times New Roman"/>
              </w:rPr>
              <w:t>Methodologically complex</w:t>
            </w:r>
          </w:p>
        </w:tc>
        <w:tc>
          <w:tcPr>
            <w:tcW w:w="0" w:type="auto"/>
            <w:vAlign w:val="center"/>
          </w:tcPr>
          <w:p w14:paraId="5351674B">
            <w:pPr>
              <w:jc w:val="both"/>
              <w:rPr>
                <w:rFonts w:ascii="Times New Roman" w:hAnsi="Times New Roman" w:cs="Times New Roman"/>
              </w:rPr>
            </w:pPr>
            <w:r>
              <w:rPr>
                <w:rFonts w:ascii="Times New Roman" w:hAnsi="Times New Roman" w:cs="Times New Roman"/>
              </w:rPr>
              <w:t>High future potential for prevention strategies</w:t>
            </w:r>
          </w:p>
        </w:tc>
      </w:tr>
    </w:tbl>
    <w:p w14:paraId="603F71C9">
      <w:pPr>
        <w:pStyle w:val="4"/>
        <w:jc w:val="both"/>
      </w:pPr>
      <w:r>
        <w:t>7.1 Statistical Models</w:t>
      </w:r>
    </w:p>
    <w:p w14:paraId="5DC9BB55">
      <w:pPr>
        <w:pStyle w:val="13"/>
        <w:jc w:val="both"/>
      </w:pPr>
      <w:r>
        <w:t>Conventional statistical models have long served as the foundation for evaluating associations between agrochemical exposure and pediatric cancer risk. Logistic regression remains the most commonly applied approach in case–control studies, enabling estimation of odds ratios while adjusting for measured confounders. Cox proportional hazards models are similarly used in cohort designs to account for time-to-event outcomes and varying follow-up periods. These models offer transparency and interpretability, allowing investigators to directly assess exposure–response relationships and test a priori hypotheses</w:t>
      </w:r>
      <w:r>
        <w:fldChar w:fldCharType="begin"/>
      </w:r>
      <w:r>
        <w:instrText xml:space="preserve"> ADDIN ZOTERO_ITEM CSL_CITATION {"citationID":"ZDDLX8M6","properties":{"formattedCitation":"(Taiba et al., 2025)","plainCitation":"(Taiba et al., 2025)","noteIndex":0},"citationItems":[{"id":13367,"uris":["http://zotero.org/users/16652950/items/A448IQFC"],"itemData":{"id":13367,"type":"article-journal","abstract":"Nebraska's age‐adjusted incidence rates for childhood cancers are among the highest in the US. Previous studies indicated associations between agrichemical exposures (atrazine and nitrates) and pediatric cancer rate, assuming single pollutant exposure. We evaluated the joint association between the agricultural mixture and pediatric cancer. Agrichemical exposures at a county scale were quantified using the USGS Pesticide National Synthesis Project for frequently applied pesticides from 1992 to 2014 in 93 Nebraska counties. Outcomes were quantified using pediatric cancer diagnosed among children &lt;20 years of age (1992–2014) from the Nebraska cancer registry. We adjusted for social vulnerability factors such as race, income, employment, and access to care. The associations between 32 agrichemicals and cancer subtypes were assessed using the Generalized Weighted Quantile Sum Regression (gWQS) model. The model was fit assuming a Poisson distribution and using the pediatric population as an offset‐term and social vulnerability factors as covariates. We observed a statistically significant positive association between the 32 agrichemicals and overall pediatric cancer and subtypes. The strength of associations was slightly stronger among brain and CNS cancers (β = 0.36, CI = 0.14, 0.57) compared to overall cancer (β = 0.30, CI = 0.16, 0.44) and leukemia (β = 0.23, CI = 0.09, 0.38). Dicamba, glyphosate, paraquat, quizalofop, triasulfuron, and tefluthrin largely contributed to the joint association. These findings may explain the joint associations of the agrichemical mixture on childhood cancer. Alternative biomarker‐based approaches to measuring human exposure are worth investigating for chemicals of concern, particularly in counties with high agrichemical and cancer rates., \nWe observed positive associations between agrichemical mixtures and overall cancer, brain and CNS cancers, and leukemia among childrenAbout a 10% increase in pesticide, mixtures was associated with a 23%–36% increase in these cancer ratesAmong the pesticides considered in the mixture, herbicides contributed the most toward these joint associations","container-title":"GeoHealth","DOI":"10.1029/2024GH001236","ISSN":"2471-1403","issue":"2","journalAbbreviation":"Geohealth","note":"PMID: 39944898\nPMCID: PMC11815328","page":"e2024GH001236","source":"PubMed Central","title":"Exploring the Joint Association Between Agrichemical Mixtures and Pediatric Cancer","volume":"9","author":[{"family":"Taiba","given":"Jabeen"},{"family":"Beseler","given":"Cheryl"},{"family":"Zahid","given":"Muhammad"},{"family":"Bartelt‐Hunt","given":"Shannon"},{"family":"Kolok","given":"Alan"},{"family":"Rogan","given":"Eleanor"}],"issued":{"date-parts":[["2025",2,12]]}}}],"schema":"https://github.com/citation-style-language/schema/raw/master/csl-citation.json"} </w:instrText>
      </w:r>
      <w:r>
        <w:fldChar w:fldCharType="separate"/>
      </w:r>
      <w:r>
        <w:t>(Taiba et al., 2025)</w:t>
      </w:r>
      <w:r>
        <w:fldChar w:fldCharType="end"/>
      </w:r>
      <w:r>
        <w:t>.</w:t>
      </w:r>
    </w:p>
    <w:p w14:paraId="5B093797">
      <w:pPr>
        <w:pStyle w:val="13"/>
        <w:jc w:val="both"/>
      </w:pPr>
      <w:r>
        <w:t>Bayesian hierarchical models represent an important extension of traditional regression frameworks, particularly in settings characterized by sparse data, multiple exposure metrics, or hierarchical data structures. By borrowing strength across related parameters and incorporating prior information, Bayesian approaches can improve estimation stability and facilitate joint modeling of spatial, temporal, and individual-level variability. Such models are especially valuable for pediatric cancer research, where outcomes are rare and exposure patterns are heterogeneous across geographic regions and time</w:t>
      </w:r>
      <w:r>
        <w:fldChar w:fldCharType="begin"/>
      </w:r>
      <w:r>
        <w:instrText xml:space="preserve"> ADDIN ZOTERO_ITEM CSL_CITATION {"citationID":"Kw8KwC6v","properties":{"formattedCitation":"(Parsons et al., 2022)","plainCitation":"(Parsons et al., 2022)","noteIndex":0},"citationItems":[{"id":13391,"uris":["http://zotero.org/users/16652950/items/Z3YZJ3LA"],"itemData":{"id":13391,"type":"article-journal","abstract":"To combat the HIV/AIDS pandemic effectively, targeted interventions among certain key populations play a critical role. Examples of such key populations include sex workers, people who inject drugs, and men who have sex with men. While having accurate estimates for the size of these key populations is important, any attempt to directly contact or count members of these populations is difficult. As a result, indirect methods are used to produce size estimates. Multiple approaches for estimating the size of such populations have been suggested but often give conflicting results. It is, therefore, necessary to have a principled way to combine and reconcile these estimates. To this end, we present a Bayesian hierarchical model for estimating the size of key populations that combines multiple estimates from different sources of information. The proposed model makes use of multiple years of data and explicitly models the systematic error in the data sources used. We use the model to estimate the size of people who inject drugs in Ukraine. We evaluate the appropriateness of the model and compare the contribution of each data source to the final estimates.","container-title":"The annals of applied statistics","DOI":"10.1214/21-AOAS1556","ISSN":"1932-6157","issue":"3","journalAbbreviation":"Ann Appl Stat","note":"PMID: 37131525\nPMCID: PMC10150643","page":"1550-1562","source":"PubMed Central","title":"A BAYESIAN HIERARCHICAL MODEL FOR COMBINING MULTIPLE DATA SOURCES IN POPULATION SIZE ESTIMATION","volume":"16","author":[{"family":"Parsons","given":"Jacob"},{"family":"Niu","given":"Xiaoyue"},{"family":"Bao","given":"Le"}],"issued":{"date-parts":[["2022",9]]}}}],"schema":"https://github.com/citation-style-language/schema/raw/master/csl-citation.json"} </w:instrText>
      </w:r>
      <w:r>
        <w:fldChar w:fldCharType="separate"/>
      </w:r>
      <w:r>
        <w:t>(Parsons et al., 2022)</w:t>
      </w:r>
      <w:r>
        <w:fldChar w:fldCharType="end"/>
      </w:r>
      <w:r>
        <w:t>.</w:t>
      </w:r>
    </w:p>
    <w:p w14:paraId="594D9F30">
      <w:pPr>
        <w:pStyle w:val="4"/>
        <w:jc w:val="both"/>
      </w:pPr>
      <w:r>
        <w:t>7.2 Machine Learning and Data-Driven Models</w:t>
      </w:r>
    </w:p>
    <w:p w14:paraId="25BCB0A5">
      <w:pPr>
        <w:pStyle w:val="13"/>
        <w:jc w:val="both"/>
      </w:pPr>
      <w:r>
        <w:t>In recent years, machine learning and other data-driven modeling approaches have been increasingly applied to environmental health research to address complex, high-dimensional data structures</w:t>
      </w:r>
      <w:r>
        <w:fldChar w:fldCharType="begin"/>
      </w:r>
      <w:r>
        <w:instrText xml:space="preserve"> ADDIN ZOTERO_ITEM CSL_CITATION {"citationID":"jAy6oCgW","properties":{"formattedCitation":"(Lawal, Igwe, et al., 2025)","plainCitation":"(Lawal, Igwe, et al., 2025)","noteIndex":0},"citationItems":[{"id":3122,"uris":["http://zotero.org/users/16652950/items/3RZR4GGY"],"itemData":{"id":3122,"type":"article-journal","abstract":"The field of infectious disease prediction and public health response is changing due to the integration of real-time data with machine learning (ML). This paper examines how diverse real-time data types — including mobility patterns, social media activity, wearable sensor data, environmental signals, and electronic health records — can be successfully combined with machine learning approaches to enhance early diagnosis, forecast illness trajectories, and optimize intervention options. The potential of key machine learning models, such as reinforcement learning, deep learning, and supervised learning, to improve forecasting accuracy and facilitate dynamic decision-making is investigated. There is a critical discussion of issues such as algorithmic opacity, privacy problems, data inconsistencies, and a lack of standards. The COVID-19 pandemic case study demonstrates how these tools have already aided in resource allocation and policy planning. A forward-looking outlook on developments in data collecting, explainable Artificial Intelligence, and the necessity of global cooperation is presented in the manuscript's conclusion. When taken as a whole, these elements emphasize how crucial it is to combine technology and international collaboration to fortify public health systems and better prepare for future epidemics. This paper examines how diverse real-time data types — including mobility patterns, social media activity, wearable sensor data, environmental signals, and electronic health records — can be successfully combined with machine learning approaches to enhance early diagnosis, forecast illness trajectories, and optimize intervention options.","container-title":"Asian Journal of Microbiology and Biotechnology","DOI":"10.56557/ajmab/2025/v10i19371","issue":"1","page":"147-163","source":"HAL Archives Ouvertes","title":"Integrating Real-Time Data and Machine Learning in Predicting Infectious Disease Outbreaks: Enhancing Response Strategies in Sub-Saharan Africa","title-short":"Integrating Real-Time Data and Machine Learning in Predicting Infectious Disease Outbreaks","volume":"10","author":[{"family":"Lawal","given":"Olabisi Promise"},{"family":"Igwe","given":"Ejikeme Peter"},{"family":"Olosunde","given":"Adedapo"},{"family":"Chisom","given":"Ezeamii Patra"},{"family":"Okeh","given":"Debra Ukamaka"},{"family":"Olowookere","given":"Adepeju Kafayat"},{"family":"Adedayo","given":"Olufemi Adesola"},{"family":"Agu","given":"Chiamaka Pamela"},{"family":"Mustapha","given":"Fatimah Adeola"},{"family":"Odubo","given":"Favour"},{"family":"Orobator","given":"Enibokun Theresa"}],"issued":{"date-parts":[["2025",5]]}}}],"schema":"https://github.com/citation-style-language/schema/raw/master/csl-citation.json"} </w:instrText>
      </w:r>
      <w:r>
        <w:fldChar w:fldCharType="separate"/>
      </w:r>
      <w:r>
        <w:t>(Lawal, Igwe, et al., 2025)</w:t>
      </w:r>
      <w:r>
        <w:fldChar w:fldCharType="end"/>
      </w:r>
      <w:r>
        <w:t>. Tree-based methods, including random forests and gradient boosting algorithms, are well suited to capturing non-linear relationships and interactions among multiple agrochemical exposures and contextual variables without requiring explicit model specification. These approaches have demonstrated improved predictive performance in settings involving chemical mixtures and spatially resolved exposure data</w:t>
      </w:r>
      <w:r>
        <w:fldChar w:fldCharType="begin"/>
      </w:r>
      <w:r>
        <w:instrText xml:space="preserve"> ADDIN ZOTERO_ITEM CSL_CITATION {"citationID":"MkSjTTeQ","properties":{"formattedCitation":"(Malashin et al., 2025)","plainCitation":"(Malashin et al., 2025)","noteIndex":0},"citationItems":[{"id":13394,"uris":["http://zotero.org/users/16652950/items/H6ACTG4T"],"itemData":{"id":13394,"type":"article-journal","abstract":"The increasing complexity of polymer systems in both experimental and computational studies has led to an expanding interest in machine learning (ML) ...","container-title":"Polymers","DOI":"10.3390/polym17040499","ISSN":"2073-4360","issue":"4","language":"en","license":"http://creativecommons.org/licenses/by/3.0/","note":"Company: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publisher","source":"www.mdpi.com","title":"Boosting-Based Machine Learning Applications in Polymer Science: A Review","title-short":"Boosting-Based Machine Learning Applications in Polymer Science","URL":"https://www.mdpi.com/2073-4360/17/4/499","volume":"17","author":[{"family":"Malashin","given":"Ivan"},{"family":"Tynchenko","given":"Vadim"},{"family":"Gantimurov","given":"Andrei"},{"family":"Nelyub","given":"Vladimir"},{"family":"Borodulin","given":"Aleksei"},{"family":"Malashin","given":"Ivan"},{"family":"Tynchenko","given":"Vadim"},{"family":"Gantimurov","given":"Andrei"},{"family":"Nelyub","given":"Vladimir"},{"family":"Borodulin","given":"Aleksei"}],"accessed":{"date-parts":[["2026",1,15]]},"issued":{"date-parts":[["2025",2,13]]}}}],"schema":"https://github.com/citation-style-language/schema/raw/master/csl-citation.json"} </w:instrText>
      </w:r>
      <w:r>
        <w:fldChar w:fldCharType="separate"/>
      </w:r>
      <w:r>
        <w:t>(Malashin et al., 2025)</w:t>
      </w:r>
      <w:r>
        <w:fldChar w:fldCharType="end"/>
      </w:r>
      <w:r>
        <w:t>.</w:t>
      </w:r>
    </w:p>
    <w:p w14:paraId="58B9F08E">
      <w:pPr>
        <w:pStyle w:val="13"/>
        <w:jc w:val="both"/>
      </w:pPr>
      <w:r>
        <w:t>Neural networks and ensemble models further extend predictive capacity by integrating diverse data sources, such as GIS-derived exposure estimates, demographic variables, and environmental covariates. Ensemble approaches that combine multiple modeling techniques can enhance robustness and reduce overfitting, particularly when validated using independent data. However, the application of these methods in pediatric cancer research remains relatively limited, and their added value over traditional models depends on careful implementation and validation.</w:t>
      </w:r>
    </w:p>
    <w:p w14:paraId="00700396">
      <w:pPr>
        <w:pStyle w:val="4"/>
        <w:jc w:val="both"/>
      </w:pPr>
      <w:r>
        <w:t>7.3 Model Performance and Interpretability</w:t>
      </w:r>
    </w:p>
    <w:p w14:paraId="50B3D2FA">
      <w:pPr>
        <w:pStyle w:val="13"/>
        <w:jc w:val="both"/>
      </w:pPr>
      <w:r>
        <w:t>A central methodological tension in predictive modeling lies in balancing predictive accuracy with interpretability and causal inference. While machine learning models often achieve superior discrimination and classification performance, their complexity can obscure underlying exposure–disease relationships, limiting their utility for etiologic interpretation and policy translation. In contrast, traditional statistical models offer clearer inferential pathways but may inadequately capture complex, non-linear exposure dynamics.</w:t>
      </w:r>
      <w:commentRangeStart w:id="6"/>
      <w:r>
        <w:fldChar w:fldCharType="begin"/>
      </w:r>
      <w:r>
        <w:instrText xml:space="preserve"> ADDIN ZOTERO_ITEM CSL_CITATION {"citationID":"MKZH4eTD","properties":{"formattedCitation":"(Lawal, Adedayo, et al., 2025; Zhao et al., 2024)","plainCitation":"(Lawal, Adedayo, et al., 2025; Zhao et al., 2024)","noteIndex":0},"citationItems":[{"id":3602,"uris":["http://zotero.org/users/16652950/items/ZY4XC6G8"],"itemData":{"id":3602,"type":"article-journal","abstract":"Tuberculosis (TB) still presents a major threat to public health, and accurate diagnosis of tuberculosis, monitoring TB treatment, as well as TB drug resistance are still challenging goals. Research in biomarkers—both host, pathogen pathogen-derived—has led to novel frontiers in the diagnosis and management of TB. These advancements contribute to faster diagnosis, customized treatment plans, and better monitoring of response to therapy. Direct pathogen-based markers, such as M. tuberculosis DNA, lipoarabinomannan (LAM), and mycobacterial proteins, that directly demonstrate infection, have the most potential, particularly in resource-poor settings. Cytokines such as interferon-gamma (IFN-γ) and inflammatory markers, such as C-reactive protein (CRP), are endogenous biomarkers that mirror responses of the immune system and may play a role in the management of treatment, especially in immunocompromised populations, such as patients with HIV. These progresses notwithstanding, the application of a biomarker-centered approach on a large scale remains a major obstacle,  due to technical, economic, and regulatory constraints. Furthermore, various performances among the biomarkers in different populations limit clinical utility. Future studies in this area should aim to create point-of-care diagnostics, multi-biomarker panels, and to integrate the device with digital health technology platforms for real-time monitoring. These methods have the potential to substantially improve TB control, particularly in low- and middle-income countries. If current challenges can be overcome and research horizons broadened, biomarker-driven diagnosis and monitoring strategies may have key contributions in global TB control.","container-title":"Asian Journal of Microbiology and Biotechnology","DOI":"10.56557/ajmab/2025/v10i19351","ISSN":"2456-8341","issue":"1","language":"en","page":"115-130","source":"ikprress.org","title":"Biomarkers for Tuberculosis Diagnosis and Monitoring: A Review of Translational Progress","title-short":"Biomarkers for Tuberculosis Diagnosis and Monitoring","volume":"10","author":[{"family":"Lawal","given":"Olabisi Promise"},{"family":"Adedayo","given":"Olufemi Adesola"},{"family":"Dorcas","given":"Sokoya Itunuoluwa"},{"family":"Akanbi","given":"Olukunle O."},{"family":"Okafor","given":"Bostock Chinecherem"},{"family":"Kanu","given":"Ikechukwu"},{"family":"Sone","given":"Precious Esong"},{"family":"Patrick","given":"John Opeyemi"},{"family":"Fabiyi","given":"Taiwo Oluwole"},{"family":"Adeyemi","given":"Bankole Israel"},{"family":"Oziegbe","given":"Edo Elvis"},{"family":"Busari","given":"Abdullateef M."}],"issued":{"date-parts":[["2025",5,20]]}}},{"id":2003,"uris":["http://zotero.org/users/16652950/items/MDSDWTIM"],"itemData":{"id":2003,"type":"article-journal","abstract":"The global health landscape has been persistently challenged by the emergence and re-emergence of infectious diseases. Traditional epidemiological models, rooted in the early 20th century, have provided foundational insights into disease dynamics. However, the intricate web of modern global interactions and the exponential growth of available data demand more advanced predictive tools. This is where AI for Science (AI4S) comes into play, offering a transformative approach by integrating artificial intelligence (AI) into infectious disease prediction. This paper elucidates the pivotal role of AI4S in enhancing and, in some instances, superseding traditional epidemiological methodologies. By harnessing AI's capabilities, AI4S facilitates real-time monitoring, sophisticated data integration, and predictive modeling with enhanced precision. The comparative analysis highlights the stark contrast between conventional models and the innovative strategies enabled by AI4S. In essence, AI4S represents a paradigm shift in infectious disease research. It addresses the limitations of traditional models and paves the way for a more proactive and informed response to future outbreaks. As we navigate the complexities of global health challenges, AI4S stands as a beacon, signifying the next phase of evolution in disease prediction, characterized by increased accuracy, adaptability, and efficiency.","container-title":"Journal of Safety Science and Resilience","DOI":"10.1016/j.jnlssr.2024.02.002","ISSN":"2666-4496","issue":"2","journalAbbreviation":"Journal of Safety Science and Resilience","page":"130-146","source":"ScienceDirect","title":"AI for science: Predicting infectious diseases","title-short":"AI for science","volume":"5","author":[{"family":"Zhao","given":"Alexis Pengfei"},{"family":"Li","given":"Shuangqi"},{"family":"Cao","given":"Zhidong"},{"family":"Hu","given":"Paul Jen-Hwa"},{"family":"Wang","given":"Jiaojiao"},{"family":"Xiang","given":"Yue"},{"family":"Xie","given":"Da"},{"family":"Lu","given":"Xi"}],"issued":{"date-parts":[["2024",6,1]]}}}],"schema":"https://github.com/citation-style-language/schema/raw/master/csl-citation.json"} </w:instrText>
      </w:r>
      <w:r>
        <w:fldChar w:fldCharType="separate"/>
      </w:r>
      <w:r>
        <w:t>(Lawal, Adedayo, et al., 2025; Zhao et al., 2024)</w:t>
      </w:r>
      <w:r>
        <w:fldChar w:fldCharType="end"/>
      </w:r>
      <w:commentRangeEnd w:id="6"/>
      <w:r>
        <w:commentReference w:id="6"/>
      </w:r>
    </w:p>
    <w:p w14:paraId="295C98EA">
      <w:pPr>
        <w:pStyle w:val="13"/>
        <w:jc w:val="both"/>
      </w:pPr>
      <w:r>
        <w:t>To address this challenge, explainable artificial intelligence approaches have been introduced to enhance transparency in data-driven models. Techniques such as variable importance measures and SHAP values enable identification of influential predictors and characterization of their contributions to model output. When applied judiciously, these tools can improve interpretability without sacrificing predictive performance, supporting the integration of predictive modeling into environmental cancer research while maintaining relevance for causal reasoning and public health decision-making</w:t>
      </w:r>
      <w:r>
        <w:fldChar w:fldCharType="begin"/>
      </w:r>
      <w:r>
        <w:instrText xml:space="preserve"> ADDIN ZOTERO_ITEM CSL_CITATION {"citationID":"t3g7ofT8","properties":{"formattedCitation":"(Ma et al., 2025)","plainCitation":"(Ma et al., 2025)","noteIndex":0},"citationItems":[{"id":13396,"uris":["http://zotero.org/users/16652950/items/IDLCGQDN"],"itemData":{"id":13396,"type":"article-journal","abstract":"Sports injury prediction is crucial for university football player health, yet existing research predominantly focuses on professional athletes and lacks interpretability. Using the Kaggle ”University Football Injury Prediction Dataset” (800 Chinese university players), we constructed a comprehensive 18-feature evaluation system across four dimensions: basic information, training factors, physical fitness, and lifestyle habits. We systematically compared 10 machine learning algorithms. The Support Vector Machine achieved optimal performance (95.6% accuracy, 95.7% F1-score, 99.2% ROC-AUC). SHAP interpretability analysis identified stress level (importance: 0.10), sleep duration (0.09), and balance ability (0.08) as key injury risk factors, with psychological stress showing positive correlation and adequate sleep/balance showing protective effects. Notably, lifestyle factors outweighed traditional physical fitness indicators in importance. Despite promising results, this study’s single-dataset design and lack of external validation limit generalizability. Prospective validation is essential before clinical deployment. This work demonstrates the feasibility of interpretable injury risk prediction for university athletes, providing a foundation for evidence-based prevention strategies.","container-title":"Scientific Reports","DOI":"10.1038/s41598-025-24144-y","ISSN":"2045-2322","issue":"1","journalAbbreviation":"Sci Rep","language":"en","license":"2025 The Author(s)","note":"publisher: Nature Publishing Group","page":"40252","source":"www.nature.com","title":"SHAP-based interpretable machine learning for injury risk prediction in university football players: a multi-dimensional data analysis approach","title-short":"SHAP-based interpretable machine learning for injury risk prediction in university football players","volume":"15","author":[{"family":"Ma","given":"Jiacheng"},{"family":"Liu","given":"Shengrui"},{"family":"Pei","given":"Yuting"}],"issued":{"date-parts":[["2025",11,17]]}}}],"schema":"https://github.com/citation-style-language/schema/raw/master/csl-citation.json"} </w:instrText>
      </w:r>
      <w:r>
        <w:fldChar w:fldCharType="separate"/>
      </w:r>
      <w:r>
        <w:t>(Ma et al., 2025)</w:t>
      </w:r>
      <w:r>
        <w:fldChar w:fldCharType="end"/>
      </w:r>
      <w:r>
        <w:t>.</w:t>
      </w:r>
    </w:p>
    <w:p w14:paraId="6297452D">
      <w:pPr>
        <w:pStyle w:val="3"/>
        <w:jc w:val="both"/>
      </w:pPr>
      <w:r>
        <w:t>8. Biological Plausibility and Mechanistic Evidence</w:t>
      </w:r>
    </w:p>
    <w:p w14:paraId="73E02339">
      <w:pPr>
        <w:pStyle w:val="13"/>
        <w:jc w:val="both"/>
      </w:pPr>
      <w:r>
        <w:t>The epidemiologic associations observed between early-life agrochemical exposure and pediatric cancer risk are supported by a growing body of mechanistic evidence demonstrating biologically plausible pathways through which these exposures may contribute to carcinogenesis. Many agrochemicals used in agricultural settings possess properties capable of disrupting fundamental cellular and developmental processes, particularly when exposure occurs during sensitive periods of growt</w:t>
      </w:r>
      <w:commentRangeStart w:id="7"/>
      <w:commentRangeStart w:id="8"/>
      <w:r>
        <w:t>h</w:t>
      </w:r>
      <w:r>
        <w:fldChar w:fldCharType="begin"/>
      </w:r>
      <w:r>
        <w:instrText xml:space="preserve"> ADDIN ZOTERO_ITEM CSL_CITATION {"citationID":"qVlmRL1p","properties":{"formattedCitation":"(Karalexi et al., 2021a)","plainCitation":"(Karalexi et al., 2021a)","noteIndex":0},"citationItems":[{"id":13398,"uris":["http://zotero.org/users/16652950/items/ZLIHPCVI"],"itemData":{"id":13398,"type":"article-journal","abstract":"Despite the abundance of epidemiological evidence concerning the association between pesticide exposure and adverse health outcomes including acute childhood leukemia (AL), evidence remains inconclusive, and is inherently limited by heterogeneous exposure assessment and multiple statistical testing. We performed a literature search of peer-reviewed studies, published until January 2021, without language restrictions. Summary odds ratios (OR) and 95% confidence intervals (CI) were derived from stratified random-effects meta-analyses by type of exposure and outcome, exposed populations and window of exposure to address the large heterogeneity of existing literature. Heterogeneity and small-study effects were also assessed. We identified 55 eligible studies (n = 48 case-control and n = 7 cohorts) from over 30 countries assessing &gt;200 different exposures of pesticides (n = 160,924 participants). The summary OR for maternal environmental exposure to pesticides (broad term) during pregnancy and AL was 1.88 (95%CI: 1.15–3.08), reaching 2.51 for acute lymphoblastic leukemia (ALL; 95%CI: 1.39–4.55). Analysis by pesticide subtype yielded an increased risk for maternal herbicide (OR: 1.41, 95%CI: 1.00–1.99) and insecticide (OR: 1.60, 95%CI: 1.11–2.29) exposure during pregnancy and AL without heterogeneity (p = 0.12–0.34). Meta-analyses of infant leukemia were only feasible for maternal exposure to pesticides during pregnancy. Higher magnitude risks were observed for maternal pesticide exposure and infant ALL (OR: 2.18, 95%CI: 1.44–3.29), and the highest for infant acute myeloid leukemia (OR: 3.42, 95%CI: 1.98–5.91). Overall, the associations were stronger for maternal exposure during pregnancy compared to childhood exposure. For occupational or mixed exposures, parental, and specifically paternal, pesticide exposure was significantly associated with increased risk of AL (ORparental: 1.75, 95%CI: 1.08–2.85; ORpaternal: 1.20, 95%CI: 1.07–1.35). The epidemiological evidence, supported by mechanistic studies, suggests that pesticide exposure, mainly during pregnancy, increases the risk of childhood leukemia, particularly among infants. Sufficiently powered studies using repeated biomarker analyses are needed to confirm whether there is public health merit in reducing prenatal pesticide exposure.","container-title":"Environmental Pollution","DOI":"10.1016/j.envpol.2021.117376","ISSN":"0269-7491","journalAbbreviation":"Environmental Pollution","page":"117376","source":"ScienceDirect","title":"Exposure to pesticides and childhood leukemia risk: A systematic review and meta-analysis","title-short":"Exposure to pesticides and childhood leukemia risk","volume":"285","author":[{"family":"Karalexi","given":"Maria A."},{"family":"Tagkas","given":"Christos F."},{"family":"Markozannes","given":"Georgios"},{"family":"Tseretopoulou","given":"Xanthippi"},{"family":"Hernández","given":"Antonio F."},{"family":"Schüz","given":"Joachim"},{"family":"Halldorsson","given":"Thorhallur I."},{"family":"Psaltopoulou","given":"Theodora"},{"family":"Petridou","given":"Eleni Th"},{"family":"Tzoulaki","given":"Ioanna"},{"family":"Ntzani","given":"Evangelia E."}],"issued":{"date-parts":[["2021",9,15]]}}}],"schema":"https://github.com/citation-style-language/schema/raw/master/csl-citation.json"} </w:instrText>
      </w:r>
      <w:r>
        <w:fldChar w:fldCharType="separate"/>
      </w:r>
      <w:r>
        <w:t>(Karalexi et al., 2021a)</w:t>
      </w:r>
      <w:r>
        <w:fldChar w:fldCharType="end"/>
      </w:r>
      <w:commentRangeEnd w:id="7"/>
      <w:r>
        <w:commentReference w:id="7"/>
      </w:r>
      <w:commentRangeEnd w:id="8"/>
      <w:r>
        <w:commentReference w:id="8"/>
      </w:r>
      <w:r>
        <w:t>.</w:t>
      </w:r>
    </w:p>
    <w:p w14:paraId="0F53F666">
      <w:pPr>
        <w:pStyle w:val="13"/>
        <w:jc w:val="both"/>
      </w:pPr>
      <w:r>
        <w:t>Genotoxicity and oxidative stress represent central mechanisms by which agrochemicals may initiate or promote malignant transformation.</w:t>
      </w:r>
      <w:commentRangeStart w:id="9"/>
      <w:r>
        <w:t xml:space="preserve"> </w:t>
      </w:r>
      <w:commentRangeEnd w:id="9"/>
      <w:r>
        <w:commentReference w:id="9"/>
      </w:r>
      <w:r>
        <w:t>Several classes of pesticides have been shown to induce DNA strand breaks, chromosomal aberrations, and oxidative damage in experimental models. In developing tissues, where cell proliferation rates are high and DNA repair systems are not fully mature, such damage may persist and give rise to oncogenic mutations. Oxidative stress can further exacerbate genomic instability by generating reactive oxygen species that damage nucleic acids, proteins, and cellular membranes, creating a pro-carcinogenic intracellular environment</w:t>
      </w:r>
      <w:r>
        <w:fldChar w:fldCharType="begin"/>
      </w:r>
      <w:r>
        <w:instrText xml:space="preserve"> ADDIN ZOTERO_ITEM CSL_CITATION {"citationID":"XTDW3zNK","properties":{"formattedCitation":"(Desai et al., 2025)","plainCitation":"(Desai et al., 2025)","noteIndex":0},"citationItems":[{"id":13371,"uris":["http://zotero.org/users/16652950/items/CC767BB4"],"itemData":{"id":13371,"type":"article-journal","abstract":"Simple SummaryPesticides have been linked to an increased risk of developing childhood leukemia, yet their impact on survival remains unclear. This st...","container-title":"Cancers","DOI":"10.3390/cancers17060978","ISSN":"2072-6694","issue":"6","language":"en","license":"http://creativecommons.org/licenses/by/3.0/","note":"Company: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publisher","source":"www.mdpi.com","title":"Pre- and Postnatal Exposures to Residential Pesticides and Survival of Childhood Acute Lymphoblastic Leukemia","URL":"https://www.mdpi.com/2072-6694/17/6/978","volume":"17","author":[{"family":"Desai","given":"Seema"},{"family":"Morimoto","given":"Libby M."},{"family":"Kang","given":"Alice Y."},{"family":"Miller","given":"Mark D."},{"family":"Wiemels","given":"Joseph L."},{"family":"Winestone","given":"Lena E."},{"family":"Metayer","given":"Catherine"},{"family":"Desai","given":"Seema"},{"family":"Morimoto","given":"Libby M."},{"family":"Kang","given":"Alice Y."},{"family":"Miller","given":"Mark D."},{"family":"Wiemels","given":"Joseph L."},{"family":"Winestone","given":"Lena E."},{"family":"Metayer","given":"Catherine"}],"accessed":{"date-parts":[["2026",1,15]]},"issued":{"date-parts":[["2025",3,13]]}}}],"schema":"https://github.com/citation-style-language/schema/raw/master/csl-citation.json"} </w:instrText>
      </w:r>
      <w:r>
        <w:fldChar w:fldCharType="separate"/>
      </w:r>
      <w:r>
        <w:t>(Desai et al., 2025)</w:t>
      </w:r>
      <w:r>
        <w:fldChar w:fldCharType="end"/>
      </w:r>
      <w:r>
        <w:t>.</w:t>
      </w:r>
    </w:p>
    <w:p w14:paraId="76282AB5">
      <w:pPr>
        <w:pStyle w:val="13"/>
        <w:jc w:val="both"/>
      </w:pPr>
      <w:r>
        <w:t>Endocrine disruption provides an additional mechanistic link between agrochemical exposure and cancer risk. Many pesticides and herbicides can interfere with hormone signaling pathways that regulate growth, differentiation, and immune function.</w:t>
      </w:r>
      <w:commentRangeStart w:id="10"/>
      <w:r>
        <w:t xml:space="preserve"> </w:t>
      </w:r>
      <w:commentRangeEnd w:id="10"/>
      <w:r>
        <w:commentReference w:id="10"/>
      </w:r>
      <w:r>
        <w:t>Disruption of thyroid, estrogenic, or androgenic signaling during prenatal or early postnatal development may alter tissue patterning and cellular maturation, thereby increasing susceptibility to malignant transformation. These effects are of particular concern in pediatric populations, where hormonal cues play a critical role in orchestrating developmental trajectories</w:t>
      </w:r>
      <w:r>
        <w:fldChar w:fldCharType="begin"/>
      </w:r>
      <w:r>
        <w:instrText xml:space="preserve"> ADDIN ZOTERO_ITEM CSL_CITATION {"citationID":"pCkkIjti","properties":{"formattedCitation":"(Soni et al., 2025; Tajai et al., 2023)","plainCitation":"(Soni et al., 2025; Tajai et al., 2023)","noteIndex":0},"citationItems":[{"id":12783,"uris":["http://zotero.org/users/16652950/items/Z22LRPZH"],"itemData":{"id":12783,"type":"article-journal","abstract":"Type 2 diabetes mellitus (T2DM) is associated with an increased risk of cardiovascular complications, with heart failure (HF) remaining a major cause of hospitalisation and mortality. Empagliflozin, a sodiumglucose cotransporter 2 (SGLT2) inhibitor, has demonstrated consistent cardioprotective effects in patients with type 2 diabetes mellitus (T2DM). Evidence shows that treatment with empagliflozin reduces the risk of hospitalisation for HF, with benefits that appear to extend beyond glucose lowering. These effects are thought to be mediated through mechanisms such as improved cardiac loading conditions, enhanced natriuresis, and optimised myocardial metabolism. Overall, empagliflozin represents an effective therapeutic option for reducing cardiovascular morbidity and hospital admissions in individuals with T2DM who are at risk for HF.","container-title":"Cureus","DOI":"10.7759/cureus.96593","ISSN":"2168-8184","language":"en","source":"DOI.org (Crossref)","title":"Evaluating the Beneficial Effect of Empagliflozin in Reducing Hospitalisation for Heart Failure in Patients With Type 2 Diabetes Mellitus: A Systematic Review","title-short":"Evaluating the Beneficial Effect of Empagliflozin in Reducing Hospitalisation for Heart Failure in Patients With Type 2 Diabetes Mellitus","URL":"https://www.cureus.com/articles/386179-evaluating-the-beneficial-effect-of-empagliflozin-in-reducing-hospitalisation-for-heart-failure-in-patients-with-type-2-diabetes-mellitus-a-systematic-review","author":[{"family":"Soni","given":"Akanksha"},{"family":"Lawal","given":"Olabisi P"},{"family":"Oyovwi","given":"Japheth O"},{"family":"Olaniyi","given":"Happiness I"},{"family":"Anosike","given":"Wonderful O"},{"family":"Orobator","given":"Enibokun  T"},{"family":"Gabriels","given":"Nazeem"},{"family":"Ghori","given":"Ibad Ali Khan"},{"family":"Olaniyi","given":"Aliyu O"}],"accessed":{"date-parts":[["2025",12,30]]},"issued":{"date-parts":[["2025",11,11]]}}},{"id":13402,"uris":["http://zotero.org/users/16652950/items/4WZMKP6T"],"itemData":{"id":13402,"type":"article-journal","abstract":"Glyphosate-based herbicides (GBHs) containing glyphosate as the active component are extensively used worldwide. Concerns have arisen about their potential risk to human, as glyphosate has been detected in human body fluids. Current controversies surround the endocrine-disrupting properties and transgenerational inheritance of diseases and germline epimutations resulting from exposure to GBHs and glyphosate. This review discusses evidence from in vitro, in vivo, and clinical studies on their impact on sex hormone regulation and reproductive system. Evidence suggests that they act as endocrine-disrupting chemicals, which altering sex hormone levels. Mechanistically, they interfere with hormone signaling pathways by disrupting proteins involved in hormone transport and metabolism. Pathological changes have been observed in male and female reproductive systems, potentially leading to reproductive toxicity. Prenatal exposure may lead to transgenerational inheritance of pathologies and sperm epimutations. However, due to the complexity of glyphosate formulations containing adjuvants identifying higher risk components in environmental exposure becomes challenging.","container-title":"Environmental Toxicology and Pharmacology","DOI":"10.1016/j.etap.2023.104252","ISSN":"1382-6689","journalAbbreviation":"Environmental Toxicology and Pharmacology","page":"104252","source":"ScienceDirect","title":"Effects of glyphosate-based herbicides and glyphosate exposure on sex hormones and the reproductive system: From epidemiological evidence to mechanistic insights","title-short":"Effects of glyphosate-based herbicides and glyphosate exposure on sex hormones and the reproductive system","volume":"102","author":[{"family":"Tajai","given":"Preechaya"},{"family":"Pruksakorn","given":"Dumnoensun"},{"family":"Chattipakorn","given":"Siriporn C."},{"family":"Chattipakorn","given":"Nipon"},{"family":"Shinlapawittayatorn","given":"Krekwit"}],"issued":{"date-parts":[["2023",9,1]]}}}],"schema":"https://github.com/citation-style-language/schema/raw/master/csl-citation.json"} </w:instrText>
      </w:r>
      <w:r>
        <w:fldChar w:fldCharType="separate"/>
      </w:r>
      <w:r>
        <w:t>(Soni et al., 2025; Tajai et al., 2023)</w:t>
      </w:r>
      <w:r>
        <w:fldChar w:fldCharType="end"/>
      </w:r>
      <w:r>
        <w:t>.</w:t>
      </w:r>
    </w:p>
    <w:p w14:paraId="5FF396EE">
      <w:pPr>
        <w:pStyle w:val="13"/>
        <w:jc w:val="both"/>
      </w:pPr>
      <w:r>
        <w:t>Epigenetic reprogramming during development has emerged as a key mechanism linking early-life environmental exposures to long-term disease risk. Agrochemicals have been shown to influence DNA methylation patterns, histone modifications, and non-coding RNA expression, leading to persistent changes in gene regulation without altering the underlying DNA sequence. Such epigenetic alterations can affect pathways involved in cell cycle control, apoptosis, and immune surveillance, potentially predisposing exposed children to cancer later in life</w:t>
      </w:r>
      <w:r>
        <w:fldChar w:fldCharType="begin"/>
      </w:r>
      <w:r>
        <w:instrText xml:space="preserve"> ADDIN ZOTERO_ITEM CSL_CITATION {"citationID":"3znt3E1b","properties":{"formattedCitation":"(Mija\\uc0\\u269{} et al., 2024)","plainCitation":"(Mijač et al., 2024)","noteIndex":0},"citationItems":[{"id":13404,"uris":["http://zotero.org/users/16652950/items/CVGNDH8D"],"itemData":{"id":13404,"type":"article-journal","abstract":"Allergic diseases are one of the most common chronic conditions and their prevalence is on the rise. Environmental exposure, primarily prenatal and ea...","container-title":"Medicina","DOI":"10.3390/medicina60010110","ISSN":"1648-9144","issue":"1","language":"en","license":"http://creativecommons.org/licenses/by/3.0/","note":"Company: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publisher","source":"www.mdpi.com","title":"The Effects of Environmental Exposure on Epigenetic Modifications in Allergic Diseases","URL":"https://www.mdpi.com/1648-9144/60/1/110","volume":"60","author":[{"family":"Mijač","given":"Sandra"},{"family":"Banić","given":"Ivana"},{"family":"Genc","given":"Ana-Marija"},{"family":"Lipej","given":"Marcel"},{"family":"Turkalj","given":"Mirjana"},{"family":"Mijač","given":"Sandra"},{"family":"Banić","given":"Ivana"},{"family":"Genc","given":"Ana-Marija"},{"family":"Lipej","given":"Marcel"},{"family":"Turkalj","given":"Mirjana"}],"accessed":{"date-parts":[["2026",1,15]]},"issued":{"date-parts":[["2024",1,6]]}}}],"schema":"https://github.com/citation-style-language/schema/raw/master/csl-citation.json"} </w:instrText>
      </w:r>
      <w:r>
        <w:fldChar w:fldCharType="separate"/>
      </w:r>
      <w:r>
        <w:t>(Mijač et al., 2024)</w:t>
      </w:r>
      <w:r>
        <w:fldChar w:fldCharType="end"/>
      </w:r>
      <w:r>
        <w:t>.</w:t>
      </w:r>
    </w:p>
    <w:p w14:paraId="1CE0E507">
      <w:pPr>
        <w:pStyle w:val="13"/>
        <w:jc w:val="both"/>
      </w:pPr>
      <w:r>
        <w:t>Immune dysregulation represents a further plausible pathway, particularly in relation to hematologic malignancies. Early-life exposure to immunotoxic agrochemicals may impair immune system maturation, disrupt cytokine signaling, and alter the balance between immune tolerance and surveillance. These changes can reduce the capacity to eliminate pre-malignant cells and facilitate the clonal expansion of transformed cells</w:t>
      </w:r>
      <w:r>
        <w:fldChar w:fldCharType="begin"/>
      </w:r>
      <w:r>
        <w:instrText xml:space="preserve"> ADDIN ZOTERO_ITEM CSL_CITATION {"citationID":"qmCiejnK","properties":{"formattedCitation":"(Jurkowska, 2024)","plainCitation":"(Jurkowska, 2024)","noteIndex":0},"citationItems":[{"id":13406,"uris":["http://zotero.org/users/16652950/items/W2XQRCK4"],"itemData":{"id":13406,"type":"article-journal","abstract":"Epigenetic modifications are chemical groups in our DNA (and chromatin) that determine which genes are active and which are shut off. Importantly, they integrate environmental signals to direct cellular function. Upon chronic environmental exposures, the epigenetic signature of lung cells gets altered, triggering aberrant gene expression programs that can lead to the development of chronic lung diseases. In addition to driving disease, epigenetic marks can serve as attractive lung disease biomarkers, due to early onset, disease specificity, and stability, warranting the need for more epigenetic research in the lung field. Despite substantial progress in mapping epigenetic alterations (mostly DNA methylation) in chronic lung diseases, the molecular mechanisms leading to their establishment are largely unknown. This review is meant as a guide for clinicians and lung researchers interested in epigenetic regulation with a focus on DNA methylation. It provides a short introduction to the main epigenetic mechanisms (DNA methylation, histone modifications and non-coding RNA) and the machinery responsible for their establishment and removal. It presents examples of epigenetic dysregulation across a spectrum of chronic lung diseases and discusses the current state of epigenetic therapies. Finally, it introduces the concept of epigenetic editing, an exciting novel approach to dissecting the functional role of epigenetic modifications. The promise of this emerging technology for the functional study of epigenetic mechanisms in cells and its potential future use in the clinic is further discussed.","container-title":"Pharmacology &amp; Therapeutics","DOI":"10.1016/j.pharmthera.2024.108732","ISSN":"0163-7258","journalAbbreviation":"Pharmacology &amp; Therapeutics","page":"108732","source":"ScienceDirect","title":"Role of epigenetic mechanisms in the pathogenesis of chronic respiratory diseases and response to inhaled exposures: From basic concepts to clinical applications","title-short":"Role of epigenetic mechanisms in the pathogenesis of chronic respiratory diseases and response to inhaled exposures","volume":"264","author":[{"family":"Jurkowska","given":"Renata Z."}],"issued":{"date-parts":[["2024",12,1]]}}}],"schema":"https://github.com/citation-style-language/schema/raw/master/csl-citation.json"} </w:instrText>
      </w:r>
      <w:r>
        <w:fldChar w:fldCharType="separate"/>
      </w:r>
      <w:r>
        <w:t>(Jurkowska, 2024)</w:t>
      </w:r>
      <w:r>
        <w:fldChar w:fldCharType="end"/>
      </w:r>
      <w:r>
        <w:t>. Taken together, these mechanistic insights provide a coherent biological foundation supporting the observed associations between early-life agrochemical exposure and pediatric cancer risk and underscore the importance of integrating mechanistic evidence into epidemiologic and predictive modeling frameworks.</w:t>
      </w:r>
    </w:p>
    <w:p w14:paraId="77D4B6B1">
      <w:pPr>
        <w:pStyle w:val="3"/>
        <w:jc w:val="both"/>
      </w:pPr>
      <w:r>
        <w:t>9. Methodological Challenges and Research Gaps</w:t>
      </w:r>
    </w:p>
    <w:p w14:paraId="40AA1499">
      <w:pPr>
        <w:pStyle w:val="13"/>
        <w:jc w:val="both"/>
      </w:pPr>
      <w:r>
        <w:t>Despite considerable advances in understanding the relationship between early-life agrochemical exposure and pediatric cancer risk, several methodological challenges limit the precision, interpretability, and generalizability of existing evidence.</w:t>
      </w:r>
      <w:commentRangeStart w:id="11"/>
      <w:r>
        <w:t xml:space="preserve"> </w:t>
      </w:r>
      <w:commentRangeEnd w:id="11"/>
      <w:r>
        <w:commentReference w:id="11"/>
      </w:r>
      <w:r>
        <w:t xml:space="preserve">A primary concern is </w:t>
      </w:r>
      <w:r>
        <w:rPr>
          <w:rStyle w:val="14"/>
          <w:rFonts w:eastAsiaTheme="majorEastAsia"/>
        </w:rPr>
        <w:t>exposure misclassification</w:t>
      </w:r>
      <w:r>
        <w:t>, which arises from reliance on self-reported pesticide use, indirect occupational proxies, or static residential addresses.</w:t>
      </w:r>
      <w:commentRangeStart w:id="12"/>
      <w:r>
        <w:t xml:space="preserve"> </w:t>
      </w:r>
      <w:commentRangeEnd w:id="12"/>
      <w:r>
        <w:commentReference w:id="12"/>
      </w:r>
      <w:r>
        <w:t>Children in agricultural families may experience highly dynamic exposure profiles due to seasonal application cycles, parental occupational mobility, and household practices, making accurate reconstruction of individual exposure trajectories challenging. Residential mobility further compounds this issue, as changes in home location during critical prenatal or early postnatal periods may not be adequately captured, potentially diluting observed associations</w:t>
      </w:r>
      <w:r>
        <w:fldChar w:fldCharType="begin"/>
      </w:r>
      <w:r>
        <w:instrText xml:space="preserve"> ADDIN ZOTERO_ITEM CSL_CITATION {"citationID":"tm3HFRqX","properties":{"formattedCitation":"(Karalexi et al., 2021b)","plainCitation":"(Karalexi et al., 2021b)","noteIndex":0},"citationItems":[{"id":13409,"uris":["http://zotero.org/users/16652950/items/84MD7435"],"itemData":{"id":13409,"type":"article-journal","abstract":"Despite the abundance of epidemiological evidence concerning the association between pesticide exposure and adverse health outcomes including acute childhood leukemia (AL), evidence remains inconclusive, and is inherently limited by heterogeneous exposure assessment and multiple statistical testing. We performed a literature search of peer-reviewed studies, published until January 2021, without language restrictions. Summary odds ratios (OR) and 95% confidence intervals (CI) were derived from stratified random-effects meta-analyses by type of exposure and outcome, exposed populations and window of exposure to address the large heterogeneity of existing literature. Heterogeneity and small-study effects were also assessed. We identified 55 eligible studies (n = 48 case-control and n = 7 cohorts) from over 30 countries assessing &gt;200 different exposures of pesticides (n = 160,924 participants). The summary OR for maternal environmental exposure to pesticides (broad term) during pregnancy and AL was 1.88 (95%CI: 1.15-3.08), reaching 2.51 for acute lymphoblastic leukemia (ALL; 95%CI: 1.39-4.55). Analysis by pesticide subtype yielded an increased risk for maternal herbicide (OR: 1.41, 95%CI: 1.00-1.99) and insecticide (OR: 1.60, 95%CI: 1.11-2.29) exposure during pregnancy and AL without heterogeneity (p = 0.12-0.34). Meta-analyses of infant leukemia were only feasible for maternal exposure to pesticides during pregnancy. Higher magnitude risks were observed for maternal pesticide exposure and infant ALL (OR: 2.18, 95%CI: 1.44-3.29), and the highest for infant acute myeloid leukemia (OR: 3.42, 95%CI: 1.98-5.91). Overall, the associations were stronger for maternal exposure during pregnancy compared to childhood exposure. For occupational or mixed exposures, parental, and specifically paternal, pesticide exposure was significantly associated with increased risk of AL (ORparental: 1.75, 95%CI: 1.08-2.85; ORpaternal: 1.20, 95%CI: 1.07-1.35). The epidemiological evidence, supported by mechanistic studies, suggests that pesticide exposure, mainly during pregnancy, increases the risk of childhood leukemia, particularly among infants. Sufficiently powered studies using repeated biomarker analyses are needed to confirm whether there is public health merit in reducing prenatal pesticide exposure.","container-title":"Environmental Pollution (Barking, Essex: 1987)","DOI":"10.1016/j.envpol.2021.117376","ISSN":"1873-6424","journalAbbreviation":"Environ Pollut","language":"eng","note":"PMID: 34380208","page":"117376","source":"PubMed","title":"Exposure to pesticides and childhood leukemia risk: A systematic review and meta-analysis","title-short":"Exposure to pesticides and childhood leukemia risk","volume":"285","author":[{"family":"Karalexi","given":"Maria A."},{"family":"Tagkas","given":"Christos F."},{"family":"Markozannes","given":"Georgios"},{"family":"Tseretopoulou","given":"Xanthippi"},{"family":"Hernández","given":"Antonio F."},{"family":"Schüz","given":"Joachim"},{"family":"Halldorsson","given":"Thorhallur I."},{"family":"Psaltopoulou","given":"Theodora"},{"family":"Petridou","given":"Eleni Th"},{"family":"Tzoulaki","given":"Ioanna"},{"family":"Ntzani","given":"Evangelia E."}],"issued":{"date-parts":[["2021",9,15]]}}}],"schema":"https://github.com/citation-style-language/schema/raw/master/csl-citation.json"} </w:instrText>
      </w:r>
      <w:r>
        <w:fldChar w:fldCharType="separate"/>
      </w:r>
      <w:r>
        <w:t>(Karalexi et al., 2021b)</w:t>
      </w:r>
      <w:r>
        <w:fldChar w:fldCharType="end"/>
      </w:r>
      <w:r>
        <w:t>.</w:t>
      </w:r>
    </w:p>
    <w:p w14:paraId="1EED9C62">
      <w:pPr>
        <w:pStyle w:val="13"/>
        <w:jc w:val="both"/>
      </w:pPr>
      <w:r>
        <w:t xml:space="preserve">Another persistent gap is the </w:t>
      </w:r>
      <w:r>
        <w:rPr>
          <w:rStyle w:val="14"/>
          <w:rFonts w:eastAsiaTheme="majorEastAsia"/>
        </w:rPr>
        <w:t>assessment of chemical mixtures and cumulative risk</w:t>
      </w:r>
      <w:r>
        <w:t>. Most epidemiologic studies focus on single chemicals or broad classes, ignoring the complex reality of simultaneous exposure to multiple agrochemicals</w:t>
      </w:r>
      <w:commentRangeStart w:id="13"/>
      <w:r>
        <w:t xml:space="preserve">. </w:t>
      </w:r>
      <w:commentRangeEnd w:id="13"/>
      <w:r>
        <w:commentReference w:id="13"/>
      </w:r>
      <w:r>
        <w:t>Interactions among chemicals may produce synergistic or antagonistic effects, and cumulative exposure over time may be more relevant to carcinogenesis than isolated events. Current predictive models often struggle to incorporate high-dimensional mixture data in a way that is biologically meaningful and interpretable</w:t>
      </w:r>
      <w:r>
        <w:fldChar w:fldCharType="begin"/>
      </w:r>
      <w:r>
        <w:instrText xml:space="preserve"> ADDIN ZOTERO_ITEM CSL_CITATION {"citationID":"lDPZEBUW","properties":{"formattedCitation":"(Sch\\uc0\\u228{}fer et al., 2023)","plainCitation":"(Schäfer et al., 2023)","noteIndex":0},"citationItems":[{"id":13413,"uris":["http://zotero.org/users/16652950/items/5E69JT9L"],"itemData":{"id":13413,"type":"article-journal","abstract":"Ecosystems are strongly influenced by multiple anthropogenic stressors, including a wide range of chemicals and their mixtures. Studies on the effects of multiple stressors have largely focussed on nonchemical stressors, whereas studies on chemical mixtures have largely ignored other stressors. However, both research areas face similar challenges and require similar tools and methods to predict the joint effects of chemicals or nonchemical stressors, and frameworks to integrate multiple chemical and nonchemical stressors are missing. We provide an overview of the research paradigms, tools, and methods commonly used in multiple stressor and chemical mixture research and discuss potential domains of cross-fertilization and joint challenges. First, we compare the general paradigms of ecotoxicology and (applied) ecology to explain the historical divide. Subsequently, we compare methods and approaches for the identification of interactions, stressor characterization, and designing experiments. We suggest that both multiple stressor and chemical mixture research are too focused on interactions and would benefit from integration regarding null model selection. Stressor characterization is typically more costly for chemical mixtures. While for chemical mixtures comprehensive classification systems at suborganismal level have been developed, recent classification systems for multiple stressors account for environmental context. Both research areas suffer from rather simplified experimental designs that focus on only a limited number of stressors, chemicals, and treatments. We discuss concepts that can guide more realistic designs capturing spatiotemporal stressor dynamics. We suggest that process-based and data-driven models are particularly promising to tackle the challenge of prediction of effects of chemical mixtures and nonchemical stressors on (meta-)communities and (meta-)food webs. We propose a framework to integrate the assessment of effects for multiple stressors and chemical mixtures. Environ Toxicol Chem 2023;42:1915–1936. © 2023 The Authors. Environmental Toxicology and Chemistry published by Wiley Periodicals LLC on behalf of SETAC.","container-title":"Environmental Toxicology and Chemistry","DOI":"10.1002/etc.5629","ISSN":"1552-8618","issue":"9","language":"en","license":"© 2023 The Authors. Environmental Toxicology and Chemistry published by Wiley Periodicals LLC on behalf of SETAC.","note":"_eprint: https://onlinelibrary.wiley.com/doi/pdf/10.1002/etc.5629","page":"1915-1936","source":"Wiley Online Library","title":"Chemical Mixtures and Multiple Stressors: Same but Different?","title-short":"Chemical Mixtures and Multiple Stressors","volume":"42","author":[{"family":"Schäfer","given":"Ralf B."},{"family":"Jackson","given":"Michelle"},{"family":"Juvigny-Khenafou","given":"Noel"},{"family":"Osakpolor","given":"Stephen E."},{"family":"Posthuma","given":"Leo"},{"family":"Schneeweiss","given":"Anke"},{"family":"Spaak","given":"Jürg"},{"family":"Vinebrooke","given":"Rolf"}],"issued":{"date-parts":[["2023"]]}}}],"schema":"https://github.com/citation-style-language/schema/raw/master/csl-citation.json"} </w:instrText>
      </w:r>
      <w:r>
        <w:fldChar w:fldCharType="separate"/>
      </w:r>
      <w:r>
        <w:t>(Schäfer et al., 2023)</w:t>
      </w:r>
      <w:r>
        <w:fldChar w:fldCharType="end"/>
      </w:r>
      <w:r>
        <w:t>.</w:t>
      </w:r>
    </w:p>
    <w:p w14:paraId="38D69442">
      <w:pPr>
        <w:pStyle w:val="13"/>
        <w:jc w:val="both"/>
      </w:pPr>
      <w:r>
        <w:t xml:space="preserve">A third limitation is the </w:t>
      </w:r>
      <w:r>
        <w:rPr>
          <w:rStyle w:val="14"/>
          <w:rFonts w:eastAsiaTheme="majorEastAsia"/>
        </w:rPr>
        <w:t>scarcity of longitudinal and biomarker-validated studies</w:t>
      </w:r>
      <w:r>
        <w:t>. Prospective cohorts that follow children from in utero through early childhood with repeated exposure measurement are rare, and few studies integrate biomonitoring data, such as maternal or cord blood pesticide metabolites, which could improve exposure accuracy. Without such validation, estimates derived from modeled or proxy measures remain vulnerable to misclassification and reduced inferential powe</w:t>
      </w:r>
      <w:r>
        <w:fldChar w:fldCharType="begin"/>
      </w:r>
      <w:r>
        <w:instrText xml:space="preserve"> ADDIN ZOTERO_ITEM CSL_CITATION {"citationID":"QtzIbBXX","properties":{"formattedCitation":"(L\\uc0\\u243{}pez-Flores et al., 2025)","plainCitation":"(López-Flores et al., 2025)","noteIndex":0},"citationItems":[{"id":13411,"uris":["http://zotero.org/users/16652950/items/NYP2VI4W"],"itemData":{"id":13411,"type":"article-journal","abstract":"Early developmental exposure to organophosphate (OP) pesticides has been linked to adverse health effects, though the underlying molecular pathways remain unclear. This study examined urinary metabolomic profiles of 387 pregnant women in their first and third trimesters using UPLC-MS/MS to identify metabolic disruptions associated with OPs exposure measured via dialkyl phosphate (DAPs) metabolites, including total, methyl and ethyl forms. Multiple linear regression models, adjusted for covariates and corrected for multiple comparisons revealed that first trimester OP exposure was significantly associated with 4-pyridoxic acid, a vitamin B6 metabolite. In the third trimester, OP exposure was linked to metabolites related to amino acid metabolism, synaptic function, cytochrome P450-mediated detoxification, cancer and immune pathways. These findings suggest that OP exposure may disrupt maternal metabolic processes during pregnancy, potentially affecting foetal development. This study highlights potential targets for future hypothesis-driven studies and potential interventions to mitigate OP pesticide exposure during pregnancy.","container-title":"Environmental Toxicology and Pharmacology","DOI":"10.1016/j.etap.2025.104793","ISSN":"1382-6689","journalAbbreviation":"Environmental Toxicology and Pharmacology","page":"104793","source":"ScienceDirect","title":"Gestational exposure to organophosphate pesticides and maternal urine metabolomic profile in the GENEIDA birth cohort","volume":"118","author":[{"family":"López-Flores","given":"Inmaculada"},{"family":"González-Alzaga","given":"Beatriz"},{"family":"Romero-Molina","given":"Desirée"},{"family":"Hernández","given":"Antonio F."},{"family":"Pérez-Luzardo","given":"Octavio"},{"family":"Acosta-Dacal","given":"Andrea"},{"family":"Macías-Montes","given":"Ana"},{"family":"Henríquez-Hernández","given":"Luis A."},{"family":"Boada","given":"Luis D."},{"family":"Pelegrí","given":"Dolors"},{"family":"González","given":"Juan R."},{"family":"Lacasaña","given":"Marina"}],"issued":{"date-parts":[["2025",9,1]]}}}],"schema":"https://github.com/citation-style-language/schema/raw/master/csl-citation.json"} </w:instrText>
      </w:r>
      <w:r>
        <w:fldChar w:fldCharType="separate"/>
      </w:r>
      <w:r>
        <w:t>(López-Flores et al., 2025)</w:t>
      </w:r>
      <w:r>
        <w:fldChar w:fldCharType="end"/>
      </w:r>
      <w:commentRangeStart w:id="14"/>
      <w:r>
        <w:t>r.</w:t>
      </w:r>
      <w:commentRangeEnd w:id="14"/>
      <w:r>
        <w:commentReference w:id="14"/>
      </w:r>
    </w:p>
    <w:p w14:paraId="1119CF92">
      <w:pPr>
        <w:pStyle w:val="13"/>
        <w:jc w:val="both"/>
      </w:pPr>
      <w:r>
        <w:t xml:space="preserve">Finally, there is a notable </w:t>
      </w:r>
      <w:r>
        <w:rPr>
          <w:rStyle w:val="14"/>
          <w:rFonts w:eastAsiaTheme="majorEastAsia"/>
        </w:rPr>
        <w:t>underrepresentation of mechanistic integration in predictive models</w:t>
      </w:r>
      <w:r>
        <w:t>. While statistical and machine learning models can identify patterns and associations, they rarely incorporate mechanistic or toxicological evidence, such as pathways of genotoxicity, endocrine disruption, or immune dysregulation. The absence of mechanistic constraints limits the models’ ability to distinguish causal signals from spurious correlations, reduces interpretability, and constrains translation into actionable prevention strategies</w:t>
      </w:r>
      <w:r>
        <w:fldChar w:fldCharType="begin"/>
      </w:r>
      <w:r>
        <w:instrText xml:space="preserve"> ADDIN ZOTERO_ITEM CSL_CITATION {"citationID":"kN00x95s","properties":{"formattedCitation":"(Deepika et al., 2025)","plainCitation":"(Deepika et al., 2025)","noteIndex":0},"citationItems":[{"id":13417,"uris":["http://zotero.org/users/16652950/items/2X28EUFH"],"itemData":{"id":13417,"type":"article-journal","abstract":"New Approach Methodologies (NAMs) hold great potential to fill data gaps for chemicals and modernisation of chemical risk assessment practices. Current toxicity testing is based on conventional approaches with high reliability on in-vivo studies, but with time, regulators are trying to move towards in-vitro and in silico tools enabling efficient risk assessment strategies. Herein, we discuss about different emerging techniques which are or can become a NAM including both in-vitro and in silico models with particular focus on reducing animal studies and improving decision-making for hazard and exposure assessment. We also discussed about the way to strengthen the regulatory and public confidence in different NAMs and automation of these approaches. Some of these NAMs can help in identifying biochemical mechanisms for toxicity, calculate the point of departure (PoD), develop adverse outcome pathways (AOP), translate risk to multiple species and quantify uncertainty from predictions for multiple chemicals. Scientists and regulators can work together to frame robust guidelines for the practical application of these tools and ensure reproducible results., \nFlowchart illustrating risk assessment through various processes. Human biomonitoring, in-vitro cell lines, docking, and OMICS data are components feeding into data harmonization at the center. Predictive modeling outputs to risk assessment at the bottom. Arrows indicate data flow between elements.","container-title":"Frontiers in Toxicology","DOI":"10.3389/ftox.2025.1632941","ISSN":"2673-3080","journalAbbreviation":"Front Toxicol","note":"PMID: 41127258\nPMCID: PMC12537679","page":"1632941","source":"PubMed Central","title":"Advancing human health risk assessment: the role of new approach methodologies","title-short":"Advancing human health risk assessment","volume":"7","author":[{"family":"Deepika","given":"Deepika"},{"family":"Bharti","given":"Kanchan"},{"family":"Sharma","given":"Shubh"},{"family":"Kumar","given":"Saurav"},{"family":"Pathak","given":"Rajesh Kumar"},{"family":"Biosca Brull","given":"Judit"},{"family":"Sabuz","given":"Oscar"},{"family":"García Vilana","given":"Silvia"},{"family":"Kumar","given":"Vikas"}],"issued":{"date-parts":[["2025",10,7]]}}}],"schema":"https://github.com/citation-style-language/schema/raw/master/csl-citation.json"} </w:instrText>
      </w:r>
      <w:r>
        <w:fldChar w:fldCharType="separate"/>
      </w:r>
      <w:r>
        <w:t>(Deepika et al., 2025)</w:t>
      </w:r>
      <w:r>
        <w:fldChar w:fldCharType="end"/>
      </w:r>
      <w:r>
        <w:t>.</w:t>
      </w:r>
    </w:p>
    <w:p w14:paraId="10C0E001">
      <w:pPr>
        <w:pStyle w:val="13"/>
        <w:jc w:val="both"/>
      </w:pPr>
      <w:r>
        <w:t>Addressing these gaps requires the development of integrative, multi-level study designs that combine longitudinal data, high-resolution exposure assessment, mixture analysis, biomarker validation, and mechanistic insights. Such approaches will enhance both the accuracy of exposure–disease modeling and the relevance of findings for public health intervention in agricultural populations.</w:t>
      </w:r>
    </w:p>
    <w:p w14:paraId="78678ABC">
      <w:pPr>
        <w:pStyle w:val="3"/>
        <w:jc w:val="both"/>
      </w:pPr>
      <w:r>
        <w:t>10. Implications for Public Health, Policy, and Prevention</w:t>
      </w:r>
    </w:p>
    <w:p w14:paraId="7C738153">
      <w:pPr>
        <w:pStyle w:val="13"/>
        <w:jc w:val="both"/>
      </w:pPr>
      <w:r>
        <w:t xml:space="preserve">The growing body of evidence linking early-life agrochemical exposure to pediatric cancer underscores important implications for public health, regulatory policy, and preventive interventions. Predictive and spatial modeling approaches provide powerful tools for </w:t>
      </w:r>
      <w:r>
        <w:rPr>
          <w:rStyle w:val="14"/>
          <w:rFonts w:eastAsiaTheme="majorEastAsia"/>
        </w:rPr>
        <w:t>early risk stratification</w:t>
      </w:r>
      <w:r>
        <w:t>, enabling the identification of high-exposure households and communities where children may be most vulnerable. By integrating exposure estimates with demographic and environmental data, these models can inform targeted surveillance, early screening programs, and tailored educational initiatives for farming families, thereby mitigating risk before disease onset</w:t>
      </w:r>
      <w:r>
        <w:fldChar w:fldCharType="begin"/>
      </w:r>
      <w:r>
        <w:instrText xml:space="preserve"> ADDIN ZOTERO_ITEM CSL_CITATION {"citationID":"t6rO9y1Q","properties":{"formattedCitation":"(Shakeel et al., 2025)","plainCitation":"(Shakeel et al., 2025)","noteIndex":0},"citationItems":[{"id":13420,"uris":["http://zotero.org/users/16652950/items/WJHDMMTD"],"itemData":{"id":13420,"type":"article-journal","abstract":"Simple SummaryThis communication reviews how environmental exposures to air pollution, tobacco smoke, extreme weather events, and pesticides can negat...","container-title":"Cancers","DOI":"10.3390/cancers17132223","ISSN":"2072-6694","issue":"13","language":"en","license":"http://creativecommons.org/licenses/by/3.0/","note":"Company: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publisher","source":"www.mdpi.com","title":"Environmental Exposures Increase Health Risks in Childhood Cancer Survivors","URL":"https://www.mdpi.com/2072-6694/17/13/2223","volume":"17","author":[{"family":"Shakeel","given":"Omar"},{"family":"Wood","given":"Nicole M."},{"family":"Thompson","given":"Hannah M."},{"family":"Scheurer","given":"Michael E."},{"family":"Miller","given":"Mark D."},{"family":"Shakeel","given":"Omar"},{"family":"Wood","given":"Nicole M."},{"family":"Thompson","given":"Hannah M."},{"family":"Scheurer","given":"Michael E."},{"family":"Miller","given":"Mark D."}],"accessed":{"date-parts":[["2026",1,15]]},"issued":{"date-parts":[["2025",7,1]]}}}],"schema":"https://github.com/citation-style-language/schema/raw/master/csl-citation.json"} </w:instrText>
      </w:r>
      <w:r>
        <w:fldChar w:fldCharType="separate"/>
      </w:r>
      <w:r>
        <w:t>(Shakeel et al., 2025)</w:t>
      </w:r>
      <w:r>
        <w:fldChar w:fldCharType="end"/>
      </w:r>
      <w:r>
        <w:t>.</w:t>
      </w:r>
    </w:p>
    <w:p w14:paraId="58C7C1A0">
      <w:pPr>
        <w:pStyle w:val="13"/>
        <w:jc w:val="both"/>
      </w:pPr>
      <w:r>
        <w:t xml:space="preserve">From a regulatory perspective, findings highlight the need to </w:t>
      </w:r>
      <w:r>
        <w:rPr>
          <w:rStyle w:val="14"/>
          <w:rFonts w:eastAsiaTheme="majorEastAsia"/>
        </w:rPr>
        <w:t>reconsider pesticide application practices near residential areas</w:t>
      </w:r>
      <w:r>
        <w:t>. Current guidelines may not fully account for the unique vulnerabilities of developing children or the cumulative effects of chronic low-dose exposure. Policies that limit drift, enforce buffer zones, and monitor environmental residues can reduce inadvertent exposure and enhance the safety of agricultural communities.</w:t>
      </w:r>
    </w:p>
    <w:p w14:paraId="22E56534">
      <w:pPr>
        <w:pStyle w:val="13"/>
        <w:jc w:val="both"/>
      </w:pPr>
      <w:r>
        <w:rPr>
          <w:rStyle w:val="14"/>
          <w:rFonts w:eastAsiaTheme="majorEastAsia"/>
        </w:rPr>
        <w:t>Occupational health protections for farming families</w:t>
      </w:r>
      <w:r>
        <w:t xml:space="preserve"> are also essential. Interventions such as personal protective equipment for pesticide applicators, safe handling training, decontamination protocols, and restrictions on take-home exposure can substantially reduce secondary exposure to children. These measures not only protect child health but also enhance the overall safety of the farm workforce</w:t>
      </w:r>
      <w:r>
        <w:fldChar w:fldCharType="begin"/>
      </w:r>
      <w:r>
        <w:instrText xml:space="preserve"> ADDIN ZOTERO_ITEM CSL_CITATION {"citationID":"ANPj0rvk","properties":{"formattedCitation":"(Norvivor et al., 2025)","plainCitation":"(Norvivor et al., 2025)","noteIndex":0},"citationItems":[{"id":13424,"uris":["http://zotero.org/users/16652950/items/V3WJJYL7"],"itemData":{"id":13424,"type":"article-journal","abstract":"Introduction Occupational pesticide exposure poses significant health risks, particularly among smallholder farmers in developing countries like Ghana, where such exposures are common due to widespread subsistence agricultural activities. The Environmental Protection Agency (EPA) of Ghana is responsible for registering and monitoring pesticide use and regulating the presence of unregistered or banned products on the local market; however, this regulation is ineffective. Farmers frequently acquire pesticides directly from vendors who may not possess sufficient training, and the lack of stringent measures facilitates the accessibility of hazardous products. Furthermore, while regulations mandate safe handling and disposal practices, there are also possible oversights at the community level, leaving farmers largely dependent on their own knowledge, practices, or what they have learnt from other colleagues. This study explores the safety practices, perceived exposure levels, and awareness among rural farmers in the Hohoe municipality of Ghana. Methods A qualitative ethnographic approach was adopted, involving in-depth interviews with 13 purposively selected farmers with over five years of farming experience. Data was collected using semi-structured interviews guide informed by prior literature. Thematic analysis was conducted using ATLAS.ti version 25, with open and selective coding techniques. Results Four major themes emerged: knowledge and practices of pesticide use, health risks and exposure, safety practices, pesticide storage and disposal. Most farmers (approximately 10 out of 13) reported using Glyphosate as their primary herbicide, followed by Paraquat Dichloride and 2,4-D, relying on vendor recommendations for application methods. Common health complaints included eye and skin irritation, waist pain, and temporary vision loss. While some farmers used PPE like boots and gloves, many lacked complete protective gear, especially eye protection. Pesticide containers were often stored at home or discarded on farms or by burning, indicating poor disposal practices. Awareness of pesticide expiry dates and proper dosage was inconsistent. Conclusion The study reveals substantial gaps in pesticide safety knowledge and practices among rural farmers, posing significant public health risks. Targeted interventions, including regular training on safe pesticide handling, PPE use, and environmentally sound disposal methods, are critical to reducing occupational exposure and its associated health burdens.","container-title":"PLOS ONE","DOI":"10.1371/journal.pone.0337693","ISSN":"1932-6203","issue":"12","journalAbbreviation":"PLOS ONE","language":"en","note":"publisher: Public Library of Science","page":"e0337693","source":"PLoS Journals","title":"Occupational pesticide exposure and safety assessment among farmers in Hohoe municipality: An ethnographic qualitative study","title-short":"Occupational pesticide exposure and safety assessment among farmers in Hohoe municipality","volume":"20","author":[{"family":"Norvivor","given":"Forgive Awo"},{"family":"Peprah","given":"Elijah Kwasi"},{"family":"Danso","given":"Doreen"},{"family":"Konutse","given":"Obed Woani"}],"issued":{"date-parts":[["2025",12,2]]}}}],"schema":"https://github.com/citation-style-language/schema/raw/master/csl-citation.json"} </w:instrText>
      </w:r>
      <w:r>
        <w:fldChar w:fldCharType="separate"/>
      </w:r>
      <w:r>
        <w:t>(Norvivor et al., 2025)</w:t>
      </w:r>
      <w:r>
        <w:fldChar w:fldCharType="end"/>
      </w:r>
      <w:r>
        <w:t>.</w:t>
      </w:r>
    </w:p>
    <w:p w14:paraId="166BDBD9">
      <w:pPr>
        <w:pStyle w:val="13"/>
        <w:jc w:val="both"/>
      </w:pPr>
      <w:r>
        <w:t xml:space="preserve">Finally, these issues intersect with broader </w:t>
      </w:r>
      <w:r>
        <w:rPr>
          <w:rStyle w:val="14"/>
          <w:rFonts w:eastAsiaTheme="majorEastAsia"/>
        </w:rPr>
        <w:t>environmental justice considerations</w:t>
      </w:r>
      <w:r>
        <w:t>. Children in agricultural households, often residing in rural and socioeconomically disadvantaged areas, face disproportionate exposure to hazardous chemicals, reflecting structural inequities in environmental risk distribution. Integrating predictive modeling with equitable policy design can support more just allocation of resources, ensure community engagement in risk reduction strategies, and prioritize interventions for populations that have historically borne a disproportionate e</w:t>
      </w:r>
      <w:commentRangeStart w:id="15"/>
      <w:r>
        <w:t>nvironmental burden.</w:t>
      </w:r>
      <w:commentRangeEnd w:id="15"/>
      <w:r>
        <w:commentReference w:id="15"/>
      </w:r>
    </w:p>
    <w:p w14:paraId="5EA5B16A">
      <w:pPr>
        <w:pStyle w:val="13"/>
        <w:jc w:val="both"/>
      </w:pPr>
      <w:r>
        <w:t>Together, these public health, regulatory, and equity-focused approaches emphasize that scientific evidence on early-life agrochemical exposure should inform not only research priorities but also practical strategies to prevent pediatric cancer in agricultural communities.</w:t>
      </w:r>
    </w:p>
    <w:p w14:paraId="6D56A9C5">
      <w:pPr>
        <w:pStyle w:val="3"/>
        <w:jc w:val="both"/>
      </w:pPr>
      <w:r>
        <w:t>11. Future Directions</w:t>
      </w:r>
    </w:p>
    <w:p w14:paraId="5F136540">
      <w:pPr>
        <w:pStyle w:val="13"/>
        <w:jc w:val="both"/>
      </w:pPr>
      <w:r>
        <w:t xml:space="preserve">Advancing the understanding of early-life agrochemical exposure and pediatric cancer risk will require innovative, multidisciplinary approaches that integrate exposure science, epidemiology, and predictive modeling. A promising avenue is the </w:t>
      </w:r>
      <w:r>
        <w:rPr>
          <w:rStyle w:val="14"/>
          <w:rFonts w:eastAsiaTheme="majorEastAsia"/>
        </w:rPr>
        <w:t>integration of exposomics and biomonitoring</w:t>
      </w:r>
      <w:r>
        <w:t>, which allows for comprehensive characterization of chemical exposures across multiple pathways and time points. High-resolution measurement of metabolites, adducts, and other biomarkers can complement modeled exposures, improving accuracy and enabling more precise delineation of exposure–response relationships.</w:t>
      </w:r>
    </w:p>
    <w:p w14:paraId="0749A50A">
      <w:pPr>
        <w:pStyle w:val="13"/>
        <w:jc w:val="both"/>
      </w:pPr>
      <w:r>
        <w:t xml:space="preserve">The development of </w:t>
      </w:r>
      <w:r>
        <w:rPr>
          <w:rStyle w:val="14"/>
          <w:rFonts w:eastAsiaTheme="majorEastAsia"/>
        </w:rPr>
        <w:t>hybrid causal–predictive modeling frameworks</w:t>
      </w:r>
      <w:r>
        <w:t xml:space="preserve"> represents another critical frontier</w:t>
      </w:r>
      <w:r>
        <w:fldChar w:fldCharType="begin"/>
      </w:r>
      <w:r>
        <w:instrText xml:space="preserve"> ADDIN ZOTERO_ITEM CSL_CITATION {"citationID":"gGyD9IFb","properties":{"formattedCitation":"(Enabulele et al., 2025)","plainCitation":"(Enabulele et al., 2025)","noteIndex":0},"citationItems":[{"id":9007,"uris":["http://zotero.org/users/16652950/items/LJFDFURG"],"itemData":{"id":9007,"type":"article-journal","abstract":"This article investigates the constraints of conventional agile practices in hybrid environments, where teams are dispersed across multiple locations. Traditional agile methodologies, which depend on co-located teams and face-to-face interactions, frequently fail in hybrid settings, resulting in communication gaps, reduced team cohesion, and inconsistent performance. The paper suggests solutions to these challenges, with a particular emphasis on the transition from command-and-control leadership to servant leadership. It underscores the necessity for agile project managers to cultivate essential skills, including the ability to foster collaboration, ensure clear communication, and strike the appropriate balance between flexibility and control. Furthermore, it emphasises the role of technology in bridging the gap between remote and on-site team members, ensuring alignment and smooth project execution. The paper ultimately outlines how hybrid agile leadership can address these challenges, resulting in improved outcomes in distributed teams.","container-title":"Journal of Global Economics, Management and Business Research","DOI":"10.56557/jgembr/2025/v17i39756","ISSN":"2454-2504","issue":"3","language":"en","page":"211-225","source":"ikprress.org","title":"Agile Leadership in Hybrid Workplaces: Evolving Roles and Competencies of Project Managers","title-short":"Agile Leadership in Hybrid Workplaces","volume":"17","author":[{"family":"Enabulele","given":"Amienye Babatunde Omo"},{"family":"Omo-Enabulele","given":"Agbonayinma Peter"},{"family":"Borokinni","given":"Moshood"},{"family":"Iwerumoh","given":"Ambrose Nwawuweneonye"},{"family":"Olatunbosun","given":"Adeyemi"},{"family":"Enobakha","given":"Benjamin Osaze"},{"family":"Ifionu","given":"Ebuka Stephen"}],"issued":{"date-parts":[["2025",9,24]]}}}],"schema":"https://github.com/citation-style-language/schema/raw/master/csl-citation.json"} </w:instrText>
      </w:r>
      <w:r>
        <w:fldChar w:fldCharType="separate"/>
      </w:r>
      <w:r>
        <w:t>(Enabulele et al., 2025)</w:t>
      </w:r>
      <w:r>
        <w:fldChar w:fldCharType="end"/>
      </w:r>
      <w:r>
        <w:t>. By combining machine learning–based predictive approaches with causal inference principles, researchers can better identify high-risk populations while preserving interpretability and mechanistic relevance. Such frameworks facilitate both robust risk prediction and etiologic understanding, supporting translation into evidence-informed interventions.</w:t>
      </w:r>
    </w:p>
    <w:p w14:paraId="3BA5FF29">
      <w:pPr>
        <w:pStyle w:val="13"/>
        <w:jc w:val="both"/>
      </w:pPr>
      <w:r>
        <w:t xml:space="preserve">Establishing </w:t>
      </w:r>
      <w:r>
        <w:rPr>
          <w:rStyle w:val="14"/>
          <w:rFonts w:eastAsiaTheme="majorEastAsia"/>
        </w:rPr>
        <w:t>prospective birth cohorts in agricultural settings</w:t>
      </w:r>
      <w:r>
        <w:t xml:space="preserve"> is essential to capture temporally resolved exposures and developmental windows of susceptibility. Longitudinal designs that follow children from prenatal stages through early childhood can generate high-quality data on exposure dynamics, health outcomes, and potential modifiers, providing a foundation for both mechanistic and predictive analyses</w:t>
      </w:r>
      <w:r>
        <w:fldChar w:fldCharType="begin"/>
      </w:r>
      <w:r>
        <w:instrText xml:space="preserve"> ADDIN ZOTERO_ITEM CSL_CITATION {"citationID":"GKq6AHVg","properties":{"formattedCitation":"(Fiedler et al., 2025)","plainCitation":"(Fiedler et al., 2025)","noteIndex":0},"citationItems":[{"id":13426,"uris":["http://zotero.org/users/16652950/items/44FV7A7B"],"itemData":{"id":13426,"type":"article-journal","abstract":"Background\nOrganophosphates (OPs) are neurotoxicants used to control pests on crops (e.g., rice). Thai women farmworkers (</w:instrText>
      </w:r>
      <w:r>
        <w:rPr>
          <w:rFonts w:ascii="Cambria Math" w:hAnsi="Cambria Math" w:cs="Cambria Math"/>
        </w:rPr>
        <w:instrText xml:space="preserve">∼</w:instrText>
      </w:r>
      <w:r>
        <w:instrText xml:space="preserve">23%) may be exposed during childbearing years. Previous literature documents adverse neurodevelopmental effects of prenatal exposure to pesticides although findings are inconsistent.\nObjective\nWe evaluated the associations of prenatal OPs with measures of attention, memory, and information processing.\nMethods\nWe recruited 323 mother/infant pairs and analyzed maternal urine for OPs (∑DAPs) during each trimester of pregnancy. Infants completed computerized tests of visual habituation (VH) (attention), visual paired comparison (VPC) (recognition memory), and continuous performance (CFT) (information processing). Adjusted regression models associated maternal biomarkers with infant measures.\nResults\nWe did not find adverse effects of ∑DAPs associated with VH at 4 or 7 months. However, males in the highest relative to lowest tertile of 2nd trimester ∑DAPs did not exhibit the expected decline in speed of VH from 4 to 7 months. Overall ∑DAPs at 7 and 18 months were negatively associated with VPC for males and females with strongest associations for females. CFT trials to criterion were positively associated with ∑DAPs at 12 and 18 months particularly for males at 18 months, suggesting slower encoding. However, females achieved better performance on visual habituation and continuous familiarization associated with higher maternal ∑DAPs at 4 and 7 months, respectively. We also observed better performance for VPC among males and females at 12 months.\nDiscussion\nBecause infant visual attention, recognition memory, and information processing are predictive of later cognitive development such as emerging executive function, alterations associated with prenatal OPs could have long-term consequences for school readiness.","container-title":"Environmental Research","DOI":"10.1016/j.envres.2025.121197","ISSN":"0013-9351","journalAbbreviation":"Environmental Research","page":"121197","source":"ScienceDirect","title":"A birth cohort observational study to assess the association of prenatal biomarkers of organophosphates with visual attention, recognition memory and information processing among Thai infants","volume":"274","author":[{"family":"Fiedler","given":"Nancy"},{"family":"Nimmapirat","given":"Pimjuta"},{"family":"Sullivan","given":"Margaret Wolan"},{"family":"Promduang","given":"Wathoosiri"},{"family":"Chaikittipornlert","given":"Nattapon"},{"family":"Prapamontol","given":"Tippawan"},{"family":"Naksen","given":"Warangkana"},{"family":"Panuwet","given":"Parinya"},{"family":"Barr","given":"Dana Boyd"},{"family":"Baumert","given":"Brittney O."},{"family":"Ohman-Strickland","given":"Pamela"},{"family":"Suttiwan","given":"Panrapee"}],"issued":{"date-parts":[["2025",6,1]]}}}],"schema":"https://github.com/citation-style-language/schema/raw/master/csl-citation.json"} </w:instrText>
      </w:r>
      <w:r>
        <w:fldChar w:fldCharType="separate"/>
      </w:r>
      <w:r>
        <w:t>(Fiedler et al., 2025)</w:t>
      </w:r>
      <w:r>
        <w:fldChar w:fldCharType="end"/>
      </w:r>
      <w:r>
        <w:t>.</w:t>
      </w:r>
    </w:p>
    <w:p w14:paraId="5851FB8C">
      <w:pPr>
        <w:pStyle w:val="13"/>
        <w:jc w:val="both"/>
      </w:pPr>
      <w:r>
        <w:t xml:space="preserve">Finally, these advances should be leveraged to enable </w:t>
      </w:r>
      <w:r>
        <w:rPr>
          <w:rStyle w:val="14"/>
          <w:rFonts w:eastAsiaTheme="majorEastAsia"/>
        </w:rPr>
        <w:t>precision environmental health</w:t>
      </w:r>
      <w:r>
        <w:t xml:space="preserve"> interventions. By integrating individual- and community-level exposure profiles with predictive models, it is possible to develop targeted prevention strategies, optimize surveillance efforts, and inform personalized guidance for high-risk families. Such an approach bridges fundamental research with actionable public health practice, offering a pathway to reduce pediatric cancer burden in agricultural populations while addressing broader issues of environmental justice and equity.</w:t>
      </w:r>
    </w:p>
    <w:p w14:paraId="0747CFFF">
      <w:pPr>
        <w:pStyle w:val="3"/>
        <w:jc w:val="both"/>
      </w:pPr>
      <w:r>
        <w:t>12. Conclusions</w:t>
      </w:r>
    </w:p>
    <w:p w14:paraId="7ECFA078">
      <w:pPr>
        <w:pStyle w:val="13"/>
        <w:jc w:val="both"/>
      </w:pPr>
      <w:r>
        <w:t>The accumulated evidence indicates that early-life exposure to agrochemicals in agricultural environments is associated with an increased risk of pediatric cancers, with the strongest support observed for acute lymphoblastic leukemia and, to a lesser extent, central nervous system tumors. Mechanistic studies provide biological plausibility, highlighting pathways such as DNA damage, endocrine disruption, epigenetic reprogramming, and immune dysregulation, particularly during sensitive prenatal and early childhood developmental windows.</w:t>
      </w:r>
    </w:p>
    <w:p w14:paraId="750EAECA">
      <w:pPr>
        <w:pStyle w:val="13"/>
        <w:jc w:val="both"/>
      </w:pPr>
      <w:r>
        <w:t>Predictive modeling approaches, including GIS-based exposure models, statistical regression frameworks, and machine learning algorithms, have enhanced the capacity to quantify and interpret complex exposure patterns. These tools offer significant value for risk stratification, identification of high-exposure subgroups, and the integration of spatial and temporal exposure dynamics. However, their utility is tempered by limitations, including potential exposure misclassification, challenges in modeling chemical mixtures, and limited incorporation of mechanistic evidence, which can constrain causal inference and policy translation.</w:t>
      </w:r>
    </w:p>
    <w:p w14:paraId="2E96ED75">
      <w:pPr>
        <w:pStyle w:val="13"/>
        <w:jc w:val="both"/>
      </w:pPr>
      <w:r>
        <w:t xml:space="preserve">Addressing these limitations will require </w:t>
      </w:r>
      <w:r>
        <w:rPr>
          <w:rStyle w:val="14"/>
          <w:rFonts w:eastAsiaTheme="majorEastAsia"/>
        </w:rPr>
        <w:t>interdisciplinary, prevention-oriented research</w:t>
      </w:r>
      <w:r>
        <w:t xml:space="preserve"> that integrates longitudinal cohort designs, high-resolution biomonitoring, mechanistic insights, and hybrid causal–predictive modeling frameworks. Such efforts are essential to advance the science of early-life environmental exposures, inform targeted interventions, and ultimately reduce the burden of pediatric cancers in agricultural communities while promoting equitable health outcomes.</w:t>
      </w:r>
    </w:p>
    <w:p w14:paraId="7D9FA909">
      <w:pPr>
        <w:rPr>
          <w:rFonts w:ascii="Times New Roman" w:hAnsi="Times New Roman" w:cs="Times New Roman"/>
          <w:b/>
        </w:rPr>
      </w:pPr>
    </w:p>
    <w:p w14:paraId="4362D299">
      <w:pPr>
        <w:rPr>
          <w:rFonts w:ascii="Times New Roman" w:hAnsi="Times New Roman" w:cs="Times New Roman"/>
          <w:b/>
        </w:rPr>
      </w:pPr>
      <w:r>
        <w:rPr>
          <w:rFonts w:ascii="Times New Roman" w:hAnsi="Times New Roman" w:cs="Times New Roman"/>
          <w:b/>
        </w:rPr>
        <w:t>REFERENCES</w:t>
      </w:r>
    </w:p>
    <w:p w14:paraId="245DDCCF">
      <w:pPr>
        <w:rPr>
          <w:rFonts w:ascii="Times New Roman" w:hAnsi="Times New Roman" w:cs="Times New Roman"/>
          <w:b/>
        </w:rPr>
      </w:pPr>
    </w:p>
    <w:p w14:paraId="2B119E28">
      <w:pPr>
        <w:pStyle w:val="19"/>
        <w:rPr>
          <w:rFonts w:ascii="Times New Roman" w:hAnsi="Times New Roman" w:cs="Times New Roman"/>
        </w:rPr>
      </w:pPr>
      <w:r>
        <w:rPr>
          <w:b/>
        </w:rPr>
        <w:fldChar w:fldCharType="begin"/>
      </w:r>
      <w:r>
        <w:rPr>
          <w:b/>
        </w:rPr>
        <w:instrText xml:space="preserve"> ADDIN ZOTERO_BIBL {"uncited":[],"omitted":[],"custom":[]} CSL_BIBLIOGRAPHY </w:instrText>
      </w:r>
      <w:r>
        <w:rPr>
          <w:b/>
        </w:rPr>
        <w:fldChar w:fldCharType="separate"/>
      </w:r>
      <w:r>
        <w:rPr>
          <w:rFonts w:ascii="Times New Roman" w:hAnsi="Times New Roman" w:cs="Times New Roman"/>
        </w:rPr>
        <w:t xml:space="preserve">Afandi, G. E., Ismael, H., Fall, S., Ankumah, R., Afandi, G. E., Ismael, H., Fall, S., &amp; Ankumah, R. (2023). Effectiveness of Utilizing Remote Sensing and GIS Techniques to Estimate the Exposure to Organophosphate Pesticides Drift over Macon, Alabama. </w:t>
      </w:r>
      <w:r>
        <w:rPr>
          <w:rFonts w:ascii="Times New Roman" w:hAnsi="Times New Roman" w:cs="Times New Roman"/>
          <w:i/>
          <w:iCs/>
        </w:rPr>
        <w:t>Agronomy</w:t>
      </w:r>
      <w:r>
        <w:rPr>
          <w:rFonts w:ascii="Times New Roman" w:hAnsi="Times New Roman" w:cs="Times New Roman"/>
        </w:rPr>
        <w:t xml:space="preserve">, </w:t>
      </w:r>
      <w:r>
        <w:rPr>
          <w:rFonts w:ascii="Times New Roman" w:hAnsi="Times New Roman" w:cs="Times New Roman"/>
          <w:i/>
          <w:iCs/>
        </w:rPr>
        <w:t>13</w:t>
      </w:r>
      <w:r>
        <w:rPr>
          <w:rFonts w:ascii="Times New Roman" w:hAnsi="Times New Roman" w:cs="Times New Roman"/>
        </w:rPr>
        <w:t xml:space="preserve">(7). </w:t>
      </w:r>
      <w:bookmarkStart w:id="0" w:name="_GoBack"/>
      <w:bookmarkEnd w:id="0"/>
      <w:r>
        <w:rPr>
          <w:rFonts w:ascii="Times New Roman" w:hAnsi="Times New Roman" w:cs="Times New Roman"/>
        </w:rPr>
        <w:t>https://doi.org/10.3390/agronomy13071759</w:t>
      </w:r>
    </w:p>
    <w:p w14:paraId="10679512">
      <w:pPr>
        <w:pStyle w:val="19"/>
        <w:rPr>
          <w:rFonts w:ascii="Times New Roman" w:hAnsi="Times New Roman" w:cs="Times New Roman"/>
        </w:rPr>
      </w:pPr>
      <w:r>
        <w:rPr>
          <w:rFonts w:ascii="Times New Roman" w:hAnsi="Times New Roman" w:cs="Times New Roman"/>
        </w:rPr>
        <w:t xml:space="preserve">Animashaun, T. A., Sunday, O., Ogunleye, E., Agbahiwe, O. K., Afolayan, O. N., Okpoko, O. A., Enabulele, A. B. O., Enobakhare, B. O., &amp; Ifionu, E. S. (2025). AI-Powered Digital Twin Platforms for Next-Generation Structural Health Monitoring: From Concept to Intelligent Decision-Making. </w:t>
      </w:r>
      <w:r>
        <w:rPr>
          <w:rFonts w:ascii="Times New Roman" w:hAnsi="Times New Roman" w:cs="Times New Roman"/>
          <w:i/>
          <w:iCs/>
        </w:rPr>
        <w:t>Journal of Engineering Research and Reports</w:t>
      </w:r>
      <w:r>
        <w:rPr>
          <w:rFonts w:ascii="Times New Roman" w:hAnsi="Times New Roman" w:cs="Times New Roman"/>
        </w:rPr>
        <w:t xml:space="preserve">, </w:t>
      </w:r>
      <w:r>
        <w:rPr>
          <w:rFonts w:ascii="Times New Roman" w:hAnsi="Times New Roman" w:cs="Times New Roman"/>
          <w:i/>
          <w:iCs/>
        </w:rPr>
        <w:t>27</w:t>
      </w:r>
      <w:r>
        <w:rPr>
          <w:rFonts w:ascii="Times New Roman" w:hAnsi="Times New Roman" w:cs="Times New Roman"/>
        </w:rPr>
        <w:t>(10), 12–37. https://doi.org/10.9734/jerr/2025/v27i101652</w:t>
      </w:r>
    </w:p>
    <w:p w14:paraId="44B2B222">
      <w:pPr>
        <w:pStyle w:val="19"/>
        <w:rPr>
          <w:rFonts w:ascii="Times New Roman" w:hAnsi="Times New Roman" w:cs="Times New Roman"/>
        </w:rPr>
      </w:pPr>
      <w:r>
        <w:rPr>
          <w:rFonts w:ascii="Times New Roman" w:hAnsi="Times New Roman" w:cs="Times New Roman"/>
        </w:rPr>
        <w:t xml:space="preserve">Ashish Pandey. (2023). Study on the cancer by chemical pesticides exposure to pesticide applicators, farm workers and consumers: Urgent need for safer eco-friendly pesticides. </w:t>
      </w:r>
      <w:r>
        <w:rPr>
          <w:rFonts w:ascii="Times New Roman" w:hAnsi="Times New Roman" w:cs="Times New Roman"/>
          <w:i/>
          <w:iCs/>
        </w:rPr>
        <w:t>World Journal of Advanced Research and Reviews</w:t>
      </w:r>
      <w:r>
        <w:rPr>
          <w:rFonts w:ascii="Times New Roman" w:hAnsi="Times New Roman" w:cs="Times New Roman"/>
        </w:rPr>
        <w:t xml:space="preserve">, </w:t>
      </w:r>
      <w:r>
        <w:rPr>
          <w:rFonts w:ascii="Times New Roman" w:hAnsi="Times New Roman" w:cs="Times New Roman"/>
          <w:i/>
          <w:iCs/>
        </w:rPr>
        <w:t>17</w:t>
      </w:r>
      <w:r>
        <w:rPr>
          <w:rFonts w:ascii="Times New Roman" w:hAnsi="Times New Roman" w:cs="Times New Roman"/>
        </w:rPr>
        <w:t>(2), 121–125. https://doi.org/10.30574/wjarr.2023.17.2.0199</w:t>
      </w:r>
    </w:p>
    <w:p w14:paraId="0F633A66">
      <w:pPr>
        <w:pStyle w:val="19"/>
        <w:rPr>
          <w:rFonts w:ascii="Times New Roman" w:hAnsi="Times New Roman" w:cs="Times New Roman"/>
        </w:rPr>
      </w:pPr>
      <w:r>
        <w:rPr>
          <w:rFonts w:ascii="Times New Roman" w:hAnsi="Times New Roman" w:cs="Times New Roman"/>
        </w:rPr>
        <w:t xml:space="preserve">Augustin, J., Andrees, V., Walsh, D., Reintjes, R., Koller, D., Augustin, J., Andrees, V., Walsh, D., Reintjes, R., &amp; Koller, D. (2023). Spatial Aspects of Health—Developing a Conceptual Framework. </w:t>
      </w:r>
      <w:r>
        <w:rPr>
          <w:rFonts w:ascii="Times New Roman" w:hAnsi="Times New Roman" w:cs="Times New Roman"/>
          <w:i/>
          <w:iCs/>
        </w:rPr>
        <w:t>International Journal of Environmental Research and Public Health</w:t>
      </w:r>
      <w:r>
        <w:rPr>
          <w:rFonts w:ascii="Times New Roman" w:hAnsi="Times New Roman" w:cs="Times New Roman"/>
        </w:rPr>
        <w:t xml:space="preserve">, </w:t>
      </w:r>
      <w:r>
        <w:rPr>
          <w:rFonts w:ascii="Times New Roman" w:hAnsi="Times New Roman" w:cs="Times New Roman"/>
          <w:i/>
          <w:iCs/>
        </w:rPr>
        <w:t>20</w:t>
      </w:r>
      <w:r>
        <w:rPr>
          <w:rFonts w:ascii="Times New Roman" w:hAnsi="Times New Roman" w:cs="Times New Roman"/>
        </w:rPr>
        <w:t>(3). https://doi.org/10.3390/ijerph20031817</w:t>
      </w:r>
    </w:p>
    <w:p w14:paraId="32FB4805">
      <w:pPr>
        <w:pStyle w:val="19"/>
        <w:rPr>
          <w:rFonts w:ascii="Times New Roman" w:hAnsi="Times New Roman" w:cs="Times New Roman"/>
        </w:rPr>
      </w:pPr>
      <w:r>
        <w:rPr>
          <w:rFonts w:ascii="Times New Roman" w:hAnsi="Times New Roman" w:cs="Times New Roman"/>
        </w:rPr>
        <w:t xml:space="preserve">Baćmaga, M., Wyszkowska, J., &amp; Kucharski, J. (2024). Environmental Implication of Herbicide Use. </w:t>
      </w:r>
      <w:r>
        <w:rPr>
          <w:rFonts w:ascii="Times New Roman" w:hAnsi="Times New Roman" w:cs="Times New Roman"/>
          <w:i/>
          <w:iCs/>
        </w:rPr>
        <w:t>Molecules</w:t>
      </w:r>
      <w:r>
        <w:rPr>
          <w:rFonts w:ascii="Times New Roman" w:hAnsi="Times New Roman" w:cs="Times New Roman"/>
        </w:rPr>
        <w:t xml:space="preserve">, </w:t>
      </w:r>
      <w:r>
        <w:rPr>
          <w:rFonts w:ascii="Times New Roman" w:hAnsi="Times New Roman" w:cs="Times New Roman"/>
          <w:i/>
          <w:iCs/>
        </w:rPr>
        <w:t>29</w:t>
      </w:r>
      <w:r>
        <w:rPr>
          <w:rFonts w:ascii="Times New Roman" w:hAnsi="Times New Roman" w:cs="Times New Roman"/>
        </w:rPr>
        <w:t>(24), 5965. https://doi.org/10.3390/molecules29245965</w:t>
      </w:r>
    </w:p>
    <w:p w14:paraId="25BDC96B">
      <w:pPr>
        <w:pStyle w:val="19"/>
        <w:rPr>
          <w:rFonts w:ascii="Times New Roman" w:hAnsi="Times New Roman" w:cs="Times New Roman"/>
        </w:rPr>
      </w:pPr>
      <w:r>
        <w:rPr>
          <w:rFonts w:ascii="Times New Roman" w:hAnsi="Times New Roman" w:cs="Times New Roman"/>
        </w:rPr>
        <w:t xml:space="preserve">Chen, K.-C., Lee, S.-F., Lin, S.-W., Xie, J.-S., Chang, Y.-H., Yiin, L.-M., &amp; Hsieh, C.-J. (2023). Associations between residential proximity to agricultural land use as pesticides exposure and birth outcomes. </w:t>
      </w:r>
      <w:r>
        <w:rPr>
          <w:rFonts w:ascii="Times New Roman" w:hAnsi="Times New Roman" w:cs="Times New Roman"/>
          <w:i/>
          <w:iCs/>
        </w:rPr>
        <w:t>Environmental Science and Pollution Research International</w:t>
      </w:r>
      <w:r>
        <w:rPr>
          <w:rFonts w:ascii="Times New Roman" w:hAnsi="Times New Roman" w:cs="Times New Roman"/>
        </w:rPr>
        <w:t xml:space="preserve">, </w:t>
      </w:r>
      <w:r>
        <w:rPr>
          <w:rFonts w:ascii="Times New Roman" w:hAnsi="Times New Roman" w:cs="Times New Roman"/>
          <w:i/>
          <w:iCs/>
        </w:rPr>
        <w:t>30</w:t>
      </w:r>
      <w:r>
        <w:rPr>
          <w:rFonts w:ascii="Times New Roman" w:hAnsi="Times New Roman" w:cs="Times New Roman"/>
        </w:rPr>
        <w:t>(12), 33253–33263. https://doi.org/10.1007/s11356-022-24571-8</w:t>
      </w:r>
    </w:p>
    <w:p w14:paraId="2FA20F07">
      <w:pPr>
        <w:pStyle w:val="19"/>
        <w:rPr>
          <w:rFonts w:ascii="Times New Roman" w:hAnsi="Times New Roman" w:cs="Times New Roman"/>
        </w:rPr>
      </w:pPr>
      <w:r>
        <w:rPr>
          <w:rFonts w:ascii="Times New Roman" w:hAnsi="Times New Roman" w:cs="Times New Roman"/>
        </w:rPr>
        <w:t xml:space="preserve">Chiu, Y.-H. M., Coull, B. A., Wilson, A., Hsu, H.-H. L., Xhani, N., Nentin, F., Deli, B. C., Schwartz, J., Colicino, E., Wright, R. O., &amp; Wright, R. J. (2025). Air Pollution Mixture Exposure during Pregnancy and Postpartum Psychological Functioning: Racial/ethnic- and fetal sex-specific associations. </w:t>
      </w:r>
      <w:r>
        <w:rPr>
          <w:rFonts w:ascii="Times New Roman" w:hAnsi="Times New Roman" w:cs="Times New Roman"/>
          <w:i/>
          <w:iCs/>
        </w:rPr>
        <w:t>Journal of Exposure Science &amp; Environmental Epidemiology</w:t>
      </w:r>
      <w:r>
        <w:rPr>
          <w:rFonts w:ascii="Times New Roman" w:hAnsi="Times New Roman" w:cs="Times New Roman"/>
        </w:rPr>
        <w:t xml:space="preserve">, </w:t>
      </w:r>
      <w:r>
        <w:rPr>
          <w:rFonts w:ascii="Times New Roman" w:hAnsi="Times New Roman" w:cs="Times New Roman"/>
          <w:i/>
          <w:iCs/>
        </w:rPr>
        <w:t>35</w:t>
      </w:r>
      <w:r>
        <w:rPr>
          <w:rFonts w:ascii="Times New Roman" w:hAnsi="Times New Roman" w:cs="Times New Roman"/>
        </w:rPr>
        <w:t>(4), 548–556. https://doi.org/10.1038/s41370-024-00726-2</w:t>
      </w:r>
    </w:p>
    <w:p w14:paraId="4C766B8B">
      <w:pPr>
        <w:pStyle w:val="19"/>
        <w:rPr>
          <w:rFonts w:ascii="Times New Roman" w:hAnsi="Times New Roman" w:cs="Times New Roman"/>
        </w:rPr>
      </w:pPr>
      <w:r>
        <w:rPr>
          <w:rFonts w:ascii="Times New Roman" w:hAnsi="Times New Roman" w:cs="Times New Roman"/>
        </w:rPr>
        <w:t xml:space="preserve">Conejo-Bolaños, L. D., Mora, A. M., Hernández-Bonilla, D., Cano, J. C., Menezes-Filho, J. A., Eskenazi, B., Lindh, C. H., &amp; van Wendel de Joode, B. (2024). Prenatal current-use pesticide exposure and children’s neurodevelopment at one year of age in the Infants’ Environmental Health (ISA) birth cohort, Costa Rica. </w:t>
      </w:r>
      <w:r>
        <w:rPr>
          <w:rFonts w:ascii="Times New Roman" w:hAnsi="Times New Roman" w:cs="Times New Roman"/>
          <w:i/>
          <w:iCs/>
        </w:rPr>
        <w:t>Environmental Research</w:t>
      </w:r>
      <w:r>
        <w:rPr>
          <w:rFonts w:ascii="Times New Roman" w:hAnsi="Times New Roman" w:cs="Times New Roman"/>
        </w:rPr>
        <w:t xml:space="preserve">, </w:t>
      </w:r>
      <w:r>
        <w:rPr>
          <w:rFonts w:ascii="Times New Roman" w:hAnsi="Times New Roman" w:cs="Times New Roman"/>
          <w:i/>
          <w:iCs/>
        </w:rPr>
        <w:t>249</w:t>
      </w:r>
      <w:r>
        <w:rPr>
          <w:rFonts w:ascii="Times New Roman" w:hAnsi="Times New Roman" w:cs="Times New Roman"/>
        </w:rPr>
        <w:t>, 118222. https://doi.org/10.1016/j.envres.2024.118222</w:t>
      </w:r>
    </w:p>
    <w:p w14:paraId="06B89B6D">
      <w:pPr>
        <w:pStyle w:val="19"/>
        <w:rPr>
          <w:rFonts w:ascii="Times New Roman" w:hAnsi="Times New Roman" w:cs="Times New Roman"/>
        </w:rPr>
      </w:pPr>
      <w:r>
        <w:rPr>
          <w:rFonts w:ascii="Times New Roman" w:hAnsi="Times New Roman" w:cs="Times New Roman"/>
        </w:rPr>
        <w:t xml:space="preserve">Dallere, S., Rasà, D. M., Pavarino, G., Schellino, R., Vercelli, A., &amp; Boido, M. (2025). The exposome from neurodevelopment to neurodegeneration: A narrative review. </w:t>
      </w:r>
      <w:r>
        <w:rPr>
          <w:rFonts w:ascii="Times New Roman" w:hAnsi="Times New Roman" w:cs="Times New Roman"/>
          <w:i/>
          <w:iCs/>
        </w:rPr>
        <w:t>Neuroscience &amp; Biobehavioral Reviews</w:t>
      </w:r>
      <w:r>
        <w:rPr>
          <w:rFonts w:ascii="Times New Roman" w:hAnsi="Times New Roman" w:cs="Times New Roman"/>
        </w:rPr>
        <w:t xml:space="preserve">, </w:t>
      </w:r>
      <w:r>
        <w:rPr>
          <w:rFonts w:ascii="Times New Roman" w:hAnsi="Times New Roman" w:cs="Times New Roman"/>
          <w:i/>
          <w:iCs/>
        </w:rPr>
        <w:t>176</w:t>
      </w:r>
      <w:r>
        <w:rPr>
          <w:rFonts w:ascii="Times New Roman" w:hAnsi="Times New Roman" w:cs="Times New Roman"/>
        </w:rPr>
        <w:t>, 106247. https://doi.org/10.1016/j.neubiorev.2025.106247</w:t>
      </w:r>
    </w:p>
    <w:p w14:paraId="585E6251">
      <w:pPr>
        <w:pStyle w:val="19"/>
        <w:rPr>
          <w:rFonts w:ascii="Times New Roman" w:hAnsi="Times New Roman" w:cs="Times New Roman"/>
        </w:rPr>
      </w:pPr>
      <w:r>
        <w:rPr>
          <w:rFonts w:ascii="Times New Roman" w:hAnsi="Times New Roman" w:cs="Times New Roman"/>
        </w:rPr>
        <w:t xml:space="preserve">Deepika, D., Bharti, K., Sharma, S., Kumar, S., Pathak, R. K., Biosca Brull, J., Sabuz, O., García Vilana, S., &amp; Kumar, V. (2025). Advancing human health risk assessment: The role of new approach methodologies. </w:t>
      </w:r>
      <w:r>
        <w:rPr>
          <w:rFonts w:ascii="Times New Roman" w:hAnsi="Times New Roman" w:cs="Times New Roman"/>
          <w:i/>
          <w:iCs/>
        </w:rPr>
        <w:t>Frontiers in Toxicology</w:t>
      </w:r>
      <w:r>
        <w:rPr>
          <w:rFonts w:ascii="Times New Roman" w:hAnsi="Times New Roman" w:cs="Times New Roman"/>
        </w:rPr>
        <w:t xml:space="preserve">, </w:t>
      </w:r>
      <w:r>
        <w:rPr>
          <w:rFonts w:ascii="Times New Roman" w:hAnsi="Times New Roman" w:cs="Times New Roman"/>
          <w:i/>
          <w:iCs/>
        </w:rPr>
        <w:t>7</w:t>
      </w:r>
      <w:r>
        <w:rPr>
          <w:rFonts w:ascii="Times New Roman" w:hAnsi="Times New Roman" w:cs="Times New Roman"/>
        </w:rPr>
        <w:t>, 1632941. https://doi.org/10.3389/ftox.2025.1632941</w:t>
      </w:r>
    </w:p>
    <w:p w14:paraId="2BFE1BAE">
      <w:pPr>
        <w:pStyle w:val="19"/>
        <w:rPr>
          <w:rFonts w:ascii="Times New Roman" w:hAnsi="Times New Roman" w:cs="Times New Roman"/>
        </w:rPr>
      </w:pPr>
      <w:r>
        <w:rPr>
          <w:rFonts w:ascii="Times New Roman" w:hAnsi="Times New Roman" w:cs="Times New Roman"/>
        </w:rPr>
        <w:t xml:space="preserve">Desai, S., Morimoto, L. M., Kang, A. Y., Miller, M. D., Wiemels, J. L., Winestone, L. E., Metayer, C., Desai, S., Morimoto, L. M., Kang, A. Y., Miller, M. D., Wiemels, J. L., Winestone, L. E., &amp; Metayer, C. (2025). Pre- and Postnatal Exposures to Residential Pesticides and Survival of Childhood Acute Lymphoblastic Leukemia. </w:t>
      </w:r>
      <w:r>
        <w:rPr>
          <w:rFonts w:ascii="Times New Roman" w:hAnsi="Times New Roman" w:cs="Times New Roman"/>
          <w:i/>
          <w:iCs/>
        </w:rPr>
        <w:t>Cancers</w:t>
      </w:r>
      <w:r>
        <w:rPr>
          <w:rFonts w:ascii="Times New Roman" w:hAnsi="Times New Roman" w:cs="Times New Roman"/>
        </w:rPr>
        <w:t xml:space="preserve">, </w:t>
      </w:r>
      <w:r>
        <w:rPr>
          <w:rFonts w:ascii="Times New Roman" w:hAnsi="Times New Roman" w:cs="Times New Roman"/>
          <w:i/>
          <w:iCs/>
        </w:rPr>
        <w:t>17</w:t>
      </w:r>
      <w:r>
        <w:rPr>
          <w:rFonts w:ascii="Times New Roman" w:hAnsi="Times New Roman" w:cs="Times New Roman"/>
        </w:rPr>
        <w:t>(6). https://doi.org/10.3390/cancers17060978</w:t>
      </w:r>
    </w:p>
    <w:p w14:paraId="1D36E4B1">
      <w:pPr>
        <w:pStyle w:val="19"/>
        <w:rPr>
          <w:rFonts w:ascii="Times New Roman" w:hAnsi="Times New Roman" w:cs="Times New Roman"/>
        </w:rPr>
      </w:pPr>
      <w:r>
        <w:rPr>
          <w:rFonts w:ascii="Times New Roman" w:hAnsi="Times New Roman" w:cs="Times New Roman"/>
        </w:rPr>
        <w:t xml:space="preserve">Emeny, R. T., Butow, M. E., Titus, L., Ricci, A. M., Bagley, P. J., Blunt, H. B., Morgan, A., Alford-Teaster, J. A., Walston, R. R., &amp; Rees, J. R. (2025). Causes of Childhood Cancer: A Literature Review (2014–2021)—Part 3: Environmental and Occupational Factors. </w:t>
      </w:r>
      <w:r>
        <w:rPr>
          <w:rFonts w:ascii="Times New Roman" w:hAnsi="Times New Roman" w:cs="Times New Roman"/>
          <w:i/>
          <w:iCs/>
        </w:rPr>
        <w:t>Cancers</w:t>
      </w:r>
      <w:r>
        <w:rPr>
          <w:rFonts w:ascii="Times New Roman" w:hAnsi="Times New Roman" w:cs="Times New Roman"/>
        </w:rPr>
        <w:t xml:space="preserve">, </w:t>
      </w:r>
      <w:r>
        <w:rPr>
          <w:rFonts w:ascii="Times New Roman" w:hAnsi="Times New Roman" w:cs="Times New Roman"/>
          <w:i/>
          <w:iCs/>
        </w:rPr>
        <w:t>17</w:t>
      </w:r>
      <w:r>
        <w:rPr>
          <w:rFonts w:ascii="Times New Roman" w:hAnsi="Times New Roman" w:cs="Times New Roman"/>
        </w:rPr>
        <w:t>(21), 3516. https://doi.org/10.3390/cancers17213516</w:t>
      </w:r>
    </w:p>
    <w:p w14:paraId="01DDF157">
      <w:pPr>
        <w:pStyle w:val="19"/>
        <w:rPr>
          <w:rFonts w:ascii="Times New Roman" w:hAnsi="Times New Roman" w:cs="Times New Roman"/>
        </w:rPr>
      </w:pPr>
      <w:r>
        <w:rPr>
          <w:rFonts w:ascii="Times New Roman" w:hAnsi="Times New Roman" w:cs="Times New Roman"/>
        </w:rPr>
        <w:t xml:space="preserve">Enabulele, A. B. O., Omo-Enabulele, A. P., Borokinni, M., Iwerumoh, A. N., Olatunbosun, A., Enobakha, B. O., &amp; Ifionu, E. S. (2025). Agile Leadership in Hybrid Workplaces: Evolving Roles and Competencies of Project Managers. </w:t>
      </w:r>
      <w:r>
        <w:rPr>
          <w:rFonts w:ascii="Times New Roman" w:hAnsi="Times New Roman" w:cs="Times New Roman"/>
          <w:i/>
          <w:iCs/>
        </w:rPr>
        <w:t>Journal of Global Economics, Management and Business Research</w:t>
      </w:r>
      <w:r>
        <w:rPr>
          <w:rFonts w:ascii="Times New Roman" w:hAnsi="Times New Roman" w:cs="Times New Roman"/>
        </w:rPr>
        <w:t xml:space="preserve">, </w:t>
      </w:r>
      <w:r>
        <w:rPr>
          <w:rFonts w:ascii="Times New Roman" w:hAnsi="Times New Roman" w:cs="Times New Roman"/>
          <w:i/>
          <w:iCs/>
        </w:rPr>
        <w:t>17</w:t>
      </w:r>
      <w:r>
        <w:rPr>
          <w:rFonts w:ascii="Times New Roman" w:hAnsi="Times New Roman" w:cs="Times New Roman"/>
        </w:rPr>
        <w:t>(3), 211–225. https://doi.org/10.56557/jgembr/2025/v17i39756</w:t>
      </w:r>
    </w:p>
    <w:p w14:paraId="137E7DF0">
      <w:pPr>
        <w:pStyle w:val="19"/>
        <w:rPr>
          <w:rFonts w:ascii="Times New Roman" w:hAnsi="Times New Roman" w:cs="Times New Roman"/>
        </w:rPr>
      </w:pPr>
      <w:r>
        <w:rPr>
          <w:rFonts w:ascii="Times New Roman" w:hAnsi="Times New Roman" w:cs="Times New Roman"/>
        </w:rPr>
        <w:t xml:space="preserve">Fiedler, N., Nimmapirat, P., Sullivan, M. W., Promduang, W., Chaikittipornlert, N., Prapamontol, T., Naksen, W., Panuwet, P., Barr, D. B., Baumert, B. O., Ohman-Strickland, P., &amp; Suttiwan, P. (2025). A birth cohort observational study to assess the association of prenatal biomarkers of organophosphates with visual attention, recognition memory and information processing among Thai infants. </w:t>
      </w:r>
      <w:r>
        <w:rPr>
          <w:rFonts w:ascii="Times New Roman" w:hAnsi="Times New Roman" w:cs="Times New Roman"/>
          <w:i/>
          <w:iCs/>
        </w:rPr>
        <w:t>Environmental Research</w:t>
      </w:r>
      <w:r>
        <w:rPr>
          <w:rFonts w:ascii="Times New Roman" w:hAnsi="Times New Roman" w:cs="Times New Roman"/>
        </w:rPr>
        <w:t xml:space="preserve">, </w:t>
      </w:r>
      <w:r>
        <w:rPr>
          <w:rFonts w:ascii="Times New Roman" w:hAnsi="Times New Roman" w:cs="Times New Roman"/>
          <w:i/>
          <w:iCs/>
        </w:rPr>
        <w:t>274</w:t>
      </w:r>
      <w:r>
        <w:rPr>
          <w:rFonts w:ascii="Times New Roman" w:hAnsi="Times New Roman" w:cs="Times New Roman"/>
        </w:rPr>
        <w:t>, 121197. https://doi.org/10.1016/j.envres.2025.121197</w:t>
      </w:r>
    </w:p>
    <w:p w14:paraId="4914FDDC">
      <w:pPr>
        <w:pStyle w:val="19"/>
        <w:rPr>
          <w:rFonts w:ascii="Times New Roman" w:hAnsi="Times New Roman" w:cs="Times New Roman"/>
        </w:rPr>
      </w:pPr>
      <w:r>
        <w:rPr>
          <w:rFonts w:ascii="Times New Roman" w:hAnsi="Times New Roman" w:cs="Times New Roman"/>
        </w:rPr>
        <w:t xml:space="preserve">Figueiredo, D. M., Mu, H., Osman, R., Silva, V., Graumans, M., van Dael, M., Balkhi, S. E., Mol, H., Huss, A., Vermeulen, R., Hofman, J., Abrantes, N., Campos, I., Alcon, F., Contreras, J., Baldi, I., Bureau, M., Alaoui, A., Christ, F., … Scheepers, P. T. J. (2025). Non-dietary personal pesticide exposure using silicone wristbands across 10 European countries. </w:t>
      </w:r>
      <w:r>
        <w:rPr>
          <w:rFonts w:ascii="Times New Roman" w:hAnsi="Times New Roman" w:cs="Times New Roman"/>
          <w:i/>
          <w:iCs/>
        </w:rPr>
        <w:t>Environment International</w:t>
      </w:r>
      <w:r>
        <w:rPr>
          <w:rFonts w:ascii="Times New Roman" w:hAnsi="Times New Roman" w:cs="Times New Roman"/>
        </w:rPr>
        <w:t xml:space="preserve">, </w:t>
      </w:r>
      <w:r>
        <w:rPr>
          <w:rFonts w:ascii="Times New Roman" w:hAnsi="Times New Roman" w:cs="Times New Roman"/>
          <w:i/>
          <w:iCs/>
        </w:rPr>
        <w:t>203</w:t>
      </w:r>
      <w:r>
        <w:rPr>
          <w:rFonts w:ascii="Times New Roman" w:hAnsi="Times New Roman" w:cs="Times New Roman"/>
        </w:rPr>
        <w:t>, 109734. https://doi.org/10.1016/j.envint.2025.109734</w:t>
      </w:r>
    </w:p>
    <w:p w14:paraId="621046AA">
      <w:pPr>
        <w:pStyle w:val="19"/>
        <w:rPr>
          <w:rFonts w:ascii="Times New Roman" w:hAnsi="Times New Roman" w:cs="Times New Roman"/>
        </w:rPr>
      </w:pPr>
      <w:r>
        <w:rPr>
          <w:rFonts w:ascii="Times New Roman" w:hAnsi="Times New Roman" w:cs="Times New Roman"/>
        </w:rPr>
        <w:t xml:space="preserve">Gerken, J., Vincent, G. T., Zapata, D., Barron, I. G., &amp; Zapata, I. (2024). Comprehensive assessment of pesticide use patterns and increased cancer risk. </w:t>
      </w:r>
      <w:r>
        <w:rPr>
          <w:rFonts w:ascii="Times New Roman" w:hAnsi="Times New Roman" w:cs="Times New Roman"/>
          <w:i/>
          <w:iCs/>
        </w:rPr>
        <w:t>Frontiers in Cancer Control and Society</w:t>
      </w:r>
      <w:r>
        <w:rPr>
          <w:rFonts w:ascii="Times New Roman" w:hAnsi="Times New Roman" w:cs="Times New Roman"/>
        </w:rPr>
        <w:t xml:space="preserve">, </w:t>
      </w:r>
      <w:r>
        <w:rPr>
          <w:rFonts w:ascii="Times New Roman" w:hAnsi="Times New Roman" w:cs="Times New Roman"/>
          <w:i/>
          <w:iCs/>
        </w:rPr>
        <w:t>2</w:t>
      </w:r>
      <w:r>
        <w:rPr>
          <w:rFonts w:ascii="Times New Roman" w:hAnsi="Times New Roman" w:cs="Times New Roman"/>
        </w:rPr>
        <w:t>. https://doi.org/10.3389/fcacs.2024.1368086</w:t>
      </w:r>
    </w:p>
    <w:p w14:paraId="4A8A6EDE">
      <w:pPr>
        <w:pStyle w:val="19"/>
        <w:rPr>
          <w:rFonts w:ascii="Times New Roman" w:hAnsi="Times New Roman" w:cs="Times New Roman"/>
        </w:rPr>
      </w:pPr>
      <w:r>
        <w:rPr>
          <w:rFonts w:ascii="Times New Roman" w:hAnsi="Times New Roman" w:cs="Times New Roman"/>
        </w:rPr>
        <w:t xml:space="preserve">Jerrett, M., Gale, S., Kontgis, C., Jerrett, M., Gale, S., &amp; Kontgis, C. (2010). Spatial Modeling in Environmental and Public Health Research. </w:t>
      </w:r>
      <w:r>
        <w:rPr>
          <w:rFonts w:ascii="Times New Roman" w:hAnsi="Times New Roman" w:cs="Times New Roman"/>
          <w:i/>
          <w:iCs/>
        </w:rPr>
        <w:t>International Journal of Environmental Research and Public Health</w:t>
      </w:r>
      <w:r>
        <w:rPr>
          <w:rFonts w:ascii="Times New Roman" w:hAnsi="Times New Roman" w:cs="Times New Roman"/>
        </w:rPr>
        <w:t xml:space="preserve">, </w:t>
      </w:r>
      <w:r>
        <w:rPr>
          <w:rFonts w:ascii="Times New Roman" w:hAnsi="Times New Roman" w:cs="Times New Roman"/>
          <w:i/>
          <w:iCs/>
        </w:rPr>
        <w:t>7</w:t>
      </w:r>
      <w:r>
        <w:rPr>
          <w:rFonts w:ascii="Times New Roman" w:hAnsi="Times New Roman" w:cs="Times New Roman"/>
        </w:rPr>
        <w:t>(4), 1302–1329. https://doi.org/10.3390/ijerph7041302</w:t>
      </w:r>
    </w:p>
    <w:p w14:paraId="3140AAEC">
      <w:pPr>
        <w:pStyle w:val="19"/>
        <w:rPr>
          <w:rFonts w:ascii="Times New Roman" w:hAnsi="Times New Roman" w:cs="Times New Roman"/>
        </w:rPr>
      </w:pPr>
      <w:r>
        <w:rPr>
          <w:rFonts w:ascii="Times New Roman" w:hAnsi="Times New Roman" w:cs="Times New Roman"/>
        </w:rPr>
        <w:t xml:space="preserve">Jurkowska, R. Z. (2024). Role of epigenetic mechanisms in the pathogenesis of chronic respiratory diseases and response to inhaled exposures: From basic concepts to clinical applications. </w:t>
      </w:r>
      <w:r>
        <w:rPr>
          <w:rFonts w:ascii="Times New Roman" w:hAnsi="Times New Roman" w:cs="Times New Roman"/>
          <w:i/>
          <w:iCs/>
        </w:rPr>
        <w:t>Pharmacology &amp; Therapeutics</w:t>
      </w:r>
      <w:r>
        <w:rPr>
          <w:rFonts w:ascii="Times New Roman" w:hAnsi="Times New Roman" w:cs="Times New Roman"/>
        </w:rPr>
        <w:t xml:space="preserve">, </w:t>
      </w:r>
      <w:r>
        <w:rPr>
          <w:rFonts w:ascii="Times New Roman" w:hAnsi="Times New Roman" w:cs="Times New Roman"/>
          <w:i/>
          <w:iCs/>
        </w:rPr>
        <w:t>264</w:t>
      </w:r>
      <w:r>
        <w:rPr>
          <w:rFonts w:ascii="Times New Roman" w:hAnsi="Times New Roman" w:cs="Times New Roman"/>
        </w:rPr>
        <w:t>, 108732. https://doi.org/10.1016/j.pharmthera.2024.108732</w:t>
      </w:r>
    </w:p>
    <w:p w14:paraId="241228FC">
      <w:pPr>
        <w:pStyle w:val="19"/>
        <w:rPr>
          <w:rFonts w:ascii="Times New Roman" w:hAnsi="Times New Roman" w:cs="Times New Roman"/>
        </w:rPr>
      </w:pPr>
      <w:r>
        <w:rPr>
          <w:rFonts w:ascii="Times New Roman" w:hAnsi="Times New Roman" w:cs="Times New Roman"/>
        </w:rPr>
        <w:t xml:space="preserve">Karalexi, M. A., Tagkas, C. F., Markozannes, G., Tseretopoulou, X., Hernández, A. F., Schüz, J., Halldorsson, T. I., Psaltopoulou, T., Petridou, E. T., Tzoulaki, I., &amp; Ntzani, E. E. (2021a). Exposure to pesticides and childhood leukemia risk: A systematic review and meta-analysis. </w:t>
      </w:r>
      <w:r>
        <w:rPr>
          <w:rFonts w:ascii="Times New Roman" w:hAnsi="Times New Roman" w:cs="Times New Roman"/>
          <w:i/>
          <w:iCs/>
        </w:rPr>
        <w:t>Environmental Pollution</w:t>
      </w:r>
      <w:r>
        <w:rPr>
          <w:rFonts w:ascii="Times New Roman" w:hAnsi="Times New Roman" w:cs="Times New Roman"/>
        </w:rPr>
        <w:t xml:space="preserve">, </w:t>
      </w:r>
      <w:r>
        <w:rPr>
          <w:rFonts w:ascii="Times New Roman" w:hAnsi="Times New Roman" w:cs="Times New Roman"/>
          <w:i/>
          <w:iCs/>
        </w:rPr>
        <w:t>285</w:t>
      </w:r>
      <w:r>
        <w:rPr>
          <w:rFonts w:ascii="Times New Roman" w:hAnsi="Times New Roman" w:cs="Times New Roman"/>
        </w:rPr>
        <w:t>, 117376. https://doi.org/10.1016/j.envpol.2021.117376</w:t>
      </w:r>
    </w:p>
    <w:p w14:paraId="47DD4FAB">
      <w:pPr>
        <w:pStyle w:val="19"/>
        <w:rPr>
          <w:rFonts w:ascii="Times New Roman" w:hAnsi="Times New Roman" w:cs="Times New Roman"/>
        </w:rPr>
      </w:pPr>
      <w:r>
        <w:rPr>
          <w:rFonts w:ascii="Times New Roman" w:hAnsi="Times New Roman" w:cs="Times New Roman"/>
        </w:rPr>
        <w:t xml:space="preserve">Karalexi, M. A., Tagkas, C. F., Markozannes, G., Tseretopoulou, X., Hernández, A. F., Schüz, J., Halldorsson, T. I., Psaltopoulou, T., Petridou, E. T., Tzoulaki, I., &amp; Ntzani, E. E. (2021b). Exposure to pesticides and childhood leukemia risk: A systematic review and meta-analysis. </w:t>
      </w:r>
      <w:r>
        <w:rPr>
          <w:rFonts w:ascii="Times New Roman" w:hAnsi="Times New Roman" w:cs="Times New Roman"/>
          <w:i/>
          <w:iCs/>
        </w:rPr>
        <w:t>Environmental Pollution (Barking, Essex: 1987)</w:t>
      </w:r>
      <w:r>
        <w:rPr>
          <w:rFonts w:ascii="Times New Roman" w:hAnsi="Times New Roman" w:cs="Times New Roman"/>
        </w:rPr>
        <w:t xml:space="preserve">, </w:t>
      </w:r>
      <w:r>
        <w:rPr>
          <w:rFonts w:ascii="Times New Roman" w:hAnsi="Times New Roman" w:cs="Times New Roman"/>
          <w:i/>
          <w:iCs/>
        </w:rPr>
        <w:t>285</w:t>
      </w:r>
      <w:r>
        <w:rPr>
          <w:rFonts w:ascii="Times New Roman" w:hAnsi="Times New Roman" w:cs="Times New Roman"/>
        </w:rPr>
        <w:t>, 117376. https://doi.org/10.1016/j.envpol.2021.117376</w:t>
      </w:r>
    </w:p>
    <w:p w14:paraId="472DD55B">
      <w:pPr>
        <w:pStyle w:val="19"/>
        <w:rPr>
          <w:rFonts w:ascii="Times New Roman" w:hAnsi="Times New Roman" w:cs="Times New Roman"/>
        </w:rPr>
      </w:pPr>
      <w:r>
        <w:rPr>
          <w:rFonts w:ascii="Times New Roman" w:hAnsi="Times New Roman" w:cs="Times New Roman"/>
        </w:rPr>
        <w:t xml:space="preserve">Khan, K. M., Gaine, M. E., Daniel, A. R., Chilamkuri, P., &amp; Rohlman, D. S. (2024). Organophosphorus pesticide exposure from house dust and parent-reported child behavior in Latino children from an orchard community. </w:t>
      </w:r>
      <w:r>
        <w:rPr>
          <w:rFonts w:ascii="Times New Roman" w:hAnsi="Times New Roman" w:cs="Times New Roman"/>
          <w:i/>
          <w:iCs/>
        </w:rPr>
        <w:t>Neurotoxicology</w:t>
      </w:r>
      <w:r>
        <w:rPr>
          <w:rFonts w:ascii="Times New Roman" w:hAnsi="Times New Roman" w:cs="Times New Roman"/>
        </w:rPr>
        <w:t xml:space="preserve">, </w:t>
      </w:r>
      <w:r>
        <w:rPr>
          <w:rFonts w:ascii="Times New Roman" w:hAnsi="Times New Roman" w:cs="Times New Roman"/>
          <w:i/>
          <w:iCs/>
        </w:rPr>
        <w:t>102</w:t>
      </w:r>
      <w:r>
        <w:rPr>
          <w:rFonts w:ascii="Times New Roman" w:hAnsi="Times New Roman" w:cs="Times New Roman"/>
        </w:rPr>
        <w:t>, 29–36. https://doi.org/10.1016/j.neuro.2024.03.001</w:t>
      </w:r>
    </w:p>
    <w:p w14:paraId="5CBEFD88">
      <w:pPr>
        <w:pStyle w:val="19"/>
        <w:rPr>
          <w:rFonts w:ascii="Times New Roman" w:hAnsi="Times New Roman" w:cs="Times New Roman"/>
        </w:rPr>
      </w:pPr>
      <w:r>
        <w:rPr>
          <w:rFonts w:ascii="Times New Roman" w:hAnsi="Times New Roman" w:cs="Times New Roman"/>
        </w:rPr>
        <w:t xml:space="preserve">Lawal, O. P., Adedayo, O. A., Dorcas, S. I., Akanbi, O. O., Okafor, B. C., Kanu, I., Sone, P. E., Patrick, J. O., Fabiyi, T. O., Adeyemi, B. I., Oziegbe, E. E., &amp; Busari, A. M. (2025). Biomarkers for Tuberculosis Diagnosis and Monitoring: A Review of Translational Progress. </w:t>
      </w:r>
      <w:r>
        <w:rPr>
          <w:rFonts w:ascii="Times New Roman" w:hAnsi="Times New Roman" w:cs="Times New Roman"/>
          <w:i/>
          <w:iCs/>
        </w:rPr>
        <w:t>Asian Journal of Microbiology and Biotechnology</w:t>
      </w:r>
      <w:r>
        <w:rPr>
          <w:rFonts w:ascii="Times New Roman" w:hAnsi="Times New Roman" w:cs="Times New Roman"/>
        </w:rPr>
        <w:t xml:space="preserve">, </w:t>
      </w:r>
      <w:r>
        <w:rPr>
          <w:rFonts w:ascii="Times New Roman" w:hAnsi="Times New Roman" w:cs="Times New Roman"/>
          <w:i/>
          <w:iCs/>
        </w:rPr>
        <w:t>10</w:t>
      </w:r>
      <w:r>
        <w:rPr>
          <w:rFonts w:ascii="Times New Roman" w:hAnsi="Times New Roman" w:cs="Times New Roman"/>
        </w:rPr>
        <w:t>(1), 115–130. https://doi.org/10.56557/ajmab/2025/v10i19351</w:t>
      </w:r>
    </w:p>
    <w:p w14:paraId="57A18CC6">
      <w:pPr>
        <w:pStyle w:val="19"/>
        <w:rPr>
          <w:rFonts w:ascii="Times New Roman" w:hAnsi="Times New Roman" w:cs="Times New Roman"/>
        </w:rPr>
      </w:pPr>
      <w:r>
        <w:rPr>
          <w:rFonts w:ascii="Times New Roman" w:hAnsi="Times New Roman" w:cs="Times New Roman"/>
        </w:rPr>
        <w:t xml:space="preserve">Lawal, O. P., Igwe, E. P., Olosunde, A., Chisom, E. P., Okeh, D. U., Olowookere, A. K., Adedayo, O. A., Agu, C. P., Mustapha, F. A., Odubo, F., &amp; Orobator, E. T. (2025). Integrating Real-Time Data and Machine Learning in Predicting Infectious Disease Outbreaks: Enhancing Response Strategies in Sub-Saharan Africa. </w:t>
      </w:r>
      <w:r>
        <w:rPr>
          <w:rFonts w:ascii="Times New Roman" w:hAnsi="Times New Roman" w:cs="Times New Roman"/>
          <w:i/>
          <w:iCs/>
        </w:rPr>
        <w:t>Asian Journal of Microbiology and Biotechnology</w:t>
      </w:r>
      <w:r>
        <w:rPr>
          <w:rFonts w:ascii="Times New Roman" w:hAnsi="Times New Roman" w:cs="Times New Roman"/>
        </w:rPr>
        <w:t xml:space="preserve">, </w:t>
      </w:r>
      <w:r>
        <w:rPr>
          <w:rFonts w:ascii="Times New Roman" w:hAnsi="Times New Roman" w:cs="Times New Roman"/>
          <w:i/>
          <w:iCs/>
        </w:rPr>
        <w:t>10</w:t>
      </w:r>
      <w:r>
        <w:rPr>
          <w:rFonts w:ascii="Times New Roman" w:hAnsi="Times New Roman" w:cs="Times New Roman"/>
        </w:rPr>
        <w:t>(1), 147–163. https://doi.org/10.56557/ajmab/2025/v10i19371</w:t>
      </w:r>
    </w:p>
    <w:p w14:paraId="79CF8657">
      <w:pPr>
        <w:pStyle w:val="19"/>
        <w:rPr>
          <w:rFonts w:ascii="Times New Roman" w:hAnsi="Times New Roman" w:cs="Times New Roman"/>
        </w:rPr>
      </w:pPr>
      <w:r>
        <w:rPr>
          <w:rFonts w:ascii="Times New Roman" w:hAnsi="Times New Roman" w:cs="Times New Roman"/>
        </w:rPr>
        <w:t xml:space="preserve">López-Flores, I., González-Alzaga, B., Romero-Molina, D., Hernández, A. F., Pérez-Luzardo, O., Acosta-Dacal, A., Macías-Montes, A., Henríquez-Hernández, L. A., Boada, L. D., Pelegrí, D., González, J. R., &amp; Lacasaña, M. (2025). Gestational exposure to organophosphate pesticides and maternal urine metabolomic profile in the GENEIDA birth cohort. </w:t>
      </w:r>
      <w:r>
        <w:rPr>
          <w:rFonts w:ascii="Times New Roman" w:hAnsi="Times New Roman" w:cs="Times New Roman"/>
          <w:i/>
          <w:iCs/>
        </w:rPr>
        <w:t>Environmental Toxicology and Pharmacology</w:t>
      </w:r>
      <w:r>
        <w:rPr>
          <w:rFonts w:ascii="Times New Roman" w:hAnsi="Times New Roman" w:cs="Times New Roman"/>
        </w:rPr>
        <w:t xml:space="preserve">, </w:t>
      </w:r>
      <w:r>
        <w:rPr>
          <w:rFonts w:ascii="Times New Roman" w:hAnsi="Times New Roman" w:cs="Times New Roman"/>
          <w:i/>
          <w:iCs/>
        </w:rPr>
        <w:t>118</w:t>
      </w:r>
      <w:r>
        <w:rPr>
          <w:rFonts w:ascii="Times New Roman" w:hAnsi="Times New Roman" w:cs="Times New Roman"/>
        </w:rPr>
        <w:t>, 104793. https://doi.org/10.1016/j.etap.2025.104793</w:t>
      </w:r>
    </w:p>
    <w:p w14:paraId="6B640FC2">
      <w:pPr>
        <w:pStyle w:val="19"/>
        <w:rPr>
          <w:rFonts w:ascii="Times New Roman" w:hAnsi="Times New Roman" w:cs="Times New Roman"/>
        </w:rPr>
      </w:pPr>
      <w:r>
        <w:rPr>
          <w:rFonts w:ascii="Times New Roman" w:hAnsi="Times New Roman" w:cs="Times New Roman"/>
        </w:rPr>
        <w:t xml:space="preserve">Ma, J., Liu, S., &amp; Pei, Y. (2025). SHAP-based interpretable machine learning for injury risk prediction in university football players: A multi-dimensional data analysis approach. </w:t>
      </w:r>
      <w:r>
        <w:rPr>
          <w:rFonts w:ascii="Times New Roman" w:hAnsi="Times New Roman" w:cs="Times New Roman"/>
          <w:i/>
          <w:iCs/>
        </w:rPr>
        <w:t>Scientific Reports</w:t>
      </w:r>
      <w:r>
        <w:rPr>
          <w:rFonts w:ascii="Times New Roman" w:hAnsi="Times New Roman" w:cs="Times New Roman"/>
        </w:rPr>
        <w:t xml:space="preserve">, </w:t>
      </w:r>
      <w:r>
        <w:rPr>
          <w:rFonts w:ascii="Times New Roman" w:hAnsi="Times New Roman" w:cs="Times New Roman"/>
          <w:i/>
          <w:iCs/>
        </w:rPr>
        <w:t>15</w:t>
      </w:r>
      <w:r>
        <w:rPr>
          <w:rFonts w:ascii="Times New Roman" w:hAnsi="Times New Roman" w:cs="Times New Roman"/>
        </w:rPr>
        <w:t>(1), 40252. https://doi.org/10.1038/s41598-025-24144-y</w:t>
      </w:r>
    </w:p>
    <w:p w14:paraId="6F76747A">
      <w:pPr>
        <w:pStyle w:val="19"/>
        <w:rPr>
          <w:rFonts w:ascii="Times New Roman" w:hAnsi="Times New Roman" w:cs="Times New Roman"/>
        </w:rPr>
      </w:pPr>
      <w:r>
        <w:rPr>
          <w:rFonts w:ascii="Times New Roman" w:hAnsi="Times New Roman" w:cs="Times New Roman"/>
        </w:rPr>
        <w:t xml:space="preserve">Malashin, I., Tynchenko, V., Gantimurov, A., Nelyub, V., Borodulin, A., Malashin, I., Tynchenko, V., Gantimurov, A., Nelyub, V., &amp; Borodulin, A. (2025). Boosting-Based Machine Learning Applications in Polymer Science: A Review. </w:t>
      </w:r>
      <w:r>
        <w:rPr>
          <w:rFonts w:ascii="Times New Roman" w:hAnsi="Times New Roman" w:cs="Times New Roman"/>
          <w:i/>
          <w:iCs/>
        </w:rPr>
        <w:t>Polymers</w:t>
      </w:r>
      <w:r>
        <w:rPr>
          <w:rFonts w:ascii="Times New Roman" w:hAnsi="Times New Roman" w:cs="Times New Roman"/>
        </w:rPr>
        <w:t xml:space="preserve">, </w:t>
      </w:r>
      <w:r>
        <w:rPr>
          <w:rFonts w:ascii="Times New Roman" w:hAnsi="Times New Roman" w:cs="Times New Roman"/>
          <w:i/>
          <w:iCs/>
        </w:rPr>
        <w:t>17</w:t>
      </w:r>
      <w:r>
        <w:rPr>
          <w:rFonts w:ascii="Times New Roman" w:hAnsi="Times New Roman" w:cs="Times New Roman"/>
        </w:rPr>
        <w:t>(4). https://doi.org/10.3390/polym17040499</w:t>
      </w:r>
    </w:p>
    <w:p w14:paraId="2CB8CE20">
      <w:pPr>
        <w:pStyle w:val="19"/>
        <w:rPr>
          <w:rFonts w:ascii="Times New Roman" w:hAnsi="Times New Roman" w:cs="Times New Roman"/>
        </w:rPr>
      </w:pPr>
      <w:r>
        <w:rPr>
          <w:rFonts w:ascii="Times New Roman" w:hAnsi="Times New Roman" w:cs="Times New Roman"/>
        </w:rPr>
        <w:t xml:space="preserve">Mijač, S., Banić, I., Genc, A.-M., Lipej, M., Turkalj, M., Mijač, S., Banić, I., Genc, A.-M., Lipej, M., &amp; Turkalj, M. (2024). The Effects of Environmental Exposure on Epigenetic Modifications in Allergic Diseases. </w:t>
      </w:r>
      <w:r>
        <w:rPr>
          <w:rFonts w:ascii="Times New Roman" w:hAnsi="Times New Roman" w:cs="Times New Roman"/>
          <w:i/>
          <w:iCs/>
        </w:rPr>
        <w:t>Medicina</w:t>
      </w:r>
      <w:r>
        <w:rPr>
          <w:rFonts w:ascii="Times New Roman" w:hAnsi="Times New Roman" w:cs="Times New Roman"/>
        </w:rPr>
        <w:t xml:space="preserve">, </w:t>
      </w:r>
      <w:r>
        <w:rPr>
          <w:rFonts w:ascii="Times New Roman" w:hAnsi="Times New Roman" w:cs="Times New Roman"/>
          <w:i/>
          <w:iCs/>
        </w:rPr>
        <w:t>60</w:t>
      </w:r>
      <w:r>
        <w:rPr>
          <w:rFonts w:ascii="Times New Roman" w:hAnsi="Times New Roman" w:cs="Times New Roman"/>
        </w:rPr>
        <w:t>(1). https://doi.org/10.3390/medicina60010110</w:t>
      </w:r>
    </w:p>
    <w:p w14:paraId="0F92FBCE">
      <w:pPr>
        <w:pStyle w:val="19"/>
        <w:rPr>
          <w:rFonts w:ascii="Times New Roman" w:hAnsi="Times New Roman" w:cs="Times New Roman"/>
        </w:rPr>
      </w:pPr>
      <w:r>
        <w:rPr>
          <w:rFonts w:ascii="Times New Roman" w:hAnsi="Times New Roman" w:cs="Times New Roman"/>
        </w:rPr>
        <w:t xml:space="preserve">Muñoz-Bautista, J. M., Bernal-Mercado, A. T., Martínez-Cruz, O., Burgos-Hernández, A., López-Zavala, A. A., Ruiz-Cruz, S., Ornelas-Paz, J. de J., Borboa-Flores, J., Ramos-Enríquez, J. R., Del-Toro-Sánchez, C. L., Muñoz-Bautista, J. M., Bernal-Mercado, A. T., Martínez-Cruz, O., Burgos-Hernández, A., López-Zavala, A. A., Ruiz-Cruz, S., Ornelas-Paz, J. de J., Borboa-Flores, J., Ramos-Enríquez, J. R., &amp; Del-Toro-Sánchez, C. L. (2025). Environmental and Health Impacts of Pesticides and Nanotechnology as an Alternative in Agriculture. </w:t>
      </w:r>
      <w:r>
        <w:rPr>
          <w:rFonts w:ascii="Times New Roman" w:hAnsi="Times New Roman" w:cs="Times New Roman"/>
          <w:i/>
          <w:iCs/>
        </w:rPr>
        <w:t>Agronomy</w:t>
      </w:r>
      <w:r>
        <w:rPr>
          <w:rFonts w:ascii="Times New Roman" w:hAnsi="Times New Roman" w:cs="Times New Roman"/>
        </w:rPr>
        <w:t xml:space="preserve">, </w:t>
      </w:r>
      <w:r>
        <w:rPr>
          <w:rFonts w:ascii="Times New Roman" w:hAnsi="Times New Roman" w:cs="Times New Roman"/>
          <w:i/>
          <w:iCs/>
        </w:rPr>
        <w:t>15</w:t>
      </w:r>
      <w:r>
        <w:rPr>
          <w:rFonts w:ascii="Times New Roman" w:hAnsi="Times New Roman" w:cs="Times New Roman"/>
        </w:rPr>
        <w:t>(8). https://doi.org/10.3390/agronomy15081878</w:t>
      </w:r>
    </w:p>
    <w:p w14:paraId="5A050568">
      <w:pPr>
        <w:pStyle w:val="19"/>
        <w:rPr>
          <w:rFonts w:ascii="Times New Roman" w:hAnsi="Times New Roman" w:cs="Times New Roman"/>
        </w:rPr>
      </w:pPr>
      <w:r>
        <w:rPr>
          <w:rFonts w:ascii="Times New Roman" w:hAnsi="Times New Roman" w:cs="Times New Roman"/>
        </w:rPr>
        <w:t xml:space="preserve">Norvivor, F. A., Peprah, E. K., Danso, D., &amp; Konutse, O. W. (2025). Occupational pesticide exposure and safety assessment among farmers in Hohoe municipality: An ethnographic qualitative study. </w:t>
      </w:r>
      <w:r>
        <w:rPr>
          <w:rFonts w:ascii="Times New Roman" w:hAnsi="Times New Roman" w:cs="Times New Roman"/>
          <w:i/>
          <w:iCs/>
        </w:rPr>
        <w:t>PLOS ONE</w:t>
      </w:r>
      <w:r>
        <w:rPr>
          <w:rFonts w:ascii="Times New Roman" w:hAnsi="Times New Roman" w:cs="Times New Roman"/>
        </w:rPr>
        <w:t xml:space="preserve">, </w:t>
      </w:r>
      <w:r>
        <w:rPr>
          <w:rFonts w:ascii="Times New Roman" w:hAnsi="Times New Roman" w:cs="Times New Roman"/>
          <w:i/>
          <w:iCs/>
        </w:rPr>
        <w:t>20</w:t>
      </w:r>
      <w:r>
        <w:rPr>
          <w:rFonts w:ascii="Times New Roman" w:hAnsi="Times New Roman" w:cs="Times New Roman"/>
        </w:rPr>
        <w:t>(12), e0337693. https://doi.org/10.1371/journal.pone.0337693</w:t>
      </w:r>
    </w:p>
    <w:p w14:paraId="32138595">
      <w:pPr>
        <w:pStyle w:val="19"/>
        <w:rPr>
          <w:rFonts w:ascii="Times New Roman" w:hAnsi="Times New Roman" w:cs="Times New Roman"/>
        </w:rPr>
      </w:pPr>
      <w:r>
        <w:rPr>
          <w:rFonts w:ascii="Times New Roman" w:hAnsi="Times New Roman" w:cs="Times New Roman"/>
        </w:rPr>
        <w:t xml:space="preserve">Onyije, F. M., Dolatkhah, R., Olsson, A., Bouaoun, L., Deltour, I., Erdmann, F., Bonaventure, A., Scheurer, M. E., Clavel, J., &amp; Schüz, J. (2024). Risk factors for childhood brain tumours: A systematic review and meta-analysis of observational studies from 1976 to 2022. </w:t>
      </w:r>
      <w:r>
        <w:rPr>
          <w:rFonts w:ascii="Times New Roman" w:hAnsi="Times New Roman" w:cs="Times New Roman"/>
          <w:i/>
          <w:iCs/>
        </w:rPr>
        <w:t>Cancer Epidemiology</w:t>
      </w:r>
      <w:r>
        <w:rPr>
          <w:rFonts w:ascii="Times New Roman" w:hAnsi="Times New Roman" w:cs="Times New Roman"/>
        </w:rPr>
        <w:t xml:space="preserve">, </w:t>
      </w:r>
      <w:r>
        <w:rPr>
          <w:rFonts w:ascii="Times New Roman" w:hAnsi="Times New Roman" w:cs="Times New Roman"/>
          <w:i/>
          <w:iCs/>
        </w:rPr>
        <w:t>88</w:t>
      </w:r>
      <w:r>
        <w:rPr>
          <w:rFonts w:ascii="Times New Roman" w:hAnsi="Times New Roman" w:cs="Times New Roman"/>
        </w:rPr>
        <w:t>, 102510. https://doi.org/10.1016/j.canep.2023.102510</w:t>
      </w:r>
    </w:p>
    <w:p w14:paraId="150F348E">
      <w:pPr>
        <w:pStyle w:val="19"/>
        <w:rPr>
          <w:rFonts w:ascii="Times New Roman" w:hAnsi="Times New Roman" w:cs="Times New Roman"/>
        </w:rPr>
      </w:pPr>
      <w:r>
        <w:rPr>
          <w:rFonts w:ascii="Times New Roman" w:hAnsi="Times New Roman" w:cs="Times New Roman"/>
        </w:rPr>
        <w:t xml:space="preserve">Parsons, J., Niu, X., &amp; Bao, L. (2022). A BAYESIAN HIERARCHICAL MODEL FOR COMBINING MULTIPLE DATA SOURCES IN POPULATION SIZE ESTIMATION. </w:t>
      </w:r>
      <w:r>
        <w:rPr>
          <w:rFonts w:ascii="Times New Roman" w:hAnsi="Times New Roman" w:cs="Times New Roman"/>
          <w:i/>
          <w:iCs/>
        </w:rPr>
        <w:t>The Annals of Applied Statistics</w:t>
      </w:r>
      <w:r>
        <w:rPr>
          <w:rFonts w:ascii="Times New Roman" w:hAnsi="Times New Roman" w:cs="Times New Roman"/>
        </w:rPr>
        <w:t xml:space="preserve">, </w:t>
      </w:r>
      <w:r>
        <w:rPr>
          <w:rFonts w:ascii="Times New Roman" w:hAnsi="Times New Roman" w:cs="Times New Roman"/>
          <w:i/>
          <w:iCs/>
        </w:rPr>
        <w:t>16</w:t>
      </w:r>
      <w:r>
        <w:rPr>
          <w:rFonts w:ascii="Times New Roman" w:hAnsi="Times New Roman" w:cs="Times New Roman"/>
        </w:rPr>
        <w:t>(3), 1550–1562. https://doi.org/10.1214/21-AOAS1556</w:t>
      </w:r>
    </w:p>
    <w:p w14:paraId="66CC2458">
      <w:pPr>
        <w:pStyle w:val="19"/>
        <w:rPr>
          <w:rFonts w:ascii="Times New Roman" w:hAnsi="Times New Roman" w:cs="Times New Roman"/>
        </w:rPr>
      </w:pPr>
      <w:r>
        <w:rPr>
          <w:rFonts w:ascii="Times New Roman" w:hAnsi="Times New Roman" w:cs="Times New Roman"/>
        </w:rPr>
        <w:t xml:space="preserve">Savitz, D. A., &amp; Wellenius, G. A. (2025). Consequential (and inconsequential) environmental epidemiology. </w:t>
      </w:r>
      <w:r>
        <w:rPr>
          <w:rFonts w:ascii="Times New Roman" w:hAnsi="Times New Roman" w:cs="Times New Roman"/>
          <w:i/>
          <w:iCs/>
        </w:rPr>
        <w:t>Environmental Epidemiology</w:t>
      </w:r>
      <w:r>
        <w:rPr>
          <w:rFonts w:ascii="Times New Roman" w:hAnsi="Times New Roman" w:cs="Times New Roman"/>
        </w:rPr>
        <w:t xml:space="preserve">, </w:t>
      </w:r>
      <w:r>
        <w:rPr>
          <w:rFonts w:ascii="Times New Roman" w:hAnsi="Times New Roman" w:cs="Times New Roman"/>
          <w:i/>
          <w:iCs/>
        </w:rPr>
        <w:t>9</w:t>
      </w:r>
      <w:r>
        <w:rPr>
          <w:rFonts w:ascii="Times New Roman" w:hAnsi="Times New Roman" w:cs="Times New Roman"/>
        </w:rPr>
        <w:t>(6), e433. https://doi.org/10.1097/EE9.0000000000000433</w:t>
      </w:r>
    </w:p>
    <w:p w14:paraId="3DC35D81">
      <w:pPr>
        <w:pStyle w:val="19"/>
        <w:rPr>
          <w:rFonts w:ascii="Times New Roman" w:hAnsi="Times New Roman" w:cs="Times New Roman"/>
        </w:rPr>
      </w:pPr>
      <w:r>
        <w:rPr>
          <w:rFonts w:ascii="Times New Roman" w:hAnsi="Times New Roman" w:cs="Times New Roman"/>
        </w:rPr>
        <w:t xml:space="preserve">Schäfer, R. B., Jackson, M., Juvigny-Khenafou, N., Osakpolor, S. E., Posthuma, L., Schneeweiss, A., Spaak, J., &amp; Vinebrooke, R. (2023). Chemical Mixtures and Multiple Stressors: Same but Different? </w:t>
      </w:r>
      <w:r>
        <w:rPr>
          <w:rFonts w:ascii="Times New Roman" w:hAnsi="Times New Roman" w:cs="Times New Roman"/>
          <w:i/>
          <w:iCs/>
        </w:rPr>
        <w:t>Environmental Toxicology and Chemistry</w:t>
      </w:r>
      <w:r>
        <w:rPr>
          <w:rFonts w:ascii="Times New Roman" w:hAnsi="Times New Roman" w:cs="Times New Roman"/>
        </w:rPr>
        <w:t xml:space="preserve">, </w:t>
      </w:r>
      <w:r>
        <w:rPr>
          <w:rFonts w:ascii="Times New Roman" w:hAnsi="Times New Roman" w:cs="Times New Roman"/>
          <w:i/>
          <w:iCs/>
        </w:rPr>
        <w:t>42</w:t>
      </w:r>
      <w:r>
        <w:rPr>
          <w:rFonts w:ascii="Times New Roman" w:hAnsi="Times New Roman" w:cs="Times New Roman"/>
        </w:rPr>
        <w:t>(9), 1915–1936. https://doi.org/10.1002/etc.5629</w:t>
      </w:r>
    </w:p>
    <w:p w14:paraId="3EA88FD5">
      <w:pPr>
        <w:pStyle w:val="19"/>
        <w:rPr>
          <w:rFonts w:ascii="Times New Roman" w:hAnsi="Times New Roman" w:cs="Times New Roman"/>
        </w:rPr>
      </w:pPr>
      <w:r>
        <w:rPr>
          <w:rFonts w:ascii="Times New Roman" w:hAnsi="Times New Roman" w:cs="Times New Roman"/>
        </w:rPr>
        <w:t xml:space="preserve">Shakeel, O., Wood, N. M., Thompson, H. M., Scheurer, M. E., Miller, M. D., Shakeel, O., Wood, N. M., Thompson, H. M., Scheurer, M. E., &amp; Miller, M. D. (2025). Environmental Exposures Increase Health Risks in Childhood Cancer Survivors. </w:t>
      </w:r>
      <w:r>
        <w:rPr>
          <w:rFonts w:ascii="Times New Roman" w:hAnsi="Times New Roman" w:cs="Times New Roman"/>
          <w:i/>
          <w:iCs/>
        </w:rPr>
        <w:t>Cancers</w:t>
      </w:r>
      <w:r>
        <w:rPr>
          <w:rFonts w:ascii="Times New Roman" w:hAnsi="Times New Roman" w:cs="Times New Roman"/>
        </w:rPr>
        <w:t xml:space="preserve">, </w:t>
      </w:r>
      <w:r>
        <w:rPr>
          <w:rFonts w:ascii="Times New Roman" w:hAnsi="Times New Roman" w:cs="Times New Roman"/>
          <w:i/>
          <w:iCs/>
        </w:rPr>
        <w:t>17</w:t>
      </w:r>
      <w:r>
        <w:rPr>
          <w:rFonts w:ascii="Times New Roman" w:hAnsi="Times New Roman" w:cs="Times New Roman"/>
        </w:rPr>
        <w:t>(13). https://doi.org/10.3390/cancers17132223</w:t>
      </w:r>
    </w:p>
    <w:p w14:paraId="55008C7F">
      <w:pPr>
        <w:pStyle w:val="19"/>
        <w:rPr>
          <w:rFonts w:ascii="Times New Roman" w:hAnsi="Times New Roman" w:cs="Times New Roman"/>
        </w:rPr>
      </w:pPr>
      <w:r>
        <w:rPr>
          <w:rFonts w:ascii="Times New Roman" w:hAnsi="Times New Roman" w:cs="Times New Roman"/>
        </w:rPr>
        <w:t xml:space="preserve">Shekhar, C., Khosya, R., Thakur, K., Mahajan, D., Kumar, R., Kumar, S., &amp; Sharma, A. K. (2024). A systematic review of pesticide exposure, associated risks, and long-term human health impacts. </w:t>
      </w:r>
      <w:r>
        <w:rPr>
          <w:rFonts w:ascii="Times New Roman" w:hAnsi="Times New Roman" w:cs="Times New Roman"/>
          <w:i/>
          <w:iCs/>
        </w:rPr>
        <w:t>Toxicology Reports</w:t>
      </w:r>
      <w:r>
        <w:rPr>
          <w:rFonts w:ascii="Times New Roman" w:hAnsi="Times New Roman" w:cs="Times New Roman"/>
        </w:rPr>
        <w:t xml:space="preserve">, </w:t>
      </w:r>
      <w:r>
        <w:rPr>
          <w:rFonts w:ascii="Times New Roman" w:hAnsi="Times New Roman" w:cs="Times New Roman"/>
          <w:i/>
          <w:iCs/>
        </w:rPr>
        <w:t>13</w:t>
      </w:r>
      <w:r>
        <w:rPr>
          <w:rFonts w:ascii="Times New Roman" w:hAnsi="Times New Roman" w:cs="Times New Roman"/>
        </w:rPr>
        <w:t>, 101840. https://doi.org/10.1016/j.toxrep.2024.101840</w:t>
      </w:r>
    </w:p>
    <w:p w14:paraId="5E5293A7">
      <w:pPr>
        <w:pStyle w:val="19"/>
        <w:rPr>
          <w:rFonts w:ascii="Times New Roman" w:hAnsi="Times New Roman" w:cs="Times New Roman"/>
        </w:rPr>
      </w:pPr>
      <w:r>
        <w:rPr>
          <w:rFonts w:ascii="Times New Roman" w:hAnsi="Times New Roman" w:cs="Times New Roman"/>
        </w:rPr>
        <w:t xml:space="preserve">Siegel, D. A., King, J. B., Lupo, P. J., Durbin, E. B., Tai, E., Mills, K., Van Dyne, E., Lunsford, N. B., Henley, S. J., &amp; Wilson, R. J. (2023). Counts, incidence rates, and trends of pediatric cancer in the United States, 2003–2019. </w:t>
      </w:r>
      <w:r>
        <w:rPr>
          <w:rFonts w:ascii="Times New Roman" w:hAnsi="Times New Roman" w:cs="Times New Roman"/>
          <w:i/>
          <w:iCs/>
        </w:rPr>
        <w:t>Journal of the National Cancer Institute</w:t>
      </w:r>
      <w:r>
        <w:rPr>
          <w:rFonts w:ascii="Times New Roman" w:hAnsi="Times New Roman" w:cs="Times New Roman"/>
        </w:rPr>
        <w:t xml:space="preserve">, </w:t>
      </w:r>
      <w:r>
        <w:rPr>
          <w:rFonts w:ascii="Times New Roman" w:hAnsi="Times New Roman" w:cs="Times New Roman"/>
          <w:i/>
          <w:iCs/>
        </w:rPr>
        <w:t>115</w:t>
      </w:r>
      <w:r>
        <w:rPr>
          <w:rFonts w:ascii="Times New Roman" w:hAnsi="Times New Roman" w:cs="Times New Roman"/>
        </w:rPr>
        <w:t>(11), 1337–1354. https://doi.org/10.1093/jnci/djad115</w:t>
      </w:r>
    </w:p>
    <w:p w14:paraId="79878DE7">
      <w:pPr>
        <w:pStyle w:val="19"/>
        <w:rPr>
          <w:rFonts w:ascii="Times New Roman" w:hAnsi="Times New Roman" w:cs="Times New Roman"/>
        </w:rPr>
      </w:pPr>
      <w:r>
        <w:rPr>
          <w:rFonts w:ascii="Times New Roman" w:hAnsi="Times New Roman" w:cs="Times New Roman"/>
        </w:rPr>
        <w:t xml:space="preserve">Silva, K. C. de S., Oliveira, G. E. B., Amarante, M. K., &amp; Panis, C. (2025). Evidence concerning parental exposure to pesticides and the occurrence of leukemia in offspring: A systematic review. </w:t>
      </w:r>
      <w:r>
        <w:rPr>
          <w:rFonts w:ascii="Times New Roman" w:hAnsi="Times New Roman" w:cs="Times New Roman"/>
          <w:i/>
          <w:iCs/>
        </w:rPr>
        <w:t>Frontiers in Pediatrics</w:t>
      </w:r>
      <w:r>
        <w:rPr>
          <w:rFonts w:ascii="Times New Roman" w:hAnsi="Times New Roman" w:cs="Times New Roman"/>
        </w:rPr>
        <w:t xml:space="preserve">, </w:t>
      </w:r>
      <w:r>
        <w:rPr>
          <w:rFonts w:ascii="Times New Roman" w:hAnsi="Times New Roman" w:cs="Times New Roman"/>
          <w:i/>
          <w:iCs/>
        </w:rPr>
        <w:t>13</w:t>
      </w:r>
      <w:r>
        <w:rPr>
          <w:rFonts w:ascii="Times New Roman" w:hAnsi="Times New Roman" w:cs="Times New Roman"/>
        </w:rPr>
        <w:t>. https://doi.org/10.3389/fped.2025.1560678</w:t>
      </w:r>
    </w:p>
    <w:p w14:paraId="5D7E382F">
      <w:pPr>
        <w:pStyle w:val="19"/>
        <w:rPr>
          <w:rFonts w:ascii="Times New Roman" w:hAnsi="Times New Roman" w:cs="Times New Roman"/>
        </w:rPr>
      </w:pPr>
      <w:r>
        <w:rPr>
          <w:rFonts w:ascii="Times New Roman" w:hAnsi="Times New Roman" w:cs="Times New Roman"/>
        </w:rPr>
        <w:t xml:space="preserve">Sokan-Adeaga, A. A., Sokan-Adeaga, M. A., Sokan-Adeaga, E. D., Oparaji, A. N., Edris, H., Tella, E. O., Balogun, F. A., Aledeh, M., &amp; Amubieya, O. E. (2023). Environmental toxicants and health adversities: A review on interventions of phytochemicals. </w:t>
      </w:r>
      <w:r>
        <w:rPr>
          <w:rFonts w:ascii="Times New Roman" w:hAnsi="Times New Roman" w:cs="Times New Roman"/>
          <w:i/>
          <w:iCs/>
        </w:rPr>
        <w:t>Journal of Public Health Research</w:t>
      </w:r>
      <w:r>
        <w:rPr>
          <w:rFonts w:ascii="Times New Roman" w:hAnsi="Times New Roman" w:cs="Times New Roman"/>
        </w:rPr>
        <w:t xml:space="preserve">, </w:t>
      </w:r>
      <w:r>
        <w:rPr>
          <w:rFonts w:ascii="Times New Roman" w:hAnsi="Times New Roman" w:cs="Times New Roman"/>
          <w:i/>
          <w:iCs/>
        </w:rPr>
        <w:t>12</w:t>
      </w:r>
      <w:r>
        <w:rPr>
          <w:rFonts w:ascii="Times New Roman" w:hAnsi="Times New Roman" w:cs="Times New Roman"/>
        </w:rPr>
        <w:t>(2), 22799036231181226. https://doi.org/10.1177/22799036231181226</w:t>
      </w:r>
    </w:p>
    <w:p w14:paraId="3389A550">
      <w:pPr>
        <w:pStyle w:val="19"/>
        <w:rPr>
          <w:rFonts w:ascii="Times New Roman" w:hAnsi="Times New Roman" w:cs="Times New Roman"/>
        </w:rPr>
      </w:pPr>
      <w:r>
        <w:rPr>
          <w:rFonts w:ascii="Times New Roman" w:hAnsi="Times New Roman" w:cs="Times New Roman"/>
        </w:rPr>
        <w:t xml:space="preserve">Soni, A., Lawal, O. P., Oyovwi, J. O., Olaniyi, H. I., Anosike, W. O., Orobator, E. T., Gabriels, N., Ghori, I. A. K., &amp; Olaniyi, A. O. (2025). Evaluating the Beneficial Effect of Empagliflozin in Reducing Hospitalisation for Heart Failure in Patients With Type 2 Diabetes Mellitus: A Systematic Review. </w:t>
      </w:r>
      <w:r>
        <w:rPr>
          <w:rFonts w:ascii="Times New Roman" w:hAnsi="Times New Roman" w:cs="Times New Roman"/>
          <w:i/>
          <w:iCs/>
        </w:rPr>
        <w:t>Cureus</w:t>
      </w:r>
      <w:r>
        <w:rPr>
          <w:rFonts w:ascii="Times New Roman" w:hAnsi="Times New Roman" w:cs="Times New Roman"/>
        </w:rPr>
        <w:t>. https://doi.org/10.7759/cureus.96593</w:t>
      </w:r>
    </w:p>
    <w:p w14:paraId="2A7DC680">
      <w:pPr>
        <w:pStyle w:val="19"/>
        <w:rPr>
          <w:rFonts w:ascii="Times New Roman" w:hAnsi="Times New Roman" w:cs="Times New Roman"/>
        </w:rPr>
      </w:pPr>
      <w:r>
        <w:rPr>
          <w:rFonts w:ascii="Times New Roman" w:hAnsi="Times New Roman" w:cs="Times New Roman"/>
        </w:rPr>
        <w:t xml:space="preserve">Struys, I., Velázquez, C., Ubels, J., LeJeune, C. L., van Roosmalen, M. J., Rosendahl Huber, A. K. M., van Leeuwen, A. J. C. N., Bossuyt, W., Thienpont, B., Voet, T., Van Calsteren, K., Lenaerts, L., van Boxtel, R., &amp; Amant, F. (2025). Prenatal Exposure to Chemotherapy Increases the Mutation Burden in Human Neonatal Hematopoietic Stem Cells. </w:t>
      </w:r>
      <w:r>
        <w:rPr>
          <w:rFonts w:ascii="Times New Roman" w:hAnsi="Times New Roman" w:cs="Times New Roman"/>
          <w:i/>
          <w:iCs/>
        </w:rPr>
        <w:t>Cancer Discovery</w:t>
      </w:r>
      <w:r>
        <w:rPr>
          <w:rFonts w:ascii="Times New Roman" w:hAnsi="Times New Roman" w:cs="Times New Roman"/>
        </w:rPr>
        <w:t xml:space="preserve">, </w:t>
      </w:r>
      <w:r>
        <w:rPr>
          <w:rFonts w:ascii="Times New Roman" w:hAnsi="Times New Roman" w:cs="Times New Roman"/>
          <w:i/>
          <w:iCs/>
        </w:rPr>
        <w:t>15</w:t>
      </w:r>
      <w:r>
        <w:rPr>
          <w:rFonts w:ascii="Times New Roman" w:hAnsi="Times New Roman" w:cs="Times New Roman"/>
        </w:rPr>
        <w:t>(5), 903–912. https://doi.org/10.1158/2159-8290.CD-24-1368</w:t>
      </w:r>
    </w:p>
    <w:p w14:paraId="411B2BC9">
      <w:pPr>
        <w:pStyle w:val="19"/>
        <w:rPr>
          <w:rFonts w:ascii="Times New Roman" w:hAnsi="Times New Roman" w:cs="Times New Roman"/>
        </w:rPr>
      </w:pPr>
      <w:r>
        <w:rPr>
          <w:rFonts w:ascii="Times New Roman" w:hAnsi="Times New Roman" w:cs="Times New Roman"/>
        </w:rPr>
        <w:t xml:space="preserve">Taiba, J., Beseler, C., Zahid, M., Bartelt‐Hunt, S., Kolok, A., &amp; Rogan, E. (2025). Exploring the Joint Association Between Agrichemical Mixtures and Pediatric Cancer. </w:t>
      </w:r>
      <w:r>
        <w:rPr>
          <w:rFonts w:ascii="Times New Roman" w:hAnsi="Times New Roman" w:cs="Times New Roman"/>
          <w:i/>
          <w:iCs/>
        </w:rPr>
        <w:t>GeoHealth</w:t>
      </w:r>
      <w:r>
        <w:rPr>
          <w:rFonts w:ascii="Times New Roman" w:hAnsi="Times New Roman" w:cs="Times New Roman"/>
        </w:rPr>
        <w:t xml:space="preserve">, </w:t>
      </w:r>
      <w:r>
        <w:rPr>
          <w:rFonts w:ascii="Times New Roman" w:hAnsi="Times New Roman" w:cs="Times New Roman"/>
          <w:i/>
          <w:iCs/>
        </w:rPr>
        <w:t>9</w:t>
      </w:r>
      <w:r>
        <w:rPr>
          <w:rFonts w:ascii="Times New Roman" w:hAnsi="Times New Roman" w:cs="Times New Roman"/>
        </w:rPr>
        <w:t>(2), e2024GH001236. https://doi.org/10.1029/2024GH001236</w:t>
      </w:r>
    </w:p>
    <w:p w14:paraId="1BDE0910">
      <w:pPr>
        <w:pStyle w:val="19"/>
        <w:rPr>
          <w:rFonts w:ascii="Times New Roman" w:hAnsi="Times New Roman" w:cs="Times New Roman"/>
        </w:rPr>
      </w:pPr>
      <w:r>
        <w:rPr>
          <w:rFonts w:ascii="Times New Roman" w:hAnsi="Times New Roman" w:cs="Times New Roman"/>
        </w:rPr>
        <w:t xml:space="preserve">Tajai, P., Pruksakorn, D., Chattipakorn, S. C., Chattipakorn, N., &amp; Shinlapawittayatorn, K. (2023). Effects of glyphosate-based herbicides and glyphosate exposure on sex hormones and the reproductive system: From epidemiological evidence to mechanistic insights. </w:t>
      </w:r>
      <w:r>
        <w:rPr>
          <w:rFonts w:ascii="Times New Roman" w:hAnsi="Times New Roman" w:cs="Times New Roman"/>
          <w:i/>
          <w:iCs/>
        </w:rPr>
        <w:t>Environmental Toxicology and Pharmacology</w:t>
      </w:r>
      <w:r>
        <w:rPr>
          <w:rFonts w:ascii="Times New Roman" w:hAnsi="Times New Roman" w:cs="Times New Roman"/>
        </w:rPr>
        <w:t xml:space="preserve">, </w:t>
      </w:r>
      <w:r>
        <w:rPr>
          <w:rFonts w:ascii="Times New Roman" w:hAnsi="Times New Roman" w:cs="Times New Roman"/>
          <w:i/>
          <w:iCs/>
        </w:rPr>
        <w:t>102</w:t>
      </w:r>
      <w:r>
        <w:rPr>
          <w:rFonts w:ascii="Times New Roman" w:hAnsi="Times New Roman" w:cs="Times New Roman"/>
        </w:rPr>
        <w:t>, 104252. https://doi.org/10.1016/j.etap.2023.104252</w:t>
      </w:r>
    </w:p>
    <w:p w14:paraId="64A1CCF5">
      <w:pPr>
        <w:pStyle w:val="19"/>
        <w:rPr>
          <w:rFonts w:ascii="Times New Roman" w:hAnsi="Times New Roman" w:cs="Times New Roman"/>
        </w:rPr>
      </w:pPr>
      <w:r>
        <w:rPr>
          <w:rFonts w:ascii="Times New Roman" w:hAnsi="Times New Roman" w:cs="Times New Roman"/>
        </w:rPr>
        <w:t xml:space="preserve">Vinnars, M.-T., Bixo, M., &amp; Damdimopoulou, P. (2023). Pregnancy-related maternal physiological adaptations and fetal chemical exposure. </w:t>
      </w:r>
      <w:r>
        <w:rPr>
          <w:rFonts w:ascii="Times New Roman" w:hAnsi="Times New Roman" w:cs="Times New Roman"/>
          <w:i/>
          <w:iCs/>
        </w:rPr>
        <w:t>Molecular and Cellular Endocrinology</w:t>
      </w:r>
      <w:r>
        <w:rPr>
          <w:rFonts w:ascii="Times New Roman" w:hAnsi="Times New Roman" w:cs="Times New Roman"/>
        </w:rPr>
        <w:t xml:space="preserve">, </w:t>
      </w:r>
      <w:r>
        <w:rPr>
          <w:rFonts w:ascii="Times New Roman" w:hAnsi="Times New Roman" w:cs="Times New Roman"/>
          <w:i/>
          <w:iCs/>
        </w:rPr>
        <w:t>578</w:t>
      </w:r>
      <w:r>
        <w:rPr>
          <w:rFonts w:ascii="Times New Roman" w:hAnsi="Times New Roman" w:cs="Times New Roman"/>
        </w:rPr>
        <w:t>, 112064. https://doi.org/10.1016/j.mce.2023.112064</w:t>
      </w:r>
    </w:p>
    <w:p w14:paraId="7E06AED6">
      <w:pPr>
        <w:pStyle w:val="19"/>
        <w:rPr>
          <w:rFonts w:ascii="Times New Roman" w:hAnsi="Times New Roman" w:cs="Times New Roman"/>
        </w:rPr>
      </w:pPr>
      <w:r>
        <w:rPr>
          <w:rFonts w:ascii="Times New Roman" w:hAnsi="Times New Roman" w:cs="Times New Roman"/>
        </w:rPr>
        <w:t xml:space="preserve">Wang, Z., Akber, M. A., Aziz, A. A., Wang, Z., Akber, M. A., &amp; Aziz, A. A. (2025). Application of Remote Sensing and Geographic Information Systems for Monitoring and Managing Chili Crops: A Systematic Review. </w:t>
      </w:r>
      <w:r>
        <w:rPr>
          <w:rFonts w:ascii="Times New Roman" w:hAnsi="Times New Roman" w:cs="Times New Roman"/>
          <w:i/>
          <w:iCs/>
        </w:rPr>
        <w:t>Remote Sensing</w:t>
      </w:r>
      <w:r>
        <w:rPr>
          <w:rFonts w:ascii="Times New Roman" w:hAnsi="Times New Roman" w:cs="Times New Roman"/>
        </w:rPr>
        <w:t xml:space="preserve">, </w:t>
      </w:r>
      <w:r>
        <w:rPr>
          <w:rFonts w:ascii="Times New Roman" w:hAnsi="Times New Roman" w:cs="Times New Roman"/>
          <w:i/>
          <w:iCs/>
        </w:rPr>
        <w:t>17</w:t>
      </w:r>
      <w:r>
        <w:rPr>
          <w:rFonts w:ascii="Times New Roman" w:hAnsi="Times New Roman" w:cs="Times New Roman"/>
        </w:rPr>
        <w:t>(16). https://doi.org/10.3390/rs17162827</w:t>
      </w:r>
    </w:p>
    <w:p w14:paraId="458F8234">
      <w:pPr>
        <w:pStyle w:val="19"/>
        <w:rPr>
          <w:rFonts w:ascii="Times New Roman" w:hAnsi="Times New Roman" w:cs="Times New Roman"/>
        </w:rPr>
      </w:pPr>
      <w:r>
        <w:rPr>
          <w:rFonts w:ascii="Times New Roman" w:hAnsi="Times New Roman" w:cs="Times New Roman"/>
        </w:rPr>
        <w:t xml:space="preserve">Yang, H.-H., Paul, K. C., Cockburn, M. G., Thompson, L. K., Cheng, M. Y., Suh, J. D., Wang, M. B., &amp; Lee, J. T. (2023). Residential Proximity to a Commercial Pesticide Application Site and Risk of Chronic Rhinosinusitis. </w:t>
      </w:r>
      <w:r>
        <w:rPr>
          <w:rFonts w:ascii="Times New Roman" w:hAnsi="Times New Roman" w:cs="Times New Roman"/>
          <w:i/>
          <w:iCs/>
        </w:rPr>
        <w:t>JAMA Otolaryngology-- Head &amp; Neck Surgery</w:t>
      </w:r>
      <w:r>
        <w:rPr>
          <w:rFonts w:ascii="Times New Roman" w:hAnsi="Times New Roman" w:cs="Times New Roman"/>
        </w:rPr>
        <w:t xml:space="preserve">, </w:t>
      </w:r>
      <w:r>
        <w:rPr>
          <w:rFonts w:ascii="Times New Roman" w:hAnsi="Times New Roman" w:cs="Times New Roman"/>
          <w:i/>
          <w:iCs/>
        </w:rPr>
        <w:t>149</w:t>
      </w:r>
      <w:r>
        <w:rPr>
          <w:rFonts w:ascii="Times New Roman" w:hAnsi="Times New Roman" w:cs="Times New Roman"/>
        </w:rPr>
        <w:t>(9), 773–780. https://doi.org/10.1001/jamaoto.2023.1499</w:t>
      </w:r>
    </w:p>
    <w:p w14:paraId="032DA53C">
      <w:pPr>
        <w:pStyle w:val="19"/>
        <w:rPr>
          <w:rFonts w:ascii="Times New Roman" w:hAnsi="Times New Roman" w:cs="Times New Roman"/>
        </w:rPr>
      </w:pPr>
      <w:r>
        <w:rPr>
          <w:rFonts w:ascii="Times New Roman" w:hAnsi="Times New Roman" w:cs="Times New Roman"/>
        </w:rPr>
        <w:t xml:space="preserve">Zahnreich, S., Schmidberger, H., Zahnreich, S., &amp; Schmidberger, H. (2021). Childhood Cancer: Occurrence, Treatment and Risk of Second Primary Malignancies. </w:t>
      </w:r>
      <w:r>
        <w:rPr>
          <w:rFonts w:ascii="Times New Roman" w:hAnsi="Times New Roman" w:cs="Times New Roman"/>
          <w:i/>
          <w:iCs/>
        </w:rPr>
        <w:t>Cancers</w:t>
      </w:r>
      <w:r>
        <w:rPr>
          <w:rFonts w:ascii="Times New Roman" w:hAnsi="Times New Roman" w:cs="Times New Roman"/>
        </w:rPr>
        <w:t xml:space="preserve">, </w:t>
      </w:r>
      <w:r>
        <w:rPr>
          <w:rFonts w:ascii="Times New Roman" w:hAnsi="Times New Roman" w:cs="Times New Roman"/>
          <w:i/>
          <w:iCs/>
        </w:rPr>
        <w:t>13</w:t>
      </w:r>
      <w:r>
        <w:rPr>
          <w:rFonts w:ascii="Times New Roman" w:hAnsi="Times New Roman" w:cs="Times New Roman"/>
        </w:rPr>
        <w:t>(11). https://doi.org/10.3390/cancers13112607</w:t>
      </w:r>
    </w:p>
    <w:p w14:paraId="099A3D84">
      <w:pPr>
        <w:pStyle w:val="19"/>
        <w:rPr>
          <w:rFonts w:ascii="Times New Roman" w:hAnsi="Times New Roman" w:cs="Times New Roman"/>
        </w:rPr>
      </w:pPr>
      <w:r>
        <w:rPr>
          <w:rFonts w:ascii="Times New Roman" w:hAnsi="Times New Roman" w:cs="Times New Roman"/>
        </w:rPr>
        <w:t xml:space="preserve">Zhang, S., Xiao, X., Yi, Y., Wang, X., Zhu, L., Shen, Y., Lin, D., &amp; Wu, C. (2024). Tumor initiation and early tumorigenesis: Molecular mechanisms and interventional targets. </w:t>
      </w:r>
      <w:r>
        <w:rPr>
          <w:rFonts w:ascii="Times New Roman" w:hAnsi="Times New Roman" w:cs="Times New Roman"/>
          <w:i/>
          <w:iCs/>
        </w:rPr>
        <w:t>Signal Transduction and Targeted Therapy</w:t>
      </w:r>
      <w:r>
        <w:rPr>
          <w:rFonts w:ascii="Times New Roman" w:hAnsi="Times New Roman" w:cs="Times New Roman"/>
        </w:rPr>
        <w:t xml:space="preserve">, </w:t>
      </w:r>
      <w:r>
        <w:rPr>
          <w:rFonts w:ascii="Times New Roman" w:hAnsi="Times New Roman" w:cs="Times New Roman"/>
          <w:i/>
          <w:iCs/>
        </w:rPr>
        <w:t>9</w:t>
      </w:r>
      <w:r>
        <w:rPr>
          <w:rFonts w:ascii="Times New Roman" w:hAnsi="Times New Roman" w:cs="Times New Roman"/>
        </w:rPr>
        <w:t>(1), 149. https://doi.org/10.1038/s41392-024-01848-7</w:t>
      </w:r>
    </w:p>
    <w:p w14:paraId="025AC4E7">
      <w:pPr>
        <w:pStyle w:val="19"/>
        <w:rPr>
          <w:rFonts w:ascii="Times New Roman" w:hAnsi="Times New Roman" w:cs="Times New Roman"/>
        </w:rPr>
      </w:pPr>
      <w:r>
        <w:rPr>
          <w:rFonts w:ascii="Times New Roman" w:hAnsi="Times New Roman" w:cs="Times New Roman"/>
        </w:rPr>
        <w:t xml:space="preserve">Zhao, A. P., Li, S., Cao, Z., Hu, P. J.-H., Wang, J., Xiang, Y., Xie, D., &amp; Lu, X. (2024). AI for science: Predicting infectious diseases. </w:t>
      </w:r>
      <w:r>
        <w:rPr>
          <w:rFonts w:ascii="Times New Roman" w:hAnsi="Times New Roman" w:cs="Times New Roman"/>
          <w:i/>
          <w:iCs/>
        </w:rPr>
        <w:t>Journal of Safety Science and Resilience</w:t>
      </w:r>
      <w:r>
        <w:rPr>
          <w:rFonts w:ascii="Times New Roman" w:hAnsi="Times New Roman" w:cs="Times New Roman"/>
        </w:rPr>
        <w:t xml:space="preserve">, </w:t>
      </w:r>
      <w:r>
        <w:rPr>
          <w:rFonts w:ascii="Times New Roman" w:hAnsi="Times New Roman" w:cs="Times New Roman"/>
          <w:i/>
          <w:iCs/>
        </w:rPr>
        <w:t>5</w:t>
      </w:r>
      <w:r>
        <w:rPr>
          <w:rFonts w:ascii="Times New Roman" w:hAnsi="Times New Roman" w:cs="Times New Roman"/>
        </w:rPr>
        <w:t>(2), 130–146. https://doi.org/10.1016/j.jnlssr.2024.02.002</w:t>
      </w:r>
    </w:p>
    <w:p w14:paraId="6EF114B0">
      <w:pPr>
        <w:rPr>
          <w:rFonts w:ascii="Times New Roman" w:hAnsi="Times New Roman" w:cs="Times New Roman"/>
          <w:b/>
        </w:rPr>
      </w:pPr>
      <w:r>
        <w:rPr>
          <w:rFonts w:ascii="Times New Roman" w:hAnsi="Times New Roman" w:cs="Times New Roman"/>
          <w:b/>
        </w:rPr>
        <w:fldChar w:fldCharType="end"/>
      </w:r>
    </w:p>
    <w:sectPr>
      <w:headerReference r:id="rId9" w:type="first"/>
      <w:footerReference r:id="rId12" w:type="first"/>
      <w:headerReference r:id="rId7" w:type="default"/>
      <w:footerReference r:id="rId10" w:type="default"/>
      <w:headerReference r:id="rId8" w:type="even"/>
      <w:footerReference r:id="rId11" w:type="even"/>
      <w:pgSz w:w="12240" w:h="15840"/>
      <w:pgMar w:top="1440" w:right="1440" w:bottom="1440" w:left="1440" w:header="720" w:footer="720" w:gutter="0"/>
      <w:cols w:space="720" w:num="1"/>
      <w:docGrid w:linePitch="360"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NEW USER" w:date="2026-01-21T21:27:53Z" w:initials="N">
    <w:p w14:paraId="5D82BEB1">
      <w:pPr>
        <w:pStyle w:val="8"/>
        <w:rPr>
          <w:rFonts w:hint="default"/>
          <w:lang w:val="en-US"/>
        </w:rPr>
      </w:pPr>
      <w:r>
        <w:rPr>
          <w:rFonts w:hint="default"/>
          <w:lang w:val="en-US"/>
        </w:rPr>
        <w:t xml:space="preserve">PLEASE ITALISE ALL et al., </w:t>
      </w:r>
    </w:p>
  </w:comment>
  <w:comment w:id="1" w:author="NEW USER" w:date="2026-01-21T21:31:22Z" w:initials="N">
    <w:p w14:paraId="537DEFD1">
      <w:pPr>
        <w:pStyle w:val="8"/>
        <w:rPr>
          <w:rFonts w:hint="default"/>
          <w:lang w:val="en-US"/>
        </w:rPr>
      </w:pPr>
      <w:r>
        <w:rPr>
          <w:rFonts w:hint="default"/>
          <w:lang w:val="en-US"/>
        </w:rPr>
        <w:t>IS THIS THE RIGHT SPELLING..???</w:t>
      </w:r>
    </w:p>
  </w:comment>
  <w:comment w:id="2" w:author="NEW USER" w:date="2026-01-21T21:36:30Z" w:initials="N">
    <w:p w14:paraId="393FB332">
      <w:pPr>
        <w:pStyle w:val="8"/>
        <w:rPr>
          <w:rFonts w:hint="default"/>
          <w:lang w:val="en-US"/>
        </w:rPr>
      </w:pPr>
      <w:r>
        <w:rPr>
          <w:rFonts w:hint="default"/>
          <w:lang w:val="en-US"/>
        </w:rPr>
        <w:t>WE NEED A REFERENCE HERE…..?</w:t>
      </w:r>
    </w:p>
  </w:comment>
  <w:comment w:id="3" w:author="NEW USER" w:date="2026-01-21T21:37:20Z" w:initials="N">
    <w:p w14:paraId="3E9EA149">
      <w:pPr>
        <w:pStyle w:val="8"/>
      </w:pPr>
      <w:r>
        <w:annotationRef/>
      </w:r>
    </w:p>
  </w:comment>
  <w:comment w:id="4" w:author="NEW USER" w:date="2026-01-21T21:37:20Z" w:initials="N">
    <w:p w14:paraId="2E202D8F">
      <w:pPr>
        <w:pStyle w:val="8"/>
        <w:rPr>
          <w:rFonts w:hint="default"/>
          <w:lang w:val="en-US"/>
        </w:rPr>
      </w:pPr>
      <w:r>
        <w:rPr>
          <w:rFonts w:hint="default"/>
          <w:lang w:val="en-US"/>
        </w:rPr>
        <w:t>ANOTHER HERE, THIS IS NOT YOUR STATEMENT</w:t>
      </w:r>
    </w:p>
  </w:comment>
  <w:comment w:id="5" w:author="NEW USER" w:date="2026-01-21T21:37:56Z" w:initials="N">
    <w:p w14:paraId="44BF3D59">
      <w:pPr>
        <w:pStyle w:val="8"/>
        <w:rPr>
          <w:rFonts w:hint="default"/>
          <w:lang w:val="en-US"/>
        </w:rPr>
      </w:pPr>
      <w:r>
        <w:rPr>
          <w:rFonts w:hint="default"/>
          <w:lang w:val="en-US"/>
        </w:rPr>
        <w:t>ALWAYS LEAVE A SPACE BEFORE THE BRACKET ….</w:t>
      </w:r>
    </w:p>
  </w:comment>
  <w:comment w:id="6" w:author="NEW USER" w:date="2026-01-21T21:44:15Z" w:initials="N">
    <w:p w14:paraId="2FFB00E9">
      <w:pPr>
        <w:pStyle w:val="8"/>
        <w:rPr>
          <w:rFonts w:hint="default"/>
          <w:lang w:val="en-US"/>
        </w:rPr>
      </w:pPr>
      <w:r>
        <w:rPr>
          <w:rFonts w:hint="default"/>
          <w:lang w:val="en-US"/>
        </w:rPr>
        <w:t>WRONG STYLE OF REFERENCING….ONLY  FIRST AUTHORS SURNAME AND et al., 2025</w:t>
      </w:r>
    </w:p>
  </w:comment>
  <w:comment w:id="7" w:author="NEW USER" w:date="2026-01-21T21:46:50Z" w:initials="N">
    <w:p w14:paraId="23C406E4">
      <w:pPr>
        <w:pStyle w:val="8"/>
      </w:pPr>
      <w:r>
        <w:annotationRef/>
      </w:r>
    </w:p>
  </w:comment>
  <w:comment w:id="8" w:author="NEW USER" w:date="2026-01-21T21:46:51Z" w:initials="N">
    <w:p w14:paraId="4596FADA">
      <w:pPr>
        <w:pStyle w:val="8"/>
        <w:rPr>
          <w:rFonts w:hint="default"/>
          <w:lang w:val="en-US"/>
        </w:rPr>
      </w:pPr>
      <w:r>
        <w:rPr>
          <w:rFonts w:hint="default"/>
          <w:lang w:val="en-US"/>
        </w:rPr>
        <w:t>SPACE BEFORE THE BRACKET</w:t>
      </w:r>
    </w:p>
  </w:comment>
  <w:comment w:id="9" w:author="NEW USER" w:date="2026-01-21T21:47:27Z" w:initials="N">
    <w:p w14:paraId="72AA7E52">
      <w:pPr>
        <w:pStyle w:val="8"/>
        <w:rPr>
          <w:rFonts w:hint="default"/>
          <w:lang w:val="en-US"/>
        </w:rPr>
      </w:pPr>
      <w:r>
        <w:rPr>
          <w:rFonts w:hint="default"/>
          <w:lang w:val="en-US"/>
        </w:rPr>
        <w:t>REF HERE</w:t>
      </w:r>
    </w:p>
  </w:comment>
  <w:comment w:id="10" w:author="NEW USER" w:date="2026-01-21T21:48:14Z" w:initials="N">
    <w:p w14:paraId="609DB4C7">
      <w:pPr>
        <w:pStyle w:val="8"/>
        <w:rPr>
          <w:rFonts w:hint="default"/>
          <w:lang w:val="en-US"/>
        </w:rPr>
      </w:pPr>
      <w:r>
        <w:rPr>
          <w:rFonts w:hint="default"/>
          <w:lang w:val="en-US"/>
        </w:rPr>
        <w:t>REF….</w:t>
      </w:r>
    </w:p>
  </w:comment>
  <w:comment w:id="11" w:author="NEW USER" w:date="2026-01-21T22:18:19Z" w:initials="N">
    <w:p w14:paraId="2C3A98CB">
      <w:pPr>
        <w:pStyle w:val="8"/>
        <w:rPr>
          <w:rFonts w:hint="default"/>
          <w:lang w:val="en-US"/>
        </w:rPr>
      </w:pPr>
      <w:r>
        <w:rPr>
          <w:rFonts w:hint="default"/>
          <w:lang w:val="en-US"/>
        </w:rPr>
        <w:t>REF PLEASE  OR IS THIS YOUR STATEMENT</w:t>
      </w:r>
    </w:p>
  </w:comment>
  <w:comment w:id="12" w:author="NEW USER" w:date="2026-01-21T22:19:10Z" w:initials="N">
    <w:p w14:paraId="555D2272">
      <w:pPr>
        <w:pStyle w:val="8"/>
        <w:rPr>
          <w:rFonts w:hint="default"/>
          <w:lang w:val="en-US"/>
        </w:rPr>
      </w:pPr>
      <w:r>
        <w:rPr>
          <w:rFonts w:hint="default"/>
          <w:lang w:val="en-US"/>
        </w:rPr>
        <w:t>REF…..</w:t>
      </w:r>
    </w:p>
  </w:comment>
  <w:comment w:id="13" w:author="NEW USER" w:date="2026-01-21T22:36:03Z" w:initials="N">
    <w:p w14:paraId="64C8789A">
      <w:pPr>
        <w:pStyle w:val="8"/>
        <w:rPr>
          <w:rFonts w:hint="default"/>
          <w:lang w:val="en-US"/>
        </w:rPr>
      </w:pPr>
      <w:r>
        <w:rPr>
          <w:rFonts w:hint="default"/>
          <w:lang w:val="en-US"/>
        </w:rPr>
        <w:t>REF……</w:t>
      </w:r>
    </w:p>
  </w:comment>
  <w:comment w:id="14" w:author="NEW USER" w:date="2026-01-21T22:36:43Z" w:initials="N">
    <w:p w14:paraId="74C34DFF">
      <w:pPr>
        <w:pStyle w:val="8"/>
        <w:rPr>
          <w:rFonts w:hint="default"/>
          <w:lang w:val="en-US"/>
        </w:rPr>
      </w:pPr>
      <w:r>
        <w:rPr>
          <w:rFonts w:hint="default"/>
          <w:lang w:val="en-US"/>
        </w:rPr>
        <w:t>REMOVE PLEASE……</w:t>
      </w:r>
    </w:p>
  </w:comment>
  <w:comment w:id="15" w:author="NEW USER" w:date="2026-01-21T22:39:08Z" w:initials="N">
    <w:p w14:paraId="6FACA894">
      <w:pPr>
        <w:pStyle w:val="8"/>
        <w:rPr>
          <w:rFonts w:hint="default"/>
          <w:lang w:val="en-US"/>
        </w:rPr>
      </w:pPr>
      <w:r>
        <w:rPr>
          <w:rFonts w:hint="default"/>
          <w:lang w:val="en-US"/>
        </w:rPr>
        <w:t>REF….</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5D82BEB1" w15:done="0"/>
  <w15:commentEx w15:paraId="537DEFD1" w15:done="0"/>
  <w15:commentEx w15:paraId="393FB332" w15:done="0"/>
  <w15:commentEx w15:paraId="3E9EA149" w15:done="0"/>
  <w15:commentEx w15:paraId="2E202D8F" w15:done="0" w15:paraIdParent="3E9EA149"/>
  <w15:commentEx w15:paraId="44BF3D59" w15:done="0"/>
  <w15:commentEx w15:paraId="2FFB00E9" w15:done="0"/>
  <w15:commentEx w15:paraId="23C406E4" w15:done="0"/>
  <w15:commentEx w15:paraId="4596FADA" w15:done="0" w15:paraIdParent="23C406E4"/>
  <w15:commentEx w15:paraId="72AA7E52" w15:done="0"/>
  <w15:commentEx w15:paraId="609DB4C7" w15:done="0"/>
  <w15:commentEx w15:paraId="2C3A98CB" w15:done="0"/>
  <w15:commentEx w15:paraId="555D2272" w15:done="0"/>
  <w15:commentEx w15:paraId="64C8789A" w15:done="0"/>
  <w15:commentEx w15:paraId="74C34DFF" w15:done="0"/>
  <w15:commentEx w15:paraId="6FACA89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Cambria Math">
    <w:panose1 w:val="02040503050406030204"/>
    <w:charset w:val="00"/>
    <w:family w:val="roman"/>
    <w:pitch w:val="default"/>
    <w:sig w:usb0="E00006FF" w:usb1="420024FF" w:usb2="02000000" w:usb3="00000000" w:csb0="2000019F" w:csb1="00000000"/>
  </w:font>
  <w:font w:name="Microsoft YaHei">
    <w:panose1 w:val="020B0503020204020204"/>
    <w:charset w:val="86"/>
    <w:family w:val="auto"/>
    <w:pitch w:val="default"/>
    <w:sig w:usb0="80000287" w:usb1="2ACF3C50" w:usb2="00000016" w:usb3="00000000" w:csb0="0004001F" w:csb1="00000000"/>
  </w:font>
  <w:font w:name="Arial Unicode MS">
    <w:panose1 w:val="020B0604020202020204"/>
    <w:charset w:val="86"/>
    <w:family w:val="auto"/>
    <w:pitch w:val="default"/>
    <w:sig w:usb0="FFFFFFFF" w:usb1="E9FFFFFF" w:usb2="0000003F" w:usb3="00000000" w:csb0="603F01FF" w:csb1="FFFF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E9C4EC">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410E3F">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308822">
    <w:pPr>
      <w:pStyle w:val="1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866AFA">
    <w:pPr>
      <w:pStyle w:val="11"/>
    </w:pPr>
    <w:r>
      <w:pict>
        <v:shape id="PowerPlusWaterMarkObject805460173" o:spid="_x0000_s4098" o:spt="136" type="#_x0000_t136" style="position:absolute;left:0pt;height:104.65pt;width:555.05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Calibri;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A0FCB7">
    <w:pPr>
      <w:pStyle w:val="11"/>
    </w:pPr>
    <w:r>
      <w:pict>
        <v:shape id="PowerPlusWaterMarkObject805460172" o:spid="_x0000_s4099" o:spt="136" type="#_x0000_t136" style="position:absolute;left:0pt;height:104.65pt;width:555.05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Calibri;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E8CEB2">
    <w:pPr>
      <w:pStyle w:val="11"/>
    </w:pPr>
    <w:r>
      <w:pict>
        <v:shape id="PowerPlusWaterMarkObject805460171" o:spid="_x0000_s4097" o:spt="136" type="#_x0000_t136" style="position:absolute;left:0pt;height:104.65pt;width:555.05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Calibri;font-size:1pt;v-text-align:center;"/>
        </v:shape>
      </w:pict>
    </w: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NEW USER">
    <w15:presenceInfo w15:providerId="None" w15:userId="NEW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hdrShapeDefaults>
    <o:shapelayout v:ext="edit">
      <o:idmap v:ext="edit" data="3,4"/>
    </o:shapelayout>
  </w:hdrShapeDefault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4314"/>
    <w:rsid w:val="0004444D"/>
    <w:rsid w:val="00140182"/>
    <w:rsid w:val="00143BB5"/>
    <w:rsid w:val="001850B9"/>
    <w:rsid w:val="00271BC5"/>
    <w:rsid w:val="002F6694"/>
    <w:rsid w:val="003170B5"/>
    <w:rsid w:val="00352278"/>
    <w:rsid w:val="00372F01"/>
    <w:rsid w:val="00396F77"/>
    <w:rsid w:val="003A0DEC"/>
    <w:rsid w:val="003F0132"/>
    <w:rsid w:val="00484549"/>
    <w:rsid w:val="00551344"/>
    <w:rsid w:val="005610FF"/>
    <w:rsid w:val="005D4314"/>
    <w:rsid w:val="005F0D82"/>
    <w:rsid w:val="005F12C1"/>
    <w:rsid w:val="00676515"/>
    <w:rsid w:val="006935BD"/>
    <w:rsid w:val="006C27AA"/>
    <w:rsid w:val="00770E2E"/>
    <w:rsid w:val="0077462B"/>
    <w:rsid w:val="00781932"/>
    <w:rsid w:val="007C0A09"/>
    <w:rsid w:val="0082378F"/>
    <w:rsid w:val="00857D2E"/>
    <w:rsid w:val="008704C6"/>
    <w:rsid w:val="008B6408"/>
    <w:rsid w:val="009F2202"/>
    <w:rsid w:val="00A60316"/>
    <w:rsid w:val="00AD780F"/>
    <w:rsid w:val="00AF5059"/>
    <w:rsid w:val="00B32D1F"/>
    <w:rsid w:val="00B33182"/>
    <w:rsid w:val="00BA1AA7"/>
    <w:rsid w:val="00C0706C"/>
    <w:rsid w:val="00CD2CA2"/>
    <w:rsid w:val="00D44DF3"/>
    <w:rsid w:val="00D76780"/>
    <w:rsid w:val="00DC70BD"/>
    <w:rsid w:val="00DE3645"/>
    <w:rsid w:val="00E962B3"/>
    <w:rsid w:val="00EE4476"/>
    <w:rsid w:val="00F711F4"/>
    <w:rsid w:val="00FF0906"/>
    <w:rsid w:val="54751C0D"/>
    <w:rsid w:val="5EB07A2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78" w:lineRule="auto"/>
    </w:pPr>
    <w:rPr>
      <w:rFonts w:asciiTheme="minorHAnsi" w:hAnsiTheme="minorHAnsi" w:eastAsiaTheme="minorHAnsi" w:cstheme="minorBidi"/>
      <w:kern w:val="2"/>
      <w:sz w:val="24"/>
      <w:szCs w:val="24"/>
      <w:lang w:val="en-US" w:eastAsia="en-US" w:bidi="ar-SA"/>
    </w:rPr>
  </w:style>
  <w:style w:type="paragraph" w:styleId="2">
    <w:name w:val="heading 2"/>
    <w:basedOn w:val="1"/>
    <w:next w:val="1"/>
    <w:link w:val="17"/>
    <w:semiHidden/>
    <w:unhideWhenUsed/>
    <w:qFormat/>
    <w:uiPriority w:val="9"/>
    <w:pPr>
      <w:keepNext/>
      <w:keepLines/>
      <w:spacing w:before="200" w:after="0"/>
      <w:outlineLvl w:val="1"/>
    </w:pPr>
    <w:rPr>
      <w:rFonts w:asciiTheme="majorHAnsi" w:hAnsiTheme="majorHAnsi" w:eastAsiaTheme="majorEastAsia" w:cstheme="majorBidi"/>
      <w:b/>
      <w:bCs/>
      <w:color w:val="4472C4" w:themeColor="accent1"/>
      <w:sz w:val="26"/>
      <w:szCs w:val="26"/>
      <w14:textFill>
        <w14:solidFill>
          <w14:schemeClr w14:val="accent1"/>
        </w14:solidFill>
      </w14:textFill>
    </w:rPr>
  </w:style>
  <w:style w:type="paragraph" w:styleId="3">
    <w:name w:val="heading 3"/>
    <w:basedOn w:val="1"/>
    <w:link w:val="15"/>
    <w:qFormat/>
    <w:uiPriority w:val="9"/>
    <w:pPr>
      <w:spacing w:before="100" w:beforeAutospacing="1" w:after="100" w:afterAutospacing="1" w:line="240" w:lineRule="auto"/>
      <w:outlineLvl w:val="2"/>
    </w:pPr>
    <w:rPr>
      <w:rFonts w:ascii="Times New Roman" w:hAnsi="Times New Roman" w:eastAsia="Times New Roman" w:cs="Times New Roman"/>
      <w:b/>
      <w:bCs/>
      <w:kern w:val="0"/>
      <w:sz w:val="27"/>
      <w:szCs w:val="27"/>
    </w:rPr>
  </w:style>
  <w:style w:type="paragraph" w:styleId="4">
    <w:name w:val="heading 4"/>
    <w:basedOn w:val="1"/>
    <w:next w:val="1"/>
    <w:link w:val="16"/>
    <w:semiHidden/>
    <w:unhideWhenUsed/>
    <w:qFormat/>
    <w:uiPriority w:val="9"/>
    <w:pPr>
      <w:keepNext/>
      <w:keepLines/>
      <w:spacing w:before="200" w:after="0"/>
      <w:outlineLvl w:val="3"/>
    </w:pPr>
    <w:rPr>
      <w:rFonts w:asciiTheme="majorHAnsi" w:hAnsiTheme="majorHAnsi" w:eastAsiaTheme="majorEastAsia" w:cstheme="majorBidi"/>
      <w:b/>
      <w:bCs/>
      <w:i/>
      <w:iCs/>
      <w:color w:val="4472C4" w:themeColor="accent1"/>
      <w14:textFill>
        <w14:solidFill>
          <w14:schemeClr w14:val="accent1"/>
        </w14:solidFill>
      </w14:textFill>
    </w:rPr>
  </w:style>
  <w:style w:type="character" w:default="1" w:styleId="5">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7">
    <w:name w:val="Balloon Text"/>
    <w:basedOn w:val="1"/>
    <w:link w:val="18"/>
    <w:semiHidden/>
    <w:unhideWhenUsed/>
    <w:qFormat/>
    <w:uiPriority w:val="99"/>
    <w:pPr>
      <w:spacing w:after="0" w:line="240" w:lineRule="auto"/>
    </w:pPr>
    <w:rPr>
      <w:rFonts w:ascii="Tahoma" w:hAnsi="Tahoma" w:cs="Tahoma"/>
      <w:sz w:val="16"/>
      <w:szCs w:val="16"/>
    </w:rPr>
  </w:style>
  <w:style w:type="paragraph" w:styleId="8">
    <w:name w:val="annotation text"/>
    <w:basedOn w:val="1"/>
    <w:semiHidden/>
    <w:unhideWhenUsed/>
    <w:uiPriority w:val="99"/>
    <w:pPr>
      <w:jc w:val="left"/>
    </w:pPr>
  </w:style>
  <w:style w:type="character" w:styleId="9">
    <w:name w:val="Emphasis"/>
    <w:basedOn w:val="5"/>
    <w:qFormat/>
    <w:uiPriority w:val="20"/>
    <w:rPr>
      <w:i/>
      <w:iCs/>
    </w:rPr>
  </w:style>
  <w:style w:type="paragraph" w:styleId="10">
    <w:name w:val="footer"/>
    <w:basedOn w:val="1"/>
    <w:link w:val="22"/>
    <w:unhideWhenUsed/>
    <w:uiPriority w:val="99"/>
    <w:pPr>
      <w:tabs>
        <w:tab w:val="center" w:pos="4680"/>
        <w:tab w:val="right" w:pos="9360"/>
      </w:tabs>
      <w:spacing w:after="0" w:line="240" w:lineRule="auto"/>
    </w:pPr>
  </w:style>
  <w:style w:type="paragraph" w:styleId="11">
    <w:name w:val="header"/>
    <w:basedOn w:val="1"/>
    <w:link w:val="21"/>
    <w:unhideWhenUsed/>
    <w:qFormat/>
    <w:uiPriority w:val="99"/>
    <w:pPr>
      <w:tabs>
        <w:tab w:val="center" w:pos="4680"/>
        <w:tab w:val="right" w:pos="9360"/>
      </w:tabs>
      <w:spacing w:after="0" w:line="240" w:lineRule="auto"/>
    </w:pPr>
  </w:style>
  <w:style w:type="character" w:styleId="12">
    <w:name w:val="Hyperlink"/>
    <w:basedOn w:val="5"/>
    <w:unhideWhenUsed/>
    <w:qFormat/>
    <w:uiPriority w:val="99"/>
    <w:rPr>
      <w:color w:val="0563C1" w:themeColor="hyperlink"/>
      <w:u w:val="single"/>
      <w14:textFill>
        <w14:solidFill>
          <w14:schemeClr w14:val="hlink"/>
        </w14:solidFill>
      </w14:textFill>
    </w:rPr>
  </w:style>
  <w:style w:type="paragraph" w:styleId="13">
    <w:name w:val="Normal (Web)"/>
    <w:basedOn w:val="1"/>
    <w:unhideWhenUsed/>
    <w:uiPriority w:val="99"/>
    <w:pPr>
      <w:spacing w:before="100" w:beforeAutospacing="1" w:after="100" w:afterAutospacing="1" w:line="240" w:lineRule="auto"/>
    </w:pPr>
    <w:rPr>
      <w:rFonts w:ascii="Times New Roman" w:hAnsi="Times New Roman" w:eastAsia="Times New Roman" w:cs="Times New Roman"/>
      <w:kern w:val="0"/>
    </w:rPr>
  </w:style>
  <w:style w:type="character" w:styleId="14">
    <w:name w:val="Strong"/>
    <w:basedOn w:val="5"/>
    <w:qFormat/>
    <w:uiPriority w:val="22"/>
    <w:rPr>
      <w:b/>
      <w:bCs/>
    </w:rPr>
  </w:style>
  <w:style w:type="character" w:customStyle="1" w:styleId="15">
    <w:name w:val="Heading 3 Char"/>
    <w:basedOn w:val="5"/>
    <w:link w:val="3"/>
    <w:qFormat/>
    <w:uiPriority w:val="9"/>
    <w:rPr>
      <w:rFonts w:ascii="Times New Roman" w:hAnsi="Times New Roman" w:eastAsia="Times New Roman" w:cs="Times New Roman"/>
      <w:b/>
      <w:bCs/>
      <w:kern w:val="0"/>
      <w:sz w:val="27"/>
      <w:szCs w:val="27"/>
    </w:rPr>
  </w:style>
  <w:style w:type="character" w:customStyle="1" w:styleId="16">
    <w:name w:val="Heading 4 Char"/>
    <w:basedOn w:val="5"/>
    <w:link w:val="4"/>
    <w:semiHidden/>
    <w:qFormat/>
    <w:uiPriority w:val="9"/>
    <w:rPr>
      <w:rFonts w:asciiTheme="majorHAnsi" w:hAnsiTheme="majorHAnsi" w:eastAsiaTheme="majorEastAsia" w:cstheme="majorBidi"/>
      <w:b/>
      <w:bCs/>
      <w:i/>
      <w:iCs/>
      <w:color w:val="4472C4" w:themeColor="accent1"/>
      <w14:textFill>
        <w14:solidFill>
          <w14:schemeClr w14:val="accent1"/>
        </w14:solidFill>
      </w14:textFill>
    </w:rPr>
  </w:style>
  <w:style w:type="character" w:customStyle="1" w:styleId="17">
    <w:name w:val="Heading 2 Char"/>
    <w:basedOn w:val="5"/>
    <w:link w:val="2"/>
    <w:semiHidden/>
    <w:uiPriority w:val="9"/>
    <w:rPr>
      <w:rFonts w:asciiTheme="majorHAnsi" w:hAnsiTheme="majorHAnsi" w:eastAsiaTheme="majorEastAsia" w:cstheme="majorBidi"/>
      <w:b/>
      <w:bCs/>
      <w:color w:val="4472C4" w:themeColor="accent1"/>
      <w:sz w:val="26"/>
      <w:szCs w:val="26"/>
      <w14:textFill>
        <w14:solidFill>
          <w14:schemeClr w14:val="accent1"/>
        </w14:solidFill>
      </w14:textFill>
    </w:rPr>
  </w:style>
  <w:style w:type="character" w:customStyle="1" w:styleId="18">
    <w:name w:val="Balloon Text Char"/>
    <w:basedOn w:val="5"/>
    <w:link w:val="7"/>
    <w:semiHidden/>
    <w:qFormat/>
    <w:uiPriority w:val="99"/>
    <w:rPr>
      <w:rFonts w:ascii="Tahoma" w:hAnsi="Tahoma" w:cs="Tahoma"/>
      <w:sz w:val="16"/>
      <w:szCs w:val="16"/>
    </w:rPr>
  </w:style>
  <w:style w:type="paragraph" w:customStyle="1" w:styleId="19">
    <w:name w:val="Bibliography"/>
    <w:basedOn w:val="1"/>
    <w:next w:val="1"/>
    <w:unhideWhenUsed/>
    <w:qFormat/>
    <w:uiPriority w:val="37"/>
    <w:pPr>
      <w:spacing w:after="0" w:line="480" w:lineRule="auto"/>
      <w:ind w:left="720" w:hanging="720"/>
    </w:pPr>
  </w:style>
  <w:style w:type="character" w:customStyle="1" w:styleId="20">
    <w:name w:val="Unresolved Mention"/>
    <w:basedOn w:val="5"/>
    <w:semiHidden/>
    <w:unhideWhenUsed/>
    <w:uiPriority w:val="99"/>
    <w:rPr>
      <w:color w:val="605E5C"/>
      <w:shd w:val="clear" w:color="auto" w:fill="E1DFDD"/>
    </w:rPr>
  </w:style>
  <w:style w:type="character" w:customStyle="1" w:styleId="21">
    <w:name w:val="Header Char"/>
    <w:basedOn w:val="5"/>
    <w:link w:val="11"/>
    <w:qFormat/>
    <w:uiPriority w:val="99"/>
  </w:style>
  <w:style w:type="character" w:customStyle="1" w:styleId="22">
    <w:name w:val="Footer Char"/>
    <w:basedOn w:val="5"/>
    <w:link w:val="10"/>
    <w:uiPriority w:val="99"/>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header" Target="header1.xml"/><Relationship Id="rId6" Type="http://schemas.openxmlformats.org/officeDocument/2006/relationships/endnotes" Target="endnotes.xml"/><Relationship Id="rId5" Type="http://schemas.openxmlformats.org/officeDocument/2006/relationships/footnotes" Target="footnotes.xml"/><Relationship Id="rId4" Type="http://schemas.microsoft.com/office/2011/relationships/commentsExtended" Target="commentsExtended.xml"/><Relationship Id="rId3" Type="http://schemas.openxmlformats.org/officeDocument/2006/relationships/comments" Target="comments.xml"/><Relationship Id="rId2" Type="http://schemas.openxmlformats.org/officeDocument/2006/relationships/settings" Target="settings.xml"/><Relationship Id="rId17" Type="http://schemas.microsoft.com/office/2011/relationships/people" Target="people.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3.xml"/><Relationship Id="rId11" Type="http://schemas.openxmlformats.org/officeDocument/2006/relationships/footer" Target="footer2.xml"/><Relationship Id="rId10" Type="http://schemas.openxmlformats.org/officeDocument/2006/relationships/footer" Target="footer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4098"/>
    <customShpInfo spid="_x0000_s4099"/>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25</Pages>
  <Words>27967</Words>
  <Characters>159417</Characters>
  <Lines>1328</Lines>
  <Paragraphs>374</Paragraphs>
  <TotalTime>139</TotalTime>
  <ScaleCrop>false</ScaleCrop>
  <LinksUpToDate>false</LinksUpToDate>
  <CharactersWithSpaces>187010</CharactersWithSpaces>
  <Application>WPS Office_12.2.0.23196_F1E327BC-269C-435d-A152-05C5408002CA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2026-01-15T05:39:00Z</dcterms:created>
  <dc:creator>HP-PC</dc:creator>
  <cp:lastModifiedBy>NEW USER</cp:lastModifiedBy>
  <dcterms:modified xsi:type="dcterms:W3CDTF">2026-01-21T21:41:10Z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zotero-version="7.0.16"&gt;&lt;session id="n2InqGId"/&gt;&lt;style id="http://www.zotero.org/styles/apa" locale="en-US" hasBibliography="1" bibliographyStyleHasBeenSet="1"/&gt;&lt;prefs&gt;&lt;pref name="fieldType" value="Field"/&gt;&lt;/prefs&gt;&lt;/data&gt;</vt:lpwstr>
  </property>
  <property fmtid="{D5CDD505-2E9C-101B-9397-08002B2CF9AE}" pid="3" name="KSOProductBuildVer">
    <vt:lpwstr>1033-12.2.0.23196</vt:lpwstr>
  </property>
  <property fmtid="{D5CDD505-2E9C-101B-9397-08002B2CF9AE}" pid="4" name="ICV">
    <vt:lpwstr>511EAC614E354CE29641C3044F49F34C_13</vt:lpwstr>
  </property>
</Properties>
</file>