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E591" w14:textId="77777777" w:rsidR="00F234CE" w:rsidRDefault="00F234CE">
      <w:pPr>
        <w:ind w:left="-630"/>
        <w:jc w:val="center"/>
        <w:rPr>
          <w:rFonts w:ascii="Times New Roman" w:eastAsia="Times New Roman" w:hAnsi="Times New Roman" w:cs="Times New Roman"/>
          <w:b/>
          <w:i/>
          <w:sz w:val="40"/>
          <w:szCs w:val="40"/>
        </w:rPr>
      </w:pPr>
    </w:p>
    <w:p w14:paraId="127CC622" w14:textId="1329C7FA" w:rsidR="003F203A" w:rsidRDefault="003F203A">
      <w:pPr>
        <w:jc w:val="center"/>
        <w:rPr>
          <w:rFonts w:ascii="Times New Roman" w:eastAsia="Times New Roman" w:hAnsi="Times New Roman" w:cs="Times New Roman"/>
          <w:b/>
          <w:sz w:val="36"/>
          <w:szCs w:val="36"/>
        </w:rPr>
      </w:pPr>
      <w:r w:rsidRPr="003F203A">
        <w:rPr>
          <w:rFonts w:ascii="Times New Roman" w:eastAsia="Times New Roman" w:hAnsi="Times New Roman" w:cs="Times New Roman"/>
          <w:b/>
          <w:sz w:val="36"/>
          <w:szCs w:val="36"/>
        </w:rPr>
        <w:t>Review Article</w:t>
      </w:r>
    </w:p>
    <w:p w14:paraId="0F16E00B" w14:textId="4510042B" w:rsidR="00F234CE" w:rsidRDefault="00A551CD">
      <w:pPr>
        <w:jc w:val="center"/>
        <w:rPr>
          <w:rFonts w:ascii="Times New Roman" w:eastAsia="Times New Roman" w:hAnsi="Times New Roman" w:cs="Times New Roman"/>
          <w:b/>
          <w:sz w:val="40"/>
          <w:szCs w:val="40"/>
        </w:rPr>
      </w:pPr>
      <w:r>
        <w:rPr>
          <w:rFonts w:ascii="Times New Roman" w:eastAsia="Times New Roman" w:hAnsi="Times New Roman" w:cs="Times New Roman"/>
          <w:b/>
          <w:sz w:val="36"/>
          <w:szCs w:val="36"/>
        </w:rPr>
        <w:t>The Digital Panopticon: How Learning Management Systems Transform Educational Surveillance and Student Agency</w:t>
      </w:r>
    </w:p>
    <w:p w14:paraId="7B9DBCD7" w14:textId="77777777" w:rsidR="00F234CE" w:rsidRDefault="00F234CE">
      <w:pPr>
        <w:ind w:left="-630"/>
        <w:jc w:val="center"/>
        <w:rPr>
          <w:rFonts w:ascii="Times New Roman" w:eastAsia="Times New Roman" w:hAnsi="Times New Roman" w:cs="Times New Roman"/>
          <w:i/>
        </w:rPr>
      </w:pPr>
    </w:p>
    <w:p w14:paraId="6F17C3F2" w14:textId="77777777" w:rsidR="00F234CE" w:rsidRDefault="00F234CE">
      <w:pPr>
        <w:jc w:val="center"/>
        <w:rPr>
          <w:rFonts w:ascii="Times New Roman" w:eastAsia="Times New Roman" w:hAnsi="Times New Roman" w:cs="Times New Roman"/>
          <w:b/>
        </w:rPr>
      </w:pPr>
    </w:p>
    <w:p w14:paraId="556CCC8B" w14:textId="77777777" w:rsidR="00440996" w:rsidRDefault="00440996">
      <w:pPr>
        <w:rPr>
          <w:rFonts w:ascii="Times New Roman" w:eastAsia="Times New Roman" w:hAnsi="Times New Roman" w:cs="Times New Roman"/>
        </w:rPr>
      </w:pPr>
    </w:p>
    <w:p w14:paraId="356D10C3"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Abstract</w:t>
      </w:r>
    </w:p>
    <w:p w14:paraId="3428CDB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Learning Management Systems (LMS) have significantly transformed higher education by integrating advanced surveillance features that change how students and instructors interact. While these platforms are promoted as teaching aids, they often create a "digital panopticon," where continuous monitoring becomes routine, prioritizing compliance and data collection over meaningful engagement and educational development. This report explores surveillance functions in leading LMS platforms, student response patterns, and the psychological effects of extensive oversight. By comparing traditional and digital </w:t>
      </w:r>
      <w:commentRangeStart w:id="0"/>
      <w:r>
        <w:rPr>
          <w:rFonts w:ascii="Times New Roman" w:eastAsia="Times New Roman" w:hAnsi="Times New Roman" w:cs="Times New Roman"/>
        </w:rPr>
        <w:t xml:space="preserve">surveillance practices, it demonstrates how educational technology shifts learning environments from collaborative </w:t>
      </w:r>
      <w:commentRangeEnd w:id="0"/>
      <w:r w:rsidR="006529C4">
        <w:rPr>
          <w:rStyle w:val="CommentReference"/>
          <w:rFonts w:ascii="Times New Roman" w:eastAsia="Times New Roman" w:hAnsi="Times New Roman" w:cs="Times New Roman"/>
          <w:sz w:val="24"/>
          <w:szCs w:val="24"/>
        </w:rPr>
        <w:commentReference w:id="0"/>
      </w:r>
      <w:r>
        <w:rPr>
          <w:rFonts w:ascii="Times New Roman" w:eastAsia="Times New Roman" w:hAnsi="Times New Roman" w:cs="Times New Roman"/>
        </w:rPr>
        <w:t>spaces to systems that control behavior. The paper concludes with recommendations for ethically utilizing technology to promote student agency and genuine learning, rather than merely monitoring compliance.</w:t>
      </w:r>
    </w:p>
    <w:p w14:paraId="1C682319"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Learning Management Systems, Pedagogical Tools, Surveillance Functionalities, Technological Integration.</w:t>
      </w:r>
      <w:r>
        <w:rPr>
          <w:rFonts w:ascii="Times New Roman" w:eastAsia="Times New Roman" w:hAnsi="Times New Roman" w:cs="Times New Roman"/>
          <w:b/>
        </w:rPr>
        <w:t xml:space="preserve"> </w:t>
      </w:r>
    </w:p>
    <w:p w14:paraId="62172C1B" w14:textId="55A42C6F" w:rsidR="00F234CE" w:rsidRPr="009F03C6" w:rsidRDefault="00A551CD" w:rsidP="009F03C6">
      <w:pPr>
        <w:pStyle w:val="ListParagraph"/>
        <w:numPr>
          <w:ilvl w:val="0"/>
          <w:numId w:val="2"/>
        </w:numPr>
        <w:jc w:val="center"/>
        <w:rPr>
          <w:rFonts w:ascii="Times New Roman" w:eastAsia="Times New Roman" w:hAnsi="Times New Roman" w:cs="Times New Roman"/>
          <w:b/>
        </w:rPr>
      </w:pPr>
      <w:r w:rsidRPr="009F03C6">
        <w:rPr>
          <w:rFonts w:ascii="Times New Roman" w:eastAsia="Times New Roman" w:hAnsi="Times New Roman" w:cs="Times New Roman"/>
          <w:b/>
        </w:rPr>
        <w:t>Introduction</w:t>
      </w:r>
    </w:p>
    <w:p w14:paraId="2E03E03A" w14:textId="77777777" w:rsidR="00F234CE" w:rsidRDefault="00A551CD">
      <w:pPr>
        <w:rPr>
          <w:rFonts w:ascii="Times New Roman" w:eastAsia="Times New Roman" w:hAnsi="Times New Roman" w:cs="Times New Roman"/>
        </w:rPr>
      </w:pPr>
      <w:r>
        <w:rPr>
          <w:rFonts w:ascii="Times New Roman" w:eastAsia="Times New Roman" w:hAnsi="Times New Roman" w:cs="Times New Roman"/>
          <w:color w:val="222222"/>
          <w:highlight w:val="white"/>
        </w:rPr>
        <w:t>Learning Management Systems (LMS) are widely used in higher education, providing a virtual space for interaction, resource sharing, and tracking student progress (Zhao, 2018). They enhance flexibility and accessibility, qualities that are becoming increasingly important as remote and hybrid learning expand across various education levels (Bervell et al., 2020). Moreover, LMS platforms have become vital in education, serving as centralized digital hubs for course materials, communication, and assessments (Mohd et al., 2021).</w:t>
      </w:r>
    </w:p>
    <w:p w14:paraId="65BDD16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Higher education's shift to digital technologies marks a major turning point in the development of education. As Learning Management Systems (LMS) become increasingly crucial for sharing educational content, it's clear that an evaluation framework is needed to gauge their success in </w:t>
      </w:r>
      <w:r>
        <w:rPr>
          <w:rFonts w:ascii="Times New Roman" w:eastAsia="Times New Roman" w:hAnsi="Times New Roman" w:cs="Times New Roman"/>
        </w:rPr>
        <w:lastRenderedPageBreak/>
        <w:t xml:space="preserve">meeting educational goals. Over the past 20 years, LMS have transformed from simple content delivery platforms to complex digital systems that manage almost every aspect of education. Initially designed to support online learning and administrative tasks, they've evolved into advanced surveillance tools that can monitor, record, and analyze student activities with great accuracy. </w:t>
      </w:r>
    </w:p>
    <w:p w14:paraId="3E186A4A"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This shift to digital technology happens within the larger framework of surveillance capitalism, a system where gathering data and regulating behavior are key to technological progress and use (Zuboff, 2019). As educational institutions face pressure to demonstrate accountability, improve student retention, and utilize resources more effectively, they're increasingly </w:t>
      </w:r>
      <w:commentRangeStart w:id="1"/>
      <w:r>
        <w:rPr>
          <w:rFonts w:ascii="Times New Roman" w:eastAsia="Times New Roman" w:hAnsi="Times New Roman" w:cs="Times New Roman"/>
        </w:rPr>
        <w:t>adopting</w:t>
      </w:r>
      <w:commentRangeEnd w:id="1"/>
      <w:r w:rsidR="006529C4">
        <w:rPr>
          <w:rStyle w:val="CommentReference"/>
          <w:rFonts w:ascii="Times New Roman" w:eastAsia="Times New Roman" w:hAnsi="Times New Roman" w:cs="Times New Roman"/>
          <w:sz w:val="24"/>
          <w:szCs w:val="24"/>
        </w:rPr>
        <w:commentReference w:id="1"/>
      </w:r>
      <w:r>
        <w:rPr>
          <w:rFonts w:ascii="Times New Roman" w:eastAsia="Times New Roman" w:hAnsi="Times New Roman" w:cs="Times New Roman"/>
        </w:rPr>
        <w:t xml:space="preserve"> surveillance technologies without fully thinking through the impact on student autonomy, privacy, and academic results.</w:t>
      </w:r>
    </w:p>
    <w:p w14:paraId="49B25FF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COVID-19 pandemic significantly accelerated this trend, as institutions quickly adopted digital proctoring systems and expanded LMS monitoring to keep academic activities running during remote learning. This emergency rollout often bypassed usual privacy protections and consent procedures, resulting in surveillance practices that have persisted even after in-person classes resumed. The outcome is an educational environment where comprehensive monitoring has become the standard, not the exception.</w:t>
      </w:r>
    </w:p>
    <w:p w14:paraId="5B195536"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This report critically analyzes how Learning Management Systems (LMS) function as digital surveillance tools in higher education, examining their effects on student agency and educational relationships. It also considers alternatives that emphasize learning over monitoring. The goal is to reveal the often-invisible surveillance infrastructure embedded in educational technology and evaluate its impact on student behavior, privacy, and authentic learning engagement.</w:t>
      </w:r>
    </w:p>
    <w:p w14:paraId="75E6CC7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This research explores the extent of digital surveillance in higher education to help inform decisions about educational technology. It advocates strategies that protect student autonomy and foster meaningful learning outcomes. The study provides a clear framework for understanding how surveillance systems function in educational settings and offers practical guidance for developing more ethical and effective learning environments.</w:t>
      </w:r>
    </w:p>
    <w:p w14:paraId="323EAE86"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This report addresses the following primary research questions</w:t>
      </w:r>
      <w:r>
        <w:rPr>
          <w:rFonts w:ascii="Times New Roman" w:eastAsia="Times New Roman" w:hAnsi="Times New Roman" w:cs="Times New Roman"/>
        </w:rPr>
        <w:t>:</w:t>
      </w:r>
    </w:p>
    <w:p w14:paraId="29BA14A3"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RQ 1:</w:t>
      </w:r>
      <w:r>
        <w:rPr>
          <w:rFonts w:ascii="Times New Roman" w:eastAsia="Times New Roman" w:hAnsi="Times New Roman" w:cs="Times New Roman"/>
        </w:rPr>
        <w:t xml:space="preserve"> How do Learning Management Systems shift educational relationships from collaborative partnerships to systems of behavioral surveillance?</w:t>
      </w:r>
    </w:p>
    <w:p w14:paraId="62B66F67"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RQ 2</w:t>
      </w:r>
      <w:r>
        <w:rPr>
          <w:rFonts w:ascii="Times New Roman" w:eastAsia="Times New Roman" w:hAnsi="Times New Roman" w:cs="Times New Roman"/>
        </w:rPr>
        <w:t>: What are the surveillance-related implications for student agency and authentic learning?</w:t>
      </w:r>
    </w:p>
    <w:p w14:paraId="0BDCB97C"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These two central questions encompass several interconnected dimensions:</w:t>
      </w:r>
    </w:p>
    <w:p w14:paraId="2DC46F36" w14:textId="77777777" w:rsidR="00F234CE" w:rsidRDefault="00A551CD">
      <w:pPr>
        <w:numPr>
          <w:ilvl w:val="0"/>
          <w:numId w:val="1"/>
        </w:numPr>
        <w:rPr>
          <w:rFonts w:ascii="Times New Roman" w:eastAsia="Times New Roman" w:hAnsi="Times New Roman" w:cs="Times New Roman"/>
        </w:rPr>
      </w:pPr>
      <w:r>
        <w:rPr>
          <w:rFonts w:ascii="Times New Roman" w:eastAsia="Times New Roman" w:hAnsi="Times New Roman" w:cs="Times New Roman"/>
        </w:rPr>
        <w:t>Specific surveillance mechanisms within contemporary LMS platforms</w:t>
      </w:r>
    </w:p>
    <w:p w14:paraId="63EB480D" w14:textId="77777777" w:rsidR="00F234CE" w:rsidRDefault="00A551CD">
      <w:pPr>
        <w:numPr>
          <w:ilvl w:val="0"/>
          <w:numId w:val="1"/>
        </w:numPr>
        <w:rPr>
          <w:rFonts w:ascii="Times New Roman" w:eastAsia="Times New Roman" w:hAnsi="Times New Roman" w:cs="Times New Roman"/>
        </w:rPr>
      </w:pPr>
      <w:r>
        <w:rPr>
          <w:rFonts w:ascii="Times New Roman" w:eastAsia="Times New Roman" w:hAnsi="Times New Roman" w:cs="Times New Roman"/>
        </w:rPr>
        <w:t>Students' responses and behavioral adaptation in response to digital monitoring?</w:t>
      </w:r>
    </w:p>
    <w:p w14:paraId="543807F8" w14:textId="77777777" w:rsidR="00F234CE" w:rsidRDefault="00A551CD">
      <w:pPr>
        <w:numPr>
          <w:ilvl w:val="0"/>
          <w:numId w:val="1"/>
        </w:numPr>
        <w:rPr>
          <w:rFonts w:ascii="Times New Roman" w:eastAsia="Times New Roman" w:hAnsi="Times New Roman" w:cs="Times New Roman"/>
        </w:rPr>
      </w:pPr>
      <w:r>
        <w:rPr>
          <w:rFonts w:ascii="Times New Roman" w:eastAsia="Times New Roman" w:hAnsi="Times New Roman" w:cs="Times New Roman"/>
        </w:rPr>
        <w:t>Psychological and educational impacts of pervasive surveillance</w:t>
      </w:r>
    </w:p>
    <w:p w14:paraId="0496887E" w14:textId="77777777" w:rsidR="00F234CE" w:rsidRDefault="00A551CD">
      <w:pPr>
        <w:numPr>
          <w:ilvl w:val="0"/>
          <w:numId w:val="1"/>
        </w:numPr>
        <w:rPr>
          <w:rFonts w:ascii="Times New Roman" w:eastAsia="Times New Roman" w:hAnsi="Times New Roman" w:cs="Times New Roman"/>
          <w:b/>
        </w:rPr>
      </w:pPr>
      <w:r>
        <w:rPr>
          <w:rFonts w:ascii="Times New Roman" w:eastAsia="Times New Roman" w:hAnsi="Times New Roman" w:cs="Times New Roman"/>
        </w:rPr>
        <w:lastRenderedPageBreak/>
        <w:t>Alternative assessment and monitoring approaches to maintain academic integrity while preserving student privacy and autonomy</w:t>
      </w:r>
    </w:p>
    <w:p w14:paraId="1DFF039F" w14:textId="620330E4" w:rsidR="00F234CE" w:rsidRPr="009F03C6" w:rsidRDefault="00A551CD" w:rsidP="009F03C6">
      <w:pPr>
        <w:pStyle w:val="ListParagraph"/>
        <w:numPr>
          <w:ilvl w:val="0"/>
          <w:numId w:val="2"/>
        </w:numPr>
        <w:jc w:val="center"/>
        <w:rPr>
          <w:rFonts w:ascii="Times New Roman" w:eastAsia="Times New Roman" w:hAnsi="Times New Roman" w:cs="Times New Roman"/>
          <w:b/>
        </w:rPr>
      </w:pPr>
      <w:r w:rsidRPr="009F03C6">
        <w:rPr>
          <w:rFonts w:ascii="Times New Roman" w:eastAsia="Times New Roman" w:hAnsi="Times New Roman" w:cs="Times New Roman"/>
          <w:b/>
        </w:rPr>
        <w:t>Scope and Significance</w:t>
      </w:r>
    </w:p>
    <w:p w14:paraId="5B3AA6EE"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digital transformation of education has not only shifted learning to advanced technological platforms but has also fundamentally changed the hierarchy of educational authority and oversight. In traditional classrooms, authority is shown through direct, personal interactions. In contrast, Learning Management Systems (LMS) incorporate monitoring tools directly into the educational interface, creating a digital panopticon where constant observation becomes a subtle and normalized part of the learning process. </w:t>
      </w:r>
    </w:p>
    <w:p w14:paraId="7422CCD4"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Recently, there has been a surge in the global use of e-learning systems, mainly due to the limitations of traditional education in terms of time and space (Al-Nuaimi &amp; Al-Emran, 2021; Lavidas et al., 2022). Key e-learning platforms include learning management systems (LMS), learning content management systems (LCMS), learning design systems (LDS), and learning support systems (LSS) (Mustafa &amp; Ali, 2023). An LMS is a comprehensive, web-based platform that supports teaching and learning activities (Al-Nuaimi &amp; Al-Emran, 2021; Gamage et al., 2022). It offers a fully customizable, free environment, with Moodle being a leading example that supports educational initiatives. The widespread adoption of these platforms by academic staff has prompted the development of policies for open-source applications, which are favored by scholars and students, future contributors to education. However, the high flexibility of these platforms also brings specific challenges in effectively supporting the educational process. Educators utilize LMSs for various tasks, including delivering and managing learning content, assessing student performance via assignments and quizzes, managing resources, creating content, preparing materials, and organizing study groups (AlQudah, 2014). </w:t>
      </w:r>
    </w:p>
    <w:p w14:paraId="7618CF1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Various learning management systems (LMSs) are available today. Some, like Blackboard, are commercially developed, while others, such as Moodle, are open-source platforms (Saleem et al., 2016). These tools are widely used in higher education institutions (Al-Nuaimi &amp; Al-Emran, M., 2021; Chaw &amp; Tang, 2018). They support continuous learning regardless of location or time, helping to make education more accessible (Saleem et al., 2016). Additionally, LMSs enhance both the educational experience and administrative efficiency (Taamneh et al., 2022). They primarily support online learning in both asynchronous and synchronous formats, offering features like digital resource organization, instant messaging, content publishing, assignment management, student progress tracking, and blogging tools. While all LMSs have essential functions, some offer more advanced, flexible, and comprehensive features such as role management, task assignment, and chat functionalities (Saleem et al., 2016).</w:t>
      </w:r>
    </w:p>
    <w:p w14:paraId="30CD526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Modern Learning Management Systems (LMS) platforms incorporate advanced monitoring tools that go beyond basic progress tracking. These tools collect detailed behavioral data, use predictive analytics to identify students who may be at risk, and include proctoring technologies that supervise students even in private settings. This extensive surveillance system is the largest </w:t>
      </w:r>
      <w:r>
        <w:rPr>
          <w:rFonts w:ascii="Times New Roman" w:eastAsia="Times New Roman" w:hAnsi="Times New Roman" w:cs="Times New Roman"/>
        </w:rPr>
        <w:lastRenderedPageBreak/>
        <w:t xml:space="preserve">in educational history, operating with minimal regulation and limited student consent. </w:t>
      </w:r>
      <w:r>
        <w:rPr>
          <w:rFonts w:ascii="Times New Roman" w:eastAsia="Times New Roman" w:hAnsi="Times New Roman" w:cs="Times New Roman"/>
          <w:color w:val="222222"/>
        </w:rPr>
        <w:t>Research</w:t>
      </w:r>
      <w:r>
        <w:rPr>
          <w:rFonts w:ascii="Times New Roman" w:eastAsia="Times New Roman" w:hAnsi="Times New Roman" w:cs="Times New Roman"/>
        </w:rPr>
        <w:t xml:space="preserve"> </w:t>
      </w:r>
      <w:r>
        <w:rPr>
          <w:rFonts w:ascii="Times New Roman" w:eastAsia="Times New Roman" w:hAnsi="Times New Roman" w:cs="Times New Roman"/>
          <w:color w:val="222222"/>
        </w:rPr>
        <w:t>has</w:t>
      </w:r>
      <w:r>
        <w:rPr>
          <w:rFonts w:ascii="Times New Roman" w:eastAsia="Times New Roman" w:hAnsi="Times New Roman" w:cs="Times New Roman"/>
        </w:rPr>
        <w:t xml:space="preserve"> </w:t>
      </w:r>
      <w:r>
        <w:rPr>
          <w:rFonts w:ascii="Times New Roman" w:eastAsia="Times New Roman" w:hAnsi="Times New Roman" w:cs="Times New Roman"/>
          <w:color w:val="222222"/>
        </w:rPr>
        <w:t>explored students' perspectives on LMS platforms,</w:t>
      </w:r>
      <w:r>
        <w:rPr>
          <w:rFonts w:ascii="Times New Roman" w:eastAsia="Times New Roman" w:hAnsi="Times New Roman" w:cs="Times New Roman"/>
        </w:rPr>
        <w:t xml:space="preserve"> </w:t>
      </w:r>
      <w:r>
        <w:rPr>
          <w:rFonts w:ascii="Times New Roman" w:eastAsia="Times New Roman" w:hAnsi="Times New Roman" w:cs="Times New Roman"/>
          <w:color w:val="222222"/>
        </w:rPr>
        <w:t>including their</w:t>
      </w:r>
      <w:r>
        <w:rPr>
          <w:rFonts w:ascii="Times New Roman" w:eastAsia="Times New Roman" w:hAnsi="Times New Roman" w:cs="Times New Roman"/>
        </w:rPr>
        <w:t xml:space="preserve"> </w:t>
      </w:r>
      <w:r>
        <w:rPr>
          <w:rFonts w:ascii="Times New Roman" w:eastAsia="Times New Roman" w:hAnsi="Times New Roman" w:cs="Times New Roman"/>
          <w:color w:val="222222"/>
        </w:rPr>
        <w:t>satisfaction,</w:t>
      </w:r>
      <w:r>
        <w:rPr>
          <w:rFonts w:ascii="Times New Roman" w:eastAsia="Times New Roman" w:hAnsi="Times New Roman" w:cs="Times New Roman"/>
        </w:rPr>
        <w:t xml:space="preserve"> </w:t>
      </w:r>
      <w:r>
        <w:rPr>
          <w:rFonts w:ascii="Times New Roman" w:eastAsia="Times New Roman" w:hAnsi="Times New Roman" w:cs="Times New Roman"/>
          <w:color w:val="222222"/>
        </w:rPr>
        <w:t>engagement,</w:t>
      </w:r>
      <w:r>
        <w:rPr>
          <w:rFonts w:ascii="Times New Roman" w:eastAsia="Times New Roman" w:hAnsi="Times New Roman" w:cs="Times New Roman"/>
        </w:rPr>
        <w:t xml:space="preserve"> </w:t>
      </w:r>
      <w:r>
        <w:rPr>
          <w:rFonts w:ascii="Times New Roman" w:eastAsia="Times New Roman" w:hAnsi="Times New Roman" w:cs="Times New Roman"/>
          <w:color w:val="222222"/>
        </w:rPr>
        <w:t>and</w:t>
      </w:r>
      <w:r>
        <w:rPr>
          <w:rFonts w:ascii="Times New Roman" w:eastAsia="Times New Roman" w:hAnsi="Times New Roman" w:cs="Times New Roman"/>
        </w:rPr>
        <w:t xml:space="preserve"> </w:t>
      </w:r>
      <w:r>
        <w:rPr>
          <w:rFonts w:ascii="Times New Roman" w:eastAsia="Times New Roman" w:hAnsi="Times New Roman" w:cs="Times New Roman"/>
          <w:color w:val="222222"/>
        </w:rPr>
        <w:t>opinions on how LMS use affects their</w:t>
      </w:r>
      <w:r>
        <w:rPr>
          <w:rFonts w:ascii="Times New Roman" w:eastAsia="Times New Roman" w:hAnsi="Times New Roman" w:cs="Times New Roman"/>
        </w:rPr>
        <w:t xml:space="preserve"> </w:t>
      </w:r>
      <w:r>
        <w:rPr>
          <w:rFonts w:ascii="Times New Roman" w:eastAsia="Times New Roman" w:hAnsi="Times New Roman" w:cs="Times New Roman"/>
          <w:color w:val="222222"/>
        </w:rPr>
        <w:t>learning experiences. Despite increased adoption of</w:t>
      </w:r>
      <w:r>
        <w:rPr>
          <w:rFonts w:ascii="Times New Roman" w:eastAsia="Times New Roman" w:hAnsi="Times New Roman" w:cs="Times New Roman"/>
        </w:rPr>
        <w:t xml:space="preserve"> </w:t>
      </w:r>
      <w:r>
        <w:rPr>
          <w:rFonts w:ascii="Times New Roman" w:eastAsia="Times New Roman" w:hAnsi="Times New Roman" w:cs="Times New Roman"/>
          <w:color w:val="222222"/>
        </w:rPr>
        <w:t>LMS in higher</w:t>
      </w:r>
      <w:r>
        <w:rPr>
          <w:rFonts w:ascii="Times New Roman" w:eastAsia="Times New Roman" w:hAnsi="Times New Roman" w:cs="Times New Roman"/>
        </w:rPr>
        <w:t xml:space="preserve"> </w:t>
      </w:r>
      <w:r>
        <w:rPr>
          <w:rFonts w:ascii="Times New Roman" w:eastAsia="Times New Roman" w:hAnsi="Times New Roman" w:cs="Times New Roman"/>
          <w:color w:val="222222"/>
        </w:rPr>
        <w:t>education, many</w:t>
      </w:r>
      <w:r>
        <w:rPr>
          <w:rFonts w:ascii="Times New Roman" w:eastAsia="Times New Roman" w:hAnsi="Times New Roman" w:cs="Times New Roman"/>
        </w:rPr>
        <w:t xml:space="preserve"> </w:t>
      </w:r>
      <w:r>
        <w:rPr>
          <w:rFonts w:ascii="Times New Roman" w:eastAsia="Times New Roman" w:hAnsi="Times New Roman" w:cs="Times New Roman"/>
          <w:color w:val="222222"/>
        </w:rPr>
        <w:t>issues remain, especially</w:t>
      </w:r>
      <w:r>
        <w:rPr>
          <w:rFonts w:ascii="Times New Roman" w:eastAsia="Times New Roman" w:hAnsi="Times New Roman" w:cs="Times New Roman"/>
        </w:rPr>
        <w:t xml:space="preserve"> </w:t>
      </w:r>
      <w:r>
        <w:rPr>
          <w:rFonts w:ascii="Times New Roman" w:eastAsia="Times New Roman" w:hAnsi="Times New Roman" w:cs="Times New Roman"/>
          <w:color w:val="222222"/>
        </w:rPr>
        <w:t>regarding how</w:t>
      </w:r>
      <w:r>
        <w:rPr>
          <w:rFonts w:ascii="Times New Roman" w:eastAsia="Times New Roman" w:hAnsi="Times New Roman" w:cs="Times New Roman"/>
        </w:rPr>
        <w:t xml:space="preserve"> </w:t>
      </w:r>
      <w:r>
        <w:rPr>
          <w:rFonts w:ascii="Times New Roman" w:eastAsia="Times New Roman" w:hAnsi="Times New Roman" w:cs="Times New Roman"/>
          <w:color w:val="222222"/>
        </w:rPr>
        <w:t>both</w:t>
      </w:r>
      <w:r>
        <w:rPr>
          <w:rFonts w:ascii="Times New Roman" w:eastAsia="Times New Roman" w:hAnsi="Times New Roman" w:cs="Times New Roman"/>
        </w:rPr>
        <w:t xml:space="preserve"> </w:t>
      </w:r>
      <w:r>
        <w:rPr>
          <w:rFonts w:ascii="Times New Roman" w:eastAsia="Times New Roman" w:hAnsi="Times New Roman" w:cs="Times New Roman"/>
          <w:color w:val="222222"/>
        </w:rPr>
        <w:t>educators and</w:t>
      </w:r>
      <w:r>
        <w:rPr>
          <w:rFonts w:ascii="Times New Roman" w:eastAsia="Times New Roman" w:hAnsi="Times New Roman" w:cs="Times New Roman"/>
        </w:rPr>
        <w:t xml:space="preserve"> </w:t>
      </w:r>
      <w:r>
        <w:rPr>
          <w:rFonts w:ascii="Times New Roman" w:eastAsia="Times New Roman" w:hAnsi="Times New Roman" w:cs="Times New Roman"/>
          <w:color w:val="222222"/>
        </w:rPr>
        <w:t>students utilize these systems.</w:t>
      </w:r>
      <w:r>
        <w:rPr>
          <w:rFonts w:ascii="Times New Roman" w:eastAsia="Times New Roman" w:hAnsi="Times New Roman" w:cs="Times New Roman"/>
        </w:rPr>
        <w:t xml:space="preserve"> </w:t>
      </w:r>
    </w:p>
    <w:p w14:paraId="4FDE803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This change has implications that extend beyond individual learning, prompting broader discussions about democratic participation, privacy rights, and the technological influence on human decision-making. As a whole generation grows accustomed to viewing widespread surveillance as necessary, concerns rise about its effect on future political and social engagement. Zuboff's (2019) concept of surveillance capitalism offers a key lens for understanding how educational technologies collect behavioral data to predict and influence student behavior. It illustrates how LMS platforms transform students into data </w:t>
      </w:r>
      <w:commentRangeStart w:id="2"/>
      <w:r>
        <w:rPr>
          <w:rFonts w:ascii="Times New Roman" w:eastAsia="Times New Roman" w:hAnsi="Times New Roman" w:cs="Times New Roman"/>
        </w:rPr>
        <w:t>sources, with every digital interaction serving as a point for measurement and control.</w:t>
      </w:r>
    </w:p>
    <w:p w14:paraId="25EADA6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García-Peñalvo and Durán-Escudero (2024) conducted a systematic review on LMS adoption in higher education, emphasizing that institutional analytics are increasingly influencing faculty </w:t>
      </w:r>
      <w:commentRangeEnd w:id="2"/>
      <w:r w:rsidR="005872EA">
        <w:rPr>
          <w:rStyle w:val="CommentReference"/>
          <w:rFonts w:ascii="Times New Roman" w:eastAsia="Times New Roman" w:hAnsi="Times New Roman" w:cs="Times New Roman"/>
          <w:sz w:val="24"/>
          <w:szCs w:val="24"/>
        </w:rPr>
        <w:commentReference w:id="2"/>
      </w:r>
      <w:r>
        <w:rPr>
          <w:rFonts w:ascii="Times New Roman" w:eastAsia="Times New Roman" w:hAnsi="Times New Roman" w:cs="Times New Roman"/>
        </w:rPr>
        <w:t>usage. Their review of quantitative studies from 2013 to 2023 shows that surveillance features in LMS platforms affect teaching practices, often prioritizing data collection over educational effectiveness.</w:t>
      </w:r>
    </w:p>
    <w:p w14:paraId="3DC8D83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Educational </w:t>
      </w:r>
      <w:commentRangeStart w:id="3"/>
      <w:r>
        <w:rPr>
          <w:rFonts w:ascii="Times New Roman" w:eastAsia="Times New Roman" w:hAnsi="Times New Roman" w:cs="Times New Roman"/>
        </w:rPr>
        <w:t xml:space="preserve">technology surveillance </w:t>
      </w:r>
      <w:commentRangeEnd w:id="3"/>
      <w:r w:rsidR="004A37A3">
        <w:rPr>
          <w:rStyle w:val="CommentReference"/>
          <w:rFonts w:ascii="Times New Roman" w:eastAsia="Times New Roman" w:hAnsi="Times New Roman" w:cs="Times New Roman"/>
          <w:sz w:val="24"/>
          <w:szCs w:val="24"/>
        </w:rPr>
        <w:commentReference w:id="3"/>
      </w:r>
      <w:r>
        <w:rPr>
          <w:rFonts w:ascii="Times New Roman" w:eastAsia="Times New Roman" w:hAnsi="Times New Roman" w:cs="Times New Roman"/>
        </w:rPr>
        <w:t>has grown rapidly in tandem with a significant expansion of the market. The global e-learning sector is projected to reach $740.46 billion by 2032, with corporate LMS markets expected to grow at a 23.8% compound annual rate through 2030 (Research and Markets, 2025; Straits Research, 2024). Despite this substantial growth, investments in educational technology dropped to $2.4 billion in 2024, the lowest since 2015 (Holon IQ, 2025), indicating the market is maturing and possibly consolidating around surveillance-focused platforms.</w:t>
      </w:r>
    </w:p>
    <w:p w14:paraId="5D1B7E0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Recent research on digital proctoring has raised significant concerns about privacy. Chen and Rodriguez (2024) describe proctoring software as creating "unprecedented levels of surveillance" through webcam, microphone, and screen monitoring, with data often stored for long periods. Martinez (2024) points out that these surveillance tools can "threaten student privacy and produce false positives that may result in disciplinary measures," and sometimes, sensitive information is accessible online. The New America Foundation (2024) stresses that "privacy is vital for student development, creativity, and self-discovery." It highlights the importance of students trusting that they are not under constant surveillance, allowing them to feel secure in taking intellectual risks and engaging in creative pursuits.</w:t>
      </w:r>
    </w:p>
    <w:p w14:paraId="02BFFB9D" w14:textId="47FB75E3" w:rsidR="00F234CE" w:rsidRPr="009F03C6" w:rsidRDefault="00A551CD" w:rsidP="009F03C6">
      <w:pPr>
        <w:pStyle w:val="ListParagraph"/>
        <w:numPr>
          <w:ilvl w:val="0"/>
          <w:numId w:val="2"/>
        </w:numPr>
        <w:spacing w:after="0"/>
        <w:jc w:val="center"/>
        <w:rPr>
          <w:rFonts w:ascii="Times New Roman" w:eastAsia="Times New Roman" w:hAnsi="Times New Roman" w:cs="Times New Roman"/>
          <w:b/>
        </w:rPr>
      </w:pPr>
      <w:r w:rsidRPr="009F03C6">
        <w:rPr>
          <w:rFonts w:ascii="Times New Roman" w:eastAsia="Times New Roman" w:hAnsi="Times New Roman" w:cs="Times New Roman"/>
          <w:b/>
        </w:rPr>
        <w:t>Methodology</w:t>
      </w:r>
    </w:p>
    <w:p w14:paraId="1A247AAC"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Conducting systematic literature reviews is an effective method for gathering and synthesizing the latest research on a topic (</w:t>
      </w:r>
      <w:commentRangeStart w:id="4"/>
      <w:r>
        <w:rPr>
          <w:rFonts w:ascii="Times New Roman" w:eastAsia="Times New Roman" w:hAnsi="Times New Roman" w:cs="Times New Roman"/>
        </w:rPr>
        <w:t>Linnenluecke et al., 2020</w:t>
      </w:r>
      <w:commentRangeEnd w:id="4"/>
      <w:r w:rsidR="004A2E8E">
        <w:rPr>
          <w:rStyle w:val="CommentReference"/>
          <w:rFonts w:ascii="Times New Roman" w:eastAsia="Times New Roman" w:hAnsi="Times New Roman" w:cs="Times New Roman"/>
          <w:sz w:val="24"/>
          <w:szCs w:val="24"/>
        </w:rPr>
        <w:commentReference w:id="4"/>
      </w:r>
      <w:r>
        <w:rPr>
          <w:rFonts w:ascii="Times New Roman" w:eastAsia="Times New Roman" w:hAnsi="Times New Roman" w:cs="Times New Roman"/>
        </w:rPr>
        <w:t xml:space="preserve">). This study adheres to </w:t>
      </w:r>
      <w:commentRangeStart w:id="5"/>
      <w:r>
        <w:rPr>
          <w:rFonts w:ascii="Times New Roman" w:eastAsia="Times New Roman" w:hAnsi="Times New Roman" w:cs="Times New Roman"/>
        </w:rPr>
        <w:t xml:space="preserve">the PRISMA </w:t>
      </w:r>
      <w:commentRangeEnd w:id="5"/>
      <w:r w:rsidR="00DF0B00">
        <w:rPr>
          <w:rStyle w:val="CommentReference"/>
          <w:rFonts w:ascii="Times New Roman" w:eastAsia="Times New Roman" w:hAnsi="Times New Roman" w:cs="Times New Roman"/>
          <w:sz w:val="24"/>
          <w:szCs w:val="24"/>
        </w:rPr>
        <w:commentReference w:id="5"/>
      </w:r>
      <w:r>
        <w:rPr>
          <w:rFonts w:ascii="Times New Roman" w:eastAsia="Times New Roman" w:hAnsi="Times New Roman" w:cs="Times New Roman"/>
        </w:rPr>
        <w:t xml:space="preserve">2020 guidelines, the most widely accepted framework for rigorous reviews (Page et al., 2021). </w:t>
      </w:r>
      <w:r>
        <w:rPr>
          <w:rFonts w:ascii="Times New Roman" w:eastAsia="Times New Roman" w:hAnsi="Times New Roman" w:cs="Times New Roman"/>
        </w:rPr>
        <w:lastRenderedPageBreak/>
        <w:t xml:space="preserve">The PRISMA process comprises four key steps: searching databases for relevant studies, screening records based on specific criteria, evaluating full-text articles for relevance and quality, and extracting and combining data from the selected studies. By following this structured approach, the review process becomes more transparent, reproducible, and comprehensive, thereby helping to minimize bias and ensure a more accurate assessment. </w:t>
      </w:r>
    </w:p>
    <w:p w14:paraId="0482DAA7" w14:textId="77777777" w:rsidR="00F234CE" w:rsidRDefault="00F234CE">
      <w:pPr>
        <w:spacing w:after="0"/>
        <w:rPr>
          <w:rFonts w:ascii="Times New Roman" w:eastAsia="Times New Roman" w:hAnsi="Times New Roman" w:cs="Times New Roman"/>
          <w:color w:val="FF0000"/>
        </w:rPr>
      </w:pPr>
    </w:p>
    <w:p w14:paraId="2B0AEBB2" w14:textId="0B2D0415" w:rsidR="00F234CE" w:rsidRDefault="009F03C6">
      <w:pPr>
        <w:spacing w:after="0"/>
        <w:rPr>
          <w:rFonts w:ascii="Times New Roman" w:eastAsia="Times New Roman" w:hAnsi="Times New Roman" w:cs="Times New Roman"/>
          <w:b/>
        </w:rPr>
      </w:pPr>
      <w:r>
        <w:rPr>
          <w:rFonts w:ascii="Times New Roman" w:eastAsia="Times New Roman" w:hAnsi="Times New Roman" w:cs="Times New Roman"/>
          <w:b/>
        </w:rPr>
        <w:t>3.1 Eligibility Criteria</w:t>
      </w:r>
    </w:p>
    <w:p w14:paraId="5D00D9E3" w14:textId="77777777" w:rsidR="00F234CE" w:rsidRDefault="00F234CE">
      <w:pPr>
        <w:spacing w:after="0"/>
        <w:rPr>
          <w:rFonts w:ascii="Times New Roman" w:eastAsia="Times New Roman" w:hAnsi="Times New Roman" w:cs="Times New Roman"/>
          <w:b/>
        </w:rPr>
      </w:pPr>
    </w:p>
    <w:p w14:paraId="04B3CB96"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The inclusion criteria focused on studies related to “Surveillance," "Educational technology," "Pedagogical Applications and LMS," and "Technological Innovation." Highlighting these themes helps the researcher gain a comprehensive understanding of “Surveillance Functionality and LMS” in higher education.</w:t>
      </w:r>
    </w:p>
    <w:p w14:paraId="0095DF1C"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09CEFB2" w14:textId="77777777" w:rsidR="00F234CE" w:rsidRDefault="00F234CE">
      <w:pPr>
        <w:spacing w:after="0"/>
        <w:rPr>
          <w:rFonts w:ascii="Times New Roman" w:eastAsia="Times New Roman" w:hAnsi="Times New Roman" w:cs="Times New Roman"/>
        </w:rPr>
      </w:pPr>
    </w:p>
    <w:p w14:paraId="6FA42DD2"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b/>
        </w:rPr>
        <w:t>The following eligibility criteria guided the selection of suitable studies</w:t>
      </w:r>
      <w:r>
        <w:rPr>
          <w:rFonts w:ascii="Times New Roman" w:eastAsia="Times New Roman" w:hAnsi="Times New Roman" w:cs="Times New Roman"/>
        </w:rPr>
        <w:t>:</w:t>
      </w:r>
    </w:p>
    <w:p w14:paraId="087EB270"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Time Frame</w:t>
      </w:r>
      <w:r>
        <w:rPr>
          <w:rFonts w:ascii="Times New Roman" w:eastAsia="Times New Roman" w:hAnsi="Times New Roman" w:cs="Times New Roman"/>
        </w:rPr>
        <w:t>: Research published from 2020 to December 2025, to capture the last five years.</w:t>
      </w:r>
    </w:p>
    <w:p w14:paraId="7F902629"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Educational Level</w:t>
      </w:r>
      <w:r>
        <w:rPr>
          <w:rFonts w:ascii="Times New Roman" w:eastAsia="Times New Roman" w:hAnsi="Times New Roman" w:cs="Times New Roman"/>
        </w:rPr>
        <w:t>: Studies related to post-secondary institutions such as universities and colleges.</w:t>
      </w:r>
    </w:p>
    <w:p w14:paraId="5814EAEE"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Publication Type</w:t>
      </w:r>
      <w:r>
        <w:rPr>
          <w:rFonts w:ascii="Times New Roman" w:eastAsia="Times New Roman" w:hAnsi="Times New Roman" w:cs="Times New Roman"/>
        </w:rPr>
        <w:t>: Peer-reviewed articles and relevant conference papers presenting either theoretical or empirical results.</w:t>
      </w:r>
    </w:p>
    <w:p w14:paraId="35858600"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E728A29"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 xml:space="preserve">The researchers carefully examined available online resources, leading to the identification of </w:t>
      </w:r>
      <w:commentRangeStart w:id="6"/>
      <w:r>
        <w:rPr>
          <w:rFonts w:ascii="Times New Roman" w:eastAsia="Times New Roman" w:hAnsi="Times New Roman" w:cs="Times New Roman"/>
        </w:rPr>
        <w:t xml:space="preserve">28 </w:t>
      </w:r>
      <w:commentRangeEnd w:id="6"/>
      <w:r w:rsidR="00DF0B00">
        <w:rPr>
          <w:rStyle w:val="CommentReference"/>
          <w:rFonts w:ascii="Times New Roman" w:eastAsia="Times New Roman" w:hAnsi="Times New Roman" w:cs="Times New Roman"/>
          <w:sz w:val="24"/>
          <w:szCs w:val="24"/>
        </w:rPr>
        <w:commentReference w:id="6"/>
      </w:r>
      <w:r>
        <w:rPr>
          <w:rFonts w:ascii="Times New Roman" w:eastAsia="Times New Roman" w:hAnsi="Times New Roman" w:cs="Times New Roman"/>
        </w:rPr>
        <w:t>studies that met the criteria and were included in the analysis.</w:t>
      </w:r>
    </w:p>
    <w:p w14:paraId="6B2B30C4" w14:textId="77777777" w:rsidR="00F234CE" w:rsidRDefault="00F234CE">
      <w:pPr>
        <w:spacing w:after="0"/>
        <w:rPr>
          <w:rFonts w:ascii="Times New Roman" w:eastAsia="Times New Roman" w:hAnsi="Times New Roman" w:cs="Times New Roman"/>
        </w:rPr>
      </w:pPr>
    </w:p>
    <w:p w14:paraId="72FAC24A"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The researcher conducted a thematic integrative literature review to answer the research questions. The selected studies focus on LMS surveillance features and their pedagogical importance. To address the research inquiry, the analysis examines major LMS platforms such as Canvas, Blackboard, and Moodle, with particular emphasis on their surveillance capabilities and effects on student behavior and learning outcomes. The investigation is supported by institutional documents and scholarly literature, providing a comprehensive overview of digital surveillance in education. Additionally, recent market research reports offer contextual insights into the scope and economic impact of surveillance adoption.</w:t>
      </w:r>
    </w:p>
    <w:p w14:paraId="18FC9116" w14:textId="77777777" w:rsidR="00F234CE" w:rsidRDefault="00F234CE">
      <w:pPr>
        <w:spacing w:after="0"/>
        <w:rPr>
          <w:rFonts w:ascii="Arial" w:eastAsia="Arial" w:hAnsi="Arial" w:cs="Arial"/>
          <w:b/>
          <w:color w:val="FF0000"/>
          <w:sz w:val="20"/>
          <w:szCs w:val="20"/>
          <w:highlight w:val="white"/>
        </w:rPr>
      </w:pPr>
    </w:p>
    <w:p w14:paraId="2C56CABE" w14:textId="0FBBB31A" w:rsidR="00F234CE" w:rsidRPr="009F03C6" w:rsidRDefault="00A551CD" w:rsidP="009F03C6">
      <w:pPr>
        <w:pStyle w:val="ListParagraph"/>
        <w:numPr>
          <w:ilvl w:val="0"/>
          <w:numId w:val="2"/>
        </w:numPr>
        <w:spacing w:after="0"/>
        <w:jc w:val="center"/>
        <w:rPr>
          <w:rFonts w:ascii="Times New Roman" w:eastAsia="Times New Roman" w:hAnsi="Times New Roman" w:cs="Times New Roman"/>
          <w:b/>
        </w:rPr>
      </w:pPr>
      <w:r w:rsidRPr="009F03C6">
        <w:rPr>
          <w:rFonts w:ascii="Times New Roman" w:eastAsia="Times New Roman" w:hAnsi="Times New Roman" w:cs="Times New Roman"/>
          <w:b/>
        </w:rPr>
        <w:t xml:space="preserve">Results </w:t>
      </w:r>
    </w:p>
    <w:p w14:paraId="18AC9505" w14:textId="77777777" w:rsidR="00F234CE" w:rsidRDefault="00F234CE">
      <w:pPr>
        <w:spacing w:after="0"/>
        <w:jc w:val="center"/>
        <w:rPr>
          <w:rFonts w:ascii="Times New Roman" w:eastAsia="Times New Roman" w:hAnsi="Times New Roman" w:cs="Times New Roman"/>
          <w:b/>
        </w:rPr>
      </w:pPr>
    </w:p>
    <w:p w14:paraId="2FDDAAEC" w14:textId="09C27512"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 xml:space="preserve">Learning Management </w:t>
      </w:r>
      <w:r w:rsidR="005872EA">
        <w:rPr>
          <w:rFonts w:ascii="Times New Roman" w:eastAsia="Times New Roman" w:hAnsi="Times New Roman" w:cs="Times New Roman"/>
          <w:b/>
        </w:rPr>
        <w:t>Systems and</w:t>
      </w:r>
      <w:r>
        <w:rPr>
          <w:rFonts w:ascii="Times New Roman" w:eastAsia="Times New Roman" w:hAnsi="Times New Roman" w:cs="Times New Roman"/>
          <w:b/>
        </w:rPr>
        <w:t xml:space="preserve"> shifting educational relationships (RQ 1)</w:t>
      </w:r>
    </w:p>
    <w:p w14:paraId="65F2EBDC"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Comprehensive Behavioral Monitoring Systems</w:t>
      </w:r>
    </w:p>
    <w:p w14:paraId="334F45BE"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Modern LMS platforms have evolved from mere content delivery tools to comprehensive systems for monitoring user behavior and engagement. They continuously track and analyze </w:t>
      </w:r>
      <w:r>
        <w:rPr>
          <w:rFonts w:ascii="Times New Roman" w:eastAsia="Times New Roman" w:hAnsi="Times New Roman" w:cs="Times New Roman"/>
        </w:rPr>
        <w:lastRenderedPageBreak/>
        <w:t xml:space="preserve">students' digital activities to build detailed profiles that guide educational decisions and interventions. </w:t>
      </w:r>
      <w:r>
        <w:rPr>
          <w:rFonts w:ascii="Times New Roman" w:eastAsia="Times New Roman" w:hAnsi="Times New Roman" w:cs="Times New Roman"/>
          <w:color w:val="222222"/>
        </w:rPr>
        <w:t>As digital transformation advances, education must evolve in tandem with the</w:t>
      </w:r>
      <w:r>
        <w:rPr>
          <w:rFonts w:ascii="Times New Roman" w:eastAsia="Times New Roman" w:hAnsi="Times New Roman" w:cs="Times New Roman"/>
        </w:rPr>
        <w:t xml:space="preserve"> </w:t>
      </w:r>
      <w:r>
        <w:rPr>
          <w:rFonts w:ascii="Times New Roman" w:eastAsia="Times New Roman" w:hAnsi="Times New Roman" w:cs="Times New Roman"/>
          <w:color w:val="222222"/>
        </w:rPr>
        <w:t>latest technological</w:t>
      </w:r>
      <w:r>
        <w:rPr>
          <w:rFonts w:ascii="Times New Roman" w:eastAsia="Times New Roman" w:hAnsi="Times New Roman" w:cs="Times New Roman"/>
        </w:rPr>
        <w:t xml:space="preserve"> </w:t>
      </w:r>
      <w:r>
        <w:rPr>
          <w:rFonts w:ascii="Times New Roman" w:eastAsia="Times New Roman" w:hAnsi="Times New Roman" w:cs="Times New Roman"/>
          <w:color w:val="222222"/>
        </w:rPr>
        <w:t>innovations.</w:t>
      </w:r>
      <w:r>
        <w:rPr>
          <w:rFonts w:ascii="Times New Roman" w:eastAsia="Times New Roman" w:hAnsi="Times New Roman" w:cs="Times New Roman"/>
        </w:rPr>
        <w:t xml:space="preserve"> This transition from an educational resource to a surveillance mechanism represents a profound shift in how institutions view student engagement and academic success (</w:t>
      </w:r>
      <w:commentRangeStart w:id="7"/>
      <w:r>
        <w:rPr>
          <w:rFonts w:ascii="Times New Roman" w:eastAsia="Times New Roman" w:hAnsi="Times New Roman" w:cs="Times New Roman"/>
        </w:rPr>
        <w:t>Putra, B., Soeprijanto, &amp; Daryanto, 2023; Shenkoya, T., &amp; Kim, E., 2023</w:t>
      </w:r>
      <w:commentRangeEnd w:id="7"/>
      <w:r w:rsidR="004A2E8E">
        <w:rPr>
          <w:rStyle w:val="CommentReference"/>
          <w:rFonts w:ascii="Times New Roman" w:eastAsia="Times New Roman" w:hAnsi="Times New Roman" w:cs="Times New Roman"/>
          <w:sz w:val="24"/>
          <w:szCs w:val="24"/>
        </w:rPr>
        <w:commentReference w:id="7"/>
      </w:r>
      <w:r>
        <w:rPr>
          <w:rFonts w:ascii="Times New Roman" w:eastAsia="Times New Roman" w:hAnsi="Times New Roman" w:cs="Times New Roman"/>
        </w:rPr>
        <w:t xml:space="preserve">). </w:t>
      </w:r>
    </w:p>
    <w:p w14:paraId="0333564E"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As shown </w:t>
      </w:r>
      <w:commentRangeStart w:id="8"/>
      <w:r>
        <w:rPr>
          <w:rFonts w:ascii="Times New Roman" w:eastAsia="Times New Roman" w:hAnsi="Times New Roman" w:cs="Times New Roman"/>
        </w:rPr>
        <w:t xml:space="preserve">in </w:t>
      </w:r>
      <w:r>
        <w:rPr>
          <w:rFonts w:ascii="Times New Roman" w:eastAsia="Times New Roman" w:hAnsi="Times New Roman" w:cs="Times New Roman"/>
          <w:b/>
        </w:rPr>
        <w:t>Table 1</w:t>
      </w:r>
      <w:r>
        <w:rPr>
          <w:rFonts w:ascii="Times New Roman" w:eastAsia="Times New Roman" w:hAnsi="Times New Roman" w:cs="Times New Roman"/>
        </w:rPr>
        <w:t xml:space="preserve">, </w:t>
      </w:r>
      <w:commentRangeEnd w:id="8"/>
      <w:r w:rsidR="004A2E8E">
        <w:rPr>
          <w:rStyle w:val="CommentReference"/>
          <w:rFonts w:ascii="Times New Roman" w:eastAsia="Times New Roman" w:hAnsi="Times New Roman" w:cs="Times New Roman"/>
          <w:sz w:val="24"/>
          <w:szCs w:val="24"/>
        </w:rPr>
        <w:commentReference w:id="8"/>
      </w:r>
      <w:r>
        <w:rPr>
          <w:rFonts w:ascii="Times New Roman" w:eastAsia="Times New Roman" w:hAnsi="Times New Roman" w:cs="Times New Roman"/>
        </w:rPr>
        <w:t>the three primary LMS platforms—Canvas, Blackboard, and Moodle—employ sophisticated surveillance systems that extend well beyond basic academic monitoring. Canvas features an analytics dashboard powered by machine learning algorithms that identify students at risk of failing by analyzing factors such as login frequency, task completion times, and submission behaviors (Instructure, 2022). These predictive algorithms operate continuously, automatically alerting educators when students exhibit behaviors that deviate from established norms.</w:t>
      </w:r>
    </w:p>
    <w:p w14:paraId="63829E5D" w14:textId="77777777" w:rsidR="00F234CE" w:rsidRDefault="00F234CE">
      <w:pPr>
        <w:rPr>
          <w:rFonts w:ascii="Times New Roman" w:eastAsia="Times New Roman" w:hAnsi="Times New Roman" w:cs="Times New Roman"/>
        </w:rPr>
      </w:pPr>
    </w:p>
    <w:p w14:paraId="25024030" w14:textId="77777777" w:rsidR="00F234CE" w:rsidRDefault="00A551CD">
      <w:pPr>
        <w:rPr>
          <w:rFonts w:ascii="Times New Roman" w:eastAsia="Times New Roman" w:hAnsi="Times New Roman" w:cs="Times New Roman"/>
        </w:rPr>
      </w:pPr>
      <w:commentRangeStart w:id="9"/>
      <w:r>
        <w:rPr>
          <w:rFonts w:ascii="Times New Roman" w:eastAsia="Times New Roman" w:hAnsi="Times New Roman" w:cs="Times New Roman"/>
          <w:b/>
        </w:rPr>
        <w:t>Table 1:</w:t>
      </w:r>
      <w:r>
        <w:rPr>
          <w:rFonts w:ascii="Times New Roman" w:eastAsia="Times New Roman" w:hAnsi="Times New Roman" w:cs="Times New Roman"/>
        </w:rPr>
        <w:t xml:space="preserve"> </w:t>
      </w:r>
      <w:r>
        <w:rPr>
          <w:rFonts w:ascii="Times New Roman" w:eastAsia="Times New Roman" w:hAnsi="Times New Roman" w:cs="Times New Roman"/>
          <w:i/>
        </w:rPr>
        <w:t>LMS Surveillance Features and Their Educational Functions</w:t>
      </w:r>
    </w:p>
    <w:tbl>
      <w:tblPr>
        <w:tblStyle w:val="ad"/>
        <w:tblW w:w="97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2455"/>
        <w:gridCol w:w="2555"/>
        <w:gridCol w:w="2925"/>
      </w:tblGrid>
      <w:tr w:rsidR="00F234CE" w14:paraId="2D4594BC" w14:textId="77777777">
        <w:trPr>
          <w:tblHeader/>
        </w:trPr>
        <w:tc>
          <w:tcPr>
            <w:tcW w:w="1775" w:type="dxa"/>
            <w:shd w:val="clear" w:color="auto" w:fill="FAE2D6"/>
            <w:vAlign w:val="center"/>
          </w:tcPr>
          <w:p w14:paraId="6265393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Platform</w:t>
            </w:r>
          </w:p>
        </w:tc>
        <w:tc>
          <w:tcPr>
            <w:tcW w:w="2455" w:type="dxa"/>
            <w:shd w:val="clear" w:color="auto" w:fill="FAE2D6"/>
            <w:vAlign w:val="center"/>
          </w:tcPr>
          <w:p w14:paraId="6050F3A1"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Primary Surveillance Features</w:t>
            </w:r>
          </w:p>
        </w:tc>
        <w:tc>
          <w:tcPr>
            <w:tcW w:w="2555" w:type="dxa"/>
            <w:shd w:val="clear" w:color="auto" w:fill="FAE2D6"/>
            <w:vAlign w:val="center"/>
          </w:tcPr>
          <w:p w14:paraId="1C9F62F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Data Collected</w:t>
            </w:r>
          </w:p>
        </w:tc>
        <w:tc>
          <w:tcPr>
            <w:tcW w:w="2925" w:type="dxa"/>
            <w:shd w:val="clear" w:color="auto" w:fill="FAE2D6"/>
            <w:vAlign w:val="center"/>
          </w:tcPr>
          <w:p w14:paraId="29A4AB1F"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Institutional Use</w:t>
            </w:r>
          </w:p>
        </w:tc>
      </w:tr>
      <w:commentRangeEnd w:id="9"/>
      <w:tr w:rsidR="00F234CE" w14:paraId="1CA7BFC6" w14:textId="77777777">
        <w:tc>
          <w:tcPr>
            <w:tcW w:w="1775" w:type="dxa"/>
            <w:vAlign w:val="center"/>
          </w:tcPr>
          <w:p w14:paraId="6167CD48" w14:textId="77777777" w:rsidR="00F234CE" w:rsidRDefault="004A2E8E">
            <w:pPr>
              <w:ind w:left="205"/>
              <w:rPr>
                <w:rFonts w:ascii="Times New Roman" w:eastAsia="Times New Roman" w:hAnsi="Times New Roman" w:cs="Times New Roman"/>
                <w:b/>
              </w:rPr>
            </w:pPr>
            <w:r>
              <w:rPr>
                <w:rStyle w:val="CommentReference"/>
                <w:rFonts w:ascii="Times New Roman" w:eastAsia="Times New Roman" w:hAnsi="Times New Roman" w:cs="Times New Roman"/>
                <w:b/>
                <w:sz w:val="24"/>
                <w:szCs w:val="24"/>
              </w:rPr>
              <w:commentReference w:id="9"/>
            </w:r>
            <w:r w:rsidR="00A551CD">
              <w:rPr>
                <w:rFonts w:ascii="Times New Roman" w:eastAsia="Times New Roman" w:hAnsi="Times New Roman" w:cs="Times New Roman"/>
                <w:b/>
              </w:rPr>
              <w:t>Canvas</w:t>
            </w:r>
          </w:p>
        </w:tc>
        <w:tc>
          <w:tcPr>
            <w:tcW w:w="2455" w:type="dxa"/>
            <w:vAlign w:val="center"/>
          </w:tcPr>
          <w:p w14:paraId="663B2CF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Analytics Dashboard, ML Algorithms</w:t>
            </w:r>
          </w:p>
        </w:tc>
        <w:tc>
          <w:tcPr>
            <w:tcW w:w="2555" w:type="dxa"/>
            <w:vAlign w:val="center"/>
          </w:tcPr>
          <w:p w14:paraId="073878C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Login frequency, click patterns, assignment completion rates, time on task</w:t>
            </w:r>
          </w:p>
        </w:tc>
        <w:tc>
          <w:tcPr>
            <w:tcW w:w="2925" w:type="dxa"/>
            <w:vAlign w:val="center"/>
          </w:tcPr>
          <w:p w14:paraId="1C7DAEC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Predictive risk assessment, early intervention alerts, faculty notifications</w:t>
            </w:r>
          </w:p>
        </w:tc>
      </w:tr>
      <w:tr w:rsidR="00F234CE" w14:paraId="54A15BBB" w14:textId="77777777">
        <w:tc>
          <w:tcPr>
            <w:tcW w:w="1775" w:type="dxa"/>
            <w:vAlign w:val="center"/>
          </w:tcPr>
          <w:p w14:paraId="6A74C57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Blackboard</w:t>
            </w:r>
          </w:p>
        </w:tc>
        <w:tc>
          <w:tcPr>
            <w:tcW w:w="2455" w:type="dxa"/>
            <w:vAlign w:val="center"/>
          </w:tcPr>
          <w:p w14:paraId="1CC8BC2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Activity Accumulator, Retention Center</w:t>
            </w:r>
          </w:p>
        </w:tc>
        <w:tc>
          <w:tcPr>
            <w:tcW w:w="2555" w:type="dxa"/>
            <w:vAlign w:val="center"/>
          </w:tcPr>
          <w:p w14:paraId="5BE6EE0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User activity logs, session duration, participation tracking, and login patterns</w:t>
            </w:r>
          </w:p>
        </w:tc>
        <w:tc>
          <w:tcPr>
            <w:tcW w:w="2925" w:type="dxa"/>
            <w:vAlign w:val="center"/>
          </w:tcPr>
          <w:p w14:paraId="45471FF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Compliance monitoring, academic probation warnings, and attendance tracking</w:t>
            </w:r>
          </w:p>
        </w:tc>
      </w:tr>
      <w:tr w:rsidR="00F234CE" w14:paraId="0B3AC0F4" w14:textId="77777777">
        <w:tc>
          <w:tcPr>
            <w:tcW w:w="1775" w:type="dxa"/>
            <w:vAlign w:val="center"/>
          </w:tcPr>
          <w:p w14:paraId="4D490673"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Moodle</w:t>
            </w:r>
          </w:p>
        </w:tc>
        <w:tc>
          <w:tcPr>
            <w:tcW w:w="2455" w:type="dxa"/>
            <w:vAlign w:val="center"/>
          </w:tcPr>
          <w:p w14:paraId="05894AB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Log Data Modules, Activity Reports</w:t>
            </w:r>
          </w:p>
        </w:tc>
        <w:tc>
          <w:tcPr>
            <w:tcW w:w="2555" w:type="dxa"/>
            <w:vAlign w:val="center"/>
          </w:tcPr>
          <w:p w14:paraId="7F04E9C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User actions, forum posts, file access, page views, quiz attempts</w:t>
            </w:r>
          </w:p>
        </w:tc>
        <w:tc>
          <w:tcPr>
            <w:tcW w:w="2925" w:type="dxa"/>
            <w:vAlign w:val="center"/>
          </w:tcPr>
          <w:p w14:paraId="7A89958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Behavioral profiling, performance prediction, customizable analytics</w:t>
            </w:r>
          </w:p>
        </w:tc>
      </w:tr>
    </w:tbl>
    <w:p w14:paraId="680900D1" w14:textId="77777777" w:rsidR="00F234CE" w:rsidRDefault="00F234CE">
      <w:pPr>
        <w:rPr>
          <w:rFonts w:ascii="Times New Roman" w:eastAsia="Times New Roman" w:hAnsi="Times New Roman" w:cs="Times New Roman"/>
          <w:b/>
        </w:rPr>
      </w:pPr>
    </w:p>
    <w:p w14:paraId="3C714A4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Additionally</w:t>
      </w:r>
      <w:r>
        <w:rPr>
          <w:rFonts w:ascii="Times New Roman" w:eastAsia="Times New Roman" w:hAnsi="Times New Roman" w:cs="Times New Roman"/>
          <w:b/>
        </w:rPr>
        <w:t>, Table 1</w:t>
      </w:r>
      <w:r>
        <w:rPr>
          <w:rFonts w:ascii="Times New Roman" w:eastAsia="Times New Roman" w:hAnsi="Times New Roman" w:cs="Times New Roman"/>
        </w:rPr>
        <w:t xml:space="preserve"> shows how each platform turns regular educational tasks into monitoring tools. Blackboard's "Activity Accumulator" and "Retention Center" function as early warning systems, notifying instructors when students show lower engagement levels (Blackboard, 2023). These tools rely on specific assumptions about what defines successful student behavior, prioritizing consistency, responsiveness, and measurable engagement rather than other types of learning and participation.</w:t>
      </w:r>
    </w:p>
    <w:p w14:paraId="613ABB3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lastRenderedPageBreak/>
        <w:t xml:space="preserve">Similarly, Moodle's extensive logging features create permanent records of all student activities, including forum posts and file downloads. This retention enables temporary educational actions to become lasting behavioral profiles that follow students throughout their academic careers. As shown in Table 1, the data's uses demonstrate how surveillance information influences decisions about academic support, disciplinary actions, and resource distribution, fundamentally shifting the educational relationship from one based on trust to one driven by evidence-based monitoring. </w:t>
      </w:r>
    </w:p>
    <w:p w14:paraId="252DF744"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 Proctoring Revolution: Surveillance in Personal Spaces</w:t>
      </w:r>
    </w:p>
    <w:p w14:paraId="6F73B8F4"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use of online proctoring tools is the most invasive form of LMS surveillance, invading students' private spaces. Companies </w:t>
      </w:r>
      <w:commentRangeStart w:id="10"/>
      <w:r>
        <w:rPr>
          <w:rFonts w:ascii="Times New Roman" w:eastAsia="Times New Roman" w:hAnsi="Times New Roman" w:cs="Times New Roman"/>
        </w:rPr>
        <w:t xml:space="preserve">like Respondus, Proctorio, and Honorlock have developed comprehensive monitoring systems that </w:t>
      </w:r>
      <w:commentRangeEnd w:id="10"/>
      <w:r w:rsidR="004A2E8E">
        <w:rPr>
          <w:rStyle w:val="CommentReference"/>
          <w:rFonts w:ascii="Times New Roman" w:eastAsia="Times New Roman" w:hAnsi="Times New Roman" w:cs="Times New Roman"/>
          <w:sz w:val="24"/>
          <w:szCs w:val="24"/>
        </w:rPr>
        <w:commentReference w:id="10"/>
      </w:r>
      <w:r>
        <w:rPr>
          <w:rFonts w:ascii="Times New Roman" w:eastAsia="Times New Roman" w:hAnsi="Times New Roman" w:cs="Times New Roman"/>
        </w:rPr>
        <w:t xml:space="preserve">subject students to unprecedented levels of scrutiny during exams and assessments. </w:t>
      </w:r>
    </w:p>
    <w:p w14:paraId="458B4CE5"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2</w:t>
      </w:r>
      <w:r>
        <w:rPr>
          <w:rFonts w:ascii="Times New Roman" w:eastAsia="Times New Roman" w:hAnsi="Times New Roman" w:cs="Times New Roman"/>
        </w:rPr>
        <w:t xml:space="preserve"> emphasizes the comprehensive surveillance capabilities integrated into contemporary proctoring systems, illustrating how these technologies transform students' homes into components of institutional monitoring networks. Respondus's webcam recording features monitor facial expressions, eye movements, and scan the environment to observe students' physical surroundings. Additionally, the platform's screen monitoring technology tracks application usage and browser activity, effectively subjecting students' devices to institutional oversight throughout exams.</w:t>
      </w:r>
    </w:p>
    <w:p w14:paraId="0C11C888"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2:</w:t>
      </w:r>
      <w:r>
        <w:rPr>
          <w:rFonts w:ascii="Times New Roman" w:eastAsia="Times New Roman" w:hAnsi="Times New Roman" w:cs="Times New Roman"/>
        </w:rPr>
        <w:t xml:space="preserve"> </w:t>
      </w:r>
      <w:r>
        <w:rPr>
          <w:rFonts w:ascii="Times New Roman" w:eastAsia="Times New Roman" w:hAnsi="Times New Roman" w:cs="Times New Roman"/>
          <w:i/>
        </w:rPr>
        <w:t>Online Proctoring Technologies and Surveillance Methods</w:t>
      </w:r>
    </w:p>
    <w:tbl>
      <w:tblPr>
        <w:tblStyle w:val="ae"/>
        <w:tblW w:w="971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1924"/>
        <w:gridCol w:w="1880"/>
        <w:gridCol w:w="2005"/>
        <w:gridCol w:w="1951"/>
      </w:tblGrid>
      <w:tr w:rsidR="00F234CE" w14:paraId="300CFB1E" w14:textId="77777777">
        <w:trPr>
          <w:tblHeader/>
        </w:trPr>
        <w:tc>
          <w:tcPr>
            <w:tcW w:w="1955" w:type="dxa"/>
            <w:shd w:val="clear" w:color="auto" w:fill="FAE2D6"/>
            <w:vAlign w:val="center"/>
          </w:tcPr>
          <w:p w14:paraId="2146CCF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Company</w:t>
            </w:r>
          </w:p>
        </w:tc>
        <w:tc>
          <w:tcPr>
            <w:tcW w:w="1924" w:type="dxa"/>
            <w:shd w:val="clear" w:color="auto" w:fill="FAE2D6"/>
            <w:vAlign w:val="center"/>
          </w:tcPr>
          <w:p w14:paraId="3432FFF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Monitoring Technology</w:t>
            </w:r>
          </w:p>
        </w:tc>
        <w:tc>
          <w:tcPr>
            <w:tcW w:w="1880" w:type="dxa"/>
            <w:shd w:val="clear" w:color="auto" w:fill="FAE2D6"/>
            <w:vAlign w:val="center"/>
          </w:tcPr>
          <w:p w14:paraId="2392A2D0"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Data Captured</w:t>
            </w:r>
          </w:p>
        </w:tc>
        <w:tc>
          <w:tcPr>
            <w:tcW w:w="2005" w:type="dxa"/>
            <w:shd w:val="clear" w:color="auto" w:fill="FAE2D6"/>
            <w:vAlign w:val="center"/>
          </w:tcPr>
          <w:p w14:paraId="4B7CD79C"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AI Detection Capabilities</w:t>
            </w:r>
          </w:p>
        </w:tc>
        <w:tc>
          <w:tcPr>
            <w:tcW w:w="1951" w:type="dxa"/>
            <w:shd w:val="clear" w:color="auto" w:fill="FAE2D6"/>
            <w:vAlign w:val="center"/>
          </w:tcPr>
          <w:p w14:paraId="0F68518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Privacy Implications</w:t>
            </w:r>
          </w:p>
        </w:tc>
      </w:tr>
      <w:tr w:rsidR="00F234CE" w14:paraId="0570216F" w14:textId="77777777">
        <w:tc>
          <w:tcPr>
            <w:tcW w:w="1955" w:type="dxa"/>
            <w:vAlign w:val="center"/>
          </w:tcPr>
          <w:p w14:paraId="7D0A7B85" w14:textId="77777777" w:rsidR="00F234CE" w:rsidRDefault="00A551CD">
            <w:pPr>
              <w:ind w:left="205" w:right="235"/>
              <w:rPr>
                <w:rFonts w:ascii="Times New Roman" w:eastAsia="Times New Roman" w:hAnsi="Times New Roman" w:cs="Times New Roman"/>
                <w:b/>
              </w:rPr>
            </w:pPr>
            <w:r>
              <w:rPr>
                <w:rFonts w:ascii="Times New Roman" w:eastAsia="Times New Roman" w:hAnsi="Times New Roman" w:cs="Times New Roman"/>
                <w:b/>
              </w:rPr>
              <w:t>Respondus</w:t>
            </w:r>
          </w:p>
        </w:tc>
        <w:tc>
          <w:tcPr>
            <w:tcW w:w="1924" w:type="dxa"/>
            <w:vAlign w:val="center"/>
          </w:tcPr>
          <w:p w14:paraId="1631A46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Webcam recording, Screen monitoring</w:t>
            </w:r>
          </w:p>
        </w:tc>
        <w:tc>
          <w:tcPr>
            <w:tcW w:w="1880" w:type="dxa"/>
            <w:vAlign w:val="center"/>
          </w:tcPr>
          <w:p w14:paraId="097D3D2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Facial expressions, eye movement, application usage, and browser activity</w:t>
            </w:r>
          </w:p>
        </w:tc>
        <w:tc>
          <w:tcPr>
            <w:tcW w:w="2005" w:type="dxa"/>
            <w:vAlign w:val="center"/>
          </w:tcPr>
          <w:p w14:paraId="24A0591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Gaze tracking, behavior flags, unauthorized software detection</w:t>
            </w:r>
          </w:p>
        </w:tc>
        <w:tc>
          <w:tcPr>
            <w:tcW w:w="1951" w:type="dxa"/>
            <w:vAlign w:val="center"/>
          </w:tcPr>
          <w:p w14:paraId="368773B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Psychological surveillance, personal space invasion</w:t>
            </w:r>
          </w:p>
        </w:tc>
      </w:tr>
      <w:tr w:rsidR="00F234CE" w14:paraId="52133830" w14:textId="77777777">
        <w:tc>
          <w:tcPr>
            <w:tcW w:w="1955" w:type="dxa"/>
            <w:vAlign w:val="center"/>
          </w:tcPr>
          <w:p w14:paraId="39BF57E5"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Proctorio</w:t>
            </w:r>
          </w:p>
        </w:tc>
        <w:tc>
          <w:tcPr>
            <w:tcW w:w="1924" w:type="dxa"/>
            <w:vAlign w:val="center"/>
          </w:tcPr>
          <w:p w14:paraId="7C9BCB5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Keystroke analysis, Environmental scanning</w:t>
            </w:r>
          </w:p>
        </w:tc>
        <w:tc>
          <w:tcPr>
            <w:tcW w:w="1880" w:type="dxa"/>
            <w:vAlign w:val="center"/>
          </w:tcPr>
          <w:p w14:paraId="7FD5096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Typing patterns, speed variations, room audio, and background noise</w:t>
            </w:r>
          </w:p>
        </w:tc>
        <w:tc>
          <w:tcPr>
            <w:tcW w:w="2005" w:type="dxa"/>
            <w:vAlign w:val="center"/>
          </w:tcPr>
          <w:p w14:paraId="2AD64F7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Irregular input detection, suspicious activity alerts</w:t>
            </w:r>
          </w:p>
        </w:tc>
        <w:tc>
          <w:tcPr>
            <w:tcW w:w="1951" w:type="dxa"/>
            <w:vAlign w:val="center"/>
          </w:tcPr>
          <w:p w14:paraId="7AB3781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Biometric data collection, home environment recording</w:t>
            </w:r>
          </w:p>
        </w:tc>
      </w:tr>
      <w:tr w:rsidR="00F234CE" w14:paraId="64EB5E46" w14:textId="77777777">
        <w:tc>
          <w:tcPr>
            <w:tcW w:w="1955" w:type="dxa"/>
            <w:vAlign w:val="center"/>
          </w:tcPr>
          <w:p w14:paraId="465F72DD"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Honorlock</w:t>
            </w:r>
          </w:p>
        </w:tc>
        <w:tc>
          <w:tcPr>
            <w:tcW w:w="1924" w:type="dxa"/>
            <w:vAlign w:val="center"/>
          </w:tcPr>
          <w:p w14:paraId="56C65190"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Eye tracking, Facial recognition</w:t>
            </w:r>
          </w:p>
        </w:tc>
        <w:tc>
          <w:tcPr>
            <w:tcW w:w="1880" w:type="dxa"/>
            <w:vAlign w:val="center"/>
          </w:tcPr>
          <w:p w14:paraId="1133F3E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 xml:space="preserve">Pupil dilation, gaze direction, identity </w:t>
            </w:r>
            <w:r>
              <w:rPr>
                <w:rFonts w:ascii="Times New Roman" w:eastAsia="Times New Roman" w:hAnsi="Times New Roman" w:cs="Times New Roman"/>
              </w:rPr>
              <w:lastRenderedPageBreak/>
              <w:t>verification, and emotion analysis</w:t>
            </w:r>
          </w:p>
        </w:tc>
        <w:tc>
          <w:tcPr>
            <w:tcW w:w="2005" w:type="dxa"/>
            <w:vAlign w:val="center"/>
          </w:tcPr>
          <w:p w14:paraId="111FCE2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lastRenderedPageBreak/>
              <w:t xml:space="preserve">Attention monitoring, </w:t>
            </w:r>
            <w:r>
              <w:rPr>
                <w:rFonts w:ascii="Times New Roman" w:eastAsia="Times New Roman" w:hAnsi="Times New Roman" w:cs="Times New Roman"/>
              </w:rPr>
              <w:lastRenderedPageBreak/>
              <w:t>impersonation detection</w:t>
            </w:r>
          </w:p>
        </w:tc>
        <w:tc>
          <w:tcPr>
            <w:tcW w:w="1951" w:type="dxa"/>
            <w:vAlign w:val="center"/>
          </w:tcPr>
          <w:p w14:paraId="0C34E96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lastRenderedPageBreak/>
              <w:t xml:space="preserve">Neurological data extraction, </w:t>
            </w:r>
            <w:r>
              <w:rPr>
                <w:rFonts w:ascii="Times New Roman" w:eastAsia="Times New Roman" w:hAnsi="Times New Roman" w:cs="Times New Roman"/>
              </w:rPr>
              <w:lastRenderedPageBreak/>
              <w:t>biometric storage concerns</w:t>
            </w:r>
          </w:p>
        </w:tc>
      </w:tr>
    </w:tbl>
    <w:p w14:paraId="348C8A4F" w14:textId="77777777" w:rsidR="00F234CE" w:rsidRDefault="00F234CE">
      <w:pPr>
        <w:rPr>
          <w:rFonts w:ascii="Times New Roman" w:eastAsia="Times New Roman" w:hAnsi="Times New Roman" w:cs="Times New Roman"/>
        </w:rPr>
      </w:pPr>
    </w:p>
    <w:p w14:paraId="0EA2BB3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artificial intelligence capabilities described in Table 2 illustrate how proctoring systems aim to automate the detection of academic dishonesty through the algorithmic interpretation of student behavior. However, research by Smith et al. (2023) reveals that these systems frequently generate false positives, penalizing students for natural behaviors such as looking away from screens or experiencing technical difficulties that are misinterpreted as misconduct.</w:t>
      </w:r>
    </w:p>
    <w:p w14:paraId="13F5D20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privacy concerns outlined in Table 2 extend beyond data collection, raising significant issues regarding student autonomy and dignity. Chen and Rodriguez (2024) found that students under extensive proctoring surveillance often feel increased anxiety and perform worse, as the discomfort from monitoring impacts both their academic results and trust in the institution. This psychological toll is especially significant for students with disabilities, neurodiverse learners, and those in unstable living situations, demonstrating how surveillance can worsen educational inequalities.</w:t>
      </w:r>
    </w:p>
    <w:p w14:paraId="5887193A" w14:textId="4B0002B3"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4.1 Student Responses: From Compliance to Resistance</w:t>
      </w:r>
    </w:p>
    <w:p w14:paraId="51DFB93C"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 Performance of Engagement</w:t>
      </w:r>
    </w:p>
    <w:p w14:paraId="0ED2139C"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Students under extensive LMS surveillance are not merely passive receivers of monitoring. Instead, they craft complex strategies to navigate these systems, aiming to maintain their autonomy and genuine engagement with learning material. Such responses highlight the unintended consequences of surveillance and demonstrate how monitoring can actually undermine the educational goals it aims to promote.</w:t>
      </w:r>
    </w:p>
    <w:p w14:paraId="2C46EEDC"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3</w:t>
      </w:r>
      <w:r>
        <w:rPr>
          <w:rFonts w:ascii="Times New Roman" w:eastAsia="Times New Roman" w:hAnsi="Times New Roman" w:cs="Times New Roman"/>
        </w:rPr>
        <w:t xml:space="preserve"> illustrates the diverse student reactions to digital surveillance, highlighting how monitoring systems encourage behaviors aimed at pleasing algorithms rather than genuine learning. The common pattern is performative compliance, where students alter their actions not to enhance understanding but to satisfy algorithmic requirements. This includes skimming course materials without actually reading, posting superficial comments in discussions just to meet participation standards, and creating fake login sessions to appear engaged (Wilson &amp; Anderson, 2023).</w:t>
      </w:r>
    </w:p>
    <w:p w14:paraId="384647B0"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3</w:t>
      </w:r>
      <w:r>
        <w:rPr>
          <w:rFonts w:ascii="Times New Roman" w:eastAsia="Times New Roman" w:hAnsi="Times New Roman" w:cs="Times New Roman"/>
        </w:rPr>
        <w:t xml:space="preserve"> </w:t>
      </w:r>
      <w:r>
        <w:rPr>
          <w:rFonts w:ascii="Times New Roman" w:eastAsia="Times New Roman" w:hAnsi="Times New Roman" w:cs="Times New Roman"/>
          <w:i/>
        </w:rPr>
        <w:t>Student Response Patterns to Digital Surveillance</w:t>
      </w:r>
    </w:p>
    <w:tbl>
      <w:tblPr>
        <w:tblStyle w:val="af"/>
        <w:tblW w:w="97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695"/>
        <w:gridCol w:w="1425"/>
        <w:gridCol w:w="1545"/>
        <w:gridCol w:w="1680"/>
        <w:gridCol w:w="1470"/>
      </w:tblGrid>
      <w:tr w:rsidR="00F234CE" w14:paraId="794C7059" w14:textId="77777777">
        <w:trPr>
          <w:tblHeader/>
        </w:trPr>
        <w:tc>
          <w:tcPr>
            <w:tcW w:w="1905" w:type="dxa"/>
            <w:shd w:val="clear" w:color="auto" w:fill="FAE2D6"/>
            <w:vAlign w:val="center"/>
          </w:tcPr>
          <w:p w14:paraId="7B38F5A3"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lastRenderedPageBreak/>
              <w:t>Response Type</w:t>
            </w:r>
          </w:p>
        </w:tc>
        <w:tc>
          <w:tcPr>
            <w:tcW w:w="1695" w:type="dxa"/>
            <w:shd w:val="clear" w:color="auto" w:fill="FAE2D6"/>
            <w:vAlign w:val="center"/>
          </w:tcPr>
          <w:p w14:paraId="53347216"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Behavioral Adaptation</w:t>
            </w:r>
          </w:p>
        </w:tc>
        <w:tc>
          <w:tcPr>
            <w:tcW w:w="1425" w:type="dxa"/>
            <w:shd w:val="clear" w:color="auto" w:fill="FAE2D6"/>
            <w:vAlign w:val="center"/>
          </w:tcPr>
          <w:p w14:paraId="1E09AA35"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Motivation</w:t>
            </w:r>
          </w:p>
        </w:tc>
        <w:tc>
          <w:tcPr>
            <w:tcW w:w="1545" w:type="dxa"/>
            <w:shd w:val="clear" w:color="auto" w:fill="FAE2D6"/>
            <w:vAlign w:val="center"/>
          </w:tcPr>
          <w:p w14:paraId="73D38286"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Effectiveness</w:t>
            </w:r>
          </w:p>
        </w:tc>
        <w:tc>
          <w:tcPr>
            <w:tcW w:w="1680" w:type="dxa"/>
            <w:shd w:val="clear" w:color="auto" w:fill="FAE2D6"/>
            <w:vAlign w:val="center"/>
          </w:tcPr>
          <w:p w14:paraId="144355A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Detection Risk</w:t>
            </w:r>
          </w:p>
        </w:tc>
        <w:tc>
          <w:tcPr>
            <w:tcW w:w="1470" w:type="dxa"/>
            <w:shd w:val="clear" w:color="auto" w:fill="FAE2D6"/>
            <w:vAlign w:val="center"/>
          </w:tcPr>
          <w:p w14:paraId="7638BA35"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Learning Impact</w:t>
            </w:r>
          </w:p>
        </w:tc>
      </w:tr>
      <w:tr w:rsidR="00F234CE" w14:paraId="65111484" w14:textId="77777777">
        <w:tc>
          <w:tcPr>
            <w:tcW w:w="1905" w:type="dxa"/>
            <w:vAlign w:val="center"/>
          </w:tcPr>
          <w:p w14:paraId="047EF228"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Performative Compliance</w:t>
            </w:r>
          </w:p>
        </w:tc>
        <w:tc>
          <w:tcPr>
            <w:tcW w:w="1695" w:type="dxa"/>
            <w:vAlign w:val="center"/>
          </w:tcPr>
          <w:p w14:paraId="151CAAB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Clicking through materials without reading</w:t>
            </w:r>
          </w:p>
        </w:tc>
        <w:tc>
          <w:tcPr>
            <w:tcW w:w="1425" w:type="dxa"/>
            <w:vAlign w:val="center"/>
          </w:tcPr>
          <w:p w14:paraId="07CD310E"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Satisfy algorithmic requirements</w:t>
            </w:r>
          </w:p>
        </w:tc>
        <w:tc>
          <w:tcPr>
            <w:tcW w:w="1545" w:type="dxa"/>
            <w:vAlign w:val="center"/>
          </w:tcPr>
          <w:p w14:paraId="65DF9703"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High visibility, low educational value</w:t>
            </w:r>
          </w:p>
        </w:tc>
        <w:tc>
          <w:tcPr>
            <w:tcW w:w="1680" w:type="dxa"/>
            <w:vAlign w:val="center"/>
          </w:tcPr>
          <w:p w14:paraId="4DB13F6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Difficult to detect</w:t>
            </w:r>
          </w:p>
        </w:tc>
        <w:tc>
          <w:tcPr>
            <w:tcW w:w="1470" w:type="dxa"/>
            <w:vAlign w:val="center"/>
          </w:tcPr>
          <w:p w14:paraId="23D95EA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Undermines authentic engagement</w:t>
            </w:r>
          </w:p>
        </w:tc>
      </w:tr>
      <w:tr w:rsidR="00F234CE" w14:paraId="2957F879" w14:textId="77777777">
        <w:tc>
          <w:tcPr>
            <w:tcW w:w="1905" w:type="dxa"/>
            <w:vAlign w:val="center"/>
          </w:tcPr>
          <w:p w14:paraId="5B4D02B7"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Fake Engagement</w:t>
            </w:r>
          </w:p>
        </w:tc>
        <w:tc>
          <w:tcPr>
            <w:tcW w:w="1695" w:type="dxa"/>
            <w:vAlign w:val="center"/>
          </w:tcPr>
          <w:p w14:paraId="346DFC8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Scheduled login sessions and superficial forum posts</w:t>
            </w:r>
          </w:p>
        </w:tc>
        <w:tc>
          <w:tcPr>
            <w:tcW w:w="1425" w:type="dxa"/>
            <w:vAlign w:val="center"/>
          </w:tcPr>
          <w:p w14:paraId="7A7C820E"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Appear present and participatory</w:t>
            </w:r>
          </w:p>
        </w:tc>
        <w:tc>
          <w:tcPr>
            <w:tcW w:w="1545" w:type="dxa"/>
            <w:vAlign w:val="center"/>
          </w:tcPr>
          <w:p w14:paraId="15963ED6"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Moderate success in meeting metrics</w:t>
            </w:r>
          </w:p>
        </w:tc>
        <w:tc>
          <w:tcPr>
            <w:tcW w:w="1680" w:type="dxa"/>
            <w:vAlign w:val="center"/>
          </w:tcPr>
          <w:p w14:paraId="3FF55303"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Sophisticated tracking may detect patterns</w:t>
            </w:r>
          </w:p>
        </w:tc>
        <w:tc>
          <w:tcPr>
            <w:tcW w:w="1470" w:type="dxa"/>
            <w:vAlign w:val="center"/>
          </w:tcPr>
          <w:p w14:paraId="417E6791"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Reduces meaningful interaction</w:t>
            </w:r>
          </w:p>
        </w:tc>
      </w:tr>
      <w:tr w:rsidR="00F234CE" w14:paraId="31224AA1" w14:textId="77777777">
        <w:tc>
          <w:tcPr>
            <w:tcW w:w="1905" w:type="dxa"/>
            <w:vAlign w:val="center"/>
          </w:tcPr>
          <w:p w14:paraId="2EE408C8"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Technical Manipulation</w:t>
            </w:r>
          </w:p>
        </w:tc>
        <w:tc>
          <w:tcPr>
            <w:tcW w:w="1695" w:type="dxa"/>
            <w:vAlign w:val="center"/>
          </w:tcPr>
          <w:p w14:paraId="7D31BDCA"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Browser extensions, system spoofing</w:t>
            </w:r>
          </w:p>
        </w:tc>
        <w:tc>
          <w:tcPr>
            <w:tcW w:w="1425" w:type="dxa"/>
            <w:vAlign w:val="center"/>
          </w:tcPr>
          <w:p w14:paraId="784AE61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Circumvent monitoring capabilities</w:t>
            </w:r>
          </w:p>
        </w:tc>
        <w:tc>
          <w:tcPr>
            <w:tcW w:w="1545" w:type="dxa"/>
            <w:vAlign w:val="center"/>
          </w:tcPr>
          <w:p w14:paraId="6C6AF0E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Variable success depending on the platform</w:t>
            </w:r>
          </w:p>
        </w:tc>
        <w:tc>
          <w:tcPr>
            <w:tcW w:w="1680" w:type="dxa"/>
            <w:vAlign w:val="center"/>
          </w:tcPr>
          <w:p w14:paraId="5DA9A0D1"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Depends on institutional security measures</w:t>
            </w:r>
          </w:p>
        </w:tc>
        <w:tc>
          <w:tcPr>
            <w:tcW w:w="1470" w:type="dxa"/>
            <w:vAlign w:val="center"/>
          </w:tcPr>
          <w:p w14:paraId="4F8B615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Diverts energy from learning</w:t>
            </w:r>
          </w:p>
        </w:tc>
      </w:tr>
      <w:tr w:rsidR="00F234CE" w14:paraId="78396777" w14:textId="77777777">
        <w:tc>
          <w:tcPr>
            <w:tcW w:w="1905" w:type="dxa"/>
            <w:vAlign w:val="center"/>
          </w:tcPr>
          <w:p w14:paraId="0B95DE47"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Collective Resistance</w:t>
            </w:r>
          </w:p>
        </w:tc>
        <w:tc>
          <w:tcPr>
            <w:tcW w:w="1695" w:type="dxa"/>
            <w:vAlign w:val="center"/>
          </w:tcPr>
          <w:p w14:paraId="0F7D10D4"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Petitions, policy challenges, and organized protests</w:t>
            </w:r>
          </w:p>
        </w:tc>
        <w:tc>
          <w:tcPr>
            <w:tcW w:w="1425" w:type="dxa"/>
            <w:vAlign w:val="center"/>
          </w:tcPr>
          <w:p w14:paraId="4BFB4FFC"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Change institutional surveillance practices</w:t>
            </w:r>
          </w:p>
        </w:tc>
        <w:tc>
          <w:tcPr>
            <w:tcW w:w="1545" w:type="dxa"/>
            <w:vAlign w:val="center"/>
          </w:tcPr>
          <w:p w14:paraId="03384E84"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Potential for policy influence</w:t>
            </w:r>
          </w:p>
        </w:tc>
        <w:tc>
          <w:tcPr>
            <w:tcW w:w="1680" w:type="dxa"/>
            <w:vAlign w:val="center"/>
          </w:tcPr>
          <w:p w14:paraId="2228DADF"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Highly visible to the administration</w:t>
            </w:r>
          </w:p>
        </w:tc>
        <w:tc>
          <w:tcPr>
            <w:tcW w:w="1470" w:type="dxa"/>
            <w:vAlign w:val="center"/>
          </w:tcPr>
          <w:p w14:paraId="14616A5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Can improve conditions for all students</w:t>
            </w:r>
          </w:p>
        </w:tc>
      </w:tr>
      <w:tr w:rsidR="00F234CE" w14:paraId="1B012D97" w14:textId="77777777">
        <w:tc>
          <w:tcPr>
            <w:tcW w:w="1905" w:type="dxa"/>
            <w:vAlign w:val="center"/>
          </w:tcPr>
          <w:p w14:paraId="4D433498"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Strategic Avoidance</w:t>
            </w:r>
          </w:p>
        </w:tc>
        <w:tc>
          <w:tcPr>
            <w:tcW w:w="1695" w:type="dxa"/>
            <w:vAlign w:val="center"/>
          </w:tcPr>
          <w:p w14:paraId="2645888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Minimal platform usage, offline learning</w:t>
            </w:r>
          </w:p>
        </w:tc>
        <w:tc>
          <w:tcPr>
            <w:tcW w:w="1425" w:type="dxa"/>
            <w:vAlign w:val="center"/>
          </w:tcPr>
          <w:p w14:paraId="54929C2C"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Maintain privacy and autonomy</w:t>
            </w:r>
          </w:p>
        </w:tc>
        <w:tc>
          <w:tcPr>
            <w:tcW w:w="1545" w:type="dxa"/>
            <w:vAlign w:val="center"/>
          </w:tcPr>
          <w:p w14:paraId="177E1FA0" w14:textId="77777777" w:rsidR="00F234CE" w:rsidRDefault="00A551CD">
            <w:pPr>
              <w:ind w:left="115"/>
              <w:rPr>
                <w:rFonts w:ascii="Times New Roman" w:eastAsia="Times New Roman" w:hAnsi="Times New Roman" w:cs="Times New Roman"/>
              </w:rPr>
            </w:pPr>
            <w:commentRangeStart w:id="11"/>
            <w:r>
              <w:rPr>
                <w:rFonts w:ascii="Times New Roman" w:eastAsia="Times New Roman" w:hAnsi="Times New Roman" w:cs="Times New Roman"/>
              </w:rPr>
              <w:t>Limited effectiveness in surveilled environments</w:t>
            </w:r>
          </w:p>
        </w:tc>
        <w:tc>
          <w:tcPr>
            <w:tcW w:w="1680" w:type="dxa"/>
            <w:vAlign w:val="center"/>
          </w:tcPr>
          <w:p w14:paraId="5C8FF63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Low detection risk</w:t>
            </w:r>
          </w:p>
        </w:tc>
        <w:tc>
          <w:tcPr>
            <w:tcW w:w="1470" w:type="dxa"/>
            <w:vAlign w:val="center"/>
          </w:tcPr>
          <w:p w14:paraId="19E5ABEC"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May sacrifice educational resources</w:t>
            </w:r>
            <w:commentRangeEnd w:id="11"/>
            <w:r w:rsidR="00DF0B00">
              <w:rPr>
                <w:rStyle w:val="CommentReference"/>
                <w:rFonts w:ascii="Times New Roman" w:eastAsia="Times New Roman" w:hAnsi="Times New Roman" w:cs="Times New Roman"/>
                <w:sz w:val="24"/>
                <w:szCs w:val="24"/>
              </w:rPr>
              <w:commentReference w:id="11"/>
            </w:r>
          </w:p>
        </w:tc>
      </w:tr>
    </w:tbl>
    <w:p w14:paraId="173EBDD1" w14:textId="77777777" w:rsidR="00F234CE" w:rsidRDefault="00F234CE">
      <w:pPr>
        <w:rPr>
          <w:rFonts w:ascii="Times New Roman" w:eastAsia="Times New Roman" w:hAnsi="Times New Roman" w:cs="Times New Roman"/>
        </w:rPr>
      </w:pPr>
    </w:p>
    <w:p w14:paraId="5D04CB19"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patterns of effectiveness in </w:t>
      </w:r>
      <w:r>
        <w:rPr>
          <w:rFonts w:ascii="Times New Roman" w:eastAsia="Times New Roman" w:hAnsi="Times New Roman" w:cs="Times New Roman"/>
          <w:b/>
        </w:rPr>
        <w:t>Table 3</w:t>
      </w:r>
      <w:r>
        <w:rPr>
          <w:rFonts w:ascii="Times New Roman" w:eastAsia="Times New Roman" w:hAnsi="Times New Roman" w:cs="Times New Roman"/>
        </w:rPr>
        <w:t xml:space="preserve"> highlight a concerning trend: students gain high visibility in surveillance systems but gain little educational benefit from these interactions. Wilson and Anderson (2023) found that analytics driven by surveillance have a significant influence on student academic success and engagement, forming feedback loops that encourage students to focus on compliance rather than learning. </w:t>
      </w:r>
    </w:p>
    <w:p w14:paraId="1BF0658F"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Furthermore,</w:t>
      </w:r>
      <w:r>
        <w:rPr>
          <w:rFonts w:ascii="Times New Roman" w:eastAsia="Times New Roman" w:hAnsi="Times New Roman" w:cs="Times New Roman"/>
        </w:rPr>
        <w:t xml:space="preserve"> research indicates the development of more sophisticated resistance techniques, including the use of browser extensions to manipulate platform metrics, sharing tactics to circumvent monitoring systems, and collective efforts to challenge institutional surveillance policies. These examples demonstrate that students are not merely adapting to surveillance but actively attempting to undermine digital restrictions while pursuing their educational goals (Wilson &amp; Anderson, 2023).</w:t>
      </w:r>
    </w:p>
    <w:p w14:paraId="7074F2DE"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lastRenderedPageBreak/>
        <w:t>The Psychological Toll of Constant Monitoring</w:t>
      </w:r>
    </w:p>
    <w:p w14:paraId="5196194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impact of widespread surveillance extends beyond changing behaviors; it also has significant psychological and educational effects. Research shows that students under constant monitoring face various negative consequences that can harm both their academic success and personal well-being.</w:t>
      </w:r>
    </w:p>
    <w:p w14:paraId="06545831"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4</w:t>
      </w:r>
      <w:r>
        <w:rPr>
          <w:rFonts w:ascii="Times New Roman" w:eastAsia="Times New Roman" w:hAnsi="Times New Roman" w:cs="Times New Roman"/>
        </w:rPr>
        <w:t xml:space="preserve"> highlights the psychological and educational effects of LMS surveillance on different student groups, illustrating how the impact of monitoring varies based on individual traits and circumstances. The observed anxiety effects include test stress and performance anxiety. Research by Beck (2020) and Smith et al. (2023) indicates that anxiety from surveillance can negatively affect cognitive function and academic achievement.</w:t>
      </w:r>
    </w:p>
    <w:p w14:paraId="6CC80765"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4</w:t>
      </w:r>
      <w:r>
        <w:rPr>
          <w:rFonts w:ascii="Times New Roman" w:eastAsia="Times New Roman" w:hAnsi="Times New Roman" w:cs="Times New Roman"/>
        </w:rPr>
        <w:t xml:space="preserve"> </w:t>
      </w:r>
      <w:r>
        <w:rPr>
          <w:rFonts w:ascii="Times New Roman" w:eastAsia="Times New Roman" w:hAnsi="Times New Roman" w:cs="Times New Roman"/>
          <w:i/>
        </w:rPr>
        <w:t>Psychological and Educational Impacts of LMS Surveillance</w:t>
      </w:r>
    </w:p>
    <w:tbl>
      <w:tblPr>
        <w:tblStyle w:val="af0"/>
        <w:tblW w:w="984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2025"/>
        <w:gridCol w:w="1950"/>
        <w:gridCol w:w="2040"/>
        <w:gridCol w:w="1815"/>
      </w:tblGrid>
      <w:tr w:rsidR="00F234CE" w14:paraId="0E0109FE" w14:textId="77777777">
        <w:trPr>
          <w:tblHeader/>
        </w:trPr>
        <w:tc>
          <w:tcPr>
            <w:tcW w:w="2015" w:type="dxa"/>
            <w:shd w:val="clear" w:color="auto" w:fill="FAE2D6"/>
            <w:vAlign w:val="center"/>
          </w:tcPr>
          <w:p w14:paraId="50D0A55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Impact Category</w:t>
            </w:r>
          </w:p>
        </w:tc>
        <w:tc>
          <w:tcPr>
            <w:tcW w:w="2025" w:type="dxa"/>
            <w:shd w:val="clear" w:color="auto" w:fill="FAE2D6"/>
            <w:vAlign w:val="center"/>
          </w:tcPr>
          <w:p w14:paraId="6F644AA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Specific Effects</w:t>
            </w:r>
          </w:p>
        </w:tc>
        <w:tc>
          <w:tcPr>
            <w:tcW w:w="1950" w:type="dxa"/>
            <w:shd w:val="clear" w:color="auto" w:fill="FAE2D6"/>
            <w:vAlign w:val="center"/>
          </w:tcPr>
          <w:p w14:paraId="7591DF02"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Most Affected Populations</w:t>
            </w:r>
          </w:p>
        </w:tc>
        <w:tc>
          <w:tcPr>
            <w:tcW w:w="2040" w:type="dxa"/>
            <w:shd w:val="clear" w:color="auto" w:fill="FAE2D6"/>
            <w:vAlign w:val="center"/>
          </w:tcPr>
          <w:p w14:paraId="78253BD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Educational Consequences</w:t>
            </w:r>
          </w:p>
        </w:tc>
        <w:tc>
          <w:tcPr>
            <w:tcW w:w="1815" w:type="dxa"/>
            <w:shd w:val="clear" w:color="auto" w:fill="FAE2D6"/>
            <w:vAlign w:val="center"/>
          </w:tcPr>
          <w:p w14:paraId="4775D1D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Research Evidence</w:t>
            </w:r>
          </w:p>
        </w:tc>
      </w:tr>
      <w:tr w:rsidR="00F234CE" w14:paraId="5997943C" w14:textId="77777777">
        <w:tc>
          <w:tcPr>
            <w:tcW w:w="2015" w:type="dxa"/>
            <w:vAlign w:val="center"/>
          </w:tcPr>
          <w:p w14:paraId="58E90EA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Anxiety</w:t>
            </w:r>
          </w:p>
        </w:tc>
        <w:tc>
          <w:tcPr>
            <w:tcW w:w="2025" w:type="dxa"/>
            <w:vAlign w:val="center"/>
          </w:tcPr>
          <w:p w14:paraId="7FE4953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Test-taking stress, performance anxiety, and monitoring discomfort</w:t>
            </w:r>
          </w:p>
        </w:tc>
        <w:tc>
          <w:tcPr>
            <w:tcW w:w="1950" w:type="dxa"/>
            <w:vAlign w:val="center"/>
          </w:tcPr>
          <w:p w14:paraId="7F3CD8F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All students, particularly those with anxiety disorders</w:t>
            </w:r>
          </w:p>
        </w:tc>
        <w:tc>
          <w:tcPr>
            <w:tcW w:w="2040" w:type="dxa"/>
            <w:vAlign w:val="center"/>
          </w:tcPr>
          <w:p w14:paraId="5C5D275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Reduced cognitive performance, decreased academic achievement</w:t>
            </w:r>
          </w:p>
        </w:tc>
        <w:tc>
          <w:tcPr>
            <w:tcW w:w="1815" w:type="dxa"/>
            <w:vAlign w:val="center"/>
          </w:tcPr>
          <w:p w14:paraId="7CBC29A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Beck (2020), Smith et al. (2023)</w:t>
            </w:r>
          </w:p>
        </w:tc>
      </w:tr>
      <w:tr w:rsidR="00F234CE" w14:paraId="2DFF61E7" w14:textId="77777777">
        <w:tc>
          <w:tcPr>
            <w:tcW w:w="2015" w:type="dxa"/>
            <w:vAlign w:val="center"/>
          </w:tcPr>
          <w:p w14:paraId="271E993D"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Dehumanization</w:t>
            </w:r>
          </w:p>
        </w:tc>
        <w:tc>
          <w:tcPr>
            <w:tcW w:w="2025" w:type="dxa"/>
            <w:vAlign w:val="center"/>
          </w:tcPr>
          <w:p w14:paraId="5BE9920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Feeling treated as data points, algorithmic subjects</w:t>
            </w:r>
          </w:p>
        </w:tc>
        <w:tc>
          <w:tcPr>
            <w:tcW w:w="1950" w:type="dxa"/>
            <w:vAlign w:val="center"/>
          </w:tcPr>
          <w:p w14:paraId="2A93DA5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Neurodiverse learners, students with disabilities</w:t>
            </w:r>
          </w:p>
        </w:tc>
        <w:tc>
          <w:tcPr>
            <w:tcW w:w="2040" w:type="dxa"/>
            <w:vAlign w:val="center"/>
          </w:tcPr>
          <w:p w14:paraId="052C974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Decreased intrinsic motivation, reduced sense of agency</w:t>
            </w:r>
          </w:p>
        </w:tc>
        <w:tc>
          <w:tcPr>
            <w:tcW w:w="1815" w:type="dxa"/>
            <w:vAlign w:val="center"/>
          </w:tcPr>
          <w:p w14:paraId="1AB507F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Chen &amp; Rodriguez (2024)</w:t>
            </w:r>
          </w:p>
        </w:tc>
      </w:tr>
      <w:tr w:rsidR="00F234CE" w14:paraId="105E10C3" w14:textId="77777777">
        <w:tc>
          <w:tcPr>
            <w:tcW w:w="2015" w:type="dxa"/>
            <w:vAlign w:val="center"/>
          </w:tcPr>
          <w:p w14:paraId="395BA63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Privacy Violation</w:t>
            </w:r>
          </w:p>
        </w:tc>
        <w:tc>
          <w:tcPr>
            <w:tcW w:w="2025" w:type="dxa"/>
            <w:vAlign w:val="center"/>
          </w:tcPr>
          <w:p w14:paraId="0C04A13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Personal space invasion, loss of autonomy</w:t>
            </w:r>
          </w:p>
        </w:tc>
        <w:tc>
          <w:tcPr>
            <w:tcW w:w="1950" w:type="dxa"/>
            <w:vAlign w:val="center"/>
          </w:tcPr>
          <w:p w14:paraId="28AA746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Students in unstable living environments and low-income students</w:t>
            </w:r>
          </w:p>
        </w:tc>
        <w:tc>
          <w:tcPr>
            <w:tcW w:w="2040" w:type="dxa"/>
            <w:vAlign w:val="center"/>
          </w:tcPr>
          <w:p w14:paraId="2E408C0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Avoidance of course participation, withdrawal from activities</w:t>
            </w:r>
          </w:p>
        </w:tc>
        <w:tc>
          <w:tcPr>
            <w:tcW w:w="1815" w:type="dxa"/>
            <w:vAlign w:val="center"/>
          </w:tcPr>
          <w:p w14:paraId="7D49B97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New America Foundation (2024)</w:t>
            </w:r>
          </w:p>
        </w:tc>
      </w:tr>
      <w:tr w:rsidR="00F234CE" w14:paraId="661C83BA" w14:textId="77777777">
        <w:tc>
          <w:tcPr>
            <w:tcW w:w="2015" w:type="dxa"/>
            <w:vAlign w:val="center"/>
          </w:tcPr>
          <w:p w14:paraId="03B5B13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Behavioral Modification</w:t>
            </w:r>
          </w:p>
        </w:tc>
        <w:tc>
          <w:tcPr>
            <w:tcW w:w="2025" w:type="dxa"/>
            <w:vAlign w:val="center"/>
          </w:tcPr>
          <w:p w14:paraId="6C5CD43C"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Performing for algorithms rather than learning</w:t>
            </w:r>
          </w:p>
        </w:tc>
        <w:tc>
          <w:tcPr>
            <w:tcW w:w="1950" w:type="dxa"/>
            <w:vAlign w:val="center"/>
          </w:tcPr>
          <w:p w14:paraId="4046FDA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High-achieving students, compliance-oriented learners</w:t>
            </w:r>
          </w:p>
        </w:tc>
        <w:tc>
          <w:tcPr>
            <w:tcW w:w="2040" w:type="dxa"/>
            <w:vAlign w:val="center"/>
          </w:tcPr>
          <w:p w14:paraId="7E7DD33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Shift from learning to performance, reduced creativity</w:t>
            </w:r>
          </w:p>
        </w:tc>
        <w:tc>
          <w:tcPr>
            <w:tcW w:w="1815" w:type="dxa"/>
            <w:vAlign w:val="center"/>
          </w:tcPr>
          <w:p w14:paraId="3C1E011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Wilson &amp; Anderson (2023)</w:t>
            </w:r>
          </w:p>
        </w:tc>
      </w:tr>
      <w:tr w:rsidR="00F234CE" w14:paraId="4DE31189" w14:textId="77777777">
        <w:tc>
          <w:tcPr>
            <w:tcW w:w="2015" w:type="dxa"/>
            <w:vAlign w:val="center"/>
          </w:tcPr>
          <w:p w14:paraId="6EF6757F"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lastRenderedPageBreak/>
              <w:t>Trust Erosion</w:t>
            </w:r>
          </w:p>
        </w:tc>
        <w:tc>
          <w:tcPr>
            <w:tcW w:w="2025" w:type="dxa"/>
            <w:vAlign w:val="center"/>
          </w:tcPr>
          <w:p w14:paraId="00067DC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Skepticism toward institutions, faculty relationships</w:t>
            </w:r>
          </w:p>
        </w:tc>
        <w:tc>
          <w:tcPr>
            <w:tcW w:w="1950" w:type="dxa"/>
            <w:vAlign w:val="center"/>
          </w:tcPr>
          <w:p w14:paraId="1414F44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Students with previous negative experiences</w:t>
            </w:r>
          </w:p>
        </w:tc>
        <w:tc>
          <w:tcPr>
            <w:tcW w:w="2040" w:type="dxa"/>
            <w:vAlign w:val="center"/>
          </w:tcPr>
          <w:p w14:paraId="02EBC9E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Reduced faculty-student collaboration, decreased help-seeking</w:t>
            </w:r>
          </w:p>
        </w:tc>
        <w:tc>
          <w:tcPr>
            <w:tcW w:w="1815" w:type="dxa"/>
            <w:vAlign w:val="center"/>
          </w:tcPr>
          <w:p w14:paraId="2AAD1A9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García-Peñalvo &amp; Durán-Escudero (2024)</w:t>
            </w:r>
          </w:p>
        </w:tc>
      </w:tr>
    </w:tbl>
    <w:p w14:paraId="1B248FE3" w14:textId="77777777" w:rsidR="00F234CE" w:rsidRDefault="00F234CE">
      <w:pPr>
        <w:rPr>
          <w:rFonts w:ascii="Times New Roman" w:eastAsia="Times New Roman" w:hAnsi="Times New Roman" w:cs="Times New Roman"/>
        </w:rPr>
      </w:pPr>
    </w:p>
    <w:p w14:paraId="64B0A62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dehumanization effects outlined in Table 4 are especially troubling for neurodiverse students and those with disabilities. These students frequently feel treated as mere data rather than as individuals with distinct needs and strengths. This tendency to view students as data points erodes the personalized support that is essential for their academic success (Beck, 2020; Smith et al., 2023).</w:t>
      </w:r>
    </w:p>
    <w:p w14:paraId="67E2B97F"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R</w:t>
      </w:r>
      <w:r>
        <w:rPr>
          <w:rFonts w:ascii="Times New Roman" w:eastAsia="Times New Roman" w:hAnsi="Times New Roman" w:cs="Times New Roman"/>
        </w:rPr>
        <w:t>esearch indicates that privacy breaches primarily affect students in unstable housing situations, who often lack private areas for proctored exams or face increased stress due to continuous surveillance of their personal spaces. The New America Foundation (2024) highlights that these privacy issues can restrict educational access, especially for vulnerable student groups.</w:t>
      </w:r>
    </w:p>
    <w:p w14:paraId="7FF33817" w14:textId="77777777" w:rsidR="00F234CE" w:rsidRDefault="00F234CE">
      <w:pPr>
        <w:rPr>
          <w:rFonts w:ascii="Times New Roman" w:eastAsia="Times New Roman" w:hAnsi="Times New Roman" w:cs="Times New Roman"/>
        </w:rPr>
      </w:pPr>
    </w:p>
    <w:p w14:paraId="30BBCD55" w14:textId="3C3FAD2E"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4.2 The Transformation of Educational Relationships</w:t>
      </w:r>
    </w:p>
    <w:p w14:paraId="2FC0FCD6"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From Dialogue to Data-Mediated Interaction</w:t>
      </w:r>
    </w:p>
    <w:p w14:paraId="19B0781C"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Implementing comprehensive surveillance systems fundamentally alters educational relationships, transforming them from dialogue-based on mutual respect and shared goals into data-driven abstractions where algorithms serve as the mediators of human connection.</w:t>
      </w:r>
    </w:p>
    <w:p w14:paraId="21FC7FE6"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5</w:t>
      </w:r>
      <w:r>
        <w:rPr>
          <w:rFonts w:ascii="Times New Roman" w:eastAsia="Times New Roman" w:hAnsi="Times New Roman" w:cs="Times New Roman"/>
        </w:rPr>
        <w:t xml:space="preserve"> provides a detailed comparison between traditional classroom surveillance and digital LMS monitoring, showing that adopting digital surveillance is more than just a technological upgrade. It represents a fundamental shift in how educational authority and student agency are organized. In traditional classrooms, surveillance is achieved through visible and direct methods, with teachers asserting authority through their physical presence, direct observation, and shared cultural expectations that can be negotiated through social interactions.</w:t>
      </w:r>
    </w:p>
    <w:p w14:paraId="6EC35718"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5</w:t>
      </w:r>
      <w:r>
        <w:rPr>
          <w:rFonts w:ascii="Times New Roman" w:eastAsia="Times New Roman" w:hAnsi="Times New Roman" w:cs="Times New Roman"/>
        </w:rPr>
        <w:t xml:space="preserve"> </w:t>
      </w:r>
      <w:r>
        <w:rPr>
          <w:rFonts w:ascii="Times New Roman" w:eastAsia="Times New Roman" w:hAnsi="Times New Roman" w:cs="Times New Roman"/>
          <w:i/>
        </w:rPr>
        <w:t>Traditional vs. Digital Educational Surveillance: A Comparative Analysis</w:t>
      </w:r>
    </w:p>
    <w:tbl>
      <w:tblPr>
        <w:tblStyle w:val="af1"/>
        <w:tblW w:w="103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2025"/>
        <w:gridCol w:w="2100"/>
        <w:gridCol w:w="1920"/>
        <w:gridCol w:w="2205"/>
      </w:tblGrid>
      <w:tr w:rsidR="00F234CE" w14:paraId="2670A4DE" w14:textId="77777777">
        <w:trPr>
          <w:tblHeader/>
        </w:trPr>
        <w:tc>
          <w:tcPr>
            <w:tcW w:w="2100" w:type="dxa"/>
            <w:shd w:val="clear" w:color="auto" w:fill="FAE2D6"/>
            <w:vAlign w:val="center"/>
          </w:tcPr>
          <w:p w14:paraId="56F12AE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lastRenderedPageBreak/>
              <w:t>Surveillance Aspect</w:t>
            </w:r>
          </w:p>
        </w:tc>
        <w:tc>
          <w:tcPr>
            <w:tcW w:w="2025" w:type="dxa"/>
            <w:shd w:val="clear" w:color="auto" w:fill="FAE2D6"/>
            <w:vAlign w:val="center"/>
          </w:tcPr>
          <w:p w14:paraId="7D08C5FF"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Traditional Classroom</w:t>
            </w:r>
          </w:p>
        </w:tc>
        <w:tc>
          <w:tcPr>
            <w:tcW w:w="2100" w:type="dxa"/>
            <w:shd w:val="clear" w:color="auto" w:fill="FAE2D6"/>
            <w:vAlign w:val="center"/>
          </w:tcPr>
          <w:p w14:paraId="54A0CA2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Digital LMS Platform</w:t>
            </w:r>
          </w:p>
        </w:tc>
        <w:tc>
          <w:tcPr>
            <w:tcW w:w="1920" w:type="dxa"/>
            <w:shd w:val="clear" w:color="auto" w:fill="FAE2D6"/>
            <w:vAlign w:val="center"/>
          </w:tcPr>
          <w:p w14:paraId="377870EB"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Impact on Learning</w:t>
            </w:r>
          </w:p>
        </w:tc>
        <w:tc>
          <w:tcPr>
            <w:tcW w:w="2205" w:type="dxa"/>
            <w:shd w:val="clear" w:color="auto" w:fill="FAE2D6"/>
            <w:vAlign w:val="center"/>
          </w:tcPr>
          <w:p w14:paraId="2290C209"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Power Dynamic Change</w:t>
            </w:r>
          </w:p>
        </w:tc>
      </w:tr>
      <w:tr w:rsidR="00F234CE" w14:paraId="561C1EFD" w14:textId="77777777">
        <w:tc>
          <w:tcPr>
            <w:tcW w:w="2100" w:type="dxa"/>
            <w:vAlign w:val="center"/>
          </w:tcPr>
          <w:p w14:paraId="4A71AB12"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Visibility</w:t>
            </w:r>
          </w:p>
        </w:tc>
        <w:tc>
          <w:tcPr>
            <w:tcW w:w="2025" w:type="dxa"/>
            <w:vAlign w:val="center"/>
          </w:tcPr>
          <w:p w14:paraId="05BCA3E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Teacher physically present, observable authority</w:t>
            </w:r>
          </w:p>
        </w:tc>
        <w:tc>
          <w:tcPr>
            <w:tcW w:w="2100" w:type="dxa"/>
            <w:vAlign w:val="center"/>
          </w:tcPr>
          <w:p w14:paraId="30E806D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Invisible, automated monitoring systems</w:t>
            </w:r>
          </w:p>
        </w:tc>
        <w:tc>
          <w:tcPr>
            <w:tcW w:w="1920" w:type="dxa"/>
            <w:vAlign w:val="center"/>
          </w:tcPr>
          <w:p w14:paraId="505B5BF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Eliminates negotiable authority relationships</w:t>
            </w:r>
          </w:p>
        </w:tc>
        <w:tc>
          <w:tcPr>
            <w:tcW w:w="2205" w:type="dxa"/>
            <w:vAlign w:val="center"/>
          </w:tcPr>
          <w:p w14:paraId="5BE4083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Shift from mutual to asymmetric observation</w:t>
            </w:r>
          </w:p>
        </w:tc>
      </w:tr>
      <w:tr w:rsidR="00F234CE" w14:paraId="163EC3E2" w14:textId="77777777">
        <w:tc>
          <w:tcPr>
            <w:tcW w:w="2100" w:type="dxa"/>
            <w:vAlign w:val="center"/>
          </w:tcPr>
          <w:p w14:paraId="0FDDB72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Temporality</w:t>
            </w:r>
          </w:p>
        </w:tc>
        <w:tc>
          <w:tcPr>
            <w:tcW w:w="2025" w:type="dxa"/>
            <w:vAlign w:val="center"/>
          </w:tcPr>
          <w:p w14:paraId="47C8854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Limited to class time, scheduled interactions</w:t>
            </w:r>
          </w:p>
        </w:tc>
        <w:tc>
          <w:tcPr>
            <w:tcW w:w="2100" w:type="dxa"/>
            <w:vAlign w:val="center"/>
          </w:tcPr>
          <w:p w14:paraId="72AD9F0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Continuous, 24/7 tracking and data collection</w:t>
            </w:r>
          </w:p>
        </w:tc>
        <w:tc>
          <w:tcPr>
            <w:tcW w:w="1920" w:type="dxa"/>
            <w:vAlign w:val="center"/>
          </w:tcPr>
          <w:p w14:paraId="09BBA0A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Extends institutional control beyond formal learning</w:t>
            </w:r>
          </w:p>
        </w:tc>
        <w:tc>
          <w:tcPr>
            <w:tcW w:w="2205" w:type="dxa"/>
            <w:vAlign w:val="center"/>
          </w:tcPr>
          <w:p w14:paraId="7E0EBB9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Eliminates private learning spaces</w:t>
            </w:r>
          </w:p>
        </w:tc>
      </w:tr>
      <w:tr w:rsidR="00F234CE" w14:paraId="5502E8E2" w14:textId="77777777">
        <w:tc>
          <w:tcPr>
            <w:tcW w:w="2100" w:type="dxa"/>
            <w:vAlign w:val="center"/>
          </w:tcPr>
          <w:p w14:paraId="00ED61B0"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Reciprocity</w:t>
            </w:r>
          </w:p>
        </w:tc>
        <w:tc>
          <w:tcPr>
            <w:tcW w:w="2025" w:type="dxa"/>
            <w:vAlign w:val="center"/>
          </w:tcPr>
          <w:p w14:paraId="2DC9535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Students can observe and respond to the teacher's behavior</w:t>
            </w:r>
          </w:p>
        </w:tc>
        <w:tc>
          <w:tcPr>
            <w:tcW w:w="2100" w:type="dxa"/>
            <w:vAlign w:val="center"/>
          </w:tcPr>
          <w:p w14:paraId="1F8EDF2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Opaque, one-way monitoring with limited feedback</w:t>
            </w:r>
          </w:p>
        </w:tc>
        <w:tc>
          <w:tcPr>
            <w:tcW w:w="1920" w:type="dxa"/>
            <w:vAlign w:val="center"/>
          </w:tcPr>
          <w:p w14:paraId="47131F5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Removes mutual accountability and trust-building</w:t>
            </w:r>
          </w:p>
        </w:tc>
        <w:tc>
          <w:tcPr>
            <w:tcW w:w="2205" w:type="dxa"/>
            <w:vAlign w:val="center"/>
          </w:tcPr>
          <w:p w14:paraId="43A611B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Creates a power imbalance favoring the institution</w:t>
            </w:r>
          </w:p>
        </w:tc>
      </w:tr>
      <w:tr w:rsidR="00F234CE" w14:paraId="19233E01" w14:textId="77777777">
        <w:tc>
          <w:tcPr>
            <w:tcW w:w="2100" w:type="dxa"/>
            <w:vAlign w:val="center"/>
          </w:tcPr>
          <w:p w14:paraId="6BACF78C"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Resistance Opportunities</w:t>
            </w:r>
          </w:p>
        </w:tc>
        <w:tc>
          <w:tcPr>
            <w:tcW w:w="2025" w:type="dxa"/>
            <w:vAlign w:val="center"/>
          </w:tcPr>
          <w:p w14:paraId="65A1A0B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Direct confrontation and collective action are possible</w:t>
            </w:r>
          </w:p>
        </w:tc>
        <w:tc>
          <w:tcPr>
            <w:tcW w:w="2100" w:type="dxa"/>
            <w:vAlign w:val="center"/>
          </w:tcPr>
          <w:p w14:paraId="049F1A7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Individual algorithmic circumvention required</w:t>
            </w:r>
          </w:p>
        </w:tc>
        <w:tc>
          <w:tcPr>
            <w:tcW w:w="1920" w:type="dxa"/>
            <w:vAlign w:val="center"/>
          </w:tcPr>
          <w:p w14:paraId="66C82C56"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Individualizes collective action potential</w:t>
            </w:r>
          </w:p>
        </w:tc>
        <w:tc>
          <w:tcPr>
            <w:tcW w:w="2205" w:type="dxa"/>
            <w:vAlign w:val="center"/>
          </w:tcPr>
          <w:p w14:paraId="2859D3E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Reduces student collective bargaining power</w:t>
            </w:r>
          </w:p>
        </w:tc>
      </w:tr>
      <w:tr w:rsidR="00F234CE" w14:paraId="3F6E4A15" w14:textId="77777777">
        <w:tc>
          <w:tcPr>
            <w:tcW w:w="2100" w:type="dxa"/>
            <w:vAlign w:val="center"/>
          </w:tcPr>
          <w:p w14:paraId="780E7437"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Data Persistence</w:t>
            </w:r>
          </w:p>
        </w:tc>
        <w:tc>
          <w:tcPr>
            <w:tcW w:w="2025" w:type="dxa"/>
            <w:vAlign w:val="center"/>
          </w:tcPr>
          <w:p w14:paraId="5D8D699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Memory-based, contextual, temporary</w:t>
            </w:r>
          </w:p>
        </w:tc>
        <w:tc>
          <w:tcPr>
            <w:tcW w:w="2100" w:type="dxa"/>
            <w:vAlign w:val="center"/>
          </w:tcPr>
          <w:p w14:paraId="15190A1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Permanent digital records, decontextualized metrics</w:t>
            </w:r>
          </w:p>
        </w:tc>
        <w:tc>
          <w:tcPr>
            <w:tcW w:w="1920" w:type="dxa"/>
            <w:vAlign w:val="center"/>
          </w:tcPr>
          <w:p w14:paraId="7CA509B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Creates lasting behavioral profiles affecting future opportunities</w:t>
            </w:r>
          </w:p>
        </w:tc>
        <w:tc>
          <w:tcPr>
            <w:tcW w:w="2205" w:type="dxa"/>
            <w:vAlign w:val="center"/>
          </w:tcPr>
          <w:p w14:paraId="6271B65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Shifts from forgiveness to permanent judgment</w:t>
            </w:r>
          </w:p>
        </w:tc>
      </w:tr>
      <w:tr w:rsidR="00F234CE" w14:paraId="4062F1D4" w14:textId="77777777">
        <w:tc>
          <w:tcPr>
            <w:tcW w:w="2100" w:type="dxa"/>
            <w:vAlign w:val="center"/>
          </w:tcPr>
          <w:p w14:paraId="051CCCD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Contextual Understanding</w:t>
            </w:r>
          </w:p>
        </w:tc>
        <w:tc>
          <w:tcPr>
            <w:tcW w:w="2025" w:type="dxa"/>
            <w:vAlign w:val="center"/>
          </w:tcPr>
          <w:p w14:paraId="3CEC0DD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Social and cultural awareness of individual circumstances</w:t>
            </w:r>
          </w:p>
        </w:tc>
        <w:tc>
          <w:tcPr>
            <w:tcW w:w="2100" w:type="dxa"/>
            <w:vAlign w:val="center"/>
          </w:tcPr>
          <w:p w14:paraId="46DB6C2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Algorithmic interpretation without human context</w:t>
            </w:r>
          </w:p>
        </w:tc>
        <w:tc>
          <w:tcPr>
            <w:tcW w:w="1920" w:type="dxa"/>
            <w:vAlign w:val="center"/>
          </w:tcPr>
          <w:p w14:paraId="6AD13B2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Removes a nuanced understanding of student needs</w:t>
            </w:r>
          </w:p>
        </w:tc>
        <w:tc>
          <w:tcPr>
            <w:tcW w:w="2205" w:type="dxa"/>
            <w:vAlign w:val="center"/>
          </w:tcPr>
          <w:p w14:paraId="77D84F3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Replaces human judgment with automated decisions</w:t>
            </w:r>
          </w:p>
        </w:tc>
      </w:tr>
    </w:tbl>
    <w:p w14:paraId="2EE42291" w14:textId="77777777" w:rsidR="00F234CE" w:rsidRDefault="00F234CE">
      <w:pPr>
        <w:rPr>
          <w:rFonts w:ascii="Times New Roman" w:eastAsia="Times New Roman" w:hAnsi="Times New Roman" w:cs="Times New Roman"/>
        </w:rPr>
      </w:pPr>
    </w:p>
    <w:p w14:paraId="010ED245"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Table 5 illustrates that digital surveillance diminishes the reciprocal interactions observed in traditional classroom settings. In physical classrooms, students can see their educators, openly contest authority, and engage in collective resistance through discussions and protests. Conversely, digital surveillance alters these interactions through ambient, automated, and opaque monitoring mechanisms, rendering it impossible for students to ascertain when they are being observed, the identity of the monitors, or the purpose of the surveillance.</w:t>
      </w:r>
    </w:p>
    <w:p w14:paraId="30A56062"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lastRenderedPageBreak/>
        <w:t>The change in temporality shown in Table 5 marks the most significant shift in educational surveillance. Traditional classroom authority functions within fixed schedules, usually limited to designated classes and campus events. In contrast, digital surveillance expands institutional oversight into previously private spaces and times, resulting in continuous monitoring that profoundly impacts students' perceptions of autonomy and privacy.</w:t>
      </w:r>
    </w:p>
    <w:p w14:paraId="536F55BC"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Data persistence is another essential transformation outlined in Table 5. While traditional classroom interactions depend on memory, context, and temporary information storage to foster forgiveness, growth, and adaptation to change, digital surveillance creates permanent, decontextualized records that can impede these processes. These records continuously monitor students throughout their academic journey and potentially into their professional lives.</w:t>
      </w:r>
    </w:p>
    <w:p w14:paraId="7138F33C" w14:textId="7F826291"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4.3  Surveillance-related Implications and Student Agency (RQ 2)</w:t>
      </w:r>
    </w:p>
    <w:p w14:paraId="30D8368A"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The Scale of Surveillance Implementation</w:t>
      </w:r>
    </w:p>
    <w:p w14:paraId="71B11BC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surveillance capabilities described operate within a market environment that emphasizes the massive scope of educational monitoring deployment. Understanding this scale is crucial to seeing how surveillance has become embedded in modern higher education and the economic incentives driving the continued expansion of monitoring technologies.</w:t>
      </w:r>
    </w:p>
    <w:p w14:paraId="3283A4B8"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Table 6 highlights the market indicators influencing surveillance adoption, demonstrating how economic incentives encourage the expansion of surveillance rather than improvements in education. The global e-learning market is projected to grow from $315.1 billion in 2023 to $740.46 billion by 2032, reflecting substantial investment in digital educational infrastructure. Much of this infrastructure includes surveillance features as standard, not optional add-ons (Holon IQ, 2025; Martinez, 2024; Research &amp; Markets, 2025).</w:t>
      </w:r>
    </w:p>
    <w:p w14:paraId="7F52F165"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6:</w:t>
      </w:r>
      <w:r>
        <w:rPr>
          <w:rFonts w:ascii="Times New Roman" w:eastAsia="Times New Roman" w:hAnsi="Times New Roman" w:cs="Times New Roman"/>
        </w:rPr>
        <w:t xml:space="preserve"> </w:t>
      </w:r>
      <w:r>
        <w:rPr>
          <w:rFonts w:ascii="Times New Roman" w:eastAsia="Times New Roman" w:hAnsi="Times New Roman" w:cs="Times New Roman"/>
          <w:i/>
        </w:rPr>
        <w:t>Market Context and Implementation Scale of Educational Surveillance</w:t>
      </w:r>
    </w:p>
    <w:tbl>
      <w:tblPr>
        <w:tblStyle w:val="af2"/>
        <w:tblW w:w="101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0"/>
        <w:gridCol w:w="1260"/>
        <w:gridCol w:w="1905"/>
        <w:gridCol w:w="2325"/>
        <w:gridCol w:w="2550"/>
      </w:tblGrid>
      <w:tr w:rsidR="00F234CE" w14:paraId="531FD890" w14:textId="77777777">
        <w:trPr>
          <w:tblHeader/>
        </w:trPr>
        <w:tc>
          <w:tcPr>
            <w:tcW w:w="2090" w:type="dxa"/>
            <w:shd w:val="clear" w:color="auto" w:fill="FAE2D6"/>
            <w:vAlign w:val="center"/>
          </w:tcPr>
          <w:p w14:paraId="2C03A5A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Market Indicator</w:t>
            </w:r>
          </w:p>
        </w:tc>
        <w:tc>
          <w:tcPr>
            <w:tcW w:w="1260" w:type="dxa"/>
            <w:shd w:val="clear" w:color="auto" w:fill="FAE2D6"/>
            <w:vAlign w:val="center"/>
          </w:tcPr>
          <w:p w14:paraId="22F5E7BC"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Current Status</w:t>
            </w:r>
          </w:p>
        </w:tc>
        <w:tc>
          <w:tcPr>
            <w:tcW w:w="1905" w:type="dxa"/>
            <w:shd w:val="clear" w:color="auto" w:fill="FAE2D6"/>
            <w:vAlign w:val="center"/>
          </w:tcPr>
          <w:p w14:paraId="4EC7CD65"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Projected Growth</w:t>
            </w:r>
          </w:p>
        </w:tc>
        <w:tc>
          <w:tcPr>
            <w:tcW w:w="2325" w:type="dxa"/>
            <w:shd w:val="clear" w:color="auto" w:fill="FAE2D6"/>
            <w:vAlign w:val="center"/>
          </w:tcPr>
          <w:p w14:paraId="621F7B13"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Surveillance Implications</w:t>
            </w:r>
          </w:p>
        </w:tc>
        <w:tc>
          <w:tcPr>
            <w:tcW w:w="2550" w:type="dxa"/>
            <w:shd w:val="clear" w:color="auto" w:fill="FAE2D6"/>
            <w:vAlign w:val="center"/>
          </w:tcPr>
          <w:p w14:paraId="6CC16A8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Student Impact</w:t>
            </w:r>
          </w:p>
        </w:tc>
      </w:tr>
      <w:tr w:rsidR="00F234CE" w14:paraId="56871EE6" w14:textId="77777777">
        <w:tc>
          <w:tcPr>
            <w:tcW w:w="2090" w:type="dxa"/>
            <w:vAlign w:val="center"/>
          </w:tcPr>
          <w:p w14:paraId="07C3F657" w14:textId="77777777" w:rsidR="00F234CE" w:rsidRDefault="00A551CD">
            <w:pPr>
              <w:ind w:left="115" w:right="97"/>
              <w:rPr>
                <w:rFonts w:ascii="Times New Roman" w:eastAsia="Times New Roman" w:hAnsi="Times New Roman" w:cs="Times New Roman"/>
                <w:b/>
              </w:rPr>
            </w:pPr>
            <w:r>
              <w:rPr>
                <w:rFonts w:ascii="Times New Roman" w:eastAsia="Times New Roman" w:hAnsi="Times New Roman" w:cs="Times New Roman"/>
                <w:b/>
              </w:rPr>
              <w:t>Global E-Learning Market</w:t>
            </w:r>
          </w:p>
        </w:tc>
        <w:tc>
          <w:tcPr>
            <w:tcW w:w="1260" w:type="dxa"/>
            <w:vAlign w:val="center"/>
          </w:tcPr>
          <w:p w14:paraId="03CE1BE9"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$315.1 billion (2023)</w:t>
            </w:r>
          </w:p>
        </w:tc>
        <w:tc>
          <w:tcPr>
            <w:tcW w:w="1905" w:type="dxa"/>
            <w:vAlign w:val="center"/>
          </w:tcPr>
          <w:p w14:paraId="151164E2"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$740.46 billion by 2032</w:t>
            </w:r>
          </w:p>
        </w:tc>
        <w:tc>
          <w:tcPr>
            <w:tcW w:w="2325" w:type="dxa"/>
            <w:vAlign w:val="center"/>
          </w:tcPr>
          <w:p w14:paraId="5757DE29"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Massive surveillance infrastructure investment</w:t>
            </w:r>
          </w:p>
        </w:tc>
        <w:tc>
          <w:tcPr>
            <w:tcW w:w="2550" w:type="dxa"/>
            <w:vAlign w:val="center"/>
          </w:tcPr>
          <w:p w14:paraId="60F29D3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300+ million students globally are exposed to monitoring</w:t>
            </w:r>
          </w:p>
        </w:tc>
      </w:tr>
      <w:tr w:rsidR="00F234CE" w14:paraId="568E2884" w14:textId="77777777">
        <w:tc>
          <w:tcPr>
            <w:tcW w:w="2090" w:type="dxa"/>
            <w:vAlign w:val="center"/>
          </w:tcPr>
          <w:p w14:paraId="18B9536B"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Corporate LMS Growth</w:t>
            </w:r>
          </w:p>
        </w:tc>
        <w:tc>
          <w:tcPr>
            <w:tcW w:w="1260" w:type="dxa"/>
            <w:vAlign w:val="center"/>
          </w:tcPr>
          <w:p w14:paraId="18C1FF0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23.8% CAGR</w:t>
            </w:r>
          </w:p>
        </w:tc>
        <w:tc>
          <w:tcPr>
            <w:tcW w:w="1905" w:type="dxa"/>
            <w:vAlign w:val="center"/>
          </w:tcPr>
          <w:p w14:paraId="65604F4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Continued expansion through 2030</w:t>
            </w:r>
          </w:p>
        </w:tc>
        <w:tc>
          <w:tcPr>
            <w:tcW w:w="2325" w:type="dxa"/>
            <w:vAlign w:val="center"/>
          </w:tcPr>
          <w:p w14:paraId="3ACE6468"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Workplace surveillance normalization</w:t>
            </w:r>
          </w:p>
        </w:tc>
        <w:tc>
          <w:tcPr>
            <w:tcW w:w="2550" w:type="dxa"/>
            <w:vAlign w:val="center"/>
          </w:tcPr>
          <w:p w14:paraId="1AEECF29"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Training students for monitored employment</w:t>
            </w:r>
          </w:p>
        </w:tc>
      </w:tr>
      <w:tr w:rsidR="00F234CE" w14:paraId="2BD2509C" w14:textId="77777777">
        <w:tc>
          <w:tcPr>
            <w:tcW w:w="2090" w:type="dxa"/>
            <w:vAlign w:val="center"/>
          </w:tcPr>
          <w:p w14:paraId="26B53AE1"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EdTech Investment</w:t>
            </w:r>
          </w:p>
        </w:tc>
        <w:tc>
          <w:tcPr>
            <w:tcW w:w="1260" w:type="dxa"/>
            <w:vAlign w:val="center"/>
          </w:tcPr>
          <w:p w14:paraId="11A084EF"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$2.4 billion (2024)</w:t>
            </w:r>
          </w:p>
        </w:tc>
        <w:tc>
          <w:tcPr>
            <w:tcW w:w="1905" w:type="dxa"/>
            <w:vAlign w:val="center"/>
          </w:tcPr>
          <w:p w14:paraId="56188B55"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 xml:space="preserve">Lowest since 2015, indicating </w:t>
            </w:r>
            <w:r>
              <w:rPr>
                <w:rFonts w:ascii="Times New Roman" w:eastAsia="Times New Roman" w:hAnsi="Times New Roman" w:cs="Times New Roman"/>
              </w:rPr>
              <w:lastRenderedPageBreak/>
              <w:t>market maturation</w:t>
            </w:r>
          </w:p>
        </w:tc>
        <w:tc>
          <w:tcPr>
            <w:tcW w:w="2325" w:type="dxa"/>
            <w:vAlign w:val="center"/>
          </w:tcPr>
          <w:p w14:paraId="06A612CD"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lastRenderedPageBreak/>
              <w:t>Consolidation around surveillance-capable platforms</w:t>
            </w:r>
          </w:p>
        </w:tc>
        <w:tc>
          <w:tcPr>
            <w:tcW w:w="2550" w:type="dxa"/>
            <w:vAlign w:val="center"/>
          </w:tcPr>
          <w:p w14:paraId="2C2BEA9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Reduced innovation in privacy-preserving alternatives</w:t>
            </w:r>
          </w:p>
        </w:tc>
      </w:tr>
      <w:tr w:rsidR="00F234CE" w14:paraId="5DA86AD8" w14:textId="77777777">
        <w:tc>
          <w:tcPr>
            <w:tcW w:w="2090" w:type="dxa"/>
            <w:vAlign w:val="center"/>
          </w:tcPr>
          <w:p w14:paraId="3E6B3049" w14:textId="77777777" w:rsidR="00F234CE" w:rsidRDefault="00A551CD">
            <w:pPr>
              <w:ind w:left="115"/>
              <w:rPr>
                <w:rFonts w:ascii="Times New Roman" w:eastAsia="Times New Roman" w:hAnsi="Times New Roman" w:cs="Times New Roman"/>
                <w:b/>
              </w:rPr>
            </w:pPr>
            <w:r>
              <w:rPr>
                <w:rFonts w:ascii="Times New Roman" w:eastAsia="Times New Roman" w:hAnsi="Times New Roman" w:cs="Times New Roman"/>
                <w:b/>
              </w:rPr>
              <w:t>Student Population</w:t>
            </w:r>
          </w:p>
        </w:tc>
        <w:tc>
          <w:tcPr>
            <w:tcW w:w="1260" w:type="dxa"/>
            <w:vAlign w:val="center"/>
          </w:tcPr>
          <w:p w14:paraId="31284287"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300+ million globally</w:t>
            </w:r>
          </w:p>
        </w:tc>
        <w:tc>
          <w:tcPr>
            <w:tcW w:w="1905" w:type="dxa"/>
            <w:vAlign w:val="center"/>
          </w:tcPr>
          <w:p w14:paraId="708CFEFF"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Increasing digital adoption rates</w:t>
            </w:r>
          </w:p>
        </w:tc>
        <w:tc>
          <w:tcPr>
            <w:tcW w:w="2325" w:type="dxa"/>
            <w:vAlign w:val="center"/>
          </w:tcPr>
          <w:p w14:paraId="6C1F6130"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Unprecedented surveillance exposure scale</w:t>
            </w:r>
          </w:p>
        </w:tc>
        <w:tc>
          <w:tcPr>
            <w:tcW w:w="2550" w:type="dxa"/>
            <w:vAlign w:val="center"/>
          </w:tcPr>
          <w:p w14:paraId="0AE065A7" w14:textId="77777777" w:rsidR="00F234CE" w:rsidRDefault="00A551CD">
            <w:pPr>
              <w:ind w:left="115"/>
              <w:rPr>
                <w:rFonts w:ascii="Times New Roman" w:eastAsia="Times New Roman" w:hAnsi="Times New Roman" w:cs="Times New Roman"/>
              </w:rPr>
            </w:pPr>
            <w:r>
              <w:rPr>
                <w:rFonts w:ascii="Times New Roman" w:eastAsia="Times New Roman" w:hAnsi="Times New Roman" w:cs="Times New Roman"/>
              </w:rPr>
              <w:t>Normalization of monitoring for the entire generation</w:t>
            </w:r>
          </w:p>
        </w:tc>
      </w:tr>
    </w:tbl>
    <w:p w14:paraId="2117BCA2" w14:textId="77777777" w:rsidR="00F234CE" w:rsidRDefault="00F234CE">
      <w:pPr>
        <w:rPr>
          <w:rFonts w:ascii="Times New Roman" w:eastAsia="Times New Roman" w:hAnsi="Times New Roman" w:cs="Times New Roman"/>
        </w:rPr>
      </w:pPr>
    </w:p>
    <w:p w14:paraId="26AC565D"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6</w:t>
      </w:r>
      <w:r>
        <w:rPr>
          <w:rFonts w:ascii="Times New Roman" w:eastAsia="Times New Roman" w:hAnsi="Times New Roman" w:cs="Times New Roman"/>
        </w:rPr>
        <w:t xml:space="preserve"> illustrates how the growth of corporate LMS reflects a trend toward integrating educational surveillance with workplace monitoring tools. This development encourages students to see extensive surveillance as a normal aspect of institutional participation. The alignment between educational and corporate monitoring functions as a socialization process, equipping students for work environments where monitoring is widespread.</w:t>
      </w:r>
    </w:p>
    <w:p w14:paraId="3C79FA8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decrease in EdTech investments shown in Table 6, although the lowest since 2015, suggests market maturity and potential consolidation around platforms with built-in surveillance features. This trend reduces the chances for privacy-preserving options to gain market share, indicating that surveillance functionalities are becoming a standard part of educational technology rather than an optional feature.</w:t>
      </w:r>
    </w:p>
    <w:p w14:paraId="2E8C4D6E" w14:textId="2CCCDB90" w:rsidR="00F234CE" w:rsidRDefault="009F03C6">
      <w:pPr>
        <w:jc w:val="center"/>
        <w:rPr>
          <w:rFonts w:ascii="Times New Roman" w:eastAsia="Times New Roman" w:hAnsi="Times New Roman" w:cs="Times New Roman"/>
          <w:b/>
        </w:rPr>
      </w:pPr>
      <w:r>
        <w:rPr>
          <w:rFonts w:ascii="Times New Roman" w:eastAsia="Times New Roman" w:hAnsi="Times New Roman" w:cs="Times New Roman"/>
          <w:b/>
        </w:rPr>
        <w:t>4.5 Alternative Approaches: Reclaiming Educational Agency</w:t>
      </w:r>
    </w:p>
    <w:p w14:paraId="578346A2" w14:textId="77777777" w:rsidR="00F234CE" w:rsidRDefault="00A551CD">
      <w:pPr>
        <w:rPr>
          <w:rFonts w:ascii="Times New Roman" w:eastAsia="Times New Roman" w:hAnsi="Times New Roman" w:cs="Times New Roman"/>
          <w:b/>
        </w:rPr>
      </w:pPr>
      <w:r>
        <w:rPr>
          <w:rFonts w:ascii="Times New Roman" w:eastAsia="Times New Roman" w:hAnsi="Times New Roman" w:cs="Times New Roman"/>
          <w:b/>
        </w:rPr>
        <w:t>Privacy-Preserving Assessment Methods</w:t>
      </w:r>
    </w:p>
    <w:p w14:paraId="62398E3D"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Educational assessment doesn't always require extensive monitoring to verify academic integrity and assess student learning effectively. Different assessment methods demonstrate that institutions can maintain educational standards while also safeguarding student privacy and autonomy.</w:t>
      </w:r>
    </w:p>
    <w:p w14:paraId="5512AEBF"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7</w:t>
      </w:r>
      <w:r>
        <w:rPr>
          <w:rFonts w:ascii="Times New Roman" w:eastAsia="Times New Roman" w:hAnsi="Times New Roman" w:cs="Times New Roman"/>
        </w:rPr>
        <w:t xml:space="preserve"> offers a detailed analysis of different assessment methods and their impact on surveillance, showing how various approaches can alter levels of privacy and student autonomy. Open-book exams need little surveillance setup and offer a more genuine way to evaluate student skills, especially in real-world scenarios where information is easily accessible. </w:t>
      </w:r>
    </w:p>
    <w:p w14:paraId="48C6C781"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7:</w:t>
      </w:r>
      <w:r>
        <w:rPr>
          <w:rFonts w:ascii="Times New Roman" w:eastAsia="Times New Roman" w:hAnsi="Times New Roman" w:cs="Times New Roman"/>
        </w:rPr>
        <w:t xml:space="preserve"> </w:t>
      </w:r>
      <w:r>
        <w:rPr>
          <w:rFonts w:ascii="Times New Roman" w:eastAsia="Times New Roman" w:hAnsi="Times New Roman" w:cs="Times New Roman"/>
          <w:i/>
        </w:rPr>
        <w:t>Alternative Assessment Methods and Their Surveillance Requirements</w:t>
      </w:r>
    </w:p>
    <w:tbl>
      <w:tblPr>
        <w:tblStyle w:val="af3"/>
        <w:tblW w:w="103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875"/>
        <w:gridCol w:w="1545"/>
        <w:gridCol w:w="1830"/>
        <w:gridCol w:w="1650"/>
        <w:gridCol w:w="1725"/>
      </w:tblGrid>
      <w:tr w:rsidR="00F234CE" w14:paraId="09264E41" w14:textId="77777777">
        <w:trPr>
          <w:tblHeader/>
        </w:trPr>
        <w:tc>
          <w:tcPr>
            <w:tcW w:w="1710" w:type="dxa"/>
            <w:shd w:val="clear" w:color="auto" w:fill="FAE2D6"/>
            <w:vAlign w:val="center"/>
          </w:tcPr>
          <w:p w14:paraId="0CE06BD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lastRenderedPageBreak/>
              <w:t>Assessment Method</w:t>
            </w:r>
          </w:p>
        </w:tc>
        <w:tc>
          <w:tcPr>
            <w:tcW w:w="1875" w:type="dxa"/>
            <w:shd w:val="clear" w:color="auto" w:fill="FAE2D6"/>
            <w:vAlign w:val="center"/>
          </w:tcPr>
          <w:p w14:paraId="1895F7F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Surveillance Requirements</w:t>
            </w:r>
          </w:p>
        </w:tc>
        <w:tc>
          <w:tcPr>
            <w:tcW w:w="1545" w:type="dxa"/>
            <w:shd w:val="clear" w:color="auto" w:fill="FAE2D6"/>
            <w:vAlign w:val="center"/>
          </w:tcPr>
          <w:p w14:paraId="4C57796E"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Privacy Level</w:t>
            </w:r>
          </w:p>
        </w:tc>
        <w:tc>
          <w:tcPr>
            <w:tcW w:w="1830" w:type="dxa"/>
            <w:shd w:val="clear" w:color="auto" w:fill="FAE2D6"/>
            <w:vAlign w:val="center"/>
          </w:tcPr>
          <w:p w14:paraId="52DA469A"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Academic Integrity Approach</w:t>
            </w:r>
          </w:p>
        </w:tc>
        <w:tc>
          <w:tcPr>
            <w:tcW w:w="1650" w:type="dxa"/>
            <w:shd w:val="clear" w:color="auto" w:fill="FAE2D6"/>
            <w:vAlign w:val="center"/>
          </w:tcPr>
          <w:p w14:paraId="1AD37364"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Student Agency</w:t>
            </w:r>
          </w:p>
        </w:tc>
        <w:tc>
          <w:tcPr>
            <w:tcW w:w="1725" w:type="dxa"/>
            <w:shd w:val="clear" w:color="auto" w:fill="FAE2D6"/>
            <w:vAlign w:val="center"/>
          </w:tcPr>
          <w:p w14:paraId="3CFE76F4"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Educational Authenticity</w:t>
            </w:r>
          </w:p>
        </w:tc>
      </w:tr>
      <w:tr w:rsidR="00F234CE" w14:paraId="603BD1AB" w14:textId="77777777">
        <w:tc>
          <w:tcPr>
            <w:tcW w:w="1710" w:type="dxa"/>
            <w:vAlign w:val="center"/>
          </w:tcPr>
          <w:p w14:paraId="1D94BE66"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Traditional Proctoring</w:t>
            </w:r>
          </w:p>
        </w:tc>
        <w:tc>
          <w:tcPr>
            <w:tcW w:w="1875" w:type="dxa"/>
            <w:vAlign w:val="center"/>
          </w:tcPr>
          <w:p w14:paraId="6E591E0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Human observation, limited recording</w:t>
            </w:r>
          </w:p>
        </w:tc>
        <w:tc>
          <w:tcPr>
            <w:tcW w:w="1545" w:type="dxa"/>
            <w:vAlign w:val="center"/>
          </w:tcPr>
          <w:p w14:paraId="6BE1DD9D"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privacy invasion</w:t>
            </w:r>
          </w:p>
        </w:tc>
        <w:tc>
          <w:tcPr>
            <w:tcW w:w="1830" w:type="dxa"/>
            <w:vAlign w:val="center"/>
          </w:tcPr>
          <w:p w14:paraId="52FFBF9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Direct supervision, immediate intervention</w:t>
            </w:r>
          </w:p>
        </w:tc>
        <w:tc>
          <w:tcPr>
            <w:tcW w:w="1650" w:type="dxa"/>
            <w:vAlign w:val="center"/>
          </w:tcPr>
          <w:p w14:paraId="3866629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Low autonomy, high control</w:t>
            </w:r>
          </w:p>
        </w:tc>
        <w:tc>
          <w:tcPr>
            <w:tcW w:w="1725" w:type="dxa"/>
            <w:vAlign w:val="center"/>
          </w:tcPr>
          <w:p w14:paraId="4AE221E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authenticity</w:t>
            </w:r>
          </w:p>
        </w:tc>
      </w:tr>
      <w:tr w:rsidR="00F234CE" w14:paraId="25670F57" w14:textId="77777777">
        <w:tc>
          <w:tcPr>
            <w:tcW w:w="1710" w:type="dxa"/>
            <w:vAlign w:val="center"/>
          </w:tcPr>
          <w:p w14:paraId="71E767C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Digital Proctoring</w:t>
            </w:r>
          </w:p>
        </w:tc>
        <w:tc>
          <w:tcPr>
            <w:tcW w:w="1875" w:type="dxa"/>
            <w:vAlign w:val="center"/>
          </w:tcPr>
          <w:p w14:paraId="55855B9E"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AI monitoring, comprehensive recording</w:t>
            </w:r>
          </w:p>
        </w:tc>
        <w:tc>
          <w:tcPr>
            <w:tcW w:w="1545" w:type="dxa"/>
            <w:vAlign w:val="center"/>
          </w:tcPr>
          <w:p w14:paraId="78188EE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Severe privacy invasion</w:t>
            </w:r>
          </w:p>
        </w:tc>
        <w:tc>
          <w:tcPr>
            <w:tcW w:w="1830" w:type="dxa"/>
            <w:vAlign w:val="center"/>
          </w:tcPr>
          <w:p w14:paraId="612EC08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Automated detection, algorithmic judgment</w:t>
            </w:r>
          </w:p>
        </w:tc>
        <w:tc>
          <w:tcPr>
            <w:tcW w:w="1650" w:type="dxa"/>
            <w:vAlign w:val="center"/>
          </w:tcPr>
          <w:p w14:paraId="599C027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Minimal autonomy, maximum control</w:t>
            </w:r>
          </w:p>
        </w:tc>
        <w:tc>
          <w:tcPr>
            <w:tcW w:w="1725" w:type="dxa"/>
            <w:vAlign w:val="center"/>
          </w:tcPr>
          <w:p w14:paraId="51181EE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Low authenticity</w:t>
            </w:r>
          </w:p>
        </w:tc>
      </w:tr>
      <w:tr w:rsidR="00F234CE" w14:paraId="549A1168" w14:textId="77777777">
        <w:tc>
          <w:tcPr>
            <w:tcW w:w="1710" w:type="dxa"/>
            <w:vAlign w:val="center"/>
          </w:tcPr>
          <w:p w14:paraId="7DC43AA5"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Open-Book Exams</w:t>
            </w:r>
          </w:p>
        </w:tc>
        <w:tc>
          <w:tcPr>
            <w:tcW w:w="1875" w:type="dxa"/>
            <w:vAlign w:val="center"/>
          </w:tcPr>
          <w:p w14:paraId="6C0AB510"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Minimal monitoring, honor system</w:t>
            </w:r>
          </w:p>
        </w:tc>
        <w:tc>
          <w:tcPr>
            <w:tcW w:w="1545" w:type="dxa"/>
            <w:vAlign w:val="center"/>
          </w:tcPr>
          <w:p w14:paraId="71D1210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privacy protection</w:t>
            </w:r>
          </w:p>
        </w:tc>
        <w:tc>
          <w:tcPr>
            <w:tcW w:w="1830" w:type="dxa"/>
            <w:vAlign w:val="center"/>
          </w:tcPr>
          <w:p w14:paraId="7EECA08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Skill-based assessment, authentic evaluation</w:t>
            </w:r>
          </w:p>
        </w:tc>
        <w:tc>
          <w:tcPr>
            <w:tcW w:w="1650" w:type="dxa"/>
            <w:vAlign w:val="center"/>
          </w:tcPr>
          <w:p w14:paraId="56D7EBB5"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autonomy, moderate control</w:t>
            </w:r>
          </w:p>
        </w:tc>
        <w:tc>
          <w:tcPr>
            <w:tcW w:w="1725" w:type="dxa"/>
            <w:vAlign w:val="center"/>
          </w:tcPr>
          <w:p w14:paraId="347A584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r w:rsidR="00F234CE" w14:paraId="7D2404C5" w14:textId="77777777">
        <w:tc>
          <w:tcPr>
            <w:tcW w:w="1710" w:type="dxa"/>
            <w:vAlign w:val="center"/>
          </w:tcPr>
          <w:p w14:paraId="359AACA8"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Project-Based Assessment</w:t>
            </w:r>
          </w:p>
        </w:tc>
        <w:tc>
          <w:tcPr>
            <w:tcW w:w="1875" w:type="dxa"/>
            <w:vAlign w:val="center"/>
          </w:tcPr>
          <w:p w14:paraId="09DE75C3"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Submission tracking only</w:t>
            </w:r>
          </w:p>
        </w:tc>
        <w:tc>
          <w:tcPr>
            <w:tcW w:w="1545" w:type="dxa"/>
            <w:vAlign w:val="center"/>
          </w:tcPr>
          <w:p w14:paraId="36586D5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privacy protection</w:t>
            </w:r>
          </w:p>
        </w:tc>
        <w:tc>
          <w:tcPr>
            <w:tcW w:w="1830" w:type="dxa"/>
            <w:vAlign w:val="center"/>
          </w:tcPr>
          <w:p w14:paraId="79668E1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Process evaluation, portfolio review</w:t>
            </w:r>
          </w:p>
        </w:tc>
        <w:tc>
          <w:tcPr>
            <w:tcW w:w="1650" w:type="dxa"/>
            <w:vAlign w:val="center"/>
          </w:tcPr>
          <w:p w14:paraId="6E662E78"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autonomy, low control</w:t>
            </w:r>
          </w:p>
        </w:tc>
        <w:tc>
          <w:tcPr>
            <w:tcW w:w="1725" w:type="dxa"/>
            <w:vAlign w:val="center"/>
          </w:tcPr>
          <w:p w14:paraId="6111A641"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r w:rsidR="00F234CE" w14:paraId="0F4925C8" w14:textId="77777777">
        <w:tc>
          <w:tcPr>
            <w:tcW w:w="1710" w:type="dxa"/>
            <w:vAlign w:val="center"/>
          </w:tcPr>
          <w:p w14:paraId="69D7EEC1"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Portfolio Assessment</w:t>
            </w:r>
          </w:p>
        </w:tc>
        <w:tc>
          <w:tcPr>
            <w:tcW w:w="1875" w:type="dxa"/>
            <w:vAlign w:val="center"/>
          </w:tcPr>
          <w:p w14:paraId="1BEF3F40"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Work documentation, peer review</w:t>
            </w:r>
          </w:p>
        </w:tc>
        <w:tc>
          <w:tcPr>
            <w:tcW w:w="1545" w:type="dxa"/>
            <w:vAlign w:val="center"/>
          </w:tcPr>
          <w:p w14:paraId="445A4B9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Moderate privacy protection</w:t>
            </w:r>
          </w:p>
        </w:tc>
        <w:tc>
          <w:tcPr>
            <w:tcW w:w="1830" w:type="dxa"/>
            <w:vAlign w:val="center"/>
          </w:tcPr>
          <w:p w14:paraId="5713F6A4"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Comprehensive evaluation, growth tracking</w:t>
            </w:r>
          </w:p>
        </w:tc>
        <w:tc>
          <w:tcPr>
            <w:tcW w:w="1650" w:type="dxa"/>
            <w:vAlign w:val="center"/>
          </w:tcPr>
          <w:p w14:paraId="33E9D04A"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autonomy, collaborative control</w:t>
            </w:r>
          </w:p>
        </w:tc>
        <w:tc>
          <w:tcPr>
            <w:tcW w:w="1725" w:type="dxa"/>
            <w:vAlign w:val="center"/>
          </w:tcPr>
          <w:p w14:paraId="2BE87123"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r w:rsidR="00F234CE" w14:paraId="0548D4EC" w14:textId="77777777">
        <w:tc>
          <w:tcPr>
            <w:tcW w:w="1710" w:type="dxa"/>
            <w:vAlign w:val="center"/>
          </w:tcPr>
          <w:p w14:paraId="043B29E0" w14:textId="77777777" w:rsidR="00F234CE" w:rsidRDefault="00A551CD">
            <w:pPr>
              <w:ind w:left="205"/>
              <w:rPr>
                <w:rFonts w:ascii="Times New Roman" w:eastAsia="Times New Roman" w:hAnsi="Times New Roman" w:cs="Times New Roman"/>
                <w:b/>
              </w:rPr>
            </w:pPr>
            <w:r>
              <w:rPr>
                <w:rFonts w:ascii="Times New Roman" w:eastAsia="Times New Roman" w:hAnsi="Times New Roman" w:cs="Times New Roman"/>
                <w:b/>
              </w:rPr>
              <w:t>Honor Code System</w:t>
            </w:r>
          </w:p>
        </w:tc>
        <w:tc>
          <w:tcPr>
            <w:tcW w:w="1875" w:type="dxa"/>
            <w:vAlign w:val="center"/>
          </w:tcPr>
          <w:p w14:paraId="6CC21D09"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Trust-based, community enforcement</w:t>
            </w:r>
          </w:p>
        </w:tc>
        <w:tc>
          <w:tcPr>
            <w:tcW w:w="1545" w:type="dxa"/>
            <w:vAlign w:val="center"/>
          </w:tcPr>
          <w:p w14:paraId="6DE0D7FB"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Maximum privacy protection</w:t>
            </w:r>
          </w:p>
        </w:tc>
        <w:tc>
          <w:tcPr>
            <w:tcW w:w="1830" w:type="dxa"/>
            <w:vAlign w:val="center"/>
          </w:tcPr>
          <w:p w14:paraId="65CA9FCF"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Cultural enforcement, peer accountability</w:t>
            </w:r>
          </w:p>
        </w:tc>
        <w:tc>
          <w:tcPr>
            <w:tcW w:w="1650" w:type="dxa"/>
            <w:vAlign w:val="center"/>
          </w:tcPr>
          <w:p w14:paraId="2961AA22"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Maximum autonomy, community control</w:t>
            </w:r>
          </w:p>
        </w:tc>
        <w:tc>
          <w:tcPr>
            <w:tcW w:w="1725" w:type="dxa"/>
            <w:vAlign w:val="center"/>
          </w:tcPr>
          <w:p w14:paraId="22C89D57" w14:textId="77777777" w:rsidR="00F234CE" w:rsidRDefault="00A551CD">
            <w:pPr>
              <w:ind w:left="205"/>
              <w:rPr>
                <w:rFonts w:ascii="Times New Roman" w:eastAsia="Times New Roman" w:hAnsi="Times New Roman" w:cs="Times New Roman"/>
              </w:rPr>
            </w:pPr>
            <w:r>
              <w:rPr>
                <w:rFonts w:ascii="Times New Roman" w:eastAsia="Times New Roman" w:hAnsi="Times New Roman" w:cs="Times New Roman"/>
              </w:rPr>
              <w:t>High authenticity</w:t>
            </w:r>
          </w:p>
        </w:tc>
      </w:tr>
    </w:tbl>
    <w:p w14:paraId="561D0BB1"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privacy levels shown in Table 7 highlight notable differences in how various assessment methods honor student autonomy and personal boundaries. Honor code systems, successfully adopted by institutions such as Princeton University and the University of Virginia, demonstrate that trust-based approaches can uphold academic integrity while also protecting student privacy and autonomy.</w:t>
      </w:r>
    </w:p>
    <w:p w14:paraId="33567AB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project-based and portfolio assessments presented in Table 7 offer emerging alternatives to surveillance-based evaluation. These methods emphasize genuine demonstrations of learning rather than monitoring behavior, enabling students to engage with the material in ways that reflect real-world application and their individual learning styles. The high authenticity ratings </w:t>
      </w:r>
      <w:r>
        <w:rPr>
          <w:rFonts w:ascii="Times New Roman" w:eastAsia="Times New Roman" w:hAnsi="Times New Roman" w:cs="Times New Roman"/>
        </w:rPr>
        <w:lastRenderedPageBreak/>
        <w:t>for these approaches suggest that reducing surveillance may enhance educational outcomes rather than hinder them.</w:t>
      </w:r>
    </w:p>
    <w:p w14:paraId="17AE8A29" w14:textId="77777777" w:rsidR="00F234CE" w:rsidRDefault="00A551CD">
      <w:pPr>
        <w:rPr>
          <w:rFonts w:ascii="Times New Roman" w:eastAsia="Times New Roman" w:hAnsi="Times New Roman" w:cs="Times New Roman"/>
        </w:rPr>
      </w:pPr>
      <w:r>
        <w:rPr>
          <w:rFonts w:ascii="Times New Roman" w:eastAsia="Times New Roman" w:hAnsi="Times New Roman" w:cs="Times New Roman"/>
          <w:b/>
        </w:rPr>
        <w:t>Table 7</w:t>
      </w:r>
      <w:r>
        <w:rPr>
          <w:rFonts w:ascii="Times New Roman" w:eastAsia="Times New Roman" w:hAnsi="Times New Roman" w:cs="Times New Roman"/>
        </w:rPr>
        <w:t xml:space="preserve"> illustrates how assessment methods impact student agency, with less surveillance supporting greater autonomy. This suggests that safeguarding privacy and fostering educational empowerment are not conflicting objectives, but rather go hand in hand.</w:t>
      </w:r>
    </w:p>
    <w:p w14:paraId="1DF70BE8" w14:textId="3B703CDD" w:rsidR="00F234CE" w:rsidRPr="009F03C6" w:rsidRDefault="00A551CD" w:rsidP="009F03C6">
      <w:pPr>
        <w:pStyle w:val="ListParagraph"/>
        <w:numPr>
          <w:ilvl w:val="0"/>
          <w:numId w:val="2"/>
        </w:numPr>
        <w:jc w:val="center"/>
        <w:rPr>
          <w:rFonts w:ascii="Arial" w:eastAsia="Arial" w:hAnsi="Arial" w:cs="Arial"/>
          <w:b/>
          <w:sz w:val="20"/>
          <w:szCs w:val="20"/>
        </w:rPr>
      </w:pPr>
      <w:r w:rsidRPr="009F03C6">
        <w:rPr>
          <w:rFonts w:ascii="Times New Roman" w:eastAsia="Times New Roman" w:hAnsi="Times New Roman" w:cs="Times New Roman"/>
          <w:b/>
        </w:rPr>
        <w:t xml:space="preserve">Discussion </w:t>
      </w:r>
    </w:p>
    <w:p w14:paraId="299081E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This systematic analysis reveals a profound shift in higher education that extends far beyond the mere integration of digital tools. The extensive surveillance systems present in major LMS platforms indicate a core shift in educational ideals—from fostering collaborative, trust-based learning environments to implementing algorithm-driven behavioral monitoring and control. This change warrants scrutiny, not only regarding its direct impact on student learning and institutional dynamics, but also concerning its broader effects on democratic engagement, privacy protections, and the social contract that binds educational institutions to their communities.</w:t>
      </w:r>
    </w:p>
    <w:p w14:paraId="27D50EE1"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evidence shows that modern Learning Management Systems (LMS) have become sophisticated tools of surveillance, tracking, recording, and analyzing nearly every aspect of students' digital activities. As shown in Table 1, the leading LMS platforms—Canvas, Blackboard, and Moodle—use advanced monitoring systems that go beyond simple academic tracking, employing machine learning, activity logs, and detailed behavioral profiling. These systems work through multiple interconnected methods: continuous tracking to build detailed student profiles, predictive analytics that categorize students based on engagement patterns, and proctoring technologies that extend oversight into private spaces. The proctoring developments in Table 2 highlight how companies like Respondus, Proctorio, and Honorlock have created extensive monitoring solutions that subject students to unprecedented levels of supervision, turning private homes into part of institutional surveillance networks. This widespread monitoring infrastructure is the most comprehensive in educational history, operating with little regulatory oversight and often without students' meaningful consent.</w:t>
      </w:r>
    </w:p>
    <w:p w14:paraId="33A8A6E7"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The analysis documents several psychological and educational effects, such as increased anxiety, dehumanization, behavior changes toward algorithmic compliance, and trust erosion, as shown in Table 4. These effects suggest that surveillance systems often undermine the learning outcomes they claim to support. Table 3 reveals how students adopt complex response patterns, from performative compliance to technical manipulation, indicating that monitoring systems encourage behaviors focused on satisfying algorithms rather than genuine engagement. When students prioritize performing for algorithms over authentic learning, the core purpose of education is compromised. The comparison in Table 5 highlights a shift in educational relationships—from traditional collaborative partnerships to data-driven interactions—where digital surveillance removes the reciprocity and contextual understanding vital for meaningful </w:t>
      </w:r>
      <w:r>
        <w:rPr>
          <w:rFonts w:ascii="Times New Roman" w:eastAsia="Times New Roman" w:hAnsi="Times New Roman" w:cs="Times New Roman"/>
        </w:rPr>
        <w:lastRenderedPageBreak/>
        <w:t>education. Additionally, Table 7 shows that alternative assessment methods can uphold academic integrity and educational quality while protecting student privacy and autonomy, challenging the notion that extensive surveillance is necessary for effective education.</w:t>
      </w:r>
    </w:p>
    <w:p w14:paraId="6817CB99"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What is most concerning is how pervasive monitoring is becoming normalized among students. A whole generation is beginning to view comprehensive surveillance as the standard in institutions. As shown in Table 6, the global e-learning market's rapid growth—projected to reach $740.46 billion by 2032—means that over 300 million students worldwide are now exposed to monitoring systems as a common part of their education. This shift influences more than just individual learning experiences; it could impact democratic participation, workplace norms, and society's ideas of privacy and personal freedom. The expanding market for surveillance technology in education, driven by strong economic incentives, fosters a cycle where monitoring becomes increasingly extensive, even when it does not serve educational goals.</w:t>
      </w:r>
    </w:p>
    <w:p w14:paraId="73EAAB0F"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 xml:space="preserve">The analysis indicates that higher education must choose between two contrasting visions of the educational relationship: surveillance versus support, compliance versus creativity, data collection versus human development. The digital panopticon </w:t>
      </w:r>
      <w:commentRangeStart w:id="12"/>
      <w:r>
        <w:rPr>
          <w:rFonts w:ascii="Times New Roman" w:eastAsia="Times New Roman" w:hAnsi="Times New Roman" w:cs="Times New Roman"/>
        </w:rPr>
        <w:t xml:space="preserve">discussed here is not an inevitable outcome of technological advancement but a conscious institutional choice about how to interpret student agency and educational goals. Acknowledging this choice is </w:t>
      </w:r>
      <w:commentRangeEnd w:id="12"/>
      <w:r w:rsidR="005A0B4E">
        <w:rPr>
          <w:rStyle w:val="CommentReference"/>
          <w:rFonts w:ascii="Times New Roman" w:eastAsia="Times New Roman" w:hAnsi="Times New Roman" w:cs="Times New Roman"/>
          <w:sz w:val="24"/>
          <w:szCs w:val="24"/>
        </w:rPr>
        <w:commentReference w:id="12"/>
      </w:r>
      <w:r>
        <w:rPr>
          <w:rFonts w:ascii="Times New Roman" w:eastAsia="Times New Roman" w:hAnsi="Times New Roman" w:cs="Times New Roman"/>
        </w:rPr>
        <w:t>essential for crafting strategies that prioritize learning over monitoring and for upholding the democratic principles that higher education aims to maintain.</w:t>
      </w:r>
    </w:p>
    <w:p w14:paraId="0CB14FAB" w14:textId="68B2D0CB" w:rsidR="00F234CE" w:rsidRPr="009F03C6" w:rsidRDefault="00A551CD" w:rsidP="009F03C6">
      <w:pPr>
        <w:pStyle w:val="ListParagraph"/>
        <w:numPr>
          <w:ilvl w:val="0"/>
          <w:numId w:val="2"/>
        </w:numPr>
        <w:jc w:val="center"/>
        <w:rPr>
          <w:rFonts w:ascii="Times New Roman" w:eastAsia="Times New Roman" w:hAnsi="Times New Roman" w:cs="Times New Roman"/>
          <w:b/>
          <w:color w:val="000000"/>
        </w:rPr>
      </w:pPr>
      <w:r w:rsidRPr="009F03C6">
        <w:rPr>
          <w:rFonts w:ascii="Times New Roman" w:eastAsia="Times New Roman" w:hAnsi="Times New Roman" w:cs="Times New Roman"/>
          <w:b/>
        </w:rPr>
        <w:t>Recommendations</w:t>
      </w:r>
    </w:p>
    <w:p w14:paraId="094A1849" w14:textId="77777777" w:rsidR="00F234CE" w:rsidRDefault="00A551CD">
      <w:pPr>
        <w:pStyle w:val="Heading3"/>
        <w:keepNext w:val="0"/>
        <w:keepLines w:val="0"/>
        <w:spacing w:before="280"/>
        <w:rPr>
          <w:rFonts w:ascii="Times New Roman" w:eastAsia="Times New Roman" w:hAnsi="Times New Roman" w:cs="Times New Roman"/>
          <w:color w:val="000000"/>
          <w:sz w:val="26"/>
          <w:szCs w:val="26"/>
        </w:rPr>
      </w:pPr>
      <w:bookmarkStart w:id="13" w:name="_heading=h.vb0i8dnh1vl4" w:colFirst="0" w:colLast="0"/>
      <w:bookmarkEnd w:id="13"/>
      <w:r>
        <w:rPr>
          <w:rFonts w:ascii="Times New Roman" w:eastAsia="Times New Roman" w:hAnsi="Times New Roman" w:cs="Times New Roman"/>
          <w:color w:val="000000"/>
          <w:sz w:val="26"/>
          <w:szCs w:val="26"/>
        </w:rPr>
        <w:t xml:space="preserve"> A comprehensive review of surveillance features in Learning Management Systems highlights the urgent need to reform educational technology. The data show that current practices not only fail to enhance learning outcomes but also harm educational relationships and the democratic values that higher education aims to preserve. The upcoming recommendations address these crucial issues and provide practical strategies for institutions to regain their educational authority and foster genuine learning environments.  </w:t>
      </w:r>
    </w:p>
    <w:p w14:paraId="7A924EBB" w14:textId="5CEC2CB2" w:rsidR="00F234CE" w:rsidRDefault="009F03C6">
      <w:pPr>
        <w:pStyle w:val="Heading3"/>
        <w:keepNext w:val="0"/>
        <w:keepLines w:val="0"/>
        <w:spacing w:before="280"/>
        <w:rPr>
          <w:rFonts w:ascii="Times New Roman" w:eastAsia="Times New Roman" w:hAnsi="Times New Roman" w:cs="Times New Roman"/>
          <w:b/>
          <w:color w:val="000000"/>
          <w:sz w:val="26"/>
          <w:szCs w:val="26"/>
        </w:rPr>
      </w:pPr>
      <w:bookmarkStart w:id="14" w:name="_heading=h.j856k0c91tx1" w:colFirst="0" w:colLast="0"/>
      <w:bookmarkEnd w:id="14"/>
      <w:r>
        <w:rPr>
          <w:rFonts w:ascii="Times New Roman" w:eastAsia="Times New Roman" w:hAnsi="Times New Roman" w:cs="Times New Roman"/>
          <w:b/>
          <w:color w:val="000000"/>
          <w:sz w:val="26"/>
          <w:szCs w:val="26"/>
        </w:rPr>
        <w:t>6.1 Addressing the Digital Panopticon: A Framework for Institutional Transformation</w:t>
      </w:r>
    </w:p>
    <w:p w14:paraId="59E34E33"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Higher education faces a significant challenge in transforming LMS platforms into comprehensive surveillance tools, as evident in Tables 1 and 2. With features such as Canvas, Blackboard, and Moodle incorporating advanced monitoring tools, including machine learning algorithms that predict student failure and proctoring systems that invade private spaces, the educational relationship between institutions and students is fundamentally altered (Instructure, </w:t>
      </w:r>
      <w:r>
        <w:rPr>
          <w:rFonts w:ascii="Times New Roman" w:eastAsia="Times New Roman" w:hAnsi="Times New Roman" w:cs="Times New Roman"/>
        </w:rPr>
        <w:lastRenderedPageBreak/>
        <w:t>2022; Blackboard Inc., 2023). To address this shift from collaborative learning to behavioral monitoring, institutions must respond promptly and thoroughly.</w:t>
      </w:r>
    </w:p>
    <w:p w14:paraId="003BD48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Higher education classrooms today are grappling with numerous challenges, including growing concerns about academic dishonesty, the need to meet accountability standards, and the demands of remote and hybrid learning. Additionally, they must support students with varying levels of technological access and digital skills (García-Peñalvo &amp; Durán-Escudero, 2024). However, research from Tables 4 and 5 reveals that surveillance-based measures intended to address these issues often exacerbate the problems, leading to increased anxiety, eroded trust, and a focus on performative rather than genuine engagement (Beck, 2020; Smith et al., 2023).</w:t>
      </w:r>
    </w:p>
    <w:p w14:paraId="1254AB91" w14:textId="7D5A4F05" w:rsidR="00F234CE" w:rsidRDefault="009F03C6" w:rsidP="009F03C6">
      <w:pPr>
        <w:pStyle w:val="Heading3"/>
        <w:keepNext w:val="0"/>
        <w:keepLines w:val="0"/>
        <w:spacing w:before="280"/>
        <w:rPr>
          <w:rFonts w:ascii="Times New Roman" w:eastAsia="Times New Roman" w:hAnsi="Times New Roman" w:cs="Times New Roman"/>
          <w:b/>
          <w:color w:val="000000"/>
          <w:sz w:val="26"/>
          <w:szCs w:val="26"/>
        </w:rPr>
      </w:pPr>
      <w:bookmarkStart w:id="15" w:name="_heading=h.u6ksko2toxvf" w:colFirst="0" w:colLast="0"/>
      <w:bookmarkEnd w:id="15"/>
      <w:r>
        <w:rPr>
          <w:rFonts w:ascii="Times New Roman" w:eastAsia="Times New Roman" w:hAnsi="Times New Roman" w:cs="Times New Roman"/>
          <w:b/>
          <w:color w:val="000000"/>
          <w:sz w:val="26"/>
          <w:szCs w:val="26"/>
        </w:rPr>
        <w:t>6.2 For Institutional Leaders: Rebuilding Educational Trust</w:t>
      </w:r>
    </w:p>
    <w:p w14:paraId="55468476"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16" w:name="_heading=h.ifn08alyh5gi" w:colFirst="0" w:colLast="0"/>
      <w:bookmarkEnd w:id="16"/>
      <w:r w:rsidRPr="009F03C6">
        <w:rPr>
          <w:rFonts w:ascii="Times New Roman" w:eastAsia="Times New Roman" w:hAnsi="Times New Roman" w:cs="Times New Roman"/>
          <w:b/>
          <w:i w:val="0"/>
          <w:color w:val="000000"/>
        </w:rPr>
        <w:t>Comprehensive Surveillance Audit and Reform</w:t>
      </w:r>
    </w:p>
    <w:p w14:paraId="0D548036"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Leaders of institutions must acknowledge that the default surveillance settings in most learning management systems often contradict educational principles rather than promoting academic achievement. The behavioral monitoring tools outlined in Table 1, including Canvas's predictive analytics, Blackboard's retention centers, and Moodle's detailed logging, require careful evaluation with a clear educational objective (Instructure, 2022; Blackboard Inc., 2023). To ensure a comprehensive assessment of all current monitoring features, it is recommended that leaders establish review committees comprising students, faculty, and privacy advocates.</w:t>
      </w:r>
    </w:p>
    <w:p w14:paraId="7DC75F6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It is essential to go beyond mere policy reviews in this audit to assess the real impact of surveillance on student learning and institutional culture. According to Table 4, surveillance systems have a disproportionate effect on neurodiverse students, learners with disabilities, and individuals in unstable living conditions (Chen &amp; Rodriguez, 2024). Consequently, institutional leaders must prioritize equity when developing surveillance policies, recognizing that such systems often exacerbate existing educational inequalities.</w:t>
      </w:r>
    </w:p>
    <w:p w14:paraId="64A3A657" w14:textId="77777777" w:rsidR="00F234CE" w:rsidRDefault="00F234CE">
      <w:pPr>
        <w:spacing w:before="240" w:after="240"/>
        <w:rPr>
          <w:rFonts w:ascii="Times New Roman" w:eastAsia="Times New Roman" w:hAnsi="Times New Roman" w:cs="Times New Roman"/>
        </w:rPr>
      </w:pPr>
    </w:p>
    <w:p w14:paraId="75315329"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17" w:name="_heading=h.e4bffg9ku4pe" w:colFirst="0" w:colLast="0"/>
      <w:bookmarkEnd w:id="17"/>
      <w:r w:rsidRPr="009F03C6">
        <w:rPr>
          <w:rFonts w:ascii="Times New Roman" w:eastAsia="Times New Roman" w:hAnsi="Times New Roman" w:cs="Times New Roman"/>
          <w:b/>
          <w:i w:val="0"/>
          <w:color w:val="000000"/>
        </w:rPr>
        <w:t>Privacy by Design Implementation</w:t>
      </w:r>
    </w:p>
    <w:p w14:paraId="005039E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Privacy by Design should be the guiding principle for educational technology procurement and implementation decisions (New America Foundation, 2024). To achieve this, institutions should develop policies requiring vendors to justify surveillance features and provide transparent opt-out options for students. As shown in Table 6, market dynamics often prioritize economic incentives over educational effectiveness, leading to increased surveillance. Consequently, institutional leaders must resist market pressures and prioritize student privacy and autonomy (Holon IQ, 2025; Research and Markets, 2025).</w:t>
      </w:r>
    </w:p>
    <w:p w14:paraId="20C9AC2F" w14:textId="77777777" w:rsidR="00F234CE" w:rsidRDefault="00A551CD">
      <w:pPr>
        <w:pStyle w:val="Heading4"/>
        <w:keepNext w:val="0"/>
        <w:keepLines w:val="0"/>
        <w:spacing w:before="240"/>
      </w:pPr>
      <w:bookmarkStart w:id="18" w:name="_heading=h.jcyqf13z3ns4" w:colFirst="0" w:colLast="0"/>
      <w:bookmarkEnd w:id="18"/>
      <w:r>
        <w:rPr>
          <w:rFonts w:ascii="Times New Roman" w:eastAsia="Times New Roman" w:hAnsi="Times New Roman" w:cs="Times New Roman"/>
          <w:i w:val="0"/>
          <w:color w:val="000000"/>
          <w:sz w:val="22"/>
          <w:szCs w:val="22"/>
        </w:rPr>
        <w:lastRenderedPageBreak/>
        <w:t>For educational institutions, it's crucial for leaders to establish clear data governance frameworks that prioritize student needs, ensure transparent policies, and provide students with control over their personal information. This involves setting up regular data purging schedules, limiting data sharing with third parties, and allowing students to view their surveillance profiles (Martinez, 2024).</w:t>
      </w:r>
    </w:p>
    <w:p w14:paraId="73DF3E12"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19" w:name="_heading=h.b8whci1xsb20" w:colFirst="0" w:colLast="0"/>
      <w:bookmarkEnd w:id="19"/>
      <w:r w:rsidRPr="009F03C6">
        <w:rPr>
          <w:rFonts w:ascii="Times New Roman" w:eastAsia="Times New Roman" w:hAnsi="Times New Roman" w:cs="Times New Roman"/>
          <w:b/>
          <w:i w:val="0"/>
          <w:color w:val="000000"/>
        </w:rPr>
        <w:t>Student Data Rights and Transparency</w:t>
      </w:r>
    </w:p>
    <w:p w14:paraId="565D2D34"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dehumanization effects shown in Table 4 partly stem from students' limited awareness and control over their surveillance data (Chen &amp; Rodriguez, 2024). Institutional leaders should create clear student data rights policies that specify what data is collected, how it is used, and how students can access and update their records. These policies must also include simple steps for students to request data deletion and opt out of monitoring systems without risking academic penalties.</w:t>
      </w:r>
    </w:p>
    <w:p w14:paraId="4F9BF6B0"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Moreover, institutions should regularly release "surveillance transparency reports" to inform the campus community about their monitoring levels, educational objectives, and impact on student outcomes. This transparency is crucial for maintaining democratic accountability and preventing the normalization of surveillance, a significant concern identified by research.</w:t>
      </w:r>
    </w:p>
    <w:p w14:paraId="2D538CC3" w14:textId="3177DCDF" w:rsidR="00F234CE" w:rsidRPr="009F03C6" w:rsidRDefault="009F03C6" w:rsidP="009F03C6">
      <w:pPr>
        <w:pStyle w:val="Heading3"/>
        <w:keepNext w:val="0"/>
        <w:keepLines w:val="0"/>
        <w:spacing w:before="280"/>
        <w:rPr>
          <w:rFonts w:ascii="Times New Roman" w:eastAsia="Times New Roman" w:hAnsi="Times New Roman" w:cs="Times New Roman"/>
          <w:b/>
          <w:color w:val="000000"/>
          <w:sz w:val="24"/>
          <w:szCs w:val="24"/>
        </w:rPr>
      </w:pPr>
      <w:bookmarkStart w:id="20" w:name="_heading=h.646oyb5yzg85" w:colFirst="0" w:colLast="0"/>
      <w:bookmarkEnd w:id="20"/>
      <w:r>
        <w:rPr>
          <w:rFonts w:ascii="Times New Roman" w:eastAsia="Times New Roman" w:hAnsi="Times New Roman" w:cs="Times New Roman"/>
          <w:b/>
          <w:color w:val="000000"/>
          <w:sz w:val="24"/>
          <w:szCs w:val="24"/>
        </w:rPr>
        <w:t xml:space="preserve">6.3 </w:t>
      </w:r>
      <w:r w:rsidRPr="009F03C6">
        <w:rPr>
          <w:rFonts w:ascii="Times New Roman" w:eastAsia="Times New Roman" w:hAnsi="Times New Roman" w:cs="Times New Roman"/>
          <w:b/>
          <w:color w:val="000000"/>
          <w:sz w:val="24"/>
          <w:szCs w:val="24"/>
        </w:rPr>
        <w:t>For Faculty Members: Reclaiming Pedagogical Authority</w:t>
      </w:r>
    </w:p>
    <w:p w14:paraId="794BF1F9"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21" w:name="_heading=h.i3h5zuhap7i" w:colFirst="0" w:colLast="0"/>
      <w:bookmarkEnd w:id="21"/>
      <w:r w:rsidRPr="009F03C6">
        <w:rPr>
          <w:rFonts w:ascii="Times New Roman" w:eastAsia="Times New Roman" w:hAnsi="Times New Roman" w:cs="Times New Roman"/>
          <w:b/>
          <w:i w:val="0"/>
          <w:color w:val="000000"/>
        </w:rPr>
        <w:t>Moving Beyond Default Surveillance Settings</w:t>
      </w:r>
    </w:p>
    <w:p w14:paraId="718ED531"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Faculty members often overlook the extensive surveillance features built into their LMS platforms (Wilson &amp; Anderson, 2023). The monitoring functions listed in Table 1 mostly operate covertly, appearing as standard educational tools but effectively serving as thorough behavioral tracking. Professors need to be aware of these surveillance systems and proactively disable monitoring features that lack a clear pedagogical purpose.</w:t>
      </w:r>
    </w:p>
    <w:p w14:paraId="0F959CD5" w14:textId="77777777" w:rsidR="00F234CE" w:rsidRDefault="00A551CD">
      <w:pPr>
        <w:pStyle w:val="Heading4"/>
        <w:keepNext w:val="0"/>
        <w:keepLines w:val="0"/>
        <w:spacing w:before="240"/>
        <w:rPr>
          <w:rFonts w:ascii="Times New Roman" w:eastAsia="Times New Roman" w:hAnsi="Times New Roman" w:cs="Times New Roman"/>
          <w:i w:val="0"/>
          <w:color w:val="000000"/>
          <w:sz w:val="22"/>
          <w:szCs w:val="22"/>
        </w:rPr>
      </w:pPr>
      <w:bookmarkStart w:id="22" w:name="_heading=h.u8e6g11rsmky" w:colFirst="0" w:colLast="0"/>
      <w:bookmarkEnd w:id="22"/>
      <w:r>
        <w:rPr>
          <w:rFonts w:ascii="Times New Roman" w:eastAsia="Times New Roman" w:hAnsi="Times New Roman" w:cs="Times New Roman"/>
          <w:i w:val="0"/>
          <w:color w:val="000000"/>
          <w:sz w:val="22"/>
          <w:szCs w:val="22"/>
        </w:rPr>
        <w:t>Creating policies and procedures for educational technology calls for collective faculty involvement beyond individual efforts. Faculty governance should establish committees to review the ethics of educational technology and oversee surveillance. These committees should collaborate with institutional technology departments to develop training programs for faculty that focus on surveillance features and alternative solutions.</w:t>
      </w:r>
    </w:p>
    <w:p w14:paraId="79AE5DBC" w14:textId="77777777" w:rsidR="00F234CE" w:rsidRDefault="00A551CD">
      <w:pPr>
        <w:pStyle w:val="Heading4"/>
        <w:keepNext w:val="0"/>
        <w:keepLines w:val="0"/>
        <w:spacing w:before="240"/>
        <w:rPr>
          <w:rFonts w:ascii="Times New Roman" w:eastAsia="Times New Roman" w:hAnsi="Times New Roman" w:cs="Times New Roman"/>
          <w:b/>
          <w:i w:val="0"/>
          <w:color w:val="000000"/>
          <w:sz w:val="22"/>
          <w:szCs w:val="22"/>
        </w:rPr>
      </w:pPr>
      <w:bookmarkStart w:id="23" w:name="_heading=h.ysoa697bjg8p" w:colFirst="0" w:colLast="0"/>
      <w:bookmarkEnd w:id="23"/>
      <w:r>
        <w:rPr>
          <w:rFonts w:ascii="Times New Roman" w:eastAsia="Times New Roman" w:hAnsi="Times New Roman" w:cs="Times New Roman"/>
          <w:b/>
          <w:i w:val="0"/>
          <w:color w:val="000000"/>
          <w:sz w:val="22"/>
          <w:szCs w:val="22"/>
        </w:rPr>
        <w:t>Assessment Innovation for Authentic Learning</w:t>
      </w:r>
    </w:p>
    <w:p w14:paraId="314EE4A4"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Table 3 showcases student response patterns, indicating that surveillance-focused assessments encourage superficial compliance rather than genuine learning (Wilson &amp; Anderson, 2023). Faculty members should reconsider their assessment approaches to emphasize actual demonstrations of understanding rather than just monitoring compliance. The alternative assessments outlined in Table 7 offer practical ways to uphold academic integrity while safeguarding student autonomy and privacy.</w:t>
      </w:r>
    </w:p>
    <w:p w14:paraId="3AA63E6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Project-based assessments, portfolio reviews, and open-book exams reduce the need for constant monitoring and often yield better learning outcomes than traditional supervised tests. Faculty should collaborate to develop discipline-specific assessment methods that accurately reflect student learning and promote skills applicable to real-world situations, where access to information and collaboration are common.</w:t>
      </w:r>
    </w:p>
    <w:p w14:paraId="16B57CB8" w14:textId="77777777" w:rsidR="00F234CE" w:rsidRDefault="00A551CD">
      <w:pPr>
        <w:pStyle w:val="Heading4"/>
        <w:keepNext w:val="0"/>
        <w:keepLines w:val="0"/>
        <w:spacing w:before="240"/>
        <w:rPr>
          <w:rFonts w:ascii="Times New Roman" w:eastAsia="Times New Roman" w:hAnsi="Times New Roman" w:cs="Times New Roman"/>
          <w:b/>
          <w:i w:val="0"/>
          <w:color w:val="000000"/>
          <w:sz w:val="22"/>
          <w:szCs w:val="22"/>
        </w:rPr>
      </w:pPr>
      <w:bookmarkStart w:id="24" w:name="_heading=h.8lv7f7p1keac" w:colFirst="0" w:colLast="0"/>
      <w:bookmarkEnd w:id="24"/>
      <w:r>
        <w:rPr>
          <w:rFonts w:ascii="Times New Roman" w:eastAsia="Times New Roman" w:hAnsi="Times New Roman" w:cs="Times New Roman"/>
          <w:b/>
          <w:i w:val="0"/>
          <w:color w:val="000000"/>
          <w:sz w:val="22"/>
          <w:szCs w:val="22"/>
        </w:rPr>
        <w:t>Building Trust-Based Learning Communities</w:t>
      </w:r>
    </w:p>
    <w:p w14:paraId="4B7E5D42"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analysis in Table 5 shows how digital surveillance can weaken the mutually trusting and accountable relationships crucial for effective education (Zuboff, 2019). Faculty members need to actively rebuild trust with students, moving away from the notion that surveillance is needed to uphold academic integrity. This might involve implementing honor codes, engaging students in discussions about academic honesty, and fostering classroom environments that prioritize learning over mere compliance. Moreover, faculty should support institutional policies that encourage trust-based education and oppose the adoption of surveillance systems unless they provide clear educational advantages.</w:t>
      </w:r>
    </w:p>
    <w:p w14:paraId="49CC9294" w14:textId="77777777" w:rsidR="00F234CE" w:rsidRDefault="00A551CD">
      <w:pPr>
        <w:pStyle w:val="Heading3"/>
        <w:keepNext w:val="0"/>
        <w:keepLines w:val="0"/>
        <w:spacing w:before="280"/>
        <w:rPr>
          <w:rFonts w:ascii="Times New Roman" w:eastAsia="Times New Roman" w:hAnsi="Times New Roman" w:cs="Times New Roman"/>
          <w:b/>
          <w:color w:val="000000"/>
          <w:sz w:val="26"/>
          <w:szCs w:val="26"/>
        </w:rPr>
      </w:pPr>
      <w:bookmarkStart w:id="25" w:name="_heading=h.iylx293ci7d6" w:colFirst="0" w:colLast="0"/>
      <w:bookmarkEnd w:id="25"/>
      <w:r>
        <w:rPr>
          <w:rFonts w:ascii="Times New Roman" w:eastAsia="Times New Roman" w:hAnsi="Times New Roman" w:cs="Times New Roman"/>
          <w:b/>
          <w:color w:val="000000"/>
          <w:sz w:val="26"/>
          <w:szCs w:val="26"/>
        </w:rPr>
        <w:t>For Educational Technologists: Designing for Agency</w:t>
      </w:r>
    </w:p>
    <w:p w14:paraId="48201D4B"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26" w:name="_heading=h.47zinhbowo1s" w:colFirst="0" w:colLast="0"/>
      <w:bookmarkEnd w:id="26"/>
      <w:r w:rsidRPr="009F03C6">
        <w:rPr>
          <w:rFonts w:ascii="Times New Roman" w:eastAsia="Times New Roman" w:hAnsi="Times New Roman" w:cs="Times New Roman"/>
          <w:b/>
          <w:i w:val="0"/>
          <w:color w:val="000000"/>
        </w:rPr>
        <w:t>Student-Centered Technology Development</w:t>
      </w:r>
    </w:p>
    <w:p w14:paraId="1310A4CF"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Educational technologists need to understand that their design choices can either enhance or restrict student agency. The surveillance features mentioned here highlight design decisions that lean towards institutional control rather than supporting student learning and growth (New America Foundation, 2024). As a result, technology professionals should focus on design strategies that emphasize student agency, protect privacy, and encourage authentic engagement with learning.</w:t>
      </w:r>
    </w:p>
    <w:p w14:paraId="008F5585"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This entails developing analytics systems that promote learning rather than merely monitor behavior, designing intuitive interfaces that empower students to manage their data, and creating platforms that enhance educational interactions rather than replace them. Educational technologists should collaborate with faculty and students to identify their genuine needs, rather than imposing surveillance-centric solutions.</w:t>
      </w:r>
    </w:p>
    <w:p w14:paraId="15D08B43"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27" w:name="_heading=h.imxkrzwjbwet" w:colFirst="0" w:colLast="0"/>
      <w:bookmarkEnd w:id="27"/>
      <w:r w:rsidRPr="009F03C6">
        <w:rPr>
          <w:rFonts w:ascii="Times New Roman" w:eastAsia="Times New Roman" w:hAnsi="Times New Roman" w:cs="Times New Roman"/>
          <w:b/>
          <w:i w:val="0"/>
          <w:color w:val="000000"/>
        </w:rPr>
        <w:t>Ethical Framework Implementation</w:t>
      </w:r>
    </w:p>
    <w:p w14:paraId="7C7B48CD"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ethical issues linked to educational surveillance extend beyond personal privacy, encompassing crucial aspects such as democratic participation, human dignity, and educational objectives (Zuboff, 2019). Consequently, educational technologists need to create and implement thorough ethical frameworks that inform all decisions regarding the design and use of technology.</w:t>
      </w:r>
    </w:p>
    <w:p w14:paraId="20A4E669" w14:textId="77777777" w:rsidR="00F234CE" w:rsidRPr="009F03C6" w:rsidRDefault="00A551CD">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 xml:space="preserve">These frameworks should encompass privacy impact assessments, equity analyses, and evaluations of learning effectiveness for all educational technologies. Additionally, they need to involve continuous consultation with affected communities, particularly students most impacted by surveillance systems, who often </w:t>
      </w:r>
      <w:r w:rsidRPr="009F03C6">
        <w:rPr>
          <w:rFonts w:ascii="Times New Roman" w:eastAsia="Times New Roman" w:hAnsi="Times New Roman" w:cs="Times New Roman"/>
        </w:rPr>
        <w:t>lack a voice in their implementation.</w:t>
      </w:r>
    </w:p>
    <w:p w14:paraId="712804A9" w14:textId="77777777" w:rsidR="00F234CE" w:rsidRPr="009F03C6" w:rsidRDefault="00A551CD">
      <w:pPr>
        <w:pStyle w:val="Heading4"/>
        <w:keepNext w:val="0"/>
        <w:keepLines w:val="0"/>
        <w:spacing w:before="240"/>
        <w:rPr>
          <w:rFonts w:ascii="Times New Roman" w:eastAsia="Times New Roman" w:hAnsi="Times New Roman" w:cs="Times New Roman"/>
          <w:b/>
          <w:i w:val="0"/>
          <w:color w:val="000000"/>
        </w:rPr>
      </w:pPr>
      <w:bookmarkStart w:id="28" w:name="_heading=h.ruanevpnnb7b" w:colFirst="0" w:colLast="0"/>
      <w:bookmarkEnd w:id="28"/>
      <w:r w:rsidRPr="009F03C6">
        <w:rPr>
          <w:rFonts w:ascii="Times New Roman" w:eastAsia="Times New Roman" w:hAnsi="Times New Roman" w:cs="Times New Roman"/>
          <w:b/>
          <w:i w:val="0"/>
          <w:color w:val="000000"/>
        </w:rPr>
        <w:t>Measuring Learning, Not Compliance</w:t>
      </w:r>
    </w:p>
    <w:p w14:paraId="2747C247"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Table 3 illustrates how surveillance systems influence students to focus on performing for algorithms instead of genuinely engaging with learning (Wilson &amp; Anderson, 2023). Consequently, educational technologists must design assessment and analytics tools that track actual learning progress and understanding, rather than just behavioral compliance. This shift requires moving beyond simple engagement metrics, such as login frequency and click patterns, to develop more sophisticated indicators of learning growth, creativity, and intellectual development. Additionally, it’s crucial to recognize that some vital educational qualities—such as critical thinking, creativity, and democratic participation—are difficult to quantify through digital analytics.</w:t>
      </w:r>
    </w:p>
    <w:p w14:paraId="06F4F371" w14:textId="050F2FBD" w:rsidR="00F234CE" w:rsidRDefault="009F03C6">
      <w:pPr>
        <w:pStyle w:val="Heading2"/>
        <w:keepNext w:val="0"/>
        <w:keepLines w:val="0"/>
        <w:spacing w:before="360"/>
        <w:rPr>
          <w:rFonts w:ascii="Times New Roman" w:eastAsia="Times New Roman" w:hAnsi="Times New Roman" w:cs="Times New Roman"/>
          <w:b/>
          <w:color w:val="000000"/>
          <w:sz w:val="24"/>
          <w:szCs w:val="24"/>
        </w:rPr>
      </w:pPr>
      <w:bookmarkStart w:id="29" w:name="_heading=h.jnvj329lqefw" w:colFirst="0" w:colLast="0"/>
      <w:bookmarkEnd w:id="29"/>
      <w:r>
        <w:rPr>
          <w:rFonts w:ascii="Times New Roman" w:eastAsia="Times New Roman" w:hAnsi="Times New Roman" w:cs="Times New Roman"/>
          <w:b/>
          <w:color w:val="000000"/>
          <w:sz w:val="24"/>
          <w:szCs w:val="24"/>
        </w:rPr>
        <w:t>6.4 Addressing Contemporary Challenges: A Holistic Approach</w:t>
      </w:r>
    </w:p>
    <w:p w14:paraId="7E2BDAC3" w14:textId="77777777" w:rsidR="00F234CE" w:rsidRPr="009F03C6" w:rsidRDefault="00A551CD">
      <w:pPr>
        <w:pStyle w:val="Heading3"/>
        <w:keepNext w:val="0"/>
        <w:keepLines w:val="0"/>
        <w:spacing w:before="280"/>
        <w:rPr>
          <w:rFonts w:ascii="Times New Roman" w:eastAsia="Times New Roman" w:hAnsi="Times New Roman" w:cs="Times New Roman"/>
          <w:b/>
          <w:color w:val="000000"/>
          <w:sz w:val="24"/>
          <w:szCs w:val="24"/>
        </w:rPr>
      </w:pPr>
      <w:bookmarkStart w:id="30" w:name="_heading=h.mb74jvs3a9c5" w:colFirst="0" w:colLast="0"/>
      <w:bookmarkEnd w:id="30"/>
      <w:r w:rsidRPr="009F03C6">
        <w:rPr>
          <w:rFonts w:ascii="Times New Roman" w:eastAsia="Times New Roman" w:hAnsi="Times New Roman" w:cs="Times New Roman"/>
          <w:b/>
          <w:color w:val="000000"/>
          <w:sz w:val="24"/>
          <w:szCs w:val="24"/>
        </w:rPr>
        <w:t>The Remote Learning Legacy</w:t>
      </w:r>
    </w:p>
    <w:p w14:paraId="73746B30"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COVID-19 pandemic accelerated the adoption of surveillance technologies in education, often skipping standard privacy safeguards and consent steps (Chen &amp; Rodriguez, 2024). Numerous schools continue to use emergency surveillance measures even as in-person classes resume. This highlights the urgent need for a comprehensive review and reform of policies governing educational technology.</w:t>
      </w:r>
    </w:p>
    <w:p w14:paraId="5441167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Institutions need to conduct post-pandemic evaluations of their surveillance practices, deciding which emergency measures to discontinue and which technologies support authentic educational objectives. This process should include thorough consultations with students, faculty, and staff about their experiences with surveillance technologies during the pandemic.</w:t>
      </w:r>
    </w:p>
    <w:p w14:paraId="60086B3C" w14:textId="77777777" w:rsidR="00F234CE" w:rsidRPr="009F03C6" w:rsidRDefault="00A551CD">
      <w:pPr>
        <w:pStyle w:val="Heading3"/>
        <w:keepNext w:val="0"/>
        <w:keepLines w:val="0"/>
        <w:spacing w:before="280"/>
        <w:rPr>
          <w:rFonts w:ascii="Times New Roman" w:eastAsia="Times New Roman" w:hAnsi="Times New Roman" w:cs="Times New Roman"/>
          <w:b/>
          <w:color w:val="000000"/>
          <w:sz w:val="24"/>
          <w:szCs w:val="24"/>
        </w:rPr>
      </w:pPr>
      <w:bookmarkStart w:id="31" w:name="_heading=h.jm303ostvbz8" w:colFirst="0" w:colLast="0"/>
      <w:bookmarkEnd w:id="31"/>
      <w:r w:rsidRPr="009F03C6">
        <w:rPr>
          <w:rFonts w:ascii="Times New Roman" w:eastAsia="Times New Roman" w:hAnsi="Times New Roman" w:cs="Times New Roman"/>
          <w:b/>
          <w:color w:val="000000"/>
          <w:sz w:val="24"/>
          <w:szCs w:val="24"/>
        </w:rPr>
        <w:t>Supporting Diverse Learning Needs</w:t>
      </w:r>
    </w:p>
    <w:p w14:paraId="3E06D4FB"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Table 4 indicates that surveillance systems often disproportionately affect students with disabilities, neurodiverse learners, and those experiencing economic hardships (Beck, 2020; Smith et al., 2023). Consequently, education technology should focus on designing and implementing features that promote accessibility, equity, and inclusion. This involves offering alternative options to proctored exams for students who lack access to suitable testing environments, ensuring surveillance measures do not discriminate against different learning styles or communication methods, and acknowledging that some students may require accommodations beyond standard monitoring systems.</w:t>
      </w:r>
    </w:p>
    <w:p w14:paraId="27258883" w14:textId="77777777" w:rsidR="00F234CE" w:rsidRPr="009F03C6" w:rsidRDefault="00A551CD">
      <w:pPr>
        <w:pStyle w:val="Heading3"/>
        <w:keepNext w:val="0"/>
        <w:keepLines w:val="0"/>
        <w:spacing w:before="280"/>
        <w:rPr>
          <w:rFonts w:ascii="Times New Roman" w:eastAsia="Times New Roman" w:hAnsi="Times New Roman" w:cs="Times New Roman"/>
          <w:b/>
          <w:color w:val="000000"/>
          <w:sz w:val="24"/>
          <w:szCs w:val="24"/>
        </w:rPr>
      </w:pPr>
      <w:bookmarkStart w:id="32" w:name="_heading=h.zdeyan32kbt9" w:colFirst="0" w:colLast="0"/>
      <w:bookmarkEnd w:id="32"/>
      <w:r w:rsidRPr="009F03C6">
        <w:rPr>
          <w:rFonts w:ascii="Times New Roman" w:eastAsia="Times New Roman" w:hAnsi="Times New Roman" w:cs="Times New Roman"/>
          <w:b/>
          <w:color w:val="000000"/>
          <w:sz w:val="24"/>
          <w:szCs w:val="24"/>
        </w:rPr>
        <w:lastRenderedPageBreak/>
        <w:t>Building Digital Literacy and Agency</w:t>
      </w:r>
    </w:p>
    <w:p w14:paraId="65F2CF92"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Students need access to educational programs that cover surveillance systems, their rights over educational data, and ways to protect their privacy and independence online (New America Foundation, 2024). This digital literacy should be integrated into first-year courses and continuous student development programs. Nonetheless, this education must do more than just accept surveillance as unavoidable. It should empower students to understand their rights, defend their privacy, and critically assess educational technologies that influence their learning and development.</w:t>
      </w:r>
    </w:p>
    <w:p w14:paraId="2F1206E8" w14:textId="005F6D04" w:rsidR="00F234CE" w:rsidRDefault="009F03C6">
      <w:pPr>
        <w:pStyle w:val="Heading2"/>
        <w:keepNext w:val="0"/>
        <w:keepLines w:val="0"/>
        <w:spacing w:before="360"/>
        <w:rPr>
          <w:rFonts w:ascii="Times New Roman" w:eastAsia="Times New Roman" w:hAnsi="Times New Roman" w:cs="Times New Roman"/>
          <w:b/>
          <w:color w:val="000000"/>
          <w:sz w:val="24"/>
          <w:szCs w:val="24"/>
        </w:rPr>
      </w:pPr>
      <w:bookmarkStart w:id="33" w:name="_heading=h.ordt6h72d4l9" w:colFirst="0" w:colLast="0"/>
      <w:bookmarkEnd w:id="33"/>
      <w:r>
        <w:rPr>
          <w:rFonts w:ascii="Times New Roman" w:eastAsia="Times New Roman" w:hAnsi="Times New Roman" w:cs="Times New Roman"/>
          <w:b/>
          <w:color w:val="000000"/>
          <w:sz w:val="24"/>
          <w:szCs w:val="24"/>
        </w:rPr>
        <w:t>6.5 Implementation Pathways: From Policy to Practice</w:t>
      </w:r>
    </w:p>
    <w:p w14:paraId="619FB737" w14:textId="77777777" w:rsidR="00F234CE" w:rsidRDefault="00A551CD">
      <w:pPr>
        <w:pStyle w:val="Heading3"/>
        <w:keepNext w:val="0"/>
        <w:keepLines w:val="0"/>
        <w:spacing w:before="280"/>
        <w:rPr>
          <w:rFonts w:ascii="Times New Roman" w:eastAsia="Times New Roman" w:hAnsi="Times New Roman" w:cs="Times New Roman"/>
          <w:b/>
          <w:color w:val="000000"/>
          <w:sz w:val="24"/>
          <w:szCs w:val="24"/>
        </w:rPr>
      </w:pPr>
      <w:bookmarkStart w:id="34" w:name="_heading=h.pam6518hcndg" w:colFirst="0" w:colLast="0"/>
      <w:bookmarkEnd w:id="34"/>
      <w:r>
        <w:rPr>
          <w:rFonts w:ascii="Times New Roman" w:eastAsia="Times New Roman" w:hAnsi="Times New Roman" w:cs="Times New Roman"/>
          <w:b/>
          <w:color w:val="000000"/>
          <w:sz w:val="24"/>
          <w:szCs w:val="24"/>
        </w:rPr>
        <w:t>Phased Surveillance Reduction</w:t>
      </w:r>
    </w:p>
    <w:p w14:paraId="47449704" w14:textId="77777777" w:rsidR="00F234CE" w:rsidRDefault="00A551CD">
      <w:pPr>
        <w:pStyle w:val="Heading3"/>
        <w:keepNext w:val="0"/>
        <w:keepLines w:val="0"/>
        <w:spacing w:before="280"/>
        <w:rPr>
          <w:rFonts w:ascii="Times New Roman" w:eastAsia="Times New Roman" w:hAnsi="Times New Roman" w:cs="Times New Roman"/>
          <w:color w:val="000000"/>
          <w:sz w:val="26"/>
          <w:szCs w:val="26"/>
        </w:rPr>
      </w:pPr>
      <w:bookmarkStart w:id="35" w:name="_heading=h.8hjidh7srayi" w:colFirst="0" w:colLast="0"/>
      <w:bookmarkEnd w:id="35"/>
      <w:r>
        <w:rPr>
          <w:rFonts w:ascii="Times New Roman" w:eastAsia="Times New Roman" w:hAnsi="Times New Roman" w:cs="Times New Roman"/>
          <w:color w:val="000000"/>
          <w:sz w:val="26"/>
          <w:szCs w:val="26"/>
        </w:rPr>
        <w:t>Institutions cannot instantly eliminate all surveillance systems without proper planning and alternative options (García-Peñalvo &amp; Durán-Escudero, 2024). Instead, they should adopt phased strategies that slowly transition to privacy-respecting and authentic educational practices. Initially, they should remove the most intrusive methods, especially those invading private areas or collecting biometric data. Next, assessment approaches should be redesigned to lessen dependence on behavioral monitoring. Ultimately, the emphasis should be on creating positive, supportive learning environments that also empower students.</w:t>
      </w:r>
    </w:p>
    <w:p w14:paraId="782BBEB8" w14:textId="77777777" w:rsidR="009F03C6" w:rsidRPr="009F03C6" w:rsidRDefault="009F03C6" w:rsidP="009F03C6"/>
    <w:p w14:paraId="2D624CB8" w14:textId="77777777" w:rsidR="00F234CE" w:rsidRDefault="00A551CD">
      <w:pPr>
        <w:pStyle w:val="Heading3"/>
        <w:keepNext w:val="0"/>
        <w:keepLines w:val="0"/>
        <w:spacing w:before="280"/>
        <w:rPr>
          <w:rFonts w:ascii="Times New Roman" w:eastAsia="Times New Roman" w:hAnsi="Times New Roman" w:cs="Times New Roman"/>
          <w:b/>
          <w:color w:val="000000"/>
          <w:sz w:val="26"/>
          <w:szCs w:val="26"/>
        </w:rPr>
      </w:pPr>
      <w:bookmarkStart w:id="36" w:name="_heading=h.y89pemnxlpi" w:colFirst="0" w:colLast="0"/>
      <w:bookmarkEnd w:id="36"/>
      <w:r>
        <w:rPr>
          <w:rFonts w:ascii="Times New Roman" w:eastAsia="Times New Roman" w:hAnsi="Times New Roman" w:cs="Times New Roman"/>
          <w:b/>
          <w:color w:val="000000"/>
          <w:sz w:val="26"/>
          <w:szCs w:val="26"/>
        </w:rPr>
        <w:t>Collaborative Governance Models</w:t>
      </w:r>
    </w:p>
    <w:p w14:paraId="2F2607A3" w14:textId="77777777" w:rsidR="00F234CE" w:rsidRDefault="00A551CD">
      <w:pPr>
        <w:pStyle w:val="Heading3"/>
        <w:keepNext w:val="0"/>
        <w:keepLines w:val="0"/>
        <w:spacing w:before="280"/>
        <w:rPr>
          <w:rFonts w:ascii="Times New Roman" w:eastAsia="Times New Roman" w:hAnsi="Times New Roman" w:cs="Times New Roman"/>
          <w:color w:val="000000"/>
          <w:sz w:val="26"/>
          <w:szCs w:val="26"/>
        </w:rPr>
      </w:pPr>
      <w:bookmarkStart w:id="37" w:name="_heading=h.y08h2vxscgl8" w:colFirst="0" w:colLast="0"/>
      <w:bookmarkEnd w:id="37"/>
      <w:r>
        <w:rPr>
          <w:rFonts w:ascii="Times New Roman" w:eastAsia="Times New Roman" w:hAnsi="Times New Roman" w:cs="Times New Roman"/>
          <w:color w:val="000000"/>
          <w:sz w:val="26"/>
          <w:szCs w:val="26"/>
        </w:rPr>
        <w:t>Implementing surveillance reform involves creating collaborative governance models that actively involve students, faculty, staff, and community members. These structures must hold absolute authority over decisions related to educational technology and be adequately resourced to develop alternatives to surveillance-based systems.</w:t>
      </w:r>
    </w:p>
    <w:p w14:paraId="60FFB50E" w14:textId="77777777" w:rsidR="00F234CE" w:rsidRDefault="00A551CD">
      <w:pPr>
        <w:pStyle w:val="Heading3"/>
        <w:keepNext w:val="0"/>
        <w:keepLines w:val="0"/>
        <w:spacing w:before="280"/>
        <w:rPr>
          <w:rFonts w:ascii="Times New Roman" w:eastAsia="Times New Roman" w:hAnsi="Times New Roman" w:cs="Times New Roman"/>
          <w:b/>
          <w:color w:val="000000"/>
          <w:sz w:val="26"/>
          <w:szCs w:val="26"/>
        </w:rPr>
      </w:pPr>
      <w:bookmarkStart w:id="38" w:name="_heading=h.5iftdimka7hl" w:colFirst="0" w:colLast="0"/>
      <w:bookmarkEnd w:id="38"/>
      <w:r>
        <w:rPr>
          <w:rFonts w:ascii="Times New Roman" w:eastAsia="Times New Roman" w:hAnsi="Times New Roman" w:cs="Times New Roman"/>
          <w:b/>
          <w:color w:val="000000"/>
          <w:sz w:val="26"/>
          <w:szCs w:val="26"/>
        </w:rPr>
        <w:t>Continuous Assessment and Improvement</w:t>
      </w:r>
    </w:p>
    <w:p w14:paraId="4CD1C6CE"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Surveillance reform is an ongoing process, not a one-time policy update, focusing on prioritizing educational values over technological convenience. Institutions should establish continuous review procedures that consistently evaluate the educational impact and ethical aspects of their technology use. This involves conducting regular surveys of students and faculty regarding their experiences with educational technology, analyzing learning results across various assessment methods, and maintaining ongoing discussions with privacy and ethics specialists about new challenges and opportunities.</w:t>
      </w:r>
    </w:p>
    <w:p w14:paraId="26C4BC2E" w14:textId="75B0BA9E" w:rsidR="00F234CE" w:rsidRDefault="00A551CD">
      <w:pPr>
        <w:pStyle w:val="Heading2"/>
        <w:keepNext w:val="0"/>
        <w:keepLines w:val="0"/>
        <w:spacing w:before="360"/>
        <w:rPr>
          <w:rFonts w:ascii="Times New Roman" w:eastAsia="Times New Roman" w:hAnsi="Times New Roman" w:cs="Times New Roman"/>
          <w:b/>
          <w:color w:val="000000"/>
          <w:sz w:val="24"/>
          <w:szCs w:val="24"/>
        </w:rPr>
      </w:pPr>
      <w:bookmarkStart w:id="39" w:name="_heading=h.ho22xlqs6dx2" w:colFirst="0" w:colLast="0"/>
      <w:bookmarkEnd w:id="39"/>
      <w:r>
        <w:rPr>
          <w:rFonts w:ascii="Times New Roman" w:eastAsia="Times New Roman" w:hAnsi="Times New Roman" w:cs="Times New Roman"/>
          <w:b/>
          <w:color w:val="000000"/>
          <w:sz w:val="24"/>
          <w:szCs w:val="24"/>
        </w:rPr>
        <w:lastRenderedPageBreak/>
        <w:t>Toward Educational Technology for Human Flourishing</w:t>
      </w:r>
    </w:p>
    <w:p w14:paraId="64740767"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suggestions presented here go beyond fundamental policy changes; they signify a core transformation in educational technology focused on enhancing human well-being, democratic participation, and authentic learning involvement. Research evidence suggests that surveillance-driven methods in educational technology not only fail to meet their objectives but also harm educational relationships and undermine the democratic principles that higher education institutions strive to uphold (Zuboff, 2019).</w:t>
      </w:r>
    </w:p>
    <w:p w14:paraId="524CDA53"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Following these recommendations requires ongoing dedication, collaboration, and a focus on educational values rather than just technological convenience or market trends (Holon IQ, 2025). On the other hand, allowing unchecked growth of surveillance systems that dehumanize students and hinder learning contradicts the fundamental mission and core principles of higher education values.</w:t>
      </w:r>
    </w:p>
    <w:p w14:paraId="69608F2C" w14:textId="77777777"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The main challenge in higher education isn't about balancing technology and tradition, but about prioritizing support over surveillance, fostering creativity rather than strict compliance, and emphasizing human development over data extraction. The suggestions here present actionable methods to focus on support, creativity, and human growth while maintaining educational quality and institutional accountability. The future of higher education hinges on making these decisions carefully, collaboratively, and rooted in the democratic principles that education seeks to uphold.</w:t>
      </w:r>
    </w:p>
    <w:p w14:paraId="37CC0880" w14:textId="77777777" w:rsidR="009F03C6" w:rsidRDefault="009F03C6">
      <w:pPr>
        <w:spacing w:before="240" w:after="240"/>
        <w:rPr>
          <w:rFonts w:ascii="Times New Roman" w:eastAsia="Times New Roman" w:hAnsi="Times New Roman" w:cs="Times New Roman"/>
          <w:b/>
        </w:rPr>
      </w:pPr>
    </w:p>
    <w:p w14:paraId="38616FD7" w14:textId="5196506E" w:rsidR="00F234CE" w:rsidRPr="009F03C6" w:rsidRDefault="00A551CD" w:rsidP="009F03C6">
      <w:pPr>
        <w:pStyle w:val="ListParagraph"/>
        <w:numPr>
          <w:ilvl w:val="0"/>
          <w:numId w:val="2"/>
        </w:numPr>
        <w:jc w:val="center"/>
        <w:rPr>
          <w:rFonts w:ascii="Times New Roman" w:eastAsia="Times New Roman" w:hAnsi="Times New Roman" w:cs="Times New Roman"/>
          <w:b/>
        </w:rPr>
      </w:pPr>
      <w:r w:rsidRPr="009F03C6">
        <w:rPr>
          <w:rFonts w:ascii="Times New Roman" w:eastAsia="Times New Roman" w:hAnsi="Times New Roman" w:cs="Times New Roman"/>
          <w:b/>
        </w:rPr>
        <w:t>Conclusion</w:t>
      </w:r>
    </w:p>
    <w:p w14:paraId="0D0C5151" w14:textId="77777777" w:rsidR="00F234CE" w:rsidRDefault="00A551CD">
      <w:pPr>
        <w:spacing w:after="0"/>
        <w:rPr>
          <w:rFonts w:ascii="Times New Roman" w:eastAsia="Times New Roman" w:hAnsi="Times New Roman" w:cs="Times New Roman"/>
        </w:rPr>
      </w:pPr>
      <w:r>
        <w:rPr>
          <w:rFonts w:ascii="Times New Roman" w:eastAsia="Times New Roman" w:hAnsi="Times New Roman" w:cs="Times New Roman"/>
        </w:rPr>
        <w:t>This study explores how LMS surveillance tools influence students' sense of agency and their interactions within educational environments. It provides a straightforward framework for understanding the operation of these surveillance systems in education and proposes practical strategies to promote more ethical and effective learning environments. The advancement of digital technology in higher education has established a widespread surveillance infrastructure that profoundly changes the educational experience and the student-institution relationship. Although LMS platforms and proctoring tools support efficient content delivery and assessments, their integrated surveillance features risk shifting education from a collaborative discovery process to a system oriented toward behavioral control and compliance.</w:t>
      </w:r>
    </w:p>
    <w:p w14:paraId="2C984B79" w14:textId="77777777" w:rsidR="00F234CE" w:rsidRDefault="00F234CE">
      <w:pPr>
        <w:spacing w:after="0"/>
        <w:rPr>
          <w:rFonts w:ascii="Times New Roman" w:eastAsia="Times New Roman" w:hAnsi="Times New Roman" w:cs="Times New Roman"/>
          <w:color w:val="FF0000"/>
        </w:rPr>
      </w:pPr>
    </w:p>
    <w:p w14:paraId="6994198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evidence in this analysis shows that comprehensive surveillance systems often undermine the educational goals they aim to support, causing anxiety, reducing genuine experiences, and teaching students to accept monitoring as normal and necessary. The alternative methods documented demonstrate that academic integrity and educational effectiveness can be upheld while respecting student privacy and autonomy.</w:t>
      </w:r>
    </w:p>
    <w:p w14:paraId="71A42F33"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lastRenderedPageBreak/>
        <w:t>Higher education faces a choice not between technology and tradition, but between surveillance and support, compliance and creativity, and data collection versus human development. The digital panopticon is not an inevitable result of technological advances; it is a conscious choice about how institutions engage with students and define their educational goals. The level of surveillance highlighted here shows that urgent steps are needed to end routine educational monitoring. By recognizing surveillance methods, understanding their effects, and exploring privacy-friendly options, higher education can shift educational technology from being a tool of control to one that fosters learning control.</w:t>
      </w:r>
    </w:p>
    <w:p w14:paraId="42B3AB97" w14:textId="77777777" w:rsidR="00F234CE" w:rsidRDefault="00A551CD">
      <w:pPr>
        <w:rPr>
          <w:rFonts w:ascii="Times New Roman" w:eastAsia="Times New Roman" w:hAnsi="Times New Roman" w:cs="Times New Roman"/>
        </w:rPr>
      </w:pPr>
      <w:r>
        <w:rPr>
          <w:rFonts w:ascii="Times New Roman" w:eastAsia="Times New Roman" w:hAnsi="Times New Roman" w:cs="Times New Roman"/>
        </w:rPr>
        <w:t>The future of education hinges on whether institutions choose to trust or monitor, to inspire or surveil, to educate or manage. Evidence suggests that prioritizing trust, inspiration, and education over surveillance and control can actually improve educational outcomes while upholding the autonomy and dignity essential for democratic participation and human flourishing.</w:t>
      </w:r>
    </w:p>
    <w:p w14:paraId="01CAA7A3" w14:textId="77777777" w:rsidR="00F234CE" w:rsidRDefault="00F234CE">
      <w:pPr>
        <w:rPr>
          <w:rFonts w:ascii="Times New Roman" w:eastAsia="Times New Roman" w:hAnsi="Times New Roman" w:cs="Times New Roman"/>
        </w:rPr>
      </w:pPr>
    </w:p>
    <w:p w14:paraId="568DBB48" w14:textId="77777777" w:rsidR="00F234CE" w:rsidRDefault="00F234CE">
      <w:pPr>
        <w:rPr>
          <w:rFonts w:ascii="Times New Roman" w:eastAsia="Times New Roman" w:hAnsi="Times New Roman" w:cs="Times New Roman"/>
        </w:rPr>
      </w:pPr>
    </w:p>
    <w:p w14:paraId="1656934D" w14:textId="77777777" w:rsidR="00F234CE" w:rsidRDefault="00F234CE">
      <w:pPr>
        <w:rPr>
          <w:rFonts w:ascii="Times New Roman" w:eastAsia="Times New Roman" w:hAnsi="Times New Roman" w:cs="Times New Roman"/>
        </w:rPr>
      </w:pPr>
    </w:p>
    <w:p w14:paraId="125DA8CC" w14:textId="77777777" w:rsidR="00F234CE" w:rsidRDefault="00F234CE">
      <w:pPr>
        <w:rPr>
          <w:rFonts w:ascii="Times New Roman" w:eastAsia="Times New Roman" w:hAnsi="Times New Roman" w:cs="Times New Roman"/>
        </w:rPr>
      </w:pPr>
    </w:p>
    <w:p w14:paraId="2E2159F3" w14:textId="77777777" w:rsidR="00F234CE" w:rsidRDefault="00F234CE">
      <w:pPr>
        <w:rPr>
          <w:rFonts w:ascii="Times New Roman" w:eastAsia="Times New Roman" w:hAnsi="Times New Roman" w:cs="Times New Roman"/>
        </w:rPr>
      </w:pPr>
    </w:p>
    <w:p w14:paraId="64EB86B1" w14:textId="77777777" w:rsidR="00F234CE" w:rsidRDefault="00F234CE">
      <w:pPr>
        <w:rPr>
          <w:rFonts w:ascii="Times New Roman" w:eastAsia="Times New Roman" w:hAnsi="Times New Roman" w:cs="Times New Roman"/>
        </w:rPr>
      </w:pPr>
    </w:p>
    <w:p w14:paraId="2037E915" w14:textId="77777777" w:rsidR="009F03C6" w:rsidRDefault="009F03C6">
      <w:pPr>
        <w:rPr>
          <w:rFonts w:ascii="Times New Roman" w:eastAsia="Times New Roman" w:hAnsi="Times New Roman" w:cs="Times New Roman"/>
        </w:rPr>
      </w:pPr>
    </w:p>
    <w:p w14:paraId="3A9B1D33" w14:textId="77777777" w:rsidR="00F234CE" w:rsidRDefault="00A551CD">
      <w:pPr>
        <w:jc w:val="center"/>
        <w:rPr>
          <w:rFonts w:ascii="Times New Roman" w:eastAsia="Times New Roman" w:hAnsi="Times New Roman" w:cs="Times New Roman"/>
          <w:b/>
        </w:rPr>
      </w:pPr>
      <w:r>
        <w:rPr>
          <w:rFonts w:ascii="Times New Roman" w:eastAsia="Times New Roman" w:hAnsi="Times New Roman" w:cs="Times New Roman"/>
          <w:b/>
        </w:rPr>
        <w:t>References</w:t>
      </w:r>
    </w:p>
    <w:p w14:paraId="6BBC12C1" w14:textId="7620BAB6"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Al-Nuaimi, M.N. &amp; Al-Emran, M. (2021) Learning management systems and technology acceptance models: A systematic review. Educ. Inf. Technol. 2021, 26, 5499–5533. </w:t>
      </w:r>
      <w:r w:rsidR="00ED3B2E">
        <w:rPr>
          <w:rFonts w:ascii="Arial" w:eastAsia="Times New Roman" w:hAnsi="Arial" w:cs="Arial"/>
          <w:sz w:val="18"/>
          <w:szCs w:val="18"/>
        </w:rPr>
        <w:t>https://doi.org/10.1007/s10639-021-10513-3</w:t>
      </w:r>
    </w:p>
    <w:p w14:paraId="29285F2A" w14:textId="5FE3A48B"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AlQudah, A.A. (2014).  Accepting Moodle by academic staff at the University of Jordan: Applying and extending TAM in technical support factors. Eur. Sci. J. 2014, 10, 183–200. </w:t>
      </w:r>
      <w:r w:rsidR="00ED3B2E">
        <w:rPr>
          <w:rFonts w:ascii="Arial" w:eastAsia="Times New Roman" w:hAnsi="Arial" w:cs="Arial"/>
          <w:sz w:val="18"/>
          <w:szCs w:val="18"/>
        </w:rPr>
        <w:t>https://doi.org/10.19044/esj.2014.v10n18p%p</w:t>
      </w:r>
    </w:p>
    <w:p w14:paraId="0CD79B36" w14:textId="587F2732"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Beck, J. (2020). Students are rebelling against eye-</w:t>
      </w:r>
      <w:commentRangeStart w:id="40"/>
      <w:r>
        <w:rPr>
          <w:rFonts w:ascii="Times New Roman" w:eastAsia="Times New Roman" w:hAnsi="Times New Roman" w:cs="Times New Roman"/>
        </w:rPr>
        <w:t xml:space="preserve">tracking exam surveillance tools. </w:t>
      </w:r>
      <w:r>
        <w:rPr>
          <w:rFonts w:ascii="Times New Roman" w:eastAsia="Times New Roman" w:hAnsi="Times New Roman" w:cs="Times New Roman"/>
          <w:i/>
        </w:rPr>
        <w:t>Vice</w:t>
      </w:r>
      <w:r>
        <w:rPr>
          <w:rFonts w:ascii="Times New Roman" w:eastAsia="Times New Roman" w:hAnsi="Times New Roman" w:cs="Times New Roman"/>
        </w:rPr>
        <w:t>.</w:t>
      </w:r>
      <w:hyperlink r:id="rId12">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https://www.vice.com/en/article/bv8a58/students-are-rebelling-against-eye-tracking</w:t>
      </w:r>
      <w:commentRangeEnd w:id="40"/>
      <w:r w:rsidR="005A0B4E">
        <w:rPr>
          <w:rStyle w:val="CommentReference"/>
          <w:rFonts w:ascii="Arial" w:eastAsia="Times New Roman" w:hAnsi="Arial" w:cs="Arial"/>
          <w:sz w:val="18"/>
          <w:szCs w:val="18"/>
        </w:rPr>
        <w:commentReference w:id="40"/>
      </w:r>
      <w:r w:rsidR="00ED3B2E">
        <w:rPr>
          <w:rFonts w:ascii="Arial" w:eastAsia="Times New Roman" w:hAnsi="Arial" w:cs="Arial"/>
          <w:sz w:val="18"/>
          <w:szCs w:val="18"/>
        </w:rPr>
        <w:t>-exam-surveillance-tools</w:t>
      </w:r>
      <w:r w:rsidR="00ED3B2E">
        <w:rPr>
          <w:rFonts w:ascii="Times New Roman" w:eastAsia="Times New Roman" w:hAnsi="Times New Roman" w:cs="Times New Roman"/>
          <w:color w:val="1155CC"/>
          <w:u w:val="single"/>
        </w:rPr>
        <w:t xml:space="preserve"> </w:t>
      </w:r>
    </w:p>
    <w:p w14:paraId="466A2EFF" w14:textId="3E28FBA7" w:rsidR="00F234CE" w:rsidRDefault="00A551CD">
      <w:pPr>
        <w:spacing w:before="240" w:after="240"/>
        <w:rPr>
          <w:rFonts w:ascii="Times New Roman" w:eastAsia="Times New Roman" w:hAnsi="Times New Roman" w:cs="Times New Roman"/>
          <w:color w:val="FF0000"/>
        </w:rPr>
      </w:pPr>
      <w:r>
        <w:rPr>
          <w:rFonts w:ascii="Times New Roman" w:eastAsia="Times New Roman" w:hAnsi="Times New Roman" w:cs="Times New Roman"/>
        </w:rPr>
        <w:t xml:space="preserve">Bervell, B., &amp; Umar, I. (2018). Utilization decision towards LMS for blended learning in distance education: Modeling the effects of personality factors in exclusivity. </w:t>
      </w:r>
      <w:r>
        <w:rPr>
          <w:rFonts w:ascii="Times New Roman" w:eastAsia="Times New Roman" w:hAnsi="Times New Roman" w:cs="Times New Roman"/>
          <w:i/>
        </w:rPr>
        <w:t>Knowledge Management &amp; E-Learning: An International Journal</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(3), 309–333.</w:t>
      </w:r>
      <w:hyperlink r:id="rId13">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https://doi.org/10.34105/j.kmel.2018.10.018</w:t>
      </w:r>
    </w:p>
    <w:p w14:paraId="7299D84E" w14:textId="78EACE6F"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Blackboard Inc. (2023). </w:t>
      </w:r>
      <w:r>
        <w:rPr>
          <w:rFonts w:ascii="Times New Roman" w:eastAsia="Times New Roman" w:hAnsi="Times New Roman" w:cs="Times New Roman"/>
          <w:i/>
        </w:rPr>
        <w:t>Blackboard Learn Analytics</w:t>
      </w:r>
      <w:r>
        <w:rPr>
          <w:rFonts w:ascii="Times New Roman" w:eastAsia="Times New Roman" w:hAnsi="Times New Roman" w:cs="Times New Roman"/>
        </w:rPr>
        <w:t>.</w:t>
      </w:r>
      <w:hyperlink r:id="rId14">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https://help.blackboard.com</w:t>
      </w:r>
      <w:r w:rsidR="00ED3B2E">
        <w:rPr>
          <w:rFonts w:ascii="Times New Roman" w:eastAsia="Times New Roman" w:hAnsi="Times New Roman" w:cs="Times New Roman"/>
          <w:color w:val="1155CC"/>
          <w:u w:val="single"/>
        </w:rPr>
        <w:t xml:space="preserve"> </w:t>
      </w:r>
    </w:p>
    <w:p w14:paraId="130C2937" w14:textId="25F0B156"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lastRenderedPageBreak/>
        <w:t xml:space="preserve">Chen, L., &amp; Rodriguez, M. (2024). Online proctoring and student privacy: Balancing security with ethical concerns. </w:t>
      </w:r>
      <w:r>
        <w:rPr>
          <w:rFonts w:ascii="Times New Roman" w:eastAsia="Times New Roman" w:hAnsi="Times New Roman" w:cs="Times New Roman"/>
          <w:i/>
        </w:rPr>
        <w:t>Container News</w:t>
      </w:r>
      <w:r>
        <w:rPr>
          <w:rFonts w:ascii="Times New Roman" w:eastAsia="Times New Roman" w:hAnsi="Times New Roman" w:cs="Times New Roman"/>
        </w:rPr>
        <w:t>.</w:t>
      </w:r>
      <w:hyperlink r:id="rId15">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https://container-news.com/online-proctoring-and-student-privacy-balancing-security-with-ethical-concerns/</w:t>
      </w:r>
      <w:r w:rsidR="00ED3B2E">
        <w:rPr>
          <w:rFonts w:ascii="Times New Roman" w:eastAsia="Times New Roman" w:hAnsi="Times New Roman" w:cs="Times New Roman"/>
          <w:color w:val="467886"/>
          <w:u w:val="single"/>
        </w:rPr>
        <w:t xml:space="preserve"> </w:t>
      </w:r>
    </w:p>
    <w:p w14:paraId="5495E6A4" w14:textId="2D8E903E"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Gamage, S,., Ayres, J..&amp; Behrend, M. (2022).  A systematic review on trends in using Moodle for teaching and learning. Int. J. STEM Educ. 2022, 9, 1–24. </w:t>
      </w:r>
      <w:r w:rsidR="00ED3B2E">
        <w:rPr>
          <w:rFonts w:ascii="Arial" w:eastAsia="Times New Roman" w:hAnsi="Arial" w:cs="Arial"/>
          <w:sz w:val="18"/>
          <w:szCs w:val="18"/>
        </w:rPr>
        <w:t>https://doi.org/10.1186/s40594-021-00323-x</w:t>
      </w:r>
    </w:p>
    <w:p w14:paraId="15BDFC3F" w14:textId="7F686FA6"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Chaw, L.Y. &amp; Tang, C.M. (2018). What makes learning management systems effective for learning? J. Educ. Technol. Syst. 2018, 47, 152–169.</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https://doi.org/10.1177/0047239518795828</w:t>
      </w:r>
    </w:p>
    <w:p w14:paraId="3482A81F" w14:textId="7DBC839B"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García-Peñalvo, F. J., &amp; Durán-Escudero, J. (2024). Theoretical and empirical models underlying the teaching use of LMS platforms in higher education: A systematic review. </w:t>
      </w:r>
      <w:r>
        <w:rPr>
          <w:rFonts w:ascii="Times New Roman" w:eastAsia="Times New Roman" w:hAnsi="Times New Roman" w:cs="Times New Roman"/>
          <w:i/>
        </w:rPr>
        <w:t>Journal of Computers in Education</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(2), 287-312</w:t>
      </w:r>
      <w:r>
        <w:rPr>
          <w:rFonts w:ascii="Times New Roman" w:eastAsia="Times New Roman" w:hAnsi="Times New Roman" w:cs="Times New Roman"/>
          <w:color w:val="FF0000"/>
        </w:rPr>
        <w:t>.</w:t>
      </w:r>
      <w:hyperlink r:id="rId16">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https://doi.org/10.1007/s40692-024-00336-9</w:t>
      </w:r>
      <w:r w:rsidR="00ED3B2E">
        <w:rPr>
          <w:rFonts w:ascii="Times New Roman" w:eastAsia="Times New Roman" w:hAnsi="Times New Roman" w:cs="Times New Roman"/>
          <w:color w:val="467886"/>
          <w:u w:val="single"/>
        </w:rPr>
        <w:t xml:space="preserve"> </w:t>
      </w:r>
    </w:p>
    <w:p w14:paraId="13787FB0" w14:textId="0B0D78F8"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Holon IQ. (2025). </w:t>
      </w:r>
      <w:r>
        <w:rPr>
          <w:rFonts w:ascii="Times New Roman" w:eastAsia="Times New Roman" w:hAnsi="Times New Roman" w:cs="Times New Roman"/>
          <w:i/>
        </w:rPr>
        <w:t>Global education technology investment report 2024</w:t>
      </w:r>
      <w:r>
        <w:rPr>
          <w:rFonts w:ascii="Times New Roman" w:eastAsia="Times New Roman" w:hAnsi="Times New Roman" w:cs="Times New Roman"/>
        </w:rPr>
        <w:t>.</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https://www.holoniq.com/notes/global-education-technology-investment-report-2024</w:t>
      </w:r>
      <w:r w:rsidR="00ED3B2E">
        <w:rPr>
          <w:rFonts w:ascii="Times New Roman" w:eastAsia="Times New Roman" w:hAnsi="Times New Roman" w:cs="Times New Roman"/>
          <w:color w:val="467886"/>
          <w:u w:val="single"/>
        </w:rPr>
        <w:t xml:space="preserve"> </w:t>
      </w:r>
    </w:p>
    <w:p w14:paraId="10C72EEC" w14:textId="00087289"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Holon IQ. (2025). Systemic AI, Strategic Skills: Q1 2025 Education Trends Outlook.</w:t>
      </w:r>
      <w:hyperlink r:id="rId17">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https://www.holoniq.com/notes/2025-global-education-outlook</w:t>
      </w:r>
      <w:r>
        <w:rPr>
          <w:rFonts w:ascii="Times New Roman" w:eastAsia="Times New Roman" w:hAnsi="Times New Roman" w:cs="Times New Roman"/>
          <w:color w:val="FF0000"/>
        </w:rPr>
        <w:t xml:space="preserve"> </w:t>
      </w:r>
    </w:p>
    <w:p w14:paraId="445FDF1D" w14:textId="7D092FDC"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Instructure Inc. (2022). </w:t>
      </w:r>
      <w:r>
        <w:rPr>
          <w:rFonts w:ascii="Times New Roman" w:eastAsia="Times New Roman" w:hAnsi="Times New Roman" w:cs="Times New Roman"/>
          <w:i/>
        </w:rPr>
        <w:t>Canvas Analytics Overview</w:t>
      </w:r>
      <w:r>
        <w:rPr>
          <w:rFonts w:ascii="Times New Roman" w:eastAsia="Times New Roman" w:hAnsi="Times New Roman" w:cs="Times New Roman"/>
        </w:rPr>
        <w:t>.</w:t>
      </w:r>
      <w:hyperlink r:id="rId18">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https://www.instructure.com/canvas/features/analytics</w:t>
      </w:r>
      <w:r w:rsidR="00ED3B2E">
        <w:rPr>
          <w:rFonts w:ascii="Times New Roman" w:eastAsia="Times New Roman" w:hAnsi="Times New Roman" w:cs="Times New Roman"/>
          <w:color w:val="467886"/>
          <w:u w:val="single"/>
        </w:rPr>
        <w:t xml:space="preserve"> </w:t>
      </w:r>
    </w:p>
    <w:p w14:paraId="2CFF2B09" w14:textId="0A063E3E" w:rsidR="00F234CE" w:rsidRDefault="00A551CD">
      <w:pPr>
        <w:spacing w:before="240" w:after="240"/>
        <w:rPr>
          <w:rFonts w:ascii="Times New Roman" w:eastAsia="Times New Roman" w:hAnsi="Times New Roman" w:cs="Times New Roman"/>
          <w:color w:val="467886"/>
          <w:u w:val="single"/>
        </w:rPr>
      </w:pPr>
      <w:r>
        <w:rPr>
          <w:rFonts w:ascii="Times New Roman" w:eastAsia="Times New Roman" w:hAnsi="Times New Roman" w:cs="Times New Roman"/>
        </w:rPr>
        <w:t xml:space="preserve">Kats, Y. (Ed.). (2013). Challenges of LMS Implementation in a Multi-Cultural Context. In </w:t>
      </w:r>
      <w:r>
        <w:rPr>
          <w:rFonts w:ascii="Times New Roman" w:eastAsia="Times New Roman" w:hAnsi="Times New Roman" w:cs="Times New Roman"/>
          <w:i/>
        </w:rPr>
        <w:t>Learning Management Systems and Instructional Design: Best Practices in Online Education</w:t>
      </w:r>
      <w:r>
        <w:rPr>
          <w:rFonts w:ascii="Times New Roman" w:eastAsia="Times New Roman" w:hAnsi="Times New Roman" w:cs="Times New Roman"/>
        </w:rPr>
        <w:t>, 72–88. IGI Global.</w:t>
      </w:r>
      <w:hyperlink r:id="rId19">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https://doi.org/10.4018/978-1-4666-3930-0.ch005</w:t>
      </w:r>
      <w:r w:rsidR="00ED3B2E">
        <w:rPr>
          <w:rFonts w:ascii="Times New Roman" w:eastAsia="Times New Roman" w:hAnsi="Times New Roman" w:cs="Times New Roman"/>
          <w:color w:val="467886"/>
          <w:u w:val="single"/>
        </w:rPr>
        <w:t xml:space="preserve"> </w:t>
      </w:r>
    </w:p>
    <w:p w14:paraId="5422C765" w14:textId="7FA1B48B"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Lavidas, K.; Komis, V. &amp; Achriani, A. (2022). Explaining faculty members’ behavioral intention to use learning management. J. Comput.Educ. 2022, 9, 707–725. </w:t>
      </w:r>
      <w:r w:rsidR="00ED3B2E">
        <w:rPr>
          <w:rFonts w:ascii="Arial" w:eastAsia="Times New Roman" w:hAnsi="Arial" w:cs="Arial"/>
          <w:sz w:val="18"/>
          <w:szCs w:val="18"/>
        </w:rPr>
        <w:t>https://doi.org/10.1007/s40692-021-00217-5</w:t>
      </w:r>
    </w:p>
    <w:p w14:paraId="55484056" w14:textId="4C24F4A9" w:rsidR="00F234CE" w:rsidRDefault="00A551CD">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Linnenluecke, M.K.; Marrone, M.; Singh, A.K. Conducting Systematic Literature Reviews and Bibliometric Analyses. Aust. J.Manag. 2020, 45, 175–194. </w:t>
      </w:r>
      <w:r w:rsidR="00ED3B2E">
        <w:rPr>
          <w:rFonts w:ascii="Arial" w:eastAsia="Times New Roman" w:hAnsi="Arial" w:cs="Arial"/>
          <w:sz w:val="18"/>
          <w:szCs w:val="18"/>
        </w:rPr>
        <w:t>https://doi.org/10.1177/0312896219877678</w:t>
      </w:r>
    </w:p>
    <w:p w14:paraId="4FD90A7E" w14:textId="41ECC4C8"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Martinez, S. D. (2024). What to know about student data privacy in 2024. </w:t>
      </w:r>
      <w:r>
        <w:rPr>
          <w:rFonts w:ascii="Times New Roman" w:eastAsia="Times New Roman" w:hAnsi="Times New Roman" w:cs="Times New Roman"/>
          <w:i/>
        </w:rPr>
        <w:t>Education Week</w:t>
      </w:r>
      <w:r>
        <w:rPr>
          <w:rFonts w:ascii="Times New Roman" w:eastAsia="Times New Roman" w:hAnsi="Times New Roman" w:cs="Times New Roman"/>
        </w:rPr>
        <w:t>.</w:t>
      </w:r>
      <w:hyperlink r:id="rId20">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https://ewa.org/educated-reporter/what-to-know-about-student-data-privacy-in-2024</w:t>
      </w:r>
      <w:r w:rsidR="00ED3B2E">
        <w:rPr>
          <w:rFonts w:ascii="Times New Roman" w:eastAsia="Times New Roman" w:hAnsi="Times New Roman" w:cs="Times New Roman"/>
          <w:color w:val="467886"/>
          <w:u w:val="single"/>
        </w:rPr>
        <w:t xml:space="preserve"> </w:t>
      </w:r>
    </w:p>
    <w:p w14:paraId="54746927" w14:textId="6FD0A6F4"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 xml:space="preserve">Malanga, A., Bernardes, R., Borini, F., Pereira, R., &amp; Rossetto, D. (2022). Towards integrating quality in theoretical models of acceptance: An extended proposed model applied to e-learning services. </w:t>
      </w:r>
      <w:r>
        <w:rPr>
          <w:rFonts w:ascii="Times New Roman" w:eastAsia="Times New Roman" w:hAnsi="Times New Roman" w:cs="Times New Roman"/>
          <w:i/>
        </w:rPr>
        <w:t>British Journal of Educational Technology</w:t>
      </w:r>
      <w:r>
        <w:rPr>
          <w:rFonts w:ascii="Times New Roman" w:eastAsia="Times New Roman" w:hAnsi="Times New Roman" w:cs="Times New Roman"/>
        </w:rPr>
        <w:t xml:space="preserve">, </w:t>
      </w:r>
      <w:r>
        <w:rPr>
          <w:rFonts w:ascii="Times New Roman" w:eastAsia="Times New Roman" w:hAnsi="Times New Roman" w:cs="Times New Roman"/>
          <w:i/>
        </w:rPr>
        <w:t>53</w:t>
      </w:r>
      <w:r>
        <w:rPr>
          <w:rFonts w:ascii="Times New Roman" w:eastAsia="Times New Roman" w:hAnsi="Times New Roman" w:cs="Times New Roman"/>
        </w:rPr>
        <w:t>(1), 8–22.</w:t>
      </w:r>
      <w:hyperlink r:id="rId21">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https://doi.org/10.1111/bjet.13091</w:t>
      </w:r>
    </w:p>
    <w:p w14:paraId="10F2CDCB" w14:textId="62713A4B"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 xml:space="preserve">Mohd, F., Hussain, M., Mohamed, H., Mohd, M., &amp; Abdul, N. (2021). Student satisfaction in using a Learning Management System (LMS) for blended learning courses for Tertiary </w:t>
      </w:r>
      <w:r>
        <w:rPr>
          <w:rFonts w:ascii="Times New Roman" w:eastAsia="Times New Roman" w:hAnsi="Times New Roman" w:cs="Times New Roman"/>
        </w:rPr>
        <w:lastRenderedPageBreak/>
        <w:t xml:space="preserve">Education. </w:t>
      </w:r>
      <w:r>
        <w:rPr>
          <w:rFonts w:ascii="Times New Roman" w:eastAsia="Times New Roman" w:hAnsi="Times New Roman" w:cs="Times New Roman"/>
          <w:i/>
        </w:rPr>
        <w:t>Asian Journal of University Education</w:t>
      </w:r>
      <w:r>
        <w:rPr>
          <w:rFonts w:ascii="Times New Roman" w:eastAsia="Times New Roman" w:hAnsi="Times New Roman" w:cs="Times New Roman"/>
        </w:rPr>
        <w:t xml:space="preserve">, </w:t>
      </w:r>
      <w:r>
        <w:rPr>
          <w:rFonts w:ascii="Times New Roman" w:eastAsia="Times New Roman" w:hAnsi="Times New Roman" w:cs="Times New Roman"/>
          <w:i/>
        </w:rPr>
        <w:t>17</w:t>
      </w:r>
      <w:r>
        <w:rPr>
          <w:rFonts w:ascii="Times New Roman" w:eastAsia="Times New Roman" w:hAnsi="Times New Roman" w:cs="Times New Roman"/>
        </w:rPr>
        <w:t>(4), 442.</w:t>
      </w:r>
      <w:hyperlink r:id="rId22">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https://doi.org/10.24191/ajue.v17i4.16225</w:t>
      </w:r>
    </w:p>
    <w:p w14:paraId="4DCDA94E" w14:textId="4C526810"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 xml:space="preserve">Mustafa, A.S. &amp; Ali, N. (2023).  The Adoption and Use of Moodle in Online Learning: A Systematic Review. Inf. Sci. Lett. 2023, 12, 341–351. Available online: </w:t>
      </w:r>
      <w:r w:rsidR="00ED3B2E">
        <w:rPr>
          <w:rFonts w:ascii="Arial" w:eastAsia="Times New Roman" w:hAnsi="Arial" w:cs="Arial"/>
          <w:sz w:val="18"/>
          <w:szCs w:val="18"/>
        </w:rPr>
        <w:t>https://doi.org/10.18576/isl/120129</w:t>
      </w:r>
    </w:p>
    <w:p w14:paraId="65E4F6E4" w14:textId="50DB4CB1" w:rsidR="00F234CE" w:rsidRDefault="00A551CD">
      <w:pPr>
        <w:spacing w:before="240" w:after="240" w:line="276" w:lineRule="auto"/>
        <w:rPr>
          <w:rFonts w:ascii="Times New Roman" w:eastAsia="Times New Roman" w:hAnsi="Times New Roman" w:cs="Times New Roman"/>
          <w:color w:val="467886"/>
          <w:u w:val="single"/>
        </w:rPr>
      </w:pPr>
      <w:r>
        <w:rPr>
          <w:rFonts w:ascii="Times New Roman" w:eastAsia="Times New Roman" w:hAnsi="Times New Roman" w:cs="Times New Roman"/>
        </w:rPr>
        <w:t xml:space="preserve">New America Foundation. (2024). </w:t>
      </w:r>
      <w:r>
        <w:rPr>
          <w:rFonts w:ascii="Times New Roman" w:eastAsia="Times New Roman" w:hAnsi="Times New Roman" w:cs="Times New Roman"/>
          <w:i/>
        </w:rPr>
        <w:t>Empowering student agency in the digital age: The role of privacy in EdTech</w:t>
      </w:r>
      <w:r>
        <w:rPr>
          <w:rFonts w:ascii="Times New Roman" w:eastAsia="Times New Roman" w:hAnsi="Times New Roman" w:cs="Times New Roman"/>
        </w:rPr>
        <w:t>.</w:t>
      </w:r>
      <w:hyperlink r:id="rId23">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https://www.newamerica.org/education-policy/briefs/empowering-student-agency-in-the-digital-age-the-role-of-privacy-in-edtech/</w:t>
      </w:r>
      <w:r w:rsidR="00ED3B2E">
        <w:rPr>
          <w:rFonts w:ascii="Times New Roman" w:eastAsia="Times New Roman" w:hAnsi="Times New Roman" w:cs="Times New Roman"/>
          <w:color w:val="467886"/>
          <w:u w:val="single"/>
        </w:rPr>
        <w:t xml:space="preserve"> </w:t>
      </w:r>
    </w:p>
    <w:p w14:paraId="1BE075B4" w14:textId="5A5CE631" w:rsidR="00F234CE" w:rsidRDefault="00A551CD">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Page, M.J.; McKenzie, J.E.; Bossuyt, P.M.; Boutron, I.; Hoffmann, T.C.; Mulrow, C.D.; Shamseer, L.; Tetzlaff, J.M.; Moher, D. Updating Guidance for Reporting Systematic Reviews: Development of the PRISMA 2020 Statement. J. Clin. Epidemiol. 2021, 134, 103–112. </w:t>
      </w:r>
      <w:r w:rsidR="00ED3B2E">
        <w:rPr>
          <w:rFonts w:ascii="Arial" w:eastAsia="Times New Roman" w:hAnsi="Arial" w:cs="Arial"/>
          <w:sz w:val="18"/>
          <w:szCs w:val="18"/>
        </w:rPr>
        <w:t>https://doi.org/10.1016/j.jclinepi.2021.02.003</w:t>
      </w:r>
    </w:p>
    <w:p w14:paraId="0D102AF3" w14:textId="2C9EB54C"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t xml:space="preserve">Putra, B., Soeprijanto, &amp; Daryanto (2023). Evaluation of the utilization of the Learning Management System (LMS) using the CIPP model. </w:t>
      </w:r>
      <w:r>
        <w:rPr>
          <w:rFonts w:ascii="Times New Roman" w:eastAsia="Times New Roman" w:hAnsi="Times New Roman" w:cs="Times New Roman"/>
          <w:i/>
        </w:rPr>
        <w:t>Global Synthesis in Education Journal</w:t>
      </w:r>
      <w:r>
        <w:rPr>
          <w:rFonts w:ascii="Times New Roman" w:eastAsia="Times New Roman" w:hAnsi="Times New Roman" w:cs="Times New Roman"/>
        </w:rPr>
        <w:t xml:space="preserve">, </w:t>
      </w:r>
      <w:r>
        <w:rPr>
          <w:rFonts w:ascii="Times New Roman" w:eastAsia="Times New Roman" w:hAnsi="Times New Roman" w:cs="Times New Roman"/>
          <w:i/>
        </w:rPr>
        <w:t>6</w:t>
      </w:r>
      <w:r>
        <w:rPr>
          <w:rFonts w:ascii="Times New Roman" w:eastAsia="Times New Roman" w:hAnsi="Times New Roman" w:cs="Times New Roman"/>
        </w:rPr>
        <w:t>(2), 19–27</w:t>
      </w:r>
      <w:r>
        <w:rPr>
          <w:rFonts w:ascii="Times New Roman" w:eastAsia="Times New Roman" w:hAnsi="Times New Roman" w:cs="Times New Roman"/>
          <w:color w:val="FF0000"/>
        </w:rPr>
        <w:t>.</w:t>
      </w:r>
      <w:hyperlink r:id="rId24">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https://doi.org/10.61667/dp8q3757</w:t>
      </w:r>
    </w:p>
    <w:p w14:paraId="404C545D" w14:textId="36A97227"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Research and Markets. (2025). </w:t>
      </w:r>
      <w:r>
        <w:rPr>
          <w:rFonts w:ascii="Times New Roman" w:eastAsia="Times New Roman" w:hAnsi="Times New Roman" w:cs="Times New Roman"/>
          <w:i/>
        </w:rPr>
        <w:t>Global corporate LMS market analysis and forecast 2024-2030</w:t>
      </w:r>
      <w:r>
        <w:rPr>
          <w:rFonts w:ascii="Times New Roman" w:eastAsia="Times New Roman" w:hAnsi="Times New Roman" w:cs="Times New Roman"/>
        </w:rPr>
        <w:t>.</w:t>
      </w:r>
      <w:hyperlink r:id="rId25">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https://www.researchandmarkets.com/reports/5789654/global-corporate-lms-market-analysis-and-forecast</w:t>
      </w:r>
      <w:r w:rsidR="00ED3B2E">
        <w:rPr>
          <w:rFonts w:ascii="Times New Roman" w:eastAsia="Times New Roman" w:hAnsi="Times New Roman" w:cs="Times New Roman"/>
          <w:color w:val="1155CC"/>
          <w:u w:val="single"/>
        </w:rPr>
        <w:t xml:space="preserve"> </w:t>
      </w:r>
    </w:p>
    <w:p w14:paraId="4B4D5471" w14:textId="7E0B5C38"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Saleem, N.E.&amp;  Al-Saqri, M.N., &amp; Ahmad, S.E. (2016). Acceptance of Moodle as a teaching/learning tool by the faculty of the Department of Information Studies at Sultan Qaboos University, Oman, based on UTAUT. Int. J. Knowl. Content Dev. Technol. 2016, 6, 5–27.</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https://doi.org/10.5865/IJKCT.2016.6.2.005</w:t>
      </w:r>
    </w:p>
    <w:p w14:paraId="70AD5907" w14:textId="37C88B33" w:rsidR="00F234CE" w:rsidRDefault="00A551CD">
      <w:pPr>
        <w:spacing w:before="240" w:after="240"/>
        <w:rPr>
          <w:rFonts w:ascii="Times New Roman" w:eastAsia="Times New Roman" w:hAnsi="Times New Roman" w:cs="Times New Roman"/>
          <w:color w:val="FF0000"/>
        </w:rPr>
      </w:pPr>
      <w:r>
        <w:rPr>
          <w:rFonts w:ascii="Times New Roman" w:eastAsia="Times New Roman" w:hAnsi="Times New Roman" w:cs="Times New Roman"/>
        </w:rPr>
        <w:t xml:space="preserve">Shenkoya, T., &amp; Kim, E. (2023). Sustainability in Higher Education: Digital Transformation of the Fourth Industrial Revolution and its impact on Open Knowledge. </w:t>
      </w:r>
      <w:r>
        <w:rPr>
          <w:rFonts w:ascii="Times New Roman" w:eastAsia="Times New Roman" w:hAnsi="Times New Roman" w:cs="Times New Roman"/>
          <w:i/>
        </w:rPr>
        <w:t>Sustainability</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(3), 2473.</w:t>
      </w:r>
      <w:hyperlink r:id="rId26">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https://doi.org/10.3390/su15032473</w:t>
      </w:r>
      <w:r>
        <w:rPr>
          <w:rFonts w:ascii="Times New Roman" w:eastAsia="Times New Roman" w:hAnsi="Times New Roman" w:cs="Times New Roman"/>
          <w:color w:val="FF0000"/>
        </w:rPr>
        <w:t xml:space="preserve"> </w:t>
      </w:r>
    </w:p>
    <w:p w14:paraId="453D438D" w14:textId="6D5D99D0"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Smith, J. A., Liu, W., &amp; Park, H. (2023). Online proctoring: Privacy invasion or study alleviation? </w:t>
      </w:r>
      <w:r>
        <w:rPr>
          <w:rFonts w:ascii="Times New Roman" w:eastAsia="Times New Roman" w:hAnsi="Times New Roman" w:cs="Times New Roman"/>
          <w:i/>
        </w:rPr>
        <w:t>Proceedings of the 2023 CHI Conference on Human Factors in Computing Systems</w:t>
      </w:r>
      <w:r>
        <w:rPr>
          <w:rFonts w:ascii="Times New Roman" w:eastAsia="Times New Roman" w:hAnsi="Times New Roman" w:cs="Times New Roman"/>
        </w:rPr>
        <w:t>, 1-15.</w:t>
      </w:r>
      <w:hyperlink r:id="rId27">
        <w:r w:rsidR="00F234CE">
          <w:rPr>
            <w:rFonts w:ascii="Times New Roman" w:eastAsia="Times New Roman" w:hAnsi="Times New Roman" w:cs="Times New Roman"/>
            <w:color w:val="FF0000"/>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https://doi.org/10.1145/3544548.3581181</w:t>
      </w:r>
      <w:r w:rsidR="00ED3B2E">
        <w:rPr>
          <w:rFonts w:ascii="Times New Roman" w:eastAsia="Times New Roman" w:hAnsi="Times New Roman" w:cs="Times New Roman"/>
          <w:color w:val="1155CC"/>
          <w:u w:val="single"/>
        </w:rPr>
        <w:t xml:space="preserve"> </w:t>
      </w:r>
    </w:p>
    <w:p w14:paraId="5A55422D" w14:textId="303A8F49" w:rsidR="00F234CE" w:rsidRDefault="00A551CD">
      <w:pPr>
        <w:spacing w:before="240" w:after="240"/>
        <w:rPr>
          <w:rFonts w:ascii="Times New Roman" w:eastAsia="Times New Roman" w:hAnsi="Times New Roman" w:cs="Times New Roman"/>
          <w:color w:val="1155CC"/>
          <w:u w:val="single"/>
        </w:rPr>
      </w:pPr>
      <w:r>
        <w:rPr>
          <w:rFonts w:ascii="Times New Roman" w:eastAsia="Times New Roman" w:hAnsi="Times New Roman" w:cs="Times New Roman"/>
        </w:rPr>
        <w:t xml:space="preserve">Straits Research. (2024). </w:t>
      </w:r>
      <w:r>
        <w:rPr>
          <w:rFonts w:ascii="Times New Roman" w:eastAsia="Times New Roman" w:hAnsi="Times New Roman" w:cs="Times New Roman"/>
          <w:i/>
        </w:rPr>
        <w:t>Global e-learning market outlook 2024-2032</w:t>
      </w:r>
      <w:r>
        <w:rPr>
          <w:rFonts w:ascii="Times New Roman" w:eastAsia="Times New Roman" w:hAnsi="Times New Roman" w:cs="Times New Roman"/>
        </w:rPr>
        <w:t>.</w:t>
      </w:r>
      <w:hyperlink r:id="rId28">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https://straitsresearch.com/report/e-learning-market</w:t>
      </w:r>
      <w:r w:rsidR="00ED3B2E">
        <w:rPr>
          <w:rFonts w:ascii="Times New Roman" w:eastAsia="Times New Roman" w:hAnsi="Times New Roman" w:cs="Times New Roman"/>
          <w:color w:val="1155CC"/>
          <w:u w:val="single"/>
        </w:rPr>
        <w:t xml:space="preserve"> </w:t>
      </w:r>
    </w:p>
    <w:p w14:paraId="13D89CE8" w14:textId="4202EDF5" w:rsidR="00F234CE" w:rsidRDefault="00A551CD">
      <w:pPr>
        <w:spacing w:before="240" w:after="240"/>
        <w:rPr>
          <w:rFonts w:ascii="Times New Roman" w:eastAsia="Times New Roman" w:hAnsi="Times New Roman" w:cs="Times New Roman"/>
        </w:rPr>
      </w:pPr>
      <w:r>
        <w:rPr>
          <w:rFonts w:ascii="Times New Roman" w:eastAsia="Times New Roman" w:hAnsi="Times New Roman" w:cs="Times New Roman"/>
        </w:rPr>
        <w:t>Taamneh, A.; Alsaad, A.; Elrehail, H.; Al-Okaily, M.; Lutfi, A.; Sergio, R.P. ( 2022). University lecturers' acceptance of the Moodle platform in the context of the COVID-19 pandemic. Glob. Knowl. Mem. Commun. 2022.</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https://doi.org/10.1108/GKMC-05-2021-0087</w:t>
      </w:r>
    </w:p>
    <w:p w14:paraId="78081A9D" w14:textId="6E3F73BA" w:rsidR="00F234CE" w:rsidRDefault="00A551CD">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Zuboff, S. (2019). </w:t>
      </w:r>
      <w:r>
        <w:rPr>
          <w:rFonts w:ascii="Times New Roman" w:eastAsia="Times New Roman" w:hAnsi="Times New Roman" w:cs="Times New Roman"/>
          <w:i/>
        </w:rPr>
        <w:t>The age of surveillance capitalism</w:t>
      </w:r>
      <w:r>
        <w:rPr>
          <w:rFonts w:ascii="Times New Roman" w:eastAsia="Times New Roman" w:hAnsi="Times New Roman" w:cs="Times New Roman"/>
        </w:rPr>
        <w:t>. PublicAffairs.</w:t>
      </w:r>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https://www.hachettebookgroup.com/titles/shoshana-zuboff/the-age-of-surveillance-capitalism/9781610395694/</w:t>
      </w:r>
    </w:p>
    <w:p w14:paraId="69F1EAED" w14:textId="28310789" w:rsidR="00F234CE" w:rsidRDefault="00A551CD">
      <w:pPr>
        <w:spacing w:before="240" w:after="240" w:line="276" w:lineRule="auto"/>
        <w:rPr>
          <w:rFonts w:ascii="Times New Roman" w:eastAsia="Times New Roman" w:hAnsi="Times New Roman" w:cs="Times New Roman"/>
          <w:color w:val="FF0000"/>
        </w:rPr>
      </w:pPr>
      <w:r>
        <w:rPr>
          <w:rFonts w:ascii="Times New Roman" w:eastAsia="Times New Roman" w:hAnsi="Times New Roman" w:cs="Times New Roman"/>
        </w:rPr>
        <w:lastRenderedPageBreak/>
        <w:t xml:space="preserve">Zhao, Y. (2018). Analysis of Current Situation of LMS Application in the Digital era. </w:t>
      </w:r>
      <w:r>
        <w:rPr>
          <w:rFonts w:ascii="Times New Roman" w:eastAsia="Times New Roman" w:hAnsi="Times New Roman" w:cs="Times New Roman"/>
          <w:i/>
        </w:rPr>
        <w:t>2018 1st International Cognitive Cities Conference (IC3)</w:t>
      </w:r>
      <w:r>
        <w:rPr>
          <w:rFonts w:ascii="Times New Roman" w:eastAsia="Times New Roman" w:hAnsi="Times New Roman" w:cs="Times New Roman"/>
        </w:rPr>
        <w:t>, 314–316.</w:t>
      </w:r>
      <w:hyperlink r:id="rId29">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r w:rsidR="00ED3B2E">
        <w:rPr>
          <w:rFonts w:ascii="Arial" w:eastAsia="Times New Roman" w:hAnsi="Arial" w:cs="Arial"/>
          <w:sz w:val="18"/>
          <w:szCs w:val="18"/>
        </w:rPr>
        <w:t>https://doi.org/10.1109/IC3.2018.00089.</w:t>
      </w:r>
      <w:r>
        <w:rPr>
          <w:rFonts w:ascii="Times New Roman" w:eastAsia="Times New Roman" w:hAnsi="Times New Roman" w:cs="Times New Roman"/>
          <w:color w:val="FF0000"/>
        </w:rPr>
        <w:t>.</w:t>
      </w:r>
    </w:p>
    <w:p w14:paraId="00CE638A" w14:textId="372B1187" w:rsidR="00F234CE" w:rsidRDefault="00A551CD">
      <w:pPr>
        <w:spacing w:before="240" w:after="240" w:line="276" w:lineRule="auto"/>
      </w:pPr>
      <w:r>
        <w:rPr>
          <w:rFonts w:ascii="Times New Roman" w:eastAsia="Times New Roman" w:hAnsi="Times New Roman" w:cs="Times New Roman"/>
        </w:rPr>
        <w:t xml:space="preserve">Wilson, D. L., &amp; Anderson, P. M. (2023). The impact of learning management system (LMS) usage on students' academic performance and engagement. </w:t>
      </w:r>
      <w:r>
        <w:rPr>
          <w:rFonts w:ascii="Times New Roman" w:eastAsia="Times New Roman" w:hAnsi="Times New Roman" w:cs="Times New Roman"/>
          <w:i/>
        </w:rPr>
        <w:t>Journal of Association for Information Communication Technology, Education and Science</w:t>
      </w:r>
      <w:r>
        <w:rPr>
          <w:rFonts w:ascii="Times New Roman" w:eastAsia="Times New Roman" w:hAnsi="Times New Roman" w:cs="Times New Roman"/>
        </w:rPr>
        <w:t xml:space="preserve">, </w:t>
      </w:r>
      <w:r>
        <w:rPr>
          <w:rFonts w:ascii="Times New Roman" w:eastAsia="Times New Roman" w:hAnsi="Times New Roman" w:cs="Times New Roman"/>
          <w:i/>
        </w:rPr>
        <w:t>12</w:t>
      </w:r>
      <w:r>
        <w:rPr>
          <w:rFonts w:ascii="Times New Roman" w:eastAsia="Times New Roman" w:hAnsi="Times New Roman" w:cs="Times New Roman"/>
        </w:rPr>
        <w:t>(2), 1082-1089.</w:t>
      </w:r>
      <w:hyperlink r:id="rId30">
        <w:r w:rsidR="00F234CE">
          <w:rPr>
            <w:rFonts w:ascii="Times New Roman" w:eastAsia="Times New Roman" w:hAnsi="Times New Roman" w:cs="Times New Roman"/>
          </w:rPr>
          <w:t xml:space="preserve"> </w:t>
        </w:r>
      </w:hyperlink>
      <w:r w:rsidR="00ED3B2E" w:rsidRPr="00ED3B2E">
        <w:rPr>
          <w:rFonts w:ascii="Arial" w:eastAsia="Times New Roman" w:hAnsi="Arial" w:cs="Arial"/>
          <w:sz w:val="18"/>
          <w:szCs w:val="18"/>
        </w:rPr>
        <w:t xml:space="preserve"> </w:t>
      </w:r>
      <w:hyperlink r:id="rId31" w:history="1">
        <w:r w:rsidR="00ED3B2E" w:rsidRPr="00294449">
          <w:rPr>
            <w:rStyle w:val="Hyperlink"/>
            <w:rFonts w:ascii="Arial" w:eastAsia="Times New Roman" w:hAnsi="Arial" w:cs="Arial"/>
            <w:sz w:val="18"/>
            <w:szCs w:val="18"/>
          </w:rPr>
          <w:t>https://doi.org/10.18421/TEM122-35</w:t>
        </w:r>
      </w:hyperlink>
      <w:r w:rsidR="00ED3B2E">
        <w:rPr>
          <w:rFonts w:ascii="Arial" w:eastAsia="Times New Roman" w:hAnsi="Arial" w:cs="Arial"/>
          <w:sz w:val="18"/>
          <w:szCs w:val="18"/>
        </w:rPr>
        <w:tab/>
      </w:r>
      <w:r w:rsidR="00ED3B2E">
        <w:t xml:space="preserve"> </w:t>
      </w:r>
    </w:p>
    <w:p w14:paraId="08CD45A8" w14:textId="77777777" w:rsidR="00F234CE" w:rsidRDefault="00F234CE">
      <w:pPr>
        <w:spacing w:before="240" w:after="240" w:line="276" w:lineRule="auto"/>
      </w:pPr>
    </w:p>
    <w:p w14:paraId="45F5EB10" w14:textId="77777777" w:rsidR="00F234CE" w:rsidRDefault="00F234CE">
      <w:pPr>
        <w:spacing w:before="240" w:after="240" w:line="276" w:lineRule="auto"/>
      </w:pPr>
    </w:p>
    <w:p w14:paraId="0647B087" w14:textId="77777777" w:rsidR="00F234CE" w:rsidRDefault="00F234CE">
      <w:pPr>
        <w:spacing w:before="240" w:after="240" w:line="276" w:lineRule="auto"/>
      </w:pPr>
    </w:p>
    <w:p w14:paraId="074BCF76" w14:textId="77777777" w:rsidR="00F234CE" w:rsidRDefault="00F234CE">
      <w:pPr>
        <w:spacing w:before="240" w:after="240" w:line="276" w:lineRule="auto"/>
      </w:pPr>
    </w:p>
    <w:p w14:paraId="02629FFD" w14:textId="77777777" w:rsidR="00F234CE" w:rsidRDefault="00F234CE">
      <w:pPr>
        <w:spacing w:before="240" w:after="240" w:line="276" w:lineRule="auto"/>
        <w:rPr>
          <w:rFonts w:ascii="Times New Roman" w:eastAsia="Times New Roman" w:hAnsi="Times New Roman" w:cs="Times New Roman"/>
        </w:rPr>
      </w:pPr>
    </w:p>
    <w:sectPr w:rsidR="00F234CE">
      <w:headerReference w:type="even" r:id="rId32"/>
      <w:headerReference w:type="default" r:id="rId33"/>
      <w:headerReference w:type="first" r:id="rId3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Ibrahim Libata" w:date="2025-12-24T07:58:00Z" w:initials="DI">
    <w:p w14:paraId="6D9E423F" w14:textId="366F7081" w:rsidR="006529C4" w:rsidRDefault="006529C4">
      <w:pPr>
        <w:pStyle w:val="CommentText"/>
      </w:pPr>
      <w:r>
        <w:rPr>
          <w:rStyle w:val="CommentReference"/>
        </w:rPr>
        <w:annotationRef/>
      </w:r>
      <w:r>
        <w:t>Please include clearly the major findings of your research</w:t>
      </w:r>
    </w:p>
  </w:comment>
  <w:comment w:id="1" w:author="Dr Ibrahim Libata" w:date="2025-12-24T08:02:00Z" w:initials="DI">
    <w:p w14:paraId="6C3BE2E5" w14:textId="39352377" w:rsidR="006529C4" w:rsidRDefault="006529C4">
      <w:pPr>
        <w:pStyle w:val="CommentText"/>
      </w:pPr>
      <w:r>
        <w:rPr>
          <w:rStyle w:val="CommentReference"/>
        </w:rPr>
        <w:annotationRef/>
      </w:r>
      <w:r>
        <w:t xml:space="preserve">Can you provide any source in connection to this assertion? </w:t>
      </w:r>
    </w:p>
  </w:comment>
  <w:comment w:id="2" w:author="Dr Ibrahim Libata" w:date="2025-12-24T08:17:00Z" w:initials="DI">
    <w:p w14:paraId="0411ECA3" w14:textId="50FEAA5F" w:rsidR="005872EA" w:rsidRDefault="005872EA">
      <w:pPr>
        <w:pStyle w:val="CommentText"/>
      </w:pPr>
      <w:r>
        <w:rPr>
          <w:rStyle w:val="CommentReference"/>
        </w:rPr>
        <w:annotationRef/>
      </w:r>
      <w:r>
        <w:t xml:space="preserve">Please avoid </w:t>
      </w:r>
      <w:r w:rsidR="004A2E8E">
        <w:t xml:space="preserve">using short paragraphs </w:t>
      </w:r>
    </w:p>
  </w:comment>
  <w:comment w:id="3" w:author="Dr Ibrahim Libata" w:date="2025-12-24T09:15:00Z" w:initials="DI">
    <w:p w14:paraId="1E2A21EC" w14:textId="5DBFF634" w:rsidR="004A37A3" w:rsidRDefault="004A37A3">
      <w:pPr>
        <w:pStyle w:val="CommentText"/>
      </w:pPr>
      <w:r>
        <w:rPr>
          <w:rStyle w:val="CommentReference"/>
        </w:rPr>
        <w:annotationRef/>
      </w:r>
      <w:r>
        <w:t>These t</w:t>
      </w:r>
      <w:r w:rsidRPr="004A37A3">
        <w:t xml:space="preserve">erms such as </w:t>
      </w:r>
      <w:r w:rsidRPr="004A37A3">
        <w:rPr>
          <w:i/>
          <w:iCs/>
        </w:rPr>
        <w:t>student agency</w:t>
      </w:r>
      <w:r w:rsidRPr="004A37A3">
        <w:t xml:space="preserve">, </w:t>
      </w:r>
      <w:r w:rsidRPr="004A37A3">
        <w:rPr>
          <w:i/>
          <w:iCs/>
        </w:rPr>
        <w:t>authentic learning</w:t>
      </w:r>
      <w:r w:rsidRPr="004A37A3">
        <w:t xml:space="preserve">, and </w:t>
      </w:r>
      <w:r w:rsidRPr="004A37A3">
        <w:rPr>
          <w:i/>
          <w:iCs/>
        </w:rPr>
        <w:t>surveillance</w:t>
      </w:r>
      <w:r w:rsidRPr="004A37A3">
        <w:t xml:space="preserve"> should be </w:t>
      </w:r>
      <w:r>
        <w:t>clearly</w:t>
      </w:r>
      <w:r w:rsidRPr="004A37A3">
        <w:t xml:space="preserve"> defined early in the </w:t>
      </w:r>
      <w:r>
        <w:t xml:space="preserve">background of the this </w:t>
      </w:r>
      <w:r w:rsidRPr="004A37A3">
        <w:t>paper</w:t>
      </w:r>
    </w:p>
  </w:comment>
  <w:comment w:id="4" w:author="Dr Ibrahim Libata" w:date="2025-12-24T08:20:00Z" w:initials="DI">
    <w:p w14:paraId="42E49C57" w14:textId="40CBF12B" w:rsidR="004A2E8E" w:rsidRDefault="004A2E8E">
      <w:pPr>
        <w:pStyle w:val="CommentText"/>
      </w:pPr>
      <w:r>
        <w:rPr>
          <w:rStyle w:val="CommentReference"/>
        </w:rPr>
        <w:annotationRef/>
      </w:r>
      <w:r>
        <w:t xml:space="preserve">Please ensure APA style </w:t>
      </w:r>
    </w:p>
  </w:comment>
  <w:comment w:id="5" w:author="Dr Ibrahim Libata" w:date="2025-12-24T08:30:00Z" w:initials="DI">
    <w:p w14:paraId="2C38A4BB" w14:textId="0EB3149A" w:rsidR="00DF0B00" w:rsidRDefault="00DF0B00">
      <w:pPr>
        <w:pStyle w:val="CommentText"/>
      </w:pPr>
      <w:r>
        <w:rPr>
          <w:rStyle w:val="CommentReference"/>
        </w:rPr>
        <w:annotationRef/>
      </w:r>
      <w:r>
        <w:t xml:space="preserve">Can you provide a diagram showing database searches </w:t>
      </w:r>
    </w:p>
  </w:comment>
  <w:comment w:id="6" w:author="Dr Ibrahim Libata" w:date="2025-12-24T08:34:00Z" w:initials="DI">
    <w:p w14:paraId="072A1B03" w14:textId="4C40E511" w:rsidR="00DF0B00" w:rsidRDefault="00DF0B00">
      <w:pPr>
        <w:pStyle w:val="CommentText"/>
      </w:pPr>
      <w:r>
        <w:rPr>
          <w:rStyle w:val="CommentReference"/>
        </w:rPr>
        <w:annotationRef/>
      </w:r>
      <w:r>
        <w:t xml:space="preserve">What was your justification for limiting your review to 28 research works? Was it due to time constraints or what? </w:t>
      </w:r>
    </w:p>
  </w:comment>
  <w:comment w:id="7" w:author="Dr Ibrahim Libata" w:date="2025-12-24T08:23:00Z" w:initials="DI">
    <w:p w14:paraId="6AEFD83C" w14:textId="609C24E3" w:rsidR="004A2E8E" w:rsidRDefault="004A2E8E">
      <w:pPr>
        <w:pStyle w:val="CommentText"/>
      </w:pPr>
      <w:r>
        <w:rPr>
          <w:rStyle w:val="CommentReference"/>
        </w:rPr>
        <w:annotationRef/>
      </w:r>
      <w:r>
        <w:t>Please insure APA style of reference</w:t>
      </w:r>
    </w:p>
  </w:comment>
  <w:comment w:id="8" w:author="Dr Ibrahim Libata" w:date="2025-12-24T08:24:00Z" w:initials="DI">
    <w:p w14:paraId="613FF2E7" w14:textId="030E59D8" w:rsidR="004A2E8E" w:rsidRDefault="004A2E8E">
      <w:pPr>
        <w:pStyle w:val="CommentText"/>
      </w:pPr>
      <w:r>
        <w:rPr>
          <w:rStyle w:val="CommentReference"/>
        </w:rPr>
        <w:annotationRef/>
      </w:r>
      <w:r>
        <w:t xml:space="preserve">Where is the table 1? </w:t>
      </w:r>
    </w:p>
  </w:comment>
  <w:comment w:id="9" w:author="Dr Ibrahim Libata" w:date="2025-12-24T08:25:00Z" w:initials="DI">
    <w:p w14:paraId="58995915" w14:textId="35021EFE" w:rsidR="004A2E8E" w:rsidRDefault="004A2E8E">
      <w:pPr>
        <w:pStyle w:val="CommentText"/>
      </w:pPr>
      <w:r>
        <w:rPr>
          <w:rStyle w:val="CommentReference"/>
        </w:rPr>
        <w:annotationRef/>
      </w:r>
      <w:r>
        <w:t>Ensure APA table</w:t>
      </w:r>
    </w:p>
  </w:comment>
  <w:comment w:id="10" w:author="Dr Ibrahim Libata" w:date="2025-12-24T08:26:00Z" w:initials="DI">
    <w:p w14:paraId="2D6BCD1E" w14:textId="130B89DB" w:rsidR="004A2E8E" w:rsidRDefault="004A2E8E">
      <w:pPr>
        <w:pStyle w:val="CommentText"/>
      </w:pPr>
      <w:r>
        <w:rPr>
          <w:rStyle w:val="CommentReference"/>
        </w:rPr>
        <w:annotationRef/>
      </w:r>
      <w:r>
        <w:t>Source ?</w:t>
      </w:r>
    </w:p>
  </w:comment>
  <w:comment w:id="11" w:author="Dr Ibrahim Libata" w:date="2025-12-24T08:37:00Z" w:initials="DI">
    <w:p w14:paraId="70A09969" w14:textId="0F15DD34" w:rsidR="00DF0B00" w:rsidRDefault="00DF0B00">
      <w:pPr>
        <w:pStyle w:val="CommentText"/>
      </w:pPr>
      <w:r>
        <w:rPr>
          <w:rStyle w:val="CommentReference"/>
        </w:rPr>
        <w:annotationRef/>
      </w:r>
      <w:r>
        <w:t>Provide citations for claim empirical data</w:t>
      </w:r>
      <w:r w:rsidR="005A0B4E">
        <w:t xml:space="preserve"> to all the tables</w:t>
      </w:r>
    </w:p>
  </w:comment>
  <w:comment w:id="12" w:author="Dr Ibrahim Libata" w:date="2025-12-24T08:41:00Z" w:initials="DI">
    <w:p w14:paraId="54D3C5B8" w14:textId="1E71258E" w:rsidR="005A0B4E" w:rsidRDefault="005A0B4E">
      <w:pPr>
        <w:pStyle w:val="CommentText"/>
      </w:pPr>
      <w:r>
        <w:rPr>
          <w:rStyle w:val="CommentReference"/>
        </w:rPr>
        <w:annotationRef/>
      </w:r>
      <w:r>
        <w:t>Relate your discussion of findings to the existing studies. How is your finding aligned or go contrary to previous studies ?</w:t>
      </w:r>
    </w:p>
  </w:comment>
  <w:comment w:id="40" w:author="Dr Ibrahim Libata" w:date="2025-12-24T08:45:00Z" w:initials="DI">
    <w:p w14:paraId="75BA70B4" w14:textId="363EB8DC" w:rsidR="005A0B4E" w:rsidRDefault="005A0B4E">
      <w:pPr>
        <w:pStyle w:val="CommentText"/>
      </w:pPr>
      <w:r>
        <w:rPr>
          <w:rStyle w:val="CommentReference"/>
        </w:rPr>
        <w:annotationRef/>
      </w:r>
      <w:r>
        <w:t>Ensure APA and harmonize your fonts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9E423F" w15:done="0"/>
  <w15:commentEx w15:paraId="6C3BE2E5" w15:done="0"/>
  <w15:commentEx w15:paraId="0411ECA3" w15:done="0"/>
  <w15:commentEx w15:paraId="1E2A21EC" w15:done="0"/>
  <w15:commentEx w15:paraId="42E49C57" w15:done="0"/>
  <w15:commentEx w15:paraId="2C38A4BB" w15:done="0"/>
  <w15:commentEx w15:paraId="072A1B03" w15:done="0"/>
  <w15:commentEx w15:paraId="6AEFD83C" w15:done="0"/>
  <w15:commentEx w15:paraId="613FF2E7" w15:done="1"/>
  <w15:commentEx w15:paraId="58995915" w15:done="0"/>
  <w15:commentEx w15:paraId="2D6BCD1E" w15:done="0"/>
  <w15:commentEx w15:paraId="70A09969" w15:done="0"/>
  <w15:commentEx w15:paraId="54D3C5B8" w15:done="0"/>
  <w15:commentEx w15:paraId="75BA7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428160" w16cex:dateUtc="2025-12-24T05:58:00Z"/>
  <w16cex:commentExtensible w16cex:durableId="1628AF96" w16cex:dateUtc="2025-12-24T06:02:00Z"/>
  <w16cex:commentExtensible w16cex:durableId="561BF53C" w16cex:dateUtc="2025-12-24T06:17:00Z"/>
  <w16cex:commentExtensible w16cex:durableId="30A653C9" w16cex:dateUtc="2025-12-24T07:15:00Z"/>
  <w16cex:commentExtensible w16cex:durableId="35CBF46B" w16cex:dateUtc="2025-12-24T06:20:00Z"/>
  <w16cex:commentExtensible w16cex:durableId="22C1A068" w16cex:dateUtc="2025-12-24T06:30:00Z"/>
  <w16cex:commentExtensible w16cex:durableId="4A017B98" w16cex:dateUtc="2025-12-24T06:34:00Z"/>
  <w16cex:commentExtensible w16cex:durableId="676B4EC7" w16cex:dateUtc="2025-12-24T06:23:00Z"/>
  <w16cex:commentExtensible w16cex:durableId="06FE02A7" w16cex:dateUtc="2025-12-24T06:24:00Z"/>
  <w16cex:commentExtensible w16cex:durableId="3CCBCAC1" w16cex:dateUtc="2025-12-24T06:25:00Z"/>
  <w16cex:commentExtensible w16cex:durableId="74EB3DCE" w16cex:dateUtc="2025-12-24T06:26:00Z"/>
  <w16cex:commentExtensible w16cex:durableId="40E4AA2F" w16cex:dateUtc="2025-12-24T06:37:00Z"/>
  <w16cex:commentExtensible w16cex:durableId="67742A9C" w16cex:dateUtc="2025-12-24T06:41:00Z"/>
  <w16cex:commentExtensible w16cex:durableId="02E3912E" w16cex:dateUtc="2025-12-24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E423F" w16cid:durableId="63428160"/>
  <w16cid:commentId w16cid:paraId="6C3BE2E5" w16cid:durableId="1628AF96"/>
  <w16cid:commentId w16cid:paraId="0411ECA3" w16cid:durableId="561BF53C"/>
  <w16cid:commentId w16cid:paraId="1E2A21EC" w16cid:durableId="30A653C9"/>
  <w16cid:commentId w16cid:paraId="42E49C57" w16cid:durableId="35CBF46B"/>
  <w16cid:commentId w16cid:paraId="2C38A4BB" w16cid:durableId="22C1A068"/>
  <w16cid:commentId w16cid:paraId="072A1B03" w16cid:durableId="4A017B98"/>
  <w16cid:commentId w16cid:paraId="6AEFD83C" w16cid:durableId="676B4EC7"/>
  <w16cid:commentId w16cid:paraId="613FF2E7" w16cid:durableId="06FE02A7"/>
  <w16cid:commentId w16cid:paraId="58995915" w16cid:durableId="3CCBCAC1"/>
  <w16cid:commentId w16cid:paraId="2D6BCD1E" w16cid:durableId="74EB3DCE"/>
  <w16cid:commentId w16cid:paraId="70A09969" w16cid:durableId="40E4AA2F"/>
  <w16cid:commentId w16cid:paraId="54D3C5B8" w16cid:durableId="67742A9C"/>
  <w16cid:commentId w16cid:paraId="75BA70B4" w16cid:durableId="02E39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7C0E" w14:textId="77777777" w:rsidR="00FA212F" w:rsidRDefault="00FA212F">
      <w:pPr>
        <w:spacing w:after="0" w:line="240" w:lineRule="auto"/>
      </w:pPr>
      <w:r>
        <w:separator/>
      </w:r>
    </w:p>
  </w:endnote>
  <w:endnote w:type="continuationSeparator" w:id="0">
    <w:p w14:paraId="2138BDEA" w14:textId="77777777" w:rsidR="00FA212F" w:rsidRDefault="00FA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60DA5097-508A-471C-B929-C889927992FF}"/>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A3D46A53-1E9C-41DF-BDB3-0F41D5A77D1E}"/>
    <w:embedBold r:id="rId3" w:fontKey="{34491AFC-3FC8-480D-B064-2CD6342CE80F}"/>
    <w:embedItalic r:id="rId4" w:fontKey="{54F8856A-48D5-4501-B7D3-4FF4C1276EB7}"/>
  </w:font>
  <w:font w:name="Play">
    <w:charset w:val="00"/>
    <w:family w:val="auto"/>
    <w:pitch w:val="default"/>
    <w:embedRegular r:id="rId5" w:fontKey="{F03CD0E6-0A3A-4E3B-8EB5-D587B84CF0B4}"/>
  </w:font>
  <w:font w:name="Aptos Display">
    <w:charset w:val="00"/>
    <w:family w:val="swiss"/>
    <w:pitch w:val="variable"/>
    <w:sig w:usb0="20000287" w:usb1="00000003" w:usb2="00000000" w:usb3="00000000" w:csb0="0000019F" w:csb1="00000000"/>
    <w:embedRegular r:id="rId6" w:fontKey="{A14D8E0F-9EFA-48C7-AE0A-563C79127AC2}"/>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E8ED" w14:textId="77777777" w:rsidR="00FA212F" w:rsidRDefault="00FA212F">
      <w:pPr>
        <w:spacing w:after="0" w:line="240" w:lineRule="auto"/>
      </w:pPr>
      <w:r>
        <w:separator/>
      </w:r>
    </w:p>
  </w:footnote>
  <w:footnote w:type="continuationSeparator" w:id="0">
    <w:p w14:paraId="50C33966" w14:textId="77777777" w:rsidR="00FA212F" w:rsidRDefault="00FA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B40" w14:textId="537B6A67" w:rsidR="00B122C3" w:rsidRDefault="00000000">
    <w:pPr>
      <w:pStyle w:val="Header"/>
    </w:pPr>
    <w:r>
      <w:rPr>
        <w:noProof/>
      </w:rPr>
      <w:pict w14:anchorId="6F8EC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2775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C880" w14:textId="246DD070" w:rsidR="00F234CE" w:rsidRDefault="00000000">
    <w:pPr>
      <w:pBdr>
        <w:top w:val="nil"/>
        <w:left w:val="nil"/>
        <w:bottom w:val="nil"/>
        <w:right w:val="nil"/>
        <w:between w:val="nil"/>
      </w:pBdr>
      <w:tabs>
        <w:tab w:val="center" w:pos="4680"/>
        <w:tab w:val="right" w:pos="9360"/>
      </w:tabs>
      <w:spacing w:after="0" w:line="240" w:lineRule="auto"/>
      <w:jc w:val="right"/>
      <w:rPr>
        <w:color w:val="000000"/>
      </w:rPr>
    </w:pPr>
    <w:r>
      <w:rPr>
        <w:noProof/>
      </w:rPr>
      <w:pict w14:anchorId="0A958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27752"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r w:rsidR="00A551CD">
      <w:rPr>
        <w:color w:val="000000"/>
      </w:rPr>
      <w:fldChar w:fldCharType="begin"/>
    </w:r>
    <w:r w:rsidR="00A551CD">
      <w:rPr>
        <w:color w:val="000000"/>
      </w:rPr>
      <w:instrText>PAGE</w:instrText>
    </w:r>
    <w:r w:rsidR="00A551CD">
      <w:rPr>
        <w:color w:val="000000"/>
      </w:rPr>
      <w:fldChar w:fldCharType="separate"/>
    </w:r>
    <w:r w:rsidR="00FA2FB2">
      <w:rPr>
        <w:noProof/>
        <w:color w:val="000000"/>
      </w:rPr>
      <w:t>1</w:t>
    </w:r>
    <w:r w:rsidR="00A551CD">
      <w:rPr>
        <w:color w:val="000000"/>
      </w:rPr>
      <w:fldChar w:fldCharType="end"/>
    </w:r>
  </w:p>
  <w:p w14:paraId="0BD8C5D9" w14:textId="77777777" w:rsidR="00F234CE" w:rsidRDefault="00F234C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EDCD" w14:textId="6A1F1347" w:rsidR="00B122C3" w:rsidRDefault="00000000">
    <w:pPr>
      <w:pStyle w:val="Header"/>
    </w:pPr>
    <w:r>
      <w:rPr>
        <w:noProof/>
      </w:rPr>
      <w:pict w14:anchorId="59108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2775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35C8"/>
    <w:multiLevelType w:val="hybridMultilevel"/>
    <w:tmpl w:val="BF52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4401B"/>
    <w:multiLevelType w:val="multilevel"/>
    <w:tmpl w:val="4CC44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32326994">
    <w:abstractNumId w:val="1"/>
  </w:num>
  <w:num w:numId="2" w16cid:durableId="979386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Ibrahim Libata">
    <w15:presenceInfo w15:providerId="Windows Live" w15:userId="fcf34e87baebc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CE"/>
    <w:rsid w:val="000705F8"/>
    <w:rsid w:val="000C759B"/>
    <w:rsid w:val="000E79C4"/>
    <w:rsid w:val="0015208E"/>
    <w:rsid w:val="00277639"/>
    <w:rsid w:val="002F2B8E"/>
    <w:rsid w:val="00322AB6"/>
    <w:rsid w:val="003B3DDD"/>
    <w:rsid w:val="003F203A"/>
    <w:rsid w:val="00440996"/>
    <w:rsid w:val="004A2E8E"/>
    <w:rsid w:val="004A37A3"/>
    <w:rsid w:val="00533DC0"/>
    <w:rsid w:val="005872EA"/>
    <w:rsid w:val="005A0B4E"/>
    <w:rsid w:val="005A64F8"/>
    <w:rsid w:val="006529C4"/>
    <w:rsid w:val="00680909"/>
    <w:rsid w:val="007A64D9"/>
    <w:rsid w:val="00846C3E"/>
    <w:rsid w:val="00867FA6"/>
    <w:rsid w:val="00884751"/>
    <w:rsid w:val="009F03C6"/>
    <w:rsid w:val="00A551CD"/>
    <w:rsid w:val="00B02CF0"/>
    <w:rsid w:val="00B122C3"/>
    <w:rsid w:val="00C10D36"/>
    <w:rsid w:val="00DF0B00"/>
    <w:rsid w:val="00E572B7"/>
    <w:rsid w:val="00ED3B2E"/>
    <w:rsid w:val="00F234CE"/>
    <w:rsid w:val="00FA212F"/>
    <w:rsid w:val="00FA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95A09"/>
  <w15:docId w15:val="{DA3E1728-2F79-454C-8ED0-47EFC046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16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16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142"/>
    <w:rPr>
      <w:rFonts w:eastAsiaTheme="majorEastAsia" w:cstheme="majorBidi"/>
      <w:color w:val="272727" w:themeColor="text1" w:themeTint="D8"/>
    </w:rPr>
  </w:style>
  <w:style w:type="character" w:customStyle="1" w:styleId="TitleChar">
    <w:name w:val="Title Char"/>
    <w:basedOn w:val="DefaultParagraphFont"/>
    <w:link w:val="Title"/>
    <w:uiPriority w:val="10"/>
    <w:rsid w:val="0071614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16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142"/>
    <w:pPr>
      <w:spacing w:before="160"/>
      <w:jc w:val="center"/>
    </w:pPr>
    <w:rPr>
      <w:i/>
      <w:iCs/>
      <w:color w:val="404040" w:themeColor="text1" w:themeTint="BF"/>
    </w:rPr>
  </w:style>
  <w:style w:type="character" w:customStyle="1" w:styleId="QuoteChar">
    <w:name w:val="Quote Char"/>
    <w:basedOn w:val="DefaultParagraphFont"/>
    <w:link w:val="Quote"/>
    <w:uiPriority w:val="29"/>
    <w:rsid w:val="00716142"/>
    <w:rPr>
      <w:i/>
      <w:iCs/>
      <w:color w:val="404040" w:themeColor="text1" w:themeTint="BF"/>
    </w:rPr>
  </w:style>
  <w:style w:type="paragraph" w:styleId="ListParagraph">
    <w:name w:val="List Paragraph"/>
    <w:basedOn w:val="Normal"/>
    <w:uiPriority w:val="34"/>
    <w:qFormat/>
    <w:rsid w:val="00716142"/>
    <w:pPr>
      <w:ind w:left="720"/>
      <w:contextualSpacing/>
    </w:pPr>
  </w:style>
  <w:style w:type="character" w:styleId="IntenseEmphasis">
    <w:name w:val="Intense Emphasis"/>
    <w:basedOn w:val="DefaultParagraphFont"/>
    <w:uiPriority w:val="21"/>
    <w:qFormat/>
    <w:rsid w:val="00716142"/>
    <w:rPr>
      <w:i/>
      <w:iCs/>
      <w:color w:val="0F4761" w:themeColor="accent1" w:themeShade="BF"/>
    </w:rPr>
  </w:style>
  <w:style w:type="paragraph" w:styleId="IntenseQuote">
    <w:name w:val="Intense Quote"/>
    <w:basedOn w:val="Normal"/>
    <w:next w:val="Normal"/>
    <w:link w:val="IntenseQuoteChar"/>
    <w:uiPriority w:val="30"/>
    <w:qFormat/>
    <w:rsid w:val="0071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142"/>
    <w:rPr>
      <w:i/>
      <w:iCs/>
      <w:color w:val="0F4761" w:themeColor="accent1" w:themeShade="BF"/>
    </w:rPr>
  </w:style>
  <w:style w:type="character" w:styleId="IntenseReference">
    <w:name w:val="Intense Reference"/>
    <w:basedOn w:val="DefaultParagraphFont"/>
    <w:uiPriority w:val="32"/>
    <w:qFormat/>
    <w:rsid w:val="00716142"/>
    <w:rPr>
      <w:b/>
      <w:bCs/>
      <w:smallCaps/>
      <w:color w:val="0F4761" w:themeColor="accent1" w:themeShade="BF"/>
      <w:spacing w:val="5"/>
    </w:rPr>
  </w:style>
  <w:style w:type="character" w:styleId="Hyperlink">
    <w:name w:val="Hyperlink"/>
    <w:basedOn w:val="DefaultParagraphFont"/>
    <w:uiPriority w:val="99"/>
    <w:unhideWhenUsed/>
    <w:rsid w:val="00716142"/>
    <w:rPr>
      <w:color w:val="467886" w:themeColor="hyperlink"/>
      <w:u w:val="single"/>
    </w:rPr>
  </w:style>
  <w:style w:type="character" w:styleId="UnresolvedMention">
    <w:name w:val="Unresolved Mention"/>
    <w:basedOn w:val="DefaultParagraphFont"/>
    <w:uiPriority w:val="99"/>
    <w:semiHidden/>
    <w:unhideWhenUsed/>
    <w:rsid w:val="00716142"/>
    <w:rPr>
      <w:color w:val="605E5C"/>
      <w:shd w:val="clear" w:color="auto" w:fill="E1DFDD"/>
    </w:rPr>
  </w:style>
  <w:style w:type="paragraph" w:styleId="Header">
    <w:name w:val="header"/>
    <w:basedOn w:val="Normal"/>
    <w:link w:val="HeaderChar"/>
    <w:uiPriority w:val="99"/>
    <w:unhideWhenUsed/>
    <w:rsid w:val="0093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0D"/>
  </w:style>
  <w:style w:type="paragraph" w:styleId="Footer">
    <w:name w:val="footer"/>
    <w:basedOn w:val="Normal"/>
    <w:link w:val="FooterChar"/>
    <w:uiPriority w:val="99"/>
    <w:unhideWhenUsed/>
    <w:rsid w:val="0093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0D"/>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0705F8"/>
    <w:pPr>
      <w:spacing w:after="0" w:line="240" w:lineRule="auto"/>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9C4"/>
    <w:rPr>
      <w:sz w:val="16"/>
      <w:szCs w:val="16"/>
    </w:rPr>
  </w:style>
  <w:style w:type="paragraph" w:styleId="CommentText">
    <w:name w:val="annotation text"/>
    <w:basedOn w:val="Normal"/>
    <w:link w:val="CommentTextChar"/>
    <w:uiPriority w:val="99"/>
    <w:semiHidden/>
    <w:unhideWhenUsed/>
    <w:rsid w:val="006529C4"/>
    <w:pPr>
      <w:spacing w:line="240" w:lineRule="auto"/>
    </w:pPr>
    <w:rPr>
      <w:sz w:val="20"/>
      <w:szCs w:val="20"/>
    </w:rPr>
  </w:style>
  <w:style w:type="character" w:customStyle="1" w:styleId="CommentTextChar">
    <w:name w:val="Comment Text Char"/>
    <w:basedOn w:val="DefaultParagraphFont"/>
    <w:link w:val="CommentText"/>
    <w:uiPriority w:val="99"/>
    <w:semiHidden/>
    <w:rsid w:val="006529C4"/>
    <w:rPr>
      <w:sz w:val="20"/>
      <w:szCs w:val="20"/>
    </w:rPr>
  </w:style>
  <w:style w:type="paragraph" w:styleId="CommentSubject">
    <w:name w:val="annotation subject"/>
    <w:basedOn w:val="CommentText"/>
    <w:next w:val="CommentText"/>
    <w:link w:val="CommentSubjectChar"/>
    <w:uiPriority w:val="99"/>
    <w:semiHidden/>
    <w:unhideWhenUsed/>
    <w:rsid w:val="006529C4"/>
    <w:rPr>
      <w:b/>
      <w:bCs/>
    </w:rPr>
  </w:style>
  <w:style w:type="character" w:customStyle="1" w:styleId="CommentSubjectChar">
    <w:name w:val="Comment Subject Char"/>
    <w:basedOn w:val="CommentTextChar"/>
    <w:link w:val="CommentSubject"/>
    <w:uiPriority w:val="99"/>
    <w:semiHidden/>
    <w:rsid w:val="00652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4105/j.kmel.2018.10.018" TargetMode="External"/><Relationship Id="rId18" Type="http://schemas.openxmlformats.org/officeDocument/2006/relationships/hyperlink" Target="https://www.instructure.com/canvas/features/analytics" TargetMode="External"/><Relationship Id="rId26" Type="http://schemas.openxmlformats.org/officeDocument/2006/relationships/hyperlink" Target="https://doi.org/10.3390/su15032473" TargetMode="External"/><Relationship Id="rId21" Type="http://schemas.openxmlformats.org/officeDocument/2006/relationships/hyperlink" Target="https://doi.org/10.1111/bjet.1309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vice.com/en/article/bv8a58/students-are-rebelling-against-eye-tracking-exam-surveillance-tools" TargetMode="External"/><Relationship Id="rId17" Type="http://schemas.openxmlformats.org/officeDocument/2006/relationships/hyperlink" Target="https://www.holoniq.com/notes/2025-global-education-outlook" TargetMode="External"/><Relationship Id="rId25" Type="http://schemas.openxmlformats.org/officeDocument/2006/relationships/hyperlink" Target="https://www.researchandmarkets.com/reports/5789654/global-corporate-lms-market-analysis-and-forecas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07/s40692-024-00336-9" TargetMode="External"/><Relationship Id="rId20" Type="http://schemas.openxmlformats.org/officeDocument/2006/relationships/hyperlink" Target="https://ewa.org/educated-reporter/what-to-know-about-student-data-privacy-in-2024" TargetMode="External"/><Relationship Id="rId29" Type="http://schemas.openxmlformats.org/officeDocument/2006/relationships/hyperlink" Target="https://doi.org/10.1109/IC3.2018.00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61667/dp8q3757"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tainer-news.com/online-proctoring-and-student-privacy-balancing-security-with-ethical-concerns/" TargetMode="External"/><Relationship Id="rId23" Type="http://schemas.openxmlformats.org/officeDocument/2006/relationships/hyperlink" Target="https://www.newamerica.org/education-policy/briefs/empowering-student-agency-in-the-digital-age-the-role-of-privacy-in-edtech/" TargetMode="External"/><Relationship Id="rId28" Type="http://schemas.openxmlformats.org/officeDocument/2006/relationships/hyperlink" Target="https://straitsresearch.com/report/e-learning-market"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4018/978-1-4666-3930-0" TargetMode="External"/><Relationship Id="rId31" Type="http://schemas.openxmlformats.org/officeDocument/2006/relationships/hyperlink" Target="https://doi.org/10.18421/TEM122-3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help.blackboard.com" TargetMode="External"/><Relationship Id="rId22" Type="http://schemas.openxmlformats.org/officeDocument/2006/relationships/hyperlink" Target="https://doi.org/10.24191/ajue.v17i4.16225" TargetMode="External"/><Relationship Id="rId27" Type="http://schemas.openxmlformats.org/officeDocument/2006/relationships/hyperlink" Target="https://doi.org/10.1145/3544548.3581181" TargetMode="External"/><Relationship Id="rId30" Type="http://schemas.openxmlformats.org/officeDocument/2006/relationships/hyperlink" Target="https://doi.org/10.18421/TEM122-35"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z07tevZ/GPP6pFP/EoDpXLFg==">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9781</Words>
  <Characters>55753</Characters>
  <Application>Microsoft Office Word</Application>
  <DocSecurity>0</DocSecurity>
  <Lines>464</Lines>
  <Paragraphs>130</Paragraphs>
  <ScaleCrop>false</ScaleCrop>
  <Company/>
  <LinksUpToDate>false</LinksUpToDate>
  <CharactersWithSpaces>65404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 Zaky</dc:creator>
  <cp:lastModifiedBy>Dr Ibrahim Libata</cp:lastModifiedBy>
  <cp:revision>17</cp:revision>
  <dcterms:created xsi:type="dcterms:W3CDTF">2025-07-17T19:56:00Z</dcterms:created>
  <dcterms:modified xsi:type="dcterms:W3CDTF">2025-12-24T07:17:00Z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dd6cd2a1-595c-4394-b850-a600d2166f1b</vt:lpwstr>
  </property>
</Properties>
</file>