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A5CE" w14:textId="77777777" w:rsidR="00720E87" w:rsidRPr="008321C0" w:rsidRDefault="00A33B8D" w:rsidP="008321C0">
      <w:pPr>
        <w:pStyle w:val="BodyText"/>
        <w:spacing w:before="0" w:after="0" w:line="360" w:lineRule="auto"/>
        <w:jc w:val="right"/>
        <w:rPr>
          <w:rFonts w:ascii="Arial" w:hAnsi="Arial" w:cs="Arial"/>
          <w:b/>
          <w:bCs/>
          <w:sz w:val="36"/>
          <w:szCs w:val="36"/>
        </w:rPr>
      </w:pPr>
      <w:bookmarkStart w:id="0" w:name="Xafa801a9d9ce13bb01dfab7a3aba6c4a04dbe43"/>
      <w:bookmarkStart w:id="1" w:name="content"/>
      <w:commentRangeStart w:id="2"/>
      <w:r w:rsidRPr="008321C0">
        <w:rPr>
          <w:rFonts w:ascii="Arial" w:hAnsi="Arial" w:cs="Arial"/>
          <w:b/>
          <w:bCs/>
          <w:sz w:val="36"/>
          <w:szCs w:val="36"/>
        </w:rPr>
        <w:t>Geo</w:t>
      </w:r>
      <w:r w:rsidR="008321C0">
        <w:rPr>
          <w:rFonts w:ascii="Arial" w:hAnsi="Arial" w:cs="Arial"/>
          <w:b/>
          <w:bCs/>
          <w:sz w:val="36"/>
          <w:szCs w:val="36"/>
        </w:rPr>
        <w:t>-</w:t>
      </w:r>
      <w:r w:rsidRPr="008321C0">
        <w:rPr>
          <w:rFonts w:ascii="Arial" w:hAnsi="Arial" w:cs="Arial"/>
          <w:b/>
          <w:bCs/>
          <w:sz w:val="36"/>
          <w:szCs w:val="36"/>
        </w:rPr>
        <w:t>spatial Study of Women’s Education and Child Marriage in Maharashtra</w:t>
      </w:r>
      <w:commentRangeEnd w:id="2"/>
      <w:r w:rsidR="001074BE">
        <w:rPr>
          <w:rStyle w:val="CommentReference"/>
        </w:rPr>
        <w:commentReference w:id="2"/>
      </w:r>
    </w:p>
    <w:p w14:paraId="7E99C000" w14:textId="77777777" w:rsidR="00A33B8D" w:rsidRPr="008321C0" w:rsidRDefault="00A33B8D" w:rsidP="008321C0">
      <w:pPr>
        <w:pStyle w:val="BodyText"/>
        <w:spacing w:before="0" w:after="0" w:line="360" w:lineRule="auto"/>
        <w:jc w:val="center"/>
        <w:rPr>
          <w:rFonts w:ascii="Arial" w:hAnsi="Arial" w:cs="Arial"/>
          <w:b/>
          <w:bCs/>
          <w:sz w:val="20"/>
          <w:szCs w:val="20"/>
        </w:rPr>
      </w:pPr>
    </w:p>
    <w:p w14:paraId="6B67BCFA" w14:textId="77777777" w:rsidR="00AB1C14" w:rsidRDefault="00AB1C14" w:rsidP="008321C0">
      <w:pPr>
        <w:pStyle w:val="NormalWeb"/>
        <w:spacing w:before="0" w:beforeAutospacing="0" w:after="0" w:afterAutospacing="0" w:line="360" w:lineRule="auto"/>
        <w:jc w:val="both"/>
        <w:rPr>
          <w:rFonts w:ascii="Arial" w:hAnsi="Arial" w:cs="Arial"/>
          <w:b/>
          <w:bCs/>
          <w:sz w:val="20"/>
          <w:szCs w:val="20"/>
        </w:rPr>
      </w:pPr>
      <w:bookmarkStart w:id="3" w:name="data-and-methods"/>
    </w:p>
    <w:p w14:paraId="05C9C221" w14:textId="77777777" w:rsidR="00784EF4" w:rsidRPr="008321C0" w:rsidRDefault="00784EF4" w:rsidP="008321C0">
      <w:pPr>
        <w:pStyle w:val="NormalWeb"/>
        <w:spacing w:before="0" w:beforeAutospacing="0" w:after="0" w:afterAutospacing="0" w:line="360" w:lineRule="auto"/>
        <w:jc w:val="both"/>
        <w:rPr>
          <w:rFonts w:ascii="Arial" w:hAnsi="Arial" w:cs="Arial"/>
          <w:b/>
          <w:bCs/>
          <w:sz w:val="20"/>
          <w:szCs w:val="20"/>
        </w:rPr>
      </w:pPr>
    </w:p>
    <w:p w14:paraId="2829107B" w14:textId="77777777" w:rsidR="00D31BEC" w:rsidRPr="008321C0" w:rsidRDefault="00602A87" w:rsidP="008321C0">
      <w:pPr>
        <w:pStyle w:val="NormalWeb"/>
        <w:spacing w:before="0" w:beforeAutospacing="0" w:after="0" w:afterAutospacing="0" w:line="360" w:lineRule="auto"/>
        <w:jc w:val="both"/>
        <w:rPr>
          <w:rFonts w:ascii="Arial" w:hAnsi="Arial" w:cs="Arial"/>
          <w:b/>
          <w:bCs/>
          <w:sz w:val="22"/>
          <w:szCs w:val="22"/>
        </w:rPr>
      </w:pPr>
      <w:r w:rsidRPr="008321C0">
        <w:rPr>
          <w:rFonts w:ascii="Arial" w:hAnsi="Arial" w:cs="Arial"/>
          <w:b/>
          <w:bCs/>
          <w:sz w:val="22"/>
          <w:szCs w:val="22"/>
        </w:rPr>
        <w:t>ABSTRACT</w:t>
      </w:r>
    </w:p>
    <w:p w14:paraId="4A6A03C4"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Aims</w:t>
      </w:r>
    </w:p>
    <w:p w14:paraId="601F622C"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The study aims to examine district-level variations in women’s educational attainment and literacy in Maharashtra and to analyze their relationship with the prevalence of early marriage among women.</w:t>
      </w:r>
    </w:p>
    <w:p w14:paraId="2F06285F"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Study Design</w:t>
      </w:r>
    </w:p>
    <w:p w14:paraId="1A479E0E"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This is a descriptive and analytical cross-sectional study based on secondary data analysis.</w:t>
      </w:r>
    </w:p>
    <w:p w14:paraId="488734E2"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Place and Duration of Study</w:t>
      </w:r>
    </w:p>
    <w:p w14:paraId="0604ABFB"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 xml:space="preserve">The study covers all </w:t>
      </w:r>
      <w:r w:rsidRPr="008321C0">
        <w:rPr>
          <w:rFonts w:ascii="Arial" w:hAnsi="Arial" w:cs="Arial"/>
          <w:b/>
          <w:bCs/>
          <w:sz w:val="20"/>
          <w:szCs w:val="20"/>
        </w:rPr>
        <w:t>36 districts of Maharashtra</w:t>
      </w:r>
      <w:r w:rsidRPr="008321C0">
        <w:rPr>
          <w:rFonts w:ascii="Arial" w:hAnsi="Arial" w:cs="Arial"/>
          <w:sz w:val="20"/>
          <w:szCs w:val="20"/>
        </w:rPr>
        <w:t xml:space="preserve">, using data from the </w:t>
      </w:r>
      <w:r w:rsidRPr="008321C0">
        <w:rPr>
          <w:rFonts w:ascii="Arial" w:hAnsi="Arial" w:cs="Arial"/>
          <w:b/>
          <w:bCs/>
          <w:sz w:val="20"/>
          <w:szCs w:val="20"/>
        </w:rPr>
        <w:t>National Family Health Survey–5 (NFHS-5), conducted during 2019–2021</w:t>
      </w:r>
      <w:r w:rsidRPr="008321C0">
        <w:rPr>
          <w:rFonts w:ascii="Arial" w:hAnsi="Arial" w:cs="Arial"/>
          <w:sz w:val="20"/>
          <w:szCs w:val="20"/>
        </w:rPr>
        <w:t>.</w:t>
      </w:r>
    </w:p>
    <w:p w14:paraId="7C46628B"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Methodology</w:t>
      </w:r>
    </w:p>
    <w:p w14:paraId="333F6EB3" w14:textId="77777777" w:rsidR="00C215F3" w:rsidRDefault="00C215F3" w:rsidP="008321C0">
      <w:pPr>
        <w:pStyle w:val="NormalWeb"/>
        <w:spacing w:before="0" w:beforeAutospacing="0" w:after="0" w:afterAutospacing="0" w:line="360" w:lineRule="auto"/>
        <w:jc w:val="both"/>
        <w:rPr>
          <w:rFonts w:ascii="Arial" w:hAnsi="Arial" w:cs="Arial"/>
          <w:sz w:val="20"/>
          <w:szCs w:val="20"/>
          <w:lang w:val="en"/>
        </w:rPr>
      </w:pPr>
      <w:commentRangeStart w:id="4"/>
      <w:r w:rsidRPr="00C215F3">
        <w:rPr>
          <w:rFonts w:ascii="Arial" w:hAnsi="Arial" w:cs="Arial"/>
          <w:sz w:val="20"/>
          <w:szCs w:val="20"/>
          <w:lang w:val="en"/>
        </w:rPr>
        <w:t>District-level secondary data were extracted from the National Family Health Survey–5 (NFHS-5, 2019–21) for all 36 districts of Maharashtra. The study employed a quantitative, cross-sectional analytical approach. Key indicators analyzed included: female school attendance (age ≥6 years), female literacy (age 15–49), women with ten or more years of schooling (age 15–49), sex ratio (females per 1,000 males), and the proportion of women aged 20–24 married before 18 years. Descriptive statistics were used to examine inter-district variations, while Pearson correlation analysis was applied to assess relationships between women’s educational indicators and child marriage prevalence. This approach is consistent with recent district-level and geospatial studies examining early marriage determinants in India (Raj et al., 2019; BMC Public Health, 2024). Findings were interpreted in comparison with national trends from NFHS-4 and NFHS-5 and supported by existing sociological and demographic literature on education and marriage outcomes (Desai &amp; Vanneman, 2015; UNICEF, 2020).</w:t>
      </w:r>
      <w:commentRangeEnd w:id="4"/>
      <w:r w:rsidR="001074BE">
        <w:rPr>
          <w:rStyle w:val="CommentReference"/>
          <w:rFonts w:asciiTheme="minorHAnsi" w:eastAsiaTheme="minorHAnsi" w:hAnsiTheme="minorHAnsi" w:cstheme="minorBidi"/>
          <w:lang w:val="en" w:bidi="ar-SA"/>
        </w:rPr>
        <w:commentReference w:id="4"/>
      </w:r>
    </w:p>
    <w:p w14:paraId="23869AC7"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Results</w:t>
      </w:r>
    </w:p>
    <w:p w14:paraId="7DEC7E49"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Substantial inter-district disparities were observed. Urbanized districts such as Mumbai, Pune, Nagpur, and Thane reported very high female literacy and secondary schooling levels, along with very low child marriage prevalence. In contrast, districts such as Nandurbar, Parbhani, Bid, and Dhule exhibited low female educational attainment and high rates of early marriage. A strong negative correlation (r ≈ –0.66) was found between women’s completion of ten or more years of schooling and child marriage. Maharashtra’s overall child marriage rate (21.9%) was lower than the national average (23.3%), reflecting the state’s comparatively higher female literacy, though regional gaps remain pronounced.</w:t>
      </w:r>
    </w:p>
    <w:p w14:paraId="74B5A6FC"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Conclusion</w:t>
      </w:r>
    </w:p>
    <w:p w14:paraId="77D4041C"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lastRenderedPageBreak/>
        <w:t>The findings confirm that women’s education—particularly completion of secondary schooling—is a critical determinant in delaying marriage. Districts with higher female literacy and schooling consistently demonstrate lower child marriage prevalence. Strengthening access to quality education in lagging rural, tribal, and Marathwada districts, alongside supportive social and policy interventions, is essential for further reducing child marriage and advancing women’s empowerment in Maharashtra.</w:t>
      </w:r>
    </w:p>
    <w:p w14:paraId="1BAE9C09" w14:textId="77777777" w:rsidR="007A10B3" w:rsidRPr="008321C0" w:rsidRDefault="007A10B3" w:rsidP="008321C0">
      <w:pPr>
        <w:pStyle w:val="BodyText"/>
        <w:spacing w:before="0" w:after="0" w:line="360" w:lineRule="auto"/>
        <w:jc w:val="both"/>
        <w:rPr>
          <w:rFonts w:ascii="Arial" w:hAnsi="Arial" w:cs="Arial"/>
          <w:b/>
          <w:bCs/>
          <w:sz w:val="20"/>
          <w:szCs w:val="20"/>
        </w:rPr>
      </w:pPr>
      <w:r w:rsidRPr="008321C0">
        <w:rPr>
          <w:rFonts w:ascii="Arial" w:hAnsi="Arial" w:cs="Arial"/>
          <w:b/>
          <w:bCs/>
          <w:sz w:val="20"/>
          <w:szCs w:val="20"/>
        </w:rPr>
        <w:t xml:space="preserve">Keywords: </w:t>
      </w:r>
      <w:r w:rsidRPr="008321C0">
        <w:rPr>
          <w:rFonts w:ascii="Arial" w:hAnsi="Arial" w:cs="Arial"/>
          <w:sz w:val="20"/>
          <w:szCs w:val="20"/>
        </w:rPr>
        <w:t>Female Literacy, Women’s Education, Child Marriage, Educational Attainment, Women’s Empowerment</w:t>
      </w:r>
    </w:p>
    <w:p w14:paraId="14A4D479" w14:textId="77777777" w:rsidR="002C4B4F" w:rsidRPr="008321C0" w:rsidRDefault="002C4B4F" w:rsidP="008321C0">
      <w:pPr>
        <w:pStyle w:val="Heading1"/>
        <w:spacing w:before="0" w:after="0" w:line="360" w:lineRule="auto"/>
        <w:jc w:val="both"/>
        <w:rPr>
          <w:rStyle w:val="Strong"/>
          <w:rFonts w:ascii="Arial" w:hAnsi="Arial" w:cs="Arial"/>
          <w:b w:val="0"/>
          <w:bCs w:val="0"/>
          <w:color w:val="auto"/>
          <w:sz w:val="20"/>
          <w:szCs w:val="20"/>
        </w:rPr>
      </w:pPr>
    </w:p>
    <w:p w14:paraId="1277D936" w14:textId="77777777" w:rsidR="000A30E8" w:rsidRPr="008321C0" w:rsidRDefault="006F65ED" w:rsidP="008321C0">
      <w:pPr>
        <w:pStyle w:val="Heading1"/>
        <w:spacing w:before="0" w:after="0" w:line="360" w:lineRule="auto"/>
        <w:jc w:val="both"/>
        <w:rPr>
          <w:rFonts w:ascii="Arial" w:hAnsi="Arial" w:cs="Arial"/>
          <w:color w:val="auto"/>
          <w:sz w:val="22"/>
          <w:szCs w:val="22"/>
        </w:rPr>
      </w:pPr>
      <w:commentRangeStart w:id="5"/>
      <w:r w:rsidRPr="008321C0">
        <w:rPr>
          <w:rStyle w:val="Strong"/>
          <w:rFonts w:ascii="Arial" w:hAnsi="Arial" w:cs="Arial"/>
          <w:color w:val="auto"/>
          <w:sz w:val="22"/>
          <w:szCs w:val="22"/>
        </w:rPr>
        <w:t xml:space="preserve">INTRODUCTION  </w:t>
      </w:r>
      <w:commentRangeEnd w:id="5"/>
      <w:r w:rsidR="001074BE">
        <w:rPr>
          <w:rStyle w:val="CommentReference"/>
          <w:rFonts w:asciiTheme="minorHAnsi" w:eastAsiaTheme="minorHAnsi" w:hAnsiTheme="minorHAnsi" w:cstheme="minorBidi"/>
          <w:color w:val="auto"/>
        </w:rPr>
        <w:commentReference w:id="5"/>
      </w:r>
    </w:p>
    <w:p w14:paraId="1AD4A963" w14:textId="77777777" w:rsidR="002C4B4F" w:rsidRPr="008321C0" w:rsidRDefault="00D46A0C"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lang w:val="en"/>
        </w:rPr>
        <w:t>Female education and literacy are central to improving women’s health, empowerment, and socio-economic development. Evidence from India’s National Family Health Survey (NFHS-5, 2019–21) indicates sustained progress, with the median age at first marriage for women rising to 19.2 years and the proportion married before 18 declining to about 23.3% nationwide (UNFPA, 2021; MoHFW, 2021). A strong inverse relationship exists between education and child marriage: only around 4% of women with higher education marry before 18, compared to nearly 48% of women with no schooling (UNFPA, 2021). District-level analyses further confirm this association, showing a strong negative correlation between completion of ten or more years of schooling and underage marriage (Ashoka University Data Lab, 2022; UNICEF, 2020). Recent multivariate studies demonstrate that women’s educational attainment remains the most significant predictor of delayed marriage even after controlling for wealth, caste, and residence (BMC Public Health, 2024; Raj et al., 2019). Despite overall gains, gender disparities persist, as women’s illiteracy levels in 2020 were comparable to men’s levels several decades earlier (Data for India, 2020; Desai &amp; Vanneman, 2015). Maharashtra performs better than the national average in female literacy (≈84.6%), yet wide inter-district disparities continue to shape unequal outcomes in early marriage and women’s welfare (IIPS, 2021; MoHFW, 2021).</w:t>
      </w:r>
    </w:p>
    <w:p w14:paraId="6B72FA5A" w14:textId="77777777" w:rsidR="00D46A0C" w:rsidRPr="008321C0" w:rsidRDefault="00D46A0C" w:rsidP="008321C0">
      <w:pPr>
        <w:pStyle w:val="NormalWeb"/>
        <w:spacing w:before="0" w:beforeAutospacing="0" w:after="0" w:afterAutospacing="0" w:line="360" w:lineRule="auto"/>
        <w:jc w:val="both"/>
        <w:rPr>
          <w:rFonts w:ascii="Arial" w:hAnsi="Arial" w:cs="Arial"/>
          <w:sz w:val="20"/>
          <w:szCs w:val="20"/>
        </w:rPr>
      </w:pPr>
    </w:p>
    <w:p w14:paraId="34FB4229" w14:textId="77777777" w:rsidR="0044018A" w:rsidRPr="008321C0" w:rsidRDefault="006F65ED"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OBJECTIVE</w:t>
      </w:r>
    </w:p>
    <w:p w14:paraId="2625F54A" w14:textId="77777777" w:rsidR="0044018A" w:rsidRPr="008321C0" w:rsidRDefault="0044018A" w:rsidP="00E373F6">
      <w:pPr>
        <w:pStyle w:val="NormalWeb"/>
        <w:numPr>
          <w:ilvl w:val="0"/>
          <w:numId w:val="4"/>
        </w:numPr>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To analyze district-level variations in women’s educational attainment and literacy in Maharashtra and examine how these factors influence the prevalence of early marriage across the state.</w:t>
      </w:r>
    </w:p>
    <w:p w14:paraId="193FDBEC" w14:textId="77777777" w:rsidR="0044018A" w:rsidRPr="008321C0" w:rsidRDefault="0044018A" w:rsidP="008321C0">
      <w:pPr>
        <w:pStyle w:val="NormalWeb"/>
        <w:spacing w:before="0" w:beforeAutospacing="0" w:after="0" w:afterAutospacing="0" w:line="360" w:lineRule="auto"/>
        <w:jc w:val="both"/>
        <w:rPr>
          <w:rFonts w:ascii="Arial" w:hAnsi="Arial" w:cs="Arial"/>
          <w:sz w:val="20"/>
          <w:szCs w:val="20"/>
        </w:rPr>
      </w:pPr>
    </w:p>
    <w:p w14:paraId="41E49D83" w14:textId="77777777" w:rsidR="00101556" w:rsidRPr="008321C0" w:rsidRDefault="006F65ED" w:rsidP="008321C0">
      <w:pPr>
        <w:pStyle w:val="Heading2"/>
        <w:spacing w:before="0" w:after="0" w:line="360" w:lineRule="auto"/>
        <w:jc w:val="both"/>
        <w:rPr>
          <w:rFonts w:ascii="Arial" w:hAnsi="Arial" w:cs="Arial"/>
          <w:b/>
          <w:bCs/>
          <w:color w:val="auto"/>
          <w:sz w:val="20"/>
          <w:szCs w:val="20"/>
        </w:rPr>
      </w:pPr>
      <w:r w:rsidRPr="008321C0">
        <w:rPr>
          <w:rFonts w:ascii="Arial" w:hAnsi="Arial" w:cs="Arial"/>
          <w:b/>
          <w:bCs/>
          <w:color w:val="auto"/>
          <w:sz w:val="20"/>
          <w:szCs w:val="20"/>
        </w:rPr>
        <w:t>DATA AND METHODS</w:t>
      </w:r>
    </w:p>
    <w:p w14:paraId="7A7B8DF1" w14:textId="77777777" w:rsidR="00C215F3" w:rsidRDefault="00C215F3" w:rsidP="008321C0">
      <w:pPr>
        <w:pStyle w:val="FirstParagraph"/>
        <w:spacing w:before="0" w:after="0" w:line="360" w:lineRule="auto"/>
        <w:jc w:val="both"/>
        <w:rPr>
          <w:rFonts w:ascii="Arial" w:hAnsi="Arial" w:cs="Arial"/>
          <w:sz w:val="20"/>
          <w:szCs w:val="20"/>
        </w:rPr>
      </w:pPr>
      <w:r w:rsidRPr="00C215F3">
        <w:rPr>
          <w:rFonts w:ascii="Arial" w:hAnsi="Arial" w:cs="Arial"/>
          <w:sz w:val="20"/>
          <w:szCs w:val="20"/>
        </w:rPr>
        <w:t xml:space="preserve">District-level secondary data were extracted from the National Family Health Survey–5 (NFHS-5, 2019–21) for all 36 districts of Maharashtra. The study employed a quantitative, cross-sectional analytical approach. Key indicators analyzed included: female school attendance (age ≥6 years), female literacy (age 15–49), women with ten or more years of schooling (age 15–49), sex ratio (females per 1,000 males), and the proportion of women aged 20–24 married before 18 years. Descriptive statistics were used to examine inter-district variations, while Pearson correlation analysis was applied to assess relationships between women’s educational indicators and child marriage prevalence. This approach is consistent with recent </w:t>
      </w:r>
      <w:r w:rsidRPr="00C215F3">
        <w:rPr>
          <w:rFonts w:ascii="Arial" w:hAnsi="Arial" w:cs="Arial"/>
          <w:sz w:val="20"/>
          <w:szCs w:val="20"/>
        </w:rPr>
        <w:lastRenderedPageBreak/>
        <w:t>district-level and geospatial studies examining early marriage determinants in India (Raj et al., 2019; BMC Public Health, 2024). Findings were interpreted in comparison with national trends from NFHS-4 and NFHS-5 and supported by existing sociological and demographic literature on education and marriage outcomes (Desai &amp; Vanneman, 2015; UNICEF, 2020).</w:t>
      </w:r>
    </w:p>
    <w:p w14:paraId="71015135" w14:textId="77777777" w:rsidR="00003A62" w:rsidRPr="008321C0" w:rsidRDefault="00003A62" w:rsidP="008321C0">
      <w:pPr>
        <w:pStyle w:val="BodyText"/>
        <w:spacing w:before="0" w:after="0" w:line="360" w:lineRule="auto"/>
        <w:jc w:val="both"/>
        <w:rPr>
          <w:rFonts w:ascii="Arial" w:hAnsi="Arial" w:cs="Arial"/>
          <w:sz w:val="20"/>
          <w:szCs w:val="20"/>
        </w:rPr>
      </w:pPr>
    </w:p>
    <w:p w14:paraId="5A95456E" w14:textId="77777777" w:rsidR="00101556" w:rsidRDefault="006F65ED" w:rsidP="008321C0">
      <w:pPr>
        <w:pStyle w:val="Heading2"/>
        <w:spacing w:before="0" w:after="0" w:line="360" w:lineRule="auto"/>
        <w:jc w:val="both"/>
        <w:rPr>
          <w:rFonts w:ascii="Arial" w:hAnsi="Arial" w:cs="Arial"/>
          <w:b/>
          <w:bCs/>
          <w:color w:val="auto"/>
          <w:sz w:val="22"/>
          <w:szCs w:val="22"/>
        </w:rPr>
      </w:pPr>
      <w:bookmarkStart w:id="6" w:name="results"/>
      <w:bookmarkEnd w:id="3"/>
      <w:r w:rsidRPr="008321C0">
        <w:rPr>
          <w:rFonts w:ascii="Arial" w:hAnsi="Arial" w:cs="Arial"/>
          <w:b/>
          <w:bCs/>
          <w:color w:val="auto"/>
          <w:sz w:val="22"/>
          <w:szCs w:val="22"/>
        </w:rPr>
        <w:t xml:space="preserve">RESULTS AND DISCUSSION </w:t>
      </w:r>
    </w:p>
    <w:p w14:paraId="2B956B72" w14:textId="77777777" w:rsidR="0054086F" w:rsidRDefault="0054086F" w:rsidP="0054086F">
      <w:pPr>
        <w:pStyle w:val="BodyText"/>
        <w:spacing w:before="0" w:after="0"/>
        <w:jc w:val="center"/>
        <w:rPr>
          <w:rFonts w:ascii="Arial" w:hAnsi="Arial" w:cs="Arial"/>
          <w:b/>
          <w:bCs/>
          <w:sz w:val="20"/>
          <w:szCs w:val="20"/>
        </w:rPr>
      </w:pPr>
      <w:r>
        <w:rPr>
          <w:rFonts w:ascii="Arial" w:hAnsi="Arial" w:cs="Arial"/>
          <w:b/>
          <w:bCs/>
          <w:sz w:val="20"/>
          <w:szCs w:val="20"/>
        </w:rPr>
        <w:t xml:space="preserve">Table 1: </w:t>
      </w:r>
      <w:r w:rsidRPr="00C215F3">
        <w:rPr>
          <w:rFonts w:ascii="Arial" w:hAnsi="Arial" w:cs="Arial"/>
          <w:sz w:val="20"/>
          <w:szCs w:val="20"/>
        </w:rPr>
        <w:t>District-level secondary data the National Family Health Survey–5</w:t>
      </w:r>
    </w:p>
    <w:p w14:paraId="1E47D021" w14:textId="77777777" w:rsidR="0054086F" w:rsidRPr="0054086F" w:rsidRDefault="0054086F" w:rsidP="0054086F">
      <w:pPr>
        <w:pStyle w:val="BodyText"/>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080"/>
        <w:gridCol w:w="1387"/>
        <w:gridCol w:w="1247"/>
        <w:gridCol w:w="1107"/>
        <w:gridCol w:w="1385"/>
        <w:gridCol w:w="1103"/>
      </w:tblGrid>
      <w:tr w:rsidR="006F65ED" w:rsidRPr="008321C0" w14:paraId="20A97A2C" w14:textId="77777777" w:rsidTr="003B42CA">
        <w:trPr>
          <w:trHeight w:val="179"/>
          <w:jc w:val="center"/>
        </w:trPr>
        <w:tc>
          <w:tcPr>
            <w:tcW w:w="374" w:type="pct"/>
            <w:noWrap/>
            <w:vAlign w:val="center"/>
            <w:hideMark/>
          </w:tcPr>
          <w:p w14:paraId="4408420D"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Sr.</w:t>
            </w:r>
          </w:p>
          <w:p w14:paraId="0BDAD22E"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No.</w:t>
            </w:r>
          </w:p>
        </w:tc>
        <w:tc>
          <w:tcPr>
            <w:tcW w:w="1158" w:type="pct"/>
            <w:noWrap/>
            <w:vAlign w:val="center"/>
            <w:hideMark/>
          </w:tcPr>
          <w:p w14:paraId="64BDDFF0"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District</w:t>
            </w:r>
          </w:p>
        </w:tc>
        <w:tc>
          <w:tcPr>
            <w:tcW w:w="772" w:type="pct"/>
            <w:noWrap/>
            <w:vAlign w:val="center"/>
            <w:hideMark/>
          </w:tcPr>
          <w:p w14:paraId="6344E0FD"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Female population age 6 years and above who ever attended school (%)</w:t>
            </w:r>
          </w:p>
        </w:tc>
        <w:tc>
          <w:tcPr>
            <w:tcW w:w="694" w:type="pct"/>
            <w:noWrap/>
            <w:vAlign w:val="center"/>
            <w:hideMark/>
          </w:tcPr>
          <w:p w14:paraId="64782BD7"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Sex ratio of the total population (females per 1,000 males)</w:t>
            </w:r>
          </w:p>
        </w:tc>
        <w:tc>
          <w:tcPr>
            <w:tcW w:w="616" w:type="pct"/>
            <w:noWrap/>
            <w:vAlign w:val="center"/>
            <w:hideMark/>
          </w:tcPr>
          <w:p w14:paraId="7136C074"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with 10 or more years of schooling (%)</w:t>
            </w:r>
          </w:p>
        </w:tc>
        <w:tc>
          <w:tcPr>
            <w:tcW w:w="771" w:type="pct"/>
            <w:noWrap/>
            <w:vAlign w:val="center"/>
            <w:hideMark/>
          </w:tcPr>
          <w:p w14:paraId="5C820AD0"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age 20-24 years married before age 18 years (%)</w:t>
            </w:r>
          </w:p>
        </w:tc>
        <w:tc>
          <w:tcPr>
            <w:tcW w:w="614" w:type="pct"/>
            <w:vAlign w:val="center"/>
          </w:tcPr>
          <w:p w14:paraId="03E5C454"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who are Literate (%)</w:t>
            </w:r>
          </w:p>
        </w:tc>
      </w:tr>
      <w:tr w:rsidR="006F65ED" w:rsidRPr="008321C0" w14:paraId="2FBD897B" w14:textId="77777777" w:rsidTr="003B42CA">
        <w:trPr>
          <w:trHeight w:val="179"/>
          <w:jc w:val="center"/>
        </w:trPr>
        <w:tc>
          <w:tcPr>
            <w:tcW w:w="374" w:type="pct"/>
            <w:noWrap/>
            <w:vAlign w:val="center"/>
            <w:hideMark/>
          </w:tcPr>
          <w:p w14:paraId="20C0B18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w:t>
            </w:r>
          </w:p>
        </w:tc>
        <w:tc>
          <w:tcPr>
            <w:tcW w:w="1158" w:type="pct"/>
            <w:noWrap/>
            <w:vAlign w:val="center"/>
            <w:hideMark/>
          </w:tcPr>
          <w:p w14:paraId="1B67E6E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Ahmednagar</w:t>
            </w:r>
          </w:p>
        </w:tc>
        <w:tc>
          <w:tcPr>
            <w:tcW w:w="772" w:type="pct"/>
            <w:noWrap/>
            <w:vAlign w:val="center"/>
            <w:hideMark/>
          </w:tcPr>
          <w:p w14:paraId="7C11273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77.4</w:t>
            </w:r>
          </w:p>
        </w:tc>
        <w:tc>
          <w:tcPr>
            <w:tcW w:w="694" w:type="pct"/>
            <w:noWrap/>
            <w:vAlign w:val="center"/>
            <w:hideMark/>
          </w:tcPr>
          <w:p w14:paraId="391A753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967</w:t>
            </w:r>
          </w:p>
        </w:tc>
        <w:tc>
          <w:tcPr>
            <w:tcW w:w="616" w:type="pct"/>
            <w:noWrap/>
            <w:vAlign w:val="center"/>
            <w:hideMark/>
          </w:tcPr>
          <w:p w14:paraId="4710CCE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45.7</w:t>
            </w:r>
          </w:p>
        </w:tc>
        <w:tc>
          <w:tcPr>
            <w:tcW w:w="771" w:type="pct"/>
            <w:noWrap/>
            <w:vAlign w:val="center"/>
            <w:hideMark/>
          </w:tcPr>
          <w:p w14:paraId="6A926E2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26.9</w:t>
            </w:r>
          </w:p>
        </w:tc>
        <w:tc>
          <w:tcPr>
            <w:tcW w:w="614" w:type="pct"/>
            <w:vAlign w:val="center"/>
          </w:tcPr>
          <w:p w14:paraId="0E99722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86.20</w:t>
            </w:r>
          </w:p>
        </w:tc>
      </w:tr>
      <w:tr w:rsidR="006F65ED" w:rsidRPr="008321C0" w14:paraId="46E984BE" w14:textId="77777777" w:rsidTr="003B42CA">
        <w:trPr>
          <w:trHeight w:val="179"/>
          <w:jc w:val="center"/>
        </w:trPr>
        <w:tc>
          <w:tcPr>
            <w:tcW w:w="374" w:type="pct"/>
            <w:noWrap/>
            <w:vAlign w:val="center"/>
            <w:hideMark/>
          </w:tcPr>
          <w:p w14:paraId="154FED7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w:t>
            </w:r>
          </w:p>
        </w:tc>
        <w:tc>
          <w:tcPr>
            <w:tcW w:w="1158" w:type="pct"/>
            <w:noWrap/>
            <w:vAlign w:val="center"/>
            <w:hideMark/>
          </w:tcPr>
          <w:p w14:paraId="365556B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Akola</w:t>
            </w:r>
          </w:p>
        </w:tc>
        <w:tc>
          <w:tcPr>
            <w:tcW w:w="772" w:type="pct"/>
            <w:noWrap/>
            <w:vAlign w:val="center"/>
            <w:hideMark/>
          </w:tcPr>
          <w:p w14:paraId="02EC0FE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86.3</w:t>
            </w:r>
          </w:p>
        </w:tc>
        <w:tc>
          <w:tcPr>
            <w:tcW w:w="694" w:type="pct"/>
            <w:noWrap/>
            <w:vAlign w:val="center"/>
            <w:hideMark/>
          </w:tcPr>
          <w:p w14:paraId="352A186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951</w:t>
            </w:r>
          </w:p>
        </w:tc>
        <w:tc>
          <w:tcPr>
            <w:tcW w:w="616" w:type="pct"/>
            <w:noWrap/>
            <w:vAlign w:val="center"/>
            <w:hideMark/>
          </w:tcPr>
          <w:p w14:paraId="2AF8312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52.7</w:t>
            </w:r>
          </w:p>
        </w:tc>
        <w:tc>
          <w:tcPr>
            <w:tcW w:w="771" w:type="pct"/>
            <w:noWrap/>
            <w:vAlign w:val="center"/>
            <w:hideMark/>
          </w:tcPr>
          <w:p w14:paraId="0E831D1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13.5</w:t>
            </w:r>
          </w:p>
        </w:tc>
        <w:tc>
          <w:tcPr>
            <w:tcW w:w="614" w:type="pct"/>
            <w:vAlign w:val="center"/>
          </w:tcPr>
          <w:p w14:paraId="5700708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87.50</w:t>
            </w:r>
          </w:p>
        </w:tc>
      </w:tr>
      <w:tr w:rsidR="006F65ED" w:rsidRPr="008321C0" w14:paraId="1F1FE39E" w14:textId="77777777" w:rsidTr="003B42CA">
        <w:trPr>
          <w:trHeight w:val="179"/>
          <w:jc w:val="center"/>
        </w:trPr>
        <w:tc>
          <w:tcPr>
            <w:tcW w:w="374" w:type="pct"/>
            <w:noWrap/>
            <w:vAlign w:val="center"/>
            <w:hideMark/>
          </w:tcPr>
          <w:p w14:paraId="0796527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w:t>
            </w:r>
          </w:p>
        </w:tc>
        <w:tc>
          <w:tcPr>
            <w:tcW w:w="1158" w:type="pct"/>
            <w:noWrap/>
            <w:vAlign w:val="center"/>
            <w:hideMark/>
          </w:tcPr>
          <w:p w14:paraId="2CE6E9E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Amravati</w:t>
            </w:r>
          </w:p>
        </w:tc>
        <w:tc>
          <w:tcPr>
            <w:tcW w:w="772" w:type="pct"/>
            <w:noWrap/>
            <w:vAlign w:val="center"/>
            <w:hideMark/>
          </w:tcPr>
          <w:p w14:paraId="31A8767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86.2</w:t>
            </w:r>
          </w:p>
        </w:tc>
        <w:tc>
          <w:tcPr>
            <w:tcW w:w="694" w:type="pct"/>
            <w:noWrap/>
            <w:vAlign w:val="center"/>
            <w:hideMark/>
          </w:tcPr>
          <w:p w14:paraId="26D4D55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994</w:t>
            </w:r>
          </w:p>
        </w:tc>
        <w:tc>
          <w:tcPr>
            <w:tcW w:w="616" w:type="pct"/>
            <w:noWrap/>
            <w:vAlign w:val="center"/>
            <w:hideMark/>
          </w:tcPr>
          <w:p w14:paraId="4E097A5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55</w:t>
            </w:r>
          </w:p>
        </w:tc>
        <w:tc>
          <w:tcPr>
            <w:tcW w:w="771" w:type="pct"/>
            <w:noWrap/>
            <w:vAlign w:val="center"/>
            <w:hideMark/>
          </w:tcPr>
          <w:p w14:paraId="5CA65E1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w:t>
            </w:r>
          </w:p>
        </w:tc>
        <w:tc>
          <w:tcPr>
            <w:tcW w:w="614" w:type="pct"/>
            <w:vAlign w:val="center"/>
          </w:tcPr>
          <w:p w14:paraId="7574DBC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87.80</w:t>
            </w:r>
          </w:p>
        </w:tc>
      </w:tr>
      <w:tr w:rsidR="006F65ED" w:rsidRPr="008321C0" w14:paraId="718447E7" w14:textId="77777777" w:rsidTr="003B42CA">
        <w:trPr>
          <w:trHeight w:val="179"/>
          <w:jc w:val="center"/>
        </w:trPr>
        <w:tc>
          <w:tcPr>
            <w:tcW w:w="374" w:type="pct"/>
            <w:noWrap/>
            <w:vAlign w:val="center"/>
            <w:hideMark/>
          </w:tcPr>
          <w:p w14:paraId="256BF02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4</w:t>
            </w:r>
          </w:p>
        </w:tc>
        <w:tc>
          <w:tcPr>
            <w:tcW w:w="1158" w:type="pct"/>
            <w:noWrap/>
            <w:vAlign w:val="center"/>
            <w:hideMark/>
          </w:tcPr>
          <w:p w14:paraId="38E8D425"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Aurangabad</w:t>
            </w:r>
          </w:p>
        </w:tc>
        <w:tc>
          <w:tcPr>
            <w:tcW w:w="772" w:type="pct"/>
            <w:noWrap/>
            <w:vAlign w:val="center"/>
            <w:hideMark/>
          </w:tcPr>
          <w:p w14:paraId="571F705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78.4</w:t>
            </w:r>
          </w:p>
        </w:tc>
        <w:tc>
          <w:tcPr>
            <w:tcW w:w="694" w:type="pct"/>
            <w:noWrap/>
            <w:vAlign w:val="center"/>
            <w:hideMark/>
          </w:tcPr>
          <w:p w14:paraId="6C24F4A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978</w:t>
            </w:r>
          </w:p>
        </w:tc>
        <w:tc>
          <w:tcPr>
            <w:tcW w:w="616" w:type="pct"/>
            <w:noWrap/>
            <w:vAlign w:val="center"/>
            <w:hideMark/>
          </w:tcPr>
          <w:p w14:paraId="60CB402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48.4</w:t>
            </w:r>
          </w:p>
        </w:tc>
        <w:tc>
          <w:tcPr>
            <w:tcW w:w="771" w:type="pct"/>
            <w:noWrap/>
            <w:vAlign w:val="center"/>
            <w:hideMark/>
          </w:tcPr>
          <w:p w14:paraId="7067FD2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35.8</w:t>
            </w:r>
          </w:p>
        </w:tc>
        <w:tc>
          <w:tcPr>
            <w:tcW w:w="614" w:type="pct"/>
            <w:vAlign w:val="center"/>
          </w:tcPr>
          <w:p w14:paraId="60672F0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83.10</w:t>
            </w:r>
          </w:p>
        </w:tc>
      </w:tr>
      <w:tr w:rsidR="006F65ED" w:rsidRPr="008321C0" w14:paraId="26AA344A" w14:textId="77777777" w:rsidTr="003B42CA">
        <w:trPr>
          <w:trHeight w:val="179"/>
          <w:jc w:val="center"/>
        </w:trPr>
        <w:tc>
          <w:tcPr>
            <w:tcW w:w="374" w:type="pct"/>
            <w:noWrap/>
            <w:vAlign w:val="center"/>
            <w:hideMark/>
          </w:tcPr>
          <w:p w14:paraId="7AC76EB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5</w:t>
            </w:r>
          </w:p>
        </w:tc>
        <w:tc>
          <w:tcPr>
            <w:tcW w:w="1158" w:type="pct"/>
            <w:noWrap/>
            <w:vAlign w:val="center"/>
            <w:hideMark/>
          </w:tcPr>
          <w:p w14:paraId="4FF0326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Bhandara</w:t>
            </w:r>
          </w:p>
        </w:tc>
        <w:tc>
          <w:tcPr>
            <w:tcW w:w="772" w:type="pct"/>
            <w:noWrap/>
            <w:vAlign w:val="center"/>
            <w:hideMark/>
          </w:tcPr>
          <w:p w14:paraId="4CC9BED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80.3</w:t>
            </w:r>
          </w:p>
        </w:tc>
        <w:tc>
          <w:tcPr>
            <w:tcW w:w="694" w:type="pct"/>
            <w:noWrap/>
            <w:vAlign w:val="center"/>
            <w:hideMark/>
          </w:tcPr>
          <w:p w14:paraId="72AAB41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1004</w:t>
            </w:r>
          </w:p>
        </w:tc>
        <w:tc>
          <w:tcPr>
            <w:tcW w:w="616" w:type="pct"/>
            <w:noWrap/>
            <w:vAlign w:val="center"/>
            <w:hideMark/>
          </w:tcPr>
          <w:p w14:paraId="19CABCF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53.9</w:t>
            </w:r>
          </w:p>
        </w:tc>
        <w:tc>
          <w:tcPr>
            <w:tcW w:w="771" w:type="pct"/>
            <w:noWrap/>
            <w:vAlign w:val="center"/>
            <w:hideMark/>
          </w:tcPr>
          <w:p w14:paraId="11C0A3B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1.5</w:t>
            </w:r>
          </w:p>
        </w:tc>
        <w:tc>
          <w:tcPr>
            <w:tcW w:w="614" w:type="pct"/>
            <w:vAlign w:val="center"/>
          </w:tcPr>
          <w:p w14:paraId="265504E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89.10</w:t>
            </w:r>
          </w:p>
        </w:tc>
      </w:tr>
      <w:tr w:rsidR="006F65ED" w:rsidRPr="008321C0" w14:paraId="318AA5BB" w14:textId="77777777" w:rsidTr="003B42CA">
        <w:trPr>
          <w:trHeight w:val="179"/>
          <w:jc w:val="center"/>
        </w:trPr>
        <w:tc>
          <w:tcPr>
            <w:tcW w:w="374" w:type="pct"/>
            <w:noWrap/>
            <w:vAlign w:val="center"/>
            <w:hideMark/>
          </w:tcPr>
          <w:p w14:paraId="6AA4C5F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6</w:t>
            </w:r>
          </w:p>
        </w:tc>
        <w:tc>
          <w:tcPr>
            <w:tcW w:w="1158" w:type="pct"/>
            <w:noWrap/>
            <w:vAlign w:val="center"/>
            <w:hideMark/>
          </w:tcPr>
          <w:p w14:paraId="4E4B485B"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Bid</w:t>
            </w:r>
          </w:p>
        </w:tc>
        <w:tc>
          <w:tcPr>
            <w:tcW w:w="772" w:type="pct"/>
            <w:noWrap/>
            <w:vAlign w:val="center"/>
            <w:hideMark/>
          </w:tcPr>
          <w:p w14:paraId="3923AAA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64.6</w:t>
            </w:r>
          </w:p>
        </w:tc>
        <w:tc>
          <w:tcPr>
            <w:tcW w:w="694" w:type="pct"/>
            <w:noWrap/>
            <w:vAlign w:val="center"/>
            <w:hideMark/>
          </w:tcPr>
          <w:p w14:paraId="2857334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934</w:t>
            </w:r>
          </w:p>
        </w:tc>
        <w:tc>
          <w:tcPr>
            <w:tcW w:w="616" w:type="pct"/>
            <w:noWrap/>
            <w:vAlign w:val="center"/>
            <w:hideMark/>
          </w:tcPr>
          <w:p w14:paraId="3456AD0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38.6</w:t>
            </w:r>
          </w:p>
        </w:tc>
        <w:tc>
          <w:tcPr>
            <w:tcW w:w="771" w:type="pct"/>
            <w:noWrap/>
            <w:vAlign w:val="center"/>
            <w:hideMark/>
          </w:tcPr>
          <w:p w14:paraId="7C3943B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43.7</w:t>
            </w:r>
          </w:p>
        </w:tc>
        <w:tc>
          <w:tcPr>
            <w:tcW w:w="614" w:type="pct"/>
            <w:vAlign w:val="center"/>
          </w:tcPr>
          <w:p w14:paraId="3BE73FE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76.30</w:t>
            </w:r>
          </w:p>
        </w:tc>
      </w:tr>
      <w:tr w:rsidR="006F65ED" w:rsidRPr="008321C0" w14:paraId="3B8E8AF9" w14:textId="77777777" w:rsidTr="003B42CA">
        <w:trPr>
          <w:trHeight w:val="179"/>
          <w:jc w:val="center"/>
        </w:trPr>
        <w:tc>
          <w:tcPr>
            <w:tcW w:w="374" w:type="pct"/>
            <w:noWrap/>
            <w:vAlign w:val="center"/>
            <w:hideMark/>
          </w:tcPr>
          <w:p w14:paraId="2F04CE9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w:t>
            </w:r>
          </w:p>
        </w:tc>
        <w:tc>
          <w:tcPr>
            <w:tcW w:w="1158" w:type="pct"/>
            <w:noWrap/>
            <w:vAlign w:val="center"/>
            <w:hideMark/>
          </w:tcPr>
          <w:p w14:paraId="6676B15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Buldhana</w:t>
            </w:r>
          </w:p>
        </w:tc>
        <w:tc>
          <w:tcPr>
            <w:tcW w:w="772" w:type="pct"/>
            <w:noWrap/>
            <w:vAlign w:val="center"/>
            <w:hideMark/>
          </w:tcPr>
          <w:p w14:paraId="727EA78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78.1</w:t>
            </w:r>
          </w:p>
        </w:tc>
        <w:tc>
          <w:tcPr>
            <w:tcW w:w="694" w:type="pct"/>
            <w:noWrap/>
            <w:vAlign w:val="center"/>
            <w:hideMark/>
          </w:tcPr>
          <w:p w14:paraId="7FECE99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957</w:t>
            </w:r>
          </w:p>
        </w:tc>
        <w:tc>
          <w:tcPr>
            <w:tcW w:w="616" w:type="pct"/>
            <w:noWrap/>
            <w:vAlign w:val="center"/>
            <w:hideMark/>
          </w:tcPr>
          <w:p w14:paraId="3ECA04B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41.8</w:t>
            </w:r>
          </w:p>
        </w:tc>
        <w:tc>
          <w:tcPr>
            <w:tcW w:w="771" w:type="pct"/>
            <w:noWrap/>
            <w:vAlign w:val="center"/>
            <w:hideMark/>
          </w:tcPr>
          <w:p w14:paraId="6723EFF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24.1</w:t>
            </w:r>
          </w:p>
        </w:tc>
        <w:tc>
          <w:tcPr>
            <w:tcW w:w="614" w:type="pct"/>
            <w:vAlign w:val="center"/>
          </w:tcPr>
          <w:p w14:paraId="68B9D0D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79.90</w:t>
            </w:r>
          </w:p>
        </w:tc>
      </w:tr>
      <w:tr w:rsidR="006F65ED" w:rsidRPr="008321C0" w14:paraId="76737CDD" w14:textId="77777777" w:rsidTr="003B42CA">
        <w:trPr>
          <w:trHeight w:val="179"/>
          <w:jc w:val="center"/>
        </w:trPr>
        <w:tc>
          <w:tcPr>
            <w:tcW w:w="374" w:type="pct"/>
            <w:noWrap/>
            <w:vAlign w:val="center"/>
            <w:hideMark/>
          </w:tcPr>
          <w:p w14:paraId="6676406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w:t>
            </w:r>
          </w:p>
        </w:tc>
        <w:tc>
          <w:tcPr>
            <w:tcW w:w="1158" w:type="pct"/>
            <w:noWrap/>
            <w:vAlign w:val="center"/>
            <w:hideMark/>
          </w:tcPr>
          <w:p w14:paraId="6190C5D8"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Chandrapur</w:t>
            </w:r>
          </w:p>
        </w:tc>
        <w:tc>
          <w:tcPr>
            <w:tcW w:w="772" w:type="pct"/>
            <w:noWrap/>
            <w:vAlign w:val="center"/>
            <w:hideMark/>
          </w:tcPr>
          <w:p w14:paraId="0A02CBE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78.9</w:t>
            </w:r>
          </w:p>
        </w:tc>
        <w:tc>
          <w:tcPr>
            <w:tcW w:w="694" w:type="pct"/>
            <w:noWrap/>
            <w:vAlign w:val="center"/>
            <w:hideMark/>
          </w:tcPr>
          <w:p w14:paraId="285648D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974</w:t>
            </w:r>
          </w:p>
        </w:tc>
        <w:tc>
          <w:tcPr>
            <w:tcW w:w="616" w:type="pct"/>
            <w:noWrap/>
            <w:vAlign w:val="center"/>
            <w:hideMark/>
          </w:tcPr>
          <w:p w14:paraId="1135691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57.5</w:t>
            </w:r>
          </w:p>
        </w:tc>
        <w:tc>
          <w:tcPr>
            <w:tcW w:w="771" w:type="pct"/>
            <w:noWrap/>
            <w:vAlign w:val="center"/>
            <w:hideMark/>
          </w:tcPr>
          <w:p w14:paraId="490CD93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w:t>
            </w:r>
          </w:p>
        </w:tc>
        <w:tc>
          <w:tcPr>
            <w:tcW w:w="614" w:type="pct"/>
            <w:vAlign w:val="center"/>
          </w:tcPr>
          <w:p w14:paraId="0CF6E31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87.80</w:t>
            </w:r>
          </w:p>
        </w:tc>
      </w:tr>
      <w:tr w:rsidR="006F65ED" w:rsidRPr="008321C0" w14:paraId="01D06619" w14:textId="77777777" w:rsidTr="003B42CA">
        <w:trPr>
          <w:trHeight w:val="179"/>
          <w:jc w:val="center"/>
        </w:trPr>
        <w:tc>
          <w:tcPr>
            <w:tcW w:w="374" w:type="pct"/>
            <w:noWrap/>
            <w:vAlign w:val="center"/>
            <w:hideMark/>
          </w:tcPr>
          <w:p w14:paraId="478A265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w:t>
            </w:r>
          </w:p>
        </w:tc>
        <w:tc>
          <w:tcPr>
            <w:tcW w:w="1158" w:type="pct"/>
            <w:noWrap/>
            <w:vAlign w:val="center"/>
            <w:hideMark/>
          </w:tcPr>
          <w:p w14:paraId="19EEB63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Dhule</w:t>
            </w:r>
          </w:p>
        </w:tc>
        <w:tc>
          <w:tcPr>
            <w:tcW w:w="772" w:type="pct"/>
            <w:noWrap/>
            <w:vAlign w:val="center"/>
            <w:hideMark/>
          </w:tcPr>
          <w:p w14:paraId="75D0720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73.5</w:t>
            </w:r>
          </w:p>
        </w:tc>
        <w:tc>
          <w:tcPr>
            <w:tcW w:w="694" w:type="pct"/>
            <w:noWrap/>
            <w:vAlign w:val="center"/>
            <w:hideMark/>
          </w:tcPr>
          <w:p w14:paraId="58B37CE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999</w:t>
            </w:r>
          </w:p>
        </w:tc>
        <w:tc>
          <w:tcPr>
            <w:tcW w:w="616" w:type="pct"/>
            <w:noWrap/>
            <w:vAlign w:val="center"/>
            <w:hideMark/>
          </w:tcPr>
          <w:p w14:paraId="78CB048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40.8</w:t>
            </w:r>
          </w:p>
        </w:tc>
        <w:tc>
          <w:tcPr>
            <w:tcW w:w="771" w:type="pct"/>
            <w:noWrap/>
            <w:vAlign w:val="center"/>
            <w:hideMark/>
          </w:tcPr>
          <w:p w14:paraId="1F7996B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40.5</w:t>
            </w:r>
          </w:p>
        </w:tc>
        <w:tc>
          <w:tcPr>
            <w:tcW w:w="614" w:type="pct"/>
            <w:vAlign w:val="center"/>
          </w:tcPr>
          <w:p w14:paraId="1698DFD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68.80</w:t>
            </w:r>
          </w:p>
        </w:tc>
      </w:tr>
      <w:tr w:rsidR="006F65ED" w:rsidRPr="008321C0" w14:paraId="20A4D426" w14:textId="77777777" w:rsidTr="003B42CA">
        <w:trPr>
          <w:trHeight w:val="179"/>
          <w:jc w:val="center"/>
        </w:trPr>
        <w:tc>
          <w:tcPr>
            <w:tcW w:w="374" w:type="pct"/>
            <w:noWrap/>
            <w:vAlign w:val="center"/>
            <w:hideMark/>
          </w:tcPr>
          <w:p w14:paraId="32E96D8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10</w:t>
            </w:r>
          </w:p>
        </w:tc>
        <w:tc>
          <w:tcPr>
            <w:tcW w:w="1158" w:type="pct"/>
            <w:noWrap/>
            <w:vAlign w:val="center"/>
            <w:hideMark/>
          </w:tcPr>
          <w:p w14:paraId="401BA079"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Gadchiroli</w:t>
            </w:r>
          </w:p>
        </w:tc>
        <w:tc>
          <w:tcPr>
            <w:tcW w:w="772" w:type="pct"/>
            <w:noWrap/>
            <w:vAlign w:val="center"/>
            <w:hideMark/>
          </w:tcPr>
          <w:p w14:paraId="7EE816E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67.1</w:t>
            </w:r>
          </w:p>
        </w:tc>
        <w:tc>
          <w:tcPr>
            <w:tcW w:w="694" w:type="pct"/>
            <w:noWrap/>
            <w:vAlign w:val="center"/>
            <w:hideMark/>
          </w:tcPr>
          <w:p w14:paraId="28C45B3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1048</w:t>
            </w:r>
          </w:p>
        </w:tc>
        <w:tc>
          <w:tcPr>
            <w:tcW w:w="616" w:type="pct"/>
            <w:noWrap/>
            <w:vAlign w:val="center"/>
            <w:hideMark/>
          </w:tcPr>
          <w:p w14:paraId="0FEB193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42.3</w:t>
            </w:r>
          </w:p>
        </w:tc>
        <w:tc>
          <w:tcPr>
            <w:tcW w:w="771" w:type="pct"/>
            <w:noWrap/>
            <w:vAlign w:val="center"/>
            <w:hideMark/>
          </w:tcPr>
          <w:p w14:paraId="4933A94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10.1</w:t>
            </w:r>
          </w:p>
        </w:tc>
        <w:tc>
          <w:tcPr>
            <w:tcW w:w="614" w:type="pct"/>
            <w:vAlign w:val="center"/>
          </w:tcPr>
          <w:p w14:paraId="5DF1CF2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79.40</w:t>
            </w:r>
          </w:p>
        </w:tc>
      </w:tr>
      <w:tr w:rsidR="006F65ED" w:rsidRPr="008321C0" w14:paraId="0904822D" w14:textId="77777777" w:rsidTr="003B42CA">
        <w:trPr>
          <w:trHeight w:val="179"/>
          <w:jc w:val="center"/>
        </w:trPr>
        <w:tc>
          <w:tcPr>
            <w:tcW w:w="374" w:type="pct"/>
            <w:noWrap/>
            <w:vAlign w:val="center"/>
            <w:hideMark/>
          </w:tcPr>
          <w:p w14:paraId="6E6B8C7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11</w:t>
            </w:r>
          </w:p>
        </w:tc>
        <w:tc>
          <w:tcPr>
            <w:tcW w:w="1158" w:type="pct"/>
            <w:noWrap/>
            <w:vAlign w:val="center"/>
            <w:hideMark/>
          </w:tcPr>
          <w:p w14:paraId="2EF9C40C"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Gondia</w:t>
            </w:r>
          </w:p>
        </w:tc>
        <w:tc>
          <w:tcPr>
            <w:tcW w:w="772" w:type="pct"/>
            <w:noWrap/>
            <w:vAlign w:val="center"/>
            <w:hideMark/>
          </w:tcPr>
          <w:p w14:paraId="3EE2C70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80.4</w:t>
            </w:r>
          </w:p>
        </w:tc>
        <w:tc>
          <w:tcPr>
            <w:tcW w:w="694" w:type="pct"/>
            <w:noWrap/>
            <w:vAlign w:val="center"/>
            <w:hideMark/>
          </w:tcPr>
          <w:p w14:paraId="1CF9C94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994</w:t>
            </w:r>
          </w:p>
        </w:tc>
        <w:tc>
          <w:tcPr>
            <w:tcW w:w="616" w:type="pct"/>
            <w:noWrap/>
            <w:vAlign w:val="center"/>
            <w:hideMark/>
          </w:tcPr>
          <w:p w14:paraId="35ACA1E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54.1</w:t>
            </w:r>
          </w:p>
        </w:tc>
        <w:tc>
          <w:tcPr>
            <w:tcW w:w="771" w:type="pct"/>
            <w:noWrap/>
            <w:vAlign w:val="center"/>
            <w:hideMark/>
          </w:tcPr>
          <w:p w14:paraId="3ACC22B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6.5</w:t>
            </w:r>
          </w:p>
        </w:tc>
        <w:tc>
          <w:tcPr>
            <w:tcW w:w="614" w:type="pct"/>
            <w:vAlign w:val="center"/>
          </w:tcPr>
          <w:p w14:paraId="445B98D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87.50</w:t>
            </w:r>
          </w:p>
        </w:tc>
      </w:tr>
      <w:tr w:rsidR="006F65ED" w:rsidRPr="008321C0" w14:paraId="72C2F52B" w14:textId="77777777" w:rsidTr="003B42CA">
        <w:trPr>
          <w:trHeight w:val="179"/>
          <w:jc w:val="center"/>
        </w:trPr>
        <w:tc>
          <w:tcPr>
            <w:tcW w:w="374" w:type="pct"/>
            <w:noWrap/>
            <w:vAlign w:val="center"/>
            <w:hideMark/>
          </w:tcPr>
          <w:p w14:paraId="0D029FB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12</w:t>
            </w:r>
          </w:p>
        </w:tc>
        <w:tc>
          <w:tcPr>
            <w:tcW w:w="1158" w:type="pct"/>
            <w:noWrap/>
            <w:vAlign w:val="center"/>
            <w:hideMark/>
          </w:tcPr>
          <w:p w14:paraId="38B4E447"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Hingoli</w:t>
            </w:r>
          </w:p>
        </w:tc>
        <w:tc>
          <w:tcPr>
            <w:tcW w:w="772" w:type="pct"/>
            <w:noWrap/>
            <w:vAlign w:val="center"/>
            <w:hideMark/>
          </w:tcPr>
          <w:p w14:paraId="0EA63A4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69.4</w:t>
            </w:r>
          </w:p>
        </w:tc>
        <w:tc>
          <w:tcPr>
            <w:tcW w:w="694" w:type="pct"/>
            <w:noWrap/>
            <w:vAlign w:val="center"/>
            <w:hideMark/>
          </w:tcPr>
          <w:p w14:paraId="1A15ADE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962</w:t>
            </w:r>
          </w:p>
        </w:tc>
        <w:tc>
          <w:tcPr>
            <w:tcW w:w="616" w:type="pct"/>
            <w:noWrap/>
            <w:vAlign w:val="center"/>
            <w:hideMark/>
          </w:tcPr>
          <w:p w14:paraId="4CBC312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33.2</w:t>
            </w:r>
          </w:p>
        </w:tc>
        <w:tc>
          <w:tcPr>
            <w:tcW w:w="771" w:type="pct"/>
            <w:noWrap/>
            <w:vAlign w:val="center"/>
            <w:hideMark/>
          </w:tcPr>
          <w:p w14:paraId="6AB7A48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37.1</w:t>
            </w:r>
          </w:p>
        </w:tc>
        <w:tc>
          <w:tcPr>
            <w:tcW w:w="614" w:type="pct"/>
            <w:vAlign w:val="center"/>
          </w:tcPr>
          <w:p w14:paraId="222EA6D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76.50</w:t>
            </w:r>
          </w:p>
        </w:tc>
      </w:tr>
      <w:tr w:rsidR="006F65ED" w:rsidRPr="008321C0" w14:paraId="7AF9E5DD" w14:textId="77777777" w:rsidTr="003B42CA">
        <w:trPr>
          <w:trHeight w:val="179"/>
          <w:jc w:val="center"/>
        </w:trPr>
        <w:tc>
          <w:tcPr>
            <w:tcW w:w="374" w:type="pct"/>
            <w:noWrap/>
            <w:vAlign w:val="center"/>
            <w:hideMark/>
          </w:tcPr>
          <w:p w14:paraId="3C4470E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13</w:t>
            </w:r>
          </w:p>
        </w:tc>
        <w:tc>
          <w:tcPr>
            <w:tcW w:w="1158" w:type="pct"/>
            <w:noWrap/>
            <w:vAlign w:val="center"/>
            <w:hideMark/>
          </w:tcPr>
          <w:p w14:paraId="28AB1DC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Jalgaon</w:t>
            </w:r>
          </w:p>
        </w:tc>
        <w:tc>
          <w:tcPr>
            <w:tcW w:w="772" w:type="pct"/>
            <w:noWrap/>
            <w:vAlign w:val="center"/>
            <w:hideMark/>
          </w:tcPr>
          <w:p w14:paraId="47A19A4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77.5</w:t>
            </w:r>
          </w:p>
        </w:tc>
        <w:tc>
          <w:tcPr>
            <w:tcW w:w="694" w:type="pct"/>
            <w:noWrap/>
            <w:vAlign w:val="center"/>
            <w:hideMark/>
          </w:tcPr>
          <w:p w14:paraId="1DA7965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983</w:t>
            </w:r>
          </w:p>
        </w:tc>
        <w:tc>
          <w:tcPr>
            <w:tcW w:w="616" w:type="pct"/>
            <w:noWrap/>
            <w:vAlign w:val="center"/>
            <w:hideMark/>
          </w:tcPr>
          <w:p w14:paraId="413F629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40.8</w:t>
            </w:r>
          </w:p>
        </w:tc>
        <w:tc>
          <w:tcPr>
            <w:tcW w:w="771" w:type="pct"/>
            <w:noWrap/>
            <w:vAlign w:val="center"/>
            <w:hideMark/>
          </w:tcPr>
          <w:p w14:paraId="37B5422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28</w:t>
            </w:r>
          </w:p>
        </w:tc>
        <w:tc>
          <w:tcPr>
            <w:tcW w:w="614" w:type="pct"/>
            <w:vAlign w:val="center"/>
          </w:tcPr>
          <w:p w14:paraId="3FB76DB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76.50</w:t>
            </w:r>
          </w:p>
        </w:tc>
      </w:tr>
      <w:tr w:rsidR="006F65ED" w:rsidRPr="008321C0" w14:paraId="41EA7F15" w14:textId="77777777" w:rsidTr="003B42CA">
        <w:trPr>
          <w:trHeight w:val="179"/>
          <w:jc w:val="center"/>
        </w:trPr>
        <w:tc>
          <w:tcPr>
            <w:tcW w:w="374" w:type="pct"/>
            <w:noWrap/>
            <w:vAlign w:val="center"/>
            <w:hideMark/>
          </w:tcPr>
          <w:p w14:paraId="5FF4594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14</w:t>
            </w:r>
          </w:p>
        </w:tc>
        <w:tc>
          <w:tcPr>
            <w:tcW w:w="1158" w:type="pct"/>
            <w:noWrap/>
            <w:vAlign w:val="center"/>
            <w:hideMark/>
          </w:tcPr>
          <w:p w14:paraId="3C12CF4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Jalna</w:t>
            </w:r>
          </w:p>
        </w:tc>
        <w:tc>
          <w:tcPr>
            <w:tcW w:w="772" w:type="pct"/>
            <w:noWrap/>
            <w:vAlign w:val="center"/>
            <w:hideMark/>
          </w:tcPr>
          <w:p w14:paraId="38A72E7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67.6</w:t>
            </w:r>
          </w:p>
        </w:tc>
        <w:tc>
          <w:tcPr>
            <w:tcW w:w="694" w:type="pct"/>
            <w:noWrap/>
            <w:vAlign w:val="center"/>
            <w:hideMark/>
          </w:tcPr>
          <w:p w14:paraId="00AD4F6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948</w:t>
            </w:r>
          </w:p>
        </w:tc>
        <w:tc>
          <w:tcPr>
            <w:tcW w:w="616" w:type="pct"/>
            <w:noWrap/>
            <w:vAlign w:val="center"/>
            <w:hideMark/>
          </w:tcPr>
          <w:p w14:paraId="13CB547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34.3</w:t>
            </w:r>
          </w:p>
        </w:tc>
        <w:tc>
          <w:tcPr>
            <w:tcW w:w="771" w:type="pct"/>
            <w:noWrap/>
            <w:vAlign w:val="center"/>
            <w:hideMark/>
          </w:tcPr>
          <w:p w14:paraId="7A75433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35</w:t>
            </w:r>
          </w:p>
        </w:tc>
        <w:tc>
          <w:tcPr>
            <w:tcW w:w="614" w:type="pct"/>
            <w:vAlign w:val="center"/>
          </w:tcPr>
          <w:p w14:paraId="7FA040F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71.80</w:t>
            </w:r>
          </w:p>
        </w:tc>
      </w:tr>
      <w:tr w:rsidR="006F65ED" w:rsidRPr="008321C0" w14:paraId="5A1F2BB1" w14:textId="77777777" w:rsidTr="003B42CA">
        <w:trPr>
          <w:trHeight w:val="179"/>
          <w:jc w:val="center"/>
        </w:trPr>
        <w:tc>
          <w:tcPr>
            <w:tcW w:w="374" w:type="pct"/>
            <w:noWrap/>
            <w:vAlign w:val="center"/>
            <w:hideMark/>
          </w:tcPr>
          <w:p w14:paraId="5C1A19A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15</w:t>
            </w:r>
          </w:p>
        </w:tc>
        <w:tc>
          <w:tcPr>
            <w:tcW w:w="1158" w:type="pct"/>
            <w:noWrap/>
            <w:vAlign w:val="center"/>
            <w:hideMark/>
          </w:tcPr>
          <w:p w14:paraId="7055F686"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Kolhapur</w:t>
            </w:r>
          </w:p>
        </w:tc>
        <w:tc>
          <w:tcPr>
            <w:tcW w:w="772" w:type="pct"/>
            <w:noWrap/>
            <w:vAlign w:val="center"/>
            <w:hideMark/>
          </w:tcPr>
          <w:p w14:paraId="2CDF65F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80.2</w:t>
            </w:r>
          </w:p>
        </w:tc>
        <w:tc>
          <w:tcPr>
            <w:tcW w:w="694" w:type="pct"/>
            <w:noWrap/>
            <w:vAlign w:val="center"/>
            <w:hideMark/>
          </w:tcPr>
          <w:p w14:paraId="1158B01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1025</w:t>
            </w:r>
          </w:p>
        </w:tc>
        <w:tc>
          <w:tcPr>
            <w:tcW w:w="616" w:type="pct"/>
            <w:noWrap/>
            <w:vAlign w:val="center"/>
            <w:hideMark/>
          </w:tcPr>
          <w:p w14:paraId="1268550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53.8</w:t>
            </w:r>
          </w:p>
        </w:tc>
        <w:tc>
          <w:tcPr>
            <w:tcW w:w="771" w:type="pct"/>
            <w:noWrap/>
            <w:vAlign w:val="center"/>
            <w:hideMark/>
          </w:tcPr>
          <w:p w14:paraId="4791910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21</w:t>
            </w:r>
          </w:p>
        </w:tc>
        <w:tc>
          <w:tcPr>
            <w:tcW w:w="614" w:type="pct"/>
            <w:vAlign w:val="center"/>
          </w:tcPr>
          <w:p w14:paraId="3675A3F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90.70</w:t>
            </w:r>
          </w:p>
        </w:tc>
      </w:tr>
      <w:tr w:rsidR="006F65ED" w:rsidRPr="008321C0" w14:paraId="02E54381" w14:textId="77777777" w:rsidTr="003B42CA">
        <w:trPr>
          <w:trHeight w:val="179"/>
          <w:jc w:val="center"/>
        </w:trPr>
        <w:tc>
          <w:tcPr>
            <w:tcW w:w="374" w:type="pct"/>
            <w:noWrap/>
            <w:vAlign w:val="center"/>
            <w:hideMark/>
          </w:tcPr>
          <w:p w14:paraId="78DC08A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16</w:t>
            </w:r>
          </w:p>
        </w:tc>
        <w:tc>
          <w:tcPr>
            <w:tcW w:w="1158" w:type="pct"/>
            <w:noWrap/>
            <w:vAlign w:val="center"/>
            <w:hideMark/>
          </w:tcPr>
          <w:p w14:paraId="2C44E95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Latur</w:t>
            </w:r>
          </w:p>
        </w:tc>
        <w:tc>
          <w:tcPr>
            <w:tcW w:w="772" w:type="pct"/>
            <w:noWrap/>
            <w:vAlign w:val="center"/>
            <w:hideMark/>
          </w:tcPr>
          <w:p w14:paraId="6AB7FC5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70.6</w:t>
            </w:r>
          </w:p>
        </w:tc>
        <w:tc>
          <w:tcPr>
            <w:tcW w:w="694" w:type="pct"/>
            <w:noWrap/>
            <w:vAlign w:val="center"/>
            <w:hideMark/>
          </w:tcPr>
          <w:p w14:paraId="2F5800E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979</w:t>
            </w:r>
          </w:p>
        </w:tc>
        <w:tc>
          <w:tcPr>
            <w:tcW w:w="616" w:type="pct"/>
            <w:noWrap/>
            <w:vAlign w:val="center"/>
            <w:hideMark/>
          </w:tcPr>
          <w:p w14:paraId="5E2858D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40.7</w:t>
            </w:r>
          </w:p>
        </w:tc>
        <w:tc>
          <w:tcPr>
            <w:tcW w:w="771" w:type="pct"/>
            <w:noWrap/>
            <w:vAlign w:val="center"/>
            <w:hideMark/>
          </w:tcPr>
          <w:p w14:paraId="4CE51AA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31</w:t>
            </w:r>
          </w:p>
        </w:tc>
        <w:tc>
          <w:tcPr>
            <w:tcW w:w="614" w:type="pct"/>
            <w:vAlign w:val="center"/>
          </w:tcPr>
          <w:p w14:paraId="0C3C5DC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83.30</w:t>
            </w:r>
          </w:p>
        </w:tc>
      </w:tr>
      <w:tr w:rsidR="006F65ED" w:rsidRPr="008321C0" w14:paraId="2D11D9BE" w14:textId="77777777" w:rsidTr="003B42CA">
        <w:trPr>
          <w:trHeight w:val="179"/>
          <w:jc w:val="center"/>
        </w:trPr>
        <w:tc>
          <w:tcPr>
            <w:tcW w:w="374" w:type="pct"/>
            <w:noWrap/>
            <w:vAlign w:val="center"/>
            <w:hideMark/>
          </w:tcPr>
          <w:p w14:paraId="305B5A8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17</w:t>
            </w:r>
          </w:p>
        </w:tc>
        <w:tc>
          <w:tcPr>
            <w:tcW w:w="1158" w:type="pct"/>
            <w:noWrap/>
            <w:vAlign w:val="center"/>
            <w:hideMark/>
          </w:tcPr>
          <w:p w14:paraId="3BAD668F"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Mumbai Suburban</w:t>
            </w:r>
          </w:p>
        </w:tc>
        <w:tc>
          <w:tcPr>
            <w:tcW w:w="772" w:type="pct"/>
            <w:noWrap/>
            <w:vAlign w:val="center"/>
            <w:hideMark/>
          </w:tcPr>
          <w:p w14:paraId="0644413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88.5</w:t>
            </w:r>
          </w:p>
        </w:tc>
        <w:tc>
          <w:tcPr>
            <w:tcW w:w="694" w:type="pct"/>
            <w:noWrap/>
            <w:vAlign w:val="center"/>
            <w:hideMark/>
          </w:tcPr>
          <w:p w14:paraId="03857BA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921</w:t>
            </w:r>
          </w:p>
        </w:tc>
        <w:tc>
          <w:tcPr>
            <w:tcW w:w="616" w:type="pct"/>
            <w:noWrap/>
            <w:vAlign w:val="center"/>
            <w:hideMark/>
          </w:tcPr>
          <w:p w14:paraId="32E44A8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65.7</w:t>
            </w:r>
          </w:p>
        </w:tc>
        <w:tc>
          <w:tcPr>
            <w:tcW w:w="771" w:type="pct"/>
            <w:noWrap/>
            <w:vAlign w:val="center"/>
            <w:hideMark/>
          </w:tcPr>
          <w:p w14:paraId="7B0C90C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w:t>
            </w:r>
          </w:p>
        </w:tc>
        <w:tc>
          <w:tcPr>
            <w:tcW w:w="614" w:type="pct"/>
            <w:vAlign w:val="center"/>
          </w:tcPr>
          <w:p w14:paraId="2C1B442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91.60</w:t>
            </w:r>
          </w:p>
        </w:tc>
      </w:tr>
      <w:tr w:rsidR="006F65ED" w:rsidRPr="008321C0" w14:paraId="5A103625" w14:textId="77777777" w:rsidTr="003B42CA">
        <w:trPr>
          <w:trHeight w:val="179"/>
          <w:jc w:val="center"/>
        </w:trPr>
        <w:tc>
          <w:tcPr>
            <w:tcW w:w="374" w:type="pct"/>
            <w:noWrap/>
            <w:vAlign w:val="center"/>
            <w:hideMark/>
          </w:tcPr>
          <w:p w14:paraId="20DB1E8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18</w:t>
            </w:r>
          </w:p>
        </w:tc>
        <w:tc>
          <w:tcPr>
            <w:tcW w:w="1158" w:type="pct"/>
            <w:noWrap/>
            <w:vAlign w:val="center"/>
            <w:hideMark/>
          </w:tcPr>
          <w:p w14:paraId="112DCB20"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Mumbai</w:t>
            </w:r>
          </w:p>
        </w:tc>
        <w:tc>
          <w:tcPr>
            <w:tcW w:w="772" w:type="pct"/>
            <w:noWrap/>
            <w:vAlign w:val="center"/>
            <w:hideMark/>
          </w:tcPr>
          <w:p w14:paraId="24D64E1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92.5</w:t>
            </w:r>
          </w:p>
        </w:tc>
        <w:tc>
          <w:tcPr>
            <w:tcW w:w="694" w:type="pct"/>
            <w:noWrap/>
            <w:vAlign w:val="center"/>
            <w:hideMark/>
          </w:tcPr>
          <w:p w14:paraId="4C7D819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939</w:t>
            </w:r>
          </w:p>
        </w:tc>
        <w:tc>
          <w:tcPr>
            <w:tcW w:w="616" w:type="pct"/>
            <w:noWrap/>
            <w:vAlign w:val="center"/>
            <w:hideMark/>
          </w:tcPr>
          <w:p w14:paraId="05E09C0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71.1</w:t>
            </w:r>
          </w:p>
        </w:tc>
        <w:tc>
          <w:tcPr>
            <w:tcW w:w="771" w:type="pct"/>
            <w:noWrap/>
            <w:vAlign w:val="center"/>
            <w:hideMark/>
          </w:tcPr>
          <w:p w14:paraId="14CD7D4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w:t>
            </w:r>
          </w:p>
        </w:tc>
        <w:tc>
          <w:tcPr>
            <w:tcW w:w="614" w:type="pct"/>
            <w:vAlign w:val="center"/>
          </w:tcPr>
          <w:p w14:paraId="2A4CA98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94.30</w:t>
            </w:r>
          </w:p>
        </w:tc>
      </w:tr>
      <w:tr w:rsidR="006F65ED" w:rsidRPr="008321C0" w14:paraId="2EC4A252" w14:textId="77777777" w:rsidTr="003B42CA">
        <w:trPr>
          <w:trHeight w:val="179"/>
          <w:jc w:val="center"/>
        </w:trPr>
        <w:tc>
          <w:tcPr>
            <w:tcW w:w="374" w:type="pct"/>
            <w:noWrap/>
            <w:vAlign w:val="center"/>
            <w:hideMark/>
          </w:tcPr>
          <w:p w14:paraId="3AFA19A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19</w:t>
            </w:r>
          </w:p>
        </w:tc>
        <w:tc>
          <w:tcPr>
            <w:tcW w:w="1158" w:type="pct"/>
            <w:noWrap/>
            <w:vAlign w:val="center"/>
            <w:hideMark/>
          </w:tcPr>
          <w:p w14:paraId="27B82C29"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Nagpur</w:t>
            </w:r>
          </w:p>
        </w:tc>
        <w:tc>
          <w:tcPr>
            <w:tcW w:w="772" w:type="pct"/>
            <w:noWrap/>
            <w:vAlign w:val="center"/>
            <w:hideMark/>
          </w:tcPr>
          <w:p w14:paraId="5F82F5B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86.5</w:t>
            </w:r>
          </w:p>
        </w:tc>
        <w:tc>
          <w:tcPr>
            <w:tcW w:w="694" w:type="pct"/>
            <w:noWrap/>
            <w:vAlign w:val="center"/>
            <w:hideMark/>
          </w:tcPr>
          <w:p w14:paraId="3E1938A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971</w:t>
            </w:r>
          </w:p>
        </w:tc>
        <w:tc>
          <w:tcPr>
            <w:tcW w:w="616" w:type="pct"/>
            <w:noWrap/>
            <w:vAlign w:val="center"/>
            <w:hideMark/>
          </w:tcPr>
          <w:p w14:paraId="689E7FC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67.6</w:t>
            </w:r>
          </w:p>
        </w:tc>
        <w:tc>
          <w:tcPr>
            <w:tcW w:w="771" w:type="pct"/>
            <w:noWrap/>
            <w:vAlign w:val="center"/>
            <w:hideMark/>
          </w:tcPr>
          <w:p w14:paraId="239A03B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w:t>
            </w:r>
          </w:p>
        </w:tc>
        <w:tc>
          <w:tcPr>
            <w:tcW w:w="614" w:type="pct"/>
            <w:vAlign w:val="center"/>
          </w:tcPr>
          <w:p w14:paraId="668C487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94.60</w:t>
            </w:r>
          </w:p>
        </w:tc>
      </w:tr>
      <w:tr w:rsidR="006F65ED" w:rsidRPr="008321C0" w14:paraId="61174512" w14:textId="77777777" w:rsidTr="003B42CA">
        <w:trPr>
          <w:trHeight w:val="179"/>
          <w:jc w:val="center"/>
        </w:trPr>
        <w:tc>
          <w:tcPr>
            <w:tcW w:w="374" w:type="pct"/>
            <w:noWrap/>
            <w:vAlign w:val="center"/>
            <w:hideMark/>
          </w:tcPr>
          <w:p w14:paraId="4893FA4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20</w:t>
            </w:r>
          </w:p>
        </w:tc>
        <w:tc>
          <w:tcPr>
            <w:tcW w:w="1158" w:type="pct"/>
            <w:noWrap/>
            <w:vAlign w:val="center"/>
            <w:hideMark/>
          </w:tcPr>
          <w:p w14:paraId="6FF480F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Nanded</w:t>
            </w:r>
          </w:p>
        </w:tc>
        <w:tc>
          <w:tcPr>
            <w:tcW w:w="772" w:type="pct"/>
            <w:noWrap/>
            <w:vAlign w:val="center"/>
            <w:hideMark/>
          </w:tcPr>
          <w:p w14:paraId="1204F03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68.1</w:t>
            </w:r>
          </w:p>
        </w:tc>
        <w:tc>
          <w:tcPr>
            <w:tcW w:w="694" w:type="pct"/>
            <w:noWrap/>
            <w:vAlign w:val="center"/>
            <w:hideMark/>
          </w:tcPr>
          <w:p w14:paraId="627FDE9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970</w:t>
            </w:r>
          </w:p>
        </w:tc>
        <w:tc>
          <w:tcPr>
            <w:tcW w:w="616" w:type="pct"/>
            <w:noWrap/>
            <w:vAlign w:val="center"/>
            <w:hideMark/>
          </w:tcPr>
          <w:p w14:paraId="5E8C4A8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31.6</w:t>
            </w:r>
          </w:p>
        </w:tc>
        <w:tc>
          <w:tcPr>
            <w:tcW w:w="771" w:type="pct"/>
            <w:noWrap/>
            <w:vAlign w:val="center"/>
            <w:hideMark/>
          </w:tcPr>
          <w:p w14:paraId="47143C4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32.2</w:t>
            </w:r>
          </w:p>
        </w:tc>
        <w:tc>
          <w:tcPr>
            <w:tcW w:w="614" w:type="pct"/>
            <w:vAlign w:val="center"/>
          </w:tcPr>
          <w:p w14:paraId="6E58D60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71.90</w:t>
            </w:r>
          </w:p>
        </w:tc>
      </w:tr>
      <w:tr w:rsidR="006F65ED" w:rsidRPr="008321C0" w14:paraId="3227B425" w14:textId="77777777" w:rsidTr="003B42CA">
        <w:trPr>
          <w:trHeight w:val="179"/>
          <w:jc w:val="center"/>
        </w:trPr>
        <w:tc>
          <w:tcPr>
            <w:tcW w:w="374" w:type="pct"/>
            <w:noWrap/>
            <w:vAlign w:val="center"/>
            <w:hideMark/>
          </w:tcPr>
          <w:p w14:paraId="54C1B9D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21</w:t>
            </w:r>
          </w:p>
        </w:tc>
        <w:tc>
          <w:tcPr>
            <w:tcW w:w="1158" w:type="pct"/>
            <w:noWrap/>
            <w:vAlign w:val="center"/>
            <w:hideMark/>
          </w:tcPr>
          <w:p w14:paraId="2703B2C5"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Nandurbar</w:t>
            </w:r>
          </w:p>
        </w:tc>
        <w:tc>
          <w:tcPr>
            <w:tcW w:w="772" w:type="pct"/>
            <w:noWrap/>
            <w:vAlign w:val="center"/>
            <w:hideMark/>
          </w:tcPr>
          <w:p w14:paraId="53EDE97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63.5</w:t>
            </w:r>
          </w:p>
        </w:tc>
        <w:tc>
          <w:tcPr>
            <w:tcW w:w="694" w:type="pct"/>
            <w:noWrap/>
            <w:vAlign w:val="center"/>
            <w:hideMark/>
          </w:tcPr>
          <w:p w14:paraId="6923238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961</w:t>
            </w:r>
          </w:p>
        </w:tc>
        <w:tc>
          <w:tcPr>
            <w:tcW w:w="616" w:type="pct"/>
            <w:noWrap/>
            <w:vAlign w:val="center"/>
            <w:hideMark/>
          </w:tcPr>
          <w:p w14:paraId="0417821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29.9</w:t>
            </w:r>
          </w:p>
        </w:tc>
        <w:tc>
          <w:tcPr>
            <w:tcW w:w="771" w:type="pct"/>
            <w:noWrap/>
            <w:vAlign w:val="center"/>
            <w:hideMark/>
          </w:tcPr>
          <w:p w14:paraId="14E7344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w:t>
            </w:r>
          </w:p>
        </w:tc>
        <w:tc>
          <w:tcPr>
            <w:tcW w:w="614" w:type="pct"/>
            <w:vAlign w:val="center"/>
          </w:tcPr>
          <w:p w14:paraId="04CC716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57.70</w:t>
            </w:r>
          </w:p>
        </w:tc>
      </w:tr>
      <w:tr w:rsidR="006F65ED" w:rsidRPr="008321C0" w14:paraId="517BBE5F" w14:textId="77777777" w:rsidTr="003B42CA">
        <w:trPr>
          <w:trHeight w:val="179"/>
          <w:jc w:val="center"/>
        </w:trPr>
        <w:tc>
          <w:tcPr>
            <w:tcW w:w="374" w:type="pct"/>
            <w:noWrap/>
            <w:vAlign w:val="center"/>
            <w:hideMark/>
          </w:tcPr>
          <w:p w14:paraId="3836B19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lastRenderedPageBreak/>
              <w:t>22</w:t>
            </w:r>
          </w:p>
        </w:tc>
        <w:tc>
          <w:tcPr>
            <w:tcW w:w="1158" w:type="pct"/>
            <w:noWrap/>
            <w:vAlign w:val="center"/>
            <w:hideMark/>
          </w:tcPr>
          <w:p w14:paraId="254849B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Nashik</w:t>
            </w:r>
          </w:p>
        </w:tc>
        <w:tc>
          <w:tcPr>
            <w:tcW w:w="772" w:type="pct"/>
            <w:noWrap/>
            <w:vAlign w:val="center"/>
            <w:hideMark/>
          </w:tcPr>
          <w:p w14:paraId="614008F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78.2</w:t>
            </w:r>
          </w:p>
        </w:tc>
        <w:tc>
          <w:tcPr>
            <w:tcW w:w="694" w:type="pct"/>
            <w:noWrap/>
            <w:vAlign w:val="center"/>
            <w:hideMark/>
          </w:tcPr>
          <w:p w14:paraId="70A469E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913</w:t>
            </w:r>
          </w:p>
        </w:tc>
        <w:tc>
          <w:tcPr>
            <w:tcW w:w="616" w:type="pct"/>
            <w:noWrap/>
            <w:vAlign w:val="center"/>
            <w:hideMark/>
          </w:tcPr>
          <w:p w14:paraId="6E80C1E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42.6</w:t>
            </w:r>
          </w:p>
        </w:tc>
        <w:tc>
          <w:tcPr>
            <w:tcW w:w="771" w:type="pct"/>
            <w:noWrap/>
            <w:vAlign w:val="center"/>
            <w:hideMark/>
          </w:tcPr>
          <w:p w14:paraId="5C9A964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29.6</w:t>
            </w:r>
          </w:p>
        </w:tc>
        <w:tc>
          <w:tcPr>
            <w:tcW w:w="614" w:type="pct"/>
            <w:vAlign w:val="center"/>
          </w:tcPr>
          <w:p w14:paraId="3184DF6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80.00</w:t>
            </w:r>
          </w:p>
        </w:tc>
      </w:tr>
      <w:tr w:rsidR="006F65ED" w:rsidRPr="008321C0" w14:paraId="268A8807" w14:textId="77777777" w:rsidTr="003B42CA">
        <w:trPr>
          <w:trHeight w:val="179"/>
          <w:jc w:val="center"/>
        </w:trPr>
        <w:tc>
          <w:tcPr>
            <w:tcW w:w="374" w:type="pct"/>
            <w:noWrap/>
            <w:vAlign w:val="center"/>
            <w:hideMark/>
          </w:tcPr>
          <w:p w14:paraId="13432CB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23</w:t>
            </w:r>
          </w:p>
        </w:tc>
        <w:tc>
          <w:tcPr>
            <w:tcW w:w="1158" w:type="pct"/>
            <w:noWrap/>
            <w:vAlign w:val="center"/>
            <w:hideMark/>
          </w:tcPr>
          <w:p w14:paraId="13161E2D"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Osmanabad</w:t>
            </w:r>
          </w:p>
        </w:tc>
        <w:tc>
          <w:tcPr>
            <w:tcW w:w="772" w:type="pct"/>
            <w:noWrap/>
            <w:vAlign w:val="center"/>
            <w:hideMark/>
          </w:tcPr>
          <w:p w14:paraId="52906DB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71.3</w:t>
            </w:r>
          </w:p>
        </w:tc>
        <w:tc>
          <w:tcPr>
            <w:tcW w:w="694" w:type="pct"/>
            <w:noWrap/>
            <w:vAlign w:val="center"/>
            <w:hideMark/>
          </w:tcPr>
          <w:p w14:paraId="09CD659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992</w:t>
            </w:r>
          </w:p>
        </w:tc>
        <w:tc>
          <w:tcPr>
            <w:tcW w:w="616" w:type="pct"/>
            <w:noWrap/>
            <w:vAlign w:val="center"/>
            <w:hideMark/>
          </w:tcPr>
          <w:p w14:paraId="27BE109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41.5</w:t>
            </w:r>
          </w:p>
        </w:tc>
        <w:tc>
          <w:tcPr>
            <w:tcW w:w="771" w:type="pct"/>
            <w:noWrap/>
            <w:vAlign w:val="center"/>
            <w:hideMark/>
          </w:tcPr>
          <w:p w14:paraId="419045E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36.6</w:t>
            </w:r>
          </w:p>
        </w:tc>
        <w:tc>
          <w:tcPr>
            <w:tcW w:w="614" w:type="pct"/>
            <w:vAlign w:val="center"/>
          </w:tcPr>
          <w:p w14:paraId="56D78EB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83.70</w:t>
            </w:r>
          </w:p>
        </w:tc>
      </w:tr>
      <w:tr w:rsidR="006F65ED" w:rsidRPr="008321C0" w14:paraId="522C60AD" w14:textId="77777777" w:rsidTr="003B42CA">
        <w:trPr>
          <w:trHeight w:val="179"/>
          <w:jc w:val="center"/>
        </w:trPr>
        <w:tc>
          <w:tcPr>
            <w:tcW w:w="374" w:type="pct"/>
            <w:noWrap/>
            <w:vAlign w:val="center"/>
            <w:hideMark/>
          </w:tcPr>
          <w:p w14:paraId="2B9138F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24</w:t>
            </w:r>
          </w:p>
        </w:tc>
        <w:tc>
          <w:tcPr>
            <w:tcW w:w="1158" w:type="pct"/>
            <w:noWrap/>
            <w:vAlign w:val="center"/>
            <w:hideMark/>
          </w:tcPr>
          <w:p w14:paraId="7D42BC4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Palghar</w:t>
            </w:r>
          </w:p>
        </w:tc>
        <w:tc>
          <w:tcPr>
            <w:tcW w:w="772" w:type="pct"/>
            <w:noWrap/>
            <w:vAlign w:val="center"/>
            <w:hideMark/>
          </w:tcPr>
          <w:p w14:paraId="043D251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77.5</w:t>
            </w:r>
          </w:p>
        </w:tc>
        <w:tc>
          <w:tcPr>
            <w:tcW w:w="694" w:type="pct"/>
            <w:noWrap/>
            <w:vAlign w:val="center"/>
            <w:hideMark/>
          </w:tcPr>
          <w:p w14:paraId="38C4B99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963</w:t>
            </w:r>
          </w:p>
        </w:tc>
        <w:tc>
          <w:tcPr>
            <w:tcW w:w="616" w:type="pct"/>
            <w:noWrap/>
            <w:vAlign w:val="center"/>
            <w:hideMark/>
          </w:tcPr>
          <w:p w14:paraId="6E10FF0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48.3</w:t>
            </w:r>
          </w:p>
        </w:tc>
        <w:tc>
          <w:tcPr>
            <w:tcW w:w="771" w:type="pct"/>
            <w:noWrap/>
            <w:vAlign w:val="center"/>
            <w:hideMark/>
          </w:tcPr>
          <w:p w14:paraId="1D15286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14.6</w:t>
            </w:r>
          </w:p>
        </w:tc>
        <w:tc>
          <w:tcPr>
            <w:tcW w:w="614" w:type="pct"/>
            <w:vAlign w:val="center"/>
          </w:tcPr>
          <w:p w14:paraId="4FBAF3E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77.60</w:t>
            </w:r>
          </w:p>
        </w:tc>
      </w:tr>
      <w:tr w:rsidR="006F65ED" w:rsidRPr="008321C0" w14:paraId="7C233D89" w14:textId="77777777" w:rsidTr="003B42CA">
        <w:trPr>
          <w:trHeight w:val="179"/>
          <w:jc w:val="center"/>
        </w:trPr>
        <w:tc>
          <w:tcPr>
            <w:tcW w:w="374" w:type="pct"/>
            <w:noWrap/>
            <w:vAlign w:val="center"/>
            <w:hideMark/>
          </w:tcPr>
          <w:p w14:paraId="0B85B2A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25</w:t>
            </w:r>
          </w:p>
        </w:tc>
        <w:tc>
          <w:tcPr>
            <w:tcW w:w="1158" w:type="pct"/>
            <w:noWrap/>
            <w:vAlign w:val="center"/>
            <w:hideMark/>
          </w:tcPr>
          <w:p w14:paraId="23246AEB"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Parbhani</w:t>
            </w:r>
          </w:p>
        </w:tc>
        <w:tc>
          <w:tcPr>
            <w:tcW w:w="772" w:type="pct"/>
            <w:noWrap/>
            <w:vAlign w:val="center"/>
            <w:hideMark/>
          </w:tcPr>
          <w:p w14:paraId="47268B9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67.1</w:t>
            </w:r>
          </w:p>
        </w:tc>
        <w:tc>
          <w:tcPr>
            <w:tcW w:w="694" w:type="pct"/>
            <w:noWrap/>
            <w:vAlign w:val="center"/>
            <w:hideMark/>
          </w:tcPr>
          <w:p w14:paraId="2CC51D7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966</w:t>
            </w:r>
          </w:p>
        </w:tc>
        <w:tc>
          <w:tcPr>
            <w:tcW w:w="616" w:type="pct"/>
            <w:noWrap/>
            <w:vAlign w:val="center"/>
            <w:hideMark/>
          </w:tcPr>
          <w:p w14:paraId="2108CF6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28.8</w:t>
            </w:r>
          </w:p>
        </w:tc>
        <w:tc>
          <w:tcPr>
            <w:tcW w:w="771" w:type="pct"/>
            <w:noWrap/>
            <w:vAlign w:val="center"/>
            <w:hideMark/>
          </w:tcPr>
          <w:p w14:paraId="6A0A56F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w:t>
            </w:r>
          </w:p>
        </w:tc>
        <w:tc>
          <w:tcPr>
            <w:tcW w:w="614" w:type="pct"/>
            <w:vAlign w:val="center"/>
          </w:tcPr>
          <w:p w14:paraId="29B7682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73.40</w:t>
            </w:r>
          </w:p>
        </w:tc>
      </w:tr>
      <w:tr w:rsidR="006F65ED" w:rsidRPr="008321C0" w14:paraId="15448323" w14:textId="77777777" w:rsidTr="003B42CA">
        <w:trPr>
          <w:trHeight w:val="179"/>
          <w:jc w:val="center"/>
        </w:trPr>
        <w:tc>
          <w:tcPr>
            <w:tcW w:w="374" w:type="pct"/>
            <w:noWrap/>
            <w:vAlign w:val="center"/>
            <w:hideMark/>
          </w:tcPr>
          <w:p w14:paraId="6EFCB8C3"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26</w:t>
            </w:r>
          </w:p>
        </w:tc>
        <w:tc>
          <w:tcPr>
            <w:tcW w:w="1158" w:type="pct"/>
            <w:noWrap/>
            <w:vAlign w:val="center"/>
            <w:hideMark/>
          </w:tcPr>
          <w:p w14:paraId="704904C0"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Pune</w:t>
            </w:r>
          </w:p>
        </w:tc>
        <w:tc>
          <w:tcPr>
            <w:tcW w:w="772" w:type="pct"/>
            <w:noWrap/>
            <w:vAlign w:val="center"/>
            <w:hideMark/>
          </w:tcPr>
          <w:p w14:paraId="3C4839F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84.8</w:t>
            </w:r>
          </w:p>
        </w:tc>
        <w:tc>
          <w:tcPr>
            <w:tcW w:w="694" w:type="pct"/>
            <w:noWrap/>
            <w:vAlign w:val="center"/>
            <w:hideMark/>
          </w:tcPr>
          <w:p w14:paraId="39E4176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918</w:t>
            </w:r>
          </w:p>
        </w:tc>
        <w:tc>
          <w:tcPr>
            <w:tcW w:w="616" w:type="pct"/>
            <w:noWrap/>
            <w:vAlign w:val="center"/>
            <w:hideMark/>
          </w:tcPr>
          <w:p w14:paraId="7E62115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61.2</w:t>
            </w:r>
          </w:p>
        </w:tc>
        <w:tc>
          <w:tcPr>
            <w:tcW w:w="771" w:type="pct"/>
            <w:noWrap/>
            <w:vAlign w:val="center"/>
            <w:hideMark/>
          </w:tcPr>
          <w:p w14:paraId="133F674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w:t>
            </w:r>
          </w:p>
        </w:tc>
        <w:tc>
          <w:tcPr>
            <w:tcW w:w="614" w:type="pct"/>
            <w:vAlign w:val="center"/>
          </w:tcPr>
          <w:p w14:paraId="02691B2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89.00</w:t>
            </w:r>
          </w:p>
        </w:tc>
      </w:tr>
      <w:tr w:rsidR="006F65ED" w:rsidRPr="008321C0" w14:paraId="46AEF278" w14:textId="77777777" w:rsidTr="003B42CA">
        <w:trPr>
          <w:trHeight w:val="179"/>
          <w:jc w:val="center"/>
        </w:trPr>
        <w:tc>
          <w:tcPr>
            <w:tcW w:w="374" w:type="pct"/>
            <w:noWrap/>
            <w:vAlign w:val="center"/>
            <w:hideMark/>
          </w:tcPr>
          <w:p w14:paraId="00679DE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27</w:t>
            </w:r>
          </w:p>
        </w:tc>
        <w:tc>
          <w:tcPr>
            <w:tcW w:w="1158" w:type="pct"/>
            <w:noWrap/>
            <w:vAlign w:val="center"/>
            <w:hideMark/>
          </w:tcPr>
          <w:p w14:paraId="222061C9"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Raigarh</w:t>
            </w:r>
          </w:p>
        </w:tc>
        <w:tc>
          <w:tcPr>
            <w:tcW w:w="772" w:type="pct"/>
            <w:noWrap/>
            <w:vAlign w:val="center"/>
            <w:hideMark/>
          </w:tcPr>
          <w:p w14:paraId="4F54137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73.7</w:t>
            </w:r>
          </w:p>
        </w:tc>
        <w:tc>
          <w:tcPr>
            <w:tcW w:w="694" w:type="pct"/>
            <w:noWrap/>
            <w:vAlign w:val="center"/>
            <w:hideMark/>
          </w:tcPr>
          <w:p w14:paraId="677BB45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1003</w:t>
            </w:r>
          </w:p>
        </w:tc>
        <w:tc>
          <w:tcPr>
            <w:tcW w:w="616" w:type="pct"/>
            <w:noWrap/>
            <w:vAlign w:val="center"/>
            <w:hideMark/>
          </w:tcPr>
          <w:p w14:paraId="0FC24DF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w:t>
            </w:r>
          </w:p>
        </w:tc>
        <w:tc>
          <w:tcPr>
            <w:tcW w:w="771" w:type="pct"/>
            <w:noWrap/>
            <w:vAlign w:val="center"/>
            <w:hideMark/>
          </w:tcPr>
          <w:p w14:paraId="2C35C6D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16</w:t>
            </w:r>
          </w:p>
        </w:tc>
        <w:tc>
          <w:tcPr>
            <w:tcW w:w="614" w:type="pct"/>
            <w:vAlign w:val="center"/>
          </w:tcPr>
          <w:p w14:paraId="2619CBD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79.20</w:t>
            </w:r>
          </w:p>
        </w:tc>
      </w:tr>
      <w:tr w:rsidR="006F65ED" w:rsidRPr="008321C0" w14:paraId="35F5DF6E" w14:textId="77777777" w:rsidTr="003B42CA">
        <w:trPr>
          <w:trHeight w:val="179"/>
          <w:jc w:val="center"/>
        </w:trPr>
        <w:tc>
          <w:tcPr>
            <w:tcW w:w="374" w:type="pct"/>
            <w:noWrap/>
            <w:vAlign w:val="center"/>
            <w:hideMark/>
          </w:tcPr>
          <w:p w14:paraId="4098B1D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28</w:t>
            </w:r>
          </w:p>
        </w:tc>
        <w:tc>
          <w:tcPr>
            <w:tcW w:w="1158" w:type="pct"/>
            <w:noWrap/>
            <w:vAlign w:val="center"/>
            <w:hideMark/>
          </w:tcPr>
          <w:p w14:paraId="3CEC8E68"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Ratnagiri</w:t>
            </w:r>
          </w:p>
        </w:tc>
        <w:tc>
          <w:tcPr>
            <w:tcW w:w="772" w:type="pct"/>
            <w:noWrap/>
            <w:vAlign w:val="center"/>
            <w:hideMark/>
          </w:tcPr>
          <w:p w14:paraId="5A1FEFD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80.3</w:t>
            </w:r>
          </w:p>
        </w:tc>
        <w:tc>
          <w:tcPr>
            <w:tcW w:w="694" w:type="pct"/>
            <w:noWrap/>
            <w:vAlign w:val="center"/>
            <w:hideMark/>
          </w:tcPr>
          <w:p w14:paraId="163FFC1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1069</w:t>
            </w:r>
          </w:p>
        </w:tc>
        <w:tc>
          <w:tcPr>
            <w:tcW w:w="616" w:type="pct"/>
            <w:noWrap/>
            <w:vAlign w:val="center"/>
            <w:hideMark/>
          </w:tcPr>
          <w:p w14:paraId="2FB5FB8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41.2</w:t>
            </w:r>
          </w:p>
        </w:tc>
        <w:tc>
          <w:tcPr>
            <w:tcW w:w="771" w:type="pct"/>
            <w:noWrap/>
            <w:vAlign w:val="center"/>
            <w:hideMark/>
          </w:tcPr>
          <w:p w14:paraId="737F64B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4.4</w:t>
            </w:r>
          </w:p>
        </w:tc>
        <w:tc>
          <w:tcPr>
            <w:tcW w:w="614" w:type="pct"/>
            <w:vAlign w:val="center"/>
          </w:tcPr>
          <w:p w14:paraId="79470E2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87.20</w:t>
            </w:r>
          </w:p>
        </w:tc>
      </w:tr>
      <w:tr w:rsidR="006F65ED" w:rsidRPr="008321C0" w14:paraId="425F9E25" w14:textId="77777777" w:rsidTr="003B42CA">
        <w:trPr>
          <w:trHeight w:val="179"/>
          <w:jc w:val="center"/>
        </w:trPr>
        <w:tc>
          <w:tcPr>
            <w:tcW w:w="374" w:type="pct"/>
            <w:noWrap/>
            <w:vAlign w:val="center"/>
            <w:hideMark/>
          </w:tcPr>
          <w:p w14:paraId="348957E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29</w:t>
            </w:r>
          </w:p>
        </w:tc>
        <w:tc>
          <w:tcPr>
            <w:tcW w:w="1158" w:type="pct"/>
            <w:noWrap/>
            <w:vAlign w:val="center"/>
            <w:hideMark/>
          </w:tcPr>
          <w:p w14:paraId="13FE03B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Sangli</w:t>
            </w:r>
          </w:p>
        </w:tc>
        <w:tc>
          <w:tcPr>
            <w:tcW w:w="772" w:type="pct"/>
            <w:noWrap/>
            <w:vAlign w:val="center"/>
            <w:hideMark/>
          </w:tcPr>
          <w:p w14:paraId="12E0A82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80.4</w:t>
            </w:r>
          </w:p>
        </w:tc>
        <w:tc>
          <w:tcPr>
            <w:tcW w:w="694" w:type="pct"/>
            <w:noWrap/>
            <w:vAlign w:val="center"/>
            <w:hideMark/>
          </w:tcPr>
          <w:p w14:paraId="4F9F5D2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1027</w:t>
            </w:r>
          </w:p>
        </w:tc>
        <w:tc>
          <w:tcPr>
            <w:tcW w:w="616" w:type="pct"/>
            <w:noWrap/>
            <w:vAlign w:val="center"/>
            <w:hideMark/>
          </w:tcPr>
          <w:p w14:paraId="2FC630A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54.6</w:t>
            </w:r>
          </w:p>
        </w:tc>
        <w:tc>
          <w:tcPr>
            <w:tcW w:w="771" w:type="pct"/>
            <w:noWrap/>
            <w:vAlign w:val="center"/>
            <w:hideMark/>
          </w:tcPr>
          <w:p w14:paraId="614493E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27</w:t>
            </w:r>
          </w:p>
        </w:tc>
        <w:tc>
          <w:tcPr>
            <w:tcW w:w="614" w:type="pct"/>
            <w:vAlign w:val="center"/>
          </w:tcPr>
          <w:p w14:paraId="1EEB426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90.30</w:t>
            </w:r>
          </w:p>
        </w:tc>
      </w:tr>
      <w:tr w:rsidR="006F65ED" w:rsidRPr="008321C0" w14:paraId="5CD299B2" w14:textId="77777777" w:rsidTr="003B42CA">
        <w:trPr>
          <w:trHeight w:val="179"/>
          <w:jc w:val="center"/>
        </w:trPr>
        <w:tc>
          <w:tcPr>
            <w:tcW w:w="374" w:type="pct"/>
            <w:noWrap/>
            <w:vAlign w:val="center"/>
            <w:hideMark/>
          </w:tcPr>
          <w:p w14:paraId="6942CFC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30</w:t>
            </w:r>
          </w:p>
        </w:tc>
        <w:tc>
          <w:tcPr>
            <w:tcW w:w="1158" w:type="pct"/>
            <w:noWrap/>
            <w:vAlign w:val="center"/>
            <w:hideMark/>
          </w:tcPr>
          <w:p w14:paraId="4329D31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Satara</w:t>
            </w:r>
          </w:p>
        </w:tc>
        <w:tc>
          <w:tcPr>
            <w:tcW w:w="772" w:type="pct"/>
            <w:noWrap/>
            <w:vAlign w:val="center"/>
            <w:hideMark/>
          </w:tcPr>
          <w:p w14:paraId="369321D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78.5</w:t>
            </w:r>
          </w:p>
        </w:tc>
        <w:tc>
          <w:tcPr>
            <w:tcW w:w="694" w:type="pct"/>
            <w:noWrap/>
            <w:vAlign w:val="center"/>
            <w:hideMark/>
          </w:tcPr>
          <w:p w14:paraId="4586402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1049</w:t>
            </w:r>
          </w:p>
        </w:tc>
        <w:tc>
          <w:tcPr>
            <w:tcW w:w="616" w:type="pct"/>
            <w:noWrap/>
            <w:vAlign w:val="center"/>
            <w:hideMark/>
          </w:tcPr>
          <w:p w14:paraId="4A58B69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48.3</w:t>
            </w:r>
          </w:p>
        </w:tc>
        <w:tc>
          <w:tcPr>
            <w:tcW w:w="771" w:type="pct"/>
            <w:noWrap/>
            <w:vAlign w:val="center"/>
            <w:hideMark/>
          </w:tcPr>
          <w:p w14:paraId="4862B50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18.1</w:t>
            </w:r>
          </w:p>
        </w:tc>
        <w:tc>
          <w:tcPr>
            <w:tcW w:w="614" w:type="pct"/>
            <w:vAlign w:val="center"/>
          </w:tcPr>
          <w:p w14:paraId="0DC86B8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87.20</w:t>
            </w:r>
          </w:p>
        </w:tc>
      </w:tr>
      <w:tr w:rsidR="006F65ED" w:rsidRPr="008321C0" w14:paraId="368213E5" w14:textId="77777777" w:rsidTr="003B42CA">
        <w:trPr>
          <w:trHeight w:val="179"/>
          <w:jc w:val="center"/>
        </w:trPr>
        <w:tc>
          <w:tcPr>
            <w:tcW w:w="374" w:type="pct"/>
            <w:noWrap/>
            <w:vAlign w:val="center"/>
            <w:hideMark/>
          </w:tcPr>
          <w:p w14:paraId="165F389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31</w:t>
            </w:r>
          </w:p>
        </w:tc>
        <w:tc>
          <w:tcPr>
            <w:tcW w:w="1158" w:type="pct"/>
            <w:noWrap/>
            <w:vAlign w:val="center"/>
            <w:hideMark/>
          </w:tcPr>
          <w:p w14:paraId="5E0A435B"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Sindhudurg</w:t>
            </w:r>
          </w:p>
        </w:tc>
        <w:tc>
          <w:tcPr>
            <w:tcW w:w="772" w:type="pct"/>
            <w:noWrap/>
            <w:vAlign w:val="center"/>
            <w:hideMark/>
          </w:tcPr>
          <w:p w14:paraId="4AC6DFB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83.1</w:t>
            </w:r>
          </w:p>
        </w:tc>
        <w:tc>
          <w:tcPr>
            <w:tcW w:w="694" w:type="pct"/>
            <w:noWrap/>
            <w:vAlign w:val="center"/>
            <w:hideMark/>
          </w:tcPr>
          <w:p w14:paraId="4A821BC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1035</w:t>
            </w:r>
          </w:p>
        </w:tc>
        <w:tc>
          <w:tcPr>
            <w:tcW w:w="616" w:type="pct"/>
            <w:noWrap/>
            <w:vAlign w:val="center"/>
            <w:hideMark/>
          </w:tcPr>
          <w:p w14:paraId="7C71152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49.4</w:t>
            </w:r>
          </w:p>
        </w:tc>
        <w:tc>
          <w:tcPr>
            <w:tcW w:w="771" w:type="pct"/>
            <w:noWrap/>
            <w:vAlign w:val="center"/>
            <w:hideMark/>
          </w:tcPr>
          <w:p w14:paraId="19468F2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w:t>
            </w:r>
          </w:p>
        </w:tc>
        <w:tc>
          <w:tcPr>
            <w:tcW w:w="614" w:type="pct"/>
            <w:vAlign w:val="center"/>
          </w:tcPr>
          <w:p w14:paraId="42EDC3E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92.10</w:t>
            </w:r>
          </w:p>
        </w:tc>
      </w:tr>
      <w:tr w:rsidR="006F65ED" w:rsidRPr="008321C0" w14:paraId="18A189E4" w14:textId="77777777" w:rsidTr="003B42CA">
        <w:trPr>
          <w:trHeight w:val="179"/>
          <w:jc w:val="center"/>
        </w:trPr>
        <w:tc>
          <w:tcPr>
            <w:tcW w:w="374" w:type="pct"/>
            <w:noWrap/>
            <w:vAlign w:val="center"/>
            <w:hideMark/>
          </w:tcPr>
          <w:p w14:paraId="374205E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32</w:t>
            </w:r>
          </w:p>
        </w:tc>
        <w:tc>
          <w:tcPr>
            <w:tcW w:w="1158" w:type="pct"/>
            <w:noWrap/>
            <w:vAlign w:val="center"/>
            <w:hideMark/>
          </w:tcPr>
          <w:p w14:paraId="7AE8E387"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Solapur</w:t>
            </w:r>
          </w:p>
        </w:tc>
        <w:tc>
          <w:tcPr>
            <w:tcW w:w="772" w:type="pct"/>
            <w:noWrap/>
            <w:vAlign w:val="center"/>
            <w:hideMark/>
          </w:tcPr>
          <w:p w14:paraId="536D9AD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72</w:t>
            </w:r>
          </w:p>
        </w:tc>
        <w:tc>
          <w:tcPr>
            <w:tcW w:w="694" w:type="pct"/>
            <w:noWrap/>
            <w:vAlign w:val="center"/>
            <w:hideMark/>
          </w:tcPr>
          <w:p w14:paraId="2EDB14F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962</w:t>
            </w:r>
          </w:p>
        </w:tc>
        <w:tc>
          <w:tcPr>
            <w:tcW w:w="616" w:type="pct"/>
            <w:noWrap/>
            <w:vAlign w:val="center"/>
            <w:hideMark/>
          </w:tcPr>
          <w:p w14:paraId="25C0D55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36</w:t>
            </w:r>
          </w:p>
        </w:tc>
        <w:tc>
          <w:tcPr>
            <w:tcW w:w="771" w:type="pct"/>
            <w:noWrap/>
            <w:vAlign w:val="center"/>
            <w:hideMark/>
          </w:tcPr>
          <w:p w14:paraId="71C4997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40.3</w:t>
            </w:r>
          </w:p>
        </w:tc>
        <w:tc>
          <w:tcPr>
            <w:tcW w:w="614" w:type="pct"/>
            <w:vAlign w:val="center"/>
          </w:tcPr>
          <w:p w14:paraId="1E40023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76.40</w:t>
            </w:r>
          </w:p>
        </w:tc>
      </w:tr>
      <w:tr w:rsidR="006F65ED" w:rsidRPr="008321C0" w14:paraId="78800B72" w14:textId="77777777" w:rsidTr="003B42CA">
        <w:trPr>
          <w:trHeight w:val="179"/>
          <w:jc w:val="center"/>
        </w:trPr>
        <w:tc>
          <w:tcPr>
            <w:tcW w:w="374" w:type="pct"/>
            <w:noWrap/>
            <w:vAlign w:val="center"/>
            <w:hideMark/>
          </w:tcPr>
          <w:p w14:paraId="0833B31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33</w:t>
            </w:r>
          </w:p>
        </w:tc>
        <w:tc>
          <w:tcPr>
            <w:tcW w:w="1158" w:type="pct"/>
            <w:noWrap/>
            <w:vAlign w:val="center"/>
            <w:hideMark/>
          </w:tcPr>
          <w:p w14:paraId="426B3DB8"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Thane</w:t>
            </w:r>
          </w:p>
        </w:tc>
        <w:tc>
          <w:tcPr>
            <w:tcW w:w="772" w:type="pct"/>
            <w:noWrap/>
            <w:vAlign w:val="center"/>
            <w:hideMark/>
          </w:tcPr>
          <w:p w14:paraId="272BA20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86.1</w:t>
            </w:r>
          </w:p>
        </w:tc>
        <w:tc>
          <w:tcPr>
            <w:tcW w:w="694" w:type="pct"/>
            <w:noWrap/>
            <w:vAlign w:val="center"/>
            <w:hideMark/>
          </w:tcPr>
          <w:p w14:paraId="4FF476E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982</w:t>
            </w:r>
          </w:p>
        </w:tc>
        <w:tc>
          <w:tcPr>
            <w:tcW w:w="616" w:type="pct"/>
            <w:noWrap/>
            <w:vAlign w:val="center"/>
            <w:hideMark/>
          </w:tcPr>
          <w:p w14:paraId="7082863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55.9</w:t>
            </w:r>
          </w:p>
        </w:tc>
        <w:tc>
          <w:tcPr>
            <w:tcW w:w="771" w:type="pct"/>
            <w:noWrap/>
            <w:vAlign w:val="center"/>
            <w:hideMark/>
          </w:tcPr>
          <w:p w14:paraId="5A64917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18.4</w:t>
            </w:r>
          </w:p>
        </w:tc>
        <w:tc>
          <w:tcPr>
            <w:tcW w:w="614" w:type="pct"/>
            <w:vAlign w:val="center"/>
          </w:tcPr>
          <w:p w14:paraId="5F2DBB8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90.50</w:t>
            </w:r>
          </w:p>
        </w:tc>
      </w:tr>
      <w:tr w:rsidR="006F65ED" w:rsidRPr="008321C0" w14:paraId="09214F4C" w14:textId="77777777" w:rsidTr="003B42CA">
        <w:trPr>
          <w:trHeight w:val="179"/>
          <w:jc w:val="center"/>
        </w:trPr>
        <w:tc>
          <w:tcPr>
            <w:tcW w:w="374" w:type="pct"/>
            <w:noWrap/>
            <w:vAlign w:val="center"/>
            <w:hideMark/>
          </w:tcPr>
          <w:p w14:paraId="634419B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34</w:t>
            </w:r>
          </w:p>
        </w:tc>
        <w:tc>
          <w:tcPr>
            <w:tcW w:w="1158" w:type="pct"/>
            <w:noWrap/>
            <w:vAlign w:val="center"/>
            <w:hideMark/>
          </w:tcPr>
          <w:p w14:paraId="469B3A5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Wardha</w:t>
            </w:r>
          </w:p>
        </w:tc>
        <w:tc>
          <w:tcPr>
            <w:tcW w:w="772" w:type="pct"/>
            <w:noWrap/>
            <w:vAlign w:val="center"/>
            <w:hideMark/>
          </w:tcPr>
          <w:p w14:paraId="4C1A635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85.1</w:t>
            </w:r>
          </w:p>
        </w:tc>
        <w:tc>
          <w:tcPr>
            <w:tcW w:w="694" w:type="pct"/>
            <w:noWrap/>
            <w:vAlign w:val="center"/>
            <w:hideMark/>
          </w:tcPr>
          <w:p w14:paraId="2B62CA5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979</w:t>
            </w:r>
          </w:p>
        </w:tc>
        <w:tc>
          <w:tcPr>
            <w:tcW w:w="616" w:type="pct"/>
            <w:noWrap/>
            <w:vAlign w:val="center"/>
            <w:hideMark/>
          </w:tcPr>
          <w:p w14:paraId="07FA3AF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56.5</w:t>
            </w:r>
          </w:p>
        </w:tc>
        <w:tc>
          <w:tcPr>
            <w:tcW w:w="771" w:type="pct"/>
            <w:noWrap/>
            <w:vAlign w:val="center"/>
            <w:hideMark/>
          </w:tcPr>
          <w:p w14:paraId="25B5B04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w:t>
            </w:r>
          </w:p>
        </w:tc>
        <w:tc>
          <w:tcPr>
            <w:tcW w:w="614" w:type="pct"/>
            <w:vAlign w:val="center"/>
          </w:tcPr>
          <w:p w14:paraId="4638B91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93.00</w:t>
            </w:r>
          </w:p>
        </w:tc>
      </w:tr>
      <w:tr w:rsidR="006F65ED" w:rsidRPr="008321C0" w14:paraId="0B1FAFB9" w14:textId="77777777" w:rsidTr="003B42CA">
        <w:trPr>
          <w:trHeight w:val="179"/>
          <w:jc w:val="center"/>
        </w:trPr>
        <w:tc>
          <w:tcPr>
            <w:tcW w:w="374" w:type="pct"/>
            <w:noWrap/>
            <w:vAlign w:val="center"/>
            <w:hideMark/>
          </w:tcPr>
          <w:p w14:paraId="5DEBC2F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35</w:t>
            </w:r>
          </w:p>
        </w:tc>
        <w:tc>
          <w:tcPr>
            <w:tcW w:w="1158" w:type="pct"/>
            <w:noWrap/>
            <w:vAlign w:val="center"/>
            <w:hideMark/>
          </w:tcPr>
          <w:p w14:paraId="38A36BF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Washim</w:t>
            </w:r>
          </w:p>
        </w:tc>
        <w:tc>
          <w:tcPr>
            <w:tcW w:w="772" w:type="pct"/>
            <w:noWrap/>
            <w:vAlign w:val="center"/>
            <w:hideMark/>
          </w:tcPr>
          <w:p w14:paraId="70712A8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76</w:t>
            </w:r>
          </w:p>
        </w:tc>
        <w:tc>
          <w:tcPr>
            <w:tcW w:w="694" w:type="pct"/>
            <w:noWrap/>
            <w:vAlign w:val="center"/>
            <w:hideMark/>
          </w:tcPr>
          <w:p w14:paraId="40799AC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948</w:t>
            </w:r>
          </w:p>
        </w:tc>
        <w:tc>
          <w:tcPr>
            <w:tcW w:w="616" w:type="pct"/>
            <w:noWrap/>
            <w:vAlign w:val="center"/>
            <w:hideMark/>
          </w:tcPr>
          <w:p w14:paraId="143338A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w:t>
            </w:r>
          </w:p>
        </w:tc>
        <w:tc>
          <w:tcPr>
            <w:tcW w:w="771" w:type="pct"/>
            <w:noWrap/>
            <w:vAlign w:val="center"/>
            <w:hideMark/>
          </w:tcPr>
          <w:p w14:paraId="0C123F2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27.7</w:t>
            </w:r>
          </w:p>
        </w:tc>
        <w:tc>
          <w:tcPr>
            <w:tcW w:w="614" w:type="pct"/>
            <w:vAlign w:val="center"/>
          </w:tcPr>
          <w:p w14:paraId="330CBF9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78.00</w:t>
            </w:r>
          </w:p>
        </w:tc>
      </w:tr>
      <w:tr w:rsidR="006F65ED" w:rsidRPr="008321C0" w14:paraId="47D5C685" w14:textId="77777777" w:rsidTr="003B42CA">
        <w:trPr>
          <w:trHeight w:val="179"/>
          <w:jc w:val="center"/>
        </w:trPr>
        <w:tc>
          <w:tcPr>
            <w:tcW w:w="374" w:type="pct"/>
            <w:noWrap/>
            <w:vAlign w:val="center"/>
            <w:hideMark/>
          </w:tcPr>
          <w:p w14:paraId="59A4FCD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36</w:t>
            </w:r>
          </w:p>
        </w:tc>
        <w:tc>
          <w:tcPr>
            <w:tcW w:w="1158" w:type="pct"/>
            <w:noWrap/>
            <w:vAlign w:val="center"/>
            <w:hideMark/>
          </w:tcPr>
          <w:p w14:paraId="2984732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Yavatmal</w:t>
            </w:r>
          </w:p>
        </w:tc>
        <w:tc>
          <w:tcPr>
            <w:tcW w:w="772" w:type="pct"/>
            <w:noWrap/>
            <w:vAlign w:val="center"/>
            <w:hideMark/>
          </w:tcPr>
          <w:p w14:paraId="5942C86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77.6</w:t>
            </w:r>
          </w:p>
        </w:tc>
        <w:tc>
          <w:tcPr>
            <w:tcW w:w="694" w:type="pct"/>
            <w:noWrap/>
            <w:vAlign w:val="center"/>
            <w:hideMark/>
          </w:tcPr>
          <w:p w14:paraId="72100A4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986</w:t>
            </w:r>
          </w:p>
        </w:tc>
        <w:tc>
          <w:tcPr>
            <w:tcW w:w="616" w:type="pct"/>
            <w:noWrap/>
            <w:vAlign w:val="center"/>
            <w:hideMark/>
          </w:tcPr>
          <w:p w14:paraId="6C687D8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38.9</w:t>
            </w:r>
          </w:p>
        </w:tc>
        <w:tc>
          <w:tcPr>
            <w:tcW w:w="771" w:type="pct"/>
            <w:noWrap/>
            <w:vAlign w:val="center"/>
            <w:hideMark/>
          </w:tcPr>
          <w:p w14:paraId="7FA53FA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11.7</w:t>
            </w:r>
          </w:p>
        </w:tc>
        <w:tc>
          <w:tcPr>
            <w:tcW w:w="614" w:type="pct"/>
            <w:vAlign w:val="center"/>
          </w:tcPr>
          <w:p w14:paraId="01878A6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80.80</w:t>
            </w:r>
          </w:p>
        </w:tc>
      </w:tr>
      <w:tr w:rsidR="006F65ED" w:rsidRPr="008321C0" w14:paraId="6F191664" w14:textId="77777777" w:rsidTr="003B42CA">
        <w:trPr>
          <w:trHeight w:val="179"/>
          <w:jc w:val="center"/>
        </w:trPr>
        <w:tc>
          <w:tcPr>
            <w:tcW w:w="374" w:type="pct"/>
            <w:vMerge w:val="restart"/>
            <w:noWrap/>
            <w:vAlign w:val="center"/>
            <w:hideMark/>
          </w:tcPr>
          <w:p w14:paraId="6F2DB721" w14:textId="77777777" w:rsidR="006F65ED" w:rsidRPr="008321C0" w:rsidRDefault="006F65ED" w:rsidP="008321C0">
            <w:pPr>
              <w:spacing w:after="0" w:line="360" w:lineRule="auto"/>
              <w:jc w:val="center"/>
              <w:rPr>
                <w:rFonts w:ascii="Arial" w:eastAsia="Times New Roman" w:hAnsi="Arial" w:cs="Arial"/>
                <w:b/>
                <w:bCs/>
                <w:sz w:val="20"/>
                <w:szCs w:val="20"/>
              </w:rPr>
            </w:pPr>
          </w:p>
        </w:tc>
        <w:tc>
          <w:tcPr>
            <w:tcW w:w="1158" w:type="pct"/>
            <w:noWrap/>
            <w:vAlign w:val="center"/>
            <w:hideMark/>
          </w:tcPr>
          <w:p w14:paraId="47D757FC" w14:textId="77777777" w:rsidR="006F65ED" w:rsidRPr="008321C0" w:rsidRDefault="006F65ED" w:rsidP="008321C0">
            <w:pPr>
              <w:spacing w:after="0" w:line="360" w:lineRule="auto"/>
              <w:rPr>
                <w:rFonts w:ascii="Arial" w:eastAsia="Times New Roman" w:hAnsi="Arial" w:cs="Arial"/>
                <w:b/>
                <w:bCs/>
                <w:sz w:val="20"/>
                <w:szCs w:val="20"/>
              </w:rPr>
            </w:pPr>
            <w:r w:rsidRPr="008321C0">
              <w:rPr>
                <w:rFonts w:ascii="Arial" w:eastAsia="Times New Roman" w:hAnsi="Arial" w:cs="Arial"/>
                <w:b/>
                <w:bCs/>
                <w:sz w:val="20"/>
                <w:szCs w:val="20"/>
              </w:rPr>
              <w:t>Maharashtra</w:t>
            </w:r>
          </w:p>
        </w:tc>
        <w:tc>
          <w:tcPr>
            <w:tcW w:w="772" w:type="pct"/>
            <w:noWrap/>
            <w:vAlign w:val="center"/>
            <w:hideMark/>
          </w:tcPr>
          <w:p w14:paraId="2B574713"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79.6</w:t>
            </w:r>
          </w:p>
        </w:tc>
        <w:tc>
          <w:tcPr>
            <w:tcW w:w="694" w:type="pct"/>
            <w:noWrap/>
            <w:vAlign w:val="center"/>
            <w:hideMark/>
          </w:tcPr>
          <w:p w14:paraId="4E4E664A"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966</w:t>
            </w:r>
          </w:p>
        </w:tc>
        <w:tc>
          <w:tcPr>
            <w:tcW w:w="616" w:type="pct"/>
            <w:noWrap/>
            <w:vAlign w:val="center"/>
            <w:hideMark/>
          </w:tcPr>
          <w:p w14:paraId="30B6FC2D"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50.4</w:t>
            </w:r>
          </w:p>
        </w:tc>
        <w:tc>
          <w:tcPr>
            <w:tcW w:w="771" w:type="pct"/>
            <w:noWrap/>
            <w:vAlign w:val="center"/>
            <w:hideMark/>
          </w:tcPr>
          <w:p w14:paraId="76F51546"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21.9</w:t>
            </w:r>
          </w:p>
        </w:tc>
        <w:tc>
          <w:tcPr>
            <w:tcW w:w="614" w:type="pct"/>
            <w:vAlign w:val="center"/>
          </w:tcPr>
          <w:p w14:paraId="333E10D9"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84.60</w:t>
            </w:r>
          </w:p>
        </w:tc>
      </w:tr>
      <w:tr w:rsidR="006F65ED" w:rsidRPr="008321C0" w14:paraId="3AA4F611" w14:textId="77777777" w:rsidTr="003B42CA">
        <w:trPr>
          <w:trHeight w:val="179"/>
          <w:jc w:val="center"/>
        </w:trPr>
        <w:tc>
          <w:tcPr>
            <w:tcW w:w="374" w:type="pct"/>
            <w:vMerge/>
            <w:noWrap/>
            <w:vAlign w:val="center"/>
            <w:hideMark/>
          </w:tcPr>
          <w:p w14:paraId="307CF80F" w14:textId="77777777" w:rsidR="006F65ED" w:rsidRPr="008321C0" w:rsidRDefault="006F65ED" w:rsidP="008321C0">
            <w:pPr>
              <w:spacing w:after="0" w:line="360" w:lineRule="auto"/>
              <w:jc w:val="center"/>
              <w:rPr>
                <w:rFonts w:ascii="Arial" w:eastAsia="Times New Roman" w:hAnsi="Arial" w:cs="Arial"/>
                <w:b/>
                <w:bCs/>
                <w:sz w:val="20"/>
                <w:szCs w:val="20"/>
              </w:rPr>
            </w:pPr>
          </w:p>
        </w:tc>
        <w:tc>
          <w:tcPr>
            <w:tcW w:w="1158" w:type="pct"/>
            <w:noWrap/>
            <w:vAlign w:val="center"/>
            <w:hideMark/>
          </w:tcPr>
          <w:p w14:paraId="4545297F" w14:textId="77777777" w:rsidR="006F65ED" w:rsidRPr="008321C0" w:rsidRDefault="006F65ED" w:rsidP="008321C0">
            <w:pPr>
              <w:spacing w:after="0" w:line="360" w:lineRule="auto"/>
              <w:rPr>
                <w:rFonts w:ascii="Arial" w:eastAsia="Times New Roman" w:hAnsi="Arial" w:cs="Arial"/>
                <w:b/>
                <w:bCs/>
                <w:sz w:val="20"/>
                <w:szCs w:val="20"/>
              </w:rPr>
            </w:pPr>
            <w:r w:rsidRPr="008321C0">
              <w:rPr>
                <w:rFonts w:ascii="Arial" w:eastAsia="Times New Roman" w:hAnsi="Arial" w:cs="Arial"/>
                <w:b/>
                <w:bCs/>
                <w:sz w:val="20"/>
                <w:szCs w:val="20"/>
              </w:rPr>
              <w:t>India</w:t>
            </w:r>
          </w:p>
        </w:tc>
        <w:tc>
          <w:tcPr>
            <w:tcW w:w="772" w:type="pct"/>
            <w:noWrap/>
            <w:vAlign w:val="center"/>
            <w:hideMark/>
          </w:tcPr>
          <w:p w14:paraId="0955C302"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71.8</w:t>
            </w:r>
          </w:p>
        </w:tc>
        <w:tc>
          <w:tcPr>
            <w:tcW w:w="694" w:type="pct"/>
            <w:noWrap/>
            <w:vAlign w:val="center"/>
            <w:hideMark/>
          </w:tcPr>
          <w:p w14:paraId="3A26DD59"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1020</w:t>
            </w:r>
          </w:p>
        </w:tc>
        <w:tc>
          <w:tcPr>
            <w:tcW w:w="616" w:type="pct"/>
            <w:noWrap/>
            <w:vAlign w:val="center"/>
            <w:hideMark/>
          </w:tcPr>
          <w:p w14:paraId="00066CF6"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41</w:t>
            </w:r>
          </w:p>
        </w:tc>
        <w:tc>
          <w:tcPr>
            <w:tcW w:w="771" w:type="pct"/>
            <w:noWrap/>
            <w:vAlign w:val="center"/>
            <w:hideMark/>
          </w:tcPr>
          <w:p w14:paraId="118ED3BD"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23.3</w:t>
            </w:r>
          </w:p>
        </w:tc>
        <w:tc>
          <w:tcPr>
            <w:tcW w:w="614" w:type="pct"/>
            <w:vAlign w:val="center"/>
          </w:tcPr>
          <w:p w14:paraId="2F5DC03F"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71.50</w:t>
            </w:r>
          </w:p>
        </w:tc>
      </w:tr>
    </w:tbl>
    <w:p w14:paraId="6580AEE2" w14:textId="77777777" w:rsidR="006F65ED" w:rsidRDefault="008321C0" w:rsidP="008321C0">
      <w:pPr>
        <w:pStyle w:val="BodyText"/>
        <w:spacing w:before="0" w:after="0"/>
        <w:jc w:val="center"/>
        <w:rPr>
          <w:rFonts w:ascii="Arial" w:hAnsi="Arial" w:cs="Arial"/>
          <w:sz w:val="20"/>
          <w:szCs w:val="20"/>
        </w:rPr>
      </w:pPr>
      <w:r w:rsidRPr="008321C0">
        <w:rPr>
          <w:rFonts w:ascii="Arial" w:hAnsi="Arial" w:cs="Arial"/>
          <w:b/>
          <w:bCs/>
          <w:sz w:val="20"/>
          <w:szCs w:val="20"/>
        </w:rPr>
        <w:t>Source:</w:t>
      </w:r>
      <w:r w:rsidRPr="008321C0">
        <w:rPr>
          <w:rFonts w:ascii="Arial" w:hAnsi="Arial" w:cs="Arial"/>
          <w:sz w:val="20"/>
          <w:szCs w:val="20"/>
        </w:rPr>
        <w:t xml:space="preserve"> Socio-Economic Abstract of Ahilyanagar District-2024</w:t>
      </w:r>
    </w:p>
    <w:p w14:paraId="14C20399" w14:textId="77777777" w:rsidR="008321C0" w:rsidRPr="008321C0" w:rsidRDefault="008321C0" w:rsidP="008321C0">
      <w:pPr>
        <w:pStyle w:val="BodyText"/>
        <w:spacing w:before="0" w:after="0"/>
        <w:jc w:val="center"/>
        <w:rPr>
          <w:rFonts w:ascii="Arial" w:hAnsi="Arial" w:cs="Arial"/>
          <w:sz w:val="20"/>
          <w:szCs w:val="20"/>
        </w:rPr>
      </w:pPr>
    </w:p>
    <w:p w14:paraId="7210C2D8"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bookmarkStart w:id="7" w:name="conclusion"/>
      <w:bookmarkEnd w:id="6"/>
      <w:commentRangeStart w:id="8"/>
      <w:r w:rsidRPr="008321C0">
        <w:rPr>
          <w:rFonts w:ascii="Arial" w:eastAsiaTheme="majorEastAsia" w:hAnsi="Arial" w:cs="Arial"/>
          <w:b/>
          <w:bCs/>
          <w:sz w:val="20"/>
          <w:szCs w:val="20"/>
        </w:rPr>
        <w:t xml:space="preserve">3.1 </w:t>
      </w:r>
      <w:r w:rsidR="00D31BEC" w:rsidRPr="008321C0">
        <w:rPr>
          <w:rFonts w:ascii="Arial" w:eastAsiaTheme="majorEastAsia" w:hAnsi="Arial" w:cs="Arial"/>
          <w:b/>
          <w:bCs/>
          <w:sz w:val="20"/>
          <w:szCs w:val="20"/>
        </w:rPr>
        <w:t>District Variation in Education and Marriage</w:t>
      </w:r>
    </w:p>
    <w:p w14:paraId="080FD680"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Female schooling and literacy vary greatly by district. Urbanized districts rank highest: Mumbai Suburban, Mumbai, Nagpur, Pune, and Thane all have &gt;90% female literacy and &gt;60% women with ≥10 years of schooling (IIPS, 2021). For example, Mumbai Suburban reports 91.6% literacy and 65.7% with ≥10 years schooling.</w:t>
      </w:r>
    </w:p>
    <w:p w14:paraId="62A4B40E" w14:textId="77777777" w:rsidR="00D31BEC"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Nandurbar has only 57.7% female literacy and 29.9% with ≥10 years schooling, and a 24.0% child marriage rate (IIPS, 2021). Parbhani similarly reports 73.4% literacy, 28.8% schooling, and 48% early marriage — the highest in the state (IIPS, 2021).</w:t>
      </w:r>
    </w:p>
    <w:p w14:paraId="639C68D5" w14:textId="77777777" w:rsidR="00C215F3" w:rsidRDefault="00C215F3" w:rsidP="008321C0">
      <w:pPr>
        <w:pStyle w:val="BodyText"/>
        <w:spacing w:before="0" w:after="0" w:line="360" w:lineRule="auto"/>
        <w:jc w:val="both"/>
        <w:rPr>
          <w:rFonts w:ascii="Arial" w:eastAsiaTheme="majorEastAsia" w:hAnsi="Arial" w:cs="Arial"/>
          <w:sz w:val="20"/>
          <w:szCs w:val="20"/>
        </w:rPr>
      </w:pPr>
      <w:r w:rsidRPr="00C215F3">
        <w:rPr>
          <w:rFonts w:ascii="Arial" w:eastAsiaTheme="majorEastAsia" w:hAnsi="Arial" w:cs="Arial"/>
          <w:sz w:val="20"/>
          <w:szCs w:val="20"/>
        </w:rPr>
        <w:t>The spatial pattern of women’s education and child marriage in Maharashtra reflects broader regional inequalities observed across India. Districts located in urban–industrial corridors and western Maharashtra demonstrate higher female educational attainment and delayed marriage, consistent with findings from earlier regional studies (Raj et al., 2019; Desai &amp; Vanneman, 2015). Conversely, districts in tribal belts and the Marathwada region show persistent educational deprivation and elevated early marriage prevalence, aligning with national evidence that rural location, poverty, and limited secondary schooling infrastructure intensify child marriage risks (UNICEF, 2020; World Bank, 2018). Similar district-level disparities have been highlighted in recent geospatial analyses, which identify education as the strongest protective factor against early marriage, outweighing even household wealth in several regions (BMC Public Health, 2024).</w:t>
      </w:r>
    </w:p>
    <w:p w14:paraId="026E94DD" w14:textId="77777777" w:rsidR="00572CFC" w:rsidRPr="008321C0" w:rsidRDefault="00572CFC" w:rsidP="008321C0">
      <w:pPr>
        <w:pStyle w:val="BodyText"/>
        <w:spacing w:before="0" w:after="0" w:line="360" w:lineRule="auto"/>
        <w:jc w:val="both"/>
        <w:rPr>
          <w:rFonts w:ascii="Arial" w:eastAsiaTheme="majorEastAsia" w:hAnsi="Arial" w:cs="Arial"/>
          <w:sz w:val="20"/>
          <w:szCs w:val="20"/>
        </w:rPr>
      </w:pPr>
      <w:commentRangeStart w:id="9"/>
      <w:r>
        <w:rPr>
          <w:rFonts w:ascii="Arial" w:eastAsiaTheme="majorEastAsia" w:hAnsi="Arial" w:cs="Arial"/>
          <w:sz w:val="20"/>
          <w:szCs w:val="20"/>
        </w:rPr>
        <w:t xml:space="preserve">Fig 1: </w:t>
      </w:r>
      <w:r w:rsidRPr="00572CFC">
        <w:rPr>
          <w:rFonts w:ascii="Arial" w:eastAsiaTheme="majorEastAsia" w:hAnsi="Arial" w:cs="Arial"/>
          <w:sz w:val="20"/>
          <w:szCs w:val="20"/>
        </w:rPr>
        <w:t>Top 5 Districts in Women's Schooling (10+ years)</w:t>
      </w:r>
    </w:p>
    <w:p w14:paraId="6751A1D3" w14:textId="77777777" w:rsidR="00A33B8D" w:rsidRDefault="00A33B8D"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noProof/>
          <w:sz w:val="20"/>
          <w:szCs w:val="20"/>
        </w:rPr>
        <w:lastRenderedPageBreak/>
        <w:drawing>
          <wp:inline distT="0" distB="0" distL="0" distR="0" wp14:anchorId="6E1297B4" wp14:editId="5A52CD06">
            <wp:extent cx="5432400" cy="32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2400" cy="3240000"/>
                    </a:xfrm>
                    <a:prstGeom prst="rect">
                      <a:avLst/>
                    </a:prstGeom>
                    <a:noFill/>
                  </pic:spPr>
                </pic:pic>
              </a:graphicData>
            </a:graphic>
          </wp:inline>
        </w:drawing>
      </w:r>
    </w:p>
    <w:p w14:paraId="41B9F6B1" w14:textId="77777777" w:rsidR="00572CFC" w:rsidRDefault="00572CFC" w:rsidP="008321C0">
      <w:pPr>
        <w:pStyle w:val="BodyText"/>
        <w:spacing w:before="0" w:after="0" w:line="360" w:lineRule="auto"/>
        <w:jc w:val="both"/>
        <w:rPr>
          <w:rFonts w:ascii="Arial" w:eastAsiaTheme="majorEastAsia" w:hAnsi="Arial" w:cs="Arial"/>
          <w:sz w:val="20"/>
          <w:szCs w:val="20"/>
        </w:rPr>
      </w:pPr>
    </w:p>
    <w:p w14:paraId="1639C962" w14:textId="77777777" w:rsidR="00572CFC" w:rsidRDefault="00572CFC" w:rsidP="008321C0">
      <w:pPr>
        <w:pStyle w:val="BodyText"/>
        <w:spacing w:before="0" w:after="0" w:line="360" w:lineRule="auto"/>
        <w:jc w:val="both"/>
        <w:rPr>
          <w:rFonts w:ascii="Arial" w:eastAsiaTheme="majorEastAsia" w:hAnsi="Arial" w:cs="Arial"/>
          <w:sz w:val="20"/>
          <w:szCs w:val="20"/>
        </w:rPr>
      </w:pPr>
      <w:r>
        <w:rPr>
          <w:rFonts w:ascii="Arial" w:eastAsiaTheme="majorEastAsia" w:hAnsi="Arial" w:cs="Arial"/>
          <w:sz w:val="20"/>
          <w:szCs w:val="20"/>
        </w:rPr>
        <w:t xml:space="preserve">Fig 2: </w:t>
      </w:r>
      <w:r w:rsidRPr="00572CFC">
        <w:rPr>
          <w:rFonts w:ascii="Arial" w:eastAsiaTheme="majorEastAsia" w:hAnsi="Arial" w:cs="Arial"/>
          <w:sz w:val="20"/>
          <w:szCs w:val="20"/>
        </w:rPr>
        <w:t>Bottom 5 Districts in Women's Schooling (10+ years)</w:t>
      </w:r>
    </w:p>
    <w:p w14:paraId="41EF695A" w14:textId="77777777" w:rsidR="00A33B8D" w:rsidRPr="008321C0" w:rsidRDefault="00A33B8D"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noProof/>
          <w:sz w:val="20"/>
          <w:szCs w:val="20"/>
        </w:rPr>
        <w:drawing>
          <wp:inline distT="0" distB="0" distL="0" distR="0" wp14:anchorId="35904A1A" wp14:editId="7B77A900">
            <wp:extent cx="5432400" cy="32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2400" cy="3240000"/>
                    </a:xfrm>
                    <a:prstGeom prst="rect">
                      <a:avLst/>
                    </a:prstGeom>
                    <a:noFill/>
                  </pic:spPr>
                </pic:pic>
              </a:graphicData>
            </a:graphic>
          </wp:inline>
        </w:drawing>
      </w:r>
      <w:commentRangeEnd w:id="9"/>
      <w:r w:rsidR="001074BE">
        <w:rPr>
          <w:rStyle w:val="CommentReference"/>
        </w:rPr>
        <w:commentReference w:id="9"/>
      </w:r>
    </w:p>
    <w:p w14:paraId="18A976BE" w14:textId="77777777" w:rsidR="00E968C5" w:rsidRPr="008321C0" w:rsidRDefault="00E968C5" w:rsidP="008321C0">
      <w:pPr>
        <w:spacing w:after="0" w:line="360" w:lineRule="auto"/>
        <w:jc w:val="both"/>
        <w:rPr>
          <w:rFonts w:ascii="Arial" w:hAnsi="Arial" w:cs="Arial"/>
          <w:sz w:val="20"/>
          <w:szCs w:val="20"/>
        </w:rPr>
      </w:pPr>
      <w:r w:rsidRPr="008321C0">
        <w:rPr>
          <w:rFonts w:ascii="Arial" w:hAnsi="Arial" w:cs="Arial"/>
          <w:sz w:val="20"/>
          <w:szCs w:val="20"/>
        </w:rPr>
        <w:t xml:space="preserve">National analyses (NFHS-4 and 5) show a strong negative correlation between women’s education and underage marriage. In fact, states with the highest schooling have the lowest child marriage rates (Ashoka University Data Lab, 2022). Our Maharashtra data follows the same trend. Districts with higher female schooling and literacy consistently report much lower early marriage. A simple calculation from the above data yields a Pearson correlation of about –0.66 between women’s ≥10-year schooling rate and the share </w:t>
      </w:r>
      <w:r w:rsidRPr="008321C0">
        <w:rPr>
          <w:rFonts w:ascii="Arial" w:hAnsi="Arial" w:cs="Arial"/>
          <w:sz w:val="20"/>
          <w:szCs w:val="20"/>
        </w:rPr>
        <w:lastRenderedPageBreak/>
        <w:t>married before 18. This echoes the broader finding: for India overall, women’s ≥10-year schooling rose from 35.7% (NFHS-4) to 41.0% (NFHS-5) as the proportion married by 18 fell from 26.8% to 23.3% (MoHFW, 2021; IIPS &amp; ICF, 2017). In summary, education appears to be the most significant predictor of delayed marriage in Maharashtra as well.</w:t>
      </w:r>
    </w:p>
    <w:p w14:paraId="383D10B8" w14:textId="77777777" w:rsidR="00E968C5" w:rsidRDefault="00E968C5" w:rsidP="008321C0">
      <w:pPr>
        <w:spacing w:after="0" w:line="360" w:lineRule="auto"/>
        <w:jc w:val="both"/>
        <w:rPr>
          <w:rFonts w:ascii="Arial" w:hAnsi="Arial" w:cs="Arial"/>
          <w:sz w:val="20"/>
          <w:szCs w:val="20"/>
        </w:rPr>
      </w:pPr>
      <w:commentRangeStart w:id="10"/>
      <w:r w:rsidRPr="008321C0">
        <w:rPr>
          <w:rFonts w:ascii="Arial" w:hAnsi="Arial" w:cs="Arial"/>
          <w:noProof/>
          <w:sz w:val="20"/>
          <w:szCs w:val="20"/>
        </w:rPr>
        <w:drawing>
          <wp:inline distT="0" distB="0" distL="0" distR="0" wp14:anchorId="389B51DF" wp14:editId="39A0AF01">
            <wp:extent cx="5533200" cy="32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3200" cy="3240000"/>
                    </a:xfrm>
                    <a:prstGeom prst="rect">
                      <a:avLst/>
                    </a:prstGeom>
                    <a:noFill/>
                  </pic:spPr>
                </pic:pic>
              </a:graphicData>
            </a:graphic>
          </wp:inline>
        </w:drawing>
      </w:r>
    </w:p>
    <w:p w14:paraId="19B73771" w14:textId="77777777" w:rsidR="00572CFC" w:rsidRPr="008321C0" w:rsidRDefault="00572CFC" w:rsidP="008321C0">
      <w:pPr>
        <w:spacing w:after="0" w:line="360" w:lineRule="auto"/>
        <w:jc w:val="both"/>
        <w:rPr>
          <w:rFonts w:ascii="Arial" w:hAnsi="Arial" w:cs="Arial"/>
          <w:sz w:val="20"/>
          <w:szCs w:val="20"/>
        </w:rPr>
      </w:pPr>
      <w:r>
        <w:rPr>
          <w:rFonts w:ascii="Arial" w:hAnsi="Arial" w:cs="Arial"/>
          <w:sz w:val="20"/>
          <w:szCs w:val="20"/>
        </w:rPr>
        <w:t xml:space="preserve">Fig 3: </w:t>
      </w:r>
      <w:r w:rsidRPr="00572CFC">
        <w:rPr>
          <w:rFonts w:ascii="Arial" w:hAnsi="Arial" w:cs="Arial"/>
          <w:sz w:val="20"/>
          <w:szCs w:val="20"/>
        </w:rPr>
        <w:t xml:space="preserve">Women Schooling (&gt;10 Yrs) and </w:t>
      </w:r>
      <w:proofErr w:type="gramStart"/>
      <w:r w:rsidRPr="00572CFC">
        <w:rPr>
          <w:rFonts w:ascii="Arial" w:hAnsi="Arial" w:cs="Arial"/>
          <w:sz w:val="20"/>
          <w:szCs w:val="20"/>
        </w:rPr>
        <w:t>Married</w:t>
      </w:r>
      <w:proofErr w:type="gramEnd"/>
      <w:r w:rsidRPr="00572CFC">
        <w:rPr>
          <w:rFonts w:ascii="Arial" w:hAnsi="Arial" w:cs="Arial"/>
          <w:sz w:val="20"/>
          <w:szCs w:val="20"/>
        </w:rPr>
        <w:t xml:space="preserve"> before age 18 Yrs</w:t>
      </w:r>
      <w:commentRangeEnd w:id="10"/>
      <w:r w:rsidR="001074BE">
        <w:rPr>
          <w:rStyle w:val="CommentReference"/>
        </w:rPr>
        <w:commentReference w:id="10"/>
      </w:r>
    </w:p>
    <w:p w14:paraId="24D6A04D"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58D070EE"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3.2 </w:t>
      </w:r>
      <w:r w:rsidR="00D31BEC" w:rsidRPr="008321C0">
        <w:rPr>
          <w:rFonts w:ascii="Arial" w:eastAsiaTheme="majorEastAsia" w:hAnsi="Arial" w:cs="Arial"/>
          <w:b/>
          <w:bCs/>
          <w:sz w:val="20"/>
          <w:szCs w:val="20"/>
        </w:rPr>
        <w:t>Correlations</w:t>
      </w:r>
    </w:p>
    <w:p w14:paraId="4F8934D3" w14:textId="77777777" w:rsidR="00D31BEC"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Our analyses confirm national patterns: higher female education coexists with reduced child marriage. This aligns with national-level multivariate findings that women with higher education are dramatically less likely to marry early (BMC Public Health, 2024; Ashoka University Data Lab, 2022).</w:t>
      </w:r>
    </w:p>
    <w:p w14:paraId="5DBC5EBD" w14:textId="77777777" w:rsidR="00C215F3" w:rsidRPr="008321C0" w:rsidRDefault="00C215F3" w:rsidP="008321C0">
      <w:pPr>
        <w:pStyle w:val="BodyText"/>
        <w:spacing w:before="0" w:after="0" w:line="360" w:lineRule="auto"/>
        <w:jc w:val="both"/>
        <w:rPr>
          <w:rFonts w:ascii="Arial" w:eastAsiaTheme="majorEastAsia" w:hAnsi="Arial" w:cs="Arial"/>
          <w:sz w:val="20"/>
          <w:szCs w:val="20"/>
        </w:rPr>
      </w:pPr>
      <w:r w:rsidRPr="00C215F3">
        <w:rPr>
          <w:rFonts w:ascii="Arial" w:eastAsiaTheme="majorEastAsia" w:hAnsi="Arial" w:cs="Arial"/>
          <w:sz w:val="20"/>
          <w:szCs w:val="20"/>
        </w:rPr>
        <w:t>The strong positive correlation between female schooling and literacy (r ≈ 0.84) observed in this study reinforces established evidence that sustained school participation is essential for functional literacy outcomes among women (UNESCO, 2014). The negative association between women’s completion of secondary education and child marriage (r ≈ –0.66) is consistent with national and international findings, which demonstrate that each additional year of schooling significantly reduces the likelihood of marriage before 18 (Raj et al., 2019; UNICEF, 2020). Recent multilevel studies further suggest that secondary education not only delays marriage but also improves reproductive health outcomes and women’s autonomy, strengthening long-term development impacts (BMC Public Health, 2024; World Bank, 2018).</w:t>
      </w:r>
    </w:p>
    <w:p w14:paraId="1E8B5B91" w14:textId="77777777" w:rsidR="00AC3A19" w:rsidRDefault="00AC3A19" w:rsidP="008321C0">
      <w:pPr>
        <w:pStyle w:val="BodyText"/>
        <w:spacing w:before="0" w:after="0" w:line="360" w:lineRule="auto"/>
        <w:jc w:val="center"/>
        <w:rPr>
          <w:rFonts w:ascii="Arial" w:eastAsiaTheme="majorEastAsia" w:hAnsi="Arial" w:cs="Arial"/>
          <w:sz w:val="20"/>
          <w:szCs w:val="20"/>
        </w:rPr>
      </w:pPr>
      <w:commentRangeStart w:id="11"/>
      <w:r w:rsidRPr="008321C0">
        <w:rPr>
          <w:rFonts w:ascii="Arial" w:eastAsiaTheme="majorEastAsia" w:hAnsi="Arial" w:cs="Arial"/>
          <w:noProof/>
          <w:sz w:val="20"/>
          <w:szCs w:val="20"/>
        </w:rPr>
        <w:lastRenderedPageBreak/>
        <w:drawing>
          <wp:inline distT="0" distB="0" distL="0" distR="0" wp14:anchorId="64668EC8" wp14:editId="4D806B31">
            <wp:extent cx="4960800" cy="32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0800" cy="3240000"/>
                    </a:xfrm>
                    <a:prstGeom prst="rect">
                      <a:avLst/>
                    </a:prstGeom>
                    <a:noFill/>
                  </pic:spPr>
                </pic:pic>
              </a:graphicData>
            </a:graphic>
          </wp:inline>
        </w:drawing>
      </w:r>
    </w:p>
    <w:p w14:paraId="63449A86" w14:textId="77777777" w:rsidR="00572CFC" w:rsidRPr="008321C0" w:rsidRDefault="00572CFC" w:rsidP="008321C0">
      <w:pPr>
        <w:pStyle w:val="BodyText"/>
        <w:spacing w:before="0" w:after="0" w:line="360" w:lineRule="auto"/>
        <w:jc w:val="center"/>
        <w:rPr>
          <w:rFonts w:ascii="Arial" w:eastAsiaTheme="majorEastAsia" w:hAnsi="Arial" w:cs="Arial"/>
          <w:sz w:val="20"/>
          <w:szCs w:val="20"/>
        </w:rPr>
      </w:pPr>
      <w:r>
        <w:rPr>
          <w:rFonts w:ascii="Arial" w:eastAsiaTheme="majorEastAsia" w:hAnsi="Arial" w:cs="Arial"/>
          <w:sz w:val="20"/>
          <w:szCs w:val="20"/>
        </w:rPr>
        <w:t xml:space="preserve">Fig 4: </w:t>
      </w:r>
      <w:r w:rsidRPr="00572CFC">
        <w:rPr>
          <w:rFonts w:ascii="Arial" w:eastAsiaTheme="majorEastAsia" w:hAnsi="Arial" w:cs="Arial"/>
          <w:sz w:val="20"/>
          <w:szCs w:val="20"/>
        </w:rPr>
        <w:t>Correlation between Education &amp; Early Marriage - Maharashtra</w:t>
      </w:r>
      <w:commentRangeEnd w:id="11"/>
      <w:r w:rsidR="001074BE">
        <w:rPr>
          <w:rStyle w:val="CommentReference"/>
        </w:rPr>
        <w:commentReference w:id="11"/>
      </w:r>
    </w:p>
    <w:p w14:paraId="59E8E025" w14:textId="77777777" w:rsidR="00E968C5" w:rsidRDefault="00E968C5" w:rsidP="008321C0">
      <w:pPr>
        <w:spacing w:after="0" w:line="360" w:lineRule="auto"/>
        <w:jc w:val="both"/>
        <w:rPr>
          <w:rFonts w:ascii="Arial" w:hAnsi="Arial" w:cs="Arial"/>
          <w:sz w:val="20"/>
          <w:szCs w:val="20"/>
        </w:rPr>
      </w:pPr>
      <w:r w:rsidRPr="008321C0">
        <w:rPr>
          <w:rFonts w:ascii="Arial" w:hAnsi="Arial" w:cs="Arial"/>
          <w:sz w:val="20"/>
          <w:szCs w:val="20"/>
        </w:rPr>
        <w:t>The sex ratio (females per 1000 males) also shows district variation. Overall Maharashtra (966) is below India (1020). Within the state, the highest ratios are in Ratnagiri (1069) and Satara (1049), while the lowest are in Nashik (913), Pune (918) and Mumbai Suburban (921). High female ratios in coastal and tribal areas often reflect male out-migration; low ratios in urban districts may reflect selective migration or demographic profiles. Sex ratio is linked to education and empowerment but can be influenced by many factors, so patterns are complex (Jha et al., 2018).</w:t>
      </w:r>
    </w:p>
    <w:p w14:paraId="55EBC0A2" w14:textId="77777777" w:rsidR="00572CFC" w:rsidRPr="008321C0" w:rsidRDefault="00572CFC" w:rsidP="008321C0">
      <w:pPr>
        <w:spacing w:after="0" w:line="360" w:lineRule="auto"/>
        <w:jc w:val="both"/>
        <w:rPr>
          <w:rFonts w:ascii="Arial" w:hAnsi="Arial" w:cs="Arial"/>
          <w:sz w:val="20"/>
          <w:szCs w:val="20"/>
        </w:rPr>
      </w:pPr>
      <w:r>
        <w:rPr>
          <w:rFonts w:ascii="Arial" w:hAnsi="Arial" w:cs="Arial"/>
          <w:sz w:val="20"/>
          <w:szCs w:val="20"/>
        </w:rPr>
        <w:t xml:space="preserve">Fig 5: </w:t>
      </w:r>
      <w:r w:rsidRPr="00572CFC">
        <w:rPr>
          <w:rFonts w:ascii="Arial" w:hAnsi="Arial" w:cs="Arial"/>
          <w:sz w:val="20"/>
          <w:szCs w:val="20"/>
        </w:rPr>
        <w:t>Correlation Matrix: Education, Literacy &amp; Early Marriage</w:t>
      </w:r>
    </w:p>
    <w:p w14:paraId="5049F4D8" w14:textId="77777777" w:rsidR="00A33B8D" w:rsidRDefault="00A33B8D" w:rsidP="008321C0">
      <w:pPr>
        <w:spacing w:after="0" w:line="360" w:lineRule="auto"/>
        <w:jc w:val="center"/>
        <w:rPr>
          <w:rFonts w:ascii="Arial" w:hAnsi="Arial" w:cs="Arial"/>
          <w:sz w:val="20"/>
          <w:szCs w:val="20"/>
        </w:rPr>
      </w:pPr>
      <w:commentRangeStart w:id="12"/>
      <w:r w:rsidRPr="008321C0">
        <w:rPr>
          <w:rFonts w:ascii="Arial" w:hAnsi="Arial" w:cs="Arial"/>
          <w:noProof/>
          <w:sz w:val="20"/>
          <w:szCs w:val="20"/>
        </w:rPr>
        <w:lastRenderedPageBreak/>
        <w:drawing>
          <wp:inline distT="0" distB="0" distL="0" distR="0" wp14:anchorId="529D1D27" wp14:editId="70743FA6">
            <wp:extent cx="3877200" cy="32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7200" cy="3240000"/>
                    </a:xfrm>
                    <a:prstGeom prst="rect">
                      <a:avLst/>
                    </a:prstGeom>
                    <a:noFill/>
                  </pic:spPr>
                </pic:pic>
              </a:graphicData>
            </a:graphic>
          </wp:inline>
        </w:drawing>
      </w:r>
    </w:p>
    <w:p w14:paraId="4042F52F" w14:textId="77777777" w:rsidR="00572CFC" w:rsidRPr="008321C0" w:rsidRDefault="00572CFC" w:rsidP="008321C0">
      <w:pPr>
        <w:spacing w:after="0" w:line="360" w:lineRule="auto"/>
        <w:jc w:val="center"/>
        <w:rPr>
          <w:rFonts w:ascii="Arial" w:hAnsi="Arial" w:cs="Arial"/>
          <w:sz w:val="20"/>
          <w:szCs w:val="20"/>
        </w:rPr>
      </w:pPr>
      <w:r>
        <w:rPr>
          <w:rFonts w:ascii="Arial" w:hAnsi="Arial" w:cs="Arial"/>
          <w:sz w:val="20"/>
          <w:szCs w:val="20"/>
        </w:rPr>
        <w:t xml:space="preserve">Fig 6: </w:t>
      </w:r>
      <w:r w:rsidRPr="00572CFC">
        <w:rPr>
          <w:rFonts w:ascii="Arial" w:hAnsi="Arial" w:cs="Arial"/>
          <w:sz w:val="20"/>
          <w:szCs w:val="20"/>
        </w:rPr>
        <w:t>Sex ratio of the total population (females per 1,000 males)</w:t>
      </w:r>
    </w:p>
    <w:p w14:paraId="63C4E96F" w14:textId="77777777" w:rsidR="00E968C5" w:rsidRPr="008321C0" w:rsidRDefault="00E968C5" w:rsidP="008321C0">
      <w:pPr>
        <w:spacing w:after="0" w:line="360" w:lineRule="auto"/>
        <w:jc w:val="both"/>
        <w:rPr>
          <w:rFonts w:ascii="Arial" w:hAnsi="Arial" w:cs="Arial"/>
          <w:sz w:val="20"/>
          <w:szCs w:val="20"/>
        </w:rPr>
      </w:pPr>
      <w:r w:rsidRPr="008321C0">
        <w:rPr>
          <w:rFonts w:ascii="Arial" w:hAnsi="Arial" w:cs="Arial"/>
          <w:noProof/>
          <w:sz w:val="20"/>
          <w:szCs w:val="20"/>
        </w:rPr>
        <w:drawing>
          <wp:inline distT="0" distB="0" distL="0" distR="0" wp14:anchorId="36BAC562" wp14:editId="363300AB">
            <wp:extent cx="5389200" cy="32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9200" cy="3240000"/>
                    </a:xfrm>
                    <a:prstGeom prst="rect">
                      <a:avLst/>
                    </a:prstGeom>
                    <a:noFill/>
                  </pic:spPr>
                </pic:pic>
              </a:graphicData>
            </a:graphic>
          </wp:inline>
        </w:drawing>
      </w:r>
      <w:commentRangeEnd w:id="12"/>
      <w:r w:rsidR="001074BE">
        <w:rPr>
          <w:rStyle w:val="CommentReference"/>
        </w:rPr>
        <w:commentReference w:id="12"/>
      </w:r>
    </w:p>
    <w:p w14:paraId="143C2D9B" w14:textId="77777777" w:rsidR="00E968C5" w:rsidRPr="008321C0" w:rsidRDefault="00E968C5" w:rsidP="008321C0">
      <w:pPr>
        <w:spacing w:after="0" w:line="360" w:lineRule="auto"/>
        <w:jc w:val="both"/>
        <w:rPr>
          <w:rFonts w:ascii="Arial" w:hAnsi="Arial" w:cs="Arial"/>
          <w:sz w:val="20"/>
          <w:szCs w:val="20"/>
        </w:rPr>
      </w:pPr>
    </w:p>
    <w:p w14:paraId="63AE4476" w14:textId="77777777" w:rsidR="00E968C5" w:rsidRPr="008321C0" w:rsidRDefault="00E968C5" w:rsidP="008321C0">
      <w:pPr>
        <w:pStyle w:val="BodyText"/>
        <w:spacing w:before="0" w:after="0" w:line="360" w:lineRule="auto"/>
        <w:jc w:val="both"/>
        <w:rPr>
          <w:rFonts w:ascii="Arial" w:hAnsi="Arial" w:cs="Arial"/>
          <w:sz w:val="20"/>
          <w:szCs w:val="20"/>
        </w:rPr>
      </w:pPr>
      <w:r w:rsidRPr="008321C0">
        <w:rPr>
          <w:rFonts w:ascii="Arial" w:hAnsi="Arial" w:cs="Arial"/>
          <w:sz w:val="20"/>
          <w:szCs w:val="20"/>
        </w:rPr>
        <w:t>The sex ratio findings, while less directly linked in this analysis, also merit note. A more balanced or female-</w:t>
      </w:r>
      <w:r w:rsidR="00D122C8" w:rsidRPr="008321C0">
        <w:rPr>
          <w:rFonts w:ascii="Arial" w:hAnsi="Arial" w:cs="Arial"/>
          <w:sz w:val="20"/>
          <w:szCs w:val="20"/>
        </w:rPr>
        <w:t>favoring</w:t>
      </w:r>
      <w:r w:rsidRPr="008321C0">
        <w:rPr>
          <w:rFonts w:ascii="Arial" w:hAnsi="Arial" w:cs="Arial"/>
          <w:sz w:val="20"/>
          <w:szCs w:val="20"/>
        </w:rPr>
        <w:t xml:space="preserve"> ratio (as in Ratnagiri, Sindhudurg, Bhandara) may reflect patterns like male migration or better survival of girls, whereas very low ratios (Nashik, Pune) could indicate selective practices. However, because sex ratio is influenced by many social and migration factors, we focus on education and marriage as the primary concerns.</w:t>
      </w:r>
    </w:p>
    <w:p w14:paraId="2F8542B4"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265CB315" w14:textId="77777777" w:rsidR="003F5520" w:rsidRPr="003F5520" w:rsidRDefault="003F5520" w:rsidP="003F5520">
      <w:pPr>
        <w:pStyle w:val="BodyText"/>
        <w:spacing w:before="0" w:after="0" w:line="360" w:lineRule="auto"/>
        <w:jc w:val="both"/>
        <w:rPr>
          <w:rFonts w:ascii="Arial" w:eastAsiaTheme="majorEastAsia" w:hAnsi="Arial" w:cs="Arial"/>
          <w:b/>
          <w:bCs/>
          <w:sz w:val="20"/>
          <w:szCs w:val="20"/>
          <w:lang w:val="en-US"/>
        </w:rPr>
      </w:pPr>
      <w:r w:rsidRPr="003F5520">
        <w:rPr>
          <w:rFonts w:ascii="Arial" w:eastAsiaTheme="majorEastAsia" w:hAnsi="Arial" w:cs="Arial"/>
          <w:b/>
          <w:bCs/>
          <w:sz w:val="20"/>
          <w:szCs w:val="20"/>
          <w:lang w:val="en-US"/>
        </w:rPr>
        <w:t xml:space="preserve">3.3 Sex Ratio and Educational Context </w:t>
      </w:r>
      <w:r>
        <w:rPr>
          <w:rFonts w:ascii="Arial" w:eastAsiaTheme="majorEastAsia" w:hAnsi="Arial" w:cs="Arial"/>
          <w:b/>
          <w:bCs/>
          <w:sz w:val="20"/>
          <w:szCs w:val="20"/>
          <w:lang w:val="en-US"/>
        </w:rPr>
        <w:t xml:space="preserve"> </w:t>
      </w:r>
    </w:p>
    <w:p w14:paraId="4D4EEF3D" w14:textId="77777777" w:rsidR="003F5520" w:rsidRPr="003F5520" w:rsidRDefault="003F5520" w:rsidP="003F5520">
      <w:pPr>
        <w:pStyle w:val="BodyText"/>
        <w:spacing w:before="0" w:after="0" w:line="360" w:lineRule="auto"/>
        <w:jc w:val="both"/>
        <w:rPr>
          <w:rFonts w:ascii="Arial" w:eastAsiaTheme="majorEastAsia" w:hAnsi="Arial" w:cs="Arial"/>
          <w:sz w:val="20"/>
          <w:szCs w:val="20"/>
          <w:lang w:val="en-US"/>
        </w:rPr>
      </w:pPr>
      <w:r w:rsidRPr="003F5520">
        <w:rPr>
          <w:rFonts w:ascii="Arial" w:eastAsiaTheme="majorEastAsia" w:hAnsi="Arial" w:cs="Arial"/>
          <w:sz w:val="20"/>
          <w:szCs w:val="20"/>
          <w:lang w:val="en-US"/>
        </w:rPr>
        <w:t>While sex ratio is not the primary explanatory variable in this study, its spatial variation provides important contextual insights. Higher female sex ratios in coastal and tribal districts such as Ratnagiri, Sindhudurg, and Gadchiroli may reflect male out-migration patterns, whereas lower ratios in metropolitan districts are often influenced by selective migration and urban labor markets (Jha et al., 2018). Previous demographic studies caution that sex ratio outcomes are shaped by multiple social, cultural, and economic processes and should therefore be interpreted alongside educational and marital indicators rather than independently (Desai &amp; Vanneman, 2015).</w:t>
      </w:r>
      <w:commentRangeEnd w:id="8"/>
      <w:r w:rsidR="00FC6A15">
        <w:rPr>
          <w:rStyle w:val="CommentReference"/>
        </w:rPr>
        <w:commentReference w:id="8"/>
      </w:r>
    </w:p>
    <w:p w14:paraId="683CE35B"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02EAFEFE"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3.4 </w:t>
      </w:r>
      <w:r w:rsidR="00D31BEC" w:rsidRPr="008321C0">
        <w:rPr>
          <w:rFonts w:ascii="Arial" w:eastAsiaTheme="majorEastAsia" w:hAnsi="Arial" w:cs="Arial"/>
          <w:b/>
          <w:bCs/>
          <w:sz w:val="20"/>
          <w:szCs w:val="20"/>
        </w:rPr>
        <w:t>Policy Implications</w:t>
      </w:r>
    </w:p>
    <w:p w14:paraId="0C44FD17"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Maharashtra’s proposed “Earn and Learn” stipend program for female college students aims to increase higher education enrollment (Hindustan Times, 2024).</w:t>
      </w:r>
    </w:p>
    <w:p w14:paraId="4DAE1248" w14:textId="77777777" w:rsidR="00E968C5" w:rsidRDefault="00E968C5" w:rsidP="008321C0">
      <w:pPr>
        <w:pStyle w:val="BodyText"/>
        <w:spacing w:before="0" w:after="0" w:line="360" w:lineRule="auto"/>
        <w:jc w:val="both"/>
        <w:rPr>
          <w:rFonts w:ascii="Arial" w:hAnsi="Arial" w:cs="Arial"/>
          <w:sz w:val="20"/>
          <w:szCs w:val="20"/>
        </w:rPr>
      </w:pPr>
      <w:r w:rsidRPr="008321C0">
        <w:rPr>
          <w:rFonts w:ascii="Arial" w:hAnsi="Arial" w:cs="Arial"/>
          <w:sz w:val="20"/>
          <w:szCs w:val="20"/>
        </w:rPr>
        <w:t>In policy terms, the evidence suggests that continuing to expand girls’ education – especially secondary schooling – is likely to reduce child marriage (UNICEF, 2020). Maharashtra’s overall success (state literacy 82.3% in 2011) (Government of Maharashtra, 2020) underlines progress, but district gaps remain. Programs targeting rural and disadvantaged districts (improving schools, reducing dropouts, offering scholarships) could further raise female education. Simultaneously, community campaigns and legal enforcement are needed in the high-marriage districts to change norms.</w:t>
      </w:r>
    </w:p>
    <w:p w14:paraId="2A002419" w14:textId="77777777" w:rsidR="003F5520" w:rsidRPr="008321C0" w:rsidRDefault="003F5520" w:rsidP="008321C0">
      <w:pPr>
        <w:pStyle w:val="BodyText"/>
        <w:spacing w:before="0" w:after="0" w:line="360" w:lineRule="auto"/>
        <w:jc w:val="both"/>
        <w:rPr>
          <w:rFonts w:ascii="Arial" w:hAnsi="Arial" w:cs="Arial"/>
          <w:sz w:val="20"/>
          <w:szCs w:val="20"/>
        </w:rPr>
      </w:pPr>
      <w:r w:rsidRPr="003F5520">
        <w:rPr>
          <w:rFonts w:ascii="Arial" w:hAnsi="Arial" w:cs="Arial"/>
          <w:sz w:val="20"/>
          <w:szCs w:val="20"/>
        </w:rPr>
        <w:t>Evidence from national and international studies indicates that policies focused on expanding girls’ access to secondary and higher education are among the most effective interventions for reducing child marriage (UNICEF, 2020; World Bank, 2018). Scholarship schemes, conditional cash transfers, and incentives linked to school completion have demonstrated positive impacts in delaying marriage age in several Indian states (Raj et al., 2019). Maharashtra’s proposed stipend initiatives for female students align with these findings; however, targeted implementation in districts with persistently low female schooling is essential to address entrenched regional disparities (IIPS, 2021; BMC Public Health, 2024).</w:t>
      </w:r>
    </w:p>
    <w:p w14:paraId="6275965E"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commentRangeStart w:id="13"/>
    </w:p>
    <w:p w14:paraId="54167255"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4 </w:t>
      </w:r>
      <w:proofErr w:type="gramStart"/>
      <w:r w:rsidRPr="008321C0">
        <w:rPr>
          <w:rFonts w:ascii="Arial" w:eastAsiaTheme="majorEastAsia" w:hAnsi="Arial" w:cs="Arial"/>
          <w:b/>
          <w:bCs/>
          <w:sz w:val="20"/>
          <w:szCs w:val="20"/>
        </w:rPr>
        <w:t>CONCLUSION</w:t>
      </w:r>
      <w:proofErr w:type="gramEnd"/>
      <w:r w:rsidRPr="008321C0">
        <w:rPr>
          <w:rFonts w:ascii="Arial" w:eastAsiaTheme="majorEastAsia" w:hAnsi="Arial" w:cs="Arial"/>
          <w:b/>
          <w:bCs/>
          <w:sz w:val="20"/>
          <w:szCs w:val="20"/>
        </w:rPr>
        <w:t xml:space="preserve"> </w:t>
      </w:r>
      <w:commentRangeEnd w:id="13"/>
      <w:r w:rsidR="00FC6A15">
        <w:rPr>
          <w:rStyle w:val="CommentReference"/>
        </w:rPr>
        <w:commentReference w:id="13"/>
      </w:r>
    </w:p>
    <w:p w14:paraId="7C2D0D14" w14:textId="77777777" w:rsidR="000A30E8" w:rsidRPr="008321C0" w:rsidRDefault="00D31BEC" w:rsidP="008321C0">
      <w:pPr>
        <w:pStyle w:val="BodyText"/>
        <w:spacing w:before="0" w:after="0" w:line="360" w:lineRule="auto"/>
        <w:jc w:val="both"/>
        <w:rPr>
          <w:rFonts w:ascii="Arial" w:hAnsi="Arial" w:cs="Arial"/>
          <w:b/>
          <w:bCs/>
          <w:sz w:val="20"/>
          <w:szCs w:val="20"/>
        </w:rPr>
      </w:pPr>
      <w:r w:rsidRPr="008321C0">
        <w:rPr>
          <w:rFonts w:ascii="Arial" w:eastAsiaTheme="majorEastAsia" w:hAnsi="Arial" w:cs="Arial"/>
          <w:sz w:val="20"/>
          <w:szCs w:val="20"/>
        </w:rPr>
        <w:t>This analysis underscores that districts with higher women’s schooling and literacy show lower child marriage, reflecting national evidence that education delays marriage (UNFPA, 2021; Ashoka University Data Lab, 2022). Strengthening educational programs—especially in rural, tribal, and Marathwada regions—will be central to reducing child marriage and advancing women’s empowerment.</w:t>
      </w:r>
    </w:p>
    <w:bookmarkEnd w:id="0"/>
    <w:bookmarkEnd w:id="1"/>
    <w:bookmarkEnd w:id="7"/>
    <w:p w14:paraId="675BAF2D" w14:textId="77777777" w:rsidR="00E968C5" w:rsidRPr="008321C0" w:rsidRDefault="00E968C5" w:rsidP="008321C0">
      <w:pPr>
        <w:pStyle w:val="FirstParagraph"/>
        <w:spacing w:before="0" w:after="0" w:line="360" w:lineRule="auto"/>
        <w:jc w:val="both"/>
        <w:rPr>
          <w:rFonts w:ascii="Arial" w:hAnsi="Arial" w:cs="Arial"/>
          <w:sz w:val="20"/>
          <w:szCs w:val="20"/>
        </w:rPr>
      </w:pPr>
      <w:r w:rsidRPr="008321C0">
        <w:rPr>
          <w:rFonts w:ascii="Arial" w:hAnsi="Arial" w:cs="Arial"/>
          <w:sz w:val="20"/>
          <w:szCs w:val="20"/>
        </w:rPr>
        <w:t xml:space="preserve">The NFHS-5 data reveal that Maharashtra as a whole leads India in women’s education, but the gains are uneven across districts (MoHFW, 2021; IIPS &amp; ICF, 2021). Urban and prosperous areas achieve near-universal female literacy and minimal early marriage, while poorer regions lag far behind. Critically, women’s educational attainment is strongly linked to delays in marriage: districts where many women complete secondary schooling </w:t>
      </w:r>
      <w:r w:rsidR="00D122C8" w:rsidRPr="008321C0">
        <w:rPr>
          <w:rFonts w:ascii="Arial" w:hAnsi="Arial" w:cs="Arial"/>
          <w:sz w:val="20"/>
          <w:szCs w:val="20"/>
        </w:rPr>
        <w:t>has</w:t>
      </w:r>
      <w:r w:rsidRPr="008321C0">
        <w:rPr>
          <w:rFonts w:ascii="Arial" w:hAnsi="Arial" w:cs="Arial"/>
          <w:sz w:val="20"/>
          <w:szCs w:val="20"/>
        </w:rPr>
        <w:t xml:space="preserve"> far fewer child brides (Ashoka University Data Lab, 2022). These </w:t>
      </w:r>
      <w:r w:rsidRPr="008321C0">
        <w:rPr>
          <w:rFonts w:ascii="Arial" w:hAnsi="Arial" w:cs="Arial"/>
          <w:sz w:val="20"/>
          <w:szCs w:val="20"/>
        </w:rPr>
        <w:lastRenderedPageBreak/>
        <w:t>patterns underscore the importance of sustained investment in girls’ education as a means to improve gender equality and health (Desai &amp; Vanneman, 2015). In Maharashtra’s case, continuing to raise female schooling levels in lagging districts should further reduce child marriage and advance women’s empowerment.</w:t>
      </w:r>
    </w:p>
    <w:p w14:paraId="435C3561" w14:textId="77777777" w:rsidR="00D31BEC" w:rsidRDefault="00D31BEC" w:rsidP="008321C0">
      <w:pPr>
        <w:pStyle w:val="BodyText"/>
        <w:spacing w:before="0" w:after="0" w:line="360" w:lineRule="auto"/>
        <w:ind w:left="567" w:hanging="567"/>
        <w:jc w:val="both"/>
        <w:rPr>
          <w:rFonts w:ascii="Arial" w:hAnsi="Arial" w:cs="Arial"/>
          <w:b/>
          <w:bCs/>
          <w:sz w:val="20"/>
          <w:szCs w:val="20"/>
        </w:rPr>
      </w:pPr>
    </w:p>
    <w:p w14:paraId="43789085" w14:textId="77777777" w:rsidR="006F65ED" w:rsidRPr="008321C0" w:rsidRDefault="008321C0" w:rsidP="008321C0">
      <w:pPr>
        <w:pStyle w:val="BodyText"/>
        <w:spacing w:before="0" w:after="0" w:line="360" w:lineRule="auto"/>
        <w:ind w:left="567" w:hanging="567"/>
        <w:jc w:val="both"/>
        <w:rPr>
          <w:rFonts w:ascii="Arial" w:hAnsi="Arial" w:cs="Arial"/>
          <w:b/>
          <w:bCs/>
          <w:sz w:val="18"/>
          <w:szCs w:val="18"/>
        </w:rPr>
      </w:pPr>
      <w:r w:rsidRPr="008321C0">
        <w:rPr>
          <w:rFonts w:ascii="Arial" w:hAnsi="Arial" w:cs="Arial"/>
          <w:b/>
          <w:bCs/>
          <w:sz w:val="22"/>
          <w:szCs w:val="22"/>
        </w:rPr>
        <w:t>ACKNOWLEDGEMENTS</w:t>
      </w:r>
    </w:p>
    <w:p w14:paraId="034D26B2" w14:textId="77777777"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The author gratefully acknowledges the International Institute for Population Sciences (IIPS) and the Ministry of Health and Family Welfare (MoHFW), Government of India, for making the National Family Health Survey–5 (NFHS-5) data publicly available, which formed the basis of this study.</w:t>
      </w:r>
    </w:p>
    <w:p w14:paraId="41D22F1D" w14:textId="77777777"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The author also acknowledges the use of artificial intelligence–based tools for assistance in organizing content, summarizing literature, and improving clarity of presentation. All analyses, interpretations, and conclusions are solely those of the author.</w:t>
      </w:r>
    </w:p>
    <w:p w14:paraId="37664B12" w14:textId="77777777"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This research did not receive any specific grant from funding agencies in the public, commercial, or not-for-profit sectors. The funding agencies had no role in the study design; data collection, analysis, or interpretation; writing of the manuscript; or the decision to submit the article for publication.</w:t>
      </w:r>
    </w:p>
    <w:p w14:paraId="6A5AD2B8" w14:textId="77777777" w:rsidR="006F65ED" w:rsidRPr="008321C0" w:rsidRDefault="006F65ED" w:rsidP="008321C0">
      <w:pPr>
        <w:pStyle w:val="BodyText"/>
        <w:spacing w:before="0" w:after="0" w:line="360" w:lineRule="auto"/>
        <w:ind w:left="567" w:hanging="567"/>
        <w:jc w:val="both"/>
        <w:rPr>
          <w:rFonts w:ascii="Arial" w:hAnsi="Arial" w:cs="Arial"/>
          <w:b/>
          <w:bCs/>
          <w:sz w:val="20"/>
          <w:szCs w:val="20"/>
        </w:rPr>
      </w:pPr>
    </w:p>
    <w:p w14:paraId="3952CD3D" w14:textId="77777777" w:rsidR="0044018A" w:rsidRPr="008321C0" w:rsidRDefault="006F65ED" w:rsidP="008321C0">
      <w:pPr>
        <w:spacing w:after="0" w:line="360" w:lineRule="auto"/>
        <w:jc w:val="both"/>
        <w:rPr>
          <w:rFonts w:ascii="Arial" w:hAnsi="Arial" w:cs="Arial"/>
          <w:b/>
          <w:bCs/>
          <w:sz w:val="22"/>
          <w:szCs w:val="22"/>
        </w:rPr>
      </w:pPr>
      <w:r w:rsidRPr="008321C0">
        <w:rPr>
          <w:rFonts w:ascii="Arial" w:hAnsi="Arial" w:cs="Arial"/>
          <w:b/>
          <w:bCs/>
          <w:sz w:val="22"/>
          <w:szCs w:val="22"/>
        </w:rPr>
        <w:t>DISCLAIMER (ARTIFICIAL INTELLIGENCE)</w:t>
      </w:r>
    </w:p>
    <w:p w14:paraId="38986252" w14:textId="77777777" w:rsidR="0044018A" w:rsidRPr="008321C0" w:rsidRDefault="0044018A" w:rsidP="008321C0">
      <w:pPr>
        <w:spacing w:after="0" w:line="360" w:lineRule="auto"/>
        <w:jc w:val="both"/>
        <w:rPr>
          <w:rFonts w:ascii="Arial" w:hAnsi="Arial" w:cs="Arial"/>
          <w:sz w:val="20"/>
          <w:szCs w:val="20"/>
        </w:rPr>
      </w:pPr>
      <w:r w:rsidRPr="008321C0">
        <w:rPr>
          <w:rFonts w:ascii="Arial" w:hAnsi="Arial" w:cs="Arial"/>
          <w:sz w:val="20"/>
          <w:szCs w:val="20"/>
        </w:rPr>
        <w:tab/>
        <w:t>This research paper includes sections that were developed with the support of artificial intelligence (AI) tools to assist in organizing content, summarizing information, and enhancing clarity. All data used in the study originates from authentic and verified sources, primarily the National Family Health Survey (NFHS-5). The interpretations, conclusions, and final content have been reviewed and validated by the author.</w:t>
      </w:r>
    </w:p>
    <w:p w14:paraId="4900B05E" w14:textId="77777777" w:rsidR="0044018A" w:rsidRPr="008321C0" w:rsidRDefault="0044018A" w:rsidP="008321C0">
      <w:pPr>
        <w:spacing w:after="0" w:line="360" w:lineRule="auto"/>
        <w:jc w:val="both"/>
        <w:rPr>
          <w:rFonts w:ascii="Arial" w:hAnsi="Arial" w:cs="Arial"/>
          <w:sz w:val="20"/>
          <w:szCs w:val="20"/>
        </w:rPr>
      </w:pPr>
    </w:p>
    <w:p w14:paraId="3A7AD20D" w14:textId="77777777" w:rsidR="0044018A" w:rsidRPr="008321C0" w:rsidRDefault="0044018A" w:rsidP="008321C0">
      <w:pPr>
        <w:pStyle w:val="BodyText"/>
        <w:spacing w:before="0" w:after="0" w:line="360" w:lineRule="auto"/>
        <w:ind w:left="567" w:hanging="567"/>
        <w:jc w:val="both"/>
        <w:rPr>
          <w:rFonts w:ascii="Arial" w:hAnsi="Arial" w:cs="Arial"/>
          <w:b/>
          <w:bCs/>
          <w:sz w:val="20"/>
          <w:szCs w:val="20"/>
        </w:rPr>
      </w:pPr>
    </w:p>
    <w:p w14:paraId="14D916A4" w14:textId="77777777" w:rsidR="009B4451" w:rsidRPr="008321C0" w:rsidRDefault="009B4451" w:rsidP="008321C0">
      <w:pPr>
        <w:pStyle w:val="BodyText"/>
        <w:spacing w:before="0" w:after="0" w:line="360" w:lineRule="auto"/>
        <w:ind w:left="567" w:hanging="567"/>
        <w:jc w:val="both"/>
        <w:rPr>
          <w:rFonts w:ascii="Arial" w:hAnsi="Arial" w:cs="Arial"/>
          <w:b/>
          <w:bCs/>
          <w:sz w:val="20"/>
          <w:szCs w:val="20"/>
        </w:rPr>
      </w:pPr>
    </w:p>
    <w:p w14:paraId="674643DA" w14:textId="77777777" w:rsidR="00101556" w:rsidRPr="008321C0" w:rsidRDefault="008321C0" w:rsidP="008321C0">
      <w:pPr>
        <w:pStyle w:val="BodyText"/>
        <w:spacing w:before="0" w:after="0" w:line="360" w:lineRule="auto"/>
        <w:ind w:left="567" w:hanging="567"/>
        <w:jc w:val="both"/>
        <w:rPr>
          <w:rFonts w:ascii="Arial" w:hAnsi="Arial" w:cs="Arial"/>
          <w:sz w:val="22"/>
          <w:szCs w:val="22"/>
        </w:rPr>
      </w:pPr>
      <w:commentRangeStart w:id="14"/>
      <w:r w:rsidRPr="008321C0">
        <w:rPr>
          <w:rFonts w:ascii="Arial" w:hAnsi="Arial" w:cs="Arial"/>
          <w:b/>
          <w:bCs/>
          <w:sz w:val="22"/>
          <w:szCs w:val="22"/>
        </w:rPr>
        <w:t>REFERENCES</w:t>
      </w:r>
      <w:commentRangeEnd w:id="14"/>
      <w:r w:rsidR="001074BE">
        <w:rPr>
          <w:rStyle w:val="CommentReference"/>
        </w:rPr>
        <w:commentReference w:id="14"/>
      </w:r>
    </w:p>
    <w:p w14:paraId="0DA5FDD5" w14:textId="77777777" w:rsidR="003F5520" w:rsidRPr="008321C0" w:rsidRDefault="003E57D5" w:rsidP="00E637CC">
      <w:pPr>
        <w:pStyle w:val="NormalWeb"/>
        <w:spacing w:before="0" w:beforeAutospacing="0" w:after="0" w:afterAutospacing="0" w:line="360" w:lineRule="auto"/>
        <w:jc w:val="both"/>
        <w:rPr>
          <w:rFonts w:ascii="Arial" w:hAnsi="Arial" w:cs="Arial"/>
          <w:sz w:val="20"/>
          <w:szCs w:val="20"/>
        </w:rPr>
      </w:pPr>
      <w:r w:rsidRPr="003E57D5">
        <w:rPr>
          <w:rFonts w:ascii="Arial" w:hAnsi="Arial" w:cs="Arial"/>
          <w:sz w:val="20"/>
          <w:szCs w:val="20"/>
        </w:rPr>
        <w:t xml:space="preserve">Ashoka University Data Lab (CEDA). (2021). </w:t>
      </w:r>
      <w:proofErr w:type="spellStart"/>
      <w:r w:rsidRPr="003E57D5">
        <w:rPr>
          <w:rFonts w:ascii="Arial" w:hAnsi="Arial" w:cs="Arial"/>
          <w:sz w:val="20"/>
          <w:szCs w:val="20"/>
        </w:rPr>
        <w:t>GenderStats</w:t>
      </w:r>
      <w:proofErr w:type="spellEnd"/>
      <w:r w:rsidRPr="003E57D5">
        <w:rPr>
          <w:rFonts w:ascii="Arial" w:hAnsi="Arial" w:cs="Arial"/>
          <w:sz w:val="20"/>
          <w:szCs w:val="20"/>
        </w:rPr>
        <w:t xml:space="preserve"> 7: Underage Marriage – 3.</w:t>
      </w:r>
    </w:p>
    <w:p w14:paraId="34077C9E" w14:textId="77777777" w:rsidR="003F5520" w:rsidRPr="003F5520" w:rsidRDefault="003E57D5" w:rsidP="00E637CC">
      <w:pPr>
        <w:pStyle w:val="NormalWeb"/>
        <w:spacing w:before="0" w:beforeAutospacing="0" w:after="0" w:afterAutospacing="0" w:line="360" w:lineRule="auto"/>
        <w:jc w:val="both"/>
        <w:rPr>
          <w:rFonts w:ascii="Arial" w:hAnsi="Arial" w:cs="Arial"/>
          <w:sz w:val="20"/>
          <w:szCs w:val="20"/>
        </w:rPr>
      </w:pPr>
      <w:r w:rsidRPr="003E57D5">
        <w:rPr>
          <w:rFonts w:ascii="Arial" w:hAnsi="Arial" w:cs="Arial"/>
          <w:sz w:val="20"/>
          <w:szCs w:val="20"/>
        </w:rPr>
        <w:t xml:space="preserve">Singh, M., Shekhar, C., &amp; Gupta, J. (2024). Distribution and determinants of early marriage and motherhood: a multilevel and geospatial analysis of 707 districts in India. BMC Public Health, 24(1), 2844. </w:t>
      </w:r>
      <w:hyperlink r:id="rId17" w:history="1">
        <w:r w:rsidRPr="00A35883">
          <w:rPr>
            <w:rStyle w:val="Hyperlink"/>
            <w:rFonts w:ascii="Arial" w:hAnsi="Arial" w:cs="Arial"/>
            <w:sz w:val="20"/>
            <w:szCs w:val="20"/>
          </w:rPr>
          <w:t>https://doi.org/10.1186/s12889-024-20038-2</w:t>
        </w:r>
      </w:hyperlink>
      <w:r>
        <w:rPr>
          <w:rFonts w:ascii="Arial" w:hAnsi="Arial" w:cs="Arial"/>
          <w:sz w:val="20"/>
          <w:szCs w:val="20"/>
        </w:rPr>
        <w:t xml:space="preserve"> </w:t>
      </w:r>
    </w:p>
    <w:p w14:paraId="1E4481A2" w14:textId="77777777" w:rsidR="003F5520" w:rsidRPr="008321C0" w:rsidRDefault="00C404BA" w:rsidP="00E637CC">
      <w:pPr>
        <w:pStyle w:val="NormalWeb"/>
        <w:spacing w:before="0" w:beforeAutospacing="0" w:after="0" w:afterAutospacing="0" w:line="360" w:lineRule="auto"/>
        <w:jc w:val="both"/>
        <w:rPr>
          <w:rFonts w:ascii="Arial" w:hAnsi="Arial" w:cs="Arial"/>
          <w:sz w:val="20"/>
          <w:szCs w:val="20"/>
        </w:rPr>
      </w:pPr>
      <w:r w:rsidRPr="00C404BA">
        <w:rPr>
          <w:rFonts w:ascii="Arial" w:hAnsi="Arial" w:cs="Arial"/>
          <w:sz w:val="20"/>
          <w:szCs w:val="20"/>
        </w:rPr>
        <w:t xml:space="preserve">Waghmare, A. (2024). Education levels in India. Data For India. </w:t>
      </w:r>
      <w:hyperlink r:id="rId18" w:history="1">
        <w:r w:rsidRPr="00A35883">
          <w:rPr>
            <w:rStyle w:val="Hyperlink"/>
            <w:rFonts w:ascii="Arial" w:hAnsi="Arial" w:cs="Arial"/>
            <w:sz w:val="20"/>
            <w:szCs w:val="20"/>
          </w:rPr>
          <w:t>https://www.dataforindia.com/education-levels-in-india/</w:t>
        </w:r>
      </w:hyperlink>
      <w:r>
        <w:rPr>
          <w:rFonts w:ascii="Arial" w:hAnsi="Arial" w:cs="Arial"/>
          <w:sz w:val="20"/>
          <w:szCs w:val="20"/>
        </w:rPr>
        <w:t xml:space="preserve"> </w:t>
      </w:r>
      <w:r w:rsidR="003F5520" w:rsidRPr="008321C0">
        <w:rPr>
          <w:rStyle w:val="Hyperlink"/>
          <w:rFonts w:ascii="Arial" w:hAnsi="Arial" w:cs="Arial"/>
          <w:color w:val="auto"/>
          <w:sz w:val="20"/>
          <w:szCs w:val="20"/>
        </w:rPr>
        <w:t xml:space="preserve"> </w:t>
      </w:r>
    </w:p>
    <w:p w14:paraId="452DDB39" w14:textId="77777777" w:rsidR="003F5520" w:rsidRPr="003F5520" w:rsidRDefault="00D93B59" w:rsidP="00E637CC">
      <w:pPr>
        <w:pStyle w:val="NormalWeb"/>
        <w:spacing w:before="0" w:beforeAutospacing="0" w:after="0" w:afterAutospacing="0" w:line="360" w:lineRule="auto"/>
        <w:jc w:val="both"/>
        <w:rPr>
          <w:rFonts w:ascii="Arial" w:hAnsi="Arial" w:cs="Arial"/>
          <w:sz w:val="20"/>
          <w:szCs w:val="20"/>
        </w:rPr>
      </w:pPr>
      <w:r w:rsidRPr="00D93B59">
        <w:rPr>
          <w:rFonts w:ascii="Arial" w:hAnsi="Arial" w:cs="Arial"/>
          <w:sz w:val="20"/>
          <w:szCs w:val="20"/>
        </w:rPr>
        <w:t xml:space="preserve">Desai, S., &amp; Vanneman, R. (2015). India Human Development Survey-II (IHDS-II), 2011-12. Inter-university Consortium for Political and Social Research (ICPSR). </w:t>
      </w:r>
      <w:hyperlink r:id="rId19" w:history="1">
        <w:r w:rsidRPr="00A35883">
          <w:rPr>
            <w:rStyle w:val="Hyperlink"/>
            <w:rFonts w:ascii="Arial" w:hAnsi="Arial" w:cs="Arial"/>
            <w:sz w:val="20"/>
            <w:szCs w:val="20"/>
          </w:rPr>
          <w:t>https://doi.org/10.3886/ICPSR36151.v2</w:t>
        </w:r>
      </w:hyperlink>
      <w:r>
        <w:rPr>
          <w:rFonts w:ascii="Arial" w:hAnsi="Arial" w:cs="Arial"/>
          <w:sz w:val="20"/>
          <w:szCs w:val="20"/>
        </w:rPr>
        <w:t xml:space="preserve"> </w:t>
      </w:r>
    </w:p>
    <w:p w14:paraId="0B3FFC77" w14:textId="77777777" w:rsidR="003F5520" w:rsidRPr="008321C0" w:rsidRDefault="00903B80" w:rsidP="00E637CC">
      <w:pPr>
        <w:pStyle w:val="NormalWeb"/>
        <w:spacing w:before="0" w:beforeAutospacing="0" w:after="0" w:afterAutospacing="0" w:line="360" w:lineRule="auto"/>
        <w:jc w:val="both"/>
        <w:rPr>
          <w:rFonts w:ascii="Arial" w:hAnsi="Arial" w:cs="Arial"/>
          <w:sz w:val="20"/>
          <w:szCs w:val="20"/>
        </w:rPr>
      </w:pPr>
      <w:r w:rsidRPr="00903B80">
        <w:rPr>
          <w:rFonts w:ascii="Arial" w:hAnsi="Arial" w:cs="Arial"/>
          <w:sz w:val="20"/>
          <w:szCs w:val="20"/>
        </w:rPr>
        <w:t xml:space="preserve">Hindustan Times. (2025). Girls in higher education may soon get ₹2,000 per month under new scheme. </w:t>
      </w:r>
      <w:hyperlink r:id="rId20" w:history="1">
        <w:r w:rsidRPr="00A35883">
          <w:rPr>
            <w:rStyle w:val="Hyperlink"/>
            <w:rFonts w:ascii="Arial" w:hAnsi="Arial" w:cs="Arial"/>
            <w:sz w:val="20"/>
            <w:szCs w:val="20"/>
          </w:rPr>
          <w:t>https://www.hindustantimes.com/cities/pune-news/girls-in-higher-education-may-soon-get-2-000-per-month-under-new-scheme-101755717641309.html</w:t>
        </w:r>
      </w:hyperlink>
      <w:r>
        <w:rPr>
          <w:rFonts w:ascii="Arial" w:hAnsi="Arial" w:cs="Arial"/>
          <w:sz w:val="20"/>
          <w:szCs w:val="20"/>
        </w:rPr>
        <w:t xml:space="preserve"> </w:t>
      </w:r>
      <w:r w:rsidR="003F5520">
        <w:rPr>
          <w:rStyle w:val="Hyperlink"/>
          <w:rFonts w:ascii="Arial" w:hAnsi="Arial" w:cs="Arial"/>
          <w:color w:val="auto"/>
          <w:sz w:val="20"/>
          <w:szCs w:val="20"/>
        </w:rPr>
        <w:t xml:space="preserve"> </w:t>
      </w:r>
    </w:p>
    <w:p w14:paraId="30C52425" w14:textId="77777777" w:rsidR="003F5520" w:rsidRPr="008321C0" w:rsidRDefault="003F5520" w:rsidP="00E637CC">
      <w:pPr>
        <w:pStyle w:val="NormalWeb"/>
        <w:spacing w:before="0" w:beforeAutospacing="0" w:after="0" w:afterAutospacing="0" w:line="360" w:lineRule="auto"/>
        <w:jc w:val="both"/>
        <w:rPr>
          <w:rStyle w:val="Hyperlink"/>
          <w:rFonts w:ascii="Arial" w:hAnsi="Arial" w:cs="Arial"/>
          <w:color w:val="auto"/>
          <w:sz w:val="20"/>
          <w:szCs w:val="20"/>
        </w:rPr>
      </w:pPr>
      <w:r w:rsidRPr="008321C0">
        <w:rPr>
          <w:rFonts w:ascii="Arial" w:hAnsi="Arial" w:cs="Arial"/>
          <w:sz w:val="20"/>
          <w:szCs w:val="20"/>
        </w:rPr>
        <w:lastRenderedPageBreak/>
        <w:tab/>
      </w:r>
      <w:hyperlink r:id="rId21" w:history="1">
        <w:r w:rsidRPr="008321C0">
          <w:rPr>
            <w:rStyle w:val="Hyperlink"/>
            <w:rFonts w:ascii="Arial" w:hAnsi="Arial" w:cs="Arial"/>
            <w:sz w:val="20"/>
            <w:szCs w:val="20"/>
          </w:rPr>
          <w:t>https://bmcpublichealth.biomedcentral.com/articles/10.1186/s12889-024-20038-2</w:t>
        </w:r>
      </w:hyperlink>
    </w:p>
    <w:p w14:paraId="16085ACA" w14:textId="77777777" w:rsidR="003F5520" w:rsidRPr="008321C0" w:rsidRDefault="00B013F8" w:rsidP="00B55179">
      <w:pPr>
        <w:pStyle w:val="NormalWeb"/>
        <w:spacing w:before="0" w:beforeAutospacing="0" w:after="0" w:afterAutospacing="0" w:line="360" w:lineRule="auto"/>
        <w:jc w:val="both"/>
        <w:rPr>
          <w:rFonts w:ascii="Arial" w:hAnsi="Arial" w:cs="Arial"/>
          <w:sz w:val="20"/>
          <w:szCs w:val="20"/>
        </w:rPr>
      </w:pPr>
      <w:r w:rsidRPr="00B013F8">
        <w:t xml:space="preserve">Bhardwaj, A. (2021). </w:t>
      </w:r>
      <w:proofErr w:type="spellStart"/>
      <w:r w:rsidRPr="00B013F8">
        <w:t>GenderStats</w:t>
      </w:r>
      <w:proofErr w:type="spellEnd"/>
      <w:r w:rsidRPr="00B013F8">
        <w:t xml:space="preserve"> 7: Underage Marriage – 3. CEDA, Ashoka University. </w:t>
      </w:r>
      <w:hyperlink r:id="rId22" w:history="1">
        <w:r w:rsidRPr="00A35883">
          <w:rPr>
            <w:rStyle w:val="Hyperlink"/>
          </w:rPr>
          <w:t>https://ceda.ashoka.edu.in/genderstats-7-underage-marriage-3/</w:t>
        </w:r>
      </w:hyperlink>
      <w:r>
        <w:t xml:space="preserve"> </w:t>
      </w:r>
      <w:r w:rsidR="003F5520" w:rsidRPr="008321C0">
        <w:rPr>
          <w:rStyle w:val="Hyperlink"/>
          <w:rFonts w:ascii="Arial" w:hAnsi="Arial" w:cs="Arial"/>
          <w:color w:val="auto"/>
          <w:sz w:val="20"/>
          <w:szCs w:val="20"/>
        </w:rPr>
        <w:t xml:space="preserve"> </w:t>
      </w:r>
    </w:p>
    <w:p w14:paraId="598FA576" w14:textId="77777777" w:rsidR="003F5520" w:rsidRPr="008321C0" w:rsidRDefault="00382226" w:rsidP="00E637CC">
      <w:pPr>
        <w:pStyle w:val="NormalWeb"/>
        <w:spacing w:before="0" w:beforeAutospacing="0" w:after="0" w:afterAutospacing="0" w:line="360" w:lineRule="auto"/>
        <w:jc w:val="both"/>
        <w:rPr>
          <w:rFonts w:ascii="Arial" w:hAnsi="Arial" w:cs="Arial"/>
          <w:sz w:val="20"/>
          <w:szCs w:val="20"/>
        </w:rPr>
      </w:pPr>
      <w:r w:rsidRPr="00382226">
        <w:rPr>
          <w:rFonts w:ascii="Arial" w:hAnsi="Arial" w:cs="Arial"/>
          <w:sz w:val="20"/>
          <w:szCs w:val="20"/>
        </w:rPr>
        <w:t xml:space="preserve">International Institute for Population Sciences (IIPS) &amp; ICF. (2021). National Family Health Survey (NFHS-5), 2019–21: India Fact Sheet. IIPS. </w:t>
      </w:r>
      <w:hyperlink r:id="rId23" w:history="1">
        <w:r w:rsidRPr="00A35883">
          <w:rPr>
            <w:rStyle w:val="Hyperlink"/>
            <w:rFonts w:ascii="Arial" w:hAnsi="Arial" w:cs="Arial"/>
            <w:sz w:val="20"/>
            <w:szCs w:val="20"/>
          </w:rPr>
          <w:t>http://rchiips.org/nfhs/NFHS-5Reports/NFHS-5_INDIA_REPORT.pdf</w:t>
        </w:r>
      </w:hyperlink>
      <w:r>
        <w:rPr>
          <w:rFonts w:ascii="Arial" w:hAnsi="Arial" w:cs="Arial"/>
          <w:sz w:val="20"/>
          <w:szCs w:val="20"/>
        </w:rPr>
        <w:t xml:space="preserve"> </w:t>
      </w:r>
    </w:p>
    <w:p w14:paraId="76CB94E7" w14:textId="77777777" w:rsidR="003F5520" w:rsidRPr="008321C0" w:rsidRDefault="00DC3AAD" w:rsidP="00E637CC">
      <w:pPr>
        <w:pStyle w:val="NormalWeb"/>
        <w:spacing w:before="0" w:beforeAutospacing="0" w:after="0" w:afterAutospacing="0" w:line="360" w:lineRule="auto"/>
        <w:jc w:val="both"/>
        <w:rPr>
          <w:rFonts w:ascii="Arial" w:hAnsi="Arial" w:cs="Arial"/>
          <w:sz w:val="20"/>
          <w:szCs w:val="20"/>
        </w:rPr>
      </w:pPr>
      <w:r w:rsidRPr="00DC3AAD">
        <w:rPr>
          <w:rFonts w:ascii="Arial" w:hAnsi="Arial" w:cs="Arial"/>
          <w:sz w:val="20"/>
          <w:szCs w:val="20"/>
        </w:rPr>
        <w:t xml:space="preserve">International Institute for Population Sciences (IIPS). (2021). NFHS-5 District Fact Sheets: Maharashtra. IIPS. </w:t>
      </w:r>
      <w:hyperlink r:id="rId24" w:history="1">
        <w:r w:rsidRPr="00A35883">
          <w:rPr>
            <w:rStyle w:val="Hyperlink"/>
            <w:rFonts w:ascii="Arial" w:hAnsi="Arial" w:cs="Arial"/>
            <w:sz w:val="20"/>
            <w:szCs w:val="20"/>
          </w:rPr>
          <w:t>http://rchiips.org/nfhs/NFHS-5_FCTS/Maharashtra.pdf</w:t>
        </w:r>
      </w:hyperlink>
      <w:r>
        <w:rPr>
          <w:rFonts w:ascii="Arial" w:hAnsi="Arial" w:cs="Arial"/>
          <w:sz w:val="20"/>
          <w:szCs w:val="20"/>
        </w:rPr>
        <w:t xml:space="preserve"> </w:t>
      </w:r>
    </w:p>
    <w:p w14:paraId="7B1C577A" w14:textId="77777777" w:rsidR="003F5520" w:rsidRDefault="00605C48" w:rsidP="00E637CC">
      <w:pPr>
        <w:pStyle w:val="NormalWeb"/>
        <w:spacing w:before="0" w:beforeAutospacing="0" w:after="0" w:afterAutospacing="0" w:line="360" w:lineRule="auto"/>
        <w:jc w:val="both"/>
        <w:rPr>
          <w:rFonts w:ascii="Arial" w:hAnsi="Arial" w:cs="Arial"/>
          <w:sz w:val="20"/>
          <w:szCs w:val="20"/>
        </w:rPr>
      </w:pPr>
      <w:r w:rsidRPr="00605C48">
        <w:rPr>
          <w:rFonts w:ascii="Arial" w:hAnsi="Arial" w:cs="Arial"/>
          <w:sz w:val="20"/>
          <w:szCs w:val="20"/>
        </w:rPr>
        <w:t xml:space="preserve">Jha, P., Kesler, M. A., Kumar, R., Ram, F., Ram, U., Aleksandrowicz, L., Bassani, D. G., Chandra, S., &amp; Banthia, J. K. (2011). Trends in selective abortions of girls in India: analysis of nationally representative birth histories from 1990 to 2005 and census data from 1991 to 2011. The Lancet. </w:t>
      </w:r>
      <w:hyperlink r:id="rId25" w:history="1">
        <w:r w:rsidRPr="00A35883">
          <w:rPr>
            <w:rStyle w:val="Hyperlink"/>
            <w:rFonts w:ascii="Arial" w:hAnsi="Arial" w:cs="Arial"/>
            <w:sz w:val="20"/>
            <w:szCs w:val="20"/>
          </w:rPr>
          <w:t>https://doi.org/10.1016/S0140-6736(11)60649-1</w:t>
        </w:r>
      </w:hyperlink>
      <w:r>
        <w:rPr>
          <w:rFonts w:ascii="Arial" w:hAnsi="Arial" w:cs="Arial"/>
          <w:sz w:val="20"/>
          <w:szCs w:val="20"/>
        </w:rPr>
        <w:t xml:space="preserve"> </w:t>
      </w:r>
    </w:p>
    <w:p w14:paraId="0954E360" w14:textId="77777777" w:rsidR="003F5520" w:rsidRPr="003F5520" w:rsidRDefault="003F5520" w:rsidP="00E637CC">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ab/>
      </w:r>
      <w:hyperlink r:id="rId26" w:history="1">
        <w:r w:rsidRPr="000956F1">
          <w:rPr>
            <w:rStyle w:val="Hyperlink"/>
            <w:rFonts w:ascii="Arial" w:hAnsi="Arial" w:cs="Arial"/>
            <w:sz w:val="20"/>
            <w:szCs w:val="20"/>
          </w:rPr>
          <w:t>https://doi.org/10.1136/bmjgh-2018-000981</w:t>
        </w:r>
      </w:hyperlink>
      <w:r>
        <w:rPr>
          <w:rFonts w:ascii="Arial" w:hAnsi="Arial" w:cs="Arial"/>
          <w:sz w:val="20"/>
          <w:szCs w:val="20"/>
        </w:rPr>
        <w:t xml:space="preserve"> </w:t>
      </w:r>
    </w:p>
    <w:p w14:paraId="18A39DB0" w14:textId="77777777" w:rsidR="003F5520" w:rsidRPr="008321C0" w:rsidRDefault="0074533E" w:rsidP="00E637CC">
      <w:pPr>
        <w:pStyle w:val="NormalWeb"/>
        <w:spacing w:before="0" w:beforeAutospacing="0" w:after="0" w:afterAutospacing="0" w:line="360" w:lineRule="auto"/>
        <w:jc w:val="both"/>
        <w:rPr>
          <w:rFonts w:ascii="Arial" w:hAnsi="Arial" w:cs="Arial"/>
          <w:sz w:val="20"/>
          <w:szCs w:val="20"/>
        </w:rPr>
      </w:pPr>
      <w:r w:rsidRPr="0074533E">
        <w:rPr>
          <w:rFonts w:ascii="Arial" w:hAnsi="Arial" w:cs="Arial"/>
          <w:sz w:val="20"/>
          <w:szCs w:val="20"/>
        </w:rPr>
        <w:t xml:space="preserve">Ministry of Health and Family Welfare. (2021). National Family Health Survey (NFHS-5): India Fact Sheet. Ministry of Health and Family Welfare. </w:t>
      </w:r>
      <w:hyperlink r:id="rId27" w:history="1">
        <w:r w:rsidRPr="00A35883">
          <w:rPr>
            <w:rStyle w:val="Hyperlink"/>
            <w:rFonts w:ascii="Arial" w:hAnsi="Arial" w:cs="Arial"/>
            <w:sz w:val="20"/>
            <w:szCs w:val="20"/>
          </w:rPr>
          <w:t>https://dhsprogram.com/pubs/pdf/FR375/FR375.pdf</w:t>
        </w:r>
      </w:hyperlink>
      <w:r>
        <w:rPr>
          <w:rFonts w:ascii="Arial" w:hAnsi="Arial" w:cs="Arial"/>
          <w:sz w:val="20"/>
          <w:szCs w:val="20"/>
        </w:rPr>
        <w:t xml:space="preserve"> </w:t>
      </w:r>
    </w:p>
    <w:p w14:paraId="57E52B2C" w14:textId="77777777" w:rsidR="003F5520" w:rsidRPr="003F5520" w:rsidRDefault="003F5520" w:rsidP="00E637CC">
      <w:pPr>
        <w:pStyle w:val="NormalWeb"/>
        <w:spacing w:before="0" w:beforeAutospacing="0" w:after="0" w:afterAutospacing="0" w:line="360" w:lineRule="auto"/>
        <w:jc w:val="both"/>
        <w:rPr>
          <w:rFonts w:ascii="Arial" w:hAnsi="Arial" w:cs="Arial"/>
          <w:sz w:val="20"/>
          <w:szCs w:val="20"/>
        </w:rPr>
      </w:pPr>
      <w:r w:rsidRPr="003F5520">
        <w:rPr>
          <w:rFonts w:ascii="Arial" w:hAnsi="Arial" w:cs="Arial"/>
          <w:sz w:val="20"/>
          <w:szCs w:val="20"/>
        </w:rPr>
        <w:t>Raj, A., McDougal, L., &amp; Silverman, J. G. (2019).</w:t>
      </w:r>
      <w:r>
        <w:rPr>
          <w:rFonts w:ascii="Arial" w:hAnsi="Arial" w:cs="Arial"/>
          <w:sz w:val="20"/>
          <w:szCs w:val="20"/>
        </w:rPr>
        <w:t xml:space="preserve"> </w:t>
      </w:r>
      <w:r w:rsidRPr="003F5520">
        <w:rPr>
          <w:rFonts w:ascii="Arial" w:hAnsi="Arial" w:cs="Arial"/>
          <w:sz w:val="20"/>
          <w:szCs w:val="20"/>
        </w:rPr>
        <w:t xml:space="preserve">Associations of child marriage with health and human development outcomes in India. </w:t>
      </w:r>
      <w:r w:rsidRPr="003F5520">
        <w:rPr>
          <w:rFonts w:ascii="Arial" w:hAnsi="Arial" w:cs="Arial"/>
          <w:i/>
          <w:iCs/>
          <w:sz w:val="20"/>
          <w:szCs w:val="20"/>
        </w:rPr>
        <w:t>The Lancet Global Health</w:t>
      </w:r>
      <w:r w:rsidRPr="003F5520">
        <w:rPr>
          <w:rFonts w:ascii="Arial" w:hAnsi="Arial" w:cs="Arial"/>
          <w:sz w:val="20"/>
          <w:szCs w:val="20"/>
        </w:rPr>
        <w:t>, 7(8), e1028–e1038.</w:t>
      </w:r>
      <w:r w:rsidRPr="003F5520">
        <w:rPr>
          <w:rFonts w:ascii="Arial" w:hAnsi="Arial" w:cs="Arial"/>
          <w:sz w:val="20"/>
          <w:szCs w:val="20"/>
        </w:rPr>
        <w:br/>
      </w:r>
      <w:hyperlink r:id="rId28" w:history="1">
        <w:r w:rsidRPr="000956F1">
          <w:rPr>
            <w:rStyle w:val="Hyperlink"/>
            <w:rFonts w:ascii="Arial" w:hAnsi="Arial" w:cs="Arial"/>
            <w:sz w:val="20"/>
            <w:szCs w:val="20"/>
          </w:rPr>
          <w:t>https://doi.org/10.1016/S2214-109X(19)30235-3</w:t>
        </w:r>
      </w:hyperlink>
      <w:r>
        <w:rPr>
          <w:rFonts w:ascii="Arial" w:hAnsi="Arial" w:cs="Arial"/>
          <w:sz w:val="20"/>
          <w:szCs w:val="20"/>
        </w:rPr>
        <w:t xml:space="preserve"> </w:t>
      </w:r>
    </w:p>
    <w:p w14:paraId="0DB626B5" w14:textId="77777777" w:rsidR="003F5520" w:rsidRPr="003F5520" w:rsidRDefault="00D77C9C" w:rsidP="00E637CC">
      <w:pPr>
        <w:pStyle w:val="NormalWeb"/>
        <w:spacing w:before="0" w:beforeAutospacing="0" w:after="0" w:afterAutospacing="0" w:line="360" w:lineRule="auto"/>
        <w:jc w:val="both"/>
        <w:rPr>
          <w:rFonts w:ascii="Arial" w:hAnsi="Arial" w:cs="Arial"/>
          <w:sz w:val="20"/>
          <w:szCs w:val="20"/>
        </w:rPr>
      </w:pPr>
      <w:r w:rsidRPr="00D77C9C">
        <w:rPr>
          <w:rFonts w:ascii="Arial" w:hAnsi="Arial" w:cs="Arial"/>
          <w:sz w:val="20"/>
          <w:szCs w:val="20"/>
        </w:rPr>
        <w:t xml:space="preserve">UNESCO. (2014). Teaching and learning: Achieving quality for all (Education for All Global Monitoring Report). UNESCO Publishing. </w:t>
      </w:r>
      <w:hyperlink r:id="rId29" w:history="1">
        <w:r w:rsidRPr="00A35883">
          <w:rPr>
            <w:rStyle w:val="Hyperlink"/>
            <w:rFonts w:ascii="Arial" w:hAnsi="Arial" w:cs="Arial"/>
            <w:sz w:val="20"/>
            <w:szCs w:val="20"/>
          </w:rPr>
          <w:t>https://unesdoc.unesco.org/ark:/48223/pf0000225660</w:t>
        </w:r>
      </w:hyperlink>
      <w:r>
        <w:rPr>
          <w:rFonts w:ascii="Arial" w:hAnsi="Arial" w:cs="Arial"/>
          <w:sz w:val="20"/>
          <w:szCs w:val="20"/>
        </w:rPr>
        <w:t xml:space="preserve"> </w:t>
      </w:r>
      <w:r w:rsidR="003F5520">
        <w:rPr>
          <w:rFonts w:ascii="Arial" w:hAnsi="Arial" w:cs="Arial"/>
          <w:sz w:val="20"/>
          <w:szCs w:val="20"/>
        </w:rPr>
        <w:t xml:space="preserve"> </w:t>
      </w:r>
    </w:p>
    <w:p w14:paraId="1FF79A90" w14:textId="77777777" w:rsidR="003F5520" w:rsidRPr="008321C0" w:rsidRDefault="002C73DB" w:rsidP="00E637CC">
      <w:pPr>
        <w:pStyle w:val="NormalWeb"/>
        <w:spacing w:before="0" w:beforeAutospacing="0" w:after="0" w:afterAutospacing="0" w:line="360" w:lineRule="auto"/>
        <w:jc w:val="both"/>
        <w:rPr>
          <w:rFonts w:ascii="Arial" w:hAnsi="Arial" w:cs="Arial"/>
          <w:sz w:val="20"/>
          <w:szCs w:val="20"/>
        </w:rPr>
      </w:pPr>
      <w:r w:rsidRPr="002C73DB">
        <w:rPr>
          <w:rFonts w:ascii="Arial" w:hAnsi="Arial" w:cs="Arial"/>
          <w:sz w:val="20"/>
          <w:szCs w:val="20"/>
        </w:rPr>
        <w:t xml:space="preserve">UNFPA India. (2022). Child Marriage in India: Key Insights from NFHS 5. UNFPA Analytical Paper Series #1. </w:t>
      </w:r>
      <w:hyperlink r:id="rId30" w:history="1">
        <w:r w:rsidRPr="00A35883">
          <w:rPr>
            <w:rStyle w:val="Hyperlink"/>
            <w:rFonts w:ascii="Arial" w:hAnsi="Arial" w:cs="Arial"/>
            <w:sz w:val="20"/>
            <w:szCs w:val="20"/>
          </w:rPr>
          <w:t>https://india.unfpa.org/sites/default/files/pub-pdf/analytical_series_1_-_child_marriage_in_india_-_insights_from_nfhs-5_final_0.pdf</w:t>
        </w:r>
      </w:hyperlink>
      <w:r>
        <w:rPr>
          <w:rFonts w:ascii="Arial" w:hAnsi="Arial" w:cs="Arial"/>
          <w:sz w:val="20"/>
          <w:szCs w:val="20"/>
        </w:rPr>
        <w:t xml:space="preserve"> </w:t>
      </w:r>
      <w:r w:rsidR="003F5520" w:rsidRPr="008321C0">
        <w:rPr>
          <w:rStyle w:val="Hyperlink"/>
          <w:rFonts w:ascii="Arial" w:hAnsi="Arial" w:cs="Arial"/>
          <w:color w:val="auto"/>
          <w:sz w:val="20"/>
          <w:szCs w:val="20"/>
        </w:rPr>
        <w:t xml:space="preserve"> </w:t>
      </w:r>
    </w:p>
    <w:p w14:paraId="78F1519D" w14:textId="77777777" w:rsidR="003F5520" w:rsidRPr="003F5520" w:rsidRDefault="00B56C49" w:rsidP="00E637CC">
      <w:pPr>
        <w:pStyle w:val="NormalWeb"/>
        <w:spacing w:before="0" w:beforeAutospacing="0" w:after="0" w:afterAutospacing="0" w:line="360" w:lineRule="auto"/>
        <w:jc w:val="both"/>
        <w:rPr>
          <w:rFonts w:ascii="Arial" w:hAnsi="Arial" w:cs="Arial"/>
          <w:sz w:val="20"/>
          <w:szCs w:val="20"/>
        </w:rPr>
      </w:pPr>
      <w:r w:rsidRPr="00B56C49">
        <w:rPr>
          <w:rFonts w:ascii="Arial" w:hAnsi="Arial" w:cs="Arial"/>
          <w:sz w:val="20"/>
          <w:szCs w:val="20"/>
        </w:rPr>
        <w:t xml:space="preserve">UNICEF. (2018). Child marriage: Latest trends and future prospects. United Nations Children’s Fund, New York. </w:t>
      </w:r>
      <w:hyperlink r:id="rId31" w:history="1">
        <w:r w:rsidRPr="00A35883">
          <w:rPr>
            <w:rStyle w:val="Hyperlink"/>
            <w:rFonts w:ascii="Arial" w:hAnsi="Arial" w:cs="Arial"/>
            <w:sz w:val="20"/>
            <w:szCs w:val="20"/>
          </w:rPr>
          <w:t>https://www.unicef.org/reports/child-marriage-latest-trends-and-future-prospects</w:t>
        </w:r>
      </w:hyperlink>
      <w:r>
        <w:rPr>
          <w:rFonts w:ascii="Arial" w:hAnsi="Arial" w:cs="Arial"/>
          <w:sz w:val="20"/>
          <w:szCs w:val="20"/>
        </w:rPr>
        <w:t xml:space="preserve"> </w:t>
      </w:r>
      <w:r w:rsidR="003F5520">
        <w:rPr>
          <w:rFonts w:ascii="Arial" w:hAnsi="Arial" w:cs="Arial"/>
          <w:sz w:val="20"/>
          <w:szCs w:val="20"/>
        </w:rPr>
        <w:t xml:space="preserve"> </w:t>
      </w:r>
    </w:p>
    <w:p w14:paraId="5CD4E2ED" w14:textId="77777777" w:rsidR="00D46A0C" w:rsidRPr="003F5520" w:rsidRDefault="00ED0F1B" w:rsidP="00E637CC">
      <w:pPr>
        <w:pStyle w:val="NormalWeb"/>
        <w:spacing w:before="0" w:beforeAutospacing="0" w:after="0" w:afterAutospacing="0" w:line="360" w:lineRule="auto"/>
        <w:jc w:val="both"/>
        <w:rPr>
          <w:rFonts w:ascii="Arial" w:hAnsi="Arial" w:cs="Arial"/>
          <w:sz w:val="20"/>
          <w:szCs w:val="20"/>
        </w:rPr>
      </w:pPr>
      <w:r w:rsidRPr="00ED0F1B">
        <w:rPr>
          <w:rFonts w:ascii="Arial" w:hAnsi="Arial" w:cs="Arial"/>
          <w:sz w:val="20"/>
          <w:szCs w:val="20"/>
        </w:rPr>
        <w:t xml:space="preserve">World Bank Group. (2018). Missed opportunities: The high cost of not educating girls. World Bank Group. </w:t>
      </w:r>
      <w:hyperlink r:id="rId32" w:history="1">
        <w:r w:rsidRPr="00A35883">
          <w:rPr>
            <w:rStyle w:val="Hyperlink"/>
            <w:rFonts w:ascii="Arial" w:hAnsi="Arial" w:cs="Arial"/>
            <w:sz w:val="20"/>
            <w:szCs w:val="20"/>
          </w:rPr>
          <w:t>https://doi.org/10.1596/978-1-4648-1206-5</w:t>
        </w:r>
      </w:hyperlink>
      <w:r>
        <w:rPr>
          <w:rFonts w:ascii="Arial" w:hAnsi="Arial" w:cs="Arial"/>
          <w:sz w:val="20"/>
          <w:szCs w:val="20"/>
        </w:rPr>
        <w:t xml:space="preserve"> </w:t>
      </w:r>
      <w:r w:rsidR="003F5520">
        <w:rPr>
          <w:rFonts w:ascii="Arial" w:hAnsi="Arial" w:cs="Arial"/>
          <w:sz w:val="20"/>
          <w:szCs w:val="20"/>
        </w:rPr>
        <w:t xml:space="preserve"> </w:t>
      </w:r>
    </w:p>
    <w:sectPr w:rsidR="00D46A0C" w:rsidRPr="003F5520">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SS" w:date="2025-12-27T21:12:00Z" w:initials="SSS">
    <w:p w14:paraId="354D3941" w14:textId="77777777" w:rsidR="001074BE" w:rsidRDefault="001074BE" w:rsidP="001074BE">
      <w:pPr>
        <w:pStyle w:val="CommentText"/>
      </w:pPr>
      <w:r>
        <w:rPr>
          <w:rStyle w:val="CommentReference"/>
        </w:rPr>
        <w:annotationRef/>
      </w:r>
      <w:r>
        <w:t xml:space="preserve">This title is interesting </w:t>
      </w:r>
    </w:p>
  </w:comment>
  <w:comment w:id="4" w:author="SSS" w:date="2025-12-27T21:15:00Z" w:initials="SSS">
    <w:p w14:paraId="15E67865" w14:textId="77777777" w:rsidR="001074BE" w:rsidRDefault="001074BE" w:rsidP="001074BE">
      <w:pPr>
        <w:pStyle w:val="CommentText"/>
      </w:pPr>
      <w:r>
        <w:rPr>
          <w:rStyle w:val="CommentReference"/>
        </w:rPr>
        <w:annotationRef/>
      </w:r>
      <w:r>
        <w:t xml:space="preserve">Provide a detailed explanation of how to take samples from the total population. What formula is used? Explain the stages of the data collection and analysis processes. Don't forget to write down the research schedule. </w:t>
      </w:r>
    </w:p>
    <w:p w14:paraId="45A57A88" w14:textId="77777777" w:rsidR="001074BE" w:rsidRDefault="001074BE" w:rsidP="001074BE">
      <w:pPr>
        <w:pStyle w:val="CommentText"/>
      </w:pPr>
    </w:p>
    <w:p w14:paraId="75CC11AA" w14:textId="77777777" w:rsidR="001074BE" w:rsidRDefault="001074BE" w:rsidP="001074BE">
      <w:pPr>
        <w:pStyle w:val="CommentText"/>
      </w:pPr>
      <w:r>
        <w:t>You can use flowcharts or other forms (visually). Then you provide an explanation.</w:t>
      </w:r>
    </w:p>
  </w:comment>
  <w:comment w:id="5" w:author="SSS" w:date="2025-12-27T21:18:00Z" w:initials="SSS">
    <w:p w14:paraId="621AAC0B" w14:textId="77777777" w:rsidR="001074BE" w:rsidRDefault="001074BE" w:rsidP="001074BE">
      <w:pPr>
        <w:pStyle w:val="CommentText"/>
      </w:pPr>
      <w:r>
        <w:rPr>
          <w:rStyle w:val="CommentReference"/>
        </w:rPr>
        <w:annotationRef/>
      </w:r>
      <w:r>
        <w:t xml:space="preserve">It is very important to explain why this issue needs to be researched. What is its urgency? You must identify gaps and novelty by citing previous studies to strengthen the position of this research. In many countries, there may be studies that have been conducted on this topic, and you should cite some of them. This part is crucial. If you are unable to describe the gaps and novelty, then this research will not be interesting to read. </w:t>
      </w:r>
    </w:p>
  </w:comment>
  <w:comment w:id="9" w:author="SSS" w:date="2025-12-27T21:19:00Z" w:initials="SSS">
    <w:p w14:paraId="2D31D230" w14:textId="77777777" w:rsidR="001074BE" w:rsidRDefault="001074BE" w:rsidP="001074BE">
      <w:pPr>
        <w:pStyle w:val="CommentText"/>
      </w:pPr>
      <w:r>
        <w:rPr>
          <w:rStyle w:val="CommentReference"/>
        </w:rPr>
        <w:annotationRef/>
      </w:r>
      <w:r>
        <w:t xml:space="preserve">Provide source information after the image. </w:t>
      </w:r>
    </w:p>
  </w:comment>
  <w:comment w:id="10" w:author="SSS" w:date="2025-12-27T21:20:00Z" w:initials="SSS">
    <w:p w14:paraId="3C8908D4" w14:textId="77777777" w:rsidR="001074BE" w:rsidRDefault="001074BE" w:rsidP="001074BE">
      <w:pPr>
        <w:pStyle w:val="CommentText"/>
      </w:pPr>
      <w:r>
        <w:rPr>
          <w:rStyle w:val="CommentReference"/>
        </w:rPr>
        <w:annotationRef/>
      </w:r>
      <w:r>
        <w:t xml:space="preserve">Provide source information after the image. </w:t>
      </w:r>
    </w:p>
  </w:comment>
  <w:comment w:id="11" w:author="SSS" w:date="2025-12-27T21:20:00Z" w:initials="SSS">
    <w:p w14:paraId="38CC80CD" w14:textId="77777777" w:rsidR="001074BE" w:rsidRDefault="001074BE" w:rsidP="001074BE">
      <w:pPr>
        <w:pStyle w:val="CommentText"/>
      </w:pPr>
      <w:r>
        <w:rPr>
          <w:rStyle w:val="CommentReference"/>
        </w:rPr>
        <w:annotationRef/>
      </w:r>
      <w:r>
        <w:t xml:space="preserve">Provide source information after the image. </w:t>
      </w:r>
    </w:p>
  </w:comment>
  <w:comment w:id="12" w:author="SSS" w:date="2025-12-27T21:20:00Z" w:initials="SSS">
    <w:p w14:paraId="4C53A314" w14:textId="77777777" w:rsidR="001074BE" w:rsidRDefault="001074BE" w:rsidP="001074BE">
      <w:pPr>
        <w:pStyle w:val="CommentText"/>
      </w:pPr>
      <w:r>
        <w:rPr>
          <w:rStyle w:val="CommentReference"/>
        </w:rPr>
        <w:annotationRef/>
      </w:r>
      <w:r>
        <w:t xml:space="preserve">Provide source information after the image. </w:t>
      </w:r>
    </w:p>
  </w:comment>
  <w:comment w:id="8" w:author="SSS" w:date="2025-12-27T21:24:00Z" w:initials="SSS">
    <w:p w14:paraId="690D3CA7" w14:textId="77777777" w:rsidR="00FC6A15" w:rsidRDefault="00FC6A15" w:rsidP="00FC6A15">
      <w:pPr>
        <w:pStyle w:val="CommentText"/>
      </w:pPr>
      <w:r>
        <w:rPr>
          <w:rStyle w:val="CommentReference"/>
        </w:rPr>
        <w:annotationRef/>
      </w:r>
      <w:r>
        <w:t xml:space="preserve">You must not only be able to present quantitatively processed research data. What is very important is how to discuss these research results. You must add a subchapter that specifically discusses or debates the research results in the context of theory and actual conditions. Here, you will be tested on how to conduct a holistic analysis, not just present data in visual form. </w:t>
      </w:r>
    </w:p>
  </w:comment>
  <w:comment w:id="13" w:author="SSS" w:date="2025-12-27T21:25:00Z" w:initials="SSS">
    <w:p w14:paraId="52187EBA" w14:textId="77777777" w:rsidR="00FC6A15" w:rsidRDefault="00FC6A15" w:rsidP="00FC6A15">
      <w:pPr>
        <w:pStyle w:val="CommentText"/>
      </w:pPr>
      <w:r>
        <w:rPr>
          <w:rStyle w:val="CommentReference"/>
        </w:rPr>
        <w:annotationRef/>
      </w:r>
      <w:r>
        <w:t xml:space="preserve">The conclusion does not need to contain quotations. Instead, focus on the main objective of this research. </w:t>
      </w:r>
    </w:p>
  </w:comment>
  <w:comment w:id="14" w:author="SSS" w:date="2025-12-27T21:22:00Z" w:initials="SSS">
    <w:p w14:paraId="76F355ED" w14:textId="6CE67DE6" w:rsidR="001074BE" w:rsidRDefault="001074BE" w:rsidP="001074BE">
      <w:pPr>
        <w:pStyle w:val="CommentText"/>
      </w:pPr>
      <w:r>
        <w:rPr>
          <w:rStyle w:val="CommentReference"/>
        </w:rPr>
        <w:annotationRef/>
      </w:r>
      <w:r>
        <w:t>Please write complete references. You must use ideal reference writing tools, such as Mendeley. You must tidy up these references. Strengthen them by adding at least 10 recent references (published in the last 5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4D3941" w15:done="0"/>
  <w15:commentEx w15:paraId="75CC11AA" w15:done="0"/>
  <w15:commentEx w15:paraId="621AAC0B" w15:done="0"/>
  <w15:commentEx w15:paraId="2D31D230" w15:done="0"/>
  <w15:commentEx w15:paraId="3C8908D4" w15:done="0"/>
  <w15:commentEx w15:paraId="38CC80CD" w15:done="0"/>
  <w15:commentEx w15:paraId="4C53A314" w15:done="0"/>
  <w15:commentEx w15:paraId="690D3CA7" w15:done="0"/>
  <w15:commentEx w15:paraId="52187EBA" w15:done="0"/>
  <w15:commentEx w15:paraId="76F35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DE895C" w16cex:dateUtc="2025-12-27T14:12:00Z"/>
  <w16cex:commentExtensible w16cex:durableId="04F2993C" w16cex:dateUtc="2025-12-27T14:15:00Z"/>
  <w16cex:commentExtensible w16cex:durableId="48C06050" w16cex:dateUtc="2025-12-27T14:18:00Z"/>
  <w16cex:commentExtensible w16cex:durableId="09E9A0B6" w16cex:dateUtc="2025-12-27T14:19:00Z"/>
  <w16cex:commentExtensible w16cex:durableId="13B10344" w16cex:dateUtc="2025-12-27T14:20:00Z"/>
  <w16cex:commentExtensible w16cex:durableId="54E8BD87" w16cex:dateUtc="2025-12-27T14:20:00Z"/>
  <w16cex:commentExtensible w16cex:durableId="5FC55950" w16cex:dateUtc="2025-12-27T14:20:00Z"/>
  <w16cex:commentExtensible w16cex:durableId="3BF12021" w16cex:dateUtc="2025-12-27T14:24:00Z"/>
  <w16cex:commentExtensible w16cex:durableId="385C2908" w16cex:dateUtc="2025-12-27T14:25:00Z"/>
  <w16cex:commentExtensible w16cex:durableId="7ADE9835" w16cex:dateUtc="2025-12-27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D3941" w16cid:durableId="79DE895C"/>
  <w16cid:commentId w16cid:paraId="75CC11AA" w16cid:durableId="04F2993C"/>
  <w16cid:commentId w16cid:paraId="621AAC0B" w16cid:durableId="48C06050"/>
  <w16cid:commentId w16cid:paraId="2D31D230" w16cid:durableId="09E9A0B6"/>
  <w16cid:commentId w16cid:paraId="3C8908D4" w16cid:durableId="13B10344"/>
  <w16cid:commentId w16cid:paraId="38CC80CD" w16cid:durableId="54E8BD87"/>
  <w16cid:commentId w16cid:paraId="4C53A314" w16cid:durableId="5FC55950"/>
  <w16cid:commentId w16cid:paraId="690D3CA7" w16cid:durableId="3BF12021"/>
  <w16cid:commentId w16cid:paraId="52187EBA" w16cid:durableId="385C2908"/>
  <w16cid:commentId w16cid:paraId="76F355ED" w16cid:durableId="7ADE98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567E" w14:textId="77777777" w:rsidR="00B957A8" w:rsidRDefault="00B957A8" w:rsidP="00003A62">
      <w:pPr>
        <w:spacing w:after="0"/>
      </w:pPr>
      <w:r>
        <w:separator/>
      </w:r>
    </w:p>
  </w:endnote>
  <w:endnote w:type="continuationSeparator" w:id="0">
    <w:p w14:paraId="309A3A74" w14:textId="77777777" w:rsidR="00B957A8" w:rsidRDefault="00B957A8" w:rsidP="00003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A7D7" w14:textId="77777777" w:rsidR="0027585C" w:rsidRDefault="00275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661762"/>
      <w:docPartObj>
        <w:docPartGallery w:val="Page Numbers (Bottom of Page)"/>
        <w:docPartUnique/>
      </w:docPartObj>
    </w:sdtPr>
    <w:sdtEndPr>
      <w:rPr>
        <w:noProof/>
      </w:rPr>
    </w:sdtEndPr>
    <w:sdtContent>
      <w:p w14:paraId="0A8D880F" w14:textId="77777777" w:rsidR="00003A62" w:rsidRDefault="00003A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9571A" w14:textId="77777777" w:rsidR="00003A62" w:rsidRDefault="00003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6743" w14:textId="77777777" w:rsidR="0027585C" w:rsidRDefault="0027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2DD4" w14:textId="77777777" w:rsidR="00B957A8" w:rsidRDefault="00B957A8" w:rsidP="00003A62">
      <w:pPr>
        <w:spacing w:after="0"/>
      </w:pPr>
      <w:r>
        <w:separator/>
      </w:r>
    </w:p>
  </w:footnote>
  <w:footnote w:type="continuationSeparator" w:id="0">
    <w:p w14:paraId="12436877" w14:textId="77777777" w:rsidR="00B957A8" w:rsidRDefault="00B957A8" w:rsidP="00003A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6F20" w14:textId="77777777" w:rsidR="0027585C" w:rsidRDefault="00000000">
    <w:pPr>
      <w:pStyle w:val="Header"/>
    </w:pPr>
    <w:r>
      <w:rPr>
        <w:noProof/>
      </w:rPr>
      <w:pict w14:anchorId="44AA9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82C8" w14:textId="77777777" w:rsidR="0027585C" w:rsidRDefault="00000000">
    <w:pPr>
      <w:pStyle w:val="Header"/>
    </w:pPr>
    <w:r>
      <w:rPr>
        <w:noProof/>
      </w:rPr>
      <w:pict w14:anchorId="5F3FC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D19B" w14:textId="77777777" w:rsidR="0027585C" w:rsidRDefault="00000000">
    <w:pPr>
      <w:pStyle w:val="Header"/>
    </w:pPr>
    <w:r>
      <w:rPr>
        <w:noProof/>
      </w:rPr>
      <w:pict w14:anchorId="2C47C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1A827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2056E6F"/>
    <w:multiLevelType w:val="hybridMultilevel"/>
    <w:tmpl w:val="505407F8"/>
    <w:lvl w:ilvl="0" w:tplc="C37845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6777"/>
    <w:multiLevelType w:val="hybridMultilevel"/>
    <w:tmpl w:val="19B20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0626A2"/>
    <w:multiLevelType w:val="hybridMultilevel"/>
    <w:tmpl w:val="8BD04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5A4897"/>
    <w:multiLevelType w:val="hybridMultilevel"/>
    <w:tmpl w:val="E59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E4CC3"/>
    <w:multiLevelType w:val="hybridMultilevel"/>
    <w:tmpl w:val="231E9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4116EB"/>
    <w:multiLevelType w:val="hybridMultilevel"/>
    <w:tmpl w:val="D72C39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BB3680"/>
    <w:multiLevelType w:val="hybridMultilevel"/>
    <w:tmpl w:val="FCB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068644">
    <w:abstractNumId w:val="0"/>
  </w:num>
  <w:num w:numId="2" w16cid:durableId="345789416">
    <w:abstractNumId w:val="4"/>
  </w:num>
  <w:num w:numId="3" w16cid:durableId="681589524">
    <w:abstractNumId w:val="1"/>
  </w:num>
  <w:num w:numId="4" w16cid:durableId="682632734">
    <w:abstractNumId w:val="7"/>
  </w:num>
  <w:num w:numId="5" w16cid:durableId="1213884632">
    <w:abstractNumId w:val="5"/>
  </w:num>
  <w:num w:numId="6" w16cid:durableId="284509322">
    <w:abstractNumId w:val="2"/>
  </w:num>
  <w:num w:numId="7" w16cid:durableId="1245185732">
    <w:abstractNumId w:val="3"/>
  </w:num>
  <w:num w:numId="8" w16cid:durableId="159883256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SS">
    <w15:presenceInfo w15:providerId="None" w15:userId="S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56"/>
    <w:rsid w:val="00003A62"/>
    <w:rsid w:val="00017CEB"/>
    <w:rsid w:val="000A30E8"/>
    <w:rsid w:val="00101556"/>
    <w:rsid w:val="001074BE"/>
    <w:rsid w:val="00170A2C"/>
    <w:rsid w:val="002262C9"/>
    <w:rsid w:val="0027585C"/>
    <w:rsid w:val="00285C6D"/>
    <w:rsid w:val="002C4B4F"/>
    <w:rsid w:val="002C73DB"/>
    <w:rsid w:val="002F7CB6"/>
    <w:rsid w:val="00382226"/>
    <w:rsid w:val="003E57D5"/>
    <w:rsid w:val="003E7B34"/>
    <w:rsid w:val="003F5520"/>
    <w:rsid w:val="0044018A"/>
    <w:rsid w:val="0044626F"/>
    <w:rsid w:val="0046546A"/>
    <w:rsid w:val="004B7D52"/>
    <w:rsid w:val="0054086F"/>
    <w:rsid w:val="00544362"/>
    <w:rsid w:val="00572CFC"/>
    <w:rsid w:val="005E43CB"/>
    <w:rsid w:val="00602A87"/>
    <w:rsid w:val="00605C48"/>
    <w:rsid w:val="006F18CF"/>
    <w:rsid w:val="006F65ED"/>
    <w:rsid w:val="00720E87"/>
    <w:rsid w:val="0074533E"/>
    <w:rsid w:val="00750281"/>
    <w:rsid w:val="00784EF4"/>
    <w:rsid w:val="007A10B3"/>
    <w:rsid w:val="007D7AE8"/>
    <w:rsid w:val="007E23B2"/>
    <w:rsid w:val="008321C0"/>
    <w:rsid w:val="008D79E5"/>
    <w:rsid w:val="00903B80"/>
    <w:rsid w:val="00982516"/>
    <w:rsid w:val="009B4451"/>
    <w:rsid w:val="009D110C"/>
    <w:rsid w:val="00A33B8D"/>
    <w:rsid w:val="00A935F1"/>
    <w:rsid w:val="00AB1C14"/>
    <w:rsid w:val="00AC3A19"/>
    <w:rsid w:val="00B013F8"/>
    <w:rsid w:val="00B55179"/>
    <w:rsid w:val="00B56C49"/>
    <w:rsid w:val="00B842F1"/>
    <w:rsid w:val="00B94EBA"/>
    <w:rsid w:val="00B957A8"/>
    <w:rsid w:val="00C215F3"/>
    <w:rsid w:val="00C404BA"/>
    <w:rsid w:val="00CE40B6"/>
    <w:rsid w:val="00D122C8"/>
    <w:rsid w:val="00D31BEC"/>
    <w:rsid w:val="00D46A0C"/>
    <w:rsid w:val="00D73286"/>
    <w:rsid w:val="00D77C9C"/>
    <w:rsid w:val="00D91BD9"/>
    <w:rsid w:val="00D93B59"/>
    <w:rsid w:val="00DC3AAD"/>
    <w:rsid w:val="00E373F6"/>
    <w:rsid w:val="00E560D7"/>
    <w:rsid w:val="00E637CC"/>
    <w:rsid w:val="00E968C5"/>
    <w:rsid w:val="00ED0F1B"/>
    <w:rsid w:val="00EE5EFB"/>
    <w:rsid w:val="00F2286C"/>
    <w:rsid w:val="00FC6A1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F44"/>
  <w15:docId w15:val="{65B3BDEA-B413-48B8-909C-E6B28351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003A62"/>
    <w:pPr>
      <w:tabs>
        <w:tab w:val="center" w:pos="4680"/>
        <w:tab w:val="right" w:pos="9360"/>
      </w:tabs>
      <w:spacing w:after="0"/>
    </w:pPr>
  </w:style>
  <w:style w:type="character" w:customStyle="1" w:styleId="HeaderChar">
    <w:name w:val="Header Char"/>
    <w:basedOn w:val="DefaultParagraphFont"/>
    <w:link w:val="Header"/>
    <w:rsid w:val="00003A62"/>
  </w:style>
  <w:style w:type="paragraph" w:styleId="Footer">
    <w:name w:val="footer"/>
    <w:basedOn w:val="Normal"/>
    <w:link w:val="FooterChar"/>
    <w:uiPriority w:val="99"/>
    <w:unhideWhenUsed/>
    <w:rsid w:val="00003A62"/>
    <w:pPr>
      <w:tabs>
        <w:tab w:val="center" w:pos="4680"/>
        <w:tab w:val="right" w:pos="9360"/>
      </w:tabs>
      <w:spacing w:after="0"/>
    </w:pPr>
  </w:style>
  <w:style w:type="character" w:customStyle="1" w:styleId="FooterChar">
    <w:name w:val="Footer Char"/>
    <w:basedOn w:val="DefaultParagraphFont"/>
    <w:link w:val="Footer"/>
    <w:uiPriority w:val="99"/>
    <w:rsid w:val="00003A62"/>
  </w:style>
  <w:style w:type="paragraph" w:styleId="NormalWeb">
    <w:name w:val="Normal (Web)"/>
    <w:basedOn w:val="Normal"/>
    <w:uiPriority w:val="99"/>
    <w:semiHidden/>
    <w:unhideWhenUsed/>
    <w:rsid w:val="000A30E8"/>
    <w:pPr>
      <w:spacing w:before="100" w:beforeAutospacing="1" w:after="100" w:afterAutospacing="1"/>
    </w:pPr>
    <w:rPr>
      <w:rFonts w:ascii="Times New Roman" w:eastAsia="Times New Roman" w:hAnsi="Times New Roman" w:cs="Times New Roman"/>
      <w:lang w:val="en-US" w:bidi="mr-IN"/>
    </w:rPr>
  </w:style>
  <w:style w:type="character" w:styleId="Emphasis">
    <w:name w:val="Emphasis"/>
    <w:basedOn w:val="DefaultParagraphFont"/>
    <w:uiPriority w:val="20"/>
    <w:qFormat/>
    <w:rsid w:val="000A30E8"/>
    <w:rPr>
      <w:i/>
      <w:iCs/>
    </w:rPr>
  </w:style>
  <w:style w:type="character" w:styleId="Strong">
    <w:name w:val="Strong"/>
    <w:basedOn w:val="DefaultParagraphFont"/>
    <w:uiPriority w:val="22"/>
    <w:qFormat/>
    <w:rsid w:val="000A30E8"/>
    <w:rPr>
      <w:b/>
      <w:bCs/>
    </w:rPr>
  </w:style>
  <w:style w:type="character" w:styleId="UnresolvedMention">
    <w:name w:val="Unresolved Mention"/>
    <w:basedOn w:val="DefaultParagraphFont"/>
    <w:uiPriority w:val="99"/>
    <w:semiHidden/>
    <w:unhideWhenUsed/>
    <w:rsid w:val="00D46A0C"/>
    <w:rPr>
      <w:color w:val="605E5C"/>
      <w:shd w:val="clear" w:color="auto" w:fill="E1DFDD"/>
    </w:rPr>
  </w:style>
  <w:style w:type="paragraph" w:styleId="BalloonText">
    <w:name w:val="Balloon Text"/>
    <w:basedOn w:val="Normal"/>
    <w:link w:val="BalloonTextChar"/>
    <w:semiHidden/>
    <w:unhideWhenUsed/>
    <w:rsid w:val="0027585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7585C"/>
    <w:rPr>
      <w:rFonts w:ascii="Segoe UI" w:hAnsi="Segoe UI" w:cs="Segoe UI"/>
      <w:sz w:val="18"/>
      <w:szCs w:val="18"/>
    </w:rPr>
  </w:style>
  <w:style w:type="character" w:styleId="CommentReference">
    <w:name w:val="annotation reference"/>
    <w:basedOn w:val="DefaultParagraphFont"/>
    <w:semiHidden/>
    <w:unhideWhenUsed/>
    <w:rsid w:val="001074BE"/>
    <w:rPr>
      <w:sz w:val="16"/>
      <w:szCs w:val="16"/>
    </w:rPr>
  </w:style>
  <w:style w:type="paragraph" w:styleId="CommentText">
    <w:name w:val="annotation text"/>
    <w:basedOn w:val="Normal"/>
    <w:link w:val="CommentTextChar"/>
    <w:unhideWhenUsed/>
    <w:rsid w:val="001074BE"/>
    <w:rPr>
      <w:sz w:val="20"/>
      <w:szCs w:val="20"/>
    </w:rPr>
  </w:style>
  <w:style w:type="character" w:customStyle="1" w:styleId="CommentTextChar">
    <w:name w:val="Comment Text Char"/>
    <w:basedOn w:val="DefaultParagraphFont"/>
    <w:link w:val="CommentText"/>
    <w:rsid w:val="001074BE"/>
    <w:rPr>
      <w:sz w:val="20"/>
      <w:szCs w:val="20"/>
    </w:rPr>
  </w:style>
  <w:style w:type="paragraph" w:styleId="CommentSubject">
    <w:name w:val="annotation subject"/>
    <w:basedOn w:val="CommentText"/>
    <w:next w:val="CommentText"/>
    <w:link w:val="CommentSubjectChar"/>
    <w:semiHidden/>
    <w:unhideWhenUsed/>
    <w:rsid w:val="001074BE"/>
    <w:rPr>
      <w:b/>
      <w:bCs/>
    </w:rPr>
  </w:style>
  <w:style w:type="character" w:customStyle="1" w:styleId="CommentSubjectChar">
    <w:name w:val="Comment Subject Char"/>
    <w:basedOn w:val="CommentTextChar"/>
    <w:link w:val="CommentSubject"/>
    <w:semiHidden/>
    <w:rsid w:val="00107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8703">
      <w:bodyDiv w:val="1"/>
      <w:marLeft w:val="0"/>
      <w:marRight w:val="0"/>
      <w:marTop w:val="0"/>
      <w:marBottom w:val="0"/>
      <w:divBdr>
        <w:top w:val="none" w:sz="0" w:space="0" w:color="auto"/>
        <w:left w:val="none" w:sz="0" w:space="0" w:color="auto"/>
        <w:bottom w:val="none" w:sz="0" w:space="0" w:color="auto"/>
        <w:right w:val="none" w:sz="0" w:space="0" w:color="auto"/>
      </w:divBdr>
    </w:div>
    <w:div w:id="293147981">
      <w:bodyDiv w:val="1"/>
      <w:marLeft w:val="0"/>
      <w:marRight w:val="0"/>
      <w:marTop w:val="0"/>
      <w:marBottom w:val="0"/>
      <w:divBdr>
        <w:top w:val="none" w:sz="0" w:space="0" w:color="auto"/>
        <w:left w:val="none" w:sz="0" w:space="0" w:color="auto"/>
        <w:bottom w:val="none" w:sz="0" w:space="0" w:color="auto"/>
        <w:right w:val="none" w:sz="0" w:space="0" w:color="auto"/>
      </w:divBdr>
    </w:div>
    <w:div w:id="300506615">
      <w:bodyDiv w:val="1"/>
      <w:marLeft w:val="0"/>
      <w:marRight w:val="0"/>
      <w:marTop w:val="0"/>
      <w:marBottom w:val="0"/>
      <w:divBdr>
        <w:top w:val="none" w:sz="0" w:space="0" w:color="auto"/>
        <w:left w:val="none" w:sz="0" w:space="0" w:color="auto"/>
        <w:bottom w:val="none" w:sz="0" w:space="0" w:color="auto"/>
        <w:right w:val="none" w:sz="0" w:space="0" w:color="auto"/>
      </w:divBdr>
    </w:div>
    <w:div w:id="417680993">
      <w:bodyDiv w:val="1"/>
      <w:marLeft w:val="0"/>
      <w:marRight w:val="0"/>
      <w:marTop w:val="0"/>
      <w:marBottom w:val="0"/>
      <w:divBdr>
        <w:top w:val="none" w:sz="0" w:space="0" w:color="auto"/>
        <w:left w:val="none" w:sz="0" w:space="0" w:color="auto"/>
        <w:bottom w:val="none" w:sz="0" w:space="0" w:color="auto"/>
        <w:right w:val="none" w:sz="0" w:space="0" w:color="auto"/>
      </w:divBdr>
    </w:div>
    <w:div w:id="719475959">
      <w:bodyDiv w:val="1"/>
      <w:marLeft w:val="0"/>
      <w:marRight w:val="0"/>
      <w:marTop w:val="0"/>
      <w:marBottom w:val="0"/>
      <w:divBdr>
        <w:top w:val="none" w:sz="0" w:space="0" w:color="auto"/>
        <w:left w:val="none" w:sz="0" w:space="0" w:color="auto"/>
        <w:bottom w:val="none" w:sz="0" w:space="0" w:color="auto"/>
        <w:right w:val="none" w:sz="0" w:space="0" w:color="auto"/>
      </w:divBdr>
    </w:div>
    <w:div w:id="790324009">
      <w:bodyDiv w:val="1"/>
      <w:marLeft w:val="0"/>
      <w:marRight w:val="0"/>
      <w:marTop w:val="0"/>
      <w:marBottom w:val="0"/>
      <w:divBdr>
        <w:top w:val="none" w:sz="0" w:space="0" w:color="auto"/>
        <w:left w:val="none" w:sz="0" w:space="0" w:color="auto"/>
        <w:bottom w:val="none" w:sz="0" w:space="0" w:color="auto"/>
        <w:right w:val="none" w:sz="0" w:space="0" w:color="auto"/>
      </w:divBdr>
    </w:div>
    <w:div w:id="829635319">
      <w:bodyDiv w:val="1"/>
      <w:marLeft w:val="0"/>
      <w:marRight w:val="0"/>
      <w:marTop w:val="0"/>
      <w:marBottom w:val="0"/>
      <w:divBdr>
        <w:top w:val="none" w:sz="0" w:space="0" w:color="auto"/>
        <w:left w:val="none" w:sz="0" w:space="0" w:color="auto"/>
        <w:bottom w:val="none" w:sz="0" w:space="0" w:color="auto"/>
        <w:right w:val="none" w:sz="0" w:space="0" w:color="auto"/>
      </w:divBdr>
    </w:div>
    <w:div w:id="948203868">
      <w:bodyDiv w:val="1"/>
      <w:marLeft w:val="0"/>
      <w:marRight w:val="0"/>
      <w:marTop w:val="0"/>
      <w:marBottom w:val="0"/>
      <w:divBdr>
        <w:top w:val="none" w:sz="0" w:space="0" w:color="auto"/>
        <w:left w:val="none" w:sz="0" w:space="0" w:color="auto"/>
        <w:bottom w:val="none" w:sz="0" w:space="0" w:color="auto"/>
        <w:right w:val="none" w:sz="0" w:space="0" w:color="auto"/>
      </w:divBdr>
    </w:div>
    <w:div w:id="1091394892">
      <w:bodyDiv w:val="1"/>
      <w:marLeft w:val="0"/>
      <w:marRight w:val="0"/>
      <w:marTop w:val="0"/>
      <w:marBottom w:val="0"/>
      <w:divBdr>
        <w:top w:val="none" w:sz="0" w:space="0" w:color="auto"/>
        <w:left w:val="none" w:sz="0" w:space="0" w:color="auto"/>
        <w:bottom w:val="none" w:sz="0" w:space="0" w:color="auto"/>
        <w:right w:val="none" w:sz="0" w:space="0" w:color="auto"/>
      </w:divBdr>
    </w:div>
    <w:div w:id="1258438578">
      <w:bodyDiv w:val="1"/>
      <w:marLeft w:val="0"/>
      <w:marRight w:val="0"/>
      <w:marTop w:val="0"/>
      <w:marBottom w:val="0"/>
      <w:divBdr>
        <w:top w:val="none" w:sz="0" w:space="0" w:color="auto"/>
        <w:left w:val="none" w:sz="0" w:space="0" w:color="auto"/>
        <w:bottom w:val="none" w:sz="0" w:space="0" w:color="auto"/>
        <w:right w:val="none" w:sz="0" w:space="0" w:color="auto"/>
      </w:divBdr>
    </w:div>
    <w:div w:id="1274747174">
      <w:bodyDiv w:val="1"/>
      <w:marLeft w:val="0"/>
      <w:marRight w:val="0"/>
      <w:marTop w:val="0"/>
      <w:marBottom w:val="0"/>
      <w:divBdr>
        <w:top w:val="none" w:sz="0" w:space="0" w:color="auto"/>
        <w:left w:val="none" w:sz="0" w:space="0" w:color="auto"/>
        <w:bottom w:val="none" w:sz="0" w:space="0" w:color="auto"/>
        <w:right w:val="none" w:sz="0" w:space="0" w:color="auto"/>
      </w:divBdr>
    </w:div>
    <w:div w:id="1286472517">
      <w:bodyDiv w:val="1"/>
      <w:marLeft w:val="0"/>
      <w:marRight w:val="0"/>
      <w:marTop w:val="0"/>
      <w:marBottom w:val="0"/>
      <w:divBdr>
        <w:top w:val="none" w:sz="0" w:space="0" w:color="auto"/>
        <w:left w:val="none" w:sz="0" w:space="0" w:color="auto"/>
        <w:bottom w:val="none" w:sz="0" w:space="0" w:color="auto"/>
        <w:right w:val="none" w:sz="0" w:space="0" w:color="auto"/>
      </w:divBdr>
    </w:div>
    <w:div w:id="1498035320">
      <w:bodyDiv w:val="1"/>
      <w:marLeft w:val="0"/>
      <w:marRight w:val="0"/>
      <w:marTop w:val="0"/>
      <w:marBottom w:val="0"/>
      <w:divBdr>
        <w:top w:val="none" w:sz="0" w:space="0" w:color="auto"/>
        <w:left w:val="none" w:sz="0" w:space="0" w:color="auto"/>
        <w:bottom w:val="none" w:sz="0" w:space="0" w:color="auto"/>
        <w:right w:val="none" w:sz="0" w:space="0" w:color="auto"/>
      </w:divBdr>
    </w:div>
    <w:div w:id="1531183321">
      <w:bodyDiv w:val="1"/>
      <w:marLeft w:val="0"/>
      <w:marRight w:val="0"/>
      <w:marTop w:val="0"/>
      <w:marBottom w:val="0"/>
      <w:divBdr>
        <w:top w:val="none" w:sz="0" w:space="0" w:color="auto"/>
        <w:left w:val="none" w:sz="0" w:space="0" w:color="auto"/>
        <w:bottom w:val="none" w:sz="0" w:space="0" w:color="auto"/>
        <w:right w:val="none" w:sz="0" w:space="0" w:color="auto"/>
      </w:divBdr>
    </w:div>
    <w:div w:id="1741639777">
      <w:bodyDiv w:val="1"/>
      <w:marLeft w:val="0"/>
      <w:marRight w:val="0"/>
      <w:marTop w:val="0"/>
      <w:marBottom w:val="0"/>
      <w:divBdr>
        <w:top w:val="none" w:sz="0" w:space="0" w:color="auto"/>
        <w:left w:val="none" w:sz="0" w:space="0" w:color="auto"/>
        <w:bottom w:val="none" w:sz="0" w:space="0" w:color="auto"/>
        <w:right w:val="none" w:sz="0" w:space="0" w:color="auto"/>
      </w:divBdr>
    </w:div>
    <w:div w:id="1782072324">
      <w:bodyDiv w:val="1"/>
      <w:marLeft w:val="0"/>
      <w:marRight w:val="0"/>
      <w:marTop w:val="0"/>
      <w:marBottom w:val="0"/>
      <w:divBdr>
        <w:top w:val="none" w:sz="0" w:space="0" w:color="auto"/>
        <w:left w:val="none" w:sz="0" w:space="0" w:color="auto"/>
        <w:bottom w:val="none" w:sz="0" w:space="0" w:color="auto"/>
        <w:right w:val="none" w:sz="0" w:space="0" w:color="auto"/>
      </w:divBdr>
      <w:divsChild>
        <w:div w:id="1178160510">
          <w:marLeft w:val="0"/>
          <w:marRight w:val="0"/>
          <w:marTop w:val="0"/>
          <w:marBottom w:val="0"/>
          <w:divBdr>
            <w:top w:val="none" w:sz="0" w:space="0" w:color="auto"/>
            <w:left w:val="none" w:sz="0" w:space="0" w:color="auto"/>
            <w:bottom w:val="none" w:sz="0" w:space="0" w:color="auto"/>
            <w:right w:val="none" w:sz="0" w:space="0" w:color="auto"/>
          </w:divBdr>
          <w:divsChild>
            <w:div w:id="24908286">
              <w:marLeft w:val="0"/>
              <w:marRight w:val="0"/>
              <w:marTop w:val="0"/>
              <w:marBottom w:val="0"/>
              <w:divBdr>
                <w:top w:val="none" w:sz="0" w:space="0" w:color="auto"/>
                <w:left w:val="none" w:sz="0" w:space="0" w:color="auto"/>
                <w:bottom w:val="none" w:sz="0" w:space="0" w:color="auto"/>
                <w:right w:val="none" w:sz="0" w:space="0" w:color="auto"/>
              </w:divBdr>
              <w:divsChild>
                <w:div w:id="686562059">
                  <w:marLeft w:val="0"/>
                  <w:marRight w:val="0"/>
                  <w:marTop w:val="0"/>
                  <w:marBottom w:val="0"/>
                  <w:divBdr>
                    <w:top w:val="none" w:sz="0" w:space="0" w:color="auto"/>
                    <w:left w:val="none" w:sz="0" w:space="0" w:color="auto"/>
                    <w:bottom w:val="none" w:sz="0" w:space="0" w:color="auto"/>
                    <w:right w:val="none" w:sz="0" w:space="0" w:color="auto"/>
                  </w:divBdr>
                  <w:divsChild>
                    <w:div w:id="9988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7648">
      <w:bodyDiv w:val="1"/>
      <w:marLeft w:val="0"/>
      <w:marRight w:val="0"/>
      <w:marTop w:val="0"/>
      <w:marBottom w:val="0"/>
      <w:divBdr>
        <w:top w:val="none" w:sz="0" w:space="0" w:color="auto"/>
        <w:left w:val="none" w:sz="0" w:space="0" w:color="auto"/>
        <w:bottom w:val="none" w:sz="0" w:space="0" w:color="auto"/>
        <w:right w:val="none" w:sz="0" w:space="0" w:color="auto"/>
      </w:divBdr>
    </w:div>
    <w:div w:id="2128036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dataforindia.com/education-levels-in-india/" TargetMode="External"/><Relationship Id="rId26" Type="http://schemas.openxmlformats.org/officeDocument/2006/relationships/hyperlink" Target="https://doi.org/10.1136/bmjgh-2018-000981" TargetMode="External"/><Relationship Id="rId39" Type="http://schemas.openxmlformats.org/officeDocument/2006/relationships/fontTable" Target="fontTable.xml"/><Relationship Id="rId21" Type="http://schemas.openxmlformats.org/officeDocument/2006/relationships/hyperlink" Target="https://bmcpublichealth.biomedcentral.com/articles/10.1186/s12889-024-20038-2" TargetMode="External"/><Relationship Id="rId34"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hindustantimes.com/cities/pune-news/girls-in-higher-education-may-soon-get-2-000-per-month-under-new-scheme-101755717641309.html" TargetMode="External"/><Relationship Id="rId29" Type="http://schemas.openxmlformats.org/officeDocument/2006/relationships/hyperlink" Target="https://unesdoc.unesco.org/ark:/48223/pf000022566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rchiips.org/nfhs/NFHS-5_FCTS/Maharashtra.pdf" TargetMode="External"/><Relationship Id="rId32" Type="http://schemas.openxmlformats.org/officeDocument/2006/relationships/hyperlink" Target="https://doi.org/10.1596/978-1-4648-1206-5"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rchiips.org/nfhs/NFHS-5Reports/NFHS-5_INDIA_REPORT.pdf" TargetMode="External"/><Relationship Id="rId28" Type="http://schemas.openxmlformats.org/officeDocument/2006/relationships/hyperlink" Target="https://doi.org/10.1016/S2214-109X(19)30235-3" TargetMode="External"/><Relationship Id="rId36"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3886/ICPSR36151.v2" TargetMode="External"/><Relationship Id="rId31" Type="http://schemas.openxmlformats.org/officeDocument/2006/relationships/hyperlink" Target="https://www.unicef.org/reports/child-marriage-latest-trends-and-future-prospect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ceda.ashoka.edu.in/genderstats-7-underage-marriage-3/" TargetMode="External"/><Relationship Id="rId27" Type="http://schemas.openxmlformats.org/officeDocument/2006/relationships/hyperlink" Target="https://dhsprogram.com/pubs/pdf/FR375/FR375.pdf" TargetMode="External"/><Relationship Id="rId30" Type="http://schemas.openxmlformats.org/officeDocument/2006/relationships/hyperlink" Target="https://india.unfpa.org/sites/default/files/pub-pdf/analytical_series_1_-_child_marriage_in_india_-_insights_from_nfhs-5_final_0.pdf" TargetMode="External"/><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186/s12889-024-20038-2" TargetMode="External"/><Relationship Id="rId25" Type="http://schemas.openxmlformats.org/officeDocument/2006/relationships/hyperlink" Target="https://doi.org/10.1016/S0140-6736(11)60649-1"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SSS</cp:lastModifiedBy>
  <cp:revision>2</cp:revision>
  <dcterms:created xsi:type="dcterms:W3CDTF">2025-12-27T14:26:00Z</dcterms:created>
  <dcterms:modified xsi:type="dcterms:W3CDTF">2025-12-27T14:26:00Z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